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75E20" w14:textId="77777777" w:rsidR="00754C9A" w:rsidRDefault="00754C9A" w:rsidP="00441B6F">
      <w:pPr>
        <w:pStyle w:val="Title"/>
        <w:spacing w:after="0"/>
        <w:jc w:val="both"/>
        <w:rPr>
          <w:rFonts w:ascii="Arial" w:hAnsi="Arial" w:cs="Arial"/>
        </w:rPr>
      </w:pPr>
    </w:p>
    <w:p w14:paraId="36B6C280" w14:textId="2D4FE00B" w:rsidR="00D867E2" w:rsidRPr="00D867E2" w:rsidRDefault="00D867E2" w:rsidP="00D867E2">
      <w:pPr>
        <w:jc w:val="right"/>
        <w:rPr>
          <w:rFonts w:ascii="Arial" w:hAnsi="Arial" w:cs="Arial"/>
          <w:b/>
          <w:i/>
          <w:iCs/>
          <w:sz w:val="36"/>
          <w:szCs w:val="36"/>
        </w:rPr>
      </w:pPr>
      <w:r w:rsidRPr="00D867E2">
        <w:rPr>
          <w:rFonts w:ascii="Arial" w:hAnsi="Arial" w:cs="Arial"/>
          <w:b/>
          <w:sz w:val="36"/>
          <w:szCs w:val="36"/>
        </w:rPr>
        <w:t xml:space="preserve">Comparative </w:t>
      </w:r>
      <w:r w:rsidR="00876875">
        <w:rPr>
          <w:rFonts w:ascii="Arial" w:hAnsi="Arial" w:cs="Arial"/>
          <w:b/>
          <w:sz w:val="36"/>
          <w:szCs w:val="36"/>
        </w:rPr>
        <w:t>S</w:t>
      </w:r>
      <w:r w:rsidRPr="00D867E2">
        <w:rPr>
          <w:rFonts w:ascii="Arial" w:hAnsi="Arial" w:cs="Arial"/>
          <w:b/>
          <w:sz w:val="36"/>
          <w:szCs w:val="36"/>
        </w:rPr>
        <w:t xml:space="preserve">tudy of the </w:t>
      </w:r>
      <w:r w:rsidR="00876875">
        <w:rPr>
          <w:rFonts w:ascii="Arial" w:hAnsi="Arial" w:cs="Arial"/>
          <w:b/>
          <w:sz w:val="36"/>
          <w:szCs w:val="36"/>
        </w:rPr>
        <w:t>P</w:t>
      </w:r>
      <w:r w:rsidRPr="00D867E2">
        <w:rPr>
          <w:rFonts w:ascii="Arial" w:hAnsi="Arial" w:cs="Arial"/>
          <w:b/>
          <w:sz w:val="36"/>
          <w:szCs w:val="36"/>
        </w:rPr>
        <w:t xml:space="preserve">hytochemistry and </w:t>
      </w:r>
      <w:r w:rsidR="00876875">
        <w:rPr>
          <w:rFonts w:ascii="Arial" w:hAnsi="Arial" w:cs="Arial"/>
          <w:b/>
          <w:sz w:val="36"/>
          <w:szCs w:val="36"/>
        </w:rPr>
        <w:t>A</w:t>
      </w:r>
      <w:r w:rsidRPr="00D867E2">
        <w:rPr>
          <w:rFonts w:ascii="Arial" w:hAnsi="Arial" w:cs="Arial"/>
          <w:b/>
          <w:sz w:val="36"/>
          <w:szCs w:val="36"/>
        </w:rPr>
        <w:t xml:space="preserve">nti-hemorrhoidal </w:t>
      </w:r>
      <w:r w:rsidR="00876875">
        <w:rPr>
          <w:rFonts w:ascii="Arial" w:hAnsi="Arial" w:cs="Arial"/>
          <w:b/>
          <w:sz w:val="36"/>
          <w:szCs w:val="36"/>
        </w:rPr>
        <w:t>A</w:t>
      </w:r>
      <w:r w:rsidRPr="00D867E2">
        <w:rPr>
          <w:rFonts w:ascii="Arial" w:hAnsi="Arial" w:cs="Arial"/>
          <w:b/>
          <w:sz w:val="36"/>
          <w:szCs w:val="36"/>
        </w:rPr>
        <w:t xml:space="preserve">ctivity of </w:t>
      </w:r>
      <w:r w:rsidR="00876875">
        <w:rPr>
          <w:rFonts w:ascii="Arial" w:hAnsi="Arial" w:cs="Arial"/>
          <w:b/>
          <w:sz w:val="36"/>
          <w:szCs w:val="36"/>
        </w:rPr>
        <w:t>H</w:t>
      </w:r>
      <w:r w:rsidRPr="00D867E2">
        <w:rPr>
          <w:rFonts w:ascii="Arial" w:hAnsi="Arial" w:cs="Arial"/>
          <w:b/>
          <w:sz w:val="36"/>
          <w:szCs w:val="36"/>
        </w:rPr>
        <w:t xml:space="preserve">ydroethanolic </w:t>
      </w:r>
      <w:r w:rsidR="00876875">
        <w:rPr>
          <w:rFonts w:ascii="Arial" w:hAnsi="Arial" w:cs="Arial"/>
          <w:b/>
          <w:sz w:val="36"/>
          <w:szCs w:val="36"/>
        </w:rPr>
        <w:t>E</w:t>
      </w:r>
      <w:r w:rsidRPr="00D867E2">
        <w:rPr>
          <w:rFonts w:ascii="Arial" w:hAnsi="Arial" w:cs="Arial"/>
          <w:b/>
          <w:sz w:val="36"/>
          <w:szCs w:val="36"/>
        </w:rPr>
        <w:t xml:space="preserve">xtracts of </w:t>
      </w:r>
      <w:proofErr w:type="spellStart"/>
      <w:r w:rsidRPr="00D867E2">
        <w:rPr>
          <w:rFonts w:ascii="Arial" w:hAnsi="Arial" w:cs="Arial"/>
          <w:b/>
          <w:i/>
          <w:iCs/>
          <w:sz w:val="36"/>
          <w:szCs w:val="36"/>
        </w:rPr>
        <w:t>Persea</w:t>
      </w:r>
      <w:proofErr w:type="spellEnd"/>
      <w:r w:rsidRPr="00D867E2">
        <w:rPr>
          <w:rFonts w:ascii="Arial" w:hAnsi="Arial" w:cs="Arial"/>
          <w:b/>
          <w:i/>
          <w:iCs/>
          <w:sz w:val="36"/>
          <w:szCs w:val="36"/>
        </w:rPr>
        <w:t xml:space="preserve"> </w:t>
      </w:r>
      <w:proofErr w:type="spellStart"/>
      <w:r w:rsidRPr="00D867E2">
        <w:rPr>
          <w:rFonts w:ascii="Arial" w:hAnsi="Arial" w:cs="Arial"/>
          <w:b/>
          <w:i/>
          <w:iCs/>
          <w:sz w:val="36"/>
          <w:szCs w:val="36"/>
        </w:rPr>
        <w:t>americana</w:t>
      </w:r>
      <w:proofErr w:type="spellEnd"/>
      <w:r w:rsidRPr="00D867E2">
        <w:rPr>
          <w:rFonts w:ascii="Arial" w:hAnsi="Arial" w:cs="Arial"/>
          <w:b/>
          <w:i/>
          <w:iCs/>
          <w:sz w:val="36"/>
          <w:szCs w:val="36"/>
        </w:rPr>
        <w:t xml:space="preserve"> </w:t>
      </w:r>
      <w:r w:rsidRPr="00D867E2">
        <w:rPr>
          <w:rFonts w:ascii="Arial" w:hAnsi="Arial" w:cs="Arial"/>
          <w:b/>
          <w:sz w:val="36"/>
          <w:szCs w:val="36"/>
        </w:rPr>
        <w:t xml:space="preserve">Mill. </w:t>
      </w:r>
      <w:r w:rsidR="00876875">
        <w:rPr>
          <w:rFonts w:ascii="Arial" w:hAnsi="Arial" w:cs="Arial"/>
          <w:b/>
          <w:sz w:val="36"/>
          <w:szCs w:val="36"/>
        </w:rPr>
        <w:t>S</w:t>
      </w:r>
      <w:r w:rsidRPr="00D867E2">
        <w:rPr>
          <w:rFonts w:ascii="Arial" w:hAnsi="Arial" w:cs="Arial"/>
          <w:b/>
          <w:sz w:val="36"/>
          <w:szCs w:val="36"/>
        </w:rPr>
        <w:t xml:space="preserve">eeds and </w:t>
      </w:r>
      <w:proofErr w:type="spellStart"/>
      <w:r w:rsidRPr="00D867E2">
        <w:rPr>
          <w:rFonts w:ascii="Arial" w:hAnsi="Arial" w:cs="Arial"/>
          <w:b/>
          <w:i/>
          <w:iCs/>
          <w:sz w:val="36"/>
          <w:szCs w:val="36"/>
        </w:rPr>
        <w:t>Nephrolepis</w:t>
      </w:r>
      <w:proofErr w:type="spellEnd"/>
      <w:r w:rsidRPr="00D867E2">
        <w:rPr>
          <w:rFonts w:ascii="Arial" w:hAnsi="Arial" w:cs="Arial"/>
          <w:b/>
          <w:i/>
          <w:iCs/>
          <w:sz w:val="36"/>
          <w:szCs w:val="36"/>
        </w:rPr>
        <w:t xml:space="preserve"> </w:t>
      </w:r>
      <w:proofErr w:type="spellStart"/>
      <w:r w:rsidR="00876875">
        <w:rPr>
          <w:rFonts w:ascii="Arial" w:hAnsi="Arial" w:cs="Arial"/>
          <w:b/>
          <w:i/>
          <w:iCs/>
          <w:sz w:val="36"/>
          <w:szCs w:val="36"/>
        </w:rPr>
        <w:t>B</w:t>
      </w:r>
      <w:r w:rsidRPr="00D867E2">
        <w:rPr>
          <w:rFonts w:ascii="Arial" w:hAnsi="Arial" w:cs="Arial"/>
          <w:b/>
          <w:i/>
          <w:iCs/>
          <w:sz w:val="36"/>
          <w:szCs w:val="36"/>
        </w:rPr>
        <w:t>iserrata</w:t>
      </w:r>
      <w:proofErr w:type="spellEnd"/>
    </w:p>
    <w:p w14:paraId="3EE6D3DF" w14:textId="77777777" w:rsidR="00A258C3" w:rsidRPr="00D867E2" w:rsidRDefault="00A258C3" w:rsidP="00D867E2">
      <w:pPr>
        <w:pStyle w:val="Author"/>
        <w:spacing w:line="240" w:lineRule="auto"/>
        <w:rPr>
          <w:rFonts w:ascii="Arial" w:hAnsi="Arial" w:cs="Arial"/>
          <w:sz w:val="36"/>
          <w:szCs w:val="36"/>
        </w:rPr>
      </w:pPr>
    </w:p>
    <w:p w14:paraId="22F28CB1" w14:textId="77777777" w:rsidR="00A8676F" w:rsidRPr="00D867E2" w:rsidRDefault="00A8676F" w:rsidP="00D867E2">
      <w:pPr>
        <w:pStyle w:val="Affiliation"/>
        <w:spacing w:after="0" w:line="240" w:lineRule="auto"/>
        <w:rPr>
          <w:rFonts w:ascii="Arial" w:hAnsi="Arial" w:cs="Arial"/>
        </w:rPr>
      </w:pPr>
    </w:p>
    <w:p w14:paraId="1E2A7D8F" w14:textId="30199B47" w:rsidR="00B01FCD" w:rsidRPr="00FB3A86" w:rsidRDefault="00517B6F" w:rsidP="00441B6F">
      <w:pPr>
        <w:pStyle w:val="Copyright"/>
        <w:spacing w:after="0" w:line="240" w:lineRule="auto"/>
        <w:jc w:val="both"/>
        <w:rPr>
          <w:rFonts w:ascii="Arial" w:hAnsi="Arial" w:cs="Arial"/>
        </w:rPr>
        <w:sectPr w:rsidR="00B01FCD" w:rsidRPr="00FB3A86" w:rsidSect="00A251F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0A91D05" wp14:editId="5DFC38BD">
                <wp:extent cx="5303520" cy="635"/>
                <wp:effectExtent l="13335" t="13335" r="17145" b="15240"/>
                <wp:docPr id="11451896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26AC06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C75EB15" w14:textId="1A69580F" w:rsidR="003D46B7" w:rsidRPr="00FB3A86" w:rsidRDefault="003D46B7" w:rsidP="003D46B7">
      <w:pPr>
        <w:pStyle w:val="AbstHead"/>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9E058CB" w14:textId="77777777" w:rsidTr="001E44FE">
        <w:tc>
          <w:tcPr>
            <w:tcW w:w="9576" w:type="dxa"/>
            <w:shd w:val="clear" w:color="auto" w:fill="F2F2F2"/>
          </w:tcPr>
          <w:p w14:paraId="5D1CA0E8" w14:textId="39087679" w:rsidR="00E3114E" w:rsidRDefault="001E7B47" w:rsidP="00441B6F">
            <w:pPr>
              <w:pStyle w:val="Body"/>
              <w:spacing w:after="0"/>
              <w:rPr>
                <w:rFonts w:ascii="Arial" w:eastAsia="Calibri" w:hAnsi="Arial" w:cs="Arial"/>
                <w:b/>
                <w:szCs w:val="22"/>
              </w:rPr>
            </w:pPr>
            <w:r>
              <w:rPr>
                <w:rFonts w:ascii="Arial" w:eastAsia="Calibri" w:hAnsi="Arial" w:cs="Arial"/>
                <w:b/>
                <w:szCs w:val="22"/>
              </w:rPr>
              <w:t xml:space="preserve">Background: </w:t>
            </w:r>
            <w:r w:rsidRPr="001E7B47">
              <w:rPr>
                <w:rFonts w:ascii="Arial" w:eastAsia="Calibri" w:hAnsi="Arial" w:cs="Arial"/>
                <w:szCs w:val="22"/>
              </w:rPr>
              <w:t xml:space="preserve">Hemorrhoids are a common condition affecting many adults and significantly reduce quality of life, while conventional treatments are often costly and less accessible. This has led to growing interest in plant-based alternatives like </w:t>
            </w:r>
            <w:proofErr w:type="spellStart"/>
            <w:r w:rsidRPr="001E7B47">
              <w:rPr>
                <w:rFonts w:ascii="Arial" w:eastAsia="Calibri" w:hAnsi="Arial" w:cs="Arial"/>
                <w:i/>
                <w:szCs w:val="22"/>
              </w:rPr>
              <w:t>Nephrolepis</w:t>
            </w:r>
            <w:proofErr w:type="spellEnd"/>
            <w:r w:rsidRPr="001E7B47">
              <w:rPr>
                <w:rFonts w:ascii="Arial" w:eastAsia="Calibri" w:hAnsi="Arial" w:cs="Arial"/>
                <w:i/>
                <w:szCs w:val="22"/>
              </w:rPr>
              <w:t xml:space="preserve"> </w:t>
            </w:r>
            <w:proofErr w:type="spellStart"/>
            <w:r w:rsidRPr="001E7B47">
              <w:rPr>
                <w:rFonts w:ascii="Arial" w:eastAsia="Calibri" w:hAnsi="Arial" w:cs="Arial"/>
                <w:i/>
                <w:szCs w:val="22"/>
              </w:rPr>
              <w:t>biserrata</w:t>
            </w:r>
            <w:proofErr w:type="spellEnd"/>
            <w:r w:rsidRPr="001E7B47">
              <w:rPr>
                <w:rFonts w:ascii="Arial" w:eastAsia="Calibri" w:hAnsi="Arial" w:cs="Arial"/>
                <w:szCs w:val="22"/>
              </w:rPr>
              <w:t xml:space="preserve"> and </w:t>
            </w:r>
            <w:proofErr w:type="spellStart"/>
            <w:r w:rsidRPr="001E7B47">
              <w:rPr>
                <w:rFonts w:ascii="Arial" w:eastAsia="Calibri" w:hAnsi="Arial" w:cs="Arial"/>
                <w:i/>
                <w:szCs w:val="22"/>
              </w:rPr>
              <w:t>Persea</w:t>
            </w:r>
            <w:proofErr w:type="spellEnd"/>
            <w:r w:rsidRPr="001E7B47">
              <w:rPr>
                <w:rFonts w:ascii="Arial" w:eastAsia="Calibri" w:hAnsi="Arial" w:cs="Arial"/>
                <w:i/>
                <w:szCs w:val="22"/>
              </w:rPr>
              <w:t xml:space="preserve"> </w:t>
            </w:r>
            <w:proofErr w:type="spellStart"/>
            <w:r w:rsidRPr="001E7B47">
              <w:rPr>
                <w:rFonts w:ascii="Arial" w:eastAsia="Calibri" w:hAnsi="Arial" w:cs="Arial"/>
                <w:i/>
                <w:szCs w:val="22"/>
              </w:rPr>
              <w:t>americana</w:t>
            </w:r>
            <w:proofErr w:type="spellEnd"/>
            <w:r w:rsidRPr="001E7B47">
              <w:rPr>
                <w:rFonts w:ascii="Arial" w:eastAsia="Calibri" w:hAnsi="Arial" w:cs="Arial"/>
                <w:szCs w:val="22"/>
              </w:rPr>
              <w:t xml:space="preserve"> seeds, which show anti-inflammatory potential but lack sufficient direct clinical evidence.</w:t>
            </w:r>
          </w:p>
          <w:p w14:paraId="2E55BB59" w14:textId="0D0579A5" w:rsidR="00BA1B01" w:rsidRPr="00191A70" w:rsidRDefault="00BA1B01" w:rsidP="00915F47">
            <w:pPr>
              <w:spacing w:after="160" w:line="278" w:lineRule="auto"/>
              <w:rPr>
                <w:rFonts w:ascii="Arial" w:eastAsia="Calibri" w:hAnsi="Arial" w:cs="Arial"/>
              </w:rPr>
            </w:pPr>
            <w:r w:rsidRPr="00191A70">
              <w:rPr>
                <w:rFonts w:ascii="Arial" w:eastAsia="Calibri" w:hAnsi="Arial" w:cs="Arial"/>
                <w:b/>
              </w:rPr>
              <w:t>Aims</w:t>
            </w:r>
            <w:r w:rsidR="00915F47" w:rsidRPr="00191A70">
              <w:rPr>
                <w:rFonts w:ascii="Arial" w:eastAsia="Calibri" w:hAnsi="Arial" w:cs="Arial"/>
                <w:b/>
              </w:rPr>
              <w:t xml:space="preserve">: </w:t>
            </w:r>
            <w:r w:rsidR="00915F47" w:rsidRPr="00DE325D">
              <w:rPr>
                <w:rFonts w:ascii="Arial" w:hAnsi="Arial" w:cs="Arial"/>
              </w:rPr>
              <w:t xml:space="preserve">This study aims to compare the anti-hemorrhoidal efficacy of </w:t>
            </w:r>
            <w:r w:rsidR="00915F47" w:rsidRPr="00DE325D">
              <w:rPr>
                <w:rFonts w:ascii="Arial" w:hAnsi="Arial" w:cs="Arial"/>
                <w:i/>
                <w:iCs/>
              </w:rPr>
              <w:t>Persea americana</w:t>
            </w:r>
            <w:r w:rsidR="00915F47" w:rsidRPr="00DE325D">
              <w:rPr>
                <w:rFonts w:ascii="Arial" w:hAnsi="Arial" w:cs="Arial"/>
              </w:rPr>
              <w:t xml:space="preserve"> seed extracts (SPA) and </w:t>
            </w:r>
            <w:r w:rsidR="00915F47" w:rsidRPr="00DE325D">
              <w:rPr>
                <w:rFonts w:ascii="Arial" w:hAnsi="Arial" w:cs="Arial"/>
                <w:i/>
                <w:iCs/>
              </w:rPr>
              <w:t>Nephrolepis biserrata</w:t>
            </w:r>
            <w:r w:rsidR="00915F47" w:rsidRPr="00DE325D">
              <w:rPr>
                <w:rFonts w:ascii="Arial" w:hAnsi="Arial" w:cs="Arial"/>
              </w:rPr>
              <w:t xml:space="preserve"> (NB) in rats by evaluating inflammatory, hepatic, and morphological parameters.</w:t>
            </w:r>
          </w:p>
          <w:p w14:paraId="2A0121B8" w14:textId="51AE352D" w:rsidR="00BA1B01" w:rsidRPr="00191A70" w:rsidRDefault="00BA1B01" w:rsidP="00441B6F">
            <w:pPr>
              <w:pStyle w:val="Body"/>
              <w:spacing w:after="0"/>
              <w:rPr>
                <w:rFonts w:ascii="Arial" w:eastAsia="Calibri" w:hAnsi="Arial" w:cs="Arial"/>
              </w:rPr>
            </w:pPr>
            <w:r w:rsidRPr="00191A70">
              <w:rPr>
                <w:rFonts w:ascii="Arial" w:eastAsia="Calibri" w:hAnsi="Arial" w:cs="Arial"/>
                <w:b/>
              </w:rPr>
              <w:t>Study design:</w:t>
            </w:r>
            <w:r w:rsidRPr="00191A70">
              <w:rPr>
                <w:rFonts w:ascii="Arial" w:eastAsia="Calibri" w:hAnsi="Arial" w:cs="Arial"/>
              </w:rPr>
              <w:t xml:space="preserve">  </w:t>
            </w:r>
            <w:r w:rsidR="00915F47" w:rsidRPr="00191A70">
              <w:rPr>
                <w:rFonts w:ascii="Arial" w:eastAsia="Calibri" w:hAnsi="Arial" w:cs="Arial"/>
              </w:rPr>
              <w:t xml:space="preserve">A randomized experimental study in rats with induced hemorrhoids compared the anti-inflammatory, hepatoprotective, and clinical effects of </w:t>
            </w:r>
            <w:proofErr w:type="spellStart"/>
            <w:r w:rsidR="00915F47" w:rsidRPr="00191A70">
              <w:rPr>
                <w:rFonts w:ascii="Arial" w:eastAsia="Calibri" w:hAnsi="Arial" w:cs="Arial"/>
                <w:i/>
                <w:iCs/>
              </w:rPr>
              <w:t>Persea</w:t>
            </w:r>
            <w:proofErr w:type="spellEnd"/>
            <w:r w:rsidR="00915F47" w:rsidRPr="00191A70">
              <w:rPr>
                <w:rFonts w:ascii="Arial" w:eastAsia="Calibri" w:hAnsi="Arial" w:cs="Arial"/>
                <w:i/>
                <w:iCs/>
              </w:rPr>
              <w:t xml:space="preserve"> </w:t>
            </w:r>
            <w:proofErr w:type="spellStart"/>
            <w:r w:rsidR="00915F47" w:rsidRPr="00191A70">
              <w:rPr>
                <w:rFonts w:ascii="Arial" w:eastAsia="Calibri" w:hAnsi="Arial" w:cs="Arial"/>
                <w:i/>
                <w:iCs/>
              </w:rPr>
              <w:t>americana</w:t>
            </w:r>
            <w:proofErr w:type="spellEnd"/>
            <w:r w:rsidR="00915F47" w:rsidRPr="00191A70">
              <w:rPr>
                <w:rFonts w:ascii="Arial" w:eastAsia="Calibri" w:hAnsi="Arial" w:cs="Arial"/>
              </w:rPr>
              <w:t xml:space="preserve"> seeds and </w:t>
            </w:r>
            <w:proofErr w:type="spellStart"/>
            <w:r w:rsidR="00915F47" w:rsidRPr="00191A70">
              <w:rPr>
                <w:rFonts w:ascii="Arial" w:eastAsia="Calibri" w:hAnsi="Arial" w:cs="Arial"/>
                <w:i/>
                <w:iCs/>
              </w:rPr>
              <w:t>Nephrolepis</w:t>
            </w:r>
            <w:proofErr w:type="spellEnd"/>
            <w:r w:rsidR="00915F47" w:rsidRPr="00191A70">
              <w:rPr>
                <w:rFonts w:ascii="Arial" w:eastAsia="Calibri" w:hAnsi="Arial" w:cs="Arial"/>
                <w:i/>
                <w:iCs/>
              </w:rPr>
              <w:t xml:space="preserve"> </w:t>
            </w:r>
            <w:proofErr w:type="spellStart"/>
            <w:r w:rsidR="00915F47" w:rsidRPr="00191A70">
              <w:rPr>
                <w:rFonts w:ascii="Arial" w:eastAsia="Calibri" w:hAnsi="Arial" w:cs="Arial"/>
                <w:i/>
                <w:iCs/>
              </w:rPr>
              <w:t>biserrata</w:t>
            </w:r>
            <w:proofErr w:type="spellEnd"/>
            <w:r w:rsidR="00915F47" w:rsidRPr="00191A70">
              <w:rPr>
                <w:rFonts w:ascii="Arial" w:eastAsia="Calibri" w:hAnsi="Arial" w:cs="Arial"/>
              </w:rPr>
              <w:t xml:space="preserve"> extracts obtained via 30/70 water-ethanol extraction</w:t>
            </w:r>
            <w:r w:rsidRPr="00191A70">
              <w:rPr>
                <w:rFonts w:ascii="Arial" w:eastAsia="Calibri" w:hAnsi="Arial" w:cs="Arial"/>
              </w:rPr>
              <w:t>.</w:t>
            </w:r>
          </w:p>
          <w:p w14:paraId="08776843" w14:textId="274C06BF" w:rsidR="00BA1B01" w:rsidRPr="00191A70" w:rsidRDefault="00BA1B01" w:rsidP="00191A70">
            <w:pPr>
              <w:pStyle w:val="Body"/>
              <w:rPr>
                <w:rFonts w:ascii="Arial" w:eastAsia="Calibri" w:hAnsi="Arial" w:cs="Arial"/>
              </w:rPr>
            </w:pPr>
            <w:r w:rsidRPr="00191A70">
              <w:rPr>
                <w:rFonts w:ascii="Arial" w:eastAsia="Calibri" w:hAnsi="Arial" w:cs="Arial"/>
                <w:b/>
              </w:rPr>
              <w:t>Place and Duration of Study:</w:t>
            </w:r>
            <w:r w:rsidRPr="00191A70">
              <w:rPr>
                <w:rFonts w:ascii="Arial" w:eastAsia="Calibri" w:hAnsi="Arial" w:cs="Arial"/>
              </w:rPr>
              <w:t xml:space="preserve"> </w:t>
            </w:r>
            <w:r w:rsidR="00191A70" w:rsidRPr="00191A70">
              <w:rPr>
                <w:rFonts w:ascii="Arial" w:eastAsia="Calibri" w:hAnsi="Arial" w:cs="Arial"/>
              </w:rPr>
              <w:t xml:space="preserve">Chemical and biological analyses were conducted at </w:t>
            </w:r>
            <w:proofErr w:type="spellStart"/>
            <w:r w:rsidR="00191A70" w:rsidRPr="00191A70">
              <w:rPr>
                <w:rFonts w:ascii="Arial" w:eastAsia="Calibri" w:hAnsi="Arial" w:cs="Arial"/>
              </w:rPr>
              <w:t>LaKReCA</w:t>
            </w:r>
            <w:proofErr w:type="spellEnd"/>
            <w:r w:rsidR="00191A70" w:rsidRPr="00191A70">
              <w:rPr>
                <w:rFonts w:ascii="Arial" w:eastAsia="Calibri" w:hAnsi="Arial" w:cs="Arial"/>
              </w:rPr>
              <w:t xml:space="preserve"> (UNSTIM) and </w:t>
            </w:r>
            <w:proofErr w:type="spellStart"/>
            <w:r w:rsidR="00191A70" w:rsidRPr="00191A70">
              <w:rPr>
                <w:rFonts w:ascii="Arial" w:eastAsia="Calibri" w:hAnsi="Arial" w:cs="Arial"/>
              </w:rPr>
              <w:t>URMAPha</w:t>
            </w:r>
            <w:proofErr w:type="spellEnd"/>
            <w:r w:rsidR="00191A70" w:rsidRPr="00191A70">
              <w:rPr>
                <w:rFonts w:ascii="Arial" w:eastAsia="Calibri" w:hAnsi="Arial" w:cs="Arial"/>
              </w:rPr>
              <w:t xml:space="preserve"> (University of Abomey-</w:t>
            </w:r>
            <w:proofErr w:type="spellStart"/>
            <w:r w:rsidR="00191A70" w:rsidRPr="00191A70">
              <w:rPr>
                <w:rFonts w:ascii="Arial" w:eastAsia="Calibri" w:hAnsi="Arial" w:cs="Arial"/>
              </w:rPr>
              <w:t>Calavi</w:t>
            </w:r>
            <w:proofErr w:type="spellEnd"/>
            <w:r w:rsidR="00191A70" w:rsidRPr="00191A70">
              <w:rPr>
                <w:rFonts w:ascii="Arial" w:eastAsia="Calibri" w:hAnsi="Arial" w:cs="Arial"/>
              </w:rPr>
              <w:t>), in Republic of Benin, between January and December 2025.</w:t>
            </w:r>
          </w:p>
          <w:p w14:paraId="67E792B3" w14:textId="1842309A" w:rsidR="00BA1B01" w:rsidRPr="00191A70" w:rsidRDefault="00BA1B01" w:rsidP="00191A70">
            <w:pPr>
              <w:pStyle w:val="Body"/>
              <w:rPr>
                <w:rFonts w:ascii="Arial" w:eastAsia="Calibri" w:hAnsi="Arial" w:cs="Arial"/>
              </w:rPr>
            </w:pPr>
            <w:r w:rsidRPr="00191A70">
              <w:rPr>
                <w:rFonts w:ascii="Arial" w:eastAsia="Calibri" w:hAnsi="Arial" w:cs="Arial"/>
                <w:b/>
                <w:bCs/>
              </w:rPr>
              <w:t>Methodology:</w:t>
            </w:r>
            <w:r w:rsidRPr="00191A70">
              <w:rPr>
                <w:rFonts w:ascii="Arial" w:eastAsia="Calibri" w:hAnsi="Arial" w:cs="Arial"/>
              </w:rPr>
              <w:t xml:space="preserve"> </w:t>
            </w:r>
            <w:r w:rsidR="00876875" w:rsidRPr="00191A70">
              <w:rPr>
                <w:rFonts w:ascii="Arial" w:hAnsi="Arial" w:cs="Arial"/>
              </w:rPr>
              <w:t xml:space="preserve">the phytochemical, antioxidant, and anti-hemorrhoidal properties of </w:t>
            </w:r>
            <w:r w:rsidR="00876875" w:rsidRPr="00191A70">
              <w:rPr>
                <w:rFonts w:ascii="Arial" w:hAnsi="Arial" w:cs="Arial"/>
                <w:i/>
                <w:iCs/>
              </w:rPr>
              <w:t>Persea americana</w:t>
            </w:r>
            <w:r w:rsidR="00876875" w:rsidRPr="00191A70">
              <w:rPr>
                <w:rFonts w:ascii="Arial" w:hAnsi="Arial" w:cs="Arial"/>
              </w:rPr>
              <w:t xml:space="preserve"> seeds. The hydroethanolic extract (Water/Ethanol : 30/70) was obtained by maceration. Qualitative and quantitative phytochemical analyses were conducted to identify secondary metabolites. Biologically, the parameters measured after 5 days of treatment in Wistar rats included total protein levels (protidemia), erythrocyte sedimentation rate, ASAT and ALAT levels, as well as variations in the recto-anal coefficient.</w:t>
            </w:r>
          </w:p>
          <w:p w14:paraId="5889A83B" w14:textId="77777777" w:rsidR="000A26DC" w:rsidRDefault="00BA1B01" w:rsidP="000C241A">
            <w:pPr>
              <w:pStyle w:val="Body"/>
              <w:rPr>
                <w:rFonts w:ascii="Arial" w:hAnsi="Arial" w:cs="Arial"/>
              </w:rPr>
            </w:pPr>
            <w:r w:rsidRPr="00191A70">
              <w:rPr>
                <w:rFonts w:ascii="Arial" w:eastAsia="Calibri" w:hAnsi="Arial" w:cs="Arial"/>
                <w:b/>
                <w:bCs/>
              </w:rPr>
              <w:t>Results:</w:t>
            </w:r>
            <w:r w:rsidRPr="00191A70">
              <w:rPr>
                <w:rFonts w:ascii="Arial" w:eastAsia="Calibri" w:hAnsi="Arial" w:cs="Arial"/>
              </w:rPr>
              <w:t xml:space="preserve"> </w:t>
            </w:r>
            <w:proofErr w:type="spellStart"/>
            <w:r w:rsidR="000A26DC" w:rsidRPr="003164E1">
              <w:rPr>
                <w:rFonts w:ascii="Arial" w:hAnsi="Arial" w:cs="Arial"/>
                <w:i/>
              </w:rPr>
              <w:t>Nephrolepis</w:t>
            </w:r>
            <w:proofErr w:type="spellEnd"/>
            <w:r w:rsidR="000A26DC" w:rsidRPr="003164E1">
              <w:rPr>
                <w:rFonts w:ascii="Arial" w:hAnsi="Arial" w:cs="Arial"/>
                <w:i/>
              </w:rPr>
              <w:t xml:space="preserve"> </w:t>
            </w:r>
            <w:proofErr w:type="spellStart"/>
            <w:r w:rsidR="000A26DC" w:rsidRPr="003164E1">
              <w:rPr>
                <w:rFonts w:ascii="Arial" w:hAnsi="Arial" w:cs="Arial"/>
                <w:i/>
              </w:rPr>
              <w:t>biserrata</w:t>
            </w:r>
            <w:proofErr w:type="spellEnd"/>
            <w:r w:rsidR="000A26DC" w:rsidRPr="000A26DC">
              <w:rPr>
                <w:rFonts w:ascii="Arial" w:hAnsi="Arial" w:cs="Arial"/>
              </w:rPr>
              <w:t xml:space="preserve"> (NB) shows a higher extraction yield (16.36%) than </w:t>
            </w:r>
            <w:proofErr w:type="spellStart"/>
            <w:r w:rsidR="000A26DC" w:rsidRPr="003164E1">
              <w:rPr>
                <w:rFonts w:ascii="Arial" w:hAnsi="Arial" w:cs="Arial"/>
                <w:i/>
              </w:rPr>
              <w:t>Persea</w:t>
            </w:r>
            <w:proofErr w:type="spellEnd"/>
            <w:r w:rsidR="000A26DC" w:rsidRPr="003164E1">
              <w:rPr>
                <w:rFonts w:ascii="Arial" w:hAnsi="Arial" w:cs="Arial"/>
                <w:i/>
              </w:rPr>
              <w:t xml:space="preserve"> </w:t>
            </w:r>
            <w:proofErr w:type="spellStart"/>
            <w:r w:rsidR="000A26DC" w:rsidRPr="003164E1">
              <w:rPr>
                <w:rFonts w:ascii="Arial" w:hAnsi="Arial" w:cs="Arial"/>
                <w:i/>
              </w:rPr>
              <w:t>americana</w:t>
            </w:r>
            <w:proofErr w:type="spellEnd"/>
            <w:r w:rsidR="000A26DC" w:rsidRPr="000A26DC">
              <w:rPr>
                <w:rFonts w:ascii="Arial" w:hAnsi="Arial" w:cs="Arial"/>
              </w:rPr>
              <w:t xml:space="preserve"> seeds (SPA) (14.36%), while SPA contains more total polyphenols (289.6 mg gallic acid equivalents per gram versus 75 mg). However, NB has a higher flavonoid content (38.5 mg quercetin equivalents per gram versus 35.76 mg) and stronger antioxidant activity, with a half maximal inhibitory concentration of 9.13 × 10</w:t>
            </w:r>
            <w:r w:rsidR="000A26DC" w:rsidRPr="000A26DC">
              <w:rPr>
                <w:rFonts w:ascii="Cambria Math" w:hAnsi="Cambria Math" w:cs="Cambria Math"/>
              </w:rPr>
              <w:t>⁻</w:t>
            </w:r>
            <w:r w:rsidR="000A26DC" w:rsidRPr="000A26DC">
              <w:rPr>
                <w:rFonts w:ascii="Arial" w:hAnsi="Arial" w:cs="Arial"/>
              </w:rPr>
              <w:t>³ mg/mL compared to 1.93 × 10</w:t>
            </w:r>
            <w:r w:rsidR="000A26DC" w:rsidRPr="000A26DC">
              <w:rPr>
                <w:rFonts w:ascii="Cambria Math" w:hAnsi="Cambria Math" w:cs="Cambria Math"/>
              </w:rPr>
              <w:t>⁻</w:t>
            </w:r>
            <w:r w:rsidR="000A26DC" w:rsidRPr="000A26DC">
              <w:rPr>
                <w:rFonts w:ascii="Arial" w:hAnsi="Arial" w:cs="Arial"/>
              </w:rPr>
              <w:t>² mg/mL for SPA. In treated rats, NB at 250 mg/kg significantly improved inflammatory and biochemical parameters, reducing erythrocyte sedimentation rate from 4.66 to 2, stabilizing serum proteins, and improving liver enzymes (alanine aminotransferase 88.7; aspartate aminotransferase 172.19). It also showed better recto-anal coefficient normalization (0.001558) than SPA. Overall, NB at 250 mg/kg was the most active fraction, although SPA at 500 mg/kg showed partial hepatoprotective effects.</w:t>
            </w:r>
          </w:p>
          <w:p w14:paraId="39F3DE5B" w14:textId="55E1F53A" w:rsidR="00BA1B01" w:rsidRPr="00191A70" w:rsidRDefault="000A26DC" w:rsidP="000C241A">
            <w:pPr>
              <w:pStyle w:val="Body"/>
              <w:rPr>
                <w:rFonts w:ascii="Arial" w:eastAsia="Calibri" w:hAnsi="Arial" w:cs="Arial"/>
                <w:b/>
                <w:bCs/>
              </w:rPr>
            </w:pPr>
            <w:r w:rsidRPr="00191A70">
              <w:rPr>
                <w:rFonts w:ascii="Arial" w:eastAsia="Calibri" w:hAnsi="Arial" w:cs="Arial"/>
                <w:b/>
                <w:bCs/>
              </w:rPr>
              <w:t>Conclusion:</w:t>
            </w:r>
            <w:r>
              <w:rPr>
                <w:rFonts w:ascii="Arial" w:eastAsia="Calibri" w:hAnsi="Arial" w:cs="Arial"/>
                <w:b/>
                <w:bCs/>
              </w:rPr>
              <w:t xml:space="preserve"> </w:t>
            </w:r>
            <w:r w:rsidRPr="000A26DC">
              <w:rPr>
                <w:rFonts w:ascii="Arial" w:eastAsia="Calibri" w:hAnsi="Arial" w:cs="Arial"/>
              </w:rPr>
              <w:t>B</w:t>
            </w:r>
            <w:r w:rsidR="000C241A" w:rsidRPr="000D0813">
              <w:rPr>
                <w:rFonts w:ascii="Arial" w:hAnsi="Arial" w:cs="Arial"/>
              </w:rPr>
              <w:t>oth extracts exhibit significant anti-inflammatory and antioxidant properties, but NB at 250 mg/kg demonstrates the best overall therapeutic efficacy.</w:t>
            </w:r>
          </w:p>
          <w:p w14:paraId="0CC70390" w14:textId="6AA54BCE" w:rsidR="00505F06" w:rsidRPr="00BA1B01" w:rsidRDefault="00505F06" w:rsidP="00441B6F">
            <w:pPr>
              <w:pStyle w:val="Body"/>
              <w:spacing w:after="0"/>
              <w:rPr>
                <w:rFonts w:ascii="Arial" w:eastAsia="Calibri" w:hAnsi="Arial" w:cs="Arial"/>
                <w:szCs w:val="22"/>
              </w:rPr>
            </w:pPr>
          </w:p>
        </w:tc>
      </w:tr>
    </w:tbl>
    <w:p w14:paraId="3EBB4767" w14:textId="77777777" w:rsidR="00636EB2" w:rsidRDefault="00636EB2" w:rsidP="00441B6F">
      <w:pPr>
        <w:pStyle w:val="Body"/>
        <w:spacing w:after="0"/>
        <w:rPr>
          <w:rFonts w:ascii="Arial" w:hAnsi="Arial" w:cs="Arial"/>
          <w:i/>
        </w:rPr>
      </w:pPr>
    </w:p>
    <w:p w14:paraId="4D1E6631" w14:textId="78631679" w:rsidR="00191A70" w:rsidRPr="00CB00C3" w:rsidRDefault="00A24E7E" w:rsidP="00191A70">
      <w:pPr>
        <w:spacing w:after="160" w:line="278" w:lineRule="auto"/>
        <w:rPr>
          <w:i/>
          <w:iCs/>
        </w:rPr>
      </w:pPr>
      <w:r>
        <w:rPr>
          <w:rFonts w:ascii="Arial" w:hAnsi="Arial" w:cs="Arial"/>
          <w:i/>
        </w:rPr>
        <w:t xml:space="preserve">Keywords: </w:t>
      </w:r>
      <w:r w:rsidR="00191A70" w:rsidRPr="00DE325D">
        <w:rPr>
          <w:rFonts w:ascii="Arial" w:hAnsi="Arial" w:cs="Arial"/>
          <w:i/>
          <w:iCs/>
        </w:rPr>
        <w:t>anti-hemorrhoidal</w:t>
      </w:r>
      <w:r w:rsidR="00191A70" w:rsidRPr="00191A70">
        <w:rPr>
          <w:i/>
          <w:iCs/>
        </w:rPr>
        <w:t xml:space="preserve">; </w:t>
      </w:r>
      <w:proofErr w:type="spellStart"/>
      <w:r w:rsidR="00191A70" w:rsidRPr="00CB00C3">
        <w:rPr>
          <w:i/>
          <w:iCs/>
        </w:rPr>
        <w:t>Persea</w:t>
      </w:r>
      <w:proofErr w:type="spellEnd"/>
      <w:r w:rsidR="00191A70" w:rsidRPr="00CB00C3">
        <w:rPr>
          <w:i/>
          <w:iCs/>
        </w:rPr>
        <w:t xml:space="preserve"> </w:t>
      </w:r>
      <w:proofErr w:type="spellStart"/>
      <w:r w:rsidR="00191A70" w:rsidRPr="00CB00C3">
        <w:rPr>
          <w:i/>
          <w:iCs/>
        </w:rPr>
        <w:t>americana</w:t>
      </w:r>
      <w:proofErr w:type="spellEnd"/>
      <w:r w:rsidR="00191A70" w:rsidRPr="00CB00C3">
        <w:rPr>
          <w:i/>
          <w:iCs/>
        </w:rPr>
        <w:t xml:space="preserve"> </w:t>
      </w:r>
      <w:r w:rsidR="003141CA" w:rsidRPr="003141CA">
        <w:t>seeds</w:t>
      </w:r>
      <w:r w:rsidR="00191A70" w:rsidRPr="00191A70">
        <w:rPr>
          <w:i/>
          <w:iCs/>
        </w:rPr>
        <w:t xml:space="preserve">; </w:t>
      </w:r>
      <w:proofErr w:type="spellStart"/>
      <w:r w:rsidR="00191A70" w:rsidRPr="00CB00C3">
        <w:rPr>
          <w:i/>
          <w:iCs/>
        </w:rPr>
        <w:t>Nephrolepis</w:t>
      </w:r>
      <w:proofErr w:type="spellEnd"/>
      <w:r w:rsidR="00191A70" w:rsidRPr="00CB00C3">
        <w:rPr>
          <w:i/>
          <w:iCs/>
        </w:rPr>
        <w:t xml:space="preserve"> </w:t>
      </w:r>
      <w:proofErr w:type="spellStart"/>
      <w:r w:rsidR="00191A70" w:rsidRPr="00CB00C3">
        <w:rPr>
          <w:i/>
          <w:iCs/>
        </w:rPr>
        <w:t>biserrata</w:t>
      </w:r>
      <w:proofErr w:type="spellEnd"/>
      <w:r w:rsidR="00191A70" w:rsidRPr="00191A70">
        <w:rPr>
          <w:i/>
          <w:iCs/>
        </w:rPr>
        <w:t xml:space="preserve">; </w:t>
      </w:r>
      <w:r w:rsidR="00191A70" w:rsidRPr="00191A70">
        <w:rPr>
          <w:rFonts w:ascii="Arial" w:hAnsi="Arial" w:cs="Arial"/>
          <w:i/>
          <w:iCs/>
        </w:rPr>
        <w:t>phytochemical; antioxidant.</w:t>
      </w:r>
    </w:p>
    <w:p w14:paraId="31AF0439" w14:textId="22433D18" w:rsidR="00A24E7E" w:rsidRDefault="00A24E7E" w:rsidP="00441B6F">
      <w:pPr>
        <w:pStyle w:val="Body"/>
        <w:spacing w:after="0"/>
        <w:rPr>
          <w:rFonts w:ascii="Arial" w:hAnsi="Arial" w:cs="Arial"/>
          <w:i/>
        </w:rPr>
      </w:pPr>
    </w:p>
    <w:p w14:paraId="2241D554" w14:textId="77777777" w:rsidR="00790ADA" w:rsidRDefault="00790ADA" w:rsidP="00441B6F">
      <w:pPr>
        <w:pStyle w:val="Body"/>
        <w:spacing w:after="0"/>
        <w:rPr>
          <w:rFonts w:ascii="Arial" w:hAnsi="Arial" w:cs="Arial"/>
          <w:i/>
        </w:rPr>
      </w:pPr>
    </w:p>
    <w:p w14:paraId="015301A4" w14:textId="77777777" w:rsidR="00505F06" w:rsidRPr="00A24E7E" w:rsidRDefault="00505F06" w:rsidP="00441B6F">
      <w:pPr>
        <w:pStyle w:val="Body"/>
        <w:spacing w:after="0"/>
        <w:rPr>
          <w:rFonts w:ascii="Arial" w:hAnsi="Arial" w:cs="Arial"/>
          <w:i/>
        </w:rPr>
      </w:pPr>
    </w:p>
    <w:p w14:paraId="6872A759" w14:textId="6E54730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18AF912" w14:textId="77777777" w:rsidR="00790ADA" w:rsidRPr="00FB3A86" w:rsidRDefault="00790ADA" w:rsidP="00441B6F">
      <w:pPr>
        <w:pStyle w:val="AbstHead"/>
        <w:spacing w:after="0"/>
        <w:jc w:val="both"/>
        <w:rPr>
          <w:rFonts w:ascii="Arial" w:hAnsi="Arial" w:cs="Arial"/>
        </w:rPr>
      </w:pPr>
    </w:p>
    <w:p w14:paraId="015211CC" w14:textId="77777777" w:rsidR="003D46B7" w:rsidRPr="00F65CA6" w:rsidRDefault="003D46B7" w:rsidP="003D46B7">
      <w:pPr>
        <w:spacing w:after="160"/>
        <w:jc w:val="both"/>
        <w:rPr>
          <w:rFonts w:ascii="Arial" w:hAnsi="Arial" w:cs="Arial"/>
        </w:rPr>
      </w:pPr>
      <w:r w:rsidRPr="00F65CA6">
        <w:rPr>
          <w:rFonts w:ascii="Arial" w:hAnsi="Arial" w:cs="Arial"/>
        </w:rPr>
        <w:t>Hemorrhoids are a common condition, affecting up to 50% of adults during their lifetime, and represent a significant public health issue, particularly in developing countries</w:t>
      </w:r>
      <w:r w:rsidRPr="00A86D53">
        <w:rPr>
          <w:rFonts w:ascii="Arial" w:hAnsi="Arial" w:cs="Arial"/>
        </w:rPr>
        <w:t xml:space="preserve"> (</w:t>
      </w:r>
      <w:proofErr w:type="spellStart"/>
      <w:r w:rsidRPr="00A86D53">
        <w:rPr>
          <w:rFonts w:ascii="Arial" w:hAnsi="Arial" w:cs="Arial"/>
        </w:rPr>
        <w:t>Esmaeilnia</w:t>
      </w:r>
      <w:proofErr w:type="spellEnd"/>
      <w:r w:rsidRPr="00A86D53">
        <w:rPr>
          <w:rFonts w:ascii="Arial" w:hAnsi="Arial" w:cs="Arial"/>
        </w:rPr>
        <w:t xml:space="preserve"> </w:t>
      </w:r>
      <w:proofErr w:type="spellStart"/>
      <w:r w:rsidRPr="00A86D53">
        <w:rPr>
          <w:rFonts w:ascii="Arial" w:hAnsi="Arial" w:cs="Arial"/>
        </w:rPr>
        <w:t>Shirvani</w:t>
      </w:r>
      <w:proofErr w:type="spellEnd"/>
      <w:r w:rsidRPr="00A86D53">
        <w:rPr>
          <w:rFonts w:ascii="Arial" w:hAnsi="Arial" w:cs="Arial"/>
        </w:rPr>
        <w:t xml:space="preserve"> et al., 2026;</w:t>
      </w:r>
      <w:r>
        <w:rPr>
          <w:rFonts w:ascii="Arial" w:hAnsi="Arial" w:cs="Arial"/>
        </w:rPr>
        <w:t xml:space="preserve"> </w:t>
      </w:r>
      <w:r w:rsidRPr="008F6242">
        <w:t>Sheikh</w:t>
      </w:r>
      <w:r>
        <w:t xml:space="preserve"> et al. 2020)</w:t>
      </w:r>
      <w:r w:rsidRPr="00F65CA6">
        <w:rPr>
          <w:rFonts w:ascii="Arial" w:hAnsi="Arial" w:cs="Arial"/>
        </w:rPr>
        <w:t>. Dietary, hygienic, and socio-economic factors contribute to their occurrence, causing pain, bleeding, and discomfort, and significantly affecting quality of life</w:t>
      </w:r>
      <w:r>
        <w:rPr>
          <w:rFonts w:ascii="Arial" w:hAnsi="Arial" w:cs="Arial"/>
        </w:rPr>
        <w:t xml:space="preserve"> (</w:t>
      </w:r>
      <w:proofErr w:type="spellStart"/>
      <w:r w:rsidRPr="008F6242">
        <w:t>Arjvand</w:t>
      </w:r>
      <w:proofErr w:type="spellEnd"/>
      <w:r>
        <w:t xml:space="preserve"> et al., 2023; </w:t>
      </w:r>
      <w:r w:rsidRPr="008F6242">
        <w:t>Jiao</w:t>
      </w:r>
      <w:r>
        <w:t xml:space="preserve"> et al., 2023; </w:t>
      </w:r>
      <w:proofErr w:type="spellStart"/>
      <w:r w:rsidRPr="00EC6FFF">
        <w:t>Miassi</w:t>
      </w:r>
      <w:proofErr w:type="spellEnd"/>
      <w:r>
        <w:t xml:space="preserve"> et al., 2022)</w:t>
      </w:r>
      <w:r w:rsidRPr="00F65CA6">
        <w:rPr>
          <w:rFonts w:ascii="Arial" w:hAnsi="Arial" w:cs="Arial"/>
        </w:rPr>
        <w:t>. Conventional treatments, including corticosteroid ointments, venotonics, or surgical interventions, nevertheless have notable limitations: high cost, limited availability, side effects, and restricted access in rural areas</w:t>
      </w:r>
      <w:r>
        <w:rPr>
          <w:rFonts w:ascii="Arial" w:hAnsi="Arial" w:cs="Arial"/>
        </w:rPr>
        <w:t xml:space="preserve"> (</w:t>
      </w:r>
      <w:r w:rsidRPr="00EC6FFF">
        <w:t>Garg</w:t>
      </w:r>
      <w:r>
        <w:t xml:space="preserve"> et al., 2024; </w:t>
      </w:r>
      <w:r w:rsidRPr="00576E4E">
        <w:t>Kang</w:t>
      </w:r>
      <w:r>
        <w:t xml:space="preserve"> et al., 2025; </w:t>
      </w:r>
      <w:r w:rsidRPr="00576E4E">
        <w:t>Cengiz</w:t>
      </w:r>
      <w:r>
        <w:t xml:space="preserve"> et al., 2019)</w:t>
      </w:r>
      <w:r w:rsidRPr="00F65CA6">
        <w:rPr>
          <w:rFonts w:ascii="Arial" w:hAnsi="Arial" w:cs="Arial"/>
        </w:rPr>
        <w:t>.</w:t>
      </w:r>
    </w:p>
    <w:p w14:paraId="4481652C" w14:textId="111004CF" w:rsidR="003D46B7" w:rsidRPr="00F65CA6" w:rsidRDefault="003D46B7" w:rsidP="001540D7">
      <w:pPr>
        <w:rPr>
          <w:rFonts w:ascii="Arial" w:hAnsi="Arial" w:cs="Arial"/>
        </w:rPr>
      </w:pPr>
      <w:r w:rsidRPr="00F65CA6">
        <w:rPr>
          <w:rFonts w:ascii="Arial" w:hAnsi="Arial" w:cs="Arial"/>
        </w:rPr>
        <w:t>In this context, the search for local, available, and affordable plant-based remedies offers a sustainable alternative. Plant organs</w:t>
      </w:r>
      <w:r w:rsidR="003164E1">
        <w:rPr>
          <w:rFonts w:ascii="Arial" w:hAnsi="Arial" w:cs="Arial"/>
        </w:rPr>
        <w:t>, such as</w:t>
      </w:r>
      <w:r w:rsidRPr="00F65CA6">
        <w:rPr>
          <w:rFonts w:ascii="Arial" w:hAnsi="Arial" w:cs="Arial"/>
        </w:rPr>
        <w:t xml:space="preserve"> seeds, rhizomes, or leaves</w:t>
      </w:r>
      <w:r w:rsidR="003164E1">
        <w:rPr>
          <w:rFonts w:ascii="Arial" w:hAnsi="Arial" w:cs="Arial"/>
        </w:rPr>
        <w:t>,</w:t>
      </w:r>
      <w:r w:rsidRPr="00F65CA6">
        <w:rPr>
          <w:rFonts w:ascii="Arial" w:hAnsi="Arial" w:cs="Arial"/>
        </w:rPr>
        <w:t xml:space="preserve"> contain bioactive secondary metabolites such as polyphenols, flavonoids, tannins, and saponins, known for their anti-inflammatory and antioxidant effects</w:t>
      </w:r>
      <w:r>
        <w:rPr>
          <w:rFonts w:ascii="Arial" w:hAnsi="Arial" w:cs="Arial"/>
        </w:rPr>
        <w:t xml:space="preserve"> (</w:t>
      </w:r>
      <w:r w:rsidRPr="00576E4E">
        <w:t>Shen</w:t>
      </w:r>
      <w:r>
        <w:t xml:space="preserve"> et al., 2022; </w:t>
      </w:r>
      <w:r w:rsidRPr="00576E4E">
        <w:t>Dias</w:t>
      </w:r>
      <w:r>
        <w:t xml:space="preserve"> et al., 2021; </w:t>
      </w:r>
      <w:r w:rsidRPr="00576E4E">
        <w:t>Tijjani</w:t>
      </w:r>
      <w:r>
        <w:t xml:space="preserve"> et al., 2020; </w:t>
      </w:r>
      <w:r w:rsidRPr="00B81E03">
        <w:t>Vuolo</w:t>
      </w:r>
      <w:r>
        <w:t xml:space="preserve"> et al., 2019)</w:t>
      </w:r>
      <w:r w:rsidRPr="00F65CA6">
        <w:rPr>
          <w:rFonts w:ascii="Arial" w:hAnsi="Arial" w:cs="Arial"/>
        </w:rPr>
        <w:t xml:space="preserve">. Previous studies have shown that </w:t>
      </w:r>
      <w:proofErr w:type="spellStart"/>
      <w:r w:rsidRPr="00F65CA6">
        <w:rPr>
          <w:rFonts w:ascii="Arial" w:hAnsi="Arial" w:cs="Arial"/>
          <w:i/>
          <w:iCs/>
        </w:rPr>
        <w:t>Nephrolepis</w:t>
      </w:r>
      <w:proofErr w:type="spellEnd"/>
      <w:r w:rsidRPr="00F65CA6">
        <w:rPr>
          <w:rFonts w:ascii="Arial" w:hAnsi="Arial" w:cs="Arial"/>
          <w:i/>
          <w:iCs/>
        </w:rPr>
        <w:t xml:space="preserve"> </w:t>
      </w:r>
      <w:proofErr w:type="spellStart"/>
      <w:r w:rsidR="001540D7">
        <w:rPr>
          <w:rFonts w:ascii="Arial" w:hAnsi="Arial" w:cs="Arial"/>
          <w:i/>
          <w:iCs/>
        </w:rPr>
        <w:t>biserrate</w:t>
      </w:r>
      <w:proofErr w:type="spellEnd"/>
      <w:r w:rsidR="001540D7">
        <w:rPr>
          <w:rFonts w:ascii="Arial" w:hAnsi="Arial" w:cs="Arial"/>
          <w:i/>
          <w:iCs/>
        </w:rPr>
        <w:t xml:space="preserve"> </w:t>
      </w:r>
      <w:r w:rsidR="001540D7" w:rsidRPr="001540D7">
        <w:rPr>
          <w:rFonts w:ascii="Arial" w:hAnsi="Arial" w:cs="Arial"/>
        </w:rPr>
        <w:t>(Giant sword fern)</w:t>
      </w:r>
      <w:r w:rsidRPr="00F65CA6">
        <w:rPr>
          <w:rFonts w:ascii="Arial" w:hAnsi="Arial" w:cs="Arial"/>
        </w:rPr>
        <w:t>, traditionally used in Benin for hemorrhoid treatment, reduces inflammation and oxidative stress</w:t>
      </w:r>
      <w:r>
        <w:rPr>
          <w:rFonts w:ascii="Arial" w:hAnsi="Arial" w:cs="Arial"/>
        </w:rPr>
        <w:t xml:space="preserve"> (</w:t>
      </w:r>
      <w:r w:rsidRPr="00B81E03">
        <w:t>Bassey</w:t>
      </w:r>
      <w:r>
        <w:t xml:space="preserve"> et al., 2020; </w:t>
      </w:r>
      <w:r w:rsidRPr="00B81E03">
        <w:t>Shah</w:t>
      </w:r>
      <w:r>
        <w:t xml:space="preserve"> et al., 2015; </w:t>
      </w:r>
      <w:proofErr w:type="spellStart"/>
      <w:r w:rsidRPr="00B81E03">
        <w:t>Melford</w:t>
      </w:r>
      <w:proofErr w:type="spellEnd"/>
      <w:r>
        <w:t xml:space="preserve">, 2026; </w:t>
      </w:r>
      <w:proofErr w:type="spellStart"/>
      <w:r w:rsidRPr="000856B6">
        <w:t>Oyawaluja</w:t>
      </w:r>
      <w:proofErr w:type="spellEnd"/>
      <w:r>
        <w:t xml:space="preserve"> et al., 2024)</w:t>
      </w:r>
      <w:r w:rsidRPr="00F65CA6">
        <w:rPr>
          <w:rFonts w:ascii="Arial" w:hAnsi="Arial" w:cs="Arial"/>
        </w:rPr>
        <w:t xml:space="preserve">. Likewise, </w:t>
      </w:r>
      <w:r w:rsidRPr="00F65CA6">
        <w:rPr>
          <w:rFonts w:ascii="Arial" w:hAnsi="Arial" w:cs="Arial"/>
          <w:i/>
          <w:iCs/>
        </w:rPr>
        <w:t>Persea americana</w:t>
      </w:r>
      <w:r w:rsidRPr="00F65CA6">
        <w:rPr>
          <w:rFonts w:ascii="Arial" w:hAnsi="Arial" w:cs="Arial"/>
        </w:rPr>
        <w:t xml:space="preserve"> seeds, often considered agricultural waste, are also rich in phenolic compounds capable of modulating inflammation and oxidative stress</w:t>
      </w:r>
      <w:r>
        <w:rPr>
          <w:rFonts w:ascii="Arial" w:hAnsi="Arial" w:cs="Arial"/>
        </w:rPr>
        <w:t xml:space="preserve"> (</w:t>
      </w:r>
      <w:r w:rsidRPr="000856B6">
        <w:t>Lavanya</w:t>
      </w:r>
      <w:r>
        <w:t xml:space="preserve"> et al., 2026; </w:t>
      </w:r>
      <w:r w:rsidRPr="000A54A3">
        <w:t xml:space="preserve">Colombo </w:t>
      </w:r>
      <w:r>
        <w:t>and</w:t>
      </w:r>
      <w:r w:rsidRPr="000A54A3">
        <w:t xml:space="preserve"> Papetti</w:t>
      </w:r>
      <w:r>
        <w:t xml:space="preserve">, 2019; </w:t>
      </w:r>
      <w:r w:rsidRPr="000A54A3">
        <w:t>Bangar</w:t>
      </w:r>
      <w:r>
        <w:t xml:space="preserve"> et al., 2022, </w:t>
      </w:r>
      <w:proofErr w:type="spellStart"/>
      <w:r w:rsidR="00581C38">
        <w:t>Balogoun</w:t>
      </w:r>
      <w:proofErr w:type="spellEnd"/>
      <w:r>
        <w:t xml:space="preserve"> et al., 2025)</w:t>
      </w:r>
      <w:r w:rsidRPr="00F65CA6">
        <w:rPr>
          <w:rFonts w:ascii="Arial" w:hAnsi="Arial" w:cs="Arial"/>
        </w:rPr>
        <w:t>. Their utilization could therefore provide a natural therapeutic solution while reducing the environmental impact of waste.</w:t>
      </w:r>
    </w:p>
    <w:p w14:paraId="33132D51" w14:textId="77777777" w:rsidR="003D46B7" w:rsidRPr="00F65CA6" w:rsidRDefault="003D46B7" w:rsidP="003D46B7">
      <w:pPr>
        <w:spacing w:after="160"/>
        <w:jc w:val="both"/>
        <w:rPr>
          <w:rFonts w:ascii="Arial" w:hAnsi="Arial" w:cs="Arial"/>
        </w:rPr>
      </w:pPr>
      <w:r w:rsidRPr="00F65CA6">
        <w:rPr>
          <w:rFonts w:ascii="Arial" w:hAnsi="Arial" w:cs="Arial"/>
        </w:rPr>
        <w:t xml:space="preserve">Despite these data, few studies have directly demonstrated the anti-hemorrhoidal efficacy of </w:t>
      </w:r>
      <w:r w:rsidRPr="00F65CA6">
        <w:rPr>
          <w:rFonts w:ascii="Arial" w:hAnsi="Arial" w:cs="Arial"/>
          <w:i/>
          <w:iCs/>
        </w:rPr>
        <w:t>Nephrolepis biserrata</w:t>
      </w:r>
      <w:r w:rsidRPr="00F65CA6">
        <w:rPr>
          <w:rFonts w:ascii="Arial" w:hAnsi="Arial" w:cs="Arial"/>
        </w:rPr>
        <w:t xml:space="preserve"> and </w:t>
      </w:r>
      <w:r w:rsidRPr="00F65CA6">
        <w:rPr>
          <w:rFonts w:ascii="Arial" w:hAnsi="Arial" w:cs="Arial"/>
          <w:i/>
          <w:iCs/>
        </w:rPr>
        <w:t>Persea americana</w:t>
      </w:r>
      <w:r w:rsidRPr="00F65CA6">
        <w:rPr>
          <w:rFonts w:ascii="Arial" w:hAnsi="Arial" w:cs="Arial"/>
        </w:rPr>
        <w:t xml:space="preserve"> seeds, integrating clinical, biological, and histological parameters.</w:t>
      </w:r>
    </w:p>
    <w:p w14:paraId="6A682DA2" w14:textId="01BE43B0" w:rsidR="00B01FCD" w:rsidRDefault="003D46B7" w:rsidP="003D46B7">
      <w:pPr>
        <w:pStyle w:val="Body"/>
        <w:spacing w:after="0"/>
        <w:rPr>
          <w:rFonts w:ascii="Arial" w:hAnsi="Arial" w:cs="Arial"/>
        </w:rPr>
      </w:pPr>
      <w:r w:rsidRPr="00F65CA6">
        <w:rPr>
          <w:rFonts w:ascii="Arial" w:hAnsi="Arial" w:cs="Arial"/>
        </w:rPr>
        <w:t xml:space="preserve">This study aims to evaluate the anti-hemorrhoidal efficacy of extracts from </w:t>
      </w:r>
      <w:r w:rsidRPr="00F65CA6">
        <w:rPr>
          <w:rFonts w:ascii="Arial" w:hAnsi="Arial" w:cs="Arial"/>
          <w:i/>
          <w:iCs/>
        </w:rPr>
        <w:t>Persea americana</w:t>
      </w:r>
      <w:r w:rsidRPr="00F65CA6">
        <w:rPr>
          <w:rFonts w:ascii="Arial" w:hAnsi="Arial" w:cs="Arial"/>
        </w:rPr>
        <w:t xml:space="preserve"> seeds and </w:t>
      </w:r>
      <w:r w:rsidRPr="00F65CA6">
        <w:rPr>
          <w:rFonts w:ascii="Arial" w:hAnsi="Arial" w:cs="Arial"/>
          <w:i/>
          <w:iCs/>
        </w:rPr>
        <w:t>Nephrolepis biserrata</w:t>
      </w:r>
      <w:r w:rsidRPr="00F65CA6">
        <w:rPr>
          <w:rFonts w:ascii="Arial" w:hAnsi="Arial" w:cs="Arial"/>
        </w:rPr>
        <w:t xml:space="preserve"> in rats, with the goal of identifying a natural therapeutic alternative and valorizing an agro-food waste as a pharmacological resource.</w:t>
      </w:r>
    </w:p>
    <w:p w14:paraId="39AB8CDF" w14:textId="77777777" w:rsidR="00790ADA" w:rsidRPr="00FB3A86" w:rsidRDefault="00790ADA" w:rsidP="00441B6F">
      <w:pPr>
        <w:pStyle w:val="Body"/>
        <w:spacing w:after="0"/>
        <w:rPr>
          <w:rFonts w:ascii="Arial" w:hAnsi="Arial" w:cs="Arial"/>
        </w:rPr>
      </w:pPr>
    </w:p>
    <w:p w14:paraId="7AC03DA9" w14:textId="3730ACCE" w:rsidR="00790ADA" w:rsidRDefault="00902823" w:rsidP="00886EA4">
      <w:pPr>
        <w:pStyle w:val="AbstHead"/>
        <w:spacing w:after="0"/>
        <w:ind w:left="720"/>
        <w:jc w:val="both"/>
        <w:rPr>
          <w:rFonts w:ascii="Arial" w:hAnsi="Arial" w:cs="Arial"/>
        </w:rPr>
      </w:pPr>
      <w:r>
        <w:rPr>
          <w:rFonts w:ascii="Arial" w:hAnsi="Arial" w:cs="Arial"/>
        </w:rPr>
        <w:t>2. material and method</w:t>
      </w:r>
      <w:r w:rsidR="00000F8F">
        <w:rPr>
          <w:rFonts w:ascii="Arial" w:hAnsi="Arial" w:cs="Arial"/>
        </w:rPr>
        <w:t xml:space="preserve">s </w:t>
      </w:r>
    </w:p>
    <w:p w14:paraId="516EBC45" w14:textId="77777777" w:rsidR="00BE64DC" w:rsidRPr="00696A3E" w:rsidRDefault="00BE64DC" w:rsidP="00103AC6">
      <w:pPr>
        <w:jc w:val="both"/>
        <w:rPr>
          <w:rFonts w:ascii="Arial" w:hAnsi="Arial" w:cs="Arial"/>
          <w:b/>
          <w:bCs/>
          <w:sz w:val="22"/>
          <w:szCs w:val="22"/>
        </w:rPr>
      </w:pPr>
      <w:r w:rsidRPr="00696A3E">
        <w:rPr>
          <w:rFonts w:ascii="Arial" w:hAnsi="Arial" w:cs="Arial"/>
          <w:b/>
          <w:bCs/>
          <w:sz w:val="22"/>
          <w:szCs w:val="22"/>
        </w:rPr>
        <w:t>2.1. Materials</w:t>
      </w:r>
    </w:p>
    <w:p w14:paraId="20397959" w14:textId="77777777" w:rsidR="00BE64DC" w:rsidRPr="00696A3E" w:rsidRDefault="00BE64DC" w:rsidP="00103AC6">
      <w:pPr>
        <w:jc w:val="both"/>
        <w:rPr>
          <w:rFonts w:ascii="Arial" w:hAnsi="Arial" w:cs="Arial"/>
          <w:b/>
          <w:bCs/>
        </w:rPr>
      </w:pPr>
      <w:r w:rsidRPr="00696A3E">
        <w:rPr>
          <w:rFonts w:ascii="Arial" w:hAnsi="Arial" w:cs="Arial"/>
          <w:b/>
          <w:bCs/>
        </w:rPr>
        <w:t>2.1.1. Plant Materials</w:t>
      </w:r>
    </w:p>
    <w:p w14:paraId="57F1180F" w14:textId="77777777" w:rsidR="00BE64DC" w:rsidRPr="00696A3E" w:rsidRDefault="00BE64DC" w:rsidP="00103AC6">
      <w:pPr>
        <w:jc w:val="both"/>
        <w:rPr>
          <w:rFonts w:ascii="Arial" w:hAnsi="Arial" w:cs="Arial"/>
        </w:rPr>
      </w:pPr>
      <w:r w:rsidRPr="00696A3E">
        <w:rPr>
          <w:rFonts w:ascii="Arial" w:hAnsi="Arial" w:cs="Arial"/>
        </w:rPr>
        <w:t xml:space="preserve">The plant material consisted, on one hand, of avocado seeds collected from restaurants and local bread vendors in the city of </w:t>
      </w:r>
      <w:proofErr w:type="spellStart"/>
      <w:r w:rsidRPr="00696A3E">
        <w:rPr>
          <w:rFonts w:ascii="Arial" w:hAnsi="Arial" w:cs="Arial"/>
        </w:rPr>
        <w:t>Natitingou</w:t>
      </w:r>
      <w:proofErr w:type="spellEnd"/>
      <w:r w:rsidRPr="00696A3E">
        <w:rPr>
          <w:rFonts w:ascii="Arial" w:hAnsi="Arial" w:cs="Arial"/>
        </w:rPr>
        <w:t xml:space="preserve">, located in the </w:t>
      </w:r>
      <w:proofErr w:type="spellStart"/>
      <w:r w:rsidRPr="00696A3E">
        <w:rPr>
          <w:rFonts w:ascii="Arial" w:hAnsi="Arial" w:cs="Arial"/>
        </w:rPr>
        <w:t>Atacora</w:t>
      </w:r>
      <w:proofErr w:type="spellEnd"/>
      <w:r w:rsidRPr="00696A3E">
        <w:rPr>
          <w:rFonts w:ascii="Arial" w:hAnsi="Arial" w:cs="Arial"/>
        </w:rPr>
        <w:t xml:space="preserve"> department, Republic of Benin. On the other hand, the leaves of </w:t>
      </w:r>
      <w:proofErr w:type="spellStart"/>
      <w:r w:rsidRPr="00696A3E">
        <w:rPr>
          <w:rFonts w:ascii="Arial" w:hAnsi="Arial" w:cs="Arial"/>
          <w:i/>
          <w:iCs/>
        </w:rPr>
        <w:t>Nephrolepis</w:t>
      </w:r>
      <w:proofErr w:type="spellEnd"/>
      <w:r w:rsidRPr="00696A3E">
        <w:rPr>
          <w:rFonts w:ascii="Arial" w:hAnsi="Arial" w:cs="Arial"/>
          <w:i/>
          <w:iCs/>
        </w:rPr>
        <w:t xml:space="preserve"> </w:t>
      </w:r>
      <w:proofErr w:type="spellStart"/>
      <w:r w:rsidRPr="00696A3E">
        <w:rPr>
          <w:rFonts w:ascii="Arial" w:hAnsi="Arial" w:cs="Arial"/>
          <w:i/>
          <w:iCs/>
        </w:rPr>
        <w:t>biserrata</w:t>
      </w:r>
      <w:proofErr w:type="spellEnd"/>
      <w:r w:rsidRPr="00696A3E">
        <w:rPr>
          <w:rFonts w:ascii="Arial" w:hAnsi="Arial" w:cs="Arial"/>
        </w:rPr>
        <w:t xml:space="preserve"> were collected in the morning from palm trees in a plantation located in the commune of </w:t>
      </w:r>
      <w:proofErr w:type="spellStart"/>
      <w:r w:rsidRPr="00696A3E">
        <w:rPr>
          <w:rFonts w:ascii="Arial" w:hAnsi="Arial" w:cs="Arial"/>
        </w:rPr>
        <w:t>Pobè</w:t>
      </w:r>
      <w:proofErr w:type="spellEnd"/>
      <w:r w:rsidRPr="00696A3E">
        <w:rPr>
          <w:rFonts w:ascii="Arial" w:hAnsi="Arial" w:cs="Arial"/>
        </w:rPr>
        <w:t>, Republic of Benin.</w:t>
      </w:r>
    </w:p>
    <w:p w14:paraId="5734D14A" w14:textId="77777777" w:rsidR="00BE64DC" w:rsidRPr="00696A3E" w:rsidRDefault="00BE64DC" w:rsidP="00103AC6">
      <w:pPr>
        <w:jc w:val="both"/>
        <w:rPr>
          <w:rFonts w:ascii="Arial" w:hAnsi="Arial" w:cs="Arial"/>
          <w:b/>
          <w:bCs/>
        </w:rPr>
      </w:pPr>
      <w:r w:rsidRPr="00696A3E">
        <w:rPr>
          <w:rFonts w:ascii="Arial" w:hAnsi="Arial" w:cs="Arial"/>
          <w:b/>
          <w:bCs/>
        </w:rPr>
        <w:t>2.1.2. Chemical materials</w:t>
      </w:r>
    </w:p>
    <w:p w14:paraId="204DD58F" w14:textId="77777777" w:rsidR="00BE64DC" w:rsidRPr="00696A3E" w:rsidRDefault="00BE64DC" w:rsidP="00103AC6">
      <w:pPr>
        <w:jc w:val="both"/>
        <w:rPr>
          <w:rFonts w:ascii="Arial" w:hAnsi="Arial" w:cs="Arial"/>
        </w:rPr>
      </w:pPr>
      <w:r w:rsidRPr="00696A3E">
        <w:rPr>
          <w:rFonts w:ascii="Arial" w:hAnsi="Arial" w:cs="Arial"/>
        </w:rPr>
        <w:t xml:space="preserve">The chemical materials specifically included methanol, ethanol, hydrochloric acid, gallic acid, and quercetin, supplied by Sigma-Aldrich and </w:t>
      </w:r>
      <w:proofErr w:type="spellStart"/>
      <w:r w:rsidRPr="00696A3E">
        <w:rPr>
          <w:rFonts w:ascii="Arial" w:hAnsi="Arial" w:cs="Arial"/>
        </w:rPr>
        <w:t>Acros</w:t>
      </w:r>
      <w:proofErr w:type="spellEnd"/>
      <w:r w:rsidRPr="00696A3E">
        <w:rPr>
          <w:rFonts w:ascii="Arial" w:hAnsi="Arial" w:cs="Arial"/>
        </w:rPr>
        <w:t xml:space="preserve"> Organics. Various types of laboratory glassware were also used throughout the experiment.</w:t>
      </w:r>
    </w:p>
    <w:p w14:paraId="650681F9" w14:textId="77777777" w:rsidR="00BE64DC" w:rsidRPr="00696A3E" w:rsidRDefault="00BE64DC" w:rsidP="00103AC6">
      <w:pPr>
        <w:jc w:val="both"/>
        <w:rPr>
          <w:rFonts w:ascii="Arial" w:hAnsi="Arial" w:cs="Arial"/>
          <w:b/>
          <w:bCs/>
        </w:rPr>
      </w:pPr>
      <w:r w:rsidRPr="00696A3E">
        <w:rPr>
          <w:rFonts w:ascii="Arial" w:hAnsi="Arial" w:cs="Arial"/>
          <w:b/>
          <w:bCs/>
        </w:rPr>
        <w:t>2.1.3. Animal material</w:t>
      </w:r>
    </w:p>
    <w:p w14:paraId="45B5220C" w14:textId="17C8B7A7" w:rsidR="00BE64DC" w:rsidRPr="00696A3E" w:rsidRDefault="00BE64DC" w:rsidP="00103AC6">
      <w:pPr>
        <w:jc w:val="both"/>
        <w:rPr>
          <w:rFonts w:ascii="Arial" w:hAnsi="Arial" w:cs="Arial"/>
        </w:rPr>
      </w:pPr>
      <w:r w:rsidRPr="00696A3E">
        <w:rPr>
          <w:rFonts w:ascii="Arial" w:hAnsi="Arial" w:cs="Arial"/>
        </w:rPr>
        <w:t>The animal material consisted of thirty-five (35) Wistar albino rats with an average body weight of 130 g. These rats were randomly divided into seven (7) groups of five rats each and housed in standard cages for a two-week acclimatization period prior to experimentation. They were maintained at a constant temperature of 22 ± 2°C and subjected to a 12 h light/12 h dark cycle in the animal facility of the Research Unit in Applied Microbiology and Pharmacology of Natural Substances, University of Abomey-</w:t>
      </w:r>
      <w:proofErr w:type="spellStart"/>
      <w:r w:rsidRPr="00696A3E">
        <w:rPr>
          <w:rFonts w:ascii="Arial" w:hAnsi="Arial" w:cs="Arial"/>
        </w:rPr>
        <w:t>Calavi</w:t>
      </w:r>
      <w:proofErr w:type="spellEnd"/>
      <w:r w:rsidR="003C62CF">
        <w:rPr>
          <w:rFonts w:ascii="Arial" w:hAnsi="Arial" w:cs="Arial"/>
        </w:rPr>
        <w:t xml:space="preserve"> </w:t>
      </w:r>
      <w:r w:rsidR="003C62CF" w:rsidRPr="003C62CF">
        <w:rPr>
          <w:rFonts w:ascii="Arial" w:hAnsi="Arial" w:cs="Arial"/>
        </w:rPr>
        <w:t>(</w:t>
      </w:r>
      <w:proofErr w:type="spellStart"/>
      <w:r w:rsidR="003C62CF" w:rsidRPr="003C62CF">
        <w:rPr>
          <w:rFonts w:ascii="Arial" w:hAnsi="Arial" w:cs="Arial"/>
        </w:rPr>
        <w:t>Fagbohoun</w:t>
      </w:r>
      <w:proofErr w:type="spellEnd"/>
      <w:r w:rsidR="003C62CF" w:rsidRPr="003C62CF">
        <w:rPr>
          <w:rFonts w:ascii="Arial" w:hAnsi="Arial" w:cs="Arial"/>
        </w:rPr>
        <w:t xml:space="preserve"> et al., 2026)</w:t>
      </w:r>
      <w:r w:rsidR="003C62CF">
        <w:rPr>
          <w:rFonts w:ascii="Arial" w:hAnsi="Arial" w:cs="Arial"/>
        </w:rPr>
        <w:t>.</w:t>
      </w:r>
    </w:p>
    <w:p w14:paraId="50E7F21C" w14:textId="77777777" w:rsidR="00BE64DC" w:rsidRPr="00696A3E" w:rsidRDefault="00BE64DC" w:rsidP="00103AC6">
      <w:pPr>
        <w:jc w:val="both"/>
        <w:rPr>
          <w:rFonts w:ascii="Arial" w:hAnsi="Arial" w:cs="Arial"/>
          <w:b/>
          <w:bCs/>
          <w:sz w:val="22"/>
          <w:szCs w:val="22"/>
        </w:rPr>
      </w:pPr>
      <w:r w:rsidRPr="00696A3E">
        <w:rPr>
          <w:rFonts w:ascii="Arial" w:hAnsi="Arial" w:cs="Arial"/>
          <w:b/>
          <w:bCs/>
          <w:sz w:val="22"/>
          <w:szCs w:val="22"/>
        </w:rPr>
        <w:t>2.2. Methods</w:t>
      </w:r>
    </w:p>
    <w:p w14:paraId="6D400E83" w14:textId="177D723B" w:rsidR="00BE64DC" w:rsidRPr="00696A3E" w:rsidRDefault="00BE64DC" w:rsidP="00103AC6">
      <w:pPr>
        <w:jc w:val="both"/>
        <w:rPr>
          <w:rFonts w:ascii="Arial" w:hAnsi="Arial" w:cs="Arial"/>
          <w:b/>
          <w:bCs/>
        </w:rPr>
      </w:pPr>
      <w:r w:rsidRPr="00696A3E">
        <w:rPr>
          <w:rFonts w:ascii="Arial" w:hAnsi="Arial" w:cs="Arial"/>
          <w:b/>
          <w:bCs/>
        </w:rPr>
        <w:t>2.2.1. Preparation and chemical analysis of extracts</w:t>
      </w:r>
      <w:r w:rsidR="003C62CF">
        <w:rPr>
          <w:rFonts w:ascii="Arial" w:hAnsi="Arial" w:cs="Arial"/>
          <w:b/>
          <w:bCs/>
        </w:rPr>
        <w:t xml:space="preserve"> </w:t>
      </w:r>
      <w:r w:rsidR="003C62CF" w:rsidRPr="003C62CF">
        <w:rPr>
          <w:rFonts w:ascii="Arial" w:hAnsi="Arial" w:cs="Arial"/>
          <w:b/>
          <w:bCs/>
        </w:rPr>
        <w:t>(</w:t>
      </w:r>
      <w:proofErr w:type="spellStart"/>
      <w:r w:rsidR="003C62CF" w:rsidRPr="003C62CF">
        <w:rPr>
          <w:rFonts w:ascii="Arial" w:hAnsi="Arial" w:cs="Arial"/>
          <w:b/>
          <w:bCs/>
        </w:rPr>
        <w:t>Fagbohoun</w:t>
      </w:r>
      <w:proofErr w:type="spellEnd"/>
      <w:r w:rsidR="003C62CF" w:rsidRPr="003C62CF">
        <w:rPr>
          <w:rFonts w:ascii="Arial" w:hAnsi="Arial" w:cs="Arial"/>
          <w:b/>
          <w:bCs/>
        </w:rPr>
        <w:t xml:space="preserve"> et al., 2026)</w:t>
      </w:r>
    </w:p>
    <w:p w14:paraId="4D799879" w14:textId="77777777" w:rsidR="00BE64DC" w:rsidRPr="00696A3E" w:rsidRDefault="00BE64DC" w:rsidP="00103AC6">
      <w:pPr>
        <w:jc w:val="both"/>
        <w:rPr>
          <w:rFonts w:ascii="Arial" w:hAnsi="Arial" w:cs="Arial"/>
          <w:i/>
          <w:iCs/>
        </w:rPr>
      </w:pPr>
      <w:r w:rsidRPr="00696A3E">
        <w:rPr>
          <w:rFonts w:ascii="Arial" w:hAnsi="Arial" w:cs="Arial"/>
          <w:i/>
          <w:iCs/>
        </w:rPr>
        <w:t>2.2.1.1. Powder preparation</w:t>
      </w:r>
    </w:p>
    <w:p w14:paraId="4CDB2E8D" w14:textId="2CFC4DB8" w:rsidR="00BE64DC" w:rsidRPr="00696A3E" w:rsidRDefault="00BE64DC" w:rsidP="00103AC6">
      <w:pPr>
        <w:jc w:val="both"/>
        <w:rPr>
          <w:rFonts w:ascii="Arial" w:hAnsi="Arial" w:cs="Arial"/>
        </w:rPr>
      </w:pPr>
      <w:r w:rsidRPr="00696A3E">
        <w:rPr>
          <w:rFonts w:ascii="Arial" w:hAnsi="Arial" w:cs="Arial"/>
        </w:rPr>
        <w:t>The seeds were removed from their outer coverings. The dehulled seeds were thoroughly washed, crushed, and dried in an oven at 40°C for 7 days (</w:t>
      </w:r>
      <w:proofErr w:type="spellStart"/>
      <w:r w:rsidRPr="00696A3E">
        <w:rPr>
          <w:rFonts w:ascii="Arial" w:hAnsi="Arial" w:cs="Arial"/>
        </w:rPr>
        <w:t>Sakirigui</w:t>
      </w:r>
      <w:proofErr w:type="spellEnd"/>
      <w:r w:rsidRPr="00696A3E">
        <w:rPr>
          <w:rFonts w:ascii="Arial" w:hAnsi="Arial" w:cs="Arial"/>
        </w:rPr>
        <w:t xml:space="preserve"> et al., 202</w:t>
      </w:r>
      <w:r>
        <w:rPr>
          <w:rFonts w:ascii="Arial" w:hAnsi="Arial" w:cs="Arial"/>
        </w:rPr>
        <w:t>0</w:t>
      </w:r>
      <w:r w:rsidRPr="00696A3E">
        <w:rPr>
          <w:rFonts w:ascii="Arial" w:hAnsi="Arial" w:cs="Arial"/>
        </w:rPr>
        <w:t xml:space="preserve">). The leaves of </w:t>
      </w:r>
      <w:proofErr w:type="spellStart"/>
      <w:r w:rsidRPr="00696A3E">
        <w:rPr>
          <w:rFonts w:ascii="Arial" w:hAnsi="Arial" w:cs="Arial"/>
          <w:i/>
          <w:iCs/>
        </w:rPr>
        <w:t>Nephrolepis</w:t>
      </w:r>
      <w:proofErr w:type="spellEnd"/>
      <w:r w:rsidRPr="00696A3E">
        <w:rPr>
          <w:rFonts w:ascii="Arial" w:hAnsi="Arial" w:cs="Arial"/>
          <w:i/>
          <w:iCs/>
        </w:rPr>
        <w:t xml:space="preserve"> </w:t>
      </w:r>
      <w:proofErr w:type="spellStart"/>
      <w:r w:rsidRPr="00696A3E">
        <w:rPr>
          <w:rFonts w:ascii="Arial" w:hAnsi="Arial" w:cs="Arial"/>
          <w:i/>
          <w:iCs/>
        </w:rPr>
        <w:t>biserrata</w:t>
      </w:r>
      <w:proofErr w:type="spellEnd"/>
      <w:r w:rsidRPr="00696A3E">
        <w:rPr>
          <w:rFonts w:ascii="Arial" w:hAnsi="Arial" w:cs="Arial"/>
        </w:rPr>
        <w:t xml:space="preserve"> were carefully washed and then air-dried at room temperature for 7 days.  The dried vegetal material w</w:t>
      </w:r>
      <w:r w:rsidR="003164E1">
        <w:rPr>
          <w:rFonts w:ascii="Arial" w:hAnsi="Arial" w:cs="Arial"/>
        </w:rPr>
        <w:t>as</w:t>
      </w:r>
      <w:r w:rsidRPr="00696A3E">
        <w:rPr>
          <w:rFonts w:ascii="Arial" w:hAnsi="Arial" w:cs="Arial"/>
        </w:rPr>
        <w:t xml:space="preserve"> then finely ground using an electric grinder. The resulting powder was sieved and stored in glass containers protected from moisture until further use.</w:t>
      </w:r>
    </w:p>
    <w:p w14:paraId="0F95B3D6" w14:textId="77777777" w:rsidR="00BE64DC" w:rsidRPr="00696A3E" w:rsidRDefault="00BE64DC" w:rsidP="00103AC6">
      <w:pPr>
        <w:jc w:val="both"/>
        <w:rPr>
          <w:rFonts w:ascii="Arial" w:hAnsi="Arial" w:cs="Arial"/>
          <w:i/>
          <w:iCs/>
        </w:rPr>
      </w:pPr>
      <w:r w:rsidRPr="00696A3E">
        <w:rPr>
          <w:rFonts w:ascii="Arial" w:hAnsi="Arial" w:cs="Arial"/>
          <w:i/>
          <w:iCs/>
        </w:rPr>
        <w:t>2.2.1.2. Preparation of extracts</w:t>
      </w:r>
    </w:p>
    <w:p w14:paraId="7D20DFB2" w14:textId="77777777" w:rsidR="00BE64DC" w:rsidRPr="00696A3E" w:rsidRDefault="00BE64DC" w:rsidP="00103AC6">
      <w:pPr>
        <w:jc w:val="both"/>
        <w:rPr>
          <w:rFonts w:ascii="Arial" w:hAnsi="Arial" w:cs="Arial"/>
        </w:rPr>
      </w:pPr>
      <w:r w:rsidRPr="00696A3E">
        <w:rPr>
          <w:rFonts w:ascii="Arial" w:hAnsi="Arial" w:cs="Arial"/>
        </w:rPr>
        <w:t>Sixty grams (60 g) of each powder were mixed with 600 mL of a water/ethanol (96%) solution in a 30 :70 ratios, with the water preheated to 100°C. This method has previously demonstrated efficiency in optimizing the extraction of bioactive compounds</w:t>
      </w:r>
      <w:r>
        <w:rPr>
          <w:rFonts w:ascii="Arial" w:hAnsi="Arial" w:cs="Arial"/>
        </w:rPr>
        <w:t xml:space="preserve"> </w:t>
      </w:r>
      <w:r w:rsidRPr="00696A3E">
        <w:rPr>
          <w:rFonts w:ascii="Arial" w:hAnsi="Arial" w:cs="Arial"/>
        </w:rPr>
        <w:t>(</w:t>
      </w:r>
      <w:proofErr w:type="spellStart"/>
      <w:r w:rsidRPr="00696A3E">
        <w:rPr>
          <w:rFonts w:ascii="Arial" w:hAnsi="Arial" w:cs="Arial"/>
        </w:rPr>
        <w:t>Sakirigui</w:t>
      </w:r>
      <w:proofErr w:type="spellEnd"/>
      <w:r w:rsidRPr="00696A3E">
        <w:rPr>
          <w:rFonts w:ascii="Arial" w:hAnsi="Arial" w:cs="Arial"/>
        </w:rPr>
        <w:t xml:space="preserve"> et al., 202</w:t>
      </w:r>
      <w:r>
        <w:rPr>
          <w:rFonts w:ascii="Arial" w:hAnsi="Arial" w:cs="Arial"/>
        </w:rPr>
        <w:t>5</w:t>
      </w:r>
      <w:r w:rsidRPr="00696A3E">
        <w:rPr>
          <w:rFonts w:ascii="Arial" w:hAnsi="Arial" w:cs="Arial"/>
        </w:rPr>
        <w:t>).</w:t>
      </w:r>
    </w:p>
    <w:p w14:paraId="7132B063" w14:textId="77777777" w:rsidR="00BE64DC" w:rsidRPr="00696A3E" w:rsidRDefault="00BE64DC" w:rsidP="00103AC6">
      <w:pPr>
        <w:jc w:val="both"/>
        <w:rPr>
          <w:rFonts w:ascii="Arial" w:hAnsi="Arial" w:cs="Arial"/>
        </w:rPr>
      </w:pPr>
      <w:r w:rsidRPr="00696A3E">
        <w:rPr>
          <w:rFonts w:ascii="Arial" w:hAnsi="Arial" w:cs="Arial"/>
        </w:rPr>
        <w:t>After agitation and homogenization, the mixture was filtered using Whatman filter paper. The filtrate was concentrated using a rotary evaporator at 45–50°C under reduced pressure with the aid of a vacuum pump. Final drying was carried out in an oven at 35°C for 72 hours. The dry extract obtained was stored at 4°C in a refrigerator.</w:t>
      </w:r>
    </w:p>
    <w:p w14:paraId="40A5C891" w14:textId="2984C9ED" w:rsidR="00BE64DC" w:rsidRPr="00093408" w:rsidRDefault="00BE64DC" w:rsidP="00103AC6">
      <w:pPr>
        <w:jc w:val="both"/>
        <w:rPr>
          <w:rFonts w:ascii="Arial" w:hAnsi="Arial" w:cs="Arial"/>
          <w:i/>
          <w:iCs/>
        </w:rPr>
      </w:pPr>
      <w:r w:rsidRPr="00093408">
        <w:rPr>
          <w:rFonts w:ascii="Arial" w:hAnsi="Arial" w:cs="Arial"/>
          <w:i/>
          <w:iCs/>
        </w:rPr>
        <w:t>2.2.1.</w:t>
      </w:r>
      <w:r w:rsidR="002B5B8F">
        <w:rPr>
          <w:rFonts w:ascii="Arial" w:hAnsi="Arial" w:cs="Arial"/>
          <w:i/>
          <w:iCs/>
        </w:rPr>
        <w:t>3</w:t>
      </w:r>
      <w:r w:rsidRPr="00093408">
        <w:rPr>
          <w:rFonts w:ascii="Arial" w:hAnsi="Arial" w:cs="Arial"/>
          <w:i/>
          <w:iCs/>
        </w:rPr>
        <w:t xml:space="preserve">. Qualitative phytochemical screening of hydroethanolic extract of N. </w:t>
      </w:r>
      <w:proofErr w:type="spellStart"/>
      <w:r w:rsidRPr="00093408">
        <w:rPr>
          <w:rFonts w:ascii="Arial" w:hAnsi="Arial" w:cs="Arial"/>
          <w:i/>
          <w:iCs/>
        </w:rPr>
        <w:t>biserrata</w:t>
      </w:r>
      <w:proofErr w:type="spellEnd"/>
    </w:p>
    <w:p w14:paraId="330C2D3B" w14:textId="77777777" w:rsidR="00BE64DC" w:rsidRPr="00696A3E" w:rsidRDefault="00BE64DC" w:rsidP="00103AC6">
      <w:pPr>
        <w:jc w:val="both"/>
        <w:rPr>
          <w:rFonts w:ascii="Arial" w:hAnsi="Arial" w:cs="Arial"/>
        </w:rPr>
      </w:pPr>
      <w:r w:rsidRPr="00696A3E">
        <w:rPr>
          <w:rFonts w:ascii="Arial" w:hAnsi="Arial" w:cs="Arial"/>
        </w:rPr>
        <w:lastRenderedPageBreak/>
        <w:t>Qualitative phytochemical screening was performed based on colorimetric and precipitation reactions. The tests were carried out directly on the hydroethanolic extract of each powder according to the method described by Houghton and Raman (1998).</w:t>
      </w:r>
    </w:p>
    <w:p w14:paraId="75300001" w14:textId="40B07473" w:rsidR="00BE64DC" w:rsidRPr="00093408" w:rsidRDefault="00BE64DC" w:rsidP="00103AC6">
      <w:pPr>
        <w:jc w:val="both"/>
        <w:rPr>
          <w:rFonts w:ascii="Arial" w:hAnsi="Arial" w:cs="Arial"/>
          <w:i/>
          <w:iCs/>
        </w:rPr>
      </w:pPr>
      <w:r w:rsidRPr="00093408">
        <w:rPr>
          <w:rFonts w:ascii="Arial" w:hAnsi="Arial" w:cs="Arial"/>
          <w:i/>
          <w:iCs/>
        </w:rPr>
        <w:t>2.2.1.</w:t>
      </w:r>
      <w:r w:rsidR="002B5B8F">
        <w:rPr>
          <w:rFonts w:ascii="Arial" w:hAnsi="Arial" w:cs="Arial"/>
          <w:i/>
          <w:iCs/>
        </w:rPr>
        <w:t>4</w:t>
      </w:r>
      <w:r w:rsidRPr="00093408">
        <w:rPr>
          <w:rFonts w:ascii="Arial" w:hAnsi="Arial" w:cs="Arial"/>
          <w:i/>
          <w:iCs/>
        </w:rPr>
        <w:t xml:space="preserve">. Quantitative phytochemical screening of extracts </w:t>
      </w:r>
    </w:p>
    <w:p w14:paraId="4D7D22D2" w14:textId="77777777" w:rsidR="00BE64DC" w:rsidRPr="00696A3E" w:rsidRDefault="00BE64DC" w:rsidP="00103AC6">
      <w:pPr>
        <w:jc w:val="both"/>
        <w:rPr>
          <w:rFonts w:ascii="Arial" w:hAnsi="Arial" w:cs="Arial"/>
        </w:rPr>
      </w:pPr>
      <w:r w:rsidRPr="00696A3E">
        <w:rPr>
          <w:rFonts w:ascii="Arial" w:hAnsi="Arial" w:cs="Arial"/>
        </w:rPr>
        <w:t>Quantitative phytochemical analyses were performed according to the method of Harborne (1984), adapted to our laboratory conditions.</w:t>
      </w:r>
    </w:p>
    <w:p w14:paraId="54ADA0E3" w14:textId="060F0EB7" w:rsidR="00BE64DC" w:rsidRPr="00093408" w:rsidRDefault="00BE64DC" w:rsidP="00103AC6">
      <w:pPr>
        <w:jc w:val="both"/>
        <w:rPr>
          <w:rFonts w:ascii="Arial" w:hAnsi="Arial" w:cs="Arial"/>
          <w:i/>
          <w:iCs/>
        </w:rPr>
      </w:pPr>
      <w:r w:rsidRPr="00093408">
        <w:rPr>
          <w:rFonts w:ascii="Arial" w:hAnsi="Arial" w:cs="Arial"/>
          <w:i/>
          <w:iCs/>
        </w:rPr>
        <w:t>2.2.1.</w:t>
      </w:r>
      <w:r w:rsidR="002B5B8F">
        <w:rPr>
          <w:rFonts w:ascii="Arial" w:hAnsi="Arial" w:cs="Arial"/>
          <w:i/>
          <w:iCs/>
        </w:rPr>
        <w:t>4</w:t>
      </w:r>
      <w:r w:rsidRPr="00093408">
        <w:rPr>
          <w:rFonts w:ascii="Arial" w:hAnsi="Arial" w:cs="Arial"/>
          <w:i/>
          <w:iCs/>
        </w:rPr>
        <w:t>.1. Determination of total polyphenols</w:t>
      </w:r>
    </w:p>
    <w:p w14:paraId="24021310" w14:textId="616AAC77" w:rsidR="00BE64DC" w:rsidRPr="009C1FD2" w:rsidRDefault="00BE64DC" w:rsidP="00103AC6">
      <w:pPr>
        <w:jc w:val="both"/>
        <w:rPr>
          <w:rFonts w:ascii="Arial" w:hAnsi="Arial" w:cs="Arial"/>
        </w:rPr>
      </w:pPr>
      <w:r w:rsidRPr="00696A3E">
        <w:rPr>
          <w:rFonts w:ascii="Arial" w:hAnsi="Arial" w:cs="Arial"/>
        </w:rPr>
        <w:t xml:space="preserve">Total polyphenol content was determined using the </w:t>
      </w:r>
      <w:proofErr w:type="spellStart"/>
      <w:r w:rsidRPr="00696A3E">
        <w:rPr>
          <w:rFonts w:ascii="Arial" w:hAnsi="Arial" w:cs="Arial"/>
        </w:rPr>
        <w:t>Folin</w:t>
      </w:r>
      <w:proofErr w:type="spellEnd"/>
      <w:r w:rsidRPr="00696A3E">
        <w:rPr>
          <w:rFonts w:ascii="Arial" w:hAnsi="Arial" w:cs="Arial"/>
        </w:rPr>
        <w:t>–</w:t>
      </w:r>
      <w:proofErr w:type="spellStart"/>
      <w:r w:rsidRPr="00696A3E">
        <w:rPr>
          <w:rFonts w:ascii="Arial" w:hAnsi="Arial" w:cs="Arial"/>
        </w:rPr>
        <w:t>Ciocalteu</w:t>
      </w:r>
      <w:proofErr w:type="spellEnd"/>
      <w:r w:rsidRPr="00696A3E">
        <w:rPr>
          <w:rFonts w:ascii="Arial" w:hAnsi="Arial" w:cs="Arial"/>
        </w:rPr>
        <w:t xml:space="preserve"> colorimetric method. This reagent is reduced during the oxidation of phenolic compounds into a mixture of blue oxides of tungsten and molybdenum. The resulting blue </w:t>
      </w:r>
      <w:proofErr w:type="spellStart"/>
      <w:r w:rsidRPr="00696A3E">
        <w:rPr>
          <w:rFonts w:ascii="Arial" w:hAnsi="Arial" w:cs="Arial"/>
        </w:rPr>
        <w:t>colo</w:t>
      </w:r>
      <w:r w:rsidR="003164E1">
        <w:rPr>
          <w:rFonts w:ascii="Arial" w:hAnsi="Arial" w:cs="Arial"/>
        </w:rPr>
        <w:t>u</w:t>
      </w:r>
      <w:r w:rsidRPr="00696A3E">
        <w:rPr>
          <w:rFonts w:ascii="Arial" w:hAnsi="Arial" w:cs="Arial"/>
        </w:rPr>
        <w:t>ration</w:t>
      </w:r>
      <w:proofErr w:type="spellEnd"/>
      <w:r w:rsidRPr="00696A3E">
        <w:rPr>
          <w:rFonts w:ascii="Arial" w:hAnsi="Arial" w:cs="Arial"/>
        </w:rPr>
        <w:t xml:space="preserve"> shows maximum absorbance around 750 nm. The absorbance, compared to a standard calibration curve obtained with gallic acid, allowed the quantification of total phenolic content expressed as mg gallic acid equivalents per gram of extract (mg GAE/g</w:t>
      </w:r>
      <w:r w:rsidRPr="009C1FD2">
        <w:rPr>
          <w:rFonts w:ascii="Arial" w:hAnsi="Arial" w:cs="Arial"/>
        </w:rPr>
        <w:t>) (</w:t>
      </w:r>
      <w:proofErr w:type="spellStart"/>
      <w:r w:rsidRPr="009C1FD2">
        <w:rPr>
          <w:rFonts w:ascii="Arial" w:hAnsi="Arial" w:cs="Arial"/>
        </w:rPr>
        <w:t>Fagbohoun</w:t>
      </w:r>
      <w:proofErr w:type="spellEnd"/>
      <w:r w:rsidRPr="009C1FD2">
        <w:rPr>
          <w:rFonts w:ascii="Arial" w:hAnsi="Arial" w:cs="Arial"/>
        </w:rPr>
        <w:t>, 2014).</w:t>
      </w:r>
    </w:p>
    <w:p w14:paraId="7EA2042E" w14:textId="3F3341EB" w:rsidR="00BE64DC" w:rsidRPr="00093408" w:rsidRDefault="00BE64DC" w:rsidP="00103AC6">
      <w:pPr>
        <w:jc w:val="both"/>
        <w:rPr>
          <w:rFonts w:ascii="Arial" w:hAnsi="Arial" w:cs="Arial"/>
          <w:i/>
          <w:iCs/>
        </w:rPr>
      </w:pPr>
      <w:r w:rsidRPr="00093408">
        <w:rPr>
          <w:rFonts w:ascii="Arial" w:hAnsi="Arial" w:cs="Arial"/>
          <w:i/>
          <w:iCs/>
        </w:rPr>
        <w:t>2.2.1.</w:t>
      </w:r>
      <w:r w:rsidR="002B5B8F">
        <w:rPr>
          <w:rFonts w:ascii="Arial" w:hAnsi="Arial" w:cs="Arial"/>
          <w:i/>
          <w:iCs/>
        </w:rPr>
        <w:t>4</w:t>
      </w:r>
      <w:r w:rsidRPr="00093408">
        <w:rPr>
          <w:rFonts w:ascii="Arial" w:hAnsi="Arial" w:cs="Arial"/>
          <w:i/>
          <w:iCs/>
        </w:rPr>
        <w:t>.2. Determination of total flavonoids</w:t>
      </w:r>
    </w:p>
    <w:p w14:paraId="288761D5" w14:textId="77777777" w:rsidR="00BE64DC" w:rsidRPr="00696A3E" w:rsidRDefault="00BE64DC" w:rsidP="00103AC6">
      <w:pPr>
        <w:jc w:val="both"/>
        <w:rPr>
          <w:rFonts w:ascii="Arial" w:hAnsi="Arial" w:cs="Arial"/>
        </w:rPr>
      </w:pPr>
      <w:r w:rsidRPr="00696A3E">
        <w:rPr>
          <w:rFonts w:ascii="Arial" w:hAnsi="Arial" w:cs="Arial"/>
        </w:rPr>
        <w:t>Total flavonoid content was estimated using the aluminum chloride (</w:t>
      </w:r>
      <w:proofErr w:type="spellStart"/>
      <w:r w:rsidRPr="00696A3E">
        <w:rPr>
          <w:rFonts w:ascii="Arial" w:hAnsi="Arial" w:cs="Arial"/>
        </w:rPr>
        <w:t>AlCl</w:t>
      </w:r>
      <w:proofErr w:type="spellEnd"/>
      <w:r w:rsidRPr="00696A3E">
        <w:rPr>
          <w:rFonts w:ascii="Cambria Math" w:hAnsi="Cambria Math" w:cs="Cambria Math"/>
        </w:rPr>
        <w:t>₃</w:t>
      </w:r>
      <w:r w:rsidRPr="00696A3E">
        <w:rPr>
          <w:rFonts w:ascii="Arial" w:hAnsi="Arial" w:cs="Arial"/>
        </w:rPr>
        <w:t xml:space="preserve">) method. Quercetin was used as the reference compound for establishing the calibration </w:t>
      </w:r>
      <w:r w:rsidRPr="009C1FD2">
        <w:rPr>
          <w:rFonts w:ascii="Arial" w:hAnsi="Arial" w:cs="Arial"/>
        </w:rPr>
        <w:t>curve (Fagbohoun, 2014).</w:t>
      </w:r>
    </w:p>
    <w:p w14:paraId="6CC0EB70" w14:textId="77777777" w:rsidR="00BE64DC" w:rsidRPr="00696A3E" w:rsidRDefault="00BE64DC" w:rsidP="00103AC6">
      <w:pPr>
        <w:jc w:val="both"/>
        <w:rPr>
          <w:rFonts w:ascii="Arial" w:hAnsi="Arial" w:cs="Arial"/>
        </w:rPr>
      </w:pPr>
      <w:r w:rsidRPr="00696A3E">
        <w:rPr>
          <w:rFonts w:ascii="Arial" w:hAnsi="Arial" w:cs="Arial"/>
        </w:rPr>
        <w:t xml:space="preserve">Polyphenol and flavonoid contents were calculated using the following </w:t>
      </w:r>
      <w:proofErr w:type="gramStart"/>
      <w:r w:rsidRPr="00696A3E">
        <w:rPr>
          <w:rFonts w:ascii="Arial" w:hAnsi="Arial" w:cs="Arial"/>
        </w:rPr>
        <w:t>formula :</w:t>
      </w:r>
      <w:proofErr w:type="gramEnd"/>
      <w:r w:rsidRPr="00696A3E">
        <w:rPr>
          <w:rFonts w:ascii="Arial" w:hAnsi="Arial" w:cs="Arial"/>
        </w:rPr>
        <w:t xml:space="preserve"> T = (C × </w:t>
      </w:r>
      <w:proofErr w:type="spellStart"/>
      <w:r w:rsidRPr="00696A3E">
        <w:rPr>
          <w:rFonts w:ascii="Arial" w:hAnsi="Arial" w:cs="Arial"/>
        </w:rPr>
        <w:t>Vr</w:t>
      </w:r>
      <w:proofErr w:type="spellEnd"/>
      <w:r w:rsidRPr="00696A3E">
        <w:rPr>
          <w:rFonts w:ascii="Arial" w:hAnsi="Arial" w:cs="Arial"/>
        </w:rPr>
        <w:t>) / (</w:t>
      </w:r>
      <w:proofErr w:type="spellStart"/>
      <w:r w:rsidRPr="00696A3E">
        <w:rPr>
          <w:rFonts w:ascii="Arial" w:hAnsi="Arial" w:cs="Arial"/>
        </w:rPr>
        <w:t>Vp</w:t>
      </w:r>
      <w:proofErr w:type="spellEnd"/>
      <w:r w:rsidRPr="00696A3E">
        <w:rPr>
          <w:rFonts w:ascii="Arial" w:hAnsi="Arial" w:cs="Arial"/>
        </w:rPr>
        <w:t xml:space="preserve"> × Cp)</w:t>
      </w:r>
    </w:p>
    <w:p w14:paraId="40151755" w14:textId="7F18470D" w:rsidR="00BE64DC" w:rsidRPr="00696A3E" w:rsidRDefault="00BE64DC" w:rsidP="00103AC6">
      <w:pPr>
        <w:tabs>
          <w:tab w:val="num" w:pos="720"/>
        </w:tabs>
        <w:jc w:val="both"/>
        <w:rPr>
          <w:rFonts w:ascii="Arial" w:hAnsi="Arial" w:cs="Arial"/>
        </w:rPr>
      </w:pPr>
      <w:proofErr w:type="gramStart"/>
      <w:r w:rsidRPr="00696A3E">
        <w:rPr>
          <w:rFonts w:ascii="Arial" w:hAnsi="Arial" w:cs="Arial"/>
        </w:rPr>
        <w:t>Where :</w:t>
      </w:r>
      <w:proofErr w:type="gramEnd"/>
      <w:r w:rsidRPr="00696A3E">
        <w:rPr>
          <w:rFonts w:ascii="Arial" w:hAnsi="Arial" w:cs="Arial"/>
        </w:rPr>
        <w:t xml:space="preserve"> T = content of compounds; C = concentration obtained from the calibration curve ; </w:t>
      </w:r>
      <w:proofErr w:type="spellStart"/>
      <w:r w:rsidRPr="00696A3E">
        <w:rPr>
          <w:rFonts w:ascii="Arial" w:hAnsi="Arial" w:cs="Arial"/>
        </w:rPr>
        <w:t>Vr</w:t>
      </w:r>
      <w:proofErr w:type="spellEnd"/>
      <w:r w:rsidRPr="00696A3E">
        <w:rPr>
          <w:rFonts w:ascii="Arial" w:hAnsi="Arial" w:cs="Arial"/>
        </w:rPr>
        <w:t xml:space="preserve"> = reaction volume ; </w:t>
      </w:r>
      <w:proofErr w:type="spellStart"/>
      <w:r w:rsidRPr="00696A3E">
        <w:rPr>
          <w:rFonts w:ascii="Arial" w:hAnsi="Arial" w:cs="Arial"/>
        </w:rPr>
        <w:t>Vp</w:t>
      </w:r>
      <w:proofErr w:type="spellEnd"/>
      <w:r w:rsidRPr="00696A3E">
        <w:rPr>
          <w:rFonts w:ascii="Arial" w:hAnsi="Arial" w:cs="Arial"/>
        </w:rPr>
        <w:t xml:space="preserve"> = volume of extract used; Cp = concentration of the extract solution </w:t>
      </w:r>
    </w:p>
    <w:p w14:paraId="042CE43C" w14:textId="10AB7D8E" w:rsidR="00BE64DC" w:rsidRPr="00093408" w:rsidRDefault="00BE64DC" w:rsidP="00103AC6">
      <w:pPr>
        <w:jc w:val="both"/>
        <w:rPr>
          <w:rFonts w:ascii="Arial" w:hAnsi="Arial" w:cs="Arial"/>
          <w:i/>
          <w:iCs/>
        </w:rPr>
      </w:pPr>
      <w:r w:rsidRPr="00093408">
        <w:rPr>
          <w:rFonts w:ascii="Arial" w:hAnsi="Arial" w:cs="Arial"/>
          <w:i/>
          <w:iCs/>
        </w:rPr>
        <w:t>2.2.1.</w:t>
      </w:r>
      <w:r w:rsidR="002B5B8F">
        <w:rPr>
          <w:rFonts w:ascii="Arial" w:hAnsi="Arial" w:cs="Arial"/>
          <w:i/>
          <w:iCs/>
        </w:rPr>
        <w:t>5</w:t>
      </w:r>
      <w:r w:rsidRPr="00093408">
        <w:rPr>
          <w:rFonts w:ascii="Arial" w:hAnsi="Arial" w:cs="Arial"/>
          <w:i/>
          <w:iCs/>
        </w:rPr>
        <w:t>. In vitro evaluation of antiradical activity</w:t>
      </w:r>
    </w:p>
    <w:p w14:paraId="493C88CB" w14:textId="77777777" w:rsidR="00BE64DC" w:rsidRPr="00696A3E" w:rsidRDefault="00BE64DC" w:rsidP="00103AC6">
      <w:pPr>
        <w:jc w:val="both"/>
        <w:rPr>
          <w:rFonts w:ascii="Arial" w:hAnsi="Arial" w:cs="Arial"/>
        </w:rPr>
      </w:pPr>
      <w:r w:rsidRPr="00696A3E">
        <w:rPr>
          <w:rFonts w:ascii="Arial" w:hAnsi="Arial" w:cs="Arial"/>
        </w:rPr>
        <w:t xml:space="preserve">The antiradical activity of the extracts was evaluated using the DPPH• (2,2-diphenyl-1-picrylhydrazyl) radical scavenging method, following a procedure similar to that described by </w:t>
      </w:r>
      <w:proofErr w:type="spellStart"/>
      <w:r w:rsidRPr="00696A3E">
        <w:rPr>
          <w:rFonts w:ascii="Arial" w:hAnsi="Arial" w:cs="Arial"/>
        </w:rPr>
        <w:t>Fagbohoun</w:t>
      </w:r>
      <w:proofErr w:type="spellEnd"/>
      <w:r w:rsidRPr="00696A3E">
        <w:rPr>
          <w:rFonts w:ascii="Arial" w:hAnsi="Arial" w:cs="Arial"/>
        </w:rPr>
        <w:t xml:space="preserve"> (2014). This method is based on the reduction of the stable free radical DPPH• in the presence of a hydrogen-donating compound at a wavelength of 517 nm. The percentage of DPPH radical scavenging was calculated using the following </w:t>
      </w:r>
      <w:proofErr w:type="gramStart"/>
      <w:r w:rsidRPr="00696A3E">
        <w:rPr>
          <w:rFonts w:ascii="Arial" w:hAnsi="Arial" w:cs="Arial"/>
        </w:rPr>
        <w:t>formula :</w:t>
      </w:r>
      <w:proofErr w:type="gramEnd"/>
      <w:r w:rsidRPr="00696A3E">
        <w:rPr>
          <w:rFonts w:ascii="Arial" w:hAnsi="Arial" w:cs="Arial"/>
        </w:rPr>
        <w:t xml:space="preserve"> </w:t>
      </w:r>
    </w:p>
    <w:p w14:paraId="3258BA06" w14:textId="77777777" w:rsidR="00BE64DC" w:rsidRPr="00696A3E" w:rsidRDefault="00BE64DC" w:rsidP="00103AC6">
      <w:pPr>
        <w:jc w:val="both"/>
        <w:rPr>
          <w:rFonts w:ascii="Arial" w:hAnsi="Arial" w:cs="Arial"/>
        </w:rPr>
      </w:pPr>
      <w:r w:rsidRPr="00696A3E">
        <w:rPr>
          <w:rFonts w:ascii="Arial" w:hAnsi="Arial" w:cs="Arial"/>
          <w:b/>
          <w:bCs/>
        </w:rPr>
        <w:t>% DPPH = 100 × (Abs blank – Abs sample) / Abs blank</w:t>
      </w:r>
    </w:p>
    <w:p w14:paraId="10E54FB3" w14:textId="77777777" w:rsidR="00BE64DC" w:rsidRPr="00696A3E" w:rsidRDefault="00BE64DC" w:rsidP="00103AC6">
      <w:pPr>
        <w:tabs>
          <w:tab w:val="num" w:pos="720"/>
        </w:tabs>
        <w:jc w:val="both"/>
        <w:rPr>
          <w:rFonts w:ascii="Arial" w:hAnsi="Arial" w:cs="Arial"/>
        </w:rPr>
      </w:pPr>
      <w:proofErr w:type="gramStart"/>
      <w:r w:rsidRPr="00696A3E">
        <w:rPr>
          <w:rFonts w:ascii="Arial" w:hAnsi="Arial" w:cs="Arial"/>
        </w:rPr>
        <w:t>Where :</w:t>
      </w:r>
      <w:proofErr w:type="gramEnd"/>
      <w:r w:rsidRPr="00696A3E">
        <w:rPr>
          <w:rFonts w:ascii="Arial" w:hAnsi="Arial" w:cs="Arial"/>
        </w:rPr>
        <w:t xml:space="preserve"> Abs blank = absorbance of the control (DPPH solution); Abs sample = absorbance of the test sample ; </w:t>
      </w:r>
    </w:p>
    <w:p w14:paraId="482F3F7F" w14:textId="3C099086" w:rsidR="00BE64DC" w:rsidRPr="009C1FD2" w:rsidRDefault="00BE64DC" w:rsidP="00103AC6">
      <w:pPr>
        <w:tabs>
          <w:tab w:val="num" w:pos="720"/>
        </w:tabs>
        <w:jc w:val="both"/>
        <w:rPr>
          <w:rFonts w:ascii="Arial" w:hAnsi="Arial" w:cs="Arial"/>
        </w:rPr>
      </w:pPr>
      <w:r w:rsidRPr="00696A3E">
        <w:rPr>
          <w:rFonts w:ascii="Arial" w:hAnsi="Arial" w:cs="Arial"/>
        </w:rPr>
        <w:t>The IC</w:t>
      </w:r>
      <w:r w:rsidRPr="00696A3E">
        <w:rPr>
          <w:rFonts w:ascii="Cambria Math" w:hAnsi="Cambria Math" w:cs="Cambria Math"/>
        </w:rPr>
        <w:t>₅₀</w:t>
      </w:r>
      <w:r w:rsidRPr="00696A3E">
        <w:rPr>
          <w:rFonts w:ascii="Arial" w:hAnsi="Arial" w:cs="Arial"/>
        </w:rPr>
        <w:t xml:space="preserve"> value, defined as the concentration of extract required to neutralize 50% of DPPH radicals, was determined from the graph plotting percentage inhibition against extract concentration. Each test was performed in duplicate</w:t>
      </w:r>
      <w:r>
        <w:rPr>
          <w:rFonts w:ascii="Arial" w:hAnsi="Arial" w:cs="Arial"/>
        </w:rPr>
        <w:t xml:space="preserve"> </w:t>
      </w:r>
      <w:r w:rsidRPr="009C1FD2">
        <w:rPr>
          <w:rFonts w:ascii="Arial" w:hAnsi="Arial" w:cs="Arial"/>
        </w:rPr>
        <w:t>(</w:t>
      </w:r>
      <w:proofErr w:type="spellStart"/>
      <w:r w:rsidR="00667B95" w:rsidRPr="00667B95">
        <w:rPr>
          <w:rFonts w:ascii="Arial" w:hAnsi="Arial" w:cs="Arial"/>
        </w:rPr>
        <w:t>Adjatin</w:t>
      </w:r>
      <w:proofErr w:type="spellEnd"/>
      <w:r w:rsidR="00667B95" w:rsidRPr="009C1FD2">
        <w:rPr>
          <w:rFonts w:ascii="Arial" w:hAnsi="Arial" w:cs="Arial"/>
        </w:rPr>
        <w:t xml:space="preserve"> </w:t>
      </w:r>
      <w:r w:rsidRPr="009C1FD2">
        <w:rPr>
          <w:rFonts w:ascii="Arial" w:hAnsi="Arial" w:cs="Arial"/>
        </w:rPr>
        <w:t xml:space="preserve">et al., </w:t>
      </w:r>
      <w:r w:rsidR="00667B95">
        <w:rPr>
          <w:rFonts w:ascii="Arial" w:hAnsi="Arial" w:cs="Arial"/>
        </w:rPr>
        <w:t>2026</w:t>
      </w:r>
      <w:r w:rsidRPr="009C1FD2">
        <w:rPr>
          <w:rFonts w:ascii="Arial" w:hAnsi="Arial" w:cs="Arial"/>
        </w:rPr>
        <w:t>).</w:t>
      </w:r>
    </w:p>
    <w:p w14:paraId="57A3D130" w14:textId="7933260E" w:rsidR="00BE64DC" w:rsidRPr="00696A3E" w:rsidRDefault="00BE64DC" w:rsidP="00103AC6">
      <w:pPr>
        <w:jc w:val="both"/>
        <w:rPr>
          <w:rFonts w:ascii="Arial" w:hAnsi="Arial" w:cs="Arial"/>
          <w:b/>
          <w:bCs/>
        </w:rPr>
      </w:pPr>
      <w:r w:rsidRPr="00696A3E">
        <w:rPr>
          <w:rFonts w:ascii="Arial" w:hAnsi="Arial" w:cs="Arial"/>
          <w:b/>
          <w:bCs/>
        </w:rPr>
        <w:t>2.2.2. Evaluation of biological parameters</w:t>
      </w:r>
      <w:r w:rsidR="003C62CF">
        <w:rPr>
          <w:rFonts w:ascii="Arial" w:hAnsi="Arial" w:cs="Arial"/>
          <w:b/>
          <w:bCs/>
        </w:rPr>
        <w:t xml:space="preserve"> </w:t>
      </w:r>
      <w:r w:rsidR="003C62CF" w:rsidRPr="003C62CF">
        <w:rPr>
          <w:rFonts w:ascii="Arial" w:hAnsi="Arial" w:cs="Arial"/>
          <w:b/>
          <w:bCs/>
        </w:rPr>
        <w:t>(</w:t>
      </w:r>
      <w:proofErr w:type="spellStart"/>
      <w:r w:rsidR="003C62CF" w:rsidRPr="003C62CF">
        <w:rPr>
          <w:rFonts w:ascii="Arial" w:hAnsi="Arial" w:cs="Arial"/>
          <w:b/>
          <w:bCs/>
        </w:rPr>
        <w:t>Fagbohoun</w:t>
      </w:r>
      <w:proofErr w:type="spellEnd"/>
      <w:r w:rsidR="003C62CF" w:rsidRPr="003C62CF">
        <w:rPr>
          <w:rFonts w:ascii="Arial" w:hAnsi="Arial" w:cs="Arial"/>
          <w:b/>
          <w:bCs/>
        </w:rPr>
        <w:t xml:space="preserve"> et al., 2026)</w:t>
      </w:r>
    </w:p>
    <w:p w14:paraId="429D076A" w14:textId="77777777" w:rsidR="00BE64DC" w:rsidRPr="00093408" w:rsidRDefault="00BE64DC" w:rsidP="00103AC6">
      <w:pPr>
        <w:jc w:val="both"/>
        <w:rPr>
          <w:rFonts w:ascii="Arial" w:hAnsi="Arial" w:cs="Arial"/>
          <w:i/>
          <w:iCs/>
        </w:rPr>
      </w:pPr>
      <w:r w:rsidRPr="00093408">
        <w:rPr>
          <w:rFonts w:ascii="Arial" w:hAnsi="Arial" w:cs="Arial"/>
          <w:i/>
          <w:iCs/>
        </w:rPr>
        <w:t>2.2.2.1. Grouping of animals</w:t>
      </w:r>
    </w:p>
    <w:p w14:paraId="1D323358" w14:textId="77777777" w:rsidR="00BE64DC" w:rsidRPr="00696A3E" w:rsidRDefault="00BE64DC" w:rsidP="00103AC6">
      <w:pPr>
        <w:jc w:val="center"/>
        <w:rPr>
          <w:rFonts w:ascii="Arial" w:hAnsi="Arial" w:cs="Arial"/>
        </w:rPr>
      </w:pPr>
      <w:r w:rsidRPr="00696A3E">
        <w:rPr>
          <w:rFonts w:ascii="Arial" w:hAnsi="Arial" w:cs="Arial"/>
        </w:rPr>
        <w:t>Table 1 presents the grouping of rats, the substances administered, and the corresponding doses used. Each group consisted of five (5) rats.</w:t>
      </w:r>
    </w:p>
    <w:p w14:paraId="29E87589" w14:textId="19E7A829" w:rsidR="00BE64DC" w:rsidRPr="00696A3E" w:rsidRDefault="00BE64DC" w:rsidP="00271C4B">
      <w:pPr>
        <w:jc w:val="center"/>
        <w:rPr>
          <w:rFonts w:ascii="Arial" w:hAnsi="Arial" w:cs="Arial"/>
          <w:b/>
          <w:bCs/>
        </w:rPr>
      </w:pPr>
      <w:r w:rsidRPr="00696A3E">
        <w:rPr>
          <w:rFonts w:ascii="Arial" w:hAnsi="Arial" w:cs="Arial"/>
          <w:b/>
          <w:bCs/>
        </w:rPr>
        <w:t>Table 1</w:t>
      </w:r>
      <w:r w:rsidR="00271C4B">
        <w:rPr>
          <w:rFonts w:ascii="Arial" w:hAnsi="Arial" w:cs="Arial"/>
          <w:b/>
          <w:bCs/>
        </w:rPr>
        <w:t>.</w:t>
      </w:r>
      <w:r w:rsidRPr="00696A3E">
        <w:rPr>
          <w:rFonts w:ascii="Arial" w:hAnsi="Arial" w:cs="Arial"/>
          <w:b/>
          <w:bCs/>
        </w:rPr>
        <w:t xml:space="preserve"> Composition of groups</w:t>
      </w:r>
    </w:p>
    <w:tbl>
      <w:tblPr>
        <w:tblStyle w:val="ListTable6Colorful"/>
        <w:tblW w:w="9209" w:type="dxa"/>
        <w:jc w:val="center"/>
        <w:tblLook w:val="04A0" w:firstRow="1" w:lastRow="0" w:firstColumn="1" w:lastColumn="0" w:noHBand="0" w:noVBand="1"/>
      </w:tblPr>
      <w:tblGrid>
        <w:gridCol w:w="3415"/>
        <w:gridCol w:w="3526"/>
        <w:gridCol w:w="2268"/>
      </w:tblGrid>
      <w:tr w:rsidR="00BE64DC" w:rsidRPr="00BE64DC" w14:paraId="66239661" w14:textId="77777777" w:rsidTr="00271C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14:paraId="55F1D5F2" w14:textId="2B3D473C" w:rsidR="00BE64DC" w:rsidRPr="00BE64DC" w:rsidRDefault="00093FB1" w:rsidP="00FE6291">
            <w:pPr>
              <w:jc w:val="both"/>
              <w:rPr>
                <w:rFonts w:ascii="Arial" w:hAnsi="Arial" w:cs="Arial"/>
                <w:b w:val="0"/>
                <w:bCs w:val="0"/>
                <w:color w:val="auto"/>
              </w:rPr>
            </w:pPr>
            <w:r w:rsidRPr="00BE64DC">
              <w:rPr>
                <w:rFonts w:ascii="Arial" w:hAnsi="Arial" w:cs="Arial"/>
                <w:color w:val="auto"/>
              </w:rPr>
              <w:t>Group</w:t>
            </w:r>
            <w:r w:rsidR="00BE64DC" w:rsidRPr="00BE64DC">
              <w:rPr>
                <w:rFonts w:ascii="Arial" w:hAnsi="Arial" w:cs="Arial"/>
                <w:color w:val="auto"/>
              </w:rPr>
              <w:t xml:space="preserve">s </w:t>
            </w:r>
          </w:p>
        </w:tc>
        <w:tc>
          <w:tcPr>
            <w:tcW w:w="3526" w:type="dxa"/>
          </w:tcPr>
          <w:p w14:paraId="39A98233" w14:textId="2E193930" w:rsidR="00BE64DC" w:rsidRPr="00BE64DC" w:rsidRDefault="00093FB1" w:rsidP="00FE629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093FB1">
              <w:rPr>
                <w:rFonts w:ascii="Arial" w:hAnsi="Arial" w:cs="Arial"/>
                <w:color w:val="auto"/>
              </w:rPr>
              <w:t>Substances to be administered</w:t>
            </w:r>
          </w:p>
        </w:tc>
        <w:tc>
          <w:tcPr>
            <w:tcW w:w="2268" w:type="dxa"/>
          </w:tcPr>
          <w:p w14:paraId="36F4BDD6" w14:textId="77777777" w:rsidR="00BE64DC" w:rsidRPr="00BE64DC" w:rsidRDefault="00BE64DC" w:rsidP="00FE629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BE64DC">
              <w:rPr>
                <w:rFonts w:ascii="Arial" w:hAnsi="Arial" w:cs="Arial"/>
                <w:color w:val="auto"/>
              </w:rPr>
              <w:t>Codes</w:t>
            </w:r>
          </w:p>
        </w:tc>
      </w:tr>
      <w:tr w:rsidR="00BE64DC" w:rsidRPr="00BE64DC" w14:paraId="485FA012"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shd w:val="clear" w:color="auto" w:fill="auto"/>
          </w:tcPr>
          <w:p w14:paraId="7E4CE6B2" w14:textId="099347DA" w:rsidR="00BE64DC" w:rsidRPr="00BE64DC" w:rsidRDefault="00093FB1" w:rsidP="00FE6291">
            <w:pPr>
              <w:jc w:val="both"/>
              <w:rPr>
                <w:rFonts w:ascii="Arial" w:hAnsi="Arial" w:cs="Arial"/>
                <w:color w:val="auto"/>
              </w:rPr>
            </w:pPr>
            <w:r w:rsidRPr="00BE64DC">
              <w:rPr>
                <w:rFonts w:ascii="Arial" w:hAnsi="Arial" w:cs="Arial"/>
                <w:color w:val="auto"/>
              </w:rPr>
              <w:t xml:space="preserve">Group </w:t>
            </w:r>
            <w:r>
              <w:rPr>
                <w:rFonts w:ascii="Arial" w:hAnsi="Arial" w:cs="Arial"/>
                <w:color w:val="auto"/>
              </w:rPr>
              <w:t>1:</w:t>
            </w:r>
            <w:r w:rsidR="00BE64DC" w:rsidRPr="00BE64DC">
              <w:rPr>
                <w:rFonts w:ascii="Arial" w:hAnsi="Arial" w:cs="Arial"/>
                <w:color w:val="auto"/>
              </w:rPr>
              <w:t xml:space="preserve"> Normal</w:t>
            </w:r>
            <w:r>
              <w:rPr>
                <w:rFonts w:ascii="Arial" w:hAnsi="Arial" w:cs="Arial"/>
                <w:color w:val="auto"/>
              </w:rPr>
              <w:t xml:space="preserve"> control</w:t>
            </w:r>
          </w:p>
        </w:tc>
        <w:tc>
          <w:tcPr>
            <w:tcW w:w="3526" w:type="dxa"/>
            <w:shd w:val="clear" w:color="auto" w:fill="auto"/>
          </w:tcPr>
          <w:p w14:paraId="673B243C"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color w:val="auto"/>
              </w:rPr>
              <w:t xml:space="preserve">Sans induction et </w:t>
            </w:r>
            <w:proofErr w:type="spellStart"/>
            <w:r w:rsidRPr="00BE64DC">
              <w:rPr>
                <w:rFonts w:ascii="Arial" w:hAnsi="Arial" w:cs="Arial"/>
                <w:color w:val="auto"/>
              </w:rPr>
              <w:t>traitement</w:t>
            </w:r>
            <w:proofErr w:type="spellEnd"/>
            <w:r w:rsidRPr="00BE64DC">
              <w:rPr>
                <w:rFonts w:ascii="Arial" w:hAnsi="Arial" w:cs="Arial"/>
                <w:color w:val="auto"/>
              </w:rPr>
              <w:t xml:space="preserve"> à </w:t>
            </w:r>
            <w:proofErr w:type="spellStart"/>
            <w:r w:rsidRPr="00BE64DC">
              <w:rPr>
                <w:rFonts w:ascii="Arial" w:hAnsi="Arial" w:cs="Arial"/>
                <w:color w:val="auto"/>
              </w:rPr>
              <w:t>l’eau</w:t>
            </w:r>
            <w:proofErr w:type="spellEnd"/>
            <w:r w:rsidRPr="00BE64DC">
              <w:rPr>
                <w:rFonts w:ascii="Arial" w:hAnsi="Arial" w:cs="Arial"/>
                <w:color w:val="auto"/>
              </w:rPr>
              <w:t xml:space="preserve"> </w:t>
            </w:r>
            <w:proofErr w:type="spellStart"/>
            <w:r w:rsidRPr="00BE64DC">
              <w:rPr>
                <w:rFonts w:ascii="Arial" w:hAnsi="Arial" w:cs="Arial"/>
                <w:color w:val="auto"/>
              </w:rPr>
              <w:t>distillée</w:t>
            </w:r>
            <w:proofErr w:type="spellEnd"/>
          </w:p>
        </w:tc>
        <w:tc>
          <w:tcPr>
            <w:tcW w:w="2268" w:type="dxa"/>
            <w:shd w:val="clear" w:color="auto" w:fill="auto"/>
          </w:tcPr>
          <w:p w14:paraId="62EA0F73"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64DC">
              <w:rPr>
                <w:rFonts w:ascii="Arial" w:hAnsi="Arial" w:cs="Arial"/>
                <w:b/>
                <w:bCs/>
                <w:color w:val="auto"/>
              </w:rPr>
              <w:t>GN1</w:t>
            </w:r>
          </w:p>
        </w:tc>
      </w:tr>
      <w:tr w:rsidR="00BE64DC" w:rsidRPr="00BE64DC" w14:paraId="73B1BC2F" w14:textId="77777777" w:rsidTr="00271C4B">
        <w:trPr>
          <w:jc w:val="center"/>
        </w:trPr>
        <w:tc>
          <w:tcPr>
            <w:cnfStyle w:val="001000000000" w:firstRow="0" w:lastRow="0" w:firstColumn="1" w:lastColumn="0" w:oddVBand="0" w:evenVBand="0" w:oddHBand="0" w:evenHBand="0" w:firstRowFirstColumn="0" w:firstRowLastColumn="0" w:lastRowFirstColumn="0" w:lastRowLastColumn="0"/>
            <w:tcW w:w="3415" w:type="dxa"/>
          </w:tcPr>
          <w:p w14:paraId="178C9E98" w14:textId="03E9F6A2" w:rsidR="00BE64DC" w:rsidRPr="00BE64DC" w:rsidRDefault="00093FB1" w:rsidP="00FE6291">
            <w:pPr>
              <w:jc w:val="both"/>
              <w:rPr>
                <w:rFonts w:ascii="Arial" w:hAnsi="Arial" w:cs="Arial"/>
                <w:color w:val="auto"/>
              </w:rPr>
            </w:pPr>
            <w:r w:rsidRPr="00BE64DC">
              <w:rPr>
                <w:rFonts w:ascii="Arial" w:hAnsi="Arial" w:cs="Arial"/>
                <w:color w:val="auto"/>
              </w:rPr>
              <w:t xml:space="preserve">Group </w:t>
            </w:r>
            <w:r>
              <w:rPr>
                <w:rFonts w:ascii="Arial" w:hAnsi="Arial" w:cs="Arial"/>
                <w:color w:val="auto"/>
              </w:rPr>
              <w:t>2:</w:t>
            </w:r>
            <w:r w:rsidR="00BE64DC" w:rsidRPr="00BE64DC">
              <w:rPr>
                <w:rFonts w:ascii="Arial" w:hAnsi="Arial" w:cs="Arial"/>
                <w:color w:val="auto"/>
              </w:rPr>
              <w:t xml:space="preserve"> </w:t>
            </w:r>
            <w:r w:rsidRPr="00093FB1">
              <w:rPr>
                <w:rFonts w:ascii="Arial" w:hAnsi="Arial" w:cs="Arial"/>
                <w:color w:val="auto"/>
              </w:rPr>
              <w:t>Negative Control</w:t>
            </w:r>
          </w:p>
        </w:tc>
        <w:tc>
          <w:tcPr>
            <w:tcW w:w="3526" w:type="dxa"/>
          </w:tcPr>
          <w:p w14:paraId="08ACEEB6"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sans </w:t>
            </w:r>
            <w:proofErr w:type="spellStart"/>
            <w:r w:rsidRPr="00BE64DC">
              <w:rPr>
                <w:rFonts w:ascii="Arial" w:hAnsi="Arial" w:cs="Arial"/>
                <w:color w:val="auto"/>
              </w:rPr>
              <w:t>traitement</w:t>
            </w:r>
            <w:proofErr w:type="spellEnd"/>
          </w:p>
        </w:tc>
        <w:tc>
          <w:tcPr>
            <w:tcW w:w="2268" w:type="dxa"/>
          </w:tcPr>
          <w:p w14:paraId="6D4E6626"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BE64DC">
              <w:rPr>
                <w:rFonts w:ascii="Arial" w:hAnsi="Arial" w:cs="Arial"/>
                <w:b/>
                <w:bCs/>
                <w:color w:val="auto"/>
              </w:rPr>
              <w:t>GN2</w:t>
            </w:r>
          </w:p>
        </w:tc>
      </w:tr>
      <w:tr w:rsidR="00BE64DC" w:rsidRPr="00BE64DC" w14:paraId="662E6067"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shd w:val="clear" w:color="auto" w:fill="auto"/>
          </w:tcPr>
          <w:p w14:paraId="048D44FF" w14:textId="41A752A2" w:rsidR="00BE64DC" w:rsidRPr="00BE64DC" w:rsidRDefault="00093FB1" w:rsidP="00FE6291">
            <w:pPr>
              <w:jc w:val="both"/>
              <w:rPr>
                <w:rFonts w:ascii="Arial" w:hAnsi="Arial" w:cs="Arial"/>
                <w:color w:val="auto"/>
              </w:rPr>
            </w:pPr>
            <w:r w:rsidRPr="00BE64DC">
              <w:rPr>
                <w:rFonts w:ascii="Arial" w:hAnsi="Arial" w:cs="Arial"/>
                <w:color w:val="auto"/>
              </w:rPr>
              <w:t xml:space="preserve">Group </w:t>
            </w:r>
            <w:r>
              <w:rPr>
                <w:rFonts w:ascii="Arial" w:hAnsi="Arial" w:cs="Arial"/>
                <w:color w:val="auto"/>
              </w:rPr>
              <w:t>3:</w:t>
            </w:r>
            <w:r w:rsidR="00BE64DC" w:rsidRPr="00BE64DC">
              <w:rPr>
                <w:rFonts w:ascii="Arial" w:hAnsi="Arial" w:cs="Arial"/>
                <w:color w:val="auto"/>
              </w:rPr>
              <w:t xml:space="preserve"> </w:t>
            </w:r>
            <w:r w:rsidRPr="00093FB1">
              <w:rPr>
                <w:rFonts w:ascii="Arial" w:hAnsi="Arial" w:cs="Arial"/>
                <w:color w:val="auto"/>
              </w:rPr>
              <w:t>Reference control</w:t>
            </w:r>
          </w:p>
        </w:tc>
        <w:tc>
          <w:tcPr>
            <w:tcW w:w="3526" w:type="dxa"/>
            <w:shd w:val="clear" w:color="auto" w:fill="auto"/>
          </w:tcPr>
          <w:p w14:paraId="3A9CB019"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et </w:t>
            </w:r>
            <w:proofErr w:type="spellStart"/>
            <w:r w:rsidRPr="00BE64DC">
              <w:rPr>
                <w:rFonts w:ascii="Arial" w:hAnsi="Arial" w:cs="Arial"/>
                <w:color w:val="auto"/>
              </w:rPr>
              <w:t>traitement</w:t>
            </w:r>
            <w:proofErr w:type="spellEnd"/>
            <w:r w:rsidRPr="00BE64DC">
              <w:rPr>
                <w:rFonts w:ascii="Arial" w:hAnsi="Arial" w:cs="Arial"/>
                <w:color w:val="auto"/>
              </w:rPr>
              <w:t xml:space="preserve"> à </w:t>
            </w:r>
            <w:proofErr w:type="spellStart"/>
            <w:r w:rsidRPr="00BE64DC">
              <w:rPr>
                <w:rFonts w:ascii="Arial" w:hAnsi="Arial" w:cs="Arial"/>
                <w:color w:val="auto"/>
              </w:rPr>
              <w:t>Daflon</w:t>
            </w:r>
            <w:proofErr w:type="spellEnd"/>
            <w:r w:rsidRPr="00BE64DC">
              <w:rPr>
                <w:rFonts w:ascii="Arial" w:hAnsi="Arial" w:cs="Arial"/>
                <w:color w:val="auto"/>
              </w:rPr>
              <w:t xml:space="preserve"> à 10 mg/kg</w:t>
            </w:r>
          </w:p>
        </w:tc>
        <w:tc>
          <w:tcPr>
            <w:tcW w:w="2268" w:type="dxa"/>
            <w:shd w:val="clear" w:color="auto" w:fill="auto"/>
          </w:tcPr>
          <w:p w14:paraId="281C712C"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64DC">
              <w:rPr>
                <w:rFonts w:ascii="Arial" w:hAnsi="Arial" w:cs="Arial"/>
                <w:b/>
                <w:bCs/>
                <w:color w:val="auto"/>
              </w:rPr>
              <w:t>RCD 10 mg/kg</w:t>
            </w:r>
          </w:p>
        </w:tc>
      </w:tr>
      <w:tr w:rsidR="00BE64DC" w:rsidRPr="00BE64DC" w14:paraId="4A1B2E26" w14:textId="77777777" w:rsidTr="00271C4B">
        <w:trPr>
          <w:jc w:val="center"/>
        </w:trPr>
        <w:tc>
          <w:tcPr>
            <w:cnfStyle w:val="001000000000" w:firstRow="0" w:lastRow="0" w:firstColumn="1" w:lastColumn="0" w:oddVBand="0" w:evenVBand="0" w:oddHBand="0" w:evenHBand="0" w:firstRowFirstColumn="0" w:firstRowLastColumn="0" w:lastRowFirstColumn="0" w:lastRowLastColumn="0"/>
            <w:tcW w:w="3415" w:type="dxa"/>
          </w:tcPr>
          <w:p w14:paraId="1C352AD5" w14:textId="56EA073D" w:rsidR="00BE64DC" w:rsidRPr="00BE64DC" w:rsidRDefault="00093FB1" w:rsidP="00FE6291">
            <w:pPr>
              <w:jc w:val="both"/>
              <w:rPr>
                <w:rFonts w:ascii="Arial" w:hAnsi="Arial" w:cs="Arial"/>
                <w:color w:val="auto"/>
              </w:rPr>
            </w:pPr>
            <w:r w:rsidRPr="00BE64DC">
              <w:rPr>
                <w:rFonts w:ascii="Arial" w:hAnsi="Arial" w:cs="Arial"/>
                <w:color w:val="auto"/>
              </w:rPr>
              <w:t>Group</w:t>
            </w:r>
            <w:r w:rsidR="00BE64DC" w:rsidRPr="00BE64DC">
              <w:rPr>
                <w:rFonts w:ascii="Arial" w:hAnsi="Arial" w:cs="Arial"/>
                <w:color w:val="auto"/>
              </w:rPr>
              <w:t xml:space="preserve"> 4 </w:t>
            </w:r>
          </w:p>
        </w:tc>
        <w:tc>
          <w:tcPr>
            <w:tcW w:w="3526" w:type="dxa"/>
          </w:tcPr>
          <w:p w14:paraId="3EB8F7EF"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et </w:t>
            </w:r>
            <w:proofErr w:type="spellStart"/>
            <w:r w:rsidRPr="00BE64DC">
              <w:rPr>
                <w:rFonts w:ascii="Arial" w:hAnsi="Arial" w:cs="Arial"/>
                <w:color w:val="auto"/>
              </w:rPr>
              <w:t>traitement</w:t>
            </w:r>
            <w:proofErr w:type="spellEnd"/>
            <w:r w:rsidRPr="00BE64DC">
              <w:rPr>
                <w:rFonts w:ascii="Arial" w:hAnsi="Arial" w:cs="Arial"/>
                <w:color w:val="auto"/>
              </w:rPr>
              <w:t xml:space="preserve"> à </w:t>
            </w:r>
            <w:proofErr w:type="spellStart"/>
            <w:r w:rsidRPr="00BE64DC">
              <w:rPr>
                <w:rFonts w:ascii="Arial" w:hAnsi="Arial" w:cs="Arial"/>
                <w:color w:val="auto"/>
              </w:rPr>
              <w:t>l’extrait</w:t>
            </w:r>
            <w:proofErr w:type="spellEnd"/>
            <w:r w:rsidRPr="00BE64DC">
              <w:rPr>
                <w:rFonts w:ascii="Arial" w:hAnsi="Arial" w:cs="Arial"/>
                <w:color w:val="auto"/>
              </w:rPr>
              <w:t xml:space="preserve"> de </w:t>
            </w:r>
            <w:proofErr w:type="spellStart"/>
            <w:r w:rsidRPr="00BE64DC">
              <w:rPr>
                <w:rFonts w:ascii="Arial" w:hAnsi="Arial" w:cs="Arial"/>
                <w:i/>
                <w:iCs/>
                <w:color w:val="auto"/>
              </w:rPr>
              <w:t>Persea</w:t>
            </w:r>
            <w:proofErr w:type="spellEnd"/>
            <w:r w:rsidRPr="00BE64DC">
              <w:rPr>
                <w:rFonts w:ascii="Arial" w:hAnsi="Arial" w:cs="Arial"/>
                <w:i/>
                <w:iCs/>
                <w:color w:val="auto"/>
              </w:rPr>
              <w:t xml:space="preserve"> </w:t>
            </w:r>
            <w:proofErr w:type="spellStart"/>
            <w:r w:rsidRPr="00BE64DC">
              <w:rPr>
                <w:rFonts w:ascii="Arial" w:hAnsi="Arial" w:cs="Arial"/>
                <w:i/>
                <w:iCs/>
                <w:color w:val="auto"/>
              </w:rPr>
              <w:t>americana</w:t>
            </w:r>
            <w:proofErr w:type="spellEnd"/>
            <w:r w:rsidRPr="00BE64DC">
              <w:rPr>
                <w:rFonts w:ascii="Arial" w:hAnsi="Arial" w:cs="Arial"/>
                <w:color w:val="auto"/>
              </w:rPr>
              <w:t xml:space="preserve"> à 250 mg/kg</w:t>
            </w:r>
          </w:p>
        </w:tc>
        <w:tc>
          <w:tcPr>
            <w:tcW w:w="2268" w:type="dxa"/>
          </w:tcPr>
          <w:p w14:paraId="590C5B66"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BE64DC">
              <w:rPr>
                <w:rFonts w:ascii="Arial" w:hAnsi="Arial" w:cs="Arial"/>
                <w:b/>
                <w:bCs/>
                <w:color w:val="auto"/>
              </w:rPr>
              <w:t>SPA 250 mg/kg</w:t>
            </w:r>
          </w:p>
        </w:tc>
      </w:tr>
      <w:tr w:rsidR="00BE64DC" w:rsidRPr="00BE64DC" w14:paraId="6D511D34"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shd w:val="clear" w:color="auto" w:fill="auto"/>
          </w:tcPr>
          <w:p w14:paraId="0FC63655" w14:textId="76C1F2FA" w:rsidR="00BE64DC" w:rsidRPr="00BE64DC" w:rsidRDefault="00093FB1" w:rsidP="00FE6291">
            <w:pPr>
              <w:jc w:val="both"/>
              <w:rPr>
                <w:rFonts w:ascii="Arial" w:hAnsi="Arial" w:cs="Arial"/>
                <w:color w:val="auto"/>
              </w:rPr>
            </w:pPr>
            <w:r w:rsidRPr="00BE64DC">
              <w:rPr>
                <w:rFonts w:ascii="Arial" w:hAnsi="Arial" w:cs="Arial"/>
                <w:color w:val="auto"/>
              </w:rPr>
              <w:t>Group</w:t>
            </w:r>
            <w:r w:rsidR="00BE64DC" w:rsidRPr="00BE64DC">
              <w:rPr>
                <w:rFonts w:ascii="Arial" w:hAnsi="Arial" w:cs="Arial"/>
                <w:color w:val="auto"/>
              </w:rPr>
              <w:t xml:space="preserve"> 5 </w:t>
            </w:r>
          </w:p>
        </w:tc>
        <w:tc>
          <w:tcPr>
            <w:tcW w:w="3526" w:type="dxa"/>
            <w:shd w:val="clear" w:color="auto" w:fill="auto"/>
          </w:tcPr>
          <w:p w14:paraId="421F1C24"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et </w:t>
            </w:r>
            <w:proofErr w:type="spellStart"/>
            <w:r w:rsidRPr="00BE64DC">
              <w:rPr>
                <w:rFonts w:ascii="Arial" w:hAnsi="Arial" w:cs="Arial"/>
                <w:color w:val="auto"/>
              </w:rPr>
              <w:t>traitement</w:t>
            </w:r>
            <w:proofErr w:type="spellEnd"/>
            <w:r w:rsidRPr="00BE64DC">
              <w:rPr>
                <w:rFonts w:ascii="Arial" w:hAnsi="Arial" w:cs="Arial"/>
                <w:color w:val="auto"/>
              </w:rPr>
              <w:t xml:space="preserve"> à </w:t>
            </w:r>
            <w:proofErr w:type="spellStart"/>
            <w:r w:rsidRPr="00BE64DC">
              <w:rPr>
                <w:rFonts w:ascii="Arial" w:hAnsi="Arial" w:cs="Arial"/>
                <w:color w:val="auto"/>
              </w:rPr>
              <w:t>l’extrait</w:t>
            </w:r>
            <w:proofErr w:type="spellEnd"/>
            <w:r w:rsidRPr="00BE64DC">
              <w:rPr>
                <w:rFonts w:ascii="Arial" w:hAnsi="Arial" w:cs="Arial"/>
                <w:color w:val="auto"/>
              </w:rPr>
              <w:t xml:space="preserve"> de </w:t>
            </w:r>
            <w:proofErr w:type="spellStart"/>
            <w:r w:rsidRPr="00BE64DC">
              <w:rPr>
                <w:rFonts w:ascii="Arial" w:hAnsi="Arial" w:cs="Arial"/>
                <w:i/>
                <w:iCs/>
                <w:color w:val="auto"/>
              </w:rPr>
              <w:t>Persea</w:t>
            </w:r>
            <w:proofErr w:type="spellEnd"/>
            <w:r w:rsidRPr="00BE64DC">
              <w:rPr>
                <w:rFonts w:ascii="Arial" w:hAnsi="Arial" w:cs="Arial"/>
                <w:i/>
                <w:iCs/>
                <w:color w:val="auto"/>
              </w:rPr>
              <w:t xml:space="preserve"> </w:t>
            </w:r>
            <w:proofErr w:type="spellStart"/>
            <w:r w:rsidRPr="00BE64DC">
              <w:rPr>
                <w:rFonts w:ascii="Arial" w:hAnsi="Arial" w:cs="Arial"/>
                <w:i/>
                <w:iCs/>
                <w:color w:val="auto"/>
              </w:rPr>
              <w:t>americana</w:t>
            </w:r>
            <w:proofErr w:type="spellEnd"/>
            <w:r w:rsidRPr="00BE64DC">
              <w:rPr>
                <w:rFonts w:ascii="Arial" w:hAnsi="Arial" w:cs="Arial"/>
                <w:color w:val="auto"/>
              </w:rPr>
              <w:t xml:space="preserve"> à 500 mg/kg</w:t>
            </w:r>
          </w:p>
        </w:tc>
        <w:tc>
          <w:tcPr>
            <w:tcW w:w="2268" w:type="dxa"/>
            <w:shd w:val="clear" w:color="auto" w:fill="auto"/>
          </w:tcPr>
          <w:p w14:paraId="3E8772EF"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64DC">
              <w:rPr>
                <w:rFonts w:ascii="Arial" w:hAnsi="Arial" w:cs="Arial"/>
                <w:b/>
                <w:bCs/>
                <w:color w:val="auto"/>
              </w:rPr>
              <w:t>SPA 500 mg/kg</w:t>
            </w:r>
          </w:p>
        </w:tc>
      </w:tr>
      <w:tr w:rsidR="00BE64DC" w:rsidRPr="00BE64DC" w14:paraId="4CB67B8D" w14:textId="77777777" w:rsidTr="00271C4B">
        <w:trPr>
          <w:jc w:val="center"/>
        </w:trPr>
        <w:tc>
          <w:tcPr>
            <w:cnfStyle w:val="001000000000" w:firstRow="0" w:lastRow="0" w:firstColumn="1" w:lastColumn="0" w:oddVBand="0" w:evenVBand="0" w:oddHBand="0" w:evenHBand="0" w:firstRowFirstColumn="0" w:firstRowLastColumn="0" w:lastRowFirstColumn="0" w:lastRowLastColumn="0"/>
            <w:tcW w:w="3415" w:type="dxa"/>
          </w:tcPr>
          <w:p w14:paraId="5BDA40AF" w14:textId="77777777" w:rsidR="00BE64DC" w:rsidRPr="00BE64DC" w:rsidRDefault="00BE64DC" w:rsidP="00FE6291">
            <w:pPr>
              <w:jc w:val="both"/>
              <w:rPr>
                <w:rFonts w:ascii="Arial" w:hAnsi="Arial" w:cs="Arial"/>
                <w:color w:val="auto"/>
              </w:rPr>
            </w:pPr>
            <w:r w:rsidRPr="00BE64DC">
              <w:rPr>
                <w:rFonts w:ascii="Arial" w:hAnsi="Arial" w:cs="Arial"/>
                <w:color w:val="auto"/>
              </w:rPr>
              <w:t>Group 6</w:t>
            </w:r>
          </w:p>
        </w:tc>
        <w:tc>
          <w:tcPr>
            <w:tcW w:w="3526" w:type="dxa"/>
          </w:tcPr>
          <w:p w14:paraId="5EF06FE2"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and treatment with </w:t>
            </w:r>
            <w:proofErr w:type="spellStart"/>
            <w:r w:rsidRPr="00BE64DC">
              <w:rPr>
                <w:rFonts w:ascii="Arial" w:hAnsi="Arial" w:cs="Arial"/>
                <w:color w:val="auto"/>
              </w:rPr>
              <w:t>Nephrolepis</w:t>
            </w:r>
            <w:proofErr w:type="spellEnd"/>
            <w:r w:rsidRPr="00BE64DC">
              <w:rPr>
                <w:rFonts w:ascii="Arial" w:hAnsi="Arial" w:cs="Arial"/>
                <w:color w:val="auto"/>
              </w:rPr>
              <w:t xml:space="preserve"> </w:t>
            </w:r>
            <w:proofErr w:type="spellStart"/>
            <w:r w:rsidRPr="00BE64DC">
              <w:rPr>
                <w:rFonts w:ascii="Arial" w:hAnsi="Arial" w:cs="Arial"/>
                <w:color w:val="auto"/>
              </w:rPr>
              <w:t>Biserrata</w:t>
            </w:r>
            <w:proofErr w:type="spellEnd"/>
            <w:r w:rsidRPr="00BE64DC">
              <w:rPr>
                <w:rFonts w:ascii="Arial" w:hAnsi="Arial" w:cs="Arial"/>
                <w:color w:val="auto"/>
              </w:rPr>
              <w:t xml:space="preserve"> at 250 mg/kg</w:t>
            </w:r>
            <w:r w:rsidRPr="00BE64DC">
              <w:rPr>
                <w:rFonts w:ascii="Arial" w:hAnsi="Arial" w:cs="Arial"/>
                <w:b/>
                <w:bCs/>
                <w:color w:val="auto"/>
              </w:rPr>
              <w:t xml:space="preserve"> </w:t>
            </w:r>
          </w:p>
        </w:tc>
        <w:tc>
          <w:tcPr>
            <w:tcW w:w="2268" w:type="dxa"/>
          </w:tcPr>
          <w:p w14:paraId="49012A09"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64DC">
              <w:rPr>
                <w:rFonts w:ascii="Arial" w:hAnsi="Arial" w:cs="Arial"/>
                <w:b/>
                <w:bCs/>
                <w:color w:val="auto"/>
              </w:rPr>
              <w:t>NB 250 mg/kg</w:t>
            </w:r>
          </w:p>
        </w:tc>
      </w:tr>
      <w:tr w:rsidR="00BE64DC" w:rsidRPr="00BE64DC" w14:paraId="35F0884B"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shd w:val="clear" w:color="auto" w:fill="auto"/>
          </w:tcPr>
          <w:p w14:paraId="0FAEB9BA" w14:textId="77777777" w:rsidR="00BE64DC" w:rsidRPr="00BE64DC" w:rsidRDefault="00BE64DC" w:rsidP="00FE6291">
            <w:pPr>
              <w:jc w:val="both"/>
              <w:rPr>
                <w:rFonts w:ascii="Arial" w:hAnsi="Arial" w:cs="Arial"/>
                <w:color w:val="auto"/>
              </w:rPr>
            </w:pPr>
            <w:r w:rsidRPr="00BE64DC">
              <w:rPr>
                <w:rFonts w:ascii="Arial" w:hAnsi="Arial" w:cs="Arial"/>
                <w:color w:val="auto"/>
              </w:rPr>
              <w:t>Group 7</w:t>
            </w:r>
          </w:p>
        </w:tc>
        <w:tc>
          <w:tcPr>
            <w:tcW w:w="3526" w:type="dxa"/>
            <w:shd w:val="clear" w:color="auto" w:fill="auto"/>
          </w:tcPr>
          <w:p w14:paraId="3D17BE75"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and treatment with </w:t>
            </w:r>
            <w:proofErr w:type="spellStart"/>
            <w:r w:rsidRPr="00BE64DC">
              <w:rPr>
                <w:rFonts w:ascii="Arial" w:hAnsi="Arial" w:cs="Arial"/>
                <w:color w:val="auto"/>
              </w:rPr>
              <w:t>Nephrolepis</w:t>
            </w:r>
            <w:proofErr w:type="spellEnd"/>
            <w:r w:rsidRPr="00BE64DC">
              <w:rPr>
                <w:rFonts w:ascii="Arial" w:hAnsi="Arial" w:cs="Arial"/>
                <w:color w:val="auto"/>
              </w:rPr>
              <w:t xml:space="preserve"> </w:t>
            </w:r>
            <w:proofErr w:type="spellStart"/>
            <w:r w:rsidRPr="00BE64DC">
              <w:rPr>
                <w:rFonts w:ascii="Arial" w:hAnsi="Arial" w:cs="Arial"/>
                <w:color w:val="auto"/>
              </w:rPr>
              <w:t>Biserrata</w:t>
            </w:r>
            <w:proofErr w:type="spellEnd"/>
            <w:r w:rsidRPr="00BE64DC">
              <w:rPr>
                <w:rFonts w:ascii="Arial" w:hAnsi="Arial" w:cs="Arial"/>
                <w:color w:val="auto"/>
              </w:rPr>
              <w:t xml:space="preserve"> at 500 mg/kg</w:t>
            </w:r>
            <w:r w:rsidRPr="00BE64DC">
              <w:rPr>
                <w:rFonts w:ascii="Arial" w:hAnsi="Arial" w:cs="Arial"/>
                <w:b/>
                <w:bCs/>
                <w:color w:val="auto"/>
              </w:rPr>
              <w:t xml:space="preserve"> </w:t>
            </w:r>
          </w:p>
        </w:tc>
        <w:tc>
          <w:tcPr>
            <w:tcW w:w="2268" w:type="dxa"/>
            <w:shd w:val="clear" w:color="auto" w:fill="auto"/>
          </w:tcPr>
          <w:p w14:paraId="52F25696"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b/>
                <w:bCs/>
                <w:color w:val="auto"/>
              </w:rPr>
              <w:t>NB 500 mg/kg</w:t>
            </w:r>
          </w:p>
        </w:tc>
      </w:tr>
    </w:tbl>
    <w:p w14:paraId="67A969E1" w14:textId="77777777" w:rsidR="00BE64DC" w:rsidRPr="00696A3E" w:rsidRDefault="00BE64DC" w:rsidP="00BE64DC">
      <w:pPr>
        <w:jc w:val="both"/>
        <w:rPr>
          <w:rFonts w:ascii="Arial" w:hAnsi="Arial" w:cs="Arial"/>
          <w:b/>
          <w:bCs/>
        </w:rPr>
      </w:pPr>
    </w:p>
    <w:p w14:paraId="694FC543" w14:textId="77777777" w:rsidR="00BE64DC" w:rsidRPr="00696A3E" w:rsidRDefault="00BE64DC" w:rsidP="00BE64DC">
      <w:pPr>
        <w:rPr>
          <w:rFonts w:ascii="Arial" w:hAnsi="Arial" w:cs="Arial"/>
        </w:rPr>
      </w:pPr>
      <w:r w:rsidRPr="00696A3E">
        <w:rPr>
          <w:rFonts w:ascii="Arial" w:hAnsi="Arial" w:cs="Arial"/>
          <w:b/>
          <w:bCs/>
        </w:rPr>
        <w:t>SPA</w:t>
      </w:r>
      <w:r w:rsidRPr="00696A3E">
        <w:rPr>
          <w:rFonts w:ascii="Arial" w:hAnsi="Arial" w:cs="Arial"/>
        </w:rPr>
        <w:t xml:space="preserve"> = hydro-</w:t>
      </w:r>
      <w:proofErr w:type="spellStart"/>
      <w:r w:rsidRPr="00696A3E">
        <w:rPr>
          <w:rFonts w:ascii="Arial" w:hAnsi="Arial" w:cs="Arial"/>
        </w:rPr>
        <w:t>ethanolique</w:t>
      </w:r>
      <w:proofErr w:type="spellEnd"/>
      <w:r w:rsidRPr="00696A3E">
        <w:rPr>
          <w:rFonts w:ascii="Arial" w:hAnsi="Arial" w:cs="Arial"/>
        </w:rPr>
        <w:t xml:space="preserve"> extract of</w:t>
      </w:r>
      <w:r w:rsidRPr="00696A3E">
        <w:rPr>
          <w:rFonts w:ascii="Arial" w:hAnsi="Arial" w:cs="Arial"/>
          <w:b/>
          <w:bCs/>
        </w:rPr>
        <w:t xml:space="preserve"> </w:t>
      </w:r>
      <w:r w:rsidRPr="00696A3E">
        <w:rPr>
          <w:rFonts w:ascii="Arial" w:hAnsi="Arial" w:cs="Arial"/>
        </w:rPr>
        <w:t xml:space="preserve">Seeds of </w:t>
      </w:r>
      <w:proofErr w:type="spellStart"/>
      <w:r w:rsidRPr="00696A3E">
        <w:rPr>
          <w:rFonts w:ascii="Arial" w:hAnsi="Arial" w:cs="Arial"/>
          <w:i/>
          <w:iCs/>
        </w:rPr>
        <w:t>Persea</w:t>
      </w:r>
      <w:proofErr w:type="spellEnd"/>
      <w:r w:rsidRPr="00696A3E">
        <w:rPr>
          <w:rFonts w:ascii="Arial" w:hAnsi="Arial" w:cs="Arial"/>
          <w:i/>
          <w:iCs/>
        </w:rPr>
        <w:t xml:space="preserve"> </w:t>
      </w:r>
      <w:proofErr w:type="spellStart"/>
      <w:r w:rsidRPr="00696A3E">
        <w:rPr>
          <w:rFonts w:ascii="Arial" w:hAnsi="Arial" w:cs="Arial"/>
          <w:i/>
          <w:iCs/>
        </w:rPr>
        <w:t>americana</w:t>
      </w:r>
      <w:proofErr w:type="spellEnd"/>
      <w:r w:rsidRPr="00696A3E">
        <w:rPr>
          <w:rFonts w:ascii="Arial" w:hAnsi="Arial" w:cs="Arial"/>
        </w:rPr>
        <w:t xml:space="preserve"> </w:t>
      </w:r>
    </w:p>
    <w:p w14:paraId="344F8417" w14:textId="5F05A5CD" w:rsidR="00BE64DC" w:rsidRPr="00696A3E" w:rsidRDefault="00BE64DC" w:rsidP="00BE64DC">
      <w:pPr>
        <w:spacing w:after="240"/>
        <w:jc w:val="both"/>
        <w:rPr>
          <w:rFonts w:ascii="Arial" w:hAnsi="Arial" w:cs="Arial"/>
          <w:b/>
          <w:bCs/>
        </w:rPr>
      </w:pPr>
      <w:r w:rsidRPr="00696A3E">
        <w:rPr>
          <w:rFonts w:ascii="Arial" w:hAnsi="Arial" w:cs="Arial"/>
          <w:b/>
          <w:bCs/>
        </w:rPr>
        <w:t xml:space="preserve">NB = </w:t>
      </w:r>
      <w:r w:rsidRPr="00696A3E">
        <w:rPr>
          <w:rFonts w:ascii="Arial" w:hAnsi="Arial" w:cs="Arial"/>
        </w:rPr>
        <w:t>hydro-</w:t>
      </w:r>
      <w:proofErr w:type="spellStart"/>
      <w:r w:rsidRPr="00696A3E">
        <w:rPr>
          <w:rFonts w:ascii="Arial" w:hAnsi="Arial" w:cs="Arial"/>
        </w:rPr>
        <w:t>ethanolique</w:t>
      </w:r>
      <w:proofErr w:type="spellEnd"/>
      <w:r w:rsidRPr="00696A3E">
        <w:rPr>
          <w:rFonts w:ascii="Arial" w:hAnsi="Arial" w:cs="Arial"/>
        </w:rPr>
        <w:t xml:space="preserve"> extract of</w:t>
      </w:r>
      <w:r w:rsidRPr="00696A3E">
        <w:rPr>
          <w:rFonts w:ascii="Arial" w:hAnsi="Arial" w:cs="Arial"/>
          <w:b/>
          <w:bCs/>
        </w:rPr>
        <w:t xml:space="preserve"> </w:t>
      </w:r>
      <w:proofErr w:type="spellStart"/>
      <w:r w:rsidRPr="00696A3E">
        <w:rPr>
          <w:rFonts w:ascii="Arial" w:hAnsi="Arial" w:cs="Arial"/>
          <w:i/>
          <w:iCs/>
        </w:rPr>
        <w:t>Nephrolepis</w:t>
      </w:r>
      <w:proofErr w:type="spellEnd"/>
      <w:r w:rsidRPr="00696A3E">
        <w:rPr>
          <w:rFonts w:ascii="Arial" w:hAnsi="Arial" w:cs="Arial"/>
          <w:i/>
          <w:iCs/>
        </w:rPr>
        <w:t xml:space="preserve"> </w:t>
      </w:r>
      <w:proofErr w:type="spellStart"/>
      <w:r w:rsidRPr="00696A3E">
        <w:rPr>
          <w:rFonts w:ascii="Arial" w:hAnsi="Arial" w:cs="Arial"/>
          <w:i/>
          <w:iCs/>
        </w:rPr>
        <w:t>biserrata</w:t>
      </w:r>
      <w:proofErr w:type="spellEnd"/>
      <w:r w:rsidRPr="00696A3E">
        <w:rPr>
          <w:rFonts w:ascii="Arial" w:hAnsi="Arial" w:cs="Arial"/>
          <w:b/>
          <w:bCs/>
        </w:rPr>
        <w:t xml:space="preserve"> </w:t>
      </w:r>
      <w:r w:rsidRPr="00696A3E">
        <w:rPr>
          <w:rFonts w:ascii="Arial" w:hAnsi="Arial" w:cs="Arial"/>
        </w:rPr>
        <w:t>(</w:t>
      </w:r>
      <w:proofErr w:type="spellStart"/>
      <w:r w:rsidRPr="00696A3E">
        <w:rPr>
          <w:rFonts w:ascii="Arial" w:hAnsi="Arial" w:cs="Arial"/>
        </w:rPr>
        <w:t>feuilles</w:t>
      </w:r>
      <w:proofErr w:type="spellEnd"/>
      <w:r w:rsidRPr="00696A3E">
        <w:rPr>
          <w:rFonts w:ascii="Arial" w:hAnsi="Arial" w:cs="Arial"/>
        </w:rPr>
        <w:t xml:space="preserve"> de </w:t>
      </w:r>
      <w:proofErr w:type="spellStart"/>
      <w:r w:rsidRPr="00696A3E">
        <w:rPr>
          <w:rFonts w:ascii="Arial" w:hAnsi="Arial" w:cs="Arial"/>
        </w:rPr>
        <w:t>fougères</w:t>
      </w:r>
      <w:proofErr w:type="spellEnd"/>
      <w:r w:rsidRPr="00696A3E">
        <w:rPr>
          <w:rFonts w:ascii="Arial" w:hAnsi="Arial" w:cs="Arial"/>
        </w:rPr>
        <w:t>)</w:t>
      </w:r>
    </w:p>
    <w:p w14:paraId="698B3DA5" w14:textId="77777777" w:rsidR="00BE64DC" w:rsidRPr="00093408" w:rsidRDefault="00BE64DC" w:rsidP="00BE64DC">
      <w:pPr>
        <w:jc w:val="both"/>
        <w:rPr>
          <w:rFonts w:ascii="Arial" w:hAnsi="Arial" w:cs="Arial"/>
          <w:i/>
          <w:iCs/>
        </w:rPr>
      </w:pPr>
      <w:r w:rsidRPr="00093408">
        <w:rPr>
          <w:rFonts w:ascii="Arial" w:hAnsi="Arial" w:cs="Arial"/>
          <w:i/>
          <w:iCs/>
        </w:rPr>
        <w:t>2.2.2.2. Induction of hemorrhoids</w:t>
      </w:r>
    </w:p>
    <w:p w14:paraId="1DC8D43C" w14:textId="77777777" w:rsidR="00BE64DC" w:rsidRPr="00696A3E" w:rsidRDefault="00BE64DC" w:rsidP="00BE64DC">
      <w:pPr>
        <w:jc w:val="both"/>
        <w:rPr>
          <w:rFonts w:ascii="Arial" w:hAnsi="Arial" w:cs="Arial"/>
        </w:rPr>
      </w:pPr>
      <w:r w:rsidRPr="00696A3E">
        <w:rPr>
          <w:rFonts w:ascii="Arial" w:hAnsi="Arial" w:cs="Arial"/>
        </w:rPr>
        <w:t>Hemorrhoids were induced in rats using a 6% croton oil solution prepared by mixing distilled water, pyridine, acetone, and croton oil in a ratio of 1:4:5:10. Prior to induction, the rats were subjected to overnight fasting.</w:t>
      </w:r>
    </w:p>
    <w:p w14:paraId="3C82CDDA" w14:textId="77777777" w:rsidR="00BE64DC" w:rsidRPr="00696A3E" w:rsidRDefault="00BE64DC" w:rsidP="00BE64DC">
      <w:pPr>
        <w:jc w:val="both"/>
        <w:rPr>
          <w:rFonts w:ascii="Arial" w:hAnsi="Arial" w:cs="Arial"/>
        </w:rPr>
      </w:pPr>
      <w:r w:rsidRPr="00696A3E">
        <w:rPr>
          <w:rFonts w:ascii="Arial" w:hAnsi="Arial" w:cs="Arial"/>
        </w:rPr>
        <w:t xml:space="preserve">Induction was performed in all groups except the normal control by inserting sterile cotton swabs (4 mm in diameter), soaked with 100 </w:t>
      </w:r>
      <w:proofErr w:type="spellStart"/>
      <w:r w:rsidRPr="00696A3E">
        <w:rPr>
          <w:rFonts w:ascii="Arial" w:hAnsi="Arial" w:cs="Arial"/>
        </w:rPr>
        <w:t>μL</w:t>
      </w:r>
      <w:proofErr w:type="spellEnd"/>
      <w:r w:rsidRPr="00696A3E">
        <w:rPr>
          <w:rFonts w:ascii="Arial" w:hAnsi="Arial" w:cs="Arial"/>
        </w:rPr>
        <w:t xml:space="preserve"> of the 6% croton oil solution, into the anus (recto-anal region, approximately 20 mm from the anal opening). This procedure was carried out once daily for three consecutive days</w:t>
      </w:r>
      <w:r>
        <w:rPr>
          <w:rFonts w:ascii="Arial" w:hAnsi="Arial" w:cs="Arial"/>
        </w:rPr>
        <w:t xml:space="preserve"> </w:t>
      </w:r>
      <w:r w:rsidRPr="009C1FD2">
        <w:rPr>
          <w:rFonts w:ascii="Arial" w:hAnsi="Arial" w:cs="Arial"/>
        </w:rPr>
        <w:t>(</w:t>
      </w:r>
      <w:proofErr w:type="spellStart"/>
      <w:r w:rsidRPr="009C1FD2">
        <w:rPr>
          <w:rFonts w:ascii="Arial" w:hAnsi="Arial" w:cs="Arial"/>
        </w:rPr>
        <w:t>Sulistiarini</w:t>
      </w:r>
      <w:proofErr w:type="spellEnd"/>
      <w:r w:rsidRPr="009C1FD2">
        <w:rPr>
          <w:rFonts w:ascii="Arial" w:hAnsi="Arial" w:cs="Arial"/>
        </w:rPr>
        <w:t xml:space="preserve"> et al., 2023).</w:t>
      </w:r>
    </w:p>
    <w:p w14:paraId="011FE5B0" w14:textId="77777777" w:rsidR="00BE64DC" w:rsidRPr="00696A3E" w:rsidRDefault="00BE64DC" w:rsidP="00BE64DC">
      <w:pPr>
        <w:jc w:val="both"/>
        <w:rPr>
          <w:rFonts w:ascii="Arial" w:hAnsi="Arial" w:cs="Arial"/>
        </w:rPr>
      </w:pPr>
      <w:r w:rsidRPr="00696A3E">
        <w:rPr>
          <w:rFonts w:ascii="Arial" w:hAnsi="Arial" w:cs="Arial"/>
        </w:rPr>
        <w:t>On day 4, blood samples were collected to measure erythrocyte sedimentation rate and total protein levels. Photographs of the animals were also taken.</w:t>
      </w:r>
    </w:p>
    <w:p w14:paraId="3FBB3AF9" w14:textId="77777777" w:rsidR="00BE64DC" w:rsidRPr="00093408" w:rsidRDefault="00BE64DC" w:rsidP="00BE64DC">
      <w:pPr>
        <w:jc w:val="both"/>
        <w:rPr>
          <w:rFonts w:ascii="Arial" w:hAnsi="Arial" w:cs="Arial"/>
          <w:i/>
          <w:iCs/>
        </w:rPr>
      </w:pPr>
      <w:r w:rsidRPr="00093408">
        <w:rPr>
          <w:rFonts w:ascii="Arial" w:hAnsi="Arial" w:cs="Arial"/>
          <w:i/>
          <w:iCs/>
        </w:rPr>
        <w:t>2.2.2.3. Anti-hemorrhoidal test and measurement of biological parameters</w:t>
      </w:r>
    </w:p>
    <w:p w14:paraId="0CD2387B" w14:textId="77777777" w:rsidR="00BE64DC" w:rsidRPr="00696A3E" w:rsidRDefault="00BE64DC" w:rsidP="00BE64DC">
      <w:pPr>
        <w:jc w:val="both"/>
        <w:rPr>
          <w:rFonts w:ascii="Arial" w:hAnsi="Arial" w:cs="Arial"/>
        </w:rPr>
      </w:pPr>
      <w:r w:rsidRPr="00696A3E">
        <w:rPr>
          <w:rFonts w:ascii="Arial" w:hAnsi="Arial" w:cs="Arial"/>
        </w:rPr>
        <w:lastRenderedPageBreak/>
        <w:t>On the fourth day, each rat in the test groups received the corresponding treatment dose (Table 1) orally for 5 days. The animals were weighed and anesthetized using ether.</w:t>
      </w:r>
    </w:p>
    <w:p w14:paraId="77CD7356" w14:textId="77777777" w:rsidR="00BE64DC" w:rsidRPr="00696A3E" w:rsidRDefault="00BE64DC" w:rsidP="00BE64DC">
      <w:pPr>
        <w:jc w:val="both"/>
        <w:rPr>
          <w:rFonts w:ascii="Arial" w:hAnsi="Arial" w:cs="Arial"/>
        </w:rPr>
      </w:pPr>
      <w:r w:rsidRPr="00696A3E">
        <w:rPr>
          <w:rFonts w:ascii="Arial" w:hAnsi="Arial" w:cs="Arial"/>
        </w:rPr>
        <w:t>A 1 cm of the rectum was surgically excised from each rat. The rectal tissues were weighed and analyzed to evaluate weight variations between control and treated groups</w:t>
      </w:r>
      <w:r>
        <w:rPr>
          <w:rFonts w:ascii="Arial" w:hAnsi="Arial" w:cs="Arial"/>
        </w:rPr>
        <w:t xml:space="preserve"> </w:t>
      </w:r>
      <w:r w:rsidRPr="00093408">
        <w:rPr>
          <w:rFonts w:ascii="Arial" w:hAnsi="Arial" w:cs="Arial"/>
        </w:rPr>
        <w:t>(</w:t>
      </w:r>
      <w:proofErr w:type="spellStart"/>
      <w:r w:rsidRPr="00093408">
        <w:rPr>
          <w:rFonts w:ascii="Arial" w:hAnsi="Arial" w:cs="Arial"/>
        </w:rPr>
        <w:t>Dhaswadikar</w:t>
      </w:r>
      <w:proofErr w:type="spellEnd"/>
      <w:r w:rsidRPr="00093408">
        <w:rPr>
          <w:rFonts w:ascii="Arial" w:hAnsi="Arial" w:cs="Arial"/>
        </w:rPr>
        <w:t xml:space="preserve"> et al., 2022).</w:t>
      </w:r>
      <w:r>
        <w:rPr>
          <w:rFonts w:ascii="Arial" w:hAnsi="Arial" w:cs="Arial"/>
        </w:rPr>
        <w:t xml:space="preserve"> </w:t>
      </w:r>
      <w:r w:rsidRPr="00696A3E">
        <w:rPr>
          <w:rFonts w:ascii="Arial" w:hAnsi="Arial" w:cs="Arial"/>
        </w:rPr>
        <w:t>Photographs of rats from the different groups were also taken.</w:t>
      </w:r>
    </w:p>
    <w:p w14:paraId="1FCEB456" w14:textId="77777777" w:rsidR="00BE64DC" w:rsidRPr="00093408" w:rsidRDefault="00BE64DC" w:rsidP="00BE64DC">
      <w:pPr>
        <w:jc w:val="both"/>
        <w:rPr>
          <w:rFonts w:ascii="Arial" w:hAnsi="Arial" w:cs="Arial"/>
          <w:i/>
          <w:iCs/>
        </w:rPr>
      </w:pPr>
      <w:r w:rsidRPr="00093408">
        <w:rPr>
          <w:rFonts w:ascii="Arial" w:hAnsi="Arial" w:cs="Arial"/>
          <w:i/>
          <w:iCs/>
        </w:rPr>
        <w:t>2.2.2.4. Recto-anal coefficient (RAC)</w:t>
      </w:r>
    </w:p>
    <w:p w14:paraId="57E91817" w14:textId="77777777" w:rsidR="00BE64DC" w:rsidRPr="00696A3E" w:rsidRDefault="00BE64DC" w:rsidP="00BE64DC">
      <w:pPr>
        <w:jc w:val="both"/>
        <w:rPr>
          <w:rFonts w:ascii="Arial" w:hAnsi="Arial" w:cs="Arial"/>
        </w:rPr>
      </w:pPr>
      <w:r w:rsidRPr="00696A3E">
        <w:rPr>
          <w:rFonts w:ascii="Arial" w:hAnsi="Arial" w:cs="Arial"/>
        </w:rPr>
        <w:t>The recto-anal coefficient (RAC) was calculated using the following equation:</w:t>
      </w:r>
    </w:p>
    <w:p w14:paraId="244E03D2" w14:textId="77777777" w:rsidR="00BE64DC" w:rsidRPr="00696A3E" w:rsidRDefault="00BE64DC" w:rsidP="00BE64DC">
      <w:pPr>
        <w:jc w:val="both"/>
        <w:rPr>
          <w:rFonts w:ascii="Arial" w:hAnsi="Arial" w:cs="Arial"/>
        </w:rPr>
      </w:pPr>
      <w:r w:rsidRPr="00696A3E">
        <w:rPr>
          <w:rFonts w:ascii="Arial" w:hAnsi="Arial" w:cs="Arial"/>
          <w:b/>
          <w:bCs/>
        </w:rPr>
        <w:t>RAC = Recto-anal tissue weight (mg) / Body weight (g)</w:t>
      </w:r>
    </w:p>
    <w:p w14:paraId="5FF5647B" w14:textId="77777777" w:rsidR="00BE64DC" w:rsidRPr="00093408" w:rsidRDefault="00BE64DC" w:rsidP="00BE64DC">
      <w:pPr>
        <w:jc w:val="both"/>
        <w:rPr>
          <w:rFonts w:ascii="Arial" w:hAnsi="Arial" w:cs="Arial"/>
          <w:i/>
          <w:iCs/>
        </w:rPr>
      </w:pPr>
      <w:r w:rsidRPr="00093408">
        <w:rPr>
          <w:rFonts w:ascii="Arial" w:hAnsi="Arial" w:cs="Arial"/>
          <w:i/>
          <w:iCs/>
        </w:rPr>
        <w:t>2.2.2.5. Inflammatory index</w:t>
      </w:r>
    </w:p>
    <w:p w14:paraId="641CB0AD" w14:textId="2412EDC5" w:rsidR="00BE64DC" w:rsidRPr="00696A3E" w:rsidRDefault="00BE64DC" w:rsidP="00BE64DC">
      <w:pPr>
        <w:jc w:val="both"/>
        <w:rPr>
          <w:rFonts w:ascii="Arial" w:hAnsi="Arial" w:cs="Arial"/>
        </w:rPr>
      </w:pPr>
      <w:r w:rsidRPr="00696A3E">
        <w:rPr>
          <w:rFonts w:ascii="Arial" w:hAnsi="Arial" w:cs="Arial"/>
        </w:rPr>
        <w:t xml:space="preserve">The inflammatory index was assessed on day 9. To evaluate the severity of inflammation in the recto-anal region, a scoring system based on clinical hemorrhoidal presentation and severity index was used. Hemorrhoids were graded on a scale from I to </w:t>
      </w:r>
      <w:proofErr w:type="gramStart"/>
      <w:r w:rsidRPr="00696A3E">
        <w:rPr>
          <w:rFonts w:ascii="Arial" w:hAnsi="Arial" w:cs="Arial"/>
        </w:rPr>
        <w:t>IV :</w:t>
      </w:r>
      <w:proofErr w:type="gramEnd"/>
      <w:r w:rsidRPr="00696A3E">
        <w:rPr>
          <w:rFonts w:ascii="Arial" w:hAnsi="Arial" w:cs="Arial"/>
        </w:rPr>
        <w:t xml:space="preserve"> </w:t>
      </w:r>
      <w:r w:rsidRPr="00696A3E">
        <w:rPr>
          <w:rFonts w:ascii="Arial" w:hAnsi="Arial" w:cs="Arial"/>
          <w:b/>
          <w:bCs/>
        </w:rPr>
        <w:t>Grade I :</w:t>
      </w:r>
      <w:r w:rsidRPr="00696A3E">
        <w:rPr>
          <w:rFonts w:ascii="Arial" w:hAnsi="Arial" w:cs="Arial"/>
        </w:rPr>
        <w:t xml:space="preserve"> Anal cushions bleed but do not prolapse; </w:t>
      </w:r>
      <w:r w:rsidRPr="00696A3E">
        <w:rPr>
          <w:rFonts w:ascii="Arial" w:hAnsi="Arial" w:cs="Arial"/>
          <w:b/>
          <w:bCs/>
        </w:rPr>
        <w:t>Grade II :</w:t>
      </w:r>
      <w:r w:rsidRPr="00696A3E">
        <w:rPr>
          <w:rFonts w:ascii="Arial" w:hAnsi="Arial" w:cs="Arial"/>
        </w:rPr>
        <w:t xml:space="preserve"> Anal cushions prolapse during straining but reduce spontaneously; </w:t>
      </w:r>
      <w:r w:rsidRPr="00696A3E">
        <w:rPr>
          <w:rFonts w:ascii="Arial" w:hAnsi="Arial" w:cs="Arial"/>
          <w:b/>
          <w:bCs/>
        </w:rPr>
        <w:t>Grade III :</w:t>
      </w:r>
      <w:r w:rsidRPr="00696A3E">
        <w:rPr>
          <w:rFonts w:ascii="Arial" w:hAnsi="Arial" w:cs="Arial"/>
        </w:rPr>
        <w:t xml:space="preserve"> Anal cushions prolapse during straining and require manual reduction; </w:t>
      </w:r>
      <w:r w:rsidRPr="00696A3E">
        <w:rPr>
          <w:rFonts w:ascii="Arial" w:hAnsi="Arial" w:cs="Arial"/>
          <w:b/>
          <w:bCs/>
        </w:rPr>
        <w:t>Grade IV :</w:t>
      </w:r>
      <w:r w:rsidRPr="00696A3E">
        <w:rPr>
          <w:rFonts w:ascii="Arial" w:hAnsi="Arial" w:cs="Arial"/>
        </w:rPr>
        <w:t xml:space="preserve"> Prolapsed tissue remains permanently outside and is irreducible</w:t>
      </w:r>
      <w:r>
        <w:rPr>
          <w:rFonts w:ascii="Arial" w:hAnsi="Arial" w:cs="Arial"/>
        </w:rPr>
        <w:t xml:space="preserve"> </w:t>
      </w:r>
      <w:r w:rsidRPr="00093408">
        <w:rPr>
          <w:rFonts w:ascii="Arial" w:hAnsi="Arial" w:cs="Arial"/>
        </w:rPr>
        <w:t>(</w:t>
      </w:r>
      <w:proofErr w:type="spellStart"/>
      <w:r w:rsidRPr="00093408">
        <w:rPr>
          <w:rFonts w:ascii="Arial" w:hAnsi="Arial" w:cs="Arial"/>
        </w:rPr>
        <w:t>Dhaswadikar</w:t>
      </w:r>
      <w:proofErr w:type="spellEnd"/>
      <w:r w:rsidRPr="00093408">
        <w:rPr>
          <w:rFonts w:ascii="Arial" w:hAnsi="Arial" w:cs="Arial"/>
        </w:rPr>
        <w:t xml:space="preserve"> et al., 2022)</w:t>
      </w:r>
      <w:r w:rsidRPr="00696A3E">
        <w:rPr>
          <w:rFonts w:ascii="Arial" w:hAnsi="Arial" w:cs="Arial"/>
        </w:rPr>
        <w:t>.</w:t>
      </w:r>
    </w:p>
    <w:p w14:paraId="3BB2CF90" w14:textId="77777777" w:rsidR="00BE64DC" w:rsidRPr="00093408" w:rsidRDefault="00BE64DC" w:rsidP="00BE64DC">
      <w:pPr>
        <w:jc w:val="both"/>
        <w:rPr>
          <w:rFonts w:ascii="Arial" w:hAnsi="Arial" w:cs="Arial"/>
          <w:i/>
          <w:iCs/>
        </w:rPr>
      </w:pPr>
      <w:r w:rsidRPr="00093408">
        <w:rPr>
          <w:rFonts w:ascii="Arial" w:hAnsi="Arial" w:cs="Arial"/>
          <w:i/>
          <w:iCs/>
        </w:rPr>
        <w:t>2.2.2.6. Biochemical parameters</w:t>
      </w:r>
    </w:p>
    <w:p w14:paraId="55D1A4AC" w14:textId="77777777" w:rsidR="00BE64DC" w:rsidRPr="00696A3E" w:rsidRDefault="00BE64DC" w:rsidP="00BE64DC">
      <w:pPr>
        <w:jc w:val="both"/>
        <w:rPr>
          <w:rFonts w:ascii="Arial" w:hAnsi="Arial" w:cs="Arial"/>
        </w:rPr>
      </w:pPr>
      <w:r w:rsidRPr="00696A3E">
        <w:rPr>
          <w:rFonts w:ascii="Arial" w:hAnsi="Arial" w:cs="Arial"/>
        </w:rPr>
        <w:t>On day 9, blood samples were collected from all animals to measure erythrocyte sedimentation rate, total protein levels, aspartate aminotransferase (ASAT), and alanine aminotransferase (ALAT), in accordance with OECD guidelines (2025)</w:t>
      </w:r>
      <w:r>
        <w:rPr>
          <w:rFonts w:ascii="Arial" w:hAnsi="Arial" w:cs="Arial"/>
        </w:rPr>
        <w:t>.</w:t>
      </w:r>
    </w:p>
    <w:p w14:paraId="66A740C2" w14:textId="77777777" w:rsidR="00BE64DC" w:rsidRPr="00093408" w:rsidRDefault="00BE64DC" w:rsidP="00BE64DC">
      <w:pPr>
        <w:jc w:val="both"/>
        <w:rPr>
          <w:rFonts w:ascii="Arial" w:hAnsi="Arial" w:cs="Arial"/>
          <w:b/>
          <w:bCs/>
          <w:sz w:val="22"/>
          <w:szCs w:val="22"/>
        </w:rPr>
      </w:pPr>
      <w:r w:rsidRPr="00093408">
        <w:rPr>
          <w:rFonts w:ascii="Arial" w:hAnsi="Arial" w:cs="Arial"/>
          <w:b/>
          <w:bCs/>
          <w:sz w:val="22"/>
          <w:szCs w:val="22"/>
        </w:rPr>
        <w:t>2.2.3. Data processing and analysis</w:t>
      </w:r>
    </w:p>
    <w:p w14:paraId="396C505B" w14:textId="77777777" w:rsidR="00BE64DC" w:rsidRPr="00696A3E" w:rsidRDefault="00BE64DC" w:rsidP="00BE64DC">
      <w:pPr>
        <w:jc w:val="both"/>
        <w:rPr>
          <w:rFonts w:ascii="Arial" w:hAnsi="Arial" w:cs="Arial"/>
        </w:rPr>
      </w:pPr>
      <w:r w:rsidRPr="00696A3E">
        <w:rPr>
          <w:rFonts w:ascii="Arial" w:hAnsi="Arial" w:cs="Arial"/>
        </w:rPr>
        <w:t>The collected data were entered into Microsoft Excel 2013 and subjected to appropriate statistical analyses. All results were expressed as mean ± standard deviation. Analysis of variance (ANOVA), followed by Tukey’s multiple comparison test, was used to compare percentages and variation rates. The level of statistical significance was set at 5% (p &lt; 0.05).</w:t>
      </w:r>
    </w:p>
    <w:p w14:paraId="58713A4F" w14:textId="77777777" w:rsidR="00790ADA" w:rsidRPr="00FB3A86" w:rsidRDefault="00790ADA" w:rsidP="00441B6F">
      <w:pPr>
        <w:pStyle w:val="Body"/>
        <w:spacing w:after="0"/>
        <w:rPr>
          <w:rFonts w:ascii="Arial" w:hAnsi="Arial" w:cs="Arial"/>
        </w:rPr>
      </w:pPr>
    </w:p>
    <w:p w14:paraId="0AD6D9C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12AC06B" w14:textId="77777777" w:rsidR="00B420F2" w:rsidRPr="00EC2683" w:rsidRDefault="00B420F2" w:rsidP="00B420F2">
      <w:pPr>
        <w:jc w:val="both"/>
        <w:rPr>
          <w:rFonts w:ascii="Arial" w:hAnsi="Arial" w:cs="Arial"/>
          <w:b/>
          <w:bCs/>
          <w:sz w:val="22"/>
          <w:szCs w:val="22"/>
        </w:rPr>
      </w:pPr>
      <w:r w:rsidRPr="00EC2683">
        <w:rPr>
          <w:rFonts w:ascii="Arial" w:hAnsi="Arial" w:cs="Arial"/>
          <w:b/>
          <w:bCs/>
          <w:sz w:val="22"/>
          <w:szCs w:val="22"/>
        </w:rPr>
        <w:t>3.1. Yield and Physical Appearance of the Extract</w:t>
      </w:r>
    </w:p>
    <w:p w14:paraId="1ED51788" w14:textId="77777777" w:rsidR="00B420F2" w:rsidRPr="00B420F2" w:rsidRDefault="00B420F2" w:rsidP="00B420F2">
      <w:pPr>
        <w:pStyle w:val="Body"/>
        <w:spacing w:after="0"/>
        <w:rPr>
          <w:rFonts w:ascii="Arial" w:hAnsi="Arial" w:cs="Arial"/>
        </w:rPr>
      </w:pPr>
      <w:r w:rsidRPr="00B420F2">
        <w:rPr>
          <w:rFonts w:ascii="Arial" w:hAnsi="Arial" w:cs="Arial"/>
        </w:rPr>
        <w:t>Table 2 presents the two plant extracts obtained using the hydroethanolic solvent (30/70), coded as SPA (</w:t>
      </w:r>
      <w:r w:rsidRPr="00B420F2">
        <w:rPr>
          <w:rFonts w:ascii="Arial" w:hAnsi="Arial" w:cs="Arial"/>
          <w:i/>
          <w:iCs/>
        </w:rPr>
        <w:t>Persea americana</w:t>
      </w:r>
      <w:r w:rsidRPr="00B420F2">
        <w:rPr>
          <w:rFonts w:ascii="Arial" w:hAnsi="Arial" w:cs="Arial"/>
        </w:rPr>
        <w:t xml:space="preserve"> seeds) and NB (</w:t>
      </w:r>
      <w:r w:rsidRPr="00B420F2">
        <w:rPr>
          <w:rFonts w:ascii="Arial" w:hAnsi="Arial" w:cs="Arial"/>
          <w:i/>
          <w:iCs/>
        </w:rPr>
        <w:t>Nephrolepis biserrata</w:t>
      </w:r>
      <w:r w:rsidRPr="00B420F2">
        <w:rPr>
          <w:rFonts w:ascii="Arial" w:hAnsi="Arial" w:cs="Arial"/>
        </w:rPr>
        <w:t>). Both extracts have a pasty appearance, reflecting a concentration of compounds soluble in water and alcohol (hydrosoluble and liposoluble).</w:t>
      </w:r>
    </w:p>
    <w:p w14:paraId="6FF47965" w14:textId="03AE141A" w:rsidR="00B420F2" w:rsidRDefault="00B420F2" w:rsidP="00B420F2">
      <w:pPr>
        <w:pStyle w:val="Body"/>
        <w:jc w:val="center"/>
        <w:rPr>
          <w:rFonts w:ascii="Arial" w:hAnsi="Arial" w:cs="Arial"/>
          <w:b/>
          <w:bCs/>
        </w:rPr>
      </w:pPr>
      <w:r w:rsidRPr="00B420F2">
        <w:rPr>
          <w:rFonts w:ascii="Arial" w:hAnsi="Arial" w:cs="Arial"/>
          <w:b/>
          <w:bCs/>
        </w:rPr>
        <w:t>Table 2</w:t>
      </w:r>
      <w:r w:rsidR="00271C4B">
        <w:rPr>
          <w:rFonts w:ascii="Arial" w:hAnsi="Arial" w:cs="Arial"/>
          <w:b/>
          <w:bCs/>
        </w:rPr>
        <w:t>.</w:t>
      </w:r>
      <w:r w:rsidRPr="00B420F2">
        <w:rPr>
          <w:rFonts w:ascii="Arial" w:hAnsi="Arial" w:cs="Arial"/>
          <w:b/>
          <w:bCs/>
        </w:rPr>
        <w:t xml:space="preserve"> Physical Appearance and Codes</w:t>
      </w:r>
    </w:p>
    <w:tbl>
      <w:tblPr>
        <w:tblStyle w:val="ListTable6Colorful"/>
        <w:tblW w:w="0" w:type="auto"/>
        <w:jc w:val="center"/>
        <w:tblLook w:val="04A0" w:firstRow="1" w:lastRow="0" w:firstColumn="1" w:lastColumn="0" w:noHBand="0" w:noVBand="1"/>
      </w:tblPr>
      <w:tblGrid>
        <w:gridCol w:w="4574"/>
        <w:gridCol w:w="2195"/>
        <w:gridCol w:w="2072"/>
        <w:gridCol w:w="828"/>
      </w:tblGrid>
      <w:tr w:rsidR="00B420F2" w:rsidRPr="00EC2683" w14:paraId="090B94C3" w14:textId="77777777" w:rsidTr="00271C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01EF31" w14:textId="77777777" w:rsidR="00B420F2" w:rsidRPr="00EC2683" w:rsidRDefault="00B420F2" w:rsidP="00FE6291">
            <w:pPr>
              <w:autoSpaceDN w:val="0"/>
              <w:jc w:val="center"/>
              <w:rPr>
                <w:rFonts w:ascii="Arial" w:hAnsi="Arial" w:cs="Arial"/>
                <w:b w:val="0"/>
                <w:bCs w:val="0"/>
              </w:rPr>
            </w:pPr>
            <w:r w:rsidRPr="00EC2683">
              <w:rPr>
                <w:rFonts w:ascii="Arial" w:hAnsi="Arial" w:cs="Arial"/>
              </w:rPr>
              <w:t>Extracts</w:t>
            </w:r>
          </w:p>
        </w:tc>
        <w:tc>
          <w:tcPr>
            <w:tcW w:w="0" w:type="auto"/>
            <w:hideMark/>
          </w:tcPr>
          <w:p w14:paraId="1C41EDB7" w14:textId="77777777" w:rsidR="00B420F2" w:rsidRPr="00EC2683" w:rsidRDefault="00B420F2" w:rsidP="00FE6291">
            <w:pPr>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C2683">
              <w:rPr>
                <w:rFonts w:ascii="Arial" w:hAnsi="Arial" w:cs="Arial"/>
              </w:rPr>
              <w:t>Physical appearance</w:t>
            </w:r>
          </w:p>
        </w:tc>
        <w:tc>
          <w:tcPr>
            <w:tcW w:w="0" w:type="auto"/>
            <w:hideMark/>
          </w:tcPr>
          <w:p w14:paraId="284940D3" w14:textId="77777777" w:rsidR="00B420F2" w:rsidRPr="00EC2683" w:rsidRDefault="00B420F2" w:rsidP="00FE6291">
            <w:pPr>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C2683">
              <w:rPr>
                <w:rFonts w:ascii="Arial" w:hAnsi="Arial" w:cs="Arial"/>
              </w:rPr>
              <w:t>Extraction yield (%)</w:t>
            </w:r>
          </w:p>
        </w:tc>
        <w:tc>
          <w:tcPr>
            <w:tcW w:w="0" w:type="auto"/>
            <w:hideMark/>
          </w:tcPr>
          <w:p w14:paraId="1D48B319" w14:textId="77777777" w:rsidR="00B420F2" w:rsidRPr="00EC2683" w:rsidRDefault="00B420F2" w:rsidP="00FE6291">
            <w:pPr>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C2683">
              <w:rPr>
                <w:rFonts w:ascii="Arial" w:hAnsi="Arial" w:cs="Arial"/>
              </w:rPr>
              <w:t>Codes</w:t>
            </w:r>
          </w:p>
        </w:tc>
      </w:tr>
      <w:tr w:rsidR="00B420F2" w:rsidRPr="00EC2683" w14:paraId="4173616E"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C56A5AE" w14:textId="77777777" w:rsidR="00B420F2" w:rsidRPr="00EC2683" w:rsidRDefault="00B420F2" w:rsidP="00FE6291">
            <w:pPr>
              <w:autoSpaceDN w:val="0"/>
              <w:jc w:val="center"/>
              <w:rPr>
                <w:rFonts w:ascii="Arial" w:hAnsi="Arial" w:cs="Arial"/>
              </w:rPr>
            </w:pPr>
            <w:proofErr w:type="spellStart"/>
            <w:r w:rsidRPr="00EC2683">
              <w:rPr>
                <w:rFonts w:ascii="Arial" w:hAnsi="Arial" w:cs="Arial"/>
                <w:i/>
                <w:iCs/>
              </w:rPr>
              <w:t>Persea</w:t>
            </w:r>
            <w:proofErr w:type="spellEnd"/>
            <w:r w:rsidRPr="00EC2683">
              <w:rPr>
                <w:rFonts w:ascii="Arial" w:hAnsi="Arial" w:cs="Arial"/>
                <w:i/>
                <w:iCs/>
              </w:rPr>
              <w:t xml:space="preserve"> </w:t>
            </w:r>
            <w:proofErr w:type="spellStart"/>
            <w:r w:rsidRPr="00EC2683">
              <w:rPr>
                <w:rFonts w:ascii="Arial" w:hAnsi="Arial" w:cs="Arial"/>
                <w:i/>
                <w:iCs/>
              </w:rPr>
              <w:t>americana</w:t>
            </w:r>
            <w:proofErr w:type="spellEnd"/>
            <w:r w:rsidRPr="00EC2683">
              <w:rPr>
                <w:rFonts w:ascii="Arial" w:hAnsi="Arial" w:cs="Arial"/>
              </w:rPr>
              <w:t xml:space="preserve"> seeds water/ethanol (30/70)</w:t>
            </w:r>
          </w:p>
        </w:tc>
        <w:tc>
          <w:tcPr>
            <w:tcW w:w="0" w:type="auto"/>
            <w:shd w:val="clear" w:color="auto" w:fill="auto"/>
            <w:hideMark/>
          </w:tcPr>
          <w:p w14:paraId="431EB776" w14:textId="77777777" w:rsidR="00B420F2" w:rsidRPr="00EC2683" w:rsidRDefault="00B420F2" w:rsidP="00FE6291">
            <w:pPr>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2683">
              <w:rPr>
                <w:rFonts w:ascii="Arial" w:hAnsi="Arial" w:cs="Arial"/>
              </w:rPr>
              <w:t>Paste</w:t>
            </w:r>
          </w:p>
        </w:tc>
        <w:tc>
          <w:tcPr>
            <w:tcW w:w="0" w:type="auto"/>
            <w:shd w:val="clear" w:color="auto" w:fill="auto"/>
            <w:hideMark/>
          </w:tcPr>
          <w:p w14:paraId="0C710D00" w14:textId="77777777" w:rsidR="00B420F2" w:rsidRPr="00EC2683" w:rsidRDefault="00B420F2" w:rsidP="00FE6291">
            <w:pPr>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2683">
              <w:rPr>
                <w:rFonts w:ascii="Arial" w:hAnsi="Arial" w:cs="Arial"/>
              </w:rPr>
              <w:t>14.36 ± 1.44</w:t>
            </w:r>
          </w:p>
        </w:tc>
        <w:tc>
          <w:tcPr>
            <w:tcW w:w="0" w:type="auto"/>
            <w:shd w:val="clear" w:color="auto" w:fill="auto"/>
            <w:hideMark/>
          </w:tcPr>
          <w:p w14:paraId="680C7863" w14:textId="77777777" w:rsidR="00B420F2" w:rsidRPr="00EC2683" w:rsidRDefault="00B420F2" w:rsidP="00FE6291">
            <w:pPr>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C2683">
              <w:rPr>
                <w:rFonts w:ascii="Arial" w:hAnsi="Arial" w:cs="Arial"/>
                <w:b/>
                <w:bCs/>
              </w:rPr>
              <w:t>SPA</w:t>
            </w:r>
          </w:p>
        </w:tc>
      </w:tr>
      <w:tr w:rsidR="00B420F2" w:rsidRPr="00EC2683" w14:paraId="75E49103" w14:textId="77777777" w:rsidTr="00271C4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26D8F48" w14:textId="77777777" w:rsidR="00B420F2" w:rsidRPr="00EC2683" w:rsidRDefault="00B420F2" w:rsidP="00FE6291">
            <w:pPr>
              <w:autoSpaceDN w:val="0"/>
              <w:jc w:val="center"/>
              <w:rPr>
                <w:rFonts w:ascii="Arial" w:hAnsi="Arial" w:cs="Arial"/>
              </w:rPr>
            </w:pPr>
            <w:proofErr w:type="spellStart"/>
            <w:r w:rsidRPr="00EC2683">
              <w:rPr>
                <w:rFonts w:ascii="Arial" w:hAnsi="Arial" w:cs="Arial"/>
                <w:i/>
                <w:iCs/>
              </w:rPr>
              <w:t>Nephrolepis</w:t>
            </w:r>
            <w:proofErr w:type="spellEnd"/>
            <w:r w:rsidRPr="00EC2683">
              <w:rPr>
                <w:rFonts w:ascii="Arial" w:hAnsi="Arial" w:cs="Arial"/>
                <w:i/>
                <w:iCs/>
              </w:rPr>
              <w:t xml:space="preserve"> </w:t>
            </w:r>
            <w:proofErr w:type="spellStart"/>
            <w:r w:rsidRPr="00EC2683">
              <w:rPr>
                <w:rFonts w:ascii="Arial" w:hAnsi="Arial" w:cs="Arial"/>
                <w:i/>
                <w:iCs/>
              </w:rPr>
              <w:t>biserrata</w:t>
            </w:r>
            <w:proofErr w:type="spellEnd"/>
            <w:r w:rsidRPr="00EC2683">
              <w:rPr>
                <w:rFonts w:ascii="Arial" w:hAnsi="Arial" w:cs="Arial"/>
              </w:rPr>
              <w:t xml:space="preserve"> water/ethanol (30/70)</w:t>
            </w:r>
          </w:p>
        </w:tc>
        <w:tc>
          <w:tcPr>
            <w:tcW w:w="0" w:type="auto"/>
          </w:tcPr>
          <w:p w14:paraId="401E7A39" w14:textId="77777777" w:rsidR="00B420F2" w:rsidRPr="00EC2683" w:rsidRDefault="00B420F2" w:rsidP="00FE6291">
            <w:pPr>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2683">
              <w:rPr>
                <w:rFonts w:ascii="Arial" w:hAnsi="Arial" w:cs="Arial"/>
              </w:rPr>
              <w:t>Paste</w:t>
            </w:r>
          </w:p>
        </w:tc>
        <w:tc>
          <w:tcPr>
            <w:tcW w:w="0" w:type="auto"/>
          </w:tcPr>
          <w:p w14:paraId="6C43B7F8" w14:textId="77777777" w:rsidR="00B420F2" w:rsidRPr="00EC2683" w:rsidRDefault="00B420F2" w:rsidP="00FE6291">
            <w:pPr>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2683">
              <w:rPr>
                <w:rFonts w:ascii="Arial" w:hAnsi="Arial" w:cs="Arial"/>
              </w:rPr>
              <w:t>16,36 ± 1,83</w:t>
            </w:r>
          </w:p>
        </w:tc>
        <w:tc>
          <w:tcPr>
            <w:tcW w:w="0" w:type="auto"/>
          </w:tcPr>
          <w:p w14:paraId="7CF59F13" w14:textId="77777777" w:rsidR="00B420F2" w:rsidRPr="00EC2683" w:rsidRDefault="00B420F2" w:rsidP="00FE6291">
            <w:pPr>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2683">
              <w:rPr>
                <w:rFonts w:ascii="Arial" w:hAnsi="Arial" w:cs="Arial"/>
                <w:b/>
                <w:bCs/>
              </w:rPr>
              <w:t>NB</w:t>
            </w:r>
          </w:p>
        </w:tc>
      </w:tr>
    </w:tbl>
    <w:p w14:paraId="6FD021C4" w14:textId="77777777" w:rsidR="00B420F2" w:rsidRPr="00B420F2" w:rsidRDefault="00B420F2" w:rsidP="00B420F2">
      <w:pPr>
        <w:pStyle w:val="Body"/>
        <w:spacing w:after="0"/>
        <w:jc w:val="center"/>
        <w:rPr>
          <w:rFonts w:ascii="Arial" w:hAnsi="Arial" w:cs="Arial"/>
        </w:rPr>
      </w:pPr>
    </w:p>
    <w:p w14:paraId="05BA6C29" w14:textId="77777777" w:rsidR="00B420F2" w:rsidRPr="00B420F2" w:rsidRDefault="00B420F2" w:rsidP="00B420F2">
      <w:pPr>
        <w:pStyle w:val="Body"/>
        <w:spacing w:after="0"/>
        <w:rPr>
          <w:rFonts w:ascii="Arial" w:hAnsi="Arial" w:cs="Arial"/>
        </w:rPr>
      </w:pPr>
      <w:r w:rsidRPr="00B420F2">
        <w:rPr>
          <w:rFonts w:ascii="Arial" w:hAnsi="Arial" w:cs="Arial"/>
        </w:rPr>
        <w:t xml:space="preserve">The extraction yield of NB (16.36 ± 1.83%) is higher than that of SPA (14.36 ± 1.44%), suggesting a better affinity of the constituents of </w:t>
      </w:r>
      <w:r w:rsidRPr="00B420F2">
        <w:rPr>
          <w:rFonts w:ascii="Arial" w:hAnsi="Arial" w:cs="Arial"/>
          <w:i/>
          <w:iCs/>
        </w:rPr>
        <w:t>Nephrolepis biserrata</w:t>
      </w:r>
      <w:r w:rsidRPr="00B420F2">
        <w:rPr>
          <w:rFonts w:ascii="Arial" w:hAnsi="Arial" w:cs="Arial"/>
        </w:rPr>
        <w:t>. The comparison highlights a quantitative difference without a change in physical appearance, implying that the chemical composition could be very similar.</w:t>
      </w:r>
    </w:p>
    <w:p w14:paraId="5BD412F2" w14:textId="77777777" w:rsidR="00B420F2" w:rsidRPr="00B420F2" w:rsidRDefault="00B420F2" w:rsidP="00B420F2">
      <w:pPr>
        <w:pStyle w:val="Body"/>
        <w:rPr>
          <w:rFonts w:ascii="Arial" w:hAnsi="Arial" w:cs="Arial"/>
        </w:rPr>
      </w:pPr>
      <w:r w:rsidRPr="00B420F2">
        <w:rPr>
          <w:rFonts w:ascii="Arial" w:hAnsi="Arial" w:cs="Arial"/>
        </w:rPr>
        <w:t>These results are consistent with the literature, which shows that hydroethanolic solvents promote the extraction of polyphenols and other lipid-soluble bioactive metabolites (Azwanida et al., 2015; Komlaga et al., 2015).</w:t>
      </w:r>
    </w:p>
    <w:p w14:paraId="2FB8C9DC" w14:textId="4AA7C9CD" w:rsidR="004D02FB" w:rsidRDefault="004D02FB" w:rsidP="00B420F2">
      <w:pPr>
        <w:pStyle w:val="Body"/>
        <w:rPr>
          <w:rFonts w:ascii="Arial" w:hAnsi="Arial" w:cs="Arial"/>
          <w:b/>
          <w:bCs/>
          <w:sz w:val="22"/>
          <w:szCs w:val="22"/>
        </w:rPr>
      </w:pPr>
      <w:r w:rsidRPr="004D02FB">
        <w:rPr>
          <w:rFonts w:ascii="Arial" w:hAnsi="Arial" w:cs="Arial"/>
          <w:b/>
          <w:bCs/>
          <w:sz w:val="22"/>
          <w:szCs w:val="22"/>
        </w:rPr>
        <w:t>3.2. Phytochemical Composition of extracts</w:t>
      </w:r>
    </w:p>
    <w:p w14:paraId="53ECA137" w14:textId="77777777" w:rsidR="004D02FB" w:rsidRPr="004D02FB" w:rsidRDefault="004D02FB" w:rsidP="004D02FB">
      <w:pPr>
        <w:pStyle w:val="Body"/>
        <w:spacing w:after="0"/>
        <w:rPr>
          <w:rFonts w:ascii="Arial" w:hAnsi="Arial" w:cs="Arial"/>
        </w:rPr>
      </w:pPr>
      <w:r w:rsidRPr="004D02FB">
        <w:rPr>
          <w:rFonts w:ascii="Arial" w:hAnsi="Arial" w:cs="Arial"/>
        </w:rPr>
        <w:t>Table 3 presents the phytochemical composition of the SPA (</w:t>
      </w:r>
      <w:r w:rsidRPr="004D02FB">
        <w:rPr>
          <w:rFonts w:ascii="Arial" w:hAnsi="Arial" w:cs="Arial"/>
          <w:i/>
          <w:iCs/>
        </w:rPr>
        <w:t>Persea americana</w:t>
      </w:r>
      <w:r w:rsidRPr="004D02FB">
        <w:rPr>
          <w:rFonts w:ascii="Arial" w:hAnsi="Arial" w:cs="Arial"/>
        </w:rPr>
        <w:t>) and NB (</w:t>
      </w:r>
      <w:r w:rsidRPr="004D02FB">
        <w:rPr>
          <w:rFonts w:ascii="Arial" w:hAnsi="Arial" w:cs="Arial"/>
          <w:i/>
          <w:iCs/>
        </w:rPr>
        <w:t>Nephrolepis biserrata</w:t>
      </w:r>
      <w:r w:rsidRPr="004D02FB">
        <w:rPr>
          <w:rFonts w:ascii="Arial" w:hAnsi="Arial" w:cs="Arial"/>
        </w:rPr>
        <w:t>) extracts. Both extracts contain reducing compounds, alkaloids, flavonoids, quinones, saponins, and terpenoids, indicating a shared bioactive potential.</w:t>
      </w:r>
    </w:p>
    <w:p w14:paraId="37F1AA53" w14:textId="4D5D6ABF" w:rsidR="004D02FB" w:rsidRPr="004D02FB" w:rsidRDefault="004D02FB" w:rsidP="004D02FB">
      <w:pPr>
        <w:pStyle w:val="Body"/>
        <w:rPr>
          <w:rFonts w:ascii="Arial" w:hAnsi="Arial" w:cs="Arial"/>
        </w:rPr>
      </w:pPr>
      <w:r w:rsidRPr="004D02FB">
        <w:rPr>
          <w:rFonts w:ascii="Arial" w:hAnsi="Arial" w:cs="Arial"/>
        </w:rPr>
        <w:t>The analysis shows that NB has a slightly higher flavonoid content (38.5 mg QE/g) than SPA (35.76 mg QE/g), whereas SPA exhibits a significantly higher total polyphenol concentration (289.6 mg GAE/g versus 75 mg GAE/g)</w:t>
      </w:r>
      <w:r w:rsidR="009B18DA">
        <w:rPr>
          <w:rFonts w:ascii="Arial" w:hAnsi="Arial" w:cs="Arial"/>
        </w:rPr>
        <w:t xml:space="preserve"> </w:t>
      </w:r>
      <w:r w:rsidR="009B18DA" w:rsidRPr="00696A3E">
        <w:rPr>
          <w:rFonts w:ascii="Arial" w:hAnsi="Arial" w:cs="Arial"/>
        </w:rPr>
        <w:t>(p &lt; 0.05)</w:t>
      </w:r>
      <w:r w:rsidRPr="004D02FB">
        <w:rPr>
          <w:rFonts w:ascii="Arial" w:hAnsi="Arial" w:cs="Arial"/>
        </w:rPr>
        <w:t>. Additionally, catechic tannins and anthocyanins are present only in SPA, suggesting a more chemically diverse profile.</w:t>
      </w:r>
    </w:p>
    <w:p w14:paraId="42159FB0" w14:textId="28C51F7D" w:rsidR="00B420F2" w:rsidRPr="004D02FB" w:rsidRDefault="00B420F2" w:rsidP="00271C4B">
      <w:pPr>
        <w:jc w:val="center"/>
        <w:rPr>
          <w:rFonts w:ascii="Arial" w:hAnsi="Arial" w:cs="Arial"/>
          <w:b/>
          <w:bCs/>
        </w:rPr>
      </w:pPr>
      <w:r w:rsidRPr="004D02FB">
        <w:rPr>
          <w:rFonts w:ascii="Arial" w:hAnsi="Arial" w:cs="Arial"/>
          <w:b/>
          <w:bCs/>
        </w:rPr>
        <w:t>Table 3</w:t>
      </w:r>
      <w:r w:rsidR="00271C4B">
        <w:rPr>
          <w:rFonts w:ascii="Arial" w:hAnsi="Arial" w:cs="Arial"/>
          <w:b/>
          <w:bCs/>
        </w:rPr>
        <w:t>.</w:t>
      </w:r>
      <w:r w:rsidRPr="004D02FB">
        <w:rPr>
          <w:rFonts w:ascii="Arial" w:hAnsi="Arial" w:cs="Arial"/>
          <w:b/>
          <w:bCs/>
        </w:rPr>
        <w:t xml:space="preserve"> Phytochemical Composition of </w:t>
      </w:r>
      <w:proofErr w:type="spellStart"/>
      <w:r w:rsidRPr="004D02FB">
        <w:rPr>
          <w:rFonts w:ascii="Arial" w:hAnsi="Arial" w:cs="Arial"/>
          <w:b/>
          <w:bCs/>
          <w:i/>
          <w:iCs/>
        </w:rPr>
        <w:t>Nephrolepis</w:t>
      </w:r>
      <w:proofErr w:type="spellEnd"/>
      <w:r w:rsidRPr="004D02FB">
        <w:rPr>
          <w:rFonts w:ascii="Arial" w:hAnsi="Arial" w:cs="Arial"/>
          <w:b/>
          <w:bCs/>
          <w:i/>
          <w:iCs/>
        </w:rPr>
        <w:t xml:space="preserve"> </w:t>
      </w:r>
      <w:proofErr w:type="spellStart"/>
      <w:r w:rsidRPr="004D02FB">
        <w:rPr>
          <w:rFonts w:ascii="Arial" w:hAnsi="Arial" w:cs="Arial"/>
          <w:b/>
          <w:bCs/>
          <w:i/>
          <w:iCs/>
        </w:rPr>
        <w:t>biserrata</w:t>
      </w:r>
      <w:proofErr w:type="spellEnd"/>
      <w:r w:rsidRPr="004D02FB">
        <w:rPr>
          <w:rFonts w:ascii="Arial" w:hAnsi="Arial" w:cs="Arial"/>
          <w:b/>
          <w:bCs/>
        </w:rPr>
        <w:t xml:space="preserve"> (NB) and SPA (</w:t>
      </w:r>
      <w:r w:rsidRPr="004D02FB">
        <w:rPr>
          <w:rFonts w:ascii="Arial" w:hAnsi="Arial" w:cs="Arial"/>
          <w:b/>
          <w:bCs/>
          <w:i/>
          <w:iCs/>
        </w:rPr>
        <w:t xml:space="preserve">Persea americana </w:t>
      </w:r>
      <w:r w:rsidRPr="004D02FB">
        <w:rPr>
          <w:rFonts w:ascii="Arial" w:hAnsi="Arial" w:cs="Arial"/>
          <w:b/>
          <w:bCs/>
        </w:rPr>
        <w:t>seeds)</w:t>
      </w:r>
    </w:p>
    <w:tbl>
      <w:tblPr>
        <w:tblStyle w:val="TableGrid"/>
        <w:tblW w:w="9497" w:type="dxa"/>
        <w:jc w:val="center"/>
        <w:tblLayout w:type="fixed"/>
        <w:tblLook w:val="04A0" w:firstRow="1" w:lastRow="0" w:firstColumn="1" w:lastColumn="0" w:noHBand="0" w:noVBand="1"/>
      </w:tblPr>
      <w:tblGrid>
        <w:gridCol w:w="709"/>
        <w:gridCol w:w="709"/>
        <w:gridCol w:w="425"/>
        <w:gridCol w:w="850"/>
        <w:gridCol w:w="709"/>
        <w:gridCol w:w="425"/>
        <w:gridCol w:w="426"/>
        <w:gridCol w:w="708"/>
        <w:gridCol w:w="709"/>
        <w:gridCol w:w="425"/>
        <w:gridCol w:w="426"/>
        <w:gridCol w:w="425"/>
        <w:gridCol w:w="425"/>
        <w:gridCol w:w="709"/>
        <w:gridCol w:w="425"/>
        <w:gridCol w:w="992"/>
      </w:tblGrid>
      <w:tr w:rsidR="00B420F2" w:rsidRPr="00EC2683" w14:paraId="4F4697CF" w14:textId="77777777" w:rsidTr="00271C4B">
        <w:trPr>
          <w:cantSplit/>
          <w:trHeight w:val="1630"/>
          <w:jc w:val="center"/>
        </w:trPr>
        <w:tc>
          <w:tcPr>
            <w:tcW w:w="709" w:type="dxa"/>
            <w:textDirection w:val="tbRl"/>
          </w:tcPr>
          <w:p w14:paraId="529BF1D6"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lang w:val="en"/>
              </w:rPr>
              <w:t>Compounds</w:t>
            </w:r>
          </w:p>
        </w:tc>
        <w:tc>
          <w:tcPr>
            <w:tcW w:w="709" w:type="dxa"/>
            <w:textDirection w:val="tbRl"/>
          </w:tcPr>
          <w:p w14:paraId="439982D9"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Reducing compound</w:t>
            </w:r>
          </w:p>
        </w:tc>
        <w:tc>
          <w:tcPr>
            <w:tcW w:w="425" w:type="dxa"/>
            <w:textDirection w:val="tbRl"/>
          </w:tcPr>
          <w:p w14:paraId="733D8C15"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Alkaloids</w:t>
            </w:r>
          </w:p>
        </w:tc>
        <w:tc>
          <w:tcPr>
            <w:tcW w:w="850" w:type="dxa"/>
            <w:textDirection w:val="tbRl"/>
          </w:tcPr>
          <w:p w14:paraId="1B33E5E3"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Flavonoids (mgEQ/g)</w:t>
            </w:r>
          </w:p>
        </w:tc>
        <w:tc>
          <w:tcPr>
            <w:tcW w:w="709" w:type="dxa"/>
            <w:textDirection w:val="tbRl"/>
          </w:tcPr>
          <w:p w14:paraId="3106EA71"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Tanins catechic</w:t>
            </w:r>
          </w:p>
        </w:tc>
        <w:tc>
          <w:tcPr>
            <w:tcW w:w="425" w:type="dxa"/>
            <w:textDirection w:val="tbRl"/>
          </w:tcPr>
          <w:p w14:paraId="715CB4A2"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Tanins gallic</w:t>
            </w:r>
          </w:p>
        </w:tc>
        <w:tc>
          <w:tcPr>
            <w:tcW w:w="426" w:type="dxa"/>
            <w:textDirection w:val="tbRl"/>
          </w:tcPr>
          <w:p w14:paraId="0C8AA4EA"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Anthocyanins</w:t>
            </w:r>
          </w:p>
        </w:tc>
        <w:tc>
          <w:tcPr>
            <w:tcW w:w="708" w:type="dxa"/>
            <w:textDirection w:val="tbRl"/>
          </w:tcPr>
          <w:p w14:paraId="3DE55470"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Leuco-anthocyanins</w:t>
            </w:r>
          </w:p>
        </w:tc>
        <w:tc>
          <w:tcPr>
            <w:tcW w:w="709" w:type="dxa"/>
            <w:textDirection w:val="tbRl"/>
          </w:tcPr>
          <w:p w14:paraId="21E525B4"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Quinonics compound</w:t>
            </w:r>
          </w:p>
        </w:tc>
        <w:tc>
          <w:tcPr>
            <w:tcW w:w="425" w:type="dxa"/>
            <w:textDirection w:val="tbRl"/>
          </w:tcPr>
          <w:p w14:paraId="6EE43C23"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Saponin</w:t>
            </w:r>
          </w:p>
        </w:tc>
        <w:tc>
          <w:tcPr>
            <w:tcW w:w="426" w:type="dxa"/>
            <w:textDirection w:val="tbRl"/>
          </w:tcPr>
          <w:p w14:paraId="44E3EB13"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Terpenoids</w:t>
            </w:r>
          </w:p>
        </w:tc>
        <w:tc>
          <w:tcPr>
            <w:tcW w:w="425" w:type="dxa"/>
            <w:textDirection w:val="tbRl"/>
          </w:tcPr>
          <w:p w14:paraId="76BE0227"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Mucilages</w:t>
            </w:r>
          </w:p>
        </w:tc>
        <w:tc>
          <w:tcPr>
            <w:tcW w:w="425" w:type="dxa"/>
            <w:textDirection w:val="tbRl"/>
          </w:tcPr>
          <w:p w14:paraId="72659298"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Cartenoids</w:t>
            </w:r>
          </w:p>
        </w:tc>
        <w:tc>
          <w:tcPr>
            <w:tcW w:w="709" w:type="dxa"/>
            <w:textDirection w:val="tbRl"/>
          </w:tcPr>
          <w:p w14:paraId="3DB5B7F2"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Free Anthracenics</w:t>
            </w:r>
          </w:p>
        </w:tc>
        <w:tc>
          <w:tcPr>
            <w:tcW w:w="425" w:type="dxa"/>
            <w:textDirection w:val="tbRl"/>
          </w:tcPr>
          <w:p w14:paraId="7F5E99F3"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O-heterosides</w:t>
            </w:r>
          </w:p>
        </w:tc>
        <w:tc>
          <w:tcPr>
            <w:tcW w:w="992" w:type="dxa"/>
            <w:textDirection w:val="tbRl"/>
          </w:tcPr>
          <w:p w14:paraId="6B44F3B7"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Polyphenols totaux (mgEAG/g)</w:t>
            </w:r>
          </w:p>
        </w:tc>
      </w:tr>
      <w:tr w:rsidR="00B420F2" w:rsidRPr="00EC2683" w14:paraId="2DFDCCEB" w14:textId="77777777" w:rsidTr="00271C4B">
        <w:trPr>
          <w:jc w:val="center"/>
        </w:trPr>
        <w:tc>
          <w:tcPr>
            <w:tcW w:w="709" w:type="dxa"/>
          </w:tcPr>
          <w:p w14:paraId="623AC26E" w14:textId="77777777" w:rsidR="00B420F2" w:rsidRPr="004D02FB" w:rsidRDefault="00B420F2" w:rsidP="004D02FB">
            <w:pPr>
              <w:contextualSpacing/>
              <w:rPr>
                <w:rFonts w:ascii="Arial" w:hAnsi="Arial" w:cs="Arial"/>
                <w:b/>
                <w:bCs/>
                <w:sz w:val="20"/>
                <w:szCs w:val="20"/>
              </w:rPr>
            </w:pPr>
            <w:r w:rsidRPr="004D02FB">
              <w:rPr>
                <w:rFonts w:ascii="Arial" w:hAnsi="Arial" w:cs="Arial"/>
                <w:b/>
                <w:bCs/>
                <w:sz w:val="20"/>
                <w:szCs w:val="20"/>
              </w:rPr>
              <w:t>SPA</w:t>
            </w:r>
          </w:p>
        </w:tc>
        <w:tc>
          <w:tcPr>
            <w:tcW w:w="709" w:type="dxa"/>
          </w:tcPr>
          <w:p w14:paraId="0341D4D3"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0F8E547C"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850" w:type="dxa"/>
          </w:tcPr>
          <w:p w14:paraId="624BC482"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35,76 ± 0,01</w:t>
            </w:r>
          </w:p>
        </w:tc>
        <w:tc>
          <w:tcPr>
            <w:tcW w:w="709" w:type="dxa"/>
          </w:tcPr>
          <w:p w14:paraId="0FBE8732"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1B55461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6" w:type="dxa"/>
          </w:tcPr>
          <w:p w14:paraId="316E60F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8" w:type="dxa"/>
          </w:tcPr>
          <w:p w14:paraId="728A5BDC"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9" w:type="dxa"/>
          </w:tcPr>
          <w:p w14:paraId="40F3045A"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45FACD3B"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6" w:type="dxa"/>
          </w:tcPr>
          <w:p w14:paraId="41A036C9"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3A629B81"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73F47F93"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9" w:type="dxa"/>
          </w:tcPr>
          <w:p w14:paraId="05CF10D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73C57A8A"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992" w:type="dxa"/>
          </w:tcPr>
          <w:p w14:paraId="79FB050D"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289,6 ± 0,05</w:t>
            </w:r>
          </w:p>
        </w:tc>
      </w:tr>
      <w:tr w:rsidR="00B420F2" w:rsidRPr="00EC2683" w14:paraId="6ECC8A18" w14:textId="77777777" w:rsidTr="00271C4B">
        <w:trPr>
          <w:jc w:val="center"/>
        </w:trPr>
        <w:tc>
          <w:tcPr>
            <w:tcW w:w="709" w:type="dxa"/>
          </w:tcPr>
          <w:p w14:paraId="7CAB1D52" w14:textId="77777777" w:rsidR="00B420F2" w:rsidRPr="004D02FB" w:rsidRDefault="00B420F2" w:rsidP="004D02FB">
            <w:pPr>
              <w:contextualSpacing/>
              <w:rPr>
                <w:rFonts w:ascii="Arial" w:hAnsi="Arial" w:cs="Arial"/>
                <w:b/>
                <w:bCs/>
                <w:sz w:val="20"/>
                <w:szCs w:val="20"/>
              </w:rPr>
            </w:pPr>
            <w:r w:rsidRPr="004D02FB">
              <w:rPr>
                <w:rFonts w:ascii="Arial" w:hAnsi="Arial" w:cs="Arial"/>
                <w:b/>
                <w:bCs/>
                <w:sz w:val="20"/>
                <w:szCs w:val="20"/>
              </w:rPr>
              <w:lastRenderedPageBreak/>
              <w:t>NB</w:t>
            </w:r>
          </w:p>
        </w:tc>
        <w:tc>
          <w:tcPr>
            <w:tcW w:w="709" w:type="dxa"/>
          </w:tcPr>
          <w:p w14:paraId="4B90DDB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0F96399B"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850" w:type="dxa"/>
          </w:tcPr>
          <w:p w14:paraId="112CA26A"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38,5 ± 0,01</w:t>
            </w:r>
          </w:p>
        </w:tc>
        <w:tc>
          <w:tcPr>
            <w:tcW w:w="709" w:type="dxa"/>
          </w:tcPr>
          <w:p w14:paraId="785F6B56"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7FA5B03C"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6" w:type="dxa"/>
          </w:tcPr>
          <w:p w14:paraId="1266E084"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8" w:type="dxa"/>
          </w:tcPr>
          <w:p w14:paraId="0FBFDF07"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9" w:type="dxa"/>
          </w:tcPr>
          <w:p w14:paraId="4EDBD66D"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62BDE6FE"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6" w:type="dxa"/>
          </w:tcPr>
          <w:p w14:paraId="2A537E7C"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60281736"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7D0F6D59"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9" w:type="dxa"/>
          </w:tcPr>
          <w:p w14:paraId="53E2DD67"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41548BD0"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992" w:type="dxa"/>
          </w:tcPr>
          <w:p w14:paraId="63848AC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75 ± 0,03</w:t>
            </w:r>
          </w:p>
        </w:tc>
      </w:tr>
    </w:tbl>
    <w:p w14:paraId="37DAB574" w14:textId="77777777" w:rsidR="00B420F2" w:rsidRPr="00EC2683" w:rsidRDefault="00B420F2" w:rsidP="00B420F2">
      <w:pPr>
        <w:rPr>
          <w:rFonts w:ascii="Arial" w:hAnsi="Arial" w:cs="Arial"/>
        </w:rPr>
      </w:pPr>
    </w:p>
    <w:p w14:paraId="1F5DBFC0" w14:textId="414BBE1E" w:rsidR="004D02FB" w:rsidRDefault="0045440B" w:rsidP="0045440B">
      <w:pPr>
        <w:pStyle w:val="Body"/>
        <w:rPr>
          <w:rFonts w:ascii="Arial" w:hAnsi="Arial" w:cs="Arial"/>
        </w:rPr>
      </w:pPr>
      <w:r w:rsidRPr="0045440B">
        <w:rPr>
          <w:rFonts w:ascii="Arial" w:hAnsi="Arial" w:cs="Arial"/>
        </w:rPr>
        <w:t>The comparison highlights a qualitative dominance of SPA, whereas NB retains certain specific compounds, such as leuco-anthocyanins. The discussion suggests that these differences may influence antioxidant properties, with polyphenols being strongly correlated with this activity, as noted by Martins (2016). Similarly, Heinrich (2020) indicates that phytochemical diversity determines biological effects. Thus, SPA appears more promising overall, but NB could exhibit targeted activities due to its content of metabolites that were not quantified in this study.</w:t>
      </w:r>
    </w:p>
    <w:p w14:paraId="5D449EA2" w14:textId="77777777" w:rsidR="0045440B" w:rsidRPr="0045440B" w:rsidRDefault="0045440B" w:rsidP="0045440B">
      <w:pPr>
        <w:spacing w:line="360" w:lineRule="auto"/>
        <w:jc w:val="both"/>
        <w:rPr>
          <w:rFonts w:ascii="Arial" w:hAnsi="Arial" w:cs="Arial"/>
          <w:b/>
          <w:bCs/>
          <w:sz w:val="22"/>
          <w:szCs w:val="22"/>
        </w:rPr>
      </w:pPr>
      <w:r w:rsidRPr="0045440B">
        <w:rPr>
          <w:rFonts w:ascii="Arial" w:hAnsi="Arial" w:cs="Arial"/>
          <w:b/>
          <w:bCs/>
          <w:sz w:val="22"/>
          <w:szCs w:val="22"/>
        </w:rPr>
        <w:t>3.3. Antioxidant Activity by the DPPH Assay</w:t>
      </w:r>
    </w:p>
    <w:p w14:paraId="6E568AF3" w14:textId="4B538FD9" w:rsidR="0045440B" w:rsidRDefault="0045440B" w:rsidP="0045440B">
      <w:pPr>
        <w:pStyle w:val="Body"/>
        <w:spacing w:after="0"/>
        <w:rPr>
          <w:rFonts w:ascii="Arial" w:hAnsi="Arial" w:cs="Arial"/>
        </w:rPr>
      </w:pPr>
      <w:r w:rsidRPr="0045440B">
        <w:rPr>
          <w:rFonts w:ascii="Arial" w:hAnsi="Arial" w:cs="Arial"/>
        </w:rPr>
        <w:t>Figure 1, which illustrates the antioxidant activities, shows that the NB (</w:t>
      </w:r>
      <w:r w:rsidRPr="0045440B">
        <w:rPr>
          <w:rFonts w:ascii="Arial" w:hAnsi="Arial" w:cs="Arial"/>
          <w:i/>
          <w:iCs/>
        </w:rPr>
        <w:t>Nephrolepis biserrata</w:t>
      </w:r>
      <w:r w:rsidRPr="0045440B">
        <w:rPr>
          <w:rFonts w:ascii="Arial" w:hAnsi="Arial" w:cs="Arial"/>
        </w:rPr>
        <w:t>) extract has a lower IC</w:t>
      </w:r>
      <w:r w:rsidRPr="0045440B">
        <w:rPr>
          <w:rFonts w:ascii="Cambria Math" w:hAnsi="Cambria Math" w:cs="Cambria Math"/>
        </w:rPr>
        <w:t>₅₀</w:t>
      </w:r>
      <w:r w:rsidRPr="0045440B">
        <w:rPr>
          <w:rFonts w:ascii="Arial" w:hAnsi="Arial" w:cs="Arial"/>
        </w:rPr>
        <w:t xml:space="preserve"> (9.13 × 10</w:t>
      </w:r>
      <w:r w:rsidRPr="0045440B">
        <w:rPr>
          <w:rFonts w:ascii="Cambria Math" w:hAnsi="Cambria Math" w:cs="Cambria Math"/>
        </w:rPr>
        <w:t>⁻</w:t>
      </w:r>
      <w:r w:rsidRPr="0045440B">
        <w:rPr>
          <w:rFonts w:ascii="Arial" w:hAnsi="Arial" w:cs="Arial"/>
        </w:rPr>
        <w:t>³ mg/mL) compared to SPA (</w:t>
      </w:r>
      <w:r w:rsidRPr="0045440B">
        <w:rPr>
          <w:rFonts w:ascii="Arial" w:hAnsi="Arial" w:cs="Arial"/>
          <w:i/>
          <w:iCs/>
        </w:rPr>
        <w:t>Persea americana</w:t>
      </w:r>
      <w:r w:rsidRPr="0045440B">
        <w:rPr>
          <w:rFonts w:ascii="Arial" w:hAnsi="Arial" w:cs="Arial"/>
        </w:rPr>
        <w:t>) (1.93 × 10</w:t>
      </w:r>
      <w:r w:rsidRPr="0045440B">
        <w:rPr>
          <w:rFonts w:ascii="Cambria Math" w:hAnsi="Cambria Math" w:cs="Cambria Math"/>
        </w:rPr>
        <w:t>⁻</w:t>
      </w:r>
      <w:r w:rsidRPr="0045440B">
        <w:rPr>
          <w:rFonts w:ascii="Arial" w:hAnsi="Arial" w:cs="Arial"/>
        </w:rPr>
        <w:t>² mg/mL), indicating a higher radical-scavenging activity.</w:t>
      </w:r>
      <w:r>
        <w:rPr>
          <w:rFonts w:ascii="Arial" w:hAnsi="Arial" w:cs="Arial"/>
        </w:rPr>
        <w:t xml:space="preserve"> </w:t>
      </w:r>
      <w:r w:rsidRPr="0045440B">
        <w:rPr>
          <w:rFonts w:ascii="Arial" w:hAnsi="Arial" w:cs="Arial"/>
        </w:rPr>
        <w:t>The analysis confirms the functional superiority of NB, despite its lower total polyphenol content observed previously.</w:t>
      </w:r>
    </w:p>
    <w:p w14:paraId="5829B9E7" w14:textId="65398DBE" w:rsidR="00271C4B" w:rsidRPr="00EC2683" w:rsidRDefault="00271C4B" w:rsidP="00F42CA8">
      <w:pPr>
        <w:spacing w:line="360" w:lineRule="auto"/>
        <w:jc w:val="center"/>
        <w:rPr>
          <w:rFonts w:ascii="Arial" w:hAnsi="Arial" w:cs="Arial"/>
        </w:rPr>
      </w:pPr>
      <w:r w:rsidRPr="00EC2683">
        <w:rPr>
          <w:rFonts w:ascii="Arial" w:hAnsi="Arial" w:cs="Arial"/>
          <w:noProof/>
        </w:rPr>
        <w:drawing>
          <wp:inline distT="0" distB="0" distL="0" distR="0" wp14:anchorId="16DEE3D4" wp14:editId="2931EE8C">
            <wp:extent cx="2549046" cy="1778696"/>
            <wp:effectExtent l="0" t="0" r="3810" b="12065"/>
            <wp:docPr id="488725719" name="Graphique 1">
              <a:extLst xmlns:a="http://schemas.openxmlformats.org/drawingml/2006/main">
                <a:ext uri="{FF2B5EF4-FFF2-40B4-BE49-F238E27FC236}">
                  <a16:creationId xmlns:a16="http://schemas.microsoft.com/office/drawing/2014/main" id="{63F31D70-A015-1D8F-3CE6-8FA7C2DBD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C2683">
        <w:rPr>
          <w:rFonts w:ascii="Arial" w:hAnsi="Arial" w:cs="Arial"/>
          <w:noProof/>
        </w:rPr>
        <w:drawing>
          <wp:inline distT="0" distB="0" distL="0" distR="0" wp14:anchorId="7657C7CB" wp14:editId="776BF708">
            <wp:extent cx="2461364" cy="1847590"/>
            <wp:effectExtent l="0" t="0" r="15240" b="635"/>
            <wp:docPr id="1797627376" name="Graphique 1">
              <a:extLst xmlns:a="http://schemas.openxmlformats.org/drawingml/2006/main">
                <a:ext uri="{FF2B5EF4-FFF2-40B4-BE49-F238E27FC236}">
                  <a16:creationId xmlns:a16="http://schemas.microsoft.com/office/drawing/2014/main" id="{8BA000E8-4E8F-F9F1-20C3-138580B4D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CDBD2A" w14:textId="6B386A4B" w:rsidR="00271C4B" w:rsidRPr="00EC2683" w:rsidRDefault="00271C4B" w:rsidP="00271C4B">
      <w:pPr>
        <w:spacing w:line="360" w:lineRule="auto"/>
        <w:jc w:val="center"/>
        <w:rPr>
          <w:rFonts w:ascii="Arial" w:hAnsi="Arial" w:cs="Arial"/>
          <w:b/>
          <w:bCs/>
        </w:rPr>
      </w:pPr>
      <w:r w:rsidRPr="00EC2683">
        <w:rPr>
          <w:rFonts w:ascii="Arial" w:hAnsi="Arial" w:cs="Arial"/>
          <w:b/>
          <w:bCs/>
        </w:rPr>
        <w:t>Fig</w:t>
      </w:r>
      <w:r>
        <w:rPr>
          <w:rFonts w:ascii="Arial" w:hAnsi="Arial" w:cs="Arial"/>
          <w:b/>
          <w:bCs/>
        </w:rPr>
        <w:t>.</w:t>
      </w:r>
      <w:r w:rsidRPr="00EC2683">
        <w:rPr>
          <w:rFonts w:ascii="Arial" w:hAnsi="Arial" w:cs="Arial"/>
          <w:b/>
          <w:bCs/>
        </w:rPr>
        <w:t xml:space="preserve"> 1</w:t>
      </w:r>
      <w:r>
        <w:rPr>
          <w:rFonts w:ascii="Arial" w:hAnsi="Arial" w:cs="Arial"/>
          <w:b/>
          <w:bCs/>
        </w:rPr>
        <w:t>.</w:t>
      </w:r>
      <w:r w:rsidRPr="00EC2683">
        <w:rPr>
          <w:rFonts w:ascii="Arial" w:hAnsi="Arial" w:cs="Arial"/>
          <w:b/>
          <w:bCs/>
        </w:rPr>
        <w:t xml:space="preserve"> Antioxidant Activity by the DPPH Assay</w:t>
      </w:r>
    </w:p>
    <w:p w14:paraId="78CB89D4" w14:textId="135932FC" w:rsidR="00271C4B" w:rsidRDefault="00271C4B" w:rsidP="0015612B">
      <w:pPr>
        <w:pStyle w:val="Body"/>
        <w:rPr>
          <w:rFonts w:ascii="Arial" w:hAnsi="Arial" w:cs="Arial"/>
        </w:rPr>
      </w:pPr>
      <w:r w:rsidRPr="00271C4B">
        <w:rPr>
          <w:rFonts w:ascii="Arial" w:hAnsi="Arial" w:cs="Arial"/>
        </w:rPr>
        <w:t>The comparison suggests that antioxidant activity depends not only on the quantity but also on the structure and reactivity of the compounds, particularly the flavonoids, which are more abundant in NB. These results complement the previous data: SPA is quantitatively richer, but NB appears to be qualitatively more effective. As shown by Jain et al.</w:t>
      </w:r>
      <w:r w:rsidR="0015612B">
        <w:rPr>
          <w:rFonts w:ascii="Arial" w:hAnsi="Arial" w:cs="Arial"/>
        </w:rPr>
        <w:t xml:space="preserve"> in 2025</w:t>
      </w:r>
      <w:r w:rsidRPr="00271C4B">
        <w:rPr>
          <w:rFonts w:ascii="Arial" w:hAnsi="Arial" w:cs="Arial"/>
        </w:rPr>
        <w:t xml:space="preserve"> polyphenols contribute significantly to antioxidant activity, while Rauf et al.</w:t>
      </w:r>
      <w:r w:rsidR="0015612B">
        <w:rPr>
          <w:rFonts w:ascii="Arial" w:hAnsi="Arial" w:cs="Arial"/>
        </w:rPr>
        <w:t xml:space="preserve"> in 2024</w:t>
      </w:r>
      <w:r w:rsidRPr="00271C4B">
        <w:rPr>
          <w:rFonts w:ascii="Arial" w:hAnsi="Arial" w:cs="Arial"/>
        </w:rPr>
        <w:t xml:space="preserve"> emphasize the critical role of flavonoid structure. Therefore, NB appears to be more potent.</w:t>
      </w:r>
    </w:p>
    <w:p w14:paraId="3467C6E8" w14:textId="77777777" w:rsidR="0015612B" w:rsidRPr="0015612B" w:rsidRDefault="0015612B" w:rsidP="0015612B">
      <w:pPr>
        <w:spacing w:line="360" w:lineRule="auto"/>
        <w:jc w:val="both"/>
        <w:rPr>
          <w:rFonts w:ascii="Arial" w:hAnsi="Arial" w:cs="Arial"/>
          <w:sz w:val="22"/>
          <w:szCs w:val="22"/>
        </w:rPr>
      </w:pPr>
      <w:r w:rsidRPr="0015612B">
        <w:rPr>
          <w:rFonts w:ascii="Arial" w:hAnsi="Arial" w:cs="Arial"/>
          <w:b/>
          <w:bCs/>
          <w:sz w:val="22"/>
          <w:szCs w:val="22"/>
        </w:rPr>
        <w:t>3.4. Evaluation of Anti-Hemorrhoidal Activity</w:t>
      </w:r>
    </w:p>
    <w:p w14:paraId="0C469005" w14:textId="77777777" w:rsidR="0015612B" w:rsidRPr="00F42CA8" w:rsidRDefault="0015612B" w:rsidP="0015612B">
      <w:pPr>
        <w:spacing w:line="360" w:lineRule="auto"/>
        <w:jc w:val="both"/>
        <w:rPr>
          <w:rFonts w:ascii="Arial" w:hAnsi="Arial" w:cs="Arial"/>
          <w:b/>
          <w:bCs/>
          <w:u w:val="single"/>
        </w:rPr>
      </w:pPr>
      <w:r w:rsidRPr="00F42CA8">
        <w:rPr>
          <w:rFonts w:ascii="Arial" w:hAnsi="Arial" w:cs="Arial"/>
          <w:b/>
          <w:bCs/>
          <w:u w:val="single"/>
        </w:rPr>
        <w:t>3.4.1. Distribution of Experimental Groups</w:t>
      </w:r>
    </w:p>
    <w:p w14:paraId="61487EAF" w14:textId="5CEC9EF3" w:rsidR="002B3C2A" w:rsidRPr="002B3C2A" w:rsidRDefault="002B3C2A" w:rsidP="00103AC6">
      <w:pPr>
        <w:jc w:val="both"/>
        <w:rPr>
          <w:rFonts w:ascii="Arial" w:hAnsi="Arial" w:cs="Arial"/>
        </w:rPr>
      </w:pPr>
      <w:r w:rsidRPr="002B3C2A">
        <w:rPr>
          <w:rFonts w:ascii="Arial" w:hAnsi="Arial" w:cs="Arial"/>
        </w:rPr>
        <w:t>The table</w:t>
      </w:r>
      <w:r>
        <w:rPr>
          <w:rFonts w:ascii="Arial" w:hAnsi="Arial" w:cs="Arial"/>
        </w:rPr>
        <w:t xml:space="preserve"> 1</w:t>
      </w:r>
      <w:r w:rsidRPr="002B3C2A">
        <w:rPr>
          <w:rFonts w:ascii="Arial" w:hAnsi="Arial" w:cs="Arial"/>
        </w:rPr>
        <w:t xml:space="preserve"> in the Materials and Methods section </w:t>
      </w:r>
      <w:proofErr w:type="spellStart"/>
      <w:r w:rsidRPr="002B3C2A">
        <w:rPr>
          <w:rFonts w:ascii="Arial" w:hAnsi="Arial" w:cs="Arial"/>
        </w:rPr>
        <w:t>summari</w:t>
      </w:r>
      <w:r w:rsidR="003164E1">
        <w:rPr>
          <w:rFonts w:ascii="Arial" w:hAnsi="Arial" w:cs="Arial"/>
        </w:rPr>
        <w:t>s</w:t>
      </w:r>
      <w:r w:rsidRPr="002B3C2A">
        <w:rPr>
          <w:rFonts w:ascii="Arial" w:hAnsi="Arial" w:cs="Arial"/>
        </w:rPr>
        <w:t>es</w:t>
      </w:r>
      <w:proofErr w:type="spellEnd"/>
      <w:r w:rsidRPr="002B3C2A">
        <w:rPr>
          <w:rFonts w:ascii="Arial" w:hAnsi="Arial" w:cs="Arial"/>
        </w:rPr>
        <w:t xml:space="preserve"> the distribution of experimental groups and the treatments administered to the rats. Group 1 (GN1) served as the normal control, without induction or treatment, receiving only distilled water. Group 2 (GN2) served as the negative control, subjected to induction without treatment. Group 3 (RCD 10 mg/kg) received </w:t>
      </w:r>
      <w:proofErr w:type="spellStart"/>
      <w:r w:rsidRPr="002B3C2A">
        <w:rPr>
          <w:rFonts w:ascii="Arial" w:hAnsi="Arial" w:cs="Arial"/>
        </w:rPr>
        <w:t>Daflon</w:t>
      </w:r>
      <w:proofErr w:type="spellEnd"/>
      <w:r w:rsidRPr="002B3C2A">
        <w:rPr>
          <w:rFonts w:ascii="Arial" w:hAnsi="Arial" w:cs="Arial"/>
        </w:rPr>
        <w:t xml:space="preserve"> following induction. Groups 4</w:t>
      </w:r>
      <w:r>
        <w:rPr>
          <w:rFonts w:ascii="Arial" w:hAnsi="Arial" w:cs="Arial"/>
        </w:rPr>
        <w:t xml:space="preserve"> </w:t>
      </w:r>
      <w:r w:rsidRPr="002B3C2A">
        <w:rPr>
          <w:rFonts w:ascii="Arial" w:hAnsi="Arial" w:cs="Arial"/>
        </w:rPr>
        <w:t>(</w:t>
      </w:r>
      <w:r>
        <w:rPr>
          <w:rFonts w:ascii="Arial" w:hAnsi="Arial" w:cs="Arial"/>
        </w:rPr>
        <w:t>SPA</w:t>
      </w:r>
      <w:r w:rsidRPr="002B3C2A">
        <w:rPr>
          <w:rFonts w:ascii="Arial" w:hAnsi="Arial" w:cs="Arial"/>
        </w:rPr>
        <w:t xml:space="preserve"> 250 mg/kg)</w:t>
      </w:r>
      <w:r>
        <w:rPr>
          <w:rFonts w:ascii="Arial" w:hAnsi="Arial" w:cs="Arial"/>
        </w:rPr>
        <w:t>,</w:t>
      </w:r>
      <w:r w:rsidRPr="002B3C2A">
        <w:rPr>
          <w:rFonts w:ascii="Arial" w:hAnsi="Arial" w:cs="Arial"/>
        </w:rPr>
        <w:t xml:space="preserve"> 5 (</w:t>
      </w:r>
      <w:r>
        <w:rPr>
          <w:rFonts w:ascii="Arial" w:hAnsi="Arial" w:cs="Arial"/>
        </w:rPr>
        <w:t>SPA</w:t>
      </w:r>
      <w:r w:rsidRPr="002B3C2A">
        <w:rPr>
          <w:rFonts w:ascii="Arial" w:hAnsi="Arial" w:cs="Arial"/>
        </w:rPr>
        <w:t xml:space="preserve"> 500 mg/kg)</w:t>
      </w:r>
      <w:r>
        <w:rPr>
          <w:rFonts w:ascii="Arial" w:hAnsi="Arial" w:cs="Arial"/>
        </w:rPr>
        <w:t xml:space="preserve">, 6 </w:t>
      </w:r>
      <w:r w:rsidRPr="002B3C2A">
        <w:rPr>
          <w:rFonts w:ascii="Arial" w:hAnsi="Arial" w:cs="Arial"/>
        </w:rPr>
        <w:t xml:space="preserve">(NB 250 mg/kg) and </w:t>
      </w:r>
      <w:r>
        <w:rPr>
          <w:rFonts w:ascii="Arial" w:hAnsi="Arial" w:cs="Arial"/>
        </w:rPr>
        <w:t>7</w:t>
      </w:r>
      <w:r w:rsidRPr="002B3C2A">
        <w:rPr>
          <w:rFonts w:ascii="Arial" w:hAnsi="Arial" w:cs="Arial"/>
        </w:rPr>
        <w:t xml:space="preserve"> (NB 500 mg/kg) were treated with </w:t>
      </w:r>
      <w:r>
        <w:rPr>
          <w:rFonts w:ascii="Arial" w:hAnsi="Arial" w:cs="Arial"/>
        </w:rPr>
        <w:t xml:space="preserve">seeds of </w:t>
      </w:r>
      <w:proofErr w:type="spellStart"/>
      <w:r>
        <w:rPr>
          <w:rFonts w:ascii="Arial" w:hAnsi="Arial" w:cs="Arial"/>
        </w:rPr>
        <w:t>Persea</w:t>
      </w:r>
      <w:proofErr w:type="spellEnd"/>
      <w:r>
        <w:rPr>
          <w:rFonts w:ascii="Arial" w:hAnsi="Arial" w:cs="Arial"/>
        </w:rPr>
        <w:t xml:space="preserve"> </w:t>
      </w:r>
      <w:proofErr w:type="spellStart"/>
      <w:r>
        <w:rPr>
          <w:rFonts w:ascii="Arial" w:hAnsi="Arial" w:cs="Arial"/>
        </w:rPr>
        <w:t>americana</w:t>
      </w:r>
      <w:proofErr w:type="spellEnd"/>
      <w:r>
        <w:rPr>
          <w:rFonts w:ascii="Arial" w:hAnsi="Arial" w:cs="Arial"/>
        </w:rPr>
        <w:t xml:space="preserve"> and </w:t>
      </w:r>
      <w:proofErr w:type="spellStart"/>
      <w:r w:rsidRPr="002B3C2A">
        <w:rPr>
          <w:rFonts w:ascii="Arial" w:hAnsi="Arial" w:cs="Arial"/>
          <w:i/>
          <w:iCs/>
        </w:rPr>
        <w:t>Nephrolepis</w:t>
      </w:r>
      <w:proofErr w:type="spellEnd"/>
      <w:r w:rsidRPr="002B3C2A">
        <w:rPr>
          <w:rFonts w:ascii="Arial" w:hAnsi="Arial" w:cs="Arial"/>
          <w:i/>
          <w:iCs/>
        </w:rPr>
        <w:t xml:space="preserve"> </w:t>
      </w:r>
      <w:proofErr w:type="spellStart"/>
      <w:r w:rsidRPr="002B3C2A">
        <w:rPr>
          <w:rFonts w:ascii="Arial" w:hAnsi="Arial" w:cs="Arial"/>
          <w:i/>
          <w:iCs/>
        </w:rPr>
        <w:t>biserrata</w:t>
      </w:r>
      <w:proofErr w:type="spellEnd"/>
      <w:r w:rsidRPr="002B3C2A">
        <w:rPr>
          <w:rFonts w:ascii="Arial" w:hAnsi="Arial" w:cs="Arial"/>
        </w:rPr>
        <w:t xml:space="preserve"> extract at doses of 250 mg/kg and 500 mg/kg, respectively, after induction.</w:t>
      </w:r>
    </w:p>
    <w:p w14:paraId="3530E747" w14:textId="77777777" w:rsidR="002B3C2A" w:rsidRPr="002B3C2A" w:rsidRDefault="002B3C2A" w:rsidP="00103AC6">
      <w:pPr>
        <w:jc w:val="both"/>
        <w:rPr>
          <w:rFonts w:ascii="Arial" w:hAnsi="Arial" w:cs="Arial"/>
        </w:rPr>
      </w:pPr>
      <w:r w:rsidRPr="002B3C2A">
        <w:rPr>
          <w:rFonts w:ascii="Arial" w:hAnsi="Arial" w:cs="Arial"/>
        </w:rPr>
        <w:t>This setup allows for a comparative evaluation of treatment efficacy. The experimental design is appropriate, as it enables clear comparisons between the absence of treatment, the standard treatment, and the tested extract, thereby facilitating interpretation of potential therapeutic effects.</w:t>
      </w:r>
    </w:p>
    <w:p w14:paraId="6A06DA47" w14:textId="6755C87E" w:rsidR="002B3C2A" w:rsidRPr="00F42CA8" w:rsidRDefault="002B3C2A" w:rsidP="0015612B">
      <w:pPr>
        <w:pStyle w:val="Body"/>
        <w:spacing w:after="0"/>
        <w:rPr>
          <w:rFonts w:ascii="Arial" w:hAnsi="Arial" w:cs="Arial"/>
          <w:u w:val="single"/>
        </w:rPr>
      </w:pPr>
      <w:r w:rsidRPr="00F42CA8">
        <w:rPr>
          <w:rFonts w:ascii="Arial" w:hAnsi="Arial" w:cs="Arial"/>
          <w:b/>
          <w:bCs/>
          <w:u w:val="single"/>
        </w:rPr>
        <w:t>3.4.2. Effect of Treatments on Erythrocyte Sedimentation Rate in Rats After Hemorrhoid Induction</w:t>
      </w:r>
    </w:p>
    <w:p w14:paraId="4FBA29BD" w14:textId="23A77381" w:rsidR="0015612B" w:rsidRPr="0015612B" w:rsidRDefault="0015612B" w:rsidP="0015612B">
      <w:pPr>
        <w:pStyle w:val="Body"/>
        <w:spacing w:after="0"/>
        <w:rPr>
          <w:rFonts w:ascii="Arial" w:hAnsi="Arial" w:cs="Arial"/>
        </w:rPr>
      </w:pPr>
      <w:r w:rsidRPr="0015612B">
        <w:rPr>
          <w:rFonts w:ascii="Arial" w:hAnsi="Arial" w:cs="Arial"/>
        </w:rPr>
        <w:t>Figure 2 shows the evolution of the erythrocyte sedimentation rate (ESR) in rats after hemorrhoid induction, including control groups (GN1 and GN2) and treated groups. The control groups display a stable ESR (GN1: 2 to 2; GN2: 2.67 to 2), indicating that the inflammatory state remains moderate and stable without treatment, which serves as a reference for evaluating the effect of the extracts.</w:t>
      </w:r>
    </w:p>
    <w:p w14:paraId="33E0091C" w14:textId="7C9AC636" w:rsidR="0015612B" w:rsidRDefault="0015612B" w:rsidP="0015612B">
      <w:pPr>
        <w:pStyle w:val="Body"/>
        <w:spacing w:after="0"/>
        <w:rPr>
          <w:rFonts w:ascii="Arial" w:hAnsi="Arial" w:cs="Arial"/>
        </w:rPr>
      </w:pPr>
      <w:r w:rsidRPr="0015612B">
        <w:rPr>
          <w:rFonts w:ascii="Arial" w:hAnsi="Arial" w:cs="Arial"/>
        </w:rPr>
        <w:t>The treated groups reveal more marked variations: SPA 250 mg/kg and NB 250 mg/kg decrease from 4.33 to 2 and from 4.66 to 2, respectively, demonstrating a notable anti-inflammatory effect</w:t>
      </w:r>
      <w:r w:rsidR="00103AC6">
        <w:rPr>
          <w:rFonts w:ascii="Arial" w:hAnsi="Arial" w:cs="Arial"/>
        </w:rPr>
        <w:t xml:space="preserve"> </w:t>
      </w:r>
      <w:r w:rsidR="00103AC6" w:rsidRPr="00696A3E">
        <w:rPr>
          <w:rFonts w:ascii="Arial" w:hAnsi="Arial" w:cs="Arial"/>
        </w:rPr>
        <w:t>(p &lt; 0.05)</w:t>
      </w:r>
      <w:r w:rsidRPr="0015612B">
        <w:rPr>
          <w:rFonts w:ascii="Arial" w:hAnsi="Arial" w:cs="Arial"/>
        </w:rPr>
        <w:t>. Higher doses (SPA 500 mg/kg and NB 500 mg/kg) show a different response: stability for SPA and a slight increase for NB, suggesting a non-linear dose-dependent effect.</w:t>
      </w:r>
    </w:p>
    <w:p w14:paraId="5DC52B1E" w14:textId="77777777" w:rsidR="002B3C2A" w:rsidRDefault="002B3C2A" w:rsidP="0015612B">
      <w:pPr>
        <w:pStyle w:val="Body"/>
        <w:spacing w:after="0"/>
        <w:rPr>
          <w:rFonts w:ascii="Arial" w:hAnsi="Arial" w:cs="Arial"/>
        </w:rPr>
      </w:pPr>
    </w:p>
    <w:p w14:paraId="1F10EA3D" w14:textId="06D0B1F2" w:rsidR="002B3C2A" w:rsidRPr="0015612B" w:rsidRDefault="002B3C2A" w:rsidP="002B3C2A">
      <w:pPr>
        <w:pStyle w:val="Body"/>
        <w:jc w:val="center"/>
        <w:rPr>
          <w:rFonts w:ascii="Arial" w:hAnsi="Arial" w:cs="Arial"/>
        </w:rPr>
      </w:pPr>
      <w:r>
        <w:rPr>
          <w:noProof/>
        </w:rPr>
        <w:lastRenderedPageBreak/>
        <w:drawing>
          <wp:inline distT="0" distB="0" distL="0" distR="0" wp14:anchorId="0F473DB9" wp14:editId="01036593">
            <wp:extent cx="4683125" cy="3124200"/>
            <wp:effectExtent l="0" t="0" r="3175" b="0"/>
            <wp:docPr id="1987530718" name="Graphique 1">
              <a:extLst xmlns:a="http://schemas.openxmlformats.org/drawingml/2006/main">
                <a:ext uri="{FF2B5EF4-FFF2-40B4-BE49-F238E27FC236}">
                  <a16:creationId xmlns:a16="http://schemas.microsoft.com/office/drawing/2014/main" id="{740E57DE-8222-2E31-0C38-9F53BB6FA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ACF26B" w14:textId="6A01D718" w:rsidR="002B3C2A" w:rsidRPr="002B3C2A" w:rsidRDefault="002B3C2A" w:rsidP="002B3C2A">
      <w:pPr>
        <w:spacing w:line="360" w:lineRule="auto"/>
        <w:jc w:val="center"/>
        <w:rPr>
          <w:rFonts w:ascii="Arial" w:hAnsi="Arial" w:cs="Arial"/>
          <w:b/>
          <w:bCs/>
        </w:rPr>
      </w:pPr>
      <w:r w:rsidRPr="002B3C2A">
        <w:rPr>
          <w:rFonts w:ascii="Arial" w:hAnsi="Arial" w:cs="Arial"/>
          <w:b/>
          <w:bCs/>
        </w:rPr>
        <w:t>Figure 2</w:t>
      </w:r>
      <w:r w:rsidR="00A311F9">
        <w:rPr>
          <w:rFonts w:ascii="Arial" w:hAnsi="Arial" w:cs="Arial"/>
          <w:b/>
          <w:bCs/>
        </w:rPr>
        <w:t>.</w:t>
      </w:r>
      <w:r w:rsidRPr="002B3C2A">
        <w:rPr>
          <w:rFonts w:ascii="Arial" w:hAnsi="Arial" w:cs="Arial"/>
          <w:b/>
          <w:bCs/>
        </w:rPr>
        <w:t xml:space="preserve"> Erythrocyte Sedimentation Rate in Rats After Hemorrhoid Induction</w:t>
      </w:r>
    </w:p>
    <w:p w14:paraId="3C8092B4" w14:textId="77777777" w:rsidR="0015612B" w:rsidRDefault="0015612B" w:rsidP="0045440B">
      <w:pPr>
        <w:pStyle w:val="Body"/>
        <w:spacing w:after="0"/>
        <w:rPr>
          <w:rFonts w:ascii="Arial" w:hAnsi="Arial" w:cs="Arial"/>
        </w:rPr>
      </w:pPr>
    </w:p>
    <w:p w14:paraId="75002DE2" w14:textId="6AFFDEDB" w:rsidR="0015612B" w:rsidRPr="0045440B" w:rsidRDefault="0015612B" w:rsidP="00A311F9">
      <w:pPr>
        <w:pStyle w:val="Body"/>
        <w:rPr>
          <w:rFonts w:ascii="Arial" w:hAnsi="Arial" w:cs="Arial"/>
        </w:rPr>
      </w:pPr>
      <w:r w:rsidRPr="0015612B">
        <w:rPr>
          <w:rFonts w:ascii="Arial" w:hAnsi="Arial" w:cs="Arial"/>
        </w:rPr>
        <w:t>This figure indicates that, although SPA is rich in polyphenols and NB in flavonoids, other compounds present (tannins, saponins, and terpenoids) may contribute to the observed results (Zhang &amp; Tsao, 20</w:t>
      </w:r>
      <w:r w:rsidR="002B3C2A">
        <w:rPr>
          <w:rFonts w:ascii="Arial" w:hAnsi="Arial" w:cs="Arial"/>
        </w:rPr>
        <w:t>2016</w:t>
      </w:r>
      <w:r w:rsidRPr="0015612B">
        <w:rPr>
          <w:rFonts w:ascii="Arial" w:hAnsi="Arial" w:cs="Arial"/>
        </w:rPr>
        <w:t xml:space="preserve">). These synergistic effects are consistent with the observations of </w:t>
      </w:r>
      <w:r w:rsidR="00A311F9" w:rsidRPr="00C70C4B">
        <w:t>Al-Khayri</w:t>
      </w:r>
      <w:r w:rsidRPr="0015612B">
        <w:rPr>
          <w:rFonts w:ascii="Arial" w:hAnsi="Arial" w:cs="Arial"/>
        </w:rPr>
        <w:t xml:space="preserve"> et al. (2022), who highlight the complementary role of flavonoids and secondary compounds in inflammation. Thus, the anti-inflammatory efficacy depends on both the dose and the qualitative composition of the extracts, in comparison with a stable reference provided by the control groups.</w:t>
      </w:r>
    </w:p>
    <w:p w14:paraId="55AF34E4" w14:textId="77777777" w:rsidR="00A311F9" w:rsidRPr="00F42CA8" w:rsidRDefault="00A311F9" w:rsidP="00A311F9">
      <w:pPr>
        <w:spacing w:line="360" w:lineRule="auto"/>
        <w:jc w:val="both"/>
        <w:rPr>
          <w:rFonts w:ascii="Arial" w:hAnsi="Arial" w:cs="Arial"/>
          <w:b/>
          <w:bCs/>
          <w:u w:val="single"/>
        </w:rPr>
      </w:pPr>
      <w:r w:rsidRPr="00F42CA8">
        <w:rPr>
          <w:rFonts w:ascii="Arial" w:hAnsi="Arial" w:cs="Arial"/>
          <w:b/>
          <w:bCs/>
          <w:u w:val="single"/>
        </w:rPr>
        <w:t>3.4.3. Effect of the Extract on Total Protein Levels in Rats After Hemorrhoid Induction and Treatment</w:t>
      </w:r>
    </w:p>
    <w:p w14:paraId="6C65B0AE" w14:textId="4F8ABEC3" w:rsidR="00A311F9" w:rsidRDefault="00A311F9" w:rsidP="00A311F9">
      <w:pPr>
        <w:jc w:val="both"/>
        <w:rPr>
          <w:rFonts w:ascii="Arial" w:hAnsi="Arial" w:cs="Arial"/>
        </w:rPr>
      </w:pPr>
      <w:r w:rsidRPr="00A311F9">
        <w:rPr>
          <w:rFonts w:ascii="Arial" w:hAnsi="Arial" w:cs="Arial"/>
        </w:rPr>
        <w:t>Figure 3 shows the evolution of mean serum protein levels in rats after hemorrhoid induction, including the control groups (GN1, GN2) and the groups treated with RCD, SPA, and NB. The control groups exhibit contrasting patterns: GN1 increases from 58.07 to 62.4 mg/dL</w:t>
      </w:r>
      <w:r w:rsidR="00103AC6">
        <w:rPr>
          <w:rFonts w:ascii="Arial" w:hAnsi="Arial" w:cs="Arial"/>
        </w:rPr>
        <w:t xml:space="preserve"> </w:t>
      </w:r>
      <w:r w:rsidR="00103AC6" w:rsidRPr="00696A3E">
        <w:rPr>
          <w:rFonts w:ascii="Arial" w:hAnsi="Arial" w:cs="Arial"/>
        </w:rPr>
        <w:t>(p &lt; 0.05)</w:t>
      </w:r>
      <w:r w:rsidRPr="00A311F9">
        <w:rPr>
          <w:rFonts w:ascii="Arial" w:hAnsi="Arial" w:cs="Arial"/>
        </w:rPr>
        <w:t>, indicating a slight natural rise, whereas GN2 decreases from 57.5 to 48.5 mg/dL, suggesting physiological variability or stress induced by the experimental model.</w:t>
      </w:r>
    </w:p>
    <w:p w14:paraId="59DAD6F0" w14:textId="77777777" w:rsidR="00A311F9" w:rsidRDefault="00A311F9" w:rsidP="00A311F9">
      <w:pPr>
        <w:jc w:val="both"/>
        <w:rPr>
          <w:rFonts w:ascii="Arial" w:hAnsi="Arial" w:cs="Arial"/>
        </w:rPr>
      </w:pPr>
    </w:p>
    <w:p w14:paraId="219F1969" w14:textId="4B542FA5" w:rsidR="00A311F9" w:rsidRPr="00A311F9" w:rsidRDefault="00A311F9" w:rsidP="00A311F9">
      <w:pPr>
        <w:spacing w:after="240"/>
        <w:jc w:val="center"/>
        <w:rPr>
          <w:rFonts w:ascii="Arial" w:hAnsi="Arial" w:cs="Arial"/>
        </w:rPr>
      </w:pPr>
      <w:r>
        <w:rPr>
          <w:noProof/>
        </w:rPr>
        <w:drawing>
          <wp:inline distT="0" distB="0" distL="0" distR="0" wp14:anchorId="77B49AA4" wp14:editId="32EACDD1">
            <wp:extent cx="4572000" cy="2743200"/>
            <wp:effectExtent l="0" t="0" r="0" b="0"/>
            <wp:docPr id="2048042196" name="Graphique 1">
              <a:extLst xmlns:a="http://schemas.openxmlformats.org/drawingml/2006/main">
                <a:ext uri="{FF2B5EF4-FFF2-40B4-BE49-F238E27FC236}">
                  <a16:creationId xmlns:a16="http://schemas.microsoft.com/office/drawing/2014/main" id="{30BF3693-9F0F-894D-5457-C5BC8BD73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8B0DF7" w14:textId="6C26FD96" w:rsidR="00A311F9" w:rsidRPr="00A311F9" w:rsidRDefault="00A311F9" w:rsidP="00A311F9">
      <w:pPr>
        <w:spacing w:line="360" w:lineRule="auto"/>
        <w:jc w:val="center"/>
        <w:rPr>
          <w:rFonts w:ascii="Arial" w:hAnsi="Arial" w:cs="Arial"/>
          <w:b/>
          <w:bCs/>
        </w:rPr>
      </w:pPr>
      <w:r w:rsidRPr="00A311F9">
        <w:rPr>
          <w:rFonts w:ascii="Arial" w:hAnsi="Arial" w:cs="Arial"/>
          <w:b/>
          <w:bCs/>
        </w:rPr>
        <w:t>Figure 3</w:t>
      </w:r>
      <w:r>
        <w:rPr>
          <w:rFonts w:ascii="Arial" w:hAnsi="Arial" w:cs="Arial"/>
          <w:b/>
          <w:bCs/>
        </w:rPr>
        <w:t>.</w:t>
      </w:r>
      <w:r w:rsidRPr="00A311F9">
        <w:rPr>
          <w:rFonts w:ascii="Arial" w:hAnsi="Arial" w:cs="Arial"/>
          <w:b/>
          <w:bCs/>
        </w:rPr>
        <w:t xml:space="preserve"> Total Protein Levels in Rats After Hemorrhoid Induction and Treatment</w:t>
      </w:r>
    </w:p>
    <w:p w14:paraId="735F032A" w14:textId="2D2583D6" w:rsidR="00A311F9" w:rsidRPr="00A311F9" w:rsidRDefault="00A311F9" w:rsidP="00A311F9">
      <w:pPr>
        <w:pStyle w:val="Body"/>
        <w:spacing w:after="0"/>
        <w:rPr>
          <w:rFonts w:ascii="Arial" w:hAnsi="Arial" w:cs="Arial"/>
        </w:rPr>
      </w:pPr>
      <w:r w:rsidRPr="00A311F9">
        <w:rPr>
          <w:rFonts w:ascii="Arial" w:hAnsi="Arial" w:cs="Arial"/>
        </w:rPr>
        <w:lastRenderedPageBreak/>
        <w:t>The analysis of the treated groups reveals that SPA 250 mg/kg induces the greatest increase (65.67 → 67.57 mg/dL), followed by SPA 500 mg/kg and NB 250 mg/kg, indicating that the plant extracts promote recovery or maintenance of serum protein levels</w:t>
      </w:r>
      <w:r w:rsidR="00103AC6">
        <w:rPr>
          <w:rFonts w:ascii="Arial" w:hAnsi="Arial" w:cs="Arial"/>
        </w:rPr>
        <w:t xml:space="preserve"> </w:t>
      </w:r>
      <w:r w:rsidR="00103AC6" w:rsidRPr="00696A3E">
        <w:rPr>
          <w:rFonts w:ascii="Arial" w:hAnsi="Arial" w:cs="Arial"/>
        </w:rPr>
        <w:t>(p &lt; 0.05)</w:t>
      </w:r>
      <w:r w:rsidRPr="00A311F9">
        <w:rPr>
          <w:rFonts w:ascii="Arial" w:hAnsi="Arial" w:cs="Arial"/>
        </w:rPr>
        <w:t>. NB 500 mg/kg and RCD show more moderate effects. Comparison with the control groups indicates that the extracts, particularly SPA and NB at moderate doses, improve biochemical parameters in addition to their previously observed anti-inflammatory effects.</w:t>
      </w:r>
    </w:p>
    <w:p w14:paraId="1F0950DB" w14:textId="3A865920" w:rsidR="00A311F9" w:rsidRPr="00A311F9" w:rsidRDefault="00A311F9" w:rsidP="005D24AD">
      <w:pPr>
        <w:pStyle w:val="Body"/>
        <w:rPr>
          <w:rFonts w:ascii="Arial" w:hAnsi="Arial" w:cs="Arial"/>
        </w:rPr>
      </w:pPr>
      <w:r w:rsidRPr="00A311F9">
        <w:rPr>
          <w:rFonts w:ascii="Arial" w:hAnsi="Arial" w:cs="Arial"/>
        </w:rPr>
        <w:t xml:space="preserve">Considering the earlier results on ESR and antioxidant activity, it appears that polyphenols may stabilize plasma proteins and reduce oxidative stress, as highlighted by </w:t>
      </w:r>
      <w:proofErr w:type="spellStart"/>
      <w:r w:rsidR="00067AA4" w:rsidRPr="007A1C2A">
        <w:t>Jomova</w:t>
      </w:r>
      <w:proofErr w:type="spellEnd"/>
      <w:r w:rsidRPr="00A311F9">
        <w:rPr>
          <w:rFonts w:ascii="Arial" w:hAnsi="Arial" w:cs="Arial"/>
        </w:rPr>
        <w:t xml:space="preserve"> et al. </w:t>
      </w:r>
      <w:r w:rsidR="00067AA4">
        <w:rPr>
          <w:rFonts w:ascii="Arial" w:hAnsi="Arial" w:cs="Arial"/>
        </w:rPr>
        <w:t xml:space="preserve">in 2025 </w:t>
      </w:r>
      <w:r w:rsidRPr="00A311F9">
        <w:rPr>
          <w:rFonts w:ascii="Arial" w:hAnsi="Arial" w:cs="Arial"/>
        </w:rPr>
        <w:t xml:space="preserve">Furthermore, </w:t>
      </w:r>
      <w:r w:rsidR="00067AA4" w:rsidRPr="007A1C2A">
        <w:t>Yahfoufi</w:t>
      </w:r>
      <w:r w:rsidRPr="00A311F9">
        <w:rPr>
          <w:rFonts w:ascii="Arial" w:hAnsi="Arial" w:cs="Arial"/>
        </w:rPr>
        <w:t xml:space="preserve"> et al. </w:t>
      </w:r>
      <w:r w:rsidR="00067AA4">
        <w:rPr>
          <w:rFonts w:ascii="Arial" w:hAnsi="Arial" w:cs="Arial"/>
        </w:rPr>
        <w:t xml:space="preserve">in 2018 </w:t>
      </w:r>
      <w:r w:rsidRPr="00A311F9">
        <w:rPr>
          <w:rFonts w:ascii="Arial" w:hAnsi="Arial" w:cs="Arial"/>
        </w:rPr>
        <w:t>report that flavonoids, by modulating inflammation, contribute to maintaining serum protein levels, suggesting a synergistic effect between the qualitative compounds present (tannins, saponins, and terpenoids) and the overall therapeutic effect.</w:t>
      </w:r>
    </w:p>
    <w:p w14:paraId="0F41F4CB" w14:textId="5611D7B4" w:rsidR="005D24AD" w:rsidRPr="00F42CA8" w:rsidRDefault="005D24AD" w:rsidP="005D24AD">
      <w:pPr>
        <w:spacing w:line="360" w:lineRule="auto"/>
        <w:jc w:val="both"/>
        <w:rPr>
          <w:rFonts w:ascii="Arial" w:hAnsi="Arial" w:cs="Arial"/>
          <w:b/>
          <w:bCs/>
          <w:u w:val="single"/>
        </w:rPr>
      </w:pPr>
      <w:r w:rsidRPr="00F42CA8">
        <w:rPr>
          <w:rFonts w:ascii="Arial" w:hAnsi="Arial" w:cs="Arial"/>
          <w:b/>
          <w:bCs/>
          <w:u w:val="single"/>
        </w:rPr>
        <w:t>3.4.4. Effect of the Extracts on the Variation of the Recto-Anal Coefficient in Rats After</w:t>
      </w:r>
      <w:r w:rsidR="00F42CA8">
        <w:rPr>
          <w:rFonts w:ascii="Arial" w:hAnsi="Arial" w:cs="Arial"/>
          <w:b/>
          <w:bCs/>
          <w:u w:val="single"/>
        </w:rPr>
        <w:t xml:space="preserve"> </w:t>
      </w:r>
      <w:r w:rsidRPr="00F42CA8">
        <w:rPr>
          <w:rFonts w:ascii="Arial" w:hAnsi="Arial" w:cs="Arial"/>
          <w:b/>
          <w:bCs/>
          <w:u w:val="single"/>
        </w:rPr>
        <w:t>Hemorrhoid Induction</w:t>
      </w:r>
    </w:p>
    <w:p w14:paraId="705A1E13" w14:textId="77777777" w:rsidR="00D81B6C" w:rsidRPr="00D81B6C" w:rsidRDefault="00D81B6C" w:rsidP="00D81B6C">
      <w:pPr>
        <w:pStyle w:val="Body"/>
        <w:spacing w:after="0"/>
        <w:rPr>
          <w:rFonts w:ascii="Arial" w:hAnsi="Arial" w:cs="Arial"/>
        </w:rPr>
      </w:pPr>
      <w:r w:rsidRPr="00D81B6C">
        <w:rPr>
          <w:rFonts w:ascii="Arial" w:hAnsi="Arial" w:cs="Arial"/>
        </w:rPr>
        <w:t>Figure 4 presents the mean variation of the recto-anal coefficient (RAC) after treatment, including the control groups (GN1, GN2) and the tested extracts. The control groups GN1 (0.00335) and GN2 (0.00510) serve as physiological references, with GN2 showing a higher variation, possibly related to persistent inflammation without treatment.</w:t>
      </w:r>
    </w:p>
    <w:p w14:paraId="4C40AA33" w14:textId="395D42CD" w:rsidR="00D81B6C" w:rsidRPr="00D81B6C" w:rsidRDefault="00D81B6C" w:rsidP="00D81B6C">
      <w:pPr>
        <w:pStyle w:val="Body"/>
        <w:spacing w:after="0"/>
        <w:rPr>
          <w:rFonts w:ascii="Arial" w:hAnsi="Arial" w:cs="Arial"/>
        </w:rPr>
      </w:pPr>
      <w:r w:rsidRPr="00D81B6C">
        <w:rPr>
          <w:rFonts w:ascii="Arial" w:hAnsi="Arial" w:cs="Arial"/>
        </w:rPr>
        <w:t>The analysis shows that NB 250 mg/kg produces the lowest variation (0.00156), suggesting a better restoration of recto-anal integrity compared to the other groups. SPA 250 mg/kg (0.00473) and SPA 500 mg/kg (0.00361) present values comparable to GN1, while RCD 10 mg/kg is close to the GN1 control</w:t>
      </w:r>
      <w:r w:rsidR="00103AC6">
        <w:rPr>
          <w:rFonts w:ascii="Arial" w:hAnsi="Arial" w:cs="Arial"/>
        </w:rPr>
        <w:t xml:space="preserve"> </w:t>
      </w:r>
      <w:r w:rsidR="00103AC6" w:rsidRPr="00696A3E">
        <w:rPr>
          <w:rFonts w:ascii="Arial" w:hAnsi="Arial" w:cs="Arial"/>
        </w:rPr>
        <w:t>(p &lt; 0.05)</w:t>
      </w:r>
      <w:r w:rsidRPr="00D81B6C">
        <w:rPr>
          <w:rFonts w:ascii="Arial" w:hAnsi="Arial" w:cs="Arial"/>
        </w:rPr>
        <w:t>. NB 500 mg/kg also approaches the control values, indicating a non-linear dose-dependent effect.</w:t>
      </w:r>
    </w:p>
    <w:p w14:paraId="1DA2D094" w14:textId="45CE776F" w:rsidR="004D02FB" w:rsidRDefault="00D81B6C" w:rsidP="00103AC6">
      <w:pPr>
        <w:pStyle w:val="Body"/>
        <w:jc w:val="center"/>
        <w:rPr>
          <w:rFonts w:ascii="Arial" w:hAnsi="Arial" w:cs="Arial"/>
        </w:rPr>
      </w:pPr>
      <w:r>
        <w:rPr>
          <w:noProof/>
        </w:rPr>
        <w:drawing>
          <wp:inline distT="0" distB="0" distL="0" distR="0" wp14:anchorId="1CC8B452" wp14:editId="5CD95433">
            <wp:extent cx="4911725" cy="2851150"/>
            <wp:effectExtent l="0" t="0" r="3175" b="6350"/>
            <wp:docPr id="1853889907" name="Graphique 1">
              <a:extLst xmlns:a="http://schemas.openxmlformats.org/drawingml/2006/main">
                <a:ext uri="{FF2B5EF4-FFF2-40B4-BE49-F238E27FC236}">
                  <a16:creationId xmlns:a16="http://schemas.microsoft.com/office/drawing/2014/main" id="{FE514A5B-003E-3098-F542-1C45625D8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3489AC" w14:textId="63ED8B62" w:rsidR="00D81B6C" w:rsidRPr="00D81B6C" w:rsidRDefault="00D81B6C" w:rsidP="00103AC6">
      <w:pPr>
        <w:spacing w:line="360" w:lineRule="auto"/>
        <w:jc w:val="center"/>
        <w:rPr>
          <w:rFonts w:ascii="Arial" w:hAnsi="Arial" w:cs="Arial"/>
          <w:b/>
          <w:bCs/>
        </w:rPr>
      </w:pPr>
      <w:r w:rsidRPr="00D81B6C">
        <w:rPr>
          <w:rFonts w:ascii="Arial" w:hAnsi="Arial" w:cs="Arial"/>
          <w:b/>
          <w:bCs/>
        </w:rPr>
        <w:t>Figure 4</w:t>
      </w:r>
      <w:r>
        <w:rPr>
          <w:rFonts w:ascii="Arial" w:hAnsi="Arial" w:cs="Arial"/>
          <w:b/>
          <w:bCs/>
        </w:rPr>
        <w:t>.</w:t>
      </w:r>
      <w:r w:rsidRPr="00D81B6C">
        <w:rPr>
          <w:rFonts w:ascii="Arial" w:hAnsi="Arial" w:cs="Arial"/>
          <w:b/>
          <w:bCs/>
        </w:rPr>
        <w:t xml:space="preserve"> Variation of the Recto-Anal Coefficient in Rats After Hemorrhoid Induction</w:t>
      </w:r>
    </w:p>
    <w:p w14:paraId="4A075F11" w14:textId="21063D08" w:rsidR="00D81B6C" w:rsidRDefault="00D81B6C" w:rsidP="00103AC6">
      <w:pPr>
        <w:pStyle w:val="Body"/>
        <w:rPr>
          <w:rFonts w:ascii="Arial" w:hAnsi="Arial" w:cs="Arial"/>
        </w:rPr>
      </w:pPr>
      <w:r w:rsidRPr="00D81B6C">
        <w:rPr>
          <w:rFonts w:ascii="Arial" w:hAnsi="Arial" w:cs="Arial"/>
        </w:rPr>
        <w:t xml:space="preserve">Comparison with the previous results (ESR and serum proteins) suggests that the anti-inflammatory and antioxidant efficacy is reflected in an improvement of the RAC, as reported by </w:t>
      </w:r>
      <w:r w:rsidRPr="00843469">
        <w:t>Damavandi</w:t>
      </w:r>
      <w:r w:rsidRPr="00D81B6C">
        <w:rPr>
          <w:rFonts w:ascii="Arial" w:hAnsi="Arial" w:cs="Arial"/>
        </w:rPr>
        <w:t xml:space="preserve"> et al. (2023) for polyphenol-rich extracts that reduce morphological markers of the mucosa. Furthermore, </w:t>
      </w:r>
      <w:r w:rsidRPr="00A21CC8">
        <w:t>Nwozo</w:t>
      </w:r>
      <w:r w:rsidRPr="00D81B6C">
        <w:rPr>
          <w:rFonts w:ascii="Arial" w:hAnsi="Arial" w:cs="Arial"/>
        </w:rPr>
        <w:t xml:space="preserve"> et al. (202</w:t>
      </w:r>
      <w:r>
        <w:rPr>
          <w:rFonts w:ascii="Arial" w:hAnsi="Arial" w:cs="Arial"/>
        </w:rPr>
        <w:t>3</w:t>
      </w:r>
      <w:r w:rsidRPr="00D81B6C">
        <w:rPr>
          <w:rFonts w:ascii="Arial" w:hAnsi="Arial" w:cs="Arial"/>
        </w:rPr>
        <w:t>) emphasize that the modulation of inflammatory mediators by flavonoids improves tissue function, which is consistent with the low variation observed for NB 250 mg/kg, possibly due to the synergistic effect of flavonoids, tannins, and saponins.</w:t>
      </w:r>
    </w:p>
    <w:p w14:paraId="463876BA" w14:textId="77777777" w:rsidR="00D81B6C" w:rsidRPr="003800C2" w:rsidRDefault="00D81B6C" w:rsidP="00D81B6C">
      <w:pPr>
        <w:spacing w:line="360" w:lineRule="auto"/>
        <w:jc w:val="both"/>
        <w:rPr>
          <w:rFonts w:ascii="Arial" w:hAnsi="Arial" w:cs="Arial"/>
          <w:b/>
          <w:bCs/>
          <w:u w:val="single"/>
        </w:rPr>
      </w:pPr>
      <w:r w:rsidRPr="003800C2">
        <w:rPr>
          <w:rFonts w:ascii="Arial" w:hAnsi="Arial" w:cs="Arial"/>
          <w:b/>
          <w:bCs/>
          <w:u w:val="single"/>
        </w:rPr>
        <w:t>3.4.5. Inflammatory Index</w:t>
      </w:r>
    </w:p>
    <w:p w14:paraId="4A7A6F5C" w14:textId="58B30212" w:rsidR="00D81B6C" w:rsidRDefault="0007427B" w:rsidP="00103AC6">
      <w:pPr>
        <w:pStyle w:val="Body"/>
        <w:rPr>
          <w:rFonts w:ascii="Arial" w:hAnsi="Arial" w:cs="Arial"/>
        </w:rPr>
      </w:pPr>
      <w:r w:rsidRPr="0007427B">
        <w:rPr>
          <w:rFonts w:ascii="Arial" w:hAnsi="Arial" w:cs="Arial"/>
        </w:rPr>
        <w:t xml:space="preserve">The table presents the clinical assessment of </w:t>
      </w:r>
      <w:proofErr w:type="spellStart"/>
      <w:r w:rsidRPr="0007427B">
        <w:rPr>
          <w:rFonts w:ascii="Arial" w:hAnsi="Arial" w:cs="Arial"/>
        </w:rPr>
        <w:t>h</w:t>
      </w:r>
      <w:r w:rsidR="003164E1">
        <w:rPr>
          <w:rFonts w:ascii="Arial" w:hAnsi="Arial" w:cs="Arial"/>
        </w:rPr>
        <w:t>a</w:t>
      </w:r>
      <w:r w:rsidRPr="0007427B">
        <w:rPr>
          <w:rFonts w:ascii="Arial" w:hAnsi="Arial" w:cs="Arial"/>
        </w:rPr>
        <w:t>emorrhoids</w:t>
      </w:r>
      <w:proofErr w:type="spellEnd"/>
      <w:r w:rsidRPr="0007427B">
        <w:rPr>
          <w:rFonts w:ascii="Arial" w:hAnsi="Arial" w:cs="Arial"/>
        </w:rPr>
        <w:t xml:space="preserve"> after treatment, including the control groups GN1 and GN2 and the extracts SPA and NB. The control groups did not receive any treatment and remained at grade II, characterized by spontaneous prolapse of the anal cushions. All treated groups (RCD 10 mg/kg, SPA 250 and 500 mg/kg, NB 250 and 500 mg/kg) reached grade I, indicating limited bleeding without prolapse, thus demonstrating a clear improvement.</w:t>
      </w:r>
    </w:p>
    <w:p w14:paraId="6B913D96" w14:textId="4B44D4A4" w:rsidR="0007427B" w:rsidRPr="003800C2" w:rsidRDefault="0007427B" w:rsidP="003800C2">
      <w:pPr>
        <w:jc w:val="center"/>
        <w:rPr>
          <w:rFonts w:ascii="Arial" w:hAnsi="Arial" w:cs="Arial"/>
          <w:b/>
          <w:bCs/>
        </w:rPr>
      </w:pPr>
      <w:r w:rsidRPr="00D81B6C">
        <w:rPr>
          <w:rFonts w:ascii="Arial" w:hAnsi="Arial" w:cs="Arial"/>
          <w:b/>
          <w:bCs/>
        </w:rPr>
        <w:t xml:space="preserve">Table </w:t>
      </w:r>
      <w:r>
        <w:rPr>
          <w:rFonts w:ascii="Arial" w:hAnsi="Arial" w:cs="Arial"/>
          <w:b/>
          <w:bCs/>
        </w:rPr>
        <w:t>4.</w:t>
      </w:r>
      <w:r w:rsidRPr="00D81B6C">
        <w:rPr>
          <w:rFonts w:ascii="Arial" w:hAnsi="Arial" w:cs="Arial"/>
          <w:b/>
          <w:bCs/>
        </w:rPr>
        <w:t xml:space="preserve"> Clinical Assessment of Hemorrhoids After 5 Days of Treatment Across</w:t>
      </w:r>
      <w:r w:rsidR="003800C2">
        <w:rPr>
          <w:rFonts w:ascii="Arial" w:hAnsi="Arial" w:cs="Arial"/>
          <w:b/>
          <w:bCs/>
        </w:rPr>
        <w:t xml:space="preserve"> </w:t>
      </w:r>
      <w:r w:rsidR="003164E1">
        <w:rPr>
          <w:rFonts w:ascii="Arial" w:hAnsi="Arial" w:cs="Arial"/>
          <w:b/>
          <w:bCs/>
        </w:rPr>
        <w:t>E</w:t>
      </w:r>
      <w:r w:rsidRPr="00D81B6C">
        <w:rPr>
          <w:rFonts w:ascii="Arial" w:hAnsi="Arial" w:cs="Arial"/>
          <w:b/>
          <w:bCs/>
        </w:rPr>
        <w:t>xperimental Groups</w:t>
      </w:r>
      <w:r w:rsidR="003C62CF">
        <w:rPr>
          <w:rFonts w:ascii="Arial" w:hAnsi="Arial" w:cs="Arial"/>
          <w:b/>
          <w:bCs/>
        </w:rPr>
        <w:t xml:space="preserve"> (</w:t>
      </w:r>
      <w:proofErr w:type="spellStart"/>
      <w:r w:rsidR="003C62CF" w:rsidRPr="003C62CF">
        <w:rPr>
          <w:rFonts w:ascii="Arial" w:hAnsi="Arial" w:cs="Arial"/>
          <w:b/>
          <w:bCs/>
        </w:rPr>
        <w:t>Fagbohoun</w:t>
      </w:r>
      <w:proofErr w:type="spellEnd"/>
      <w:r w:rsidR="003C62CF">
        <w:rPr>
          <w:rFonts w:ascii="Arial" w:hAnsi="Arial" w:cs="Arial"/>
          <w:b/>
          <w:bCs/>
        </w:rPr>
        <w:t xml:space="preserve"> et al., 2026)</w:t>
      </w:r>
    </w:p>
    <w:p w14:paraId="5C1192EE" w14:textId="77777777" w:rsidR="0007427B" w:rsidRDefault="0007427B" w:rsidP="00B420F2">
      <w:pPr>
        <w:pStyle w:val="Body"/>
        <w:spacing w:after="0"/>
        <w:rPr>
          <w:rFonts w:ascii="Arial" w:hAnsi="Arial" w:cs="Arial"/>
        </w:rPr>
      </w:pPr>
    </w:p>
    <w:tbl>
      <w:tblPr>
        <w:tblStyle w:val="TableGrid"/>
        <w:tblW w:w="9273" w:type="dxa"/>
        <w:jc w:val="center"/>
        <w:tblLook w:val="04A0" w:firstRow="1" w:lastRow="0" w:firstColumn="1" w:lastColumn="0" w:noHBand="0" w:noVBand="1"/>
      </w:tblPr>
      <w:tblGrid>
        <w:gridCol w:w="1543"/>
        <w:gridCol w:w="2275"/>
        <w:gridCol w:w="3844"/>
        <w:gridCol w:w="1611"/>
      </w:tblGrid>
      <w:tr w:rsidR="0007427B" w:rsidRPr="00EC2683" w14:paraId="09368274" w14:textId="77777777" w:rsidTr="0007427B">
        <w:trPr>
          <w:trHeight w:val="325"/>
          <w:jc w:val="center"/>
        </w:trPr>
        <w:tc>
          <w:tcPr>
            <w:tcW w:w="1543" w:type="dxa"/>
          </w:tcPr>
          <w:p w14:paraId="2DE08343" w14:textId="77777777" w:rsidR="0007427B" w:rsidRPr="00EC2683" w:rsidRDefault="0007427B" w:rsidP="00FE6291">
            <w:pPr>
              <w:jc w:val="center"/>
              <w:rPr>
                <w:rFonts w:ascii="Arial" w:hAnsi="Arial" w:cs="Arial"/>
                <w:sz w:val="20"/>
                <w:szCs w:val="20"/>
              </w:rPr>
            </w:pPr>
            <w:r w:rsidRPr="00EC2683">
              <w:rPr>
                <w:rFonts w:ascii="Arial" w:hAnsi="Arial" w:cs="Arial"/>
                <w:b/>
                <w:bCs/>
                <w:sz w:val="20"/>
                <w:szCs w:val="20"/>
              </w:rPr>
              <w:t>Groups</w:t>
            </w:r>
          </w:p>
        </w:tc>
        <w:tc>
          <w:tcPr>
            <w:tcW w:w="2275" w:type="dxa"/>
          </w:tcPr>
          <w:p w14:paraId="19186EF8" w14:textId="0DA05A19" w:rsidR="0007427B" w:rsidRPr="00EC2683" w:rsidRDefault="0007427B" w:rsidP="00FE6291">
            <w:pPr>
              <w:jc w:val="center"/>
              <w:rPr>
                <w:rFonts w:ascii="Arial" w:hAnsi="Arial" w:cs="Arial"/>
                <w:sz w:val="20"/>
                <w:szCs w:val="20"/>
              </w:rPr>
            </w:pPr>
            <w:r w:rsidRPr="00EC2683">
              <w:rPr>
                <w:rFonts w:ascii="Arial" w:hAnsi="Arial" w:cs="Arial"/>
                <w:sz w:val="20"/>
                <w:szCs w:val="20"/>
              </w:rPr>
              <w:t>before Tr</w:t>
            </w:r>
            <w:r w:rsidR="003164E1">
              <w:rPr>
                <w:rFonts w:ascii="Arial" w:hAnsi="Arial" w:cs="Arial"/>
                <w:sz w:val="20"/>
                <w:szCs w:val="20"/>
              </w:rPr>
              <w:t>ea</w:t>
            </w:r>
            <w:r w:rsidRPr="00EC2683">
              <w:rPr>
                <w:rFonts w:ascii="Arial" w:hAnsi="Arial" w:cs="Arial"/>
                <w:sz w:val="20"/>
                <w:szCs w:val="20"/>
              </w:rPr>
              <w:t>tment</w:t>
            </w:r>
          </w:p>
        </w:tc>
        <w:tc>
          <w:tcPr>
            <w:tcW w:w="3844" w:type="dxa"/>
          </w:tcPr>
          <w:p w14:paraId="5965DA76" w14:textId="1CF5CCE6" w:rsidR="0007427B" w:rsidRPr="00EC2683" w:rsidRDefault="0007427B" w:rsidP="00FE6291">
            <w:pPr>
              <w:jc w:val="center"/>
              <w:rPr>
                <w:rFonts w:ascii="Arial" w:hAnsi="Arial" w:cs="Arial"/>
                <w:sz w:val="20"/>
                <w:szCs w:val="20"/>
              </w:rPr>
            </w:pPr>
            <w:r w:rsidRPr="00EC2683">
              <w:rPr>
                <w:rFonts w:ascii="Arial" w:hAnsi="Arial" w:cs="Arial"/>
                <w:sz w:val="20"/>
                <w:szCs w:val="20"/>
              </w:rPr>
              <w:t>after tr</w:t>
            </w:r>
            <w:r w:rsidR="003164E1">
              <w:rPr>
                <w:rFonts w:ascii="Arial" w:hAnsi="Arial" w:cs="Arial"/>
                <w:sz w:val="20"/>
                <w:szCs w:val="20"/>
              </w:rPr>
              <w:t>ea</w:t>
            </w:r>
            <w:r w:rsidRPr="00EC2683">
              <w:rPr>
                <w:rFonts w:ascii="Arial" w:hAnsi="Arial" w:cs="Arial"/>
                <w:sz w:val="20"/>
                <w:szCs w:val="20"/>
              </w:rPr>
              <w:t>tment</w:t>
            </w:r>
          </w:p>
        </w:tc>
        <w:tc>
          <w:tcPr>
            <w:tcW w:w="1611" w:type="dxa"/>
          </w:tcPr>
          <w:p w14:paraId="337ACDD0" w14:textId="77777777" w:rsidR="0007427B" w:rsidRPr="00EC2683" w:rsidRDefault="0007427B" w:rsidP="00FE6291">
            <w:pPr>
              <w:jc w:val="center"/>
              <w:rPr>
                <w:rFonts w:ascii="Arial" w:hAnsi="Arial" w:cs="Arial"/>
                <w:sz w:val="20"/>
                <w:szCs w:val="20"/>
              </w:rPr>
            </w:pPr>
            <w:r w:rsidRPr="00EC2683">
              <w:rPr>
                <w:rFonts w:ascii="Arial" w:hAnsi="Arial" w:cs="Arial"/>
                <w:b/>
                <w:bCs/>
                <w:sz w:val="20"/>
                <w:szCs w:val="20"/>
              </w:rPr>
              <w:t>Appreciation after treatment</w:t>
            </w:r>
          </w:p>
        </w:tc>
      </w:tr>
      <w:tr w:rsidR="0007427B" w:rsidRPr="00EC2683" w14:paraId="4036BB4F" w14:textId="77777777" w:rsidTr="0007427B">
        <w:trPr>
          <w:trHeight w:val="1863"/>
          <w:jc w:val="center"/>
        </w:trPr>
        <w:tc>
          <w:tcPr>
            <w:tcW w:w="1543" w:type="dxa"/>
          </w:tcPr>
          <w:p w14:paraId="0B37401C" w14:textId="77777777" w:rsidR="0007427B" w:rsidRPr="00EC2683" w:rsidRDefault="0007427B" w:rsidP="00FE6291">
            <w:pPr>
              <w:jc w:val="center"/>
              <w:rPr>
                <w:rFonts w:ascii="Arial" w:hAnsi="Arial" w:cs="Arial"/>
                <w:sz w:val="20"/>
                <w:szCs w:val="20"/>
              </w:rPr>
            </w:pPr>
            <w:r w:rsidRPr="00EC2683">
              <w:rPr>
                <w:rFonts w:ascii="Arial" w:hAnsi="Arial" w:cs="Arial"/>
                <w:sz w:val="20"/>
                <w:szCs w:val="20"/>
              </w:rPr>
              <w:lastRenderedPageBreak/>
              <w:t>GN1</w:t>
            </w:r>
          </w:p>
        </w:tc>
        <w:tc>
          <w:tcPr>
            <w:tcW w:w="2275" w:type="dxa"/>
          </w:tcPr>
          <w:p w14:paraId="61A32CD7" w14:textId="77777777" w:rsidR="0007427B" w:rsidRPr="00EC2683" w:rsidRDefault="0007427B" w:rsidP="00FE6291">
            <w:pPr>
              <w:jc w:val="center"/>
              <w:rPr>
                <w:rFonts w:ascii="Arial" w:hAnsi="Arial" w:cs="Arial"/>
                <w:b/>
                <w:bCs/>
                <w:sz w:val="20"/>
                <w:szCs w:val="20"/>
              </w:rPr>
            </w:pPr>
            <w:r w:rsidRPr="00EC2683">
              <w:rPr>
                <w:rFonts w:ascii="Arial" w:hAnsi="Arial" w:cs="Arial"/>
                <w:noProof/>
              </w:rPr>
              <w:drawing>
                <wp:anchor distT="0" distB="0" distL="114300" distR="114300" simplePos="0" relativeHeight="251662336" behindDoc="0" locked="0" layoutInCell="1" allowOverlap="1" wp14:anchorId="32A9CBA3" wp14:editId="36F5FF50">
                  <wp:simplePos x="0" y="0"/>
                  <wp:positionH relativeFrom="column">
                    <wp:posOffset>89535</wp:posOffset>
                  </wp:positionH>
                  <wp:positionV relativeFrom="paragraph">
                    <wp:posOffset>-71755</wp:posOffset>
                  </wp:positionV>
                  <wp:extent cx="1061720" cy="1210310"/>
                  <wp:effectExtent l="1905" t="0" r="6985" b="6985"/>
                  <wp:wrapTopAndBottom/>
                  <wp:docPr id="192239945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031" t="20744" r="7678" b="14155"/>
                          <a:stretch/>
                        </pic:blipFill>
                        <pic:spPr bwMode="auto">
                          <a:xfrm rot="5400000">
                            <a:off x="0" y="0"/>
                            <a:ext cx="1061720" cy="12103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844" w:type="dxa"/>
          </w:tcPr>
          <w:p w14:paraId="4BFC1690" w14:textId="77777777" w:rsidR="0007427B" w:rsidRPr="00EC2683" w:rsidRDefault="0007427B" w:rsidP="00FE6291">
            <w:pPr>
              <w:jc w:val="center"/>
              <w:rPr>
                <w:rFonts w:ascii="Arial" w:hAnsi="Arial" w:cs="Arial"/>
                <w:b/>
                <w:bCs/>
                <w:sz w:val="20"/>
                <w:szCs w:val="20"/>
              </w:rPr>
            </w:pPr>
            <w:r w:rsidRPr="00EC2683">
              <w:rPr>
                <w:rFonts w:ascii="Arial" w:hAnsi="Arial" w:cs="Arial"/>
                <w:noProof/>
              </w:rPr>
              <w:drawing>
                <wp:anchor distT="0" distB="0" distL="114300" distR="114300" simplePos="0" relativeHeight="251664384" behindDoc="0" locked="0" layoutInCell="1" allowOverlap="1" wp14:anchorId="16506466" wp14:editId="252869B5">
                  <wp:simplePos x="0" y="0"/>
                  <wp:positionH relativeFrom="column">
                    <wp:posOffset>10795</wp:posOffset>
                  </wp:positionH>
                  <wp:positionV relativeFrom="paragraph">
                    <wp:posOffset>-38735</wp:posOffset>
                  </wp:positionV>
                  <wp:extent cx="1061720" cy="1210310"/>
                  <wp:effectExtent l="1905" t="0" r="6985" b="6985"/>
                  <wp:wrapSquare wrapText="bothSides"/>
                  <wp:docPr id="143575330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031" t="20744" r="7678" b="14155"/>
                          <a:stretch/>
                        </pic:blipFill>
                        <pic:spPr bwMode="auto">
                          <a:xfrm rot="5400000">
                            <a:off x="0" y="0"/>
                            <a:ext cx="1061720" cy="1210310"/>
                          </a:xfrm>
                          <a:prstGeom prst="rect">
                            <a:avLst/>
                          </a:prstGeom>
                          <a:noFill/>
                          <a:ln>
                            <a:noFill/>
                          </a:ln>
                          <a:extLst>
                            <a:ext uri="{53640926-AAD7-44D8-BBD7-CCE9431645EC}">
                              <a14:shadowObscured xmlns:a14="http://schemas.microsoft.com/office/drawing/2010/main"/>
                            </a:ext>
                          </a:extLst>
                        </pic:spPr>
                      </pic:pic>
                    </a:graphicData>
                  </a:graphic>
                </wp:anchor>
              </w:drawing>
            </w:r>
            <w:r w:rsidRPr="00EC2683">
              <w:rPr>
                <w:rFonts w:ascii="Arial" w:hAnsi="Arial" w:cs="Arial"/>
                <w:noProof/>
              </w:rPr>
              <w:drawing>
                <wp:anchor distT="0" distB="0" distL="114300" distR="114300" simplePos="0" relativeHeight="251663360" behindDoc="0" locked="0" layoutInCell="1" allowOverlap="1" wp14:anchorId="1A6C17A1" wp14:editId="3FD32AEB">
                  <wp:simplePos x="0" y="0"/>
                  <wp:positionH relativeFrom="column">
                    <wp:posOffset>1243965</wp:posOffset>
                  </wp:positionH>
                  <wp:positionV relativeFrom="paragraph">
                    <wp:posOffset>-24765</wp:posOffset>
                  </wp:positionV>
                  <wp:extent cx="1040130" cy="1170305"/>
                  <wp:effectExtent l="0" t="7938" r="0" b="0"/>
                  <wp:wrapTopAndBottom/>
                  <wp:docPr id="9675640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254" t="40326" r="26776" b="22692"/>
                          <a:stretch/>
                        </pic:blipFill>
                        <pic:spPr bwMode="auto">
                          <a:xfrm rot="5400000">
                            <a:off x="0" y="0"/>
                            <a:ext cx="1040130" cy="117030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611" w:type="dxa"/>
          </w:tcPr>
          <w:p w14:paraId="20FA5FB7" w14:textId="77777777" w:rsidR="0007427B" w:rsidRPr="00EC2683" w:rsidRDefault="0007427B" w:rsidP="0007427B">
            <w:pPr>
              <w:pStyle w:val="ListParagraph"/>
              <w:numPr>
                <w:ilvl w:val="0"/>
                <w:numId w:val="31"/>
              </w:numPr>
              <w:spacing w:after="0" w:line="240" w:lineRule="auto"/>
              <w:jc w:val="center"/>
              <w:rPr>
                <w:rFonts w:ascii="Arial" w:hAnsi="Arial" w:cs="Arial"/>
                <w:b/>
                <w:bCs/>
                <w:sz w:val="20"/>
                <w:szCs w:val="20"/>
              </w:rPr>
            </w:pPr>
          </w:p>
        </w:tc>
      </w:tr>
      <w:tr w:rsidR="0007427B" w:rsidRPr="00EC2683" w14:paraId="2E1C97EA" w14:textId="77777777" w:rsidTr="0007427B">
        <w:trPr>
          <w:trHeight w:val="325"/>
          <w:jc w:val="center"/>
        </w:trPr>
        <w:tc>
          <w:tcPr>
            <w:tcW w:w="1543" w:type="dxa"/>
          </w:tcPr>
          <w:p w14:paraId="0EBC98A6" w14:textId="77777777" w:rsidR="0007427B" w:rsidRPr="00EC2683" w:rsidRDefault="0007427B" w:rsidP="00FE6291">
            <w:pPr>
              <w:spacing w:line="360" w:lineRule="auto"/>
              <w:jc w:val="center"/>
              <w:rPr>
                <w:rFonts w:ascii="Arial" w:hAnsi="Arial" w:cs="Arial"/>
                <w:sz w:val="20"/>
                <w:szCs w:val="20"/>
              </w:rPr>
            </w:pPr>
          </w:p>
          <w:p w14:paraId="7438CEB3" w14:textId="77777777" w:rsidR="0007427B" w:rsidRPr="00EC2683" w:rsidRDefault="0007427B" w:rsidP="00FE6291">
            <w:pPr>
              <w:spacing w:line="360" w:lineRule="auto"/>
              <w:jc w:val="center"/>
              <w:rPr>
                <w:rFonts w:ascii="Arial" w:hAnsi="Arial" w:cs="Arial"/>
                <w:sz w:val="20"/>
                <w:szCs w:val="20"/>
              </w:rPr>
            </w:pPr>
          </w:p>
          <w:p w14:paraId="425EA449" w14:textId="77777777" w:rsidR="0007427B" w:rsidRPr="00EC2683" w:rsidRDefault="0007427B" w:rsidP="00FE6291">
            <w:pPr>
              <w:spacing w:line="360" w:lineRule="auto"/>
              <w:jc w:val="center"/>
              <w:rPr>
                <w:rFonts w:ascii="Arial" w:hAnsi="Arial" w:cs="Arial"/>
                <w:sz w:val="20"/>
                <w:szCs w:val="20"/>
              </w:rPr>
            </w:pPr>
            <w:r w:rsidRPr="00EC2683">
              <w:rPr>
                <w:rFonts w:ascii="Arial" w:hAnsi="Arial" w:cs="Arial"/>
                <w:sz w:val="20"/>
                <w:szCs w:val="20"/>
              </w:rPr>
              <w:t>GN2</w:t>
            </w:r>
          </w:p>
          <w:p w14:paraId="43D156B7" w14:textId="77777777" w:rsidR="0007427B" w:rsidRPr="00EC2683" w:rsidRDefault="0007427B" w:rsidP="00FE6291">
            <w:pPr>
              <w:spacing w:line="360" w:lineRule="auto"/>
              <w:jc w:val="center"/>
              <w:rPr>
                <w:rFonts w:ascii="Arial" w:hAnsi="Arial" w:cs="Arial"/>
                <w:sz w:val="20"/>
                <w:szCs w:val="20"/>
              </w:rPr>
            </w:pPr>
          </w:p>
          <w:p w14:paraId="50F88E49" w14:textId="77777777" w:rsidR="0007427B" w:rsidRPr="00EC2683" w:rsidRDefault="0007427B" w:rsidP="00FE6291">
            <w:pPr>
              <w:spacing w:line="360" w:lineRule="auto"/>
              <w:jc w:val="center"/>
              <w:rPr>
                <w:rFonts w:ascii="Arial" w:hAnsi="Arial" w:cs="Arial"/>
                <w:sz w:val="20"/>
                <w:szCs w:val="20"/>
              </w:rPr>
            </w:pPr>
          </w:p>
          <w:p w14:paraId="6A775E42" w14:textId="77777777" w:rsidR="0007427B" w:rsidRPr="00EC2683" w:rsidRDefault="0007427B" w:rsidP="00FE6291">
            <w:pPr>
              <w:spacing w:line="360" w:lineRule="auto"/>
              <w:jc w:val="center"/>
              <w:rPr>
                <w:rFonts w:ascii="Arial" w:hAnsi="Arial" w:cs="Arial"/>
                <w:sz w:val="20"/>
                <w:szCs w:val="20"/>
              </w:rPr>
            </w:pPr>
          </w:p>
          <w:p w14:paraId="0067FEB8" w14:textId="77777777" w:rsidR="0007427B" w:rsidRPr="00EC2683" w:rsidRDefault="0007427B" w:rsidP="00FE6291">
            <w:pPr>
              <w:rPr>
                <w:rFonts w:ascii="Arial" w:hAnsi="Arial" w:cs="Arial"/>
                <w:sz w:val="20"/>
                <w:szCs w:val="20"/>
              </w:rPr>
            </w:pPr>
          </w:p>
        </w:tc>
        <w:tc>
          <w:tcPr>
            <w:tcW w:w="2275" w:type="dxa"/>
          </w:tcPr>
          <w:p w14:paraId="30A38C2C" w14:textId="77777777" w:rsidR="0007427B" w:rsidRPr="00EC2683" w:rsidRDefault="0007427B" w:rsidP="00FE6291">
            <w:pPr>
              <w:jc w:val="center"/>
              <w:rPr>
                <w:rFonts w:ascii="Arial" w:hAnsi="Arial" w:cs="Arial"/>
                <w:noProof/>
                <w:sz w:val="20"/>
                <w:szCs w:val="20"/>
              </w:rPr>
            </w:pPr>
            <w:r w:rsidRPr="00EC2683">
              <w:rPr>
                <w:rFonts w:ascii="Arial" w:hAnsi="Arial" w:cs="Arial"/>
                <w:noProof/>
              </w:rPr>
              <w:drawing>
                <wp:anchor distT="0" distB="0" distL="114300" distR="114300" simplePos="0" relativeHeight="251661312" behindDoc="0" locked="0" layoutInCell="1" allowOverlap="1" wp14:anchorId="23225263" wp14:editId="76BF71B5">
                  <wp:simplePos x="0" y="0"/>
                  <wp:positionH relativeFrom="column">
                    <wp:posOffset>153035</wp:posOffset>
                  </wp:positionH>
                  <wp:positionV relativeFrom="paragraph">
                    <wp:posOffset>199390</wp:posOffset>
                  </wp:positionV>
                  <wp:extent cx="1022985" cy="1076960"/>
                  <wp:effectExtent l="0" t="0" r="5715" b="8890"/>
                  <wp:wrapTopAndBottom/>
                  <wp:docPr id="12833151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2985" cy="1076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3844" w:type="dxa"/>
          </w:tcPr>
          <w:p w14:paraId="0D4537B9" w14:textId="77777777" w:rsidR="0007427B" w:rsidRPr="00EC2683" w:rsidRDefault="0007427B" w:rsidP="00FE6291">
            <w:pPr>
              <w:jc w:val="center"/>
              <w:rPr>
                <w:rFonts w:ascii="Arial" w:hAnsi="Arial" w:cs="Arial"/>
                <w:sz w:val="20"/>
                <w:szCs w:val="20"/>
              </w:rPr>
            </w:pPr>
            <w:r w:rsidRPr="00EC2683">
              <w:rPr>
                <w:rFonts w:ascii="Arial" w:hAnsi="Arial" w:cs="Arial"/>
                <w:noProof/>
              </w:rPr>
              <w:drawing>
                <wp:anchor distT="0" distB="0" distL="114300" distR="114300" simplePos="0" relativeHeight="251660288" behindDoc="0" locked="0" layoutInCell="1" allowOverlap="1" wp14:anchorId="297A337A" wp14:editId="50159993">
                  <wp:simplePos x="0" y="0"/>
                  <wp:positionH relativeFrom="column">
                    <wp:posOffset>1276985</wp:posOffset>
                  </wp:positionH>
                  <wp:positionV relativeFrom="paragraph">
                    <wp:posOffset>246396</wp:posOffset>
                  </wp:positionV>
                  <wp:extent cx="1188085" cy="1012825"/>
                  <wp:effectExtent l="0" t="0" r="0" b="0"/>
                  <wp:wrapTopAndBottom/>
                  <wp:docPr id="66048259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975" t="45024" r="36523" b="42307"/>
                          <a:stretch/>
                        </pic:blipFill>
                        <pic:spPr bwMode="auto">
                          <a:xfrm>
                            <a:off x="0" y="0"/>
                            <a:ext cx="1188085" cy="1012825"/>
                          </a:xfrm>
                          <a:prstGeom prst="rect">
                            <a:avLst/>
                          </a:prstGeom>
                          <a:noFill/>
                          <a:ln>
                            <a:noFill/>
                          </a:ln>
                          <a:extLst>
                            <a:ext uri="{53640926-AAD7-44D8-BBD7-CCE9431645EC}">
                              <a14:shadowObscured xmlns:a14="http://schemas.microsoft.com/office/drawing/2010/main"/>
                            </a:ext>
                          </a:extLst>
                        </pic:spPr>
                      </pic:pic>
                    </a:graphicData>
                  </a:graphic>
                </wp:anchor>
              </w:drawing>
            </w:r>
            <w:r w:rsidRPr="00EC2683">
              <w:rPr>
                <w:rFonts w:ascii="Arial" w:hAnsi="Arial" w:cs="Arial"/>
                <w:noProof/>
              </w:rPr>
              <w:drawing>
                <wp:anchor distT="0" distB="0" distL="114300" distR="114300" simplePos="0" relativeHeight="251659264" behindDoc="1" locked="0" layoutInCell="1" allowOverlap="1" wp14:anchorId="67B17677" wp14:editId="1E1A99CF">
                  <wp:simplePos x="0" y="0"/>
                  <wp:positionH relativeFrom="column">
                    <wp:posOffset>113797</wp:posOffset>
                  </wp:positionH>
                  <wp:positionV relativeFrom="paragraph">
                    <wp:posOffset>141309</wp:posOffset>
                  </wp:positionV>
                  <wp:extent cx="1001171" cy="1192736"/>
                  <wp:effectExtent l="0" t="635" r="8255" b="8255"/>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23" cstate="print">
                            <a:extLst>
                              <a:ext uri="{28A0092B-C50C-407E-A947-70E740481C1C}">
                                <a14:useLocalDpi xmlns:a14="http://schemas.microsoft.com/office/drawing/2010/main" val="0"/>
                              </a:ext>
                            </a:extLst>
                          </a:blip>
                          <a:srcRect t="21677" b="10839"/>
                          <a:stretch/>
                        </pic:blipFill>
                        <pic:spPr bwMode="auto">
                          <a:xfrm rot="5400000">
                            <a:off x="0" y="0"/>
                            <a:ext cx="1001171" cy="1192736"/>
                          </a:xfrm>
                          <a:prstGeom prst="rect">
                            <a:avLst/>
                          </a:prstGeom>
                          <a:ln>
                            <a:noFill/>
                          </a:ln>
                          <a:extLst>
                            <a:ext uri="{53640926-AAD7-44D8-BBD7-CCE9431645EC}">
                              <a14:shadowObscured xmlns:a14="http://schemas.microsoft.com/office/drawing/2010/main"/>
                            </a:ext>
                          </a:extLst>
                        </pic:spPr>
                      </pic:pic>
                    </a:graphicData>
                  </a:graphic>
                </wp:anchor>
              </w:drawing>
            </w:r>
          </w:p>
        </w:tc>
        <w:tc>
          <w:tcPr>
            <w:tcW w:w="1611" w:type="dxa"/>
          </w:tcPr>
          <w:p w14:paraId="33777DDD" w14:textId="77777777" w:rsidR="0007427B" w:rsidRPr="00EC2683" w:rsidRDefault="0007427B" w:rsidP="00FE6291">
            <w:pPr>
              <w:spacing w:line="480" w:lineRule="auto"/>
              <w:jc w:val="center"/>
              <w:rPr>
                <w:rFonts w:ascii="Arial" w:hAnsi="Arial" w:cs="Arial"/>
                <w:noProof/>
                <w:sz w:val="20"/>
                <w:szCs w:val="20"/>
              </w:rPr>
            </w:pPr>
          </w:p>
          <w:p w14:paraId="0A244FF8" w14:textId="77777777" w:rsidR="0007427B" w:rsidRPr="00EC2683" w:rsidRDefault="0007427B" w:rsidP="00FE6291">
            <w:pPr>
              <w:jc w:val="center"/>
              <w:rPr>
                <w:rFonts w:ascii="Arial" w:hAnsi="Arial" w:cs="Arial"/>
                <w:noProof/>
                <w:sz w:val="20"/>
                <w:szCs w:val="20"/>
              </w:rPr>
            </w:pPr>
            <w:r w:rsidRPr="00EC2683">
              <w:rPr>
                <w:rFonts w:ascii="Arial" w:hAnsi="Arial" w:cs="Arial"/>
                <w:noProof/>
                <w:sz w:val="20"/>
                <w:szCs w:val="20"/>
              </w:rPr>
              <w:t>Grade II: The anal cushions prolapse through the anus during straining but reduce spontaneously</w:t>
            </w:r>
          </w:p>
        </w:tc>
      </w:tr>
      <w:tr w:rsidR="0007427B" w:rsidRPr="00EC2683" w14:paraId="59E549D8" w14:textId="77777777" w:rsidTr="0007427B">
        <w:trPr>
          <w:trHeight w:val="325"/>
          <w:jc w:val="center"/>
        </w:trPr>
        <w:tc>
          <w:tcPr>
            <w:tcW w:w="1543" w:type="dxa"/>
          </w:tcPr>
          <w:p w14:paraId="19FCB60A" w14:textId="77777777" w:rsidR="0007427B" w:rsidRPr="00EC2683" w:rsidRDefault="0007427B" w:rsidP="00FE6291">
            <w:pPr>
              <w:spacing w:line="360" w:lineRule="auto"/>
              <w:jc w:val="center"/>
              <w:rPr>
                <w:rFonts w:ascii="Arial" w:hAnsi="Arial" w:cs="Arial"/>
                <w:sz w:val="20"/>
                <w:szCs w:val="20"/>
              </w:rPr>
            </w:pPr>
          </w:p>
          <w:p w14:paraId="0EE062CC" w14:textId="77777777" w:rsidR="0007427B" w:rsidRPr="00EC2683" w:rsidRDefault="0007427B" w:rsidP="00FE6291">
            <w:pPr>
              <w:spacing w:line="360" w:lineRule="auto"/>
              <w:jc w:val="center"/>
              <w:rPr>
                <w:rFonts w:ascii="Arial" w:hAnsi="Arial" w:cs="Arial"/>
                <w:sz w:val="20"/>
                <w:szCs w:val="20"/>
              </w:rPr>
            </w:pPr>
          </w:p>
          <w:p w14:paraId="513AD252" w14:textId="77777777" w:rsidR="0007427B" w:rsidRPr="00EC2683" w:rsidRDefault="0007427B" w:rsidP="00FE6291">
            <w:pPr>
              <w:rPr>
                <w:rFonts w:ascii="Arial" w:hAnsi="Arial" w:cs="Arial"/>
                <w:sz w:val="20"/>
                <w:szCs w:val="20"/>
              </w:rPr>
            </w:pPr>
            <w:r w:rsidRPr="00EC2683">
              <w:rPr>
                <w:rFonts w:ascii="Arial" w:hAnsi="Arial" w:cs="Arial"/>
                <w:sz w:val="20"/>
                <w:szCs w:val="20"/>
              </w:rPr>
              <w:t>RCD 10 mg/kg</w:t>
            </w:r>
          </w:p>
        </w:tc>
        <w:tc>
          <w:tcPr>
            <w:tcW w:w="2275" w:type="dxa"/>
          </w:tcPr>
          <w:p w14:paraId="58A3860E" w14:textId="77777777" w:rsidR="0007427B" w:rsidRPr="00EC2683" w:rsidRDefault="0007427B" w:rsidP="00FE6291">
            <w:pPr>
              <w:jc w:val="center"/>
              <w:rPr>
                <w:rFonts w:ascii="Arial" w:hAnsi="Arial" w:cs="Arial"/>
                <w:noProof/>
                <w:sz w:val="20"/>
                <w:szCs w:val="20"/>
              </w:rPr>
            </w:pPr>
            <w:r w:rsidRPr="00EC2683">
              <w:rPr>
                <w:rFonts w:ascii="Arial" w:hAnsi="Arial" w:cs="Arial"/>
                <w:noProof/>
              </w:rPr>
              <w:drawing>
                <wp:anchor distT="0" distB="0" distL="114300" distR="114300" simplePos="0" relativeHeight="251665408" behindDoc="0" locked="0" layoutInCell="1" allowOverlap="1" wp14:anchorId="7D8B6739" wp14:editId="6803EB6B">
                  <wp:simplePos x="0" y="0"/>
                  <wp:positionH relativeFrom="column">
                    <wp:posOffset>125730</wp:posOffset>
                  </wp:positionH>
                  <wp:positionV relativeFrom="paragraph">
                    <wp:posOffset>28575</wp:posOffset>
                  </wp:positionV>
                  <wp:extent cx="857250" cy="1143000"/>
                  <wp:effectExtent l="0" t="0" r="0" b="0"/>
                  <wp:wrapTopAndBottom/>
                  <wp:docPr id="8340344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844" w:type="dxa"/>
          </w:tcPr>
          <w:p w14:paraId="145AA101" w14:textId="77777777" w:rsidR="0007427B" w:rsidRPr="00EC2683" w:rsidRDefault="0007427B" w:rsidP="00FE6291">
            <w:pPr>
              <w:jc w:val="center"/>
              <w:rPr>
                <w:rFonts w:ascii="Arial" w:hAnsi="Arial" w:cs="Arial"/>
                <w:sz w:val="20"/>
                <w:szCs w:val="20"/>
              </w:rPr>
            </w:pPr>
            <w:r w:rsidRPr="00EC2683">
              <w:rPr>
                <w:rFonts w:ascii="Arial" w:hAnsi="Arial" w:cs="Arial"/>
                <w:noProof/>
              </w:rPr>
              <w:drawing>
                <wp:inline distT="0" distB="0" distL="0" distR="0" wp14:anchorId="796B4F7E" wp14:editId="24D59CFF">
                  <wp:extent cx="1158969" cy="1076131"/>
                  <wp:effectExtent l="0" t="0" r="3175" b="0"/>
                  <wp:docPr id="198625184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1230071" cy="1142151"/>
                          </a:xfrm>
                          <a:prstGeom prst="rect">
                            <a:avLst/>
                          </a:prstGeom>
                          <a:noFill/>
                          <a:ln>
                            <a:noFill/>
                          </a:ln>
                        </pic:spPr>
                      </pic:pic>
                    </a:graphicData>
                  </a:graphic>
                </wp:inline>
              </w:drawing>
            </w:r>
            <w:r w:rsidRPr="00EC2683">
              <w:rPr>
                <w:rFonts w:ascii="Arial" w:hAnsi="Arial" w:cs="Arial"/>
                <w:noProof/>
              </w:rPr>
              <w:drawing>
                <wp:inline distT="0" distB="0" distL="0" distR="0" wp14:anchorId="31F49ECE" wp14:editId="64FE1DC5">
                  <wp:extent cx="1053575" cy="1106439"/>
                  <wp:effectExtent l="0" t="7302" r="6032" b="6033"/>
                  <wp:docPr id="13141635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268" t="12393" r="35856" b="17029"/>
                          <a:stretch/>
                        </pic:blipFill>
                        <pic:spPr bwMode="auto">
                          <a:xfrm rot="16200000">
                            <a:off x="0" y="0"/>
                            <a:ext cx="1103336" cy="1158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1" w:type="dxa"/>
          </w:tcPr>
          <w:p w14:paraId="73DF55A3" w14:textId="77777777" w:rsidR="0007427B" w:rsidRPr="00EC2683" w:rsidRDefault="0007427B" w:rsidP="00FE6291">
            <w:pPr>
              <w:jc w:val="center"/>
              <w:rPr>
                <w:rFonts w:ascii="Arial" w:hAnsi="Arial" w:cs="Arial"/>
                <w:noProof/>
                <w:sz w:val="20"/>
                <w:szCs w:val="20"/>
              </w:rPr>
            </w:pPr>
            <w:r w:rsidRPr="00EC2683">
              <w:rPr>
                <w:rFonts w:ascii="Arial" w:hAnsi="Arial" w:cs="Arial"/>
                <w:noProof/>
                <w:sz w:val="20"/>
                <w:szCs w:val="20"/>
              </w:rPr>
              <w:t>Grade I: The anal cushions bleed but do not prolapse</w:t>
            </w:r>
          </w:p>
        </w:tc>
      </w:tr>
      <w:tr w:rsidR="0007427B" w:rsidRPr="00EC2683" w14:paraId="40D9DF82" w14:textId="77777777" w:rsidTr="0007427B">
        <w:trPr>
          <w:trHeight w:val="309"/>
          <w:jc w:val="center"/>
        </w:trPr>
        <w:tc>
          <w:tcPr>
            <w:tcW w:w="1543" w:type="dxa"/>
          </w:tcPr>
          <w:p w14:paraId="4C4ED895" w14:textId="77777777" w:rsidR="0007427B" w:rsidRPr="00EC2683" w:rsidRDefault="0007427B" w:rsidP="00FE6291">
            <w:pPr>
              <w:rPr>
                <w:rFonts w:ascii="Arial" w:hAnsi="Arial" w:cs="Arial"/>
                <w:sz w:val="20"/>
                <w:szCs w:val="20"/>
              </w:rPr>
            </w:pPr>
            <w:r w:rsidRPr="00EC2683">
              <w:rPr>
                <w:rFonts w:ascii="Arial" w:hAnsi="Arial" w:cs="Arial"/>
                <w:sz w:val="20"/>
                <w:szCs w:val="20"/>
              </w:rPr>
              <w:t>SPA 250 mg/kg</w:t>
            </w:r>
          </w:p>
        </w:tc>
        <w:tc>
          <w:tcPr>
            <w:tcW w:w="2275" w:type="dxa"/>
          </w:tcPr>
          <w:p w14:paraId="07D7A24D"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66432" behindDoc="0" locked="0" layoutInCell="1" allowOverlap="1" wp14:anchorId="2A3CCDF6" wp14:editId="79B629AF">
                  <wp:simplePos x="0" y="0"/>
                  <wp:positionH relativeFrom="column">
                    <wp:posOffset>210185</wp:posOffset>
                  </wp:positionH>
                  <wp:positionV relativeFrom="paragraph">
                    <wp:posOffset>0</wp:posOffset>
                  </wp:positionV>
                  <wp:extent cx="794385" cy="1058545"/>
                  <wp:effectExtent l="0" t="0" r="5715" b="8255"/>
                  <wp:wrapTopAndBottom/>
                  <wp:docPr id="5786141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4385" cy="1058545"/>
                          </a:xfrm>
                          <a:prstGeom prst="rect">
                            <a:avLst/>
                          </a:prstGeom>
                          <a:noFill/>
                        </pic:spPr>
                      </pic:pic>
                    </a:graphicData>
                  </a:graphic>
                  <wp14:sizeRelH relativeFrom="margin">
                    <wp14:pctWidth>0</wp14:pctWidth>
                  </wp14:sizeRelH>
                  <wp14:sizeRelV relativeFrom="margin">
                    <wp14:pctHeight>0</wp14:pctHeight>
                  </wp14:sizeRelV>
                </wp:anchor>
              </w:drawing>
            </w:r>
          </w:p>
        </w:tc>
        <w:tc>
          <w:tcPr>
            <w:tcW w:w="3844" w:type="dxa"/>
          </w:tcPr>
          <w:p w14:paraId="767A1319" w14:textId="77777777" w:rsidR="0007427B" w:rsidRPr="00EC2683" w:rsidRDefault="0007427B" w:rsidP="00FE6291">
            <w:pPr>
              <w:jc w:val="center"/>
              <w:rPr>
                <w:rFonts w:ascii="Arial" w:hAnsi="Arial" w:cs="Arial"/>
                <w:sz w:val="20"/>
                <w:szCs w:val="20"/>
              </w:rPr>
            </w:pPr>
            <w:r w:rsidRPr="00EC2683">
              <w:rPr>
                <w:rFonts w:ascii="Arial" w:hAnsi="Arial" w:cs="Arial"/>
                <w:noProof/>
                <w:color w:val="000000"/>
                <w:bdr w:val="none" w:sz="0" w:space="0" w:color="auto" w:frame="1"/>
              </w:rPr>
              <w:drawing>
                <wp:inline distT="0" distB="0" distL="0" distR="0" wp14:anchorId="5C6A1E2D" wp14:editId="6E148B12">
                  <wp:extent cx="1098222" cy="1155079"/>
                  <wp:effectExtent l="0" t="9525" r="0" b="0"/>
                  <wp:docPr id="177722005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54" t="26499" b="3449"/>
                          <a:stretch/>
                        </pic:blipFill>
                        <pic:spPr bwMode="auto">
                          <a:xfrm rot="16200000">
                            <a:off x="0" y="0"/>
                            <a:ext cx="1130147" cy="1188657"/>
                          </a:xfrm>
                          <a:prstGeom prst="rect">
                            <a:avLst/>
                          </a:prstGeom>
                          <a:noFill/>
                          <a:ln>
                            <a:noFill/>
                          </a:ln>
                          <a:extLst>
                            <a:ext uri="{53640926-AAD7-44D8-BBD7-CCE9431645EC}">
                              <a14:shadowObscured xmlns:a14="http://schemas.microsoft.com/office/drawing/2010/main"/>
                            </a:ext>
                          </a:extLst>
                        </pic:spPr>
                      </pic:pic>
                    </a:graphicData>
                  </a:graphic>
                </wp:inline>
              </w:drawing>
            </w:r>
            <w:r w:rsidRPr="00EC2683">
              <w:rPr>
                <w:rFonts w:ascii="Arial" w:hAnsi="Arial" w:cs="Arial"/>
                <w:noProof/>
              </w:rPr>
              <w:drawing>
                <wp:inline distT="0" distB="0" distL="0" distR="0" wp14:anchorId="252832DE" wp14:editId="05A6A46A">
                  <wp:extent cx="1133779" cy="1088935"/>
                  <wp:effectExtent l="0" t="0" r="0" b="0"/>
                  <wp:docPr id="5865680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521" t="43028" r="11237" b="32454"/>
                          <a:stretch/>
                        </pic:blipFill>
                        <pic:spPr bwMode="auto">
                          <a:xfrm>
                            <a:off x="0" y="0"/>
                            <a:ext cx="1182755" cy="1135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1" w:type="dxa"/>
          </w:tcPr>
          <w:p w14:paraId="443BAFF3"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sz w:val="20"/>
                <w:szCs w:val="20"/>
              </w:rPr>
              <w:t>Grade I: The anal cushions bleed but do not prolapse</w:t>
            </w:r>
          </w:p>
        </w:tc>
      </w:tr>
      <w:tr w:rsidR="0007427B" w:rsidRPr="00EC2683" w14:paraId="63DB3583" w14:textId="77777777" w:rsidTr="0007427B">
        <w:trPr>
          <w:trHeight w:val="309"/>
          <w:jc w:val="center"/>
        </w:trPr>
        <w:tc>
          <w:tcPr>
            <w:tcW w:w="1543" w:type="dxa"/>
          </w:tcPr>
          <w:p w14:paraId="01605D17" w14:textId="77777777" w:rsidR="0007427B" w:rsidRPr="00EC2683" w:rsidRDefault="0007427B" w:rsidP="00FE6291">
            <w:pPr>
              <w:rPr>
                <w:rFonts w:ascii="Arial" w:hAnsi="Arial" w:cs="Arial"/>
                <w:sz w:val="20"/>
                <w:szCs w:val="20"/>
              </w:rPr>
            </w:pPr>
            <w:r w:rsidRPr="00EC2683">
              <w:rPr>
                <w:rFonts w:ascii="Arial" w:hAnsi="Arial" w:cs="Arial"/>
                <w:sz w:val="20"/>
                <w:szCs w:val="20"/>
              </w:rPr>
              <w:t>SPA 500 mg/kg</w:t>
            </w:r>
          </w:p>
        </w:tc>
        <w:tc>
          <w:tcPr>
            <w:tcW w:w="2275" w:type="dxa"/>
          </w:tcPr>
          <w:p w14:paraId="68DFED2E"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inline distT="0" distB="0" distL="0" distR="0" wp14:anchorId="7804D527" wp14:editId="6C722B22">
                  <wp:extent cx="930275" cy="1240366"/>
                  <wp:effectExtent l="0" t="0" r="3175" b="0"/>
                  <wp:docPr id="12767840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6944" cy="1249259"/>
                          </a:xfrm>
                          <a:prstGeom prst="rect">
                            <a:avLst/>
                          </a:prstGeom>
                          <a:noFill/>
                        </pic:spPr>
                      </pic:pic>
                    </a:graphicData>
                  </a:graphic>
                </wp:inline>
              </w:drawing>
            </w:r>
          </w:p>
        </w:tc>
        <w:tc>
          <w:tcPr>
            <w:tcW w:w="3844" w:type="dxa"/>
          </w:tcPr>
          <w:p w14:paraId="719AF5E5"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68480" behindDoc="0" locked="0" layoutInCell="1" allowOverlap="1" wp14:anchorId="72ED9BD4" wp14:editId="2080042F">
                  <wp:simplePos x="0" y="0"/>
                  <wp:positionH relativeFrom="column">
                    <wp:posOffset>108585</wp:posOffset>
                  </wp:positionH>
                  <wp:positionV relativeFrom="paragraph">
                    <wp:posOffset>-26035</wp:posOffset>
                  </wp:positionV>
                  <wp:extent cx="1040130" cy="1137285"/>
                  <wp:effectExtent l="8572" t="0" r="0" b="0"/>
                  <wp:wrapSquare wrapText="bothSides"/>
                  <wp:docPr id="74285873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040130" cy="1137285"/>
                          </a:xfrm>
                          <a:prstGeom prst="rect">
                            <a:avLst/>
                          </a:prstGeom>
                          <a:noFill/>
                          <a:ln>
                            <a:noFill/>
                          </a:ln>
                        </pic:spPr>
                      </pic:pic>
                    </a:graphicData>
                  </a:graphic>
                </wp:anchor>
              </w:drawing>
            </w:r>
            <w:r w:rsidRPr="00EC2683">
              <w:rPr>
                <w:rFonts w:ascii="Arial" w:hAnsi="Arial" w:cs="Arial"/>
                <w:noProof/>
              </w:rPr>
              <w:drawing>
                <wp:anchor distT="0" distB="0" distL="114300" distR="114300" simplePos="0" relativeHeight="251667456" behindDoc="0" locked="0" layoutInCell="1" allowOverlap="1" wp14:anchorId="6A2D55C4" wp14:editId="6840201C">
                  <wp:simplePos x="0" y="0"/>
                  <wp:positionH relativeFrom="column">
                    <wp:posOffset>1370330</wp:posOffset>
                  </wp:positionH>
                  <wp:positionV relativeFrom="paragraph">
                    <wp:posOffset>-59055</wp:posOffset>
                  </wp:positionV>
                  <wp:extent cx="1039495" cy="1198245"/>
                  <wp:effectExtent l="0" t="3175" r="5080" b="5080"/>
                  <wp:wrapTopAndBottom/>
                  <wp:docPr id="9734393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232" t="38806" r="26413" b="26232"/>
                          <a:stretch/>
                        </pic:blipFill>
                        <pic:spPr bwMode="auto">
                          <a:xfrm rot="16200000">
                            <a:off x="0" y="0"/>
                            <a:ext cx="1039495" cy="119824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611" w:type="dxa"/>
          </w:tcPr>
          <w:p w14:paraId="60D844FB" w14:textId="77777777" w:rsidR="0007427B" w:rsidRPr="00EC2683" w:rsidRDefault="0007427B" w:rsidP="00FE6291">
            <w:pPr>
              <w:jc w:val="center"/>
              <w:rPr>
                <w:rFonts w:ascii="Arial" w:hAnsi="Arial" w:cs="Arial"/>
                <w:noProof/>
                <w:sz w:val="20"/>
                <w:szCs w:val="20"/>
              </w:rPr>
            </w:pPr>
            <w:r w:rsidRPr="00EC2683">
              <w:rPr>
                <w:rFonts w:ascii="Arial" w:hAnsi="Arial" w:cs="Arial"/>
                <w:noProof/>
                <w:sz w:val="20"/>
                <w:szCs w:val="20"/>
              </w:rPr>
              <w:t>Grade I: The anal cushions bleed but do not prolapse</w:t>
            </w:r>
          </w:p>
        </w:tc>
      </w:tr>
      <w:tr w:rsidR="0007427B" w:rsidRPr="00EC2683" w14:paraId="0D22325B" w14:textId="77777777" w:rsidTr="0007427B">
        <w:trPr>
          <w:trHeight w:val="309"/>
          <w:jc w:val="center"/>
        </w:trPr>
        <w:tc>
          <w:tcPr>
            <w:tcW w:w="1543" w:type="dxa"/>
          </w:tcPr>
          <w:p w14:paraId="6BA0C4BE" w14:textId="77777777" w:rsidR="0007427B" w:rsidRPr="00EC2683" w:rsidRDefault="0007427B" w:rsidP="00FE6291">
            <w:pPr>
              <w:rPr>
                <w:rFonts w:ascii="Arial" w:hAnsi="Arial" w:cs="Arial"/>
                <w:sz w:val="20"/>
                <w:szCs w:val="20"/>
              </w:rPr>
            </w:pPr>
            <w:r w:rsidRPr="00EC2683">
              <w:rPr>
                <w:rFonts w:ascii="Arial" w:hAnsi="Arial" w:cs="Arial"/>
                <w:sz w:val="20"/>
                <w:szCs w:val="20"/>
              </w:rPr>
              <w:t>Lot NB à 250 mg/kg</w:t>
            </w:r>
          </w:p>
        </w:tc>
        <w:tc>
          <w:tcPr>
            <w:tcW w:w="2275" w:type="dxa"/>
          </w:tcPr>
          <w:p w14:paraId="11A8AB48"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71552" behindDoc="0" locked="0" layoutInCell="1" allowOverlap="1" wp14:anchorId="7F1CBF30" wp14:editId="0CDF9FA8">
                  <wp:simplePos x="0" y="0"/>
                  <wp:positionH relativeFrom="column">
                    <wp:posOffset>141605</wp:posOffset>
                  </wp:positionH>
                  <wp:positionV relativeFrom="paragraph">
                    <wp:posOffset>102870</wp:posOffset>
                  </wp:positionV>
                  <wp:extent cx="1036320" cy="777239"/>
                  <wp:effectExtent l="0" t="0" r="0" b="4445"/>
                  <wp:wrapTopAndBottom/>
                  <wp:docPr id="17766604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320" cy="777239"/>
                          </a:xfrm>
                          <a:prstGeom prst="rect">
                            <a:avLst/>
                          </a:prstGeom>
                          <a:noFill/>
                        </pic:spPr>
                      </pic:pic>
                    </a:graphicData>
                  </a:graphic>
                </wp:anchor>
              </w:drawing>
            </w:r>
          </w:p>
        </w:tc>
        <w:tc>
          <w:tcPr>
            <w:tcW w:w="3844" w:type="dxa"/>
          </w:tcPr>
          <w:p w14:paraId="0EBF9F2F"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69504" behindDoc="0" locked="0" layoutInCell="1" allowOverlap="1" wp14:anchorId="79FCB663" wp14:editId="6EEDE34E">
                  <wp:simplePos x="0" y="0"/>
                  <wp:positionH relativeFrom="column">
                    <wp:posOffset>216535</wp:posOffset>
                  </wp:positionH>
                  <wp:positionV relativeFrom="paragraph">
                    <wp:posOffset>26035</wp:posOffset>
                  </wp:positionV>
                  <wp:extent cx="895985" cy="959485"/>
                  <wp:effectExtent l="6350" t="0" r="5715" b="5715"/>
                  <wp:wrapTopAndBottom/>
                  <wp:docPr id="1663305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655" r="24997" b="7756"/>
                          <a:stretch/>
                        </pic:blipFill>
                        <pic:spPr bwMode="auto">
                          <a:xfrm rot="5400000">
                            <a:off x="0" y="0"/>
                            <a:ext cx="895985" cy="95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683">
              <w:rPr>
                <w:rFonts w:ascii="Arial" w:hAnsi="Arial" w:cs="Arial"/>
                <w:noProof/>
                <w:color w:val="000000"/>
                <w:bdr w:val="none" w:sz="0" w:space="0" w:color="auto" w:frame="1"/>
              </w:rPr>
              <w:drawing>
                <wp:anchor distT="0" distB="0" distL="114300" distR="114300" simplePos="0" relativeHeight="251670528" behindDoc="0" locked="0" layoutInCell="1" allowOverlap="1" wp14:anchorId="3736248B" wp14:editId="3324B00E">
                  <wp:simplePos x="0" y="0"/>
                  <wp:positionH relativeFrom="column">
                    <wp:posOffset>1379855</wp:posOffset>
                  </wp:positionH>
                  <wp:positionV relativeFrom="paragraph">
                    <wp:posOffset>34925</wp:posOffset>
                  </wp:positionV>
                  <wp:extent cx="904240" cy="970280"/>
                  <wp:effectExtent l="5080" t="0" r="0" b="0"/>
                  <wp:wrapSquare wrapText="bothSides"/>
                  <wp:docPr id="145284610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320" t="10620" r="26247" b="17482"/>
                          <a:stretch/>
                        </pic:blipFill>
                        <pic:spPr bwMode="auto">
                          <a:xfrm rot="5400000">
                            <a:off x="0" y="0"/>
                            <a:ext cx="904240" cy="97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683">
              <w:rPr>
                <w:rFonts w:ascii="Arial" w:hAnsi="Arial" w:cs="Arial"/>
                <w:noProof/>
                <w:color w:val="000000"/>
                <w:sz w:val="20"/>
                <w:szCs w:val="20"/>
                <w:bdr w:val="none" w:sz="0" w:space="0" w:color="auto" w:frame="1"/>
              </w:rPr>
              <w:t xml:space="preserve">   </w:t>
            </w:r>
          </w:p>
        </w:tc>
        <w:tc>
          <w:tcPr>
            <w:tcW w:w="1611" w:type="dxa"/>
          </w:tcPr>
          <w:p w14:paraId="684A8020" w14:textId="77777777" w:rsidR="0007427B" w:rsidRPr="00EC2683" w:rsidRDefault="0007427B" w:rsidP="00FE6291">
            <w:pPr>
              <w:jc w:val="center"/>
              <w:rPr>
                <w:rFonts w:ascii="Arial" w:hAnsi="Arial" w:cs="Arial"/>
                <w:noProof/>
                <w:sz w:val="20"/>
                <w:szCs w:val="20"/>
                <w:lang w:val="fr-FR"/>
              </w:rPr>
            </w:pPr>
            <w:r w:rsidRPr="00EC2683">
              <w:rPr>
                <w:rFonts w:ascii="Arial" w:hAnsi="Arial" w:cs="Arial"/>
                <w:noProof/>
                <w:sz w:val="20"/>
                <w:szCs w:val="20"/>
              </w:rPr>
              <w:t>Grade I: The anal cushions bleed but do not prolapse</w:t>
            </w:r>
          </w:p>
        </w:tc>
      </w:tr>
      <w:tr w:rsidR="0007427B" w:rsidRPr="00EC2683" w14:paraId="5A5965F8" w14:textId="77777777" w:rsidTr="0007427B">
        <w:trPr>
          <w:trHeight w:val="309"/>
          <w:jc w:val="center"/>
        </w:trPr>
        <w:tc>
          <w:tcPr>
            <w:tcW w:w="1543" w:type="dxa"/>
          </w:tcPr>
          <w:p w14:paraId="73F281A8" w14:textId="77777777" w:rsidR="0007427B" w:rsidRPr="00EC2683" w:rsidRDefault="0007427B" w:rsidP="00FE6291">
            <w:pPr>
              <w:rPr>
                <w:rFonts w:ascii="Arial" w:hAnsi="Arial" w:cs="Arial"/>
                <w:sz w:val="20"/>
                <w:szCs w:val="20"/>
              </w:rPr>
            </w:pPr>
            <w:r w:rsidRPr="00EC2683">
              <w:rPr>
                <w:rFonts w:ascii="Arial" w:hAnsi="Arial" w:cs="Arial"/>
                <w:sz w:val="20"/>
                <w:szCs w:val="20"/>
              </w:rPr>
              <w:lastRenderedPageBreak/>
              <w:t>Lot NB à 500 mg/kg</w:t>
            </w:r>
          </w:p>
        </w:tc>
        <w:tc>
          <w:tcPr>
            <w:tcW w:w="2275" w:type="dxa"/>
          </w:tcPr>
          <w:p w14:paraId="3964F781"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74624" behindDoc="0" locked="0" layoutInCell="1" allowOverlap="1" wp14:anchorId="2182CE79" wp14:editId="3237B314">
                  <wp:simplePos x="0" y="0"/>
                  <wp:positionH relativeFrom="column">
                    <wp:posOffset>250190</wp:posOffset>
                  </wp:positionH>
                  <wp:positionV relativeFrom="paragraph">
                    <wp:posOffset>11112</wp:posOffset>
                  </wp:positionV>
                  <wp:extent cx="832485" cy="1109980"/>
                  <wp:effectExtent l="0" t="0" r="5715" b="0"/>
                  <wp:wrapSquare wrapText="bothSides"/>
                  <wp:docPr id="27866785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2485" cy="1109980"/>
                          </a:xfrm>
                          <a:prstGeom prst="rect">
                            <a:avLst/>
                          </a:prstGeom>
                          <a:noFill/>
                        </pic:spPr>
                      </pic:pic>
                    </a:graphicData>
                  </a:graphic>
                  <wp14:sizeRelH relativeFrom="margin">
                    <wp14:pctWidth>0</wp14:pctWidth>
                  </wp14:sizeRelH>
                  <wp14:sizeRelV relativeFrom="margin">
                    <wp14:pctHeight>0</wp14:pctHeight>
                  </wp14:sizeRelV>
                </wp:anchor>
              </w:drawing>
            </w:r>
          </w:p>
        </w:tc>
        <w:tc>
          <w:tcPr>
            <w:tcW w:w="3844" w:type="dxa"/>
          </w:tcPr>
          <w:p w14:paraId="7177D1DF"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rPr>
              <w:drawing>
                <wp:anchor distT="0" distB="0" distL="114300" distR="114300" simplePos="0" relativeHeight="251673600" behindDoc="0" locked="0" layoutInCell="1" allowOverlap="1" wp14:anchorId="1DDDC5CF" wp14:editId="5FFA4ADF">
                  <wp:simplePos x="0" y="0"/>
                  <wp:positionH relativeFrom="column">
                    <wp:posOffset>1353185</wp:posOffset>
                  </wp:positionH>
                  <wp:positionV relativeFrom="paragraph">
                    <wp:posOffset>-76200</wp:posOffset>
                  </wp:positionV>
                  <wp:extent cx="1039495" cy="1198245"/>
                  <wp:effectExtent l="0" t="3175" r="5080" b="5080"/>
                  <wp:wrapSquare wrapText="bothSides"/>
                  <wp:docPr id="11618450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232" t="38806" r="26413" b="26232"/>
                          <a:stretch/>
                        </pic:blipFill>
                        <pic:spPr bwMode="auto">
                          <a:xfrm rot="16200000">
                            <a:off x="0" y="0"/>
                            <a:ext cx="1039495" cy="1198245"/>
                          </a:xfrm>
                          <a:prstGeom prst="rect">
                            <a:avLst/>
                          </a:prstGeom>
                          <a:noFill/>
                          <a:ln>
                            <a:noFill/>
                          </a:ln>
                          <a:extLst>
                            <a:ext uri="{53640926-AAD7-44D8-BBD7-CCE9431645EC}">
                              <a14:shadowObscured xmlns:a14="http://schemas.microsoft.com/office/drawing/2010/main"/>
                            </a:ext>
                          </a:extLst>
                        </pic:spPr>
                      </pic:pic>
                    </a:graphicData>
                  </a:graphic>
                </wp:anchor>
              </w:drawing>
            </w:r>
            <w:r w:rsidRPr="00EC2683">
              <w:rPr>
                <w:rFonts w:ascii="Arial" w:hAnsi="Arial" w:cs="Arial"/>
                <w:noProof/>
                <w:color w:val="000000"/>
                <w:bdr w:val="none" w:sz="0" w:space="0" w:color="auto" w:frame="1"/>
              </w:rPr>
              <w:drawing>
                <wp:anchor distT="0" distB="0" distL="114300" distR="114300" simplePos="0" relativeHeight="251672576" behindDoc="0" locked="0" layoutInCell="1" allowOverlap="1" wp14:anchorId="20174174" wp14:editId="3736BCF5">
                  <wp:simplePos x="0" y="0"/>
                  <wp:positionH relativeFrom="column">
                    <wp:posOffset>68580</wp:posOffset>
                  </wp:positionH>
                  <wp:positionV relativeFrom="paragraph">
                    <wp:posOffset>-48260</wp:posOffset>
                  </wp:positionV>
                  <wp:extent cx="1040130" cy="1137285"/>
                  <wp:effectExtent l="8572" t="0" r="0" b="0"/>
                  <wp:wrapSquare wrapText="bothSides"/>
                  <wp:docPr id="44721454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040130" cy="1137285"/>
                          </a:xfrm>
                          <a:prstGeom prst="rect">
                            <a:avLst/>
                          </a:prstGeom>
                          <a:noFill/>
                          <a:ln>
                            <a:noFill/>
                          </a:ln>
                        </pic:spPr>
                      </pic:pic>
                    </a:graphicData>
                  </a:graphic>
                </wp:anchor>
              </w:drawing>
            </w:r>
          </w:p>
        </w:tc>
        <w:tc>
          <w:tcPr>
            <w:tcW w:w="1611" w:type="dxa"/>
          </w:tcPr>
          <w:p w14:paraId="1CBB5931" w14:textId="77777777" w:rsidR="0007427B" w:rsidRPr="00EC2683" w:rsidRDefault="0007427B" w:rsidP="00FE6291">
            <w:pPr>
              <w:jc w:val="center"/>
              <w:rPr>
                <w:rFonts w:ascii="Arial" w:hAnsi="Arial" w:cs="Arial"/>
                <w:noProof/>
                <w:sz w:val="20"/>
                <w:szCs w:val="20"/>
                <w:lang w:val="fr-FR"/>
              </w:rPr>
            </w:pPr>
            <w:r w:rsidRPr="00EC2683">
              <w:rPr>
                <w:rFonts w:ascii="Arial" w:hAnsi="Arial" w:cs="Arial"/>
                <w:noProof/>
                <w:sz w:val="20"/>
                <w:szCs w:val="20"/>
              </w:rPr>
              <w:t>Grade I: The anal cushions bleed but do not prolapse</w:t>
            </w:r>
          </w:p>
        </w:tc>
      </w:tr>
    </w:tbl>
    <w:p w14:paraId="2C10B89C" w14:textId="77777777" w:rsidR="0007427B" w:rsidRDefault="0007427B" w:rsidP="00B420F2">
      <w:pPr>
        <w:pStyle w:val="Body"/>
        <w:spacing w:after="0"/>
        <w:rPr>
          <w:rFonts w:ascii="Arial" w:hAnsi="Arial" w:cs="Arial"/>
        </w:rPr>
      </w:pPr>
    </w:p>
    <w:p w14:paraId="1D8814AD" w14:textId="1D7BEBFB" w:rsidR="0007427B" w:rsidRDefault="0007427B" w:rsidP="0007427B">
      <w:pPr>
        <w:pStyle w:val="Body"/>
        <w:rPr>
          <w:rFonts w:ascii="Arial" w:hAnsi="Arial" w:cs="Arial"/>
        </w:rPr>
      </w:pPr>
      <w:r w:rsidRPr="0007427B">
        <w:rPr>
          <w:rFonts w:ascii="Arial" w:hAnsi="Arial" w:cs="Arial"/>
        </w:rPr>
        <w:t xml:space="preserve">Comparative analysis shows that SPA and NB exhibit similar efficacy, consistent with the previous results on ESR reduction and hepatic protection, suggesting that their bioactive compounds (polyphenols, flavonoids, tannins) act synergistically to reduce inflammation and stabilize the recto-anal mucosa. As reported by </w:t>
      </w:r>
      <w:r w:rsidRPr="00062F3B">
        <w:t>Ahmad</w:t>
      </w:r>
      <w:r w:rsidRPr="0007427B">
        <w:rPr>
          <w:rFonts w:ascii="Arial" w:hAnsi="Arial" w:cs="Arial"/>
        </w:rPr>
        <w:t xml:space="preserve"> et al. (2024) and Zhang et al. (20</w:t>
      </w:r>
      <w:r>
        <w:rPr>
          <w:rFonts w:ascii="Arial" w:hAnsi="Arial" w:cs="Arial"/>
        </w:rPr>
        <w:t>16</w:t>
      </w:r>
      <w:r w:rsidRPr="0007427B">
        <w:rPr>
          <w:rFonts w:ascii="Arial" w:hAnsi="Arial" w:cs="Arial"/>
        </w:rPr>
        <w:t>), these compounds modulate local inflammation and enhance tissue recovery, confirming the therapeutic potential of these plant extracts in the treatment of hemorrhoids.</w:t>
      </w:r>
    </w:p>
    <w:p w14:paraId="26AD5E79" w14:textId="58A3D616" w:rsidR="0007427B" w:rsidRPr="003800C2" w:rsidRDefault="0007427B" w:rsidP="003800C2">
      <w:pPr>
        <w:pStyle w:val="Body"/>
        <w:rPr>
          <w:rFonts w:ascii="Arial" w:hAnsi="Arial" w:cs="Arial"/>
          <w:u w:val="single"/>
        </w:rPr>
      </w:pPr>
      <w:r w:rsidRPr="003800C2">
        <w:rPr>
          <w:rFonts w:ascii="Arial" w:hAnsi="Arial" w:cs="Arial"/>
          <w:b/>
          <w:bCs/>
          <w:u w:val="single"/>
        </w:rPr>
        <w:t>3.4.6. Effect of Extracts on Serum ASAT Levels in Rats After Hemorrhoid Induction and Treatment</w:t>
      </w:r>
    </w:p>
    <w:p w14:paraId="35B2BC10" w14:textId="5332D2A1" w:rsidR="00D81B6C" w:rsidRDefault="0007427B" w:rsidP="00B420F2">
      <w:pPr>
        <w:pStyle w:val="Body"/>
        <w:spacing w:after="0"/>
        <w:rPr>
          <w:rFonts w:ascii="Arial" w:hAnsi="Arial" w:cs="Arial"/>
        </w:rPr>
      </w:pPr>
      <w:r w:rsidRPr="0007427B">
        <w:rPr>
          <w:rFonts w:ascii="Arial" w:hAnsi="Arial" w:cs="Arial"/>
        </w:rPr>
        <w:t>Figure 5 shows the mean AST levels after 5 days of treatment, comparing the SPA (</w:t>
      </w:r>
      <w:proofErr w:type="spellStart"/>
      <w:r w:rsidRPr="0007427B">
        <w:rPr>
          <w:rFonts w:ascii="Arial" w:hAnsi="Arial" w:cs="Arial"/>
          <w:i/>
          <w:iCs/>
        </w:rPr>
        <w:t>Persea</w:t>
      </w:r>
      <w:proofErr w:type="spellEnd"/>
      <w:r w:rsidRPr="0007427B">
        <w:rPr>
          <w:rFonts w:ascii="Arial" w:hAnsi="Arial" w:cs="Arial"/>
          <w:i/>
          <w:iCs/>
        </w:rPr>
        <w:t xml:space="preserve"> </w:t>
      </w:r>
      <w:proofErr w:type="spellStart"/>
      <w:r w:rsidRPr="0007427B">
        <w:rPr>
          <w:rFonts w:ascii="Arial" w:hAnsi="Arial" w:cs="Arial"/>
          <w:i/>
          <w:iCs/>
        </w:rPr>
        <w:t>americana</w:t>
      </w:r>
      <w:proofErr w:type="spellEnd"/>
      <w:r w:rsidRPr="0007427B">
        <w:rPr>
          <w:rFonts w:ascii="Arial" w:hAnsi="Arial" w:cs="Arial"/>
        </w:rPr>
        <w:t>) and NB (</w:t>
      </w:r>
      <w:proofErr w:type="spellStart"/>
      <w:r w:rsidRPr="0007427B">
        <w:rPr>
          <w:rFonts w:ascii="Arial" w:hAnsi="Arial" w:cs="Arial"/>
          <w:i/>
          <w:iCs/>
        </w:rPr>
        <w:t>Nephrolepis</w:t>
      </w:r>
      <w:proofErr w:type="spellEnd"/>
      <w:r w:rsidRPr="0007427B">
        <w:rPr>
          <w:rFonts w:ascii="Arial" w:hAnsi="Arial" w:cs="Arial"/>
          <w:i/>
          <w:iCs/>
        </w:rPr>
        <w:t xml:space="preserve"> </w:t>
      </w:r>
      <w:proofErr w:type="spellStart"/>
      <w:r w:rsidRPr="0007427B">
        <w:rPr>
          <w:rFonts w:ascii="Arial" w:hAnsi="Arial" w:cs="Arial"/>
          <w:i/>
          <w:iCs/>
        </w:rPr>
        <w:t>biserrata</w:t>
      </w:r>
      <w:proofErr w:type="spellEnd"/>
      <w:r w:rsidRPr="0007427B">
        <w:rPr>
          <w:rFonts w:ascii="Arial" w:hAnsi="Arial" w:cs="Arial"/>
        </w:rPr>
        <w:t>) extracts as well as the control groups GN1 and GN2. The control groups display contrasting levels: GN1 (325.22 U/L) remains moderate, whereas GN2 (438.98 U/L) indicates greater hepatic stress</w:t>
      </w:r>
      <w:r w:rsidR="00103AC6">
        <w:rPr>
          <w:rFonts w:ascii="Arial" w:hAnsi="Arial" w:cs="Arial"/>
        </w:rPr>
        <w:t xml:space="preserve"> </w:t>
      </w:r>
      <w:r w:rsidR="00103AC6" w:rsidRPr="00696A3E">
        <w:rPr>
          <w:rFonts w:ascii="Arial" w:hAnsi="Arial" w:cs="Arial"/>
        </w:rPr>
        <w:t>(p &lt; 0.05)</w:t>
      </w:r>
      <w:r w:rsidRPr="0007427B">
        <w:rPr>
          <w:rFonts w:ascii="Arial" w:hAnsi="Arial" w:cs="Arial"/>
        </w:rPr>
        <w:t>.</w:t>
      </w:r>
    </w:p>
    <w:p w14:paraId="6DE5DCDE" w14:textId="30BFCCA8" w:rsidR="0007427B" w:rsidRDefault="0007427B" w:rsidP="00F42CA8">
      <w:pPr>
        <w:pStyle w:val="Body"/>
        <w:jc w:val="center"/>
        <w:rPr>
          <w:rFonts w:ascii="Arial" w:hAnsi="Arial" w:cs="Arial"/>
        </w:rPr>
      </w:pPr>
      <w:r>
        <w:rPr>
          <w:noProof/>
        </w:rPr>
        <w:drawing>
          <wp:inline distT="0" distB="0" distL="0" distR="0" wp14:anchorId="491B13F6" wp14:editId="100CA7C7">
            <wp:extent cx="4572000" cy="2743200"/>
            <wp:effectExtent l="0" t="0" r="0" b="0"/>
            <wp:docPr id="1799326114" name="Graphique 1">
              <a:extLst xmlns:a="http://schemas.openxmlformats.org/drawingml/2006/main">
                <a:ext uri="{FF2B5EF4-FFF2-40B4-BE49-F238E27FC236}">
                  <a16:creationId xmlns:a16="http://schemas.microsoft.com/office/drawing/2014/main" id="{A64A8B38-4034-DB11-A55F-88DE8C5A7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1DAC96" w14:textId="057D88FE" w:rsidR="0035338B" w:rsidRPr="0035338B" w:rsidRDefault="0035338B" w:rsidP="0035338B">
      <w:pPr>
        <w:pStyle w:val="Body"/>
        <w:jc w:val="center"/>
        <w:rPr>
          <w:rFonts w:ascii="Arial" w:hAnsi="Arial" w:cs="Arial"/>
        </w:rPr>
      </w:pPr>
      <w:r w:rsidRPr="0035338B">
        <w:rPr>
          <w:rFonts w:ascii="Arial" w:hAnsi="Arial" w:cs="Arial"/>
          <w:b/>
          <w:bCs/>
        </w:rPr>
        <w:t>Figure 5</w:t>
      </w:r>
      <w:r>
        <w:rPr>
          <w:rFonts w:ascii="Arial" w:hAnsi="Arial" w:cs="Arial"/>
          <w:b/>
          <w:bCs/>
        </w:rPr>
        <w:t>.</w:t>
      </w:r>
      <w:r w:rsidRPr="0035338B">
        <w:rPr>
          <w:rFonts w:ascii="Arial" w:hAnsi="Arial" w:cs="Arial"/>
          <w:b/>
          <w:bCs/>
        </w:rPr>
        <w:t xml:space="preserve"> ASAT Levels in Rats After Hemorrhoid Induction and Treatment</w:t>
      </w:r>
    </w:p>
    <w:p w14:paraId="0208F56F" w14:textId="38867CC5" w:rsidR="0035338B" w:rsidRDefault="0035338B" w:rsidP="0035338B">
      <w:pPr>
        <w:pStyle w:val="Body"/>
        <w:rPr>
          <w:rFonts w:ascii="Arial" w:hAnsi="Arial" w:cs="Arial"/>
        </w:rPr>
      </w:pPr>
      <w:r w:rsidRPr="0035338B">
        <w:rPr>
          <w:rFonts w:ascii="Arial" w:hAnsi="Arial" w:cs="Arial"/>
        </w:rPr>
        <w:t>Comparative analysis reveals that SPA 500 mg/kg produces the greatest reduction in AST (115.05 U/L), suggesting a superior hepatoprotective effect compared to NB, which shows higher values (NB 250 mg/kg: 172.19 U/L; NB 500 mg/kg: 163.25 U/L)</w:t>
      </w:r>
      <w:r w:rsidR="00103AC6">
        <w:rPr>
          <w:rFonts w:ascii="Arial" w:hAnsi="Arial" w:cs="Arial"/>
        </w:rPr>
        <w:t xml:space="preserve"> </w:t>
      </w:r>
      <w:r w:rsidR="00103AC6" w:rsidRPr="00696A3E">
        <w:rPr>
          <w:rFonts w:ascii="Arial" w:hAnsi="Arial" w:cs="Arial"/>
        </w:rPr>
        <w:t>(p &lt; 0.05)</w:t>
      </w:r>
      <w:r w:rsidRPr="0035338B">
        <w:rPr>
          <w:rFonts w:ascii="Arial" w:hAnsi="Arial" w:cs="Arial"/>
        </w:rPr>
        <w:t xml:space="preserve">. At a moderate dose, SPA 250 mg/kg (313.52 U/L) is less effective than NB 500 mg/kg, indicating that the response depends on both dose and qualitative composition. Previous results on ESR and serum proteins suggest that SPA’s greater AST reduction may be related to its richness in polyphenols and other synergistic compounds. As shown by </w:t>
      </w:r>
      <w:r w:rsidRPr="0041192C">
        <w:t>Li</w:t>
      </w:r>
      <w:r w:rsidRPr="0035338B">
        <w:rPr>
          <w:rFonts w:ascii="Arial" w:hAnsi="Arial" w:cs="Arial"/>
        </w:rPr>
        <w:t xml:space="preserve"> et al. </w:t>
      </w:r>
      <w:r>
        <w:rPr>
          <w:rFonts w:ascii="Arial" w:hAnsi="Arial" w:cs="Arial"/>
        </w:rPr>
        <w:t xml:space="preserve">in 2018 </w:t>
      </w:r>
      <w:r w:rsidRPr="0035338B">
        <w:rPr>
          <w:rFonts w:ascii="Arial" w:hAnsi="Arial" w:cs="Arial"/>
        </w:rPr>
        <w:t xml:space="preserve">and </w:t>
      </w:r>
      <w:r w:rsidRPr="00F0662D">
        <w:t>Datta</w:t>
      </w:r>
      <w:r w:rsidRPr="0035338B">
        <w:rPr>
          <w:rFonts w:ascii="Arial" w:hAnsi="Arial" w:cs="Arial"/>
        </w:rPr>
        <w:t xml:space="preserve"> et al.</w:t>
      </w:r>
      <w:r>
        <w:rPr>
          <w:rFonts w:ascii="Arial" w:hAnsi="Arial" w:cs="Arial"/>
        </w:rPr>
        <w:t xml:space="preserve"> in 2023 </w:t>
      </w:r>
      <w:r w:rsidRPr="0035338B">
        <w:rPr>
          <w:rFonts w:ascii="Arial" w:hAnsi="Arial" w:cs="Arial"/>
        </w:rPr>
        <w:t>these compounds modulate oxidative stress and inflammation, explaining the observed superior hepatoprotective effect of SPA compared to NB.</w:t>
      </w:r>
    </w:p>
    <w:p w14:paraId="1B59C951" w14:textId="76AB2F4C" w:rsidR="0035338B" w:rsidRDefault="0035338B" w:rsidP="003800C2">
      <w:pPr>
        <w:pStyle w:val="Body"/>
        <w:rPr>
          <w:rFonts w:ascii="Arial" w:hAnsi="Arial" w:cs="Arial"/>
        </w:rPr>
      </w:pPr>
      <w:r w:rsidRPr="003800C2">
        <w:rPr>
          <w:rFonts w:ascii="Arial" w:hAnsi="Arial" w:cs="Arial"/>
          <w:b/>
          <w:bCs/>
          <w:u w:val="single"/>
        </w:rPr>
        <w:t>3.4.7. Effect of Extracts on Serum ALAT Levels in Rats After Hemorrhoid Induction and Treatment</w:t>
      </w:r>
      <w:r w:rsidRPr="0035338B">
        <w:rPr>
          <w:rFonts w:ascii="Arial" w:hAnsi="Arial" w:cs="Arial"/>
        </w:rPr>
        <w:br/>
      </w:r>
      <w:r w:rsidR="00F42CA8">
        <w:rPr>
          <w:rFonts w:ascii="Arial" w:hAnsi="Arial" w:cs="Arial"/>
        </w:rPr>
        <w:t>Figure 6</w:t>
      </w:r>
      <w:r w:rsidRPr="0035338B">
        <w:rPr>
          <w:rFonts w:ascii="Arial" w:hAnsi="Arial" w:cs="Arial"/>
        </w:rPr>
        <w:t xml:space="preserve"> presents the mean ALT (alanine aminotransferase) levels in rats 5 days after treatment, including the control groups (GN1 and GN2) and the SPA (</w:t>
      </w:r>
      <w:proofErr w:type="spellStart"/>
      <w:r w:rsidRPr="0035338B">
        <w:rPr>
          <w:rFonts w:ascii="Arial" w:hAnsi="Arial" w:cs="Arial"/>
          <w:i/>
          <w:iCs/>
        </w:rPr>
        <w:t>Persea</w:t>
      </w:r>
      <w:proofErr w:type="spellEnd"/>
      <w:r w:rsidRPr="0035338B">
        <w:rPr>
          <w:rFonts w:ascii="Arial" w:hAnsi="Arial" w:cs="Arial"/>
          <w:i/>
          <w:iCs/>
        </w:rPr>
        <w:t xml:space="preserve"> </w:t>
      </w:r>
      <w:proofErr w:type="spellStart"/>
      <w:r w:rsidRPr="0035338B">
        <w:rPr>
          <w:rFonts w:ascii="Arial" w:hAnsi="Arial" w:cs="Arial"/>
          <w:i/>
          <w:iCs/>
        </w:rPr>
        <w:t>americana</w:t>
      </w:r>
      <w:proofErr w:type="spellEnd"/>
      <w:r w:rsidRPr="0035338B">
        <w:rPr>
          <w:rFonts w:ascii="Arial" w:hAnsi="Arial" w:cs="Arial"/>
        </w:rPr>
        <w:t>) and NB (</w:t>
      </w:r>
      <w:proofErr w:type="spellStart"/>
      <w:r w:rsidRPr="0035338B">
        <w:rPr>
          <w:rFonts w:ascii="Arial" w:hAnsi="Arial" w:cs="Arial"/>
          <w:i/>
          <w:iCs/>
        </w:rPr>
        <w:t>Nephrolepis</w:t>
      </w:r>
      <w:proofErr w:type="spellEnd"/>
      <w:r w:rsidRPr="0035338B">
        <w:rPr>
          <w:rFonts w:ascii="Arial" w:hAnsi="Arial" w:cs="Arial"/>
          <w:i/>
          <w:iCs/>
        </w:rPr>
        <w:t xml:space="preserve"> </w:t>
      </w:r>
      <w:proofErr w:type="spellStart"/>
      <w:r w:rsidRPr="0035338B">
        <w:rPr>
          <w:rFonts w:ascii="Arial" w:hAnsi="Arial" w:cs="Arial"/>
          <w:i/>
          <w:iCs/>
        </w:rPr>
        <w:t>biserrata</w:t>
      </w:r>
      <w:proofErr w:type="spellEnd"/>
      <w:r w:rsidRPr="0035338B">
        <w:rPr>
          <w:rFonts w:ascii="Arial" w:hAnsi="Arial" w:cs="Arial"/>
        </w:rPr>
        <w:t>) extracts. GN1 (50.22 U/L) shows a value close to normal, whereas GN2 (118.47 U/L) indicates higher hepatic stress without treatment, serving as a critical reference</w:t>
      </w:r>
      <w:r w:rsidR="00103AC6">
        <w:rPr>
          <w:rFonts w:ascii="Arial" w:hAnsi="Arial" w:cs="Arial"/>
        </w:rPr>
        <w:t xml:space="preserve"> </w:t>
      </w:r>
      <w:r w:rsidR="00103AC6" w:rsidRPr="00696A3E">
        <w:rPr>
          <w:rFonts w:ascii="Arial" w:hAnsi="Arial" w:cs="Arial"/>
        </w:rPr>
        <w:t>(p &lt; 0.05)</w:t>
      </w:r>
      <w:r w:rsidRPr="0035338B">
        <w:rPr>
          <w:rFonts w:ascii="Arial" w:hAnsi="Arial" w:cs="Arial"/>
        </w:rPr>
        <w:t>.</w:t>
      </w:r>
    </w:p>
    <w:p w14:paraId="5C62D693" w14:textId="20F58625" w:rsidR="0035338B" w:rsidRDefault="0035338B" w:rsidP="00103AC6">
      <w:pPr>
        <w:pStyle w:val="Body"/>
        <w:jc w:val="center"/>
        <w:rPr>
          <w:rFonts w:ascii="Arial" w:hAnsi="Arial" w:cs="Arial"/>
        </w:rPr>
      </w:pPr>
      <w:r>
        <w:rPr>
          <w:noProof/>
        </w:rPr>
        <w:lastRenderedPageBreak/>
        <w:drawing>
          <wp:inline distT="0" distB="0" distL="0" distR="0" wp14:anchorId="0627F9BC" wp14:editId="23A6FE96">
            <wp:extent cx="4768850" cy="3009900"/>
            <wp:effectExtent l="0" t="0" r="12700" b="0"/>
            <wp:docPr id="1818766138" name="Graphique 1">
              <a:extLst xmlns:a="http://schemas.openxmlformats.org/drawingml/2006/main">
                <a:ext uri="{FF2B5EF4-FFF2-40B4-BE49-F238E27FC236}">
                  <a16:creationId xmlns:a16="http://schemas.microsoft.com/office/drawing/2014/main" id="{B1CE7BFA-756F-C5AB-B584-9F55FE81B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CAA4C5" w14:textId="6CF6FE43" w:rsidR="0035338B" w:rsidRPr="0035338B" w:rsidRDefault="0035338B" w:rsidP="00F42CA8">
      <w:pPr>
        <w:spacing w:line="360" w:lineRule="auto"/>
        <w:jc w:val="center"/>
        <w:rPr>
          <w:rFonts w:ascii="Arial" w:hAnsi="Arial" w:cs="Arial"/>
          <w:b/>
          <w:bCs/>
        </w:rPr>
      </w:pPr>
      <w:r w:rsidRPr="0035338B">
        <w:rPr>
          <w:rFonts w:ascii="Arial" w:hAnsi="Arial" w:cs="Arial"/>
          <w:b/>
          <w:bCs/>
        </w:rPr>
        <w:t>Figure 6. ALAT Levels in Rats After Hemorrhoid Induction and Treatment</w:t>
      </w:r>
    </w:p>
    <w:p w14:paraId="2BBCE65B" w14:textId="77777777" w:rsidR="00180A10" w:rsidRPr="00180A10" w:rsidRDefault="00180A10" w:rsidP="00180A10">
      <w:pPr>
        <w:pStyle w:val="Body"/>
        <w:spacing w:after="0"/>
        <w:rPr>
          <w:rFonts w:ascii="Arial" w:hAnsi="Arial" w:cs="Arial"/>
        </w:rPr>
      </w:pPr>
      <w:r w:rsidRPr="00180A10">
        <w:rPr>
          <w:rFonts w:ascii="Arial" w:hAnsi="Arial" w:cs="Arial"/>
        </w:rPr>
        <w:t>Comparative analysis reveals that NB (250 and 500 mg/kg) produces the lowest ALT values (88.7 and 81.25 U/L), suggesting better hepatoprotection than low-dose SPA (156.13 U/L). At a higher dose, SPA (90.73 U/L) aligns with NB, indicating a dose-dependent effect. The comparison highlights the increased efficacy of NB in moderating ALT elevation, reinforced by its content of flavonoids and phenolic compounds.</w:t>
      </w:r>
    </w:p>
    <w:p w14:paraId="7CB91135" w14:textId="6A55118F" w:rsidR="00790ADA" w:rsidRPr="00180A10" w:rsidRDefault="00180A10" w:rsidP="00180A10">
      <w:pPr>
        <w:pStyle w:val="Body"/>
        <w:rPr>
          <w:rFonts w:ascii="Arial" w:hAnsi="Arial" w:cs="Arial"/>
        </w:rPr>
      </w:pPr>
      <w:r w:rsidRPr="00180A10">
        <w:rPr>
          <w:rFonts w:ascii="Arial" w:hAnsi="Arial" w:cs="Arial"/>
        </w:rPr>
        <w:t xml:space="preserve">In the discussion, these results corroborate our previous observations on the reduction of inflammatory markers and the improvement of ESR and serum proteins. As shown by </w:t>
      </w:r>
      <w:r w:rsidRPr="0000395C">
        <w:t>Gezer</w:t>
      </w:r>
      <w:r w:rsidRPr="00180A10">
        <w:rPr>
          <w:rFonts w:ascii="Arial" w:hAnsi="Arial" w:cs="Arial"/>
        </w:rPr>
        <w:t xml:space="preserve"> et al. (2024), plant flavonoids attenuate hepatic stress by lowering ALT levels through antioxidant and anti-inflammatory mechanisms. Similarly, Alanazi et al. (2025) demonstrate that polyphenols, such as resveratrol, protect the liver by reducing hepatic enzymes in animal models.</w:t>
      </w:r>
    </w:p>
    <w:p w14:paraId="71BA9646" w14:textId="77777777" w:rsidR="001540D7" w:rsidRDefault="00000F8F" w:rsidP="001540D7">
      <w:pPr>
        <w:pStyle w:val="ConcHead"/>
        <w:jc w:val="both"/>
        <w:rPr>
          <w:rFonts w:ascii="Arial" w:hAnsi="Arial" w:cs="Arial"/>
        </w:rPr>
      </w:pPr>
      <w:r>
        <w:rPr>
          <w:rFonts w:ascii="Arial" w:hAnsi="Arial" w:cs="Arial"/>
        </w:rPr>
        <w:t xml:space="preserve">4. </w:t>
      </w:r>
      <w:r w:rsidR="00B01FCD" w:rsidRPr="00FB3A86">
        <w:rPr>
          <w:rFonts w:ascii="Arial" w:hAnsi="Arial" w:cs="Arial"/>
        </w:rPr>
        <w:t>Conclusion</w:t>
      </w:r>
    </w:p>
    <w:p w14:paraId="38706836" w14:textId="48A4F202" w:rsidR="00790ADA" w:rsidRDefault="001540D7" w:rsidP="001540D7">
      <w:pPr>
        <w:pStyle w:val="ConcHead"/>
        <w:jc w:val="both"/>
        <w:rPr>
          <w:rFonts w:ascii="Arial" w:hAnsi="Arial" w:cs="Arial"/>
          <w:b w:val="0"/>
          <w:bCs/>
          <w:caps w:val="0"/>
        </w:rPr>
      </w:pPr>
      <w:r w:rsidRPr="001540D7">
        <w:rPr>
          <w:rFonts w:ascii="Arial" w:hAnsi="Arial" w:cs="Arial"/>
          <w:b w:val="0"/>
          <w:bCs/>
          <w:caps w:val="0"/>
        </w:rPr>
        <w:t xml:space="preserve">the extracts of </w:t>
      </w:r>
      <w:proofErr w:type="spellStart"/>
      <w:r w:rsidRPr="001540D7">
        <w:rPr>
          <w:rFonts w:ascii="Arial" w:hAnsi="Arial" w:cs="Arial"/>
          <w:b w:val="0"/>
          <w:bCs/>
          <w:i/>
          <w:iCs/>
          <w:caps w:val="0"/>
        </w:rPr>
        <w:t>persea</w:t>
      </w:r>
      <w:proofErr w:type="spellEnd"/>
      <w:r w:rsidRPr="001540D7">
        <w:rPr>
          <w:rFonts w:ascii="Arial" w:hAnsi="Arial" w:cs="Arial"/>
          <w:b w:val="0"/>
          <w:bCs/>
          <w:i/>
          <w:iCs/>
          <w:caps w:val="0"/>
        </w:rPr>
        <w:t xml:space="preserve"> </w:t>
      </w:r>
      <w:proofErr w:type="spellStart"/>
      <w:r w:rsidRPr="001540D7">
        <w:rPr>
          <w:rFonts w:ascii="Arial" w:hAnsi="Arial" w:cs="Arial"/>
          <w:b w:val="0"/>
          <w:bCs/>
          <w:i/>
          <w:iCs/>
          <w:caps w:val="0"/>
        </w:rPr>
        <w:t>americana</w:t>
      </w:r>
      <w:proofErr w:type="spellEnd"/>
      <w:r w:rsidRPr="001540D7">
        <w:rPr>
          <w:rFonts w:ascii="Arial" w:hAnsi="Arial" w:cs="Arial"/>
          <w:b w:val="0"/>
          <w:bCs/>
          <w:caps w:val="0"/>
        </w:rPr>
        <w:t xml:space="preserve"> and </w:t>
      </w:r>
      <w:proofErr w:type="spellStart"/>
      <w:r w:rsidRPr="001540D7">
        <w:rPr>
          <w:rFonts w:ascii="Arial" w:hAnsi="Arial" w:cs="Arial"/>
          <w:b w:val="0"/>
          <w:bCs/>
          <w:i/>
          <w:iCs/>
          <w:caps w:val="0"/>
        </w:rPr>
        <w:t>nephrolepis</w:t>
      </w:r>
      <w:proofErr w:type="spellEnd"/>
      <w:r w:rsidRPr="001540D7">
        <w:rPr>
          <w:rFonts w:ascii="Arial" w:hAnsi="Arial" w:cs="Arial"/>
          <w:b w:val="0"/>
          <w:bCs/>
          <w:i/>
          <w:iCs/>
          <w:caps w:val="0"/>
        </w:rPr>
        <w:t xml:space="preserve"> </w:t>
      </w:r>
      <w:proofErr w:type="spellStart"/>
      <w:r w:rsidRPr="001540D7">
        <w:rPr>
          <w:rFonts w:ascii="Arial" w:hAnsi="Arial" w:cs="Arial"/>
          <w:b w:val="0"/>
          <w:bCs/>
          <w:i/>
          <w:iCs/>
          <w:caps w:val="0"/>
        </w:rPr>
        <w:t>biserrata</w:t>
      </w:r>
      <w:proofErr w:type="spellEnd"/>
      <w:r w:rsidRPr="001540D7">
        <w:rPr>
          <w:rFonts w:ascii="Arial" w:hAnsi="Arial" w:cs="Arial"/>
          <w:b w:val="0"/>
          <w:bCs/>
          <w:caps w:val="0"/>
        </w:rPr>
        <w:t xml:space="preserve"> exhibit interesting anti-inflammatory and antioxidant properties, with an improvement in biochemical and hematological parameters in treated rats. however, </w:t>
      </w:r>
      <w:proofErr w:type="spellStart"/>
      <w:r w:rsidRPr="001540D7">
        <w:rPr>
          <w:rFonts w:ascii="Arial" w:hAnsi="Arial" w:cs="Arial"/>
          <w:b w:val="0"/>
          <w:bCs/>
          <w:i/>
          <w:iCs/>
          <w:caps w:val="0"/>
        </w:rPr>
        <w:t>nephrolepis</w:t>
      </w:r>
      <w:proofErr w:type="spellEnd"/>
      <w:r w:rsidRPr="001540D7">
        <w:rPr>
          <w:rFonts w:ascii="Arial" w:hAnsi="Arial" w:cs="Arial"/>
          <w:b w:val="0"/>
          <w:bCs/>
          <w:i/>
          <w:iCs/>
          <w:caps w:val="0"/>
        </w:rPr>
        <w:t xml:space="preserve"> </w:t>
      </w:r>
      <w:proofErr w:type="spellStart"/>
      <w:r w:rsidRPr="001540D7">
        <w:rPr>
          <w:rFonts w:ascii="Arial" w:hAnsi="Arial" w:cs="Arial"/>
          <w:b w:val="0"/>
          <w:bCs/>
          <w:i/>
          <w:iCs/>
          <w:caps w:val="0"/>
        </w:rPr>
        <w:t>biserrata</w:t>
      </w:r>
      <w:proofErr w:type="spellEnd"/>
      <w:r w:rsidRPr="001540D7">
        <w:rPr>
          <w:rFonts w:ascii="Arial" w:hAnsi="Arial" w:cs="Arial"/>
          <w:b w:val="0"/>
          <w:bCs/>
          <w:caps w:val="0"/>
        </w:rPr>
        <w:t xml:space="preserve"> at 250 mg/kg shows the best overall efficacy, particularly on inflammation and the recto-anal coefficient. these findings suggest promising therapeutic potential, although further studies are needed to identify the active compounds and confirm clinical effectiveness.</w:t>
      </w:r>
    </w:p>
    <w:p w14:paraId="624A726D" w14:textId="77777777" w:rsidR="001E7B47" w:rsidRPr="001E7B47" w:rsidRDefault="001E7B47" w:rsidP="001E7B47">
      <w:pPr>
        <w:pStyle w:val="ConcHead"/>
        <w:jc w:val="both"/>
        <w:rPr>
          <w:rFonts w:ascii="Arial" w:hAnsi="Arial" w:cs="Arial"/>
          <w:bCs/>
        </w:rPr>
      </w:pPr>
      <w:r w:rsidRPr="001E7B47">
        <w:rPr>
          <w:rFonts w:ascii="Arial" w:hAnsi="Arial" w:cs="Arial"/>
          <w:bCs/>
        </w:rPr>
        <w:t>Ethical Approval</w:t>
      </w:r>
    </w:p>
    <w:p w14:paraId="7AE51595" w14:textId="787ED7FA" w:rsidR="001E7B47" w:rsidRPr="001540D7" w:rsidRDefault="001E7B47" w:rsidP="001E7B47">
      <w:pPr>
        <w:pStyle w:val="ConcHead"/>
        <w:jc w:val="both"/>
        <w:rPr>
          <w:rFonts w:ascii="Arial" w:hAnsi="Arial" w:cs="Arial"/>
          <w:b w:val="0"/>
          <w:bCs/>
        </w:rPr>
      </w:pPr>
      <w:r w:rsidRPr="001E7B47">
        <w:rPr>
          <w:rFonts w:ascii="Arial" w:hAnsi="Arial" w:cs="Arial"/>
          <w:b w:val="0"/>
          <w:bCs/>
          <w:caps w:val="0"/>
        </w:rPr>
        <w:t>Animal ethic committee approval has been collected and preserved by the author(s</w:t>
      </w:r>
      <w:r w:rsidRPr="001E7B47">
        <w:rPr>
          <w:rFonts w:ascii="Arial" w:hAnsi="Arial" w:cs="Arial"/>
          <w:b w:val="0"/>
          <w:bCs/>
        </w:rPr>
        <w:t>)</w:t>
      </w:r>
    </w:p>
    <w:p w14:paraId="0ADD48E3" w14:textId="77777777" w:rsidR="001540D7" w:rsidRDefault="001540D7" w:rsidP="001540D7">
      <w:pPr>
        <w:pStyle w:val="AcknHead"/>
        <w:jc w:val="both"/>
        <w:rPr>
          <w:rFonts w:ascii="Arial" w:hAnsi="Arial" w:cs="Arial"/>
        </w:rPr>
      </w:pPr>
      <w:r w:rsidRPr="00FB3A86">
        <w:rPr>
          <w:rFonts w:ascii="Arial" w:hAnsi="Arial" w:cs="Arial"/>
        </w:rPr>
        <w:t>Acknowledg</w:t>
      </w:r>
      <w:r>
        <w:rPr>
          <w:rFonts w:ascii="Arial" w:hAnsi="Arial" w:cs="Arial"/>
        </w:rPr>
        <w:t>E</w:t>
      </w:r>
      <w:r w:rsidRPr="00FB3A86">
        <w:rPr>
          <w:rFonts w:ascii="Arial" w:hAnsi="Arial" w:cs="Arial"/>
        </w:rPr>
        <w:t>ments</w:t>
      </w:r>
    </w:p>
    <w:p w14:paraId="6641E2F0" w14:textId="77777777" w:rsidR="001540D7" w:rsidRPr="00180A10" w:rsidRDefault="001540D7" w:rsidP="001540D7">
      <w:pPr>
        <w:spacing w:after="240"/>
        <w:jc w:val="both"/>
        <w:rPr>
          <w:rFonts w:ascii="Arial" w:hAnsi="Arial" w:cs="Arial"/>
        </w:rPr>
      </w:pPr>
      <w:r w:rsidRPr="00180A10">
        <w:rPr>
          <w:rFonts w:ascii="Arial" w:hAnsi="Arial" w:cs="Arial"/>
        </w:rPr>
        <w:t>We thank the University of Technical Sciences, Engineering and Mathematics (UNSTIM) for financial support.</w:t>
      </w:r>
    </w:p>
    <w:p w14:paraId="0E80BE34" w14:textId="77777777" w:rsidR="00231F85" w:rsidRDefault="00231F85" w:rsidP="00231F85">
      <w:pPr>
        <w:rPr>
          <w:rFonts w:asciiTheme="minorHAnsi" w:hAnsiTheme="minorHAnsi"/>
          <w:highlight w:val="yellow"/>
        </w:rPr>
      </w:pPr>
      <w:r>
        <w:rPr>
          <w:highlight w:val="yellow"/>
        </w:rPr>
        <w:t>Disclaimer (Artificial intelligence)</w:t>
      </w:r>
    </w:p>
    <w:p w14:paraId="7C0D9A9E" w14:textId="77777777" w:rsidR="00231F85" w:rsidRDefault="00231F85" w:rsidP="00231F85">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30F19569" w14:textId="77777777" w:rsidR="00231F85" w:rsidRDefault="00231F85" w:rsidP="00231F85"/>
    <w:p w14:paraId="2B25EA50" w14:textId="77777777" w:rsidR="00231F85" w:rsidRPr="001540D7" w:rsidRDefault="00231F85" w:rsidP="001540D7">
      <w:pPr>
        <w:pStyle w:val="ReferHead"/>
        <w:spacing w:after="0"/>
        <w:jc w:val="both"/>
        <w:rPr>
          <w:rFonts w:ascii="Arial" w:hAnsi="Arial" w:cs="Arial"/>
          <w:b w:val="0"/>
          <w:bCs/>
          <w:sz w:val="20"/>
        </w:rPr>
      </w:pPr>
    </w:p>
    <w:p w14:paraId="5FAD283C" w14:textId="77777777" w:rsidR="001540D7" w:rsidRDefault="001540D7" w:rsidP="001540D7">
      <w:pPr>
        <w:pStyle w:val="ReferHead"/>
        <w:spacing w:after="0"/>
        <w:jc w:val="both"/>
        <w:rPr>
          <w:rFonts w:ascii="Arial" w:hAnsi="Arial" w:cs="Arial"/>
        </w:rPr>
      </w:pPr>
    </w:p>
    <w:p w14:paraId="1031835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688889B" w14:textId="77777777" w:rsidR="00790ADA" w:rsidRPr="00FB3A86" w:rsidRDefault="00790ADA" w:rsidP="00441B6F">
      <w:pPr>
        <w:pStyle w:val="ReferHead"/>
        <w:spacing w:after="0"/>
        <w:jc w:val="both"/>
        <w:rPr>
          <w:rFonts w:ascii="Arial" w:hAnsi="Arial" w:cs="Arial"/>
        </w:rPr>
      </w:pPr>
    </w:p>
    <w:p w14:paraId="108F603A" w14:textId="77777777" w:rsidR="00B02AF4" w:rsidRDefault="00B02AF4" w:rsidP="00F42CA8">
      <w:pPr>
        <w:spacing w:after="160"/>
        <w:jc w:val="both"/>
        <w:rPr>
          <w:rFonts w:ascii="Arial" w:hAnsi="Arial" w:cs="Arial"/>
        </w:rPr>
      </w:pPr>
      <w:proofErr w:type="spellStart"/>
      <w:r w:rsidRPr="00B02AF4">
        <w:rPr>
          <w:rFonts w:ascii="Arial" w:hAnsi="Arial" w:cs="Arial"/>
        </w:rPr>
        <w:t>Adjatin</w:t>
      </w:r>
      <w:proofErr w:type="spellEnd"/>
      <w:r w:rsidRPr="00B02AF4">
        <w:rPr>
          <w:rFonts w:ascii="Arial" w:hAnsi="Arial" w:cs="Arial"/>
        </w:rPr>
        <w:t xml:space="preserve">, A. R., </w:t>
      </w:r>
      <w:proofErr w:type="spellStart"/>
      <w:r w:rsidRPr="00B02AF4">
        <w:rPr>
          <w:rFonts w:ascii="Arial" w:hAnsi="Arial" w:cs="Arial"/>
        </w:rPr>
        <w:t>Sakirigui</w:t>
      </w:r>
      <w:proofErr w:type="spellEnd"/>
      <w:r w:rsidRPr="00B02AF4">
        <w:rPr>
          <w:rFonts w:ascii="Arial" w:hAnsi="Arial" w:cs="Arial"/>
        </w:rPr>
        <w:t xml:space="preserve">, A., </w:t>
      </w:r>
      <w:proofErr w:type="spellStart"/>
      <w:r w:rsidRPr="00B02AF4">
        <w:rPr>
          <w:rFonts w:ascii="Arial" w:hAnsi="Arial" w:cs="Arial"/>
        </w:rPr>
        <w:t>Kpotanme</w:t>
      </w:r>
      <w:proofErr w:type="spellEnd"/>
      <w:r w:rsidRPr="00B02AF4">
        <w:rPr>
          <w:rFonts w:ascii="Arial" w:hAnsi="Arial" w:cs="Arial"/>
        </w:rPr>
        <w:t xml:space="preserve">, P., </w:t>
      </w:r>
      <w:proofErr w:type="spellStart"/>
      <w:r w:rsidRPr="00B02AF4">
        <w:rPr>
          <w:rFonts w:ascii="Arial" w:hAnsi="Arial" w:cs="Arial"/>
        </w:rPr>
        <w:t>Yovo</w:t>
      </w:r>
      <w:proofErr w:type="spellEnd"/>
      <w:r w:rsidRPr="00B02AF4">
        <w:rPr>
          <w:rFonts w:ascii="Arial" w:hAnsi="Arial" w:cs="Arial"/>
        </w:rPr>
        <w:t xml:space="preserve">, F., Fagbohoun, L., </w:t>
      </w:r>
      <w:proofErr w:type="spellStart"/>
      <w:r w:rsidRPr="00B02AF4">
        <w:rPr>
          <w:rFonts w:ascii="Arial" w:hAnsi="Arial" w:cs="Arial"/>
        </w:rPr>
        <w:t>Houngbeme</w:t>
      </w:r>
      <w:proofErr w:type="spellEnd"/>
      <w:r w:rsidRPr="00B02AF4">
        <w:rPr>
          <w:rFonts w:ascii="Arial" w:hAnsi="Arial" w:cs="Arial"/>
        </w:rPr>
        <w:t xml:space="preserve">, A. G., </w:t>
      </w:r>
      <w:proofErr w:type="spellStart"/>
      <w:r w:rsidRPr="00B02AF4">
        <w:rPr>
          <w:rFonts w:ascii="Arial" w:hAnsi="Arial" w:cs="Arial"/>
        </w:rPr>
        <w:t>Agbangla</w:t>
      </w:r>
      <w:proofErr w:type="spellEnd"/>
      <w:r w:rsidRPr="00B02AF4">
        <w:rPr>
          <w:rFonts w:ascii="Arial" w:hAnsi="Arial" w:cs="Arial"/>
        </w:rPr>
        <w:t xml:space="preserve">, C., &amp; </w:t>
      </w:r>
      <w:proofErr w:type="spellStart"/>
      <w:r w:rsidRPr="00B02AF4">
        <w:rPr>
          <w:rFonts w:ascii="Arial" w:hAnsi="Arial" w:cs="Arial"/>
        </w:rPr>
        <w:t>Gbenou</w:t>
      </w:r>
      <w:proofErr w:type="spellEnd"/>
      <w:r w:rsidRPr="00B02AF4">
        <w:rPr>
          <w:rFonts w:ascii="Arial" w:hAnsi="Arial" w:cs="Arial"/>
        </w:rPr>
        <w:t xml:space="preserve">, J. D. (2026). </w:t>
      </w:r>
      <w:r w:rsidRPr="00B02AF4">
        <w:rPr>
          <w:rFonts w:ascii="Arial" w:hAnsi="Arial" w:cs="Arial"/>
          <w:i/>
          <w:iCs/>
        </w:rPr>
        <w:t xml:space="preserve">Phytochemical characterization, antioxidant and </w:t>
      </w:r>
      <w:proofErr w:type="spellStart"/>
      <w:r w:rsidRPr="00B02AF4">
        <w:rPr>
          <w:rFonts w:ascii="Arial" w:hAnsi="Arial" w:cs="Arial"/>
          <w:i/>
          <w:iCs/>
        </w:rPr>
        <w:t>antihemorrhoidal</w:t>
      </w:r>
      <w:proofErr w:type="spellEnd"/>
      <w:r w:rsidRPr="00B02AF4">
        <w:rPr>
          <w:rFonts w:ascii="Arial" w:hAnsi="Arial" w:cs="Arial"/>
          <w:i/>
          <w:iCs/>
        </w:rPr>
        <w:t xml:space="preserve"> activities of hydroethanolic extract of Cleome </w:t>
      </w:r>
      <w:proofErr w:type="spellStart"/>
      <w:r w:rsidRPr="00B02AF4">
        <w:rPr>
          <w:rFonts w:ascii="Arial" w:hAnsi="Arial" w:cs="Arial"/>
          <w:i/>
          <w:iCs/>
        </w:rPr>
        <w:t>viscosa</w:t>
      </w:r>
      <w:proofErr w:type="spellEnd"/>
      <w:r w:rsidRPr="00B02AF4">
        <w:rPr>
          <w:rFonts w:ascii="Arial" w:hAnsi="Arial" w:cs="Arial"/>
          <w:i/>
          <w:iCs/>
        </w:rPr>
        <w:t xml:space="preserve"> L.</w:t>
      </w:r>
      <w:r w:rsidRPr="00B02AF4">
        <w:rPr>
          <w:rFonts w:ascii="Arial" w:hAnsi="Arial" w:cs="Arial"/>
        </w:rPr>
        <w:t xml:space="preserve"> IOSR Journal of Applied Chemistry, 19(4), 1–10. https://doi.org/10.9790/5736-1904010110 </w:t>
      </w:r>
    </w:p>
    <w:p w14:paraId="430E96C4" w14:textId="70A1F70B" w:rsidR="001456C8" w:rsidRPr="00D151FD" w:rsidRDefault="001456C8" w:rsidP="00F42CA8">
      <w:pPr>
        <w:spacing w:after="160"/>
        <w:jc w:val="both"/>
        <w:rPr>
          <w:rFonts w:ascii="Arial" w:hAnsi="Arial" w:cs="Arial"/>
        </w:rPr>
      </w:pPr>
      <w:proofErr w:type="spellStart"/>
      <w:r w:rsidRPr="00D151FD">
        <w:rPr>
          <w:rFonts w:ascii="Arial" w:hAnsi="Arial" w:cs="Arial"/>
        </w:rPr>
        <w:t>Arjvand</w:t>
      </w:r>
      <w:proofErr w:type="spellEnd"/>
      <w:r w:rsidRPr="00D151FD">
        <w:rPr>
          <w:rFonts w:ascii="Arial" w:hAnsi="Arial" w:cs="Arial"/>
        </w:rPr>
        <w:t xml:space="preserve">, F., Moeeni, M., Najafi, B., &amp; Nosratnejad, S. (2023). Factors affecting inequality in the quality diets: A scoping review. </w:t>
      </w:r>
      <w:r w:rsidRPr="00D151FD">
        <w:rPr>
          <w:rFonts w:ascii="Arial" w:hAnsi="Arial" w:cs="Arial"/>
          <w:i/>
          <w:iCs/>
        </w:rPr>
        <w:t>Value in Health Regional Issues, 37</w:t>
      </w:r>
      <w:r w:rsidRPr="00D151FD">
        <w:rPr>
          <w:rFonts w:ascii="Arial" w:hAnsi="Arial" w:cs="Arial"/>
        </w:rPr>
        <w:t>, 105–112. https://doi.org/10.1016/j.vhri.2023.05.003</w:t>
      </w:r>
    </w:p>
    <w:p w14:paraId="21BAB519" w14:textId="77777777" w:rsidR="001456C8" w:rsidRPr="00D151FD" w:rsidRDefault="001456C8" w:rsidP="00F42CA8">
      <w:pPr>
        <w:spacing w:after="160"/>
        <w:jc w:val="both"/>
        <w:rPr>
          <w:rFonts w:ascii="Arial" w:hAnsi="Arial" w:cs="Arial"/>
        </w:rPr>
      </w:pPr>
      <w:r w:rsidRPr="00D151FD">
        <w:rPr>
          <w:rFonts w:ascii="Arial" w:hAnsi="Arial" w:cs="Arial"/>
        </w:rPr>
        <w:t xml:space="preserve">Azwanida, N. N. (2015). A review on the extraction methods used in medicinal plants: Principle, strength and limitation. </w:t>
      </w:r>
      <w:r w:rsidRPr="00D151FD">
        <w:rPr>
          <w:rFonts w:ascii="Arial" w:hAnsi="Arial" w:cs="Arial"/>
          <w:i/>
          <w:iCs/>
        </w:rPr>
        <w:t>Medicinal and Aromatic Plants, 4</w:t>
      </w:r>
      <w:r w:rsidRPr="00D151FD">
        <w:rPr>
          <w:rFonts w:ascii="Arial" w:hAnsi="Arial" w:cs="Arial"/>
        </w:rPr>
        <w:t>, 1–6. https://doi.org/10.4172/2167-0412.1000196</w:t>
      </w:r>
    </w:p>
    <w:p w14:paraId="12C23609" w14:textId="77777777" w:rsidR="001456C8" w:rsidRPr="00D151FD" w:rsidRDefault="001456C8" w:rsidP="00F42CA8">
      <w:pPr>
        <w:spacing w:after="160"/>
        <w:jc w:val="both"/>
        <w:rPr>
          <w:rFonts w:ascii="Arial" w:hAnsi="Arial" w:cs="Arial"/>
        </w:rPr>
      </w:pPr>
      <w:r w:rsidRPr="00D151FD">
        <w:rPr>
          <w:rFonts w:ascii="Arial" w:hAnsi="Arial" w:cs="Arial"/>
        </w:rPr>
        <w:t xml:space="preserve">Balogoun, N., Sakirigui, A., Yovo, F., Klotoé, J.-R., Dougnon, V., &amp; Dramane, G. (2025). Comparative phytochemical and anti-inflammatory assessment of Persea americana seed and Nauclea latifolia root extracts. </w:t>
      </w:r>
      <w:r w:rsidRPr="00D151FD">
        <w:rPr>
          <w:rFonts w:ascii="Arial" w:hAnsi="Arial" w:cs="Arial"/>
          <w:i/>
          <w:iCs/>
        </w:rPr>
        <w:t>European Journal of Biomedical and Pharmaceutical Sciences, 12</w:t>
      </w:r>
      <w:r w:rsidRPr="00D151FD">
        <w:rPr>
          <w:rFonts w:ascii="Arial" w:hAnsi="Arial" w:cs="Arial"/>
        </w:rPr>
        <w:t>(9), 460–465.</w:t>
      </w:r>
    </w:p>
    <w:p w14:paraId="3F9FA25B" w14:textId="77777777" w:rsidR="001456C8" w:rsidRPr="00D151FD" w:rsidRDefault="001456C8" w:rsidP="00F42CA8">
      <w:pPr>
        <w:spacing w:after="160"/>
        <w:jc w:val="both"/>
        <w:rPr>
          <w:rFonts w:ascii="Arial" w:hAnsi="Arial" w:cs="Arial"/>
        </w:rPr>
      </w:pPr>
      <w:r w:rsidRPr="00D151FD">
        <w:rPr>
          <w:rFonts w:ascii="Arial" w:hAnsi="Arial" w:cs="Arial"/>
        </w:rPr>
        <w:t xml:space="preserve">Bangar, S. P., Dunno, K., Dhull, S. B., Siroha, A. K., Changan, S., Maqsood, S., &amp; Rusu, A. V. (2022). Avocado seed discoveries: Chemical composition, biological properties, and industrial food applications. </w:t>
      </w:r>
      <w:r w:rsidRPr="00D151FD">
        <w:rPr>
          <w:rFonts w:ascii="Arial" w:hAnsi="Arial" w:cs="Arial"/>
          <w:i/>
          <w:iCs/>
        </w:rPr>
        <w:t>Food Chemistry: X, 16</w:t>
      </w:r>
      <w:r w:rsidRPr="00D151FD">
        <w:rPr>
          <w:rFonts w:ascii="Arial" w:hAnsi="Arial" w:cs="Arial"/>
        </w:rPr>
        <w:t>, 100507. https://doi.org/10.1016/j.fochx.2022.100507</w:t>
      </w:r>
    </w:p>
    <w:p w14:paraId="6A24418A" w14:textId="77777777" w:rsidR="001456C8" w:rsidRPr="00D151FD" w:rsidRDefault="001456C8" w:rsidP="00F42CA8">
      <w:pPr>
        <w:spacing w:after="160"/>
        <w:jc w:val="both"/>
        <w:rPr>
          <w:rFonts w:ascii="Arial" w:hAnsi="Arial" w:cs="Arial"/>
        </w:rPr>
      </w:pPr>
      <w:r w:rsidRPr="00D151FD">
        <w:rPr>
          <w:rFonts w:ascii="Arial" w:hAnsi="Arial" w:cs="Arial"/>
        </w:rPr>
        <w:t xml:space="preserve">Bassey, M., Johnny, I., Umoh, O., &amp; Douglas, F. (2020). Phytomedicinal potentials of species of Nephrolepis (Schott.). </w:t>
      </w:r>
      <w:r w:rsidRPr="00D151FD">
        <w:rPr>
          <w:rFonts w:ascii="Arial" w:hAnsi="Arial" w:cs="Arial"/>
          <w:i/>
          <w:iCs/>
        </w:rPr>
        <w:t>World Journal of Pharmaceutical Research, 9</w:t>
      </w:r>
      <w:r w:rsidRPr="00D151FD">
        <w:rPr>
          <w:rFonts w:ascii="Arial" w:hAnsi="Arial" w:cs="Arial"/>
        </w:rPr>
        <w:t>, 1400–1410. https://doi.org/10.20959/wjpr20204-17133</w:t>
      </w:r>
    </w:p>
    <w:p w14:paraId="0FBAB2A0" w14:textId="77777777" w:rsidR="001456C8" w:rsidRPr="00D151FD" w:rsidRDefault="001456C8" w:rsidP="00F42CA8">
      <w:pPr>
        <w:spacing w:after="160"/>
        <w:jc w:val="both"/>
        <w:rPr>
          <w:rFonts w:ascii="Arial" w:hAnsi="Arial" w:cs="Arial"/>
        </w:rPr>
      </w:pPr>
      <w:r w:rsidRPr="00D151FD">
        <w:rPr>
          <w:rFonts w:ascii="Arial" w:hAnsi="Arial" w:cs="Arial"/>
        </w:rPr>
        <w:t xml:space="preserve">Cengiz, T. B., &amp; Gorgun, E. (2019). Hemorrhoids: A range of treatments. </w:t>
      </w:r>
      <w:r w:rsidRPr="00D151FD">
        <w:rPr>
          <w:rFonts w:ascii="Arial" w:hAnsi="Arial" w:cs="Arial"/>
          <w:i/>
          <w:iCs/>
        </w:rPr>
        <w:t>Cleveland Clinic Journal of Medicine, 86</w:t>
      </w:r>
      <w:r w:rsidRPr="00D151FD">
        <w:rPr>
          <w:rFonts w:ascii="Arial" w:hAnsi="Arial" w:cs="Arial"/>
        </w:rPr>
        <w:t>(9), 612–620. https://doi.org/10.3949/ccjm.86a.18079</w:t>
      </w:r>
    </w:p>
    <w:p w14:paraId="0863544F" w14:textId="77777777" w:rsidR="001456C8" w:rsidRPr="00D151FD" w:rsidRDefault="001456C8" w:rsidP="00F42CA8">
      <w:pPr>
        <w:spacing w:after="160"/>
        <w:jc w:val="both"/>
        <w:rPr>
          <w:rFonts w:ascii="Arial" w:hAnsi="Arial" w:cs="Arial"/>
        </w:rPr>
      </w:pPr>
      <w:r w:rsidRPr="00D151FD">
        <w:rPr>
          <w:rFonts w:ascii="Arial" w:hAnsi="Arial" w:cs="Arial"/>
        </w:rPr>
        <w:t xml:space="preserve">Colombo, R., &amp; Papetti, A. (2019). Avocado (Persea americana Mill.) by-products and their impact: From bioactive compounds to biomass energy and sorbent material for removing contaminants: A review. </w:t>
      </w:r>
      <w:r w:rsidRPr="00D151FD">
        <w:rPr>
          <w:rFonts w:ascii="Arial" w:hAnsi="Arial" w:cs="Arial"/>
          <w:i/>
          <w:iCs/>
        </w:rPr>
        <w:t>International Journal of Food Science and Technology, 54</w:t>
      </w:r>
      <w:r w:rsidRPr="00D151FD">
        <w:rPr>
          <w:rFonts w:ascii="Arial" w:hAnsi="Arial" w:cs="Arial"/>
        </w:rPr>
        <w:t>(4), 943–951. https://doi.org/10.1111/ijfs.14143</w:t>
      </w:r>
    </w:p>
    <w:p w14:paraId="65A6064E" w14:textId="77777777" w:rsidR="001456C8" w:rsidRPr="00D151FD" w:rsidRDefault="001456C8" w:rsidP="00F42CA8">
      <w:pPr>
        <w:spacing w:after="160"/>
        <w:jc w:val="both"/>
        <w:rPr>
          <w:rFonts w:ascii="Arial" w:hAnsi="Arial" w:cs="Arial"/>
        </w:rPr>
      </w:pPr>
      <w:r w:rsidRPr="00D151FD">
        <w:rPr>
          <w:rFonts w:ascii="Arial" w:hAnsi="Arial" w:cs="Arial"/>
        </w:rPr>
        <w:t xml:space="preserve">Dhaswadikar, S. R., Parmar, K. M., Kamble, S. K., et al. (2022). Anti-hemorrhoidal potential of standardized leaf extract of </w:t>
      </w:r>
      <w:r w:rsidRPr="00D151FD">
        <w:rPr>
          <w:rFonts w:ascii="Arial" w:hAnsi="Arial" w:cs="Arial"/>
          <w:i/>
          <w:iCs/>
        </w:rPr>
        <w:t>Dolichandrone falcata</w:t>
      </w:r>
      <w:r w:rsidRPr="00D151FD">
        <w:rPr>
          <w:rFonts w:ascii="Arial" w:hAnsi="Arial" w:cs="Arial"/>
        </w:rPr>
        <w:t xml:space="preserve">. </w:t>
      </w:r>
      <w:r w:rsidRPr="00D151FD">
        <w:rPr>
          <w:rFonts w:ascii="Arial" w:hAnsi="Arial" w:cs="Arial"/>
          <w:i/>
          <w:iCs/>
        </w:rPr>
        <w:t>Phytomed Plus, 2</w:t>
      </w:r>
      <w:r w:rsidRPr="00D151FD">
        <w:rPr>
          <w:rFonts w:ascii="Arial" w:hAnsi="Arial" w:cs="Arial"/>
        </w:rPr>
        <w:t>, 100172. https://doi.org/10.1016/j.phyplu.2021.100172</w:t>
      </w:r>
    </w:p>
    <w:p w14:paraId="2D4CD39A" w14:textId="77777777" w:rsidR="001456C8" w:rsidRPr="00D151FD" w:rsidRDefault="001456C8" w:rsidP="00F42CA8">
      <w:pPr>
        <w:spacing w:after="160"/>
        <w:jc w:val="both"/>
        <w:rPr>
          <w:rFonts w:ascii="Arial" w:hAnsi="Arial" w:cs="Arial"/>
        </w:rPr>
      </w:pPr>
      <w:r w:rsidRPr="00D151FD">
        <w:rPr>
          <w:rFonts w:ascii="Arial" w:hAnsi="Arial" w:cs="Arial"/>
        </w:rPr>
        <w:t xml:space="preserve">Dias, M. C., Pinto, D. C. G. A., &amp; Silva, A. M. S. (2021). Plant flavonoids: Chemical characteristics and biological activity. </w:t>
      </w:r>
      <w:r w:rsidRPr="00D151FD">
        <w:rPr>
          <w:rFonts w:ascii="Arial" w:hAnsi="Arial" w:cs="Arial"/>
          <w:i/>
          <w:iCs/>
        </w:rPr>
        <w:t>Molecules, 26</w:t>
      </w:r>
      <w:r w:rsidRPr="00D151FD">
        <w:rPr>
          <w:rFonts w:ascii="Arial" w:hAnsi="Arial" w:cs="Arial"/>
        </w:rPr>
        <w:t>(17), 5377. https://doi.org/10.3390/molecules26175377</w:t>
      </w:r>
    </w:p>
    <w:p w14:paraId="775E78AF" w14:textId="77777777" w:rsidR="001456C8" w:rsidRPr="00D151FD" w:rsidRDefault="001456C8" w:rsidP="00F42CA8">
      <w:pPr>
        <w:spacing w:after="160"/>
        <w:jc w:val="both"/>
        <w:rPr>
          <w:rFonts w:ascii="Arial" w:hAnsi="Arial" w:cs="Arial"/>
        </w:rPr>
      </w:pPr>
      <w:r w:rsidRPr="00D151FD">
        <w:rPr>
          <w:rFonts w:ascii="Arial" w:hAnsi="Arial" w:cs="Arial"/>
        </w:rPr>
        <w:t xml:space="preserve">Esmaeilnia Shirvani, A., Pakdaman, K., Maleki, Z., Soraneh, S., Rezaei Chegini, F., Pakdaman, K., Vali, M., Nikbakht, H. A., Shojaie, L., &amp; Ebrahimi, P. (2026). Worldwide prevalence of haemorrhoids: A systematic review and meta-analysis. </w:t>
      </w:r>
      <w:r w:rsidRPr="00D151FD">
        <w:rPr>
          <w:rFonts w:ascii="Arial" w:hAnsi="Arial" w:cs="Arial"/>
          <w:i/>
          <w:iCs/>
        </w:rPr>
        <w:t>Annals of Medicine, 58</w:t>
      </w:r>
      <w:r w:rsidRPr="00D151FD">
        <w:rPr>
          <w:rFonts w:ascii="Arial" w:hAnsi="Arial" w:cs="Arial"/>
        </w:rPr>
        <w:t xml:space="preserve">(1), 2606433. </w:t>
      </w:r>
      <w:hyperlink r:id="rId39" w:tgtFrame="_new" w:history="1">
        <w:r w:rsidRPr="00D151FD">
          <w:rPr>
            <w:rStyle w:val="Hyperlink"/>
            <w:rFonts w:ascii="Arial" w:hAnsi="Arial" w:cs="Arial"/>
            <w:color w:val="auto"/>
          </w:rPr>
          <w:t>https://doi.org/10.1080/07853890.2025.2606433</w:t>
        </w:r>
      </w:hyperlink>
    </w:p>
    <w:p w14:paraId="7E48C52F" w14:textId="77777777" w:rsidR="001456C8" w:rsidRPr="00D151FD" w:rsidRDefault="001456C8" w:rsidP="00F42CA8">
      <w:pPr>
        <w:spacing w:after="160"/>
        <w:jc w:val="both"/>
        <w:rPr>
          <w:rFonts w:ascii="Arial" w:hAnsi="Arial" w:cs="Arial"/>
        </w:rPr>
      </w:pPr>
      <w:r w:rsidRPr="00D151FD">
        <w:rPr>
          <w:rFonts w:ascii="Arial" w:hAnsi="Arial" w:cs="Arial"/>
        </w:rPr>
        <w:t xml:space="preserve">Fagbohoun, L. (2014). </w:t>
      </w:r>
      <w:r w:rsidRPr="00D151FD">
        <w:rPr>
          <w:rFonts w:ascii="Arial" w:hAnsi="Arial" w:cs="Arial"/>
          <w:i/>
          <w:iCs/>
        </w:rPr>
        <w:t>Etude chimique de colorants naturels et matériaux résineux traditionnels au Bénin dans le domaine artisanal</w:t>
      </w:r>
      <w:r w:rsidRPr="00D151FD">
        <w:rPr>
          <w:rFonts w:ascii="Arial" w:hAnsi="Arial" w:cs="Arial"/>
        </w:rPr>
        <w:t xml:space="preserve"> (Doctoral dissertation, Université d’Abomey-Calavi).</w:t>
      </w:r>
    </w:p>
    <w:p w14:paraId="48C1A6C4" w14:textId="77777777" w:rsidR="001456C8" w:rsidRPr="00D151FD" w:rsidRDefault="001456C8" w:rsidP="00F42CA8">
      <w:pPr>
        <w:spacing w:after="160"/>
        <w:jc w:val="both"/>
        <w:rPr>
          <w:rFonts w:ascii="Arial" w:hAnsi="Arial" w:cs="Arial"/>
        </w:rPr>
      </w:pPr>
      <w:r w:rsidRPr="00D151FD">
        <w:rPr>
          <w:rFonts w:ascii="Arial" w:hAnsi="Arial" w:cs="Arial"/>
        </w:rPr>
        <w:t xml:space="preserve">Garg, S., Dixit, M., Malhotra, I., Singh, M., &amp; Singh, V. (2024). From manifestations to innovations: A deep dive into psoriasis, its clinical diversity, conventional treatments, and emerging therapeutic paradigms. </w:t>
      </w:r>
      <w:r w:rsidRPr="00D151FD">
        <w:rPr>
          <w:rFonts w:ascii="Arial" w:hAnsi="Arial" w:cs="Arial"/>
          <w:i/>
          <w:iCs/>
        </w:rPr>
        <w:t>International Immunopharmacology, 143</w:t>
      </w:r>
      <w:r w:rsidRPr="00D151FD">
        <w:rPr>
          <w:rFonts w:ascii="Arial" w:hAnsi="Arial" w:cs="Arial"/>
        </w:rPr>
        <w:t>(Part 3), 113508. https://doi.org/10.1016/j.intimp.2024.113508</w:t>
      </w:r>
    </w:p>
    <w:p w14:paraId="48278F6F" w14:textId="77777777" w:rsidR="001456C8" w:rsidRPr="00D151FD" w:rsidRDefault="001456C8" w:rsidP="00F42CA8">
      <w:pPr>
        <w:spacing w:after="160"/>
        <w:jc w:val="both"/>
        <w:rPr>
          <w:rFonts w:ascii="Arial" w:hAnsi="Arial" w:cs="Arial"/>
        </w:rPr>
      </w:pPr>
      <w:r w:rsidRPr="00D151FD">
        <w:rPr>
          <w:rFonts w:ascii="Arial" w:hAnsi="Arial" w:cs="Arial"/>
        </w:rPr>
        <w:t xml:space="preserve">Harborne, J. B. (1998). </w:t>
      </w:r>
      <w:r w:rsidRPr="00D151FD">
        <w:rPr>
          <w:rFonts w:ascii="Arial" w:hAnsi="Arial" w:cs="Arial"/>
          <w:i/>
          <w:iCs/>
        </w:rPr>
        <w:t>Textbook of phytochemical methods: A guide to modern techniques of plant analysis</w:t>
      </w:r>
      <w:r w:rsidRPr="00D151FD">
        <w:rPr>
          <w:rFonts w:ascii="Arial" w:hAnsi="Arial" w:cs="Arial"/>
        </w:rPr>
        <w:t xml:space="preserve"> (5th ed.). Chapman and Hall Ltd.</w:t>
      </w:r>
    </w:p>
    <w:p w14:paraId="30B6742F" w14:textId="77777777" w:rsidR="001456C8" w:rsidRPr="00D151FD" w:rsidRDefault="001456C8" w:rsidP="00F42CA8">
      <w:pPr>
        <w:spacing w:after="160"/>
        <w:jc w:val="both"/>
        <w:rPr>
          <w:rFonts w:ascii="Arial" w:hAnsi="Arial" w:cs="Arial"/>
        </w:rPr>
      </w:pPr>
      <w:r w:rsidRPr="00D151FD">
        <w:rPr>
          <w:rFonts w:ascii="Arial" w:hAnsi="Arial" w:cs="Arial"/>
        </w:rPr>
        <w:t xml:space="preserve">Heinrich, M., Appendino, G., Efferth, T., Fürst, R., Izzo, A. A., Kayser, O., et al. (2020). Best practice in research—Overcoming common challenges in phytopharmacological research. </w:t>
      </w:r>
      <w:r w:rsidRPr="00D151FD">
        <w:rPr>
          <w:rFonts w:ascii="Arial" w:hAnsi="Arial" w:cs="Arial"/>
          <w:i/>
          <w:iCs/>
        </w:rPr>
        <w:t>Journal of Ethnopharmacology, 246</w:t>
      </w:r>
      <w:r w:rsidRPr="00D151FD">
        <w:rPr>
          <w:rFonts w:ascii="Arial" w:hAnsi="Arial" w:cs="Arial"/>
        </w:rPr>
        <w:t>, 112230. https://doi.org/10.1016/j.jep.2019.112230</w:t>
      </w:r>
    </w:p>
    <w:p w14:paraId="62940743" w14:textId="77777777" w:rsidR="001456C8" w:rsidRPr="00D151FD" w:rsidRDefault="001456C8" w:rsidP="00F42CA8">
      <w:pPr>
        <w:spacing w:after="160"/>
        <w:jc w:val="both"/>
        <w:rPr>
          <w:rFonts w:ascii="Arial" w:hAnsi="Arial" w:cs="Arial"/>
        </w:rPr>
      </w:pPr>
      <w:r w:rsidRPr="00D151FD">
        <w:rPr>
          <w:rFonts w:ascii="Arial" w:hAnsi="Arial" w:cs="Arial"/>
        </w:rPr>
        <w:t xml:space="preserve">Houghton, D. J. P., &amp; Raman, A. (1998). </w:t>
      </w:r>
      <w:r w:rsidRPr="00D151FD">
        <w:rPr>
          <w:rFonts w:ascii="Arial" w:hAnsi="Arial" w:cs="Arial"/>
          <w:i/>
          <w:iCs/>
        </w:rPr>
        <w:t>Laboratory handbook for the fractionation of natural extracts</w:t>
      </w:r>
      <w:r w:rsidRPr="00D151FD">
        <w:rPr>
          <w:rFonts w:ascii="Arial" w:hAnsi="Arial" w:cs="Arial"/>
        </w:rPr>
        <w:t>. Extracts Science.</w:t>
      </w:r>
    </w:p>
    <w:p w14:paraId="63E78D86" w14:textId="77777777" w:rsidR="001456C8" w:rsidRPr="00D151FD" w:rsidRDefault="001456C8" w:rsidP="00F42CA8">
      <w:pPr>
        <w:spacing w:after="160"/>
        <w:jc w:val="both"/>
        <w:rPr>
          <w:rFonts w:ascii="Arial" w:hAnsi="Arial" w:cs="Arial"/>
        </w:rPr>
      </w:pPr>
      <w:r w:rsidRPr="00D151FD">
        <w:rPr>
          <w:rFonts w:ascii="Arial" w:hAnsi="Arial" w:cs="Arial"/>
        </w:rPr>
        <w:t xml:space="preserve">Jain, P. K., Parashar, A. K., &amp; Shrivastava, V. (2025). A review on exploring the health benefits and antioxidant properties of bioactive polyphenols. </w:t>
      </w:r>
      <w:r w:rsidRPr="00D151FD">
        <w:rPr>
          <w:rFonts w:ascii="Arial" w:hAnsi="Arial" w:cs="Arial"/>
          <w:i/>
          <w:iCs/>
        </w:rPr>
        <w:t>Discovery Food, 5</w:t>
      </w:r>
      <w:r w:rsidRPr="00D151FD">
        <w:rPr>
          <w:rFonts w:ascii="Arial" w:hAnsi="Arial" w:cs="Arial"/>
        </w:rPr>
        <w:t xml:space="preserve">, 367. </w:t>
      </w:r>
      <w:hyperlink r:id="rId40" w:tgtFrame="_new" w:history="1">
        <w:r w:rsidRPr="00D151FD">
          <w:rPr>
            <w:rStyle w:val="Hyperlink"/>
            <w:rFonts w:ascii="Arial" w:hAnsi="Arial" w:cs="Arial"/>
            <w:color w:val="auto"/>
          </w:rPr>
          <w:t>https://doi.org/10.1007/s44187-025-00637-7</w:t>
        </w:r>
      </w:hyperlink>
    </w:p>
    <w:p w14:paraId="452D3501" w14:textId="77777777" w:rsidR="001456C8" w:rsidRPr="00D151FD" w:rsidRDefault="001456C8" w:rsidP="00F42CA8">
      <w:pPr>
        <w:spacing w:after="160"/>
        <w:jc w:val="both"/>
        <w:rPr>
          <w:rFonts w:ascii="Arial" w:hAnsi="Arial" w:cs="Arial"/>
        </w:rPr>
      </w:pPr>
      <w:r w:rsidRPr="00D151FD">
        <w:rPr>
          <w:rFonts w:ascii="Arial" w:hAnsi="Arial" w:cs="Arial"/>
        </w:rPr>
        <w:t xml:space="preserve">Jiao, L. (2024). Social determinants of health, diet, and health outcome. </w:t>
      </w:r>
      <w:r w:rsidRPr="00D151FD">
        <w:rPr>
          <w:rFonts w:ascii="Arial" w:hAnsi="Arial" w:cs="Arial"/>
          <w:i/>
          <w:iCs/>
        </w:rPr>
        <w:t>Nutrients, 16</w:t>
      </w:r>
      <w:r w:rsidRPr="00D151FD">
        <w:rPr>
          <w:rFonts w:ascii="Arial" w:hAnsi="Arial" w:cs="Arial"/>
        </w:rPr>
        <w:t>(21), 3642. https://doi.org/10.3390/nu16213642</w:t>
      </w:r>
    </w:p>
    <w:p w14:paraId="725753B5" w14:textId="77777777" w:rsidR="001456C8" w:rsidRPr="00D151FD" w:rsidRDefault="001456C8" w:rsidP="00F42CA8">
      <w:pPr>
        <w:spacing w:after="160"/>
        <w:jc w:val="both"/>
        <w:rPr>
          <w:rFonts w:ascii="Arial" w:hAnsi="Arial" w:cs="Arial"/>
        </w:rPr>
      </w:pPr>
      <w:r w:rsidRPr="00D151FD">
        <w:rPr>
          <w:rFonts w:ascii="Arial" w:hAnsi="Arial" w:cs="Arial"/>
        </w:rPr>
        <w:lastRenderedPageBreak/>
        <w:t xml:space="preserve">Kang, S. I. (2025). Latest research trends on the management of hemorrhoids. </w:t>
      </w:r>
      <w:r w:rsidRPr="00D151FD">
        <w:rPr>
          <w:rFonts w:ascii="Arial" w:hAnsi="Arial" w:cs="Arial"/>
          <w:i/>
          <w:iCs/>
        </w:rPr>
        <w:t>Journal of Anus, Rectum and Colon, 9</w:t>
      </w:r>
      <w:r w:rsidRPr="00D151FD">
        <w:rPr>
          <w:rFonts w:ascii="Arial" w:hAnsi="Arial" w:cs="Arial"/>
        </w:rPr>
        <w:t>(2), 179–191. https://doi.org/10.23922/jarc.2024-090</w:t>
      </w:r>
    </w:p>
    <w:p w14:paraId="1B33399F" w14:textId="77777777" w:rsidR="001456C8" w:rsidRPr="00D151FD" w:rsidRDefault="001456C8" w:rsidP="00F42CA8">
      <w:pPr>
        <w:spacing w:after="160"/>
        <w:jc w:val="both"/>
        <w:rPr>
          <w:rFonts w:ascii="Arial" w:hAnsi="Arial" w:cs="Arial"/>
        </w:rPr>
      </w:pPr>
      <w:r w:rsidRPr="00D151FD">
        <w:rPr>
          <w:rFonts w:ascii="Arial" w:hAnsi="Arial" w:cs="Arial"/>
        </w:rPr>
        <w:t xml:space="preserve">Komlaga, G., Agyare, C., Dickson, R. A., Mensah, M. L. K., Annan, K., Loiseau, P. M., &amp; Champy, P. (2015). Medicinal plants and finished marketed herbal products used in the treatment of malaria in the Ashanti region, Ghana. </w:t>
      </w:r>
      <w:r w:rsidRPr="00D151FD">
        <w:rPr>
          <w:rFonts w:ascii="Arial" w:hAnsi="Arial" w:cs="Arial"/>
          <w:i/>
          <w:iCs/>
        </w:rPr>
        <w:t>Journal of Ethnopharmacology, 172</w:t>
      </w:r>
      <w:r w:rsidRPr="00D151FD">
        <w:rPr>
          <w:rFonts w:ascii="Arial" w:hAnsi="Arial" w:cs="Arial"/>
        </w:rPr>
        <w:t xml:space="preserve">, 333–346. </w:t>
      </w:r>
      <w:hyperlink r:id="rId41" w:tgtFrame="_new" w:history="1">
        <w:r w:rsidRPr="00D151FD">
          <w:rPr>
            <w:rStyle w:val="Hyperlink"/>
            <w:rFonts w:ascii="Arial" w:hAnsi="Arial" w:cs="Arial"/>
            <w:color w:val="auto"/>
          </w:rPr>
          <w:t>https://doi.org/10.1016/j.jep.2015.06.041</w:t>
        </w:r>
      </w:hyperlink>
    </w:p>
    <w:p w14:paraId="17364DC6" w14:textId="77777777" w:rsidR="001456C8" w:rsidRPr="00D151FD" w:rsidRDefault="001456C8" w:rsidP="00F42CA8">
      <w:pPr>
        <w:spacing w:after="160"/>
        <w:jc w:val="both"/>
        <w:rPr>
          <w:rFonts w:ascii="Arial" w:hAnsi="Arial" w:cs="Arial"/>
        </w:rPr>
      </w:pPr>
      <w:r w:rsidRPr="00D151FD">
        <w:rPr>
          <w:rFonts w:ascii="Arial" w:hAnsi="Arial" w:cs="Arial"/>
        </w:rPr>
        <w:t xml:space="preserve">Lavanya, P., Priyanga, G., &amp; Theagarajan, R. (2026). Avocado seeds (Persea americana). In A. K. Gupta (Ed.), </w:t>
      </w:r>
      <w:r w:rsidRPr="00D151FD">
        <w:rPr>
          <w:rFonts w:ascii="Arial" w:hAnsi="Arial" w:cs="Arial"/>
          <w:i/>
          <w:iCs/>
        </w:rPr>
        <w:t>Underutilized seeds</w:t>
      </w:r>
      <w:r w:rsidRPr="00D151FD">
        <w:rPr>
          <w:rFonts w:ascii="Arial" w:hAnsi="Arial" w:cs="Arial"/>
        </w:rPr>
        <w:t xml:space="preserve"> (pp. 1–15). Springer. </w:t>
      </w:r>
      <w:hyperlink r:id="rId42" w:tgtFrame="_new" w:history="1">
        <w:r w:rsidRPr="00D151FD">
          <w:rPr>
            <w:rStyle w:val="Hyperlink"/>
            <w:rFonts w:ascii="Arial" w:hAnsi="Arial" w:cs="Arial"/>
            <w:color w:val="auto"/>
          </w:rPr>
          <w:t>https://doi.org/10.1007/978-981-95-4802-6_3</w:t>
        </w:r>
      </w:hyperlink>
    </w:p>
    <w:p w14:paraId="19526393" w14:textId="77777777" w:rsidR="001456C8" w:rsidRPr="00D151FD" w:rsidRDefault="001456C8" w:rsidP="00F42CA8">
      <w:pPr>
        <w:spacing w:after="160"/>
        <w:jc w:val="both"/>
        <w:rPr>
          <w:rFonts w:ascii="Arial" w:hAnsi="Arial" w:cs="Arial"/>
        </w:rPr>
      </w:pPr>
      <w:r w:rsidRPr="00D151FD">
        <w:rPr>
          <w:rFonts w:ascii="Arial" w:hAnsi="Arial" w:cs="Arial"/>
        </w:rPr>
        <w:t xml:space="preserve">Martins, N., Barros, L., &amp; Ferreira, I. C. F. R. (2016). In vivo antioxidant activity of phenolic compounds: Facts and gaps. </w:t>
      </w:r>
      <w:r w:rsidRPr="00D151FD">
        <w:rPr>
          <w:rFonts w:ascii="Arial" w:hAnsi="Arial" w:cs="Arial"/>
          <w:i/>
          <w:iCs/>
        </w:rPr>
        <w:t>Trends in Food Science &amp; Technology, 48</w:t>
      </w:r>
      <w:r w:rsidRPr="00D151FD">
        <w:rPr>
          <w:rFonts w:ascii="Arial" w:hAnsi="Arial" w:cs="Arial"/>
        </w:rPr>
        <w:t xml:space="preserve">, 1–12. </w:t>
      </w:r>
      <w:hyperlink r:id="rId43" w:tgtFrame="_new" w:history="1">
        <w:r w:rsidRPr="00D151FD">
          <w:rPr>
            <w:rStyle w:val="Hyperlink"/>
            <w:rFonts w:ascii="Arial" w:hAnsi="Arial" w:cs="Arial"/>
            <w:color w:val="auto"/>
          </w:rPr>
          <w:t>https://doi.org/10.1016/j.tifs.2015.11.008</w:t>
        </w:r>
      </w:hyperlink>
    </w:p>
    <w:p w14:paraId="08C2AC30" w14:textId="77777777" w:rsidR="001456C8" w:rsidRPr="00D151FD" w:rsidRDefault="001456C8" w:rsidP="00F42CA8">
      <w:pPr>
        <w:spacing w:after="160"/>
        <w:jc w:val="both"/>
        <w:rPr>
          <w:rFonts w:ascii="Arial" w:hAnsi="Arial" w:cs="Arial"/>
        </w:rPr>
      </w:pPr>
      <w:r w:rsidRPr="00D151FD">
        <w:rPr>
          <w:rFonts w:ascii="Arial" w:hAnsi="Arial" w:cs="Arial"/>
        </w:rPr>
        <w:t xml:space="preserve">Melford, C. M. (2026). Evaluating the therapeutic effects of aqueous leaf extract of Nephrolepis biserrata on biochemical, haematological, physical, atherogenic and histopathological parameters in testosterone propionate-induced benign prostatic hyperplasia in male Wistar rats. </w:t>
      </w:r>
      <w:r w:rsidRPr="00D151FD">
        <w:rPr>
          <w:rFonts w:ascii="Arial" w:hAnsi="Arial" w:cs="Arial"/>
          <w:i/>
          <w:iCs/>
        </w:rPr>
        <w:t>Asian Journal of Research in Medical and Pharmaceutical Sciences.</w:t>
      </w:r>
      <w:r w:rsidRPr="00D151FD">
        <w:rPr>
          <w:rFonts w:ascii="Arial" w:hAnsi="Arial" w:cs="Arial"/>
        </w:rPr>
        <w:t xml:space="preserve"> https://doi.org/10.9734/AJRIMPS/2026/V15I1364</w:t>
      </w:r>
    </w:p>
    <w:p w14:paraId="2F54603D" w14:textId="77777777" w:rsidR="001456C8" w:rsidRPr="00D151FD" w:rsidRDefault="001456C8" w:rsidP="00F42CA8">
      <w:pPr>
        <w:spacing w:after="160"/>
        <w:jc w:val="both"/>
        <w:rPr>
          <w:rFonts w:ascii="Arial" w:hAnsi="Arial" w:cs="Arial"/>
        </w:rPr>
      </w:pPr>
      <w:r w:rsidRPr="00D151FD">
        <w:rPr>
          <w:rFonts w:ascii="Arial" w:hAnsi="Arial" w:cs="Arial"/>
        </w:rPr>
        <w:t xml:space="preserve">Miassi, Y. E., Dossa, F. K., Zannou, O., et al. (2022). Socio-cultural and economic factors affecting the choice of food diet in West Africa: A two stage Heckman approach. </w:t>
      </w:r>
      <w:r w:rsidRPr="00D151FD">
        <w:rPr>
          <w:rFonts w:ascii="Arial" w:hAnsi="Arial" w:cs="Arial"/>
          <w:i/>
          <w:iCs/>
        </w:rPr>
        <w:t>Discovery Food, 2</w:t>
      </w:r>
      <w:r w:rsidRPr="00D151FD">
        <w:rPr>
          <w:rFonts w:ascii="Arial" w:hAnsi="Arial" w:cs="Arial"/>
        </w:rPr>
        <w:t>, 16. https://doi.org/10.1007/s44187-022-00017-5</w:t>
      </w:r>
    </w:p>
    <w:p w14:paraId="52FCE3D8" w14:textId="77777777" w:rsidR="001456C8" w:rsidRPr="00D151FD" w:rsidRDefault="001456C8" w:rsidP="00F42CA8">
      <w:pPr>
        <w:spacing w:after="160"/>
        <w:jc w:val="both"/>
        <w:rPr>
          <w:rFonts w:ascii="Arial" w:hAnsi="Arial" w:cs="Arial"/>
        </w:rPr>
      </w:pPr>
      <w:r w:rsidRPr="00D151FD">
        <w:rPr>
          <w:rFonts w:ascii="Arial" w:hAnsi="Arial" w:cs="Arial"/>
        </w:rPr>
        <w:t xml:space="preserve">OECD. (2025). </w:t>
      </w:r>
      <w:r w:rsidRPr="00D151FD">
        <w:rPr>
          <w:rFonts w:ascii="Arial" w:hAnsi="Arial" w:cs="Arial"/>
          <w:i/>
          <w:iCs/>
        </w:rPr>
        <w:t>Test No. 407: Repeated dose 28-day oral toxicity study in rodents</w:t>
      </w:r>
      <w:r w:rsidRPr="00D151FD">
        <w:rPr>
          <w:rFonts w:ascii="Arial" w:hAnsi="Arial" w:cs="Arial"/>
        </w:rPr>
        <w:t>. OECD Guidelines for the Testing of Chemicals. Paris: OECD Publishing.</w:t>
      </w:r>
    </w:p>
    <w:p w14:paraId="4ABDAD96" w14:textId="77777777" w:rsidR="001456C8" w:rsidRPr="00D151FD" w:rsidRDefault="001456C8" w:rsidP="00F42CA8">
      <w:pPr>
        <w:spacing w:after="160"/>
        <w:jc w:val="both"/>
        <w:rPr>
          <w:rFonts w:ascii="Arial" w:hAnsi="Arial" w:cs="Arial"/>
        </w:rPr>
      </w:pPr>
      <w:r w:rsidRPr="00D151FD">
        <w:rPr>
          <w:rFonts w:ascii="Arial" w:hAnsi="Arial" w:cs="Arial"/>
        </w:rPr>
        <w:t xml:space="preserve">Oyawaluja, B. O., Oyawaluja, A. A., Akinyimika, D. E., Odukoya, O. A., &amp; Coker, H. A. (2024). Antioxidant profiling, phytochemical investigation and pharmacognostic evaluation of Nephrolepis biserrata (Sw.) Schott (Nephrolepidaceae). </w:t>
      </w:r>
      <w:r w:rsidRPr="00D151FD">
        <w:rPr>
          <w:rFonts w:ascii="Arial" w:hAnsi="Arial" w:cs="Arial"/>
          <w:i/>
          <w:iCs/>
        </w:rPr>
        <w:t>Tropical Journal of Phytochemistry and Pharmaceutical Sciences, 3</w:t>
      </w:r>
      <w:r w:rsidRPr="00D151FD">
        <w:rPr>
          <w:rFonts w:ascii="Arial" w:hAnsi="Arial" w:cs="Arial"/>
        </w:rPr>
        <w:t>(2), 208–215. https://doi.org/10.26538/tjpps/v3i2.8</w:t>
      </w:r>
    </w:p>
    <w:p w14:paraId="69B91E58" w14:textId="77777777" w:rsidR="001456C8" w:rsidRPr="00D151FD" w:rsidRDefault="001456C8" w:rsidP="00F42CA8">
      <w:pPr>
        <w:spacing w:after="160"/>
        <w:jc w:val="both"/>
        <w:rPr>
          <w:rFonts w:ascii="Arial" w:hAnsi="Arial" w:cs="Arial"/>
        </w:rPr>
      </w:pPr>
      <w:r w:rsidRPr="00D151FD">
        <w:rPr>
          <w:rFonts w:ascii="Arial" w:hAnsi="Arial" w:cs="Arial"/>
        </w:rPr>
        <w:t xml:space="preserve">Rauf, A., Ahmad, Z., Formanowicz, D., Ribaudo, G., &amp; Alomar, T. S. (2024). Editorial: Antioxidant potential of polyphenolic and flavonoid compounds. </w:t>
      </w:r>
      <w:r w:rsidRPr="00D151FD">
        <w:rPr>
          <w:rFonts w:ascii="Arial" w:hAnsi="Arial" w:cs="Arial"/>
          <w:i/>
          <w:iCs/>
        </w:rPr>
        <w:t>Frontiers in Chemistry, 12</w:t>
      </w:r>
      <w:r w:rsidRPr="00D151FD">
        <w:rPr>
          <w:rFonts w:ascii="Arial" w:hAnsi="Arial" w:cs="Arial"/>
        </w:rPr>
        <w:t xml:space="preserve">, 1463755. </w:t>
      </w:r>
      <w:hyperlink r:id="rId44" w:tgtFrame="_new" w:history="1">
        <w:r w:rsidRPr="00D151FD">
          <w:rPr>
            <w:rStyle w:val="Hyperlink"/>
            <w:rFonts w:ascii="Arial" w:hAnsi="Arial" w:cs="Arial"/>
            <w:color w:val="auto"/>
          </w:rPr>
          <w:t>https://doi.org/10.3389/fchem.2024.1463755</w:t>
        </w:r>
      </w:hyperlink>
    </w:p>
    <w:p w14:paraId="7DCE016A" w14:textId="77777777" w:rsidR="001456C8" w:rsidRPr="00D151FD" w:rsidRDefault="001456C8" w:rsidP="00F42CA8">
      <w:pPr>
        <w:spacing w:after="160"/>
        <w:jc w:val="both"/>
        <w:rPr>
          <w:rFonts w:ascii="Arial" w:hAnsi="Arial" w:cs="Arial"/>
        </w:rPr>
      </w:pPr>
      <w:r w:rsidRPr="00D151FD">
        <w:rPr>
          <w:rFonts w:ascii="Arial" w:hAnsi="Arial" w:cs="Arial"/>
        </w:rPr>
        <w:t xml:space="preserve">Sakirigui, A., Yayi Ladékan, E., Fagbohoun, L., Chabi Sika, K., Assogba, F., &amp; Gbenou, J. D. (2020). Comparative phytochemical analysis and antimicrobial activity of extracts of seed and leaf of Persea americana Mill. </w:t>
      </w:r>
      <w:r w:rsidRPr="00D151FD">
        <w:rPr>
          <w:rFonts w:ascii="Arial" w:hAnsi="Arial" w:cs="Arial"/>
          <w:i/>
          <w:iCs/>
        </w:rPr>
        <w:t>Academic Journal of Medicinal Plants, 8</w:t>
      </w:r>
      <w:r w:rsidRPr="00D151FD">
        <w:rPr>
          <w:rFonts w:ascii="Arial" w:hAnsi="Arial" w:cs="Arial"/>
        </w:rPr>
        <w:t>(5), 58–63. https://doi.org/10.15413/ajmp.2020.0114</w:t>
      </w:r>
    </w:p>
    <w:p w14:paraId="63192B7A" w14:textId="77777777" w:rsidR="001456C8" w:rsidRPr="00D151FD" w:rsidRDefault="001456C8" w:rsidP="00F42CA8">
      <w:pPr>
        <w:spacing w:after="160"/>
        <w:jc w:val="both"/>
        <w:rPr>
          <w:rFonts w:ascii="Arial" w:hAnsi="Arial" w:cs="Arial"/>
        </w:rPr>
      </w:pPr>
      <w:r w:rsidRPr="00D151FD">
        <w:rPr>
          <w:rFonts w:ascii="Arial" w:hAnsi="Arial" w:cs="Arial"/>
        </w:rPr>
        <w:t xml:space="preserve">Sakirigui, A., Yovo, F., Chabi Sika, K., Ezin, C., Yayi Ladékan, E., &amp; Gbénou, J. D. (2025). Influence of heat treatment on the extraction, phytochemical composition and antimicrobial activity of Syzygium aromaticum extracts alone and in combination. </w:t>
      </w:r>
      <w:r w:rsidRPr="00D151FD">
        <w:rPr>
          <w:rFonts w:ascii="Arial" w:hAnsi="Arial" w:cs="Arial"/>
          <w:i/>
          <w:iCs/>
        </w:rPr>
        <w:t>IOSR Journal of Applied Chemistry, 18</w:t>
      </w:r>
      <w:r w:rsidRPr="00D151FD">
        <w:rPr>
          <w:rFonts w:ascii="Arial" w:hAnsi="Arial" w:cs="Arial"/>
        </w:rPr>
        <w:t>(5), 01–07. http://dx.doi.org/10.9790/5736-1805010107</w:t>
      </w:r>
    </w:p>
    <w:p w14:paraId="57A5DDC8" w14:textId="77777777" w:rsidR="001456C8" w:rsidRPr="00D151FD" w:rsidRDefault="001456C8" w:rsidP="00F42CA8">
      <w:pPr>
        <w:spacing w:after="160"/>
        <w:jc w:val="both"/>
        <w:rPr>
          <w:rFonts w:ascii="Arial" w:hAnsi="Arial" w:cs="Arial"/>
        </w:rPr>
      </w:pPr>
      <w:r w:rsidRPr="00D151FD">
        <w:rPr>
          <w:rFonts w:ascii="Arial" w:hAnsi="Arial" w:cs="Arial"/>
        </w:rPr>
        <w:t>Shah, M. D., Gnanaraj, C., Haque, A. T., &amp; Iqbal, M. (2015). Antioxidative and chemopreventive effects of Nephrolepis biserrata against carbon tetrachloride (CCl</w:t>
      </w:r>
      <w:r w:rsidRPr="00D151FD">
        <w:rPr>
          <w:rFonts w:ascii="Cambria Math" w:hAnsi="Cambria Math" w:cs="Cambria Math"/>
        </w:rPr>
        <w:t>₄</w:t>
      </w:r>
      <w:r w:rsidRPr="00D151FD">
        <w:rPr>
          <w:rFonts w:ascii="Arial" w:hAnsi="Arial" w:cs="Arial"/>
        </w:rPr>
        <w:t xml:space="preserve">)-induced oxidative stress and hepatic dysfunction in rats. </w:t>
      </w:r>
      <w:r w:rsidRPr="00D151FD">
        <w:rPr>
          <w:rFonts w:ascii="Arial" w:hAnsi="Arial" w:cs="Arial"/>
          <w:i/>
          <w:iCs/>
        </w:rPr>
        <w:t>Pharmaceutical Biology, 53</w:t>
      </w:r>
      <w:r w:rsidRPr="00D151FD">
        <w:rPr>
          <w:rFonts w:ascii="Arial" w:hAnsi="Arial" w:cs="Arial"/>
        </w:rPr>
        <w:t>(1), 31–39. https://doi.org/10.3109/13880209.2014.909502</w:t>
      </w:r>
    </w:p>
    <w:p w14:paraId="113A222B" w14:textId="77777777" w:rsidR="001456C8" w:rsidRPr="00D151FD" w:rsidRDefault="001456C8" w:rsidP="00F42CA8">
      <w:pPr>
        <w:spacing w:after="160"/>
        <w:jc w:val="both"/>
        <w:rPr>
          <w:rFonts w:ascii="Arial" w:hAnsi="Arial" w:cs="Arial"/>
        </w:rPr>
      </w:pPr>
      <w:r w:rsidRPr="00D151FD">
        <w:rPr>
          <w:rFonts w:ascii="Arial" w:hAnsi="Arial" w:cs="Arial"/>
        </w:rPr>
        <w:t xml:space="preserve">Sheikh, P., Régnier, C., Goron, F., &amp; Salmat, G. (2020). The prevalence, characteristics and treatment of hemorrhoidal disease: Results of an international web-based survey. </w:t>
      </w:r>
      <w:r w:rsidRPr="00D151FD">
        <w:rPr>
          <w:rFonts w:ascii="Arial" w:hAnsi="Arial" w:cs="Arial"/>
          <w:i/>
          <w:iCs/>
        </w:rPr>
        <w:t>Journal of Comparative Effectiveness Research, 9</w:t>
      </w:r>
      <w:r w:rsidRPr="00D151FD">
        <w:rPr>
          <w:rFonts w:ascii="Arial" w:hAnsi="Arial" w:cs="Arial"/>
        </w:rPr>
        <w:t xml:space="preserve">(17), 1219–1232. </w:t>
      </w:r>
      <w:hyperlink r:id="rId45" w:tgtFrame="_new" w:history="1">
        <w:r w:rsidRPr="00D151FD">
          <w:rPr>
            <w:rStyle w:val="Hyperlink"/>
            <w:rFonts w:ascii="Arial" w:hAnsi="Arial" w:cs="Arial"/>
            <w:color w:val="auto"/>
          </w:rPr>
          <w:t>https://doi.org/10.2217/cer-2020-0159</w:t>
        </w:r>
      </w:hyperlink>
    </w:p>
    <w:p w14:paraId="7E3D7D4C" w14:textId="77777777" w:rsidR="001456C8" w:rsidRPr="00D151FD" w:rsidRDefault="001456C8" w:rsidP="00F42CA8">
      <w:pPr>
        <w:spacing w:after="160"/>
        <w:jc w:val="both"/>
        <w:rPr>
          <w:rFonts w:ascii="Arial" w:hAnsi="Arial" w:cs="Arial"/>
        </w:rPr>
      </w:pPr>
      <w:r w:rsidRPr="00D151FD">
        <w:rPr>
          <w:rFonts w:ascii="Arial" w:hAnsi="Arial" w:cs="Arial"/>
        </w:rPr>
        <w:t xml:space="preserve">Shen, N., Wang, T., Gan, Q., Liu, S., Wang, L., &amp; Jin, B. (2022). Plant flavonoids: Classification, distribution, biosynthesis, and antioxidant activity. </w:t>
      </w:r>
      <w:r w:rsidRPr="00D151FD">
        <w:rPr>
          <w:rFonts w:ascii="Arial" w:hAnsi="Arial" w:cs="Arial"/>
          <w:i/>
          <w:iCs/>
        </w:rPr>
        <w:t>Food Chemistry, 383</w:t>
      </w:r>
      <w:r w:rsidRPr="00D151FD">
        <w:rPr>
          <w:rFonts w:ascii="Arial" w:hAnsi="Arial" w:cs="Arial"/>
        </w:rPr>
        <w:t>, 132531. https://doi.org/10.1016/j.foodchem.2022.132531</w:t>
      </w:r>
    </w:p>
    <w:p w14:paraId="17FCB6DC" w14:textId="77777777" w:rsidR="001456C8" w:rsidRPr="00D151FD" w:rsidRDefault="001456C8" w:rsidP="00F42CA8">
      <w:pPr>
        <w:spacing w:after="160"/>
        <w:jc w:val="both"/>
        <w:rPr>
          <w:rFonts w:ascii="Arial" w:hAnsi="Arial" w:cs="Arial"/>
        </w:rPr>
      </w:pPr>
      <w:r w:rsidRPr="00D151FD">
        <w:rPr>
          <w:rFonts w:ascii="Arial" w:hAnsi="Arial" w:cs="Arial"/>
        </w:rPr>
        <w:t xml:space="preserve">Sulistiarini, R., Puranti, A., &amp; Prabowo, W. C. (2023). Phytochemicals and anti-hemorrhoidal activities of Tapak Liman (Elephantopus Scaber) leaves. </w:t>
      </w:r>
      <w:r w:rsidRPr="00D151FD">
        <w:rPr>
          <w:rFonts w:ascii="Arial" w:hAnsi="Arial" w:cs="Arial"/>
          <w:i/>
          <w:iCs/>
        </w:rPr>
        <w:t>JABET, 6</w:t>
      </w:r>
      <w:r w:rsidRPr="00D151FD">
        <w:rPr>
          <w:rFonts w:ascii="Arial" w:hAnsi="Arial" w:cs="Arial"/>
        </w:rPr>
        <w:t>, 436. https://doi.org/10.5455/jabet.2023.d139</w:t>
      </w:r>
    </w:p>
    <w:p w14:paraId="54FFDF47" w14:textId="77777777" w:rsidR="001456C8" w:rsidRPr="00D151FD" w:rsidRDefault="001456C8" w:rsidP="00F42CA8">
      <w:pPr>
        <w:spacing w:after="160"/>
        <w:jc w:val="both"/>
        <w:rPr>
          <w:rFonts w:ascii="Arial" w:hAnsi="Arial" w:cs="Arial"/>
        </w:rPr>
      </w:pPr>
      <w:r w:rsidRPr="00D151FD">
        <w:rPr>
          <w:rFonts w:ascii="Arial" w:hAnsi="Arial" w:cs="Arial"/>
        </w:rPr>
        <w:t xml:space="preserve">Tijjani, H., Zangoma, M. H., Mohammed, Z. S., Obidola, S. M., Egbuna, C., &amp; Abdulai, S. I. (2020). Polyphenols: Classifications, biosynthesis and bioactivities. In C. Egbuna &amp; G. Dable Tupas (Eds.), </w:t>
      </w:r>
      <w:r w:rsidRPr="00D151FD">
        <w:rPr>
          <w:rFonts w:ascii="Arial" w:hAnsi="Arial" w:cs="Arial"/>
          <w:i/>
          <w:iCs/>
        </w:rPr>
        <w:t>Functional foods and nutraceuticals</w:t>
      </w:r>
      <w:r w:rsidRPr="00D151FD">
        <w:rPr>
          <w:rFonts w:ascii="Arial" w:hAnsi="Arial" w:cs="Arial"/>
        </w:rPr>
        <w:t xml:space="preserve"> (pp. 1–19). Springer. https://doi.org/10.1007/978-3-030-42319-3_19</w:t>
      </w:r>
    </w:p>
    <w:p w14:paraId="772579F6" w14:textId="77777777" w:rsidR="001456C8" w:rsidRPr="00D151FD" w:rsidRDefault="001456C8" w:rsidP="00F42CA8">
      <w:pPr>
        <w:spacing w:after="160"/>
        <w:jc w:val="both"/>
        <w:rPr>
          <w:rFonts w:ascii="Arial" w:hAnsi="Arial" w:cs="Arial"/>
        </w:rPr>
      </w:pPr>
      <w:r w:rsidRPr="00D151FD">
        <w:rPr>
          <w:rFonts w:ascii="Arial" w:hAnsi="Arial" w:cs="Arial"/>
        </w:rPr>
        <w:t xml:space="preserve">Vuolo, M. M., Lima, V. S., &amp; Maróstica Junior, M. R. (2019). Phenolic compounds: Structure, classification, and antioxidant power. In M. R. S. Campos (Ed.), </w:t>
      </w:r>
      <w:r w:rsidRPr="00D151FD">
        <w:rPr>
          <w:rFonts w:ascii="Arial" w:hAnsi="Arial" w:cs="Arial"/>
          <w:i/>
          <w:iCs/>
        </w:rPr>
        <w:t>Bioactive compounds</w:t>
      </w:r>
      <w:r w:rsidRPr="00D151FD">
        <w:rPr>
          <w:rFonts w:ascii="Arial" w:hAnsi="Arial" w:cs="Arial"/>
        </w:rPr>
        <w:t xml:space="preserve"> (pp. 33–50). Woodhead Publishing. https://doi.org/10.1016/B978-0-12-814774-0.00002-5</w:t>
      </w:r>
    </w:p>
    <w:p w14:paraId="01BDFD3F" w14:textId="5C3117EB" w:rsidR="00B01FCD" w:rsidRDefault="001456C8" w:rsidP="00F42CA8">
      <w:pPr>
        <w:spacing w:after="160"/>
        <w:jc w:val="both"/>
        <w:rPr>
          <w:rStyle w:val="Hyperlink"/>
          <w:rFonts w:ascii="Arial" w:hAnsi="Arial" w:cs="Arial"/>
          <w:color w:val="auto"/>
        </w:rPr>
      </w:pPr>
      <w:r w:rsidRPr="00D151FD">
        <w:rPr>
          <w:rFonts w:ascii="Arial" w:hAnsi="Arial" w:cs="Arial"/>
        </w:rPr>
        <w:t xml:space="preserve">Zhang, H., &amp; Tsao, R. (2016). Dietary polyphenols, oxidative stress and antioxidant and anti-inflammatory effects. </w:t>
      </w:r>
      <w:r w:rsidRPr="00D151FD">
        <w:rPr>
          <w:rFonts w:ascii="Arial" w:hAnsi="Arial" w:cs="Arial"/>
          <w:i/>
          <w:iCs/>
        </w:rPr>
        <w:t>Current Opinion in Food Science, 8</w:t>
      </w:r>
      <w:r w:rsidRPr="00D151FD">
        <w:rPr>
          <w:rFonts w:ascii="Arial" w:hAnsi="Arial" w:cs="Arial"/>
        </w:rPr>
        <w:t xml:space="preserve">, 33–42. </w:t>
      </w:r>
      <w:hyperlink r:id="rId46" w:tgtFrame="_new" w:history="1">
        <w:r w:rsidRPr="00D151FD">
          <w:rPr>
            <w:rStyle w:val="Hyperlink"/>
            <w:rFonts w:ascii="Arial" w:hAnsi="Arial" w:cs="Arial"/>
            <w:color w:val="auto"/>
          </w:rPr>
          <w:t>https://doi.org/10.1016/j.cofs.2016.02.002</w:t>
        </w:r>
      </w:hyperlink>
    </w:p>
    <w:p w14:paraId="261DDEB0" w14:textId="77777777" w:rsidR="003C62CF" w:rsidRPr="003C62CF" w:rsidRDefault="003C62CF" w:rsidP="003C62CF">
      <w:pPr>
        <w:spacing w:after="160"/>
        <w:jc w:val="both"/>
        <w:rPr>
          <w:rFonts w:ascii="Arial" w:hAnsi="Arial" w:cs="Arial"/>
        </w:rPr>
      </w:pPr>
      <w:proofErr w:type="spellStart"/>
      <w:r w:rsidRPr="003C62CF">
        <w:rPr>
          <w:rFonts w:ascii="Arial" w:hAnsi="Arial" w:cs="Arial"/>
        </w:rPr>
        <w:t>Fagbohoun</w:t>
      </w:r>
      <w:proofErr w:type="spellEnd"/>
      <w:r w:rsidRPr="003C62CF">
        <w:rPr>
          <w:rFonts w:ascii="Arial" w:hAnsi="Arial" w:cs="Arial"/>
        </w:rPr>
        <w:t xml:space="preserve">, L., </w:t>
      </w:r>
      <w:proofErr w:type="spellStart"/>
      <w:r w:rsidRPr="003C62CF">
        <w:rPr>
          <w:rFonts w:ascii="Arial" w:hAnsi="Arial" w:cs="Arial"/>
        </w:rPr>
        <w:t>Sakirigui</w:t>
      </w:r>
      <w:proofErr w:type="spellEnd"/>
      <w:r w:rsidRPr="003C62CF">
        <w:rPr>
          <w:rFonts w:ascii="Arial" w:hAnsi="Arial" w:cs="Arial"/>
        </w:rPr>
        <w:t xml:space="preserve">, A., </w:t>
      </w:r>
      <w:proofErr w:type="spellStart"/>
      <w:r w:rsidRPr="003C62CF">
        <w:rPr>
          <w:rFonts w:ascii="Arial" w:hAnsi="Arial" w:cs="Arial"/>
        </w:rPr>
        <w:t>Adjatin</w:t>
      </w:r>
      <w:proofErr w:type="spellEnd"/>
      <w:r w:rsidRPr="003C62CF">
        <w:rPr>
          <w:rFonts w:ascii="Arial" w:hAnsi="Arial" w:cs="Arial"/>
        </w:rPr>
        <w:t xml:space="preserve">, A. R., </w:t>
      </w:r>
      <w:proofErr w:type="spellStart"/>
      <w:r w:rsidRPr="003C62CF">
        <w:rPr>
          <w:rFonts w:ascii="Arial" w:hAnsi="Arial" w:cs="Arial"/>
        </w:rPr>
        <w:t>Agbodjento</w:t>
      </w:r>
      <w:proofErr w:type="spellEnd"/>
      <w:r w:rsidRPr="003C62CF">
        <w:rPr>
          <w:rFonts w:ascii="Arial" w:hAnsi="Arial" w:cs="Arial"/>
        </w:rPr>
        <w:t xml:space="preserve">, E., </w:t>
      </w:r>
      <w:proofErr w:type="spellStart"/>
      <w:r w:rsidRPr="003C62CF">
        <w:rPr>
          <w:rFonts w:ascii="Arial" w:hAnsi="Arial" w:cs="Arial"/>
        </w:rPr>
        <w:t>Yovo</w:t>
      </w:r>
      <w:proofErr w:type="spellEnd"/>
      <w:r w:rsidRPr="003C62CF">
        <w:rPr>
          <w:rFonts w:ascii="Arial" w:hAnsi="Arial" w:cs="Arial"/>
        </w:rPr>
        <w:t xml:space="preserve">, F., &amp; </w:t>
      </w:r>
      <w:proofErr w:type="spellStart"/>
      <w:r w:rsidRPr="003C62CF">
        <w:rPr>
          <w:rFonts w:ascii="Arial" w:hAnsi="Arial" w:cs="Arial"/>
        </w:rPr>
        <w:t>Saloufou</w:t>
      </w:r>
      <w:proofErr w:type="spellEnd"/>
      <w:r w:rsidRPr="003C62CF">
        <w:rPr>
          <w:rFonts w:ascii="Arial" w:hAnsi="Arial" w:cs="Arial"/>
        </w:rPr>
        <w:t>, K. I. (2026).</w:t>
      </w:r>
    </w:p>
    <w:p w14:paraId="62F4DB5B" w14:textId="77777777" w:rsidR="003C62CF" w:rsidRPr="003C62CF" w:rsidRDefault="003C62CF" w:rsidP="003C62CF">
      <w:pPr>
        <w:spacing w:after="160"/>
        <w:jc w:val="both"/>
        <w:rPr>
          <w:rFonts w:ascii="Arial" w:hAnsi="Arial" w:cs="Arial"/>
        </w:rPr>
      </w:pPr>
      <w:r w:rsidRPr="003C62CF">
        <w:rPr>
          <w:rFonts w:ascii="Arial" w:hAnsi="Arial" w:cs="Arial"/>
        </w:rPr>
        <w:lastRenderedPageBreak/>
        <w:t xml:space="preserve">Anti-hemorrhoidal activity of hydroethanolic extract of </w:t>
      </w:r>
      <w:proofErr w:type="spellStart"/>
      <w:r w:rsidRPr="003C62CF">
        <w:rPr>
          <w:rFonts w:ascii="Arial" w:hAnsi="Arial" w:cs="Arial"/>
        </w:rPr>
        <w:t>Nephrolepis</w:t>
      </w:r>
      <w:proofErr w:type="spellEnd"/>
      <w:r w:rsidRPr="003C62CF">
        <w:rPr>
          <w:rFonts w:ascii="Arial" w:hAnsi="Arial" w:cs="Arial"/>
        </w:rPr>
        <w:t xml:space="preserve"> </w:t>
      </w:r>
      <w:proofErr w:type="spellStart"/>
      <w:r w:rsidRPr="003C62CF">
        <w:rPr>
          <w:rFonts w:ascii="Arial" w:hAnsi="Arial" w:cs="Arial"/>
        </w:rPr>
        <w:t>biserrata</w:t>
      </w:r>
      <w:proofErr w:type="spellEnd"/>
      <w:r w:rsidRPr="003C62CF">
        <w:rPr>
          <w:rFonts w:ascii="Arial" w:hAnsi="Arial" w:cs="Arial"/>
        </w:rPr>
        <w:t xml:space="preserve"> with phytochemical characterization, antioxidant potential and in vivo evaluation in a rat model.</w:t>
      </w:r>
    </w:p>
    <w:p w14:paraId="626F7653" w14:textId="44219ED9" w:rsidR="003C62CF" w:rsidRPr="00103AC6" w:rsidRDefault="003C62CF" w:rsidP="003C62CF">
      <w:pPr>
        <w:spacing w:after="160"/>
        <w:jc w:val="both"/>
        <w:rPr>
          <w:rFonts w:ascii="Arial" w:hAnsi="Arial" w:cs="Arial"/>
        </w:rPr>
      </w:pPr>
      <w:r w:rsidRPr="003C62CF">
        <w:rPr>
          <w:rFonts w:ascii="Arial" w:hAnsi="Arial" w:cs="Arial"/>
        </w:rPr>
        <w:t>World Journal of Pharmacy and Pharmaceutical Sciences, 15(4), 1307–1325.</w:t>
      </w:r>
      <w:r w:rsidR="001C6386">
        <w:rPr>
          <w:rFonts w:ascii="Arial" w:hAnsi="Arial" w:cs="Arial"/>
        </w:rPr>
        <w:t xml:space="preserve"> </w:t>
      </w:r>
      <w:hyperlink r:id="rId47" w:history="1">
        <w:r w:rsidR="001C6386" w:rsidRPr="00E944D2">
          <w:rPr>
            <w:rStyle w:val="Hyperlink"/>
            <w:rFonts w:ascii="Arial" w:hAnsi="Arial" w:cs="Arial"/>
          </w:rPr>
          <w:t>https://www.wjpps.com/Wjpps_controller/abstract_id/25022</w:t>
        </w:r>
      </w:hyperlink>
      <w:r w:rsidR="001C6386">
        <w:rPr>
          <w:rFonts w:ascii="Arial" w:hAnsi="Arial" w:cs="Arial"/>
        </w:rPr>
        <w:t xml:space="preserve"> </w:t>
      </w:r>
      <w:bookmarkStart w:id="0" w:name="_GoBack"/>
      <w:bookmarkEnd w:id="0"/>
    </w:p>
    <w:sectPr w:rsidR="003C62CF" w:rsidRPr="00103AC6" w:rsidSect="00A251F5">
      <w:headerReference w:type="even" r:id="rId48"/>
      <w:headerReference w:type="default" r:id="rId49"/>
      <w:footerReference w:type="default" r:id="rId50"/>
      <w:headerReference w:type="first" r:id="rId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19CED" w14:textId="77777777" w:rsidR="00C400E8" w:rsidRDefault="00C400E8" w:rsidP="00C37E61">
      <w:r>
        <w:separator/>
      </w:r>
    </w:p>
  </w:endnote>
  <w:endnote w:type="continuationSeparator" w:id="0">
    <w:p w14:paraId="6555E44E" w14:textId="77777777" w:rsidR="00C400E8" w:rsidRDefault="00C400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77D7A" w14:textId="77777777" w:rsidR="00A251F5" w:rsidRDefault="00A25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54430" w14:textId="05DD5484" w:rsidR="00C37E61" w:rsidRPr="003D46B7" w:rsidRDefault="00C37E61" w:rsidP="003D4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B1A8" w14:textId="77777777" w:rsidR="009E048A" w:rsidRDefault="009E048A">
    <w:pPr>
      <w:pStyle w:val="Footer"/>
      <w:rPr>
        <w:rFonts w:ascii="Arial" w:hAnsi="Arial" w:cs="Arial"/>
        <w:sz w:val="16"/>
      </w:rPr>
    </w:pPr>
  </w:p>
  <w:p w14:paraId="083D4AE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26E7334" w14:textId="77777777" w:rsidR="009E048A" w:rsidRDefault="009E048A">
    <w:pPr>
      <w:pStyle w:val="Footer"/>
      <w:rPr>
        <w:rFonts w:ascii="Arial" w:hAnsi="Arial" w:cs="Arial"/>
        <w:sz w:val="16"/>
      </w:rPr>
    </w:pPr>
  </w:p>
  <w:p w14:paraId="5246671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F8C7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1CCD9" w14:textId="77777777" w:rsidR="00C400E8" w:rsidRDefault="00C400E8" w:rsidP="00C37E61">
      <w:r>
        <w:separator/>
      </w:r>
    </w:p>
  </w:footnote>
  <w:footnote w:type="continuationSeparator" w:id="0">
    <w:p w14:paraId="2D09954A" w14:textId="77777777" w:rsidR="00C400E8" w:rsidRDefault="00C400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8CF1A" w14:textId="3ED39A85" w:rsidR="00A251F5" w:rsidRDefault="00C400E8">
    <w:pPr>
      <w:pStyle w:val="Header"/>
    </w:pPr>
    <w:r>
      <w:rPr>
        <w:noProof/>
      </w:rPr>
      <w:pict w14:anchorId="2F0DC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A045B" w14:textId="49EB7CAF" w:rsidR="00A251F5" w:rsidRDefault="00C400E8">
    <w:pPr>
      <w:pStyle w:val="Header"/>
    </w:pPr>
    <w:r>
      <w:rPr>
        <w:noProof/>
      </w:rPr>
      <w:pict w14:anchorId="7BA37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70511" w14:textId="2CAA88B2" w:rsidR="00296529" w:rsidRPr="00296529" w:rsidRDefault="00C400E8" w:rsidP="00296529">
    <w:pPr>
      <w:ind w:left="2160"/>
      <w:jc w:val="center"/>
      <w:rPr>
        <w:rFonts w:ascii="Times New Roman" w:eastAsia="Calibri" w:hAnsi="Times New Roman"/>
        <w:i/>
        <w:sz w:val="18"/>
        <w:szCs w:val="22"/>
      </w:rPr>
    </w:pPr>
    <w:r>
      <w:rPr>
        <w:noProof/>
      </w:rPr>
      <w:pict w14:anchorId="55760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3A323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A56E6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893A0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8361B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47FD5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CCF19B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47FF0" w14:textId="130F6D72" w:rsidR="00A251F5" w:rsidRDefault="00C400E8">
    <w:pPr>
      <w:pStyle w:val="Header"/>
    </w:pPr>
    <w:r>
      <w:rPr>
        <w:noProof/>
      </w:rPr>
      <w:pict w14:anchorId="34EA1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161F7" w14:textId="57CADF9A" w:rsidR="00A251F5" w:rsidRDefault="00C400E8">
    <w:pPr>
      <w:pStyle w:val="Header"/>
    </w:pPr>
    <w:r>
      <w:rPr>
        <w:noProof/>
      </w:rPr>
      <w:pict w14:anchorId="48D61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B6D5A" w14:textId="46F326EF" w:rsidR="00A251F5" w:rsidRDefault="00C400E8">
    <w:pPr>
      <w:pStyle w:val="Header"/>
    </w:pPr>
    <w:r>
      <w:rPr>
        <w:noProof/>
      </w:rPr>
      <w:pict w14:anchorId="0C557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8D39DC"/>
    <w:multiLevelType w:val="hybridMultilevel"/>
    <w:tmpl w:val="934C31B2"/>
    <w:lvl w:ilvl="0" w:tplc="39D2BE22">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3NDUwsjAzMrIwMDNS0lEKTi0uzszPAykwrAUA0yFzQSwAAAA="/>
  </w:docVars>
  <w:rsids>
    <w:rsidRoot w:val="00AA6219"/>
    <w:rsid w:val="00000F8F"/>
    <w:rsid w:val="00030174"/>
    <w:rsid w:val="0004579C"/>
    <w:rsid w:val="00067AA4"/>
    <w:rsid w:val="0007427B"/>
    <w:rsid w:val="00093FB1"/>
    <w:rsid w:val="000A26DC"/>
    <w:rsid w:val="000A47FA"/>
    <w:rsid w:val="000A65D3"/>
    <w:rsid w:val="000B1E33"/>
    <w:rsid w:val="000C241A"/>
    <w:rsid w:val="000D689F"/>
    <w:rsid w:val="000E7B7B"/>
    <w:rsid w:val="000E7D62"/>
    <w:rsid w:val="00103357"/>
    <w:rsid w:val="00103AC6"/>
    <w:rsid w:val="00123C9F"/>
    <w:rsid w:val="00126190"/>
    <w:rsid w:val="00130F17"/>
    <w:rsid w:val="001320BF"/>
    <w:rsid w:val="0014506D"/>
    <w:rsid w:val="001456C8"/>
    <w:rsid w:val="001540D7"/>
    <w:rsid w:val="0015612B"/>
    <w:rsid w:val="001576A5"/>
    <w:rsid w:val="00163BC4"/>
    <w:rsid w:val="00180A10"/>
    <w:rsid w:val="00182F9F"/>
    <w:rsid w:val="00191062"/>
    <w:rsid w:val="00191A70"/>
    <w:rsid w:val="00192B72"/>
    <w:rsid w:val="001A29D8"/>
    <w:rsid w:val="001A5CAA"/>
    <w:rsid w:val="001B0427"/>
    <w:rsid w:val="001C6386"/>
    <w:rsid w:val="001D3A51"/>
    <w:rsid w:val="001E10D2"/>
    <w:rsid w:val="001E25B4"/>
    <w:rsid w:val="001E44FE"/>
    <w:rsid w:val="001E7B47"/>
    <w:rsid w:val="00200595"/>
    <w:rsid w:val="00204835"/>
    <w:rsid w:val="00231920"/>
    <w:rsid w:val="0023195C"/>
    <w:rsid w:val="00231F85"/>
    <w:rsid w:val="0024282C"/>
    <w:rsid w:val="002460DC"/>
    <w:rsid w:val="00250985"/>
    <w:rsid w:val="002556F6"/>
    <w:rsid w:val="00271C4B"/>
    <w:rsid w:val="00283105"/>
    <w:rsid w:val="00284C4C"/>
    <w:rsid w:val="00287E68"/>
    <w:rsid w:val="00296529"/>
    <w:rsid w:val="002B27FB"/>
    <w:rsid w:val="002B3C2A"/>
    <w:rsid w:val="002B5B8F"/>
    <w:rsid w:val="002B685A"/>
    <w:rsid w:val="002C57D2"/>
    <w:rsid w:val="002E0D56"/>
    <w:rsid w:val="003141CA"/>
    <w:rsid w:val="00315186"/>
    <w:rsid w:val="003164E1"/>
    <w:rsid w:val="0033343E"/>
    <w:rsid w:val="003512C2"/>
    <w:rsid w:val="0035338B"/>
    <w:rsid w:val="00371FB6"/>
    <w:rsid w:val="003763C1"/>
    <w:rsid w:val="00376BBE"/>
    <w:rsid w:val="003800C2"/>
    <w:rsid w:val="0039224F"/>
    <w:rsid w:val="003A43A4"/>
    <w:rsid w:val="003A4D7A"/>
    <w:rsid w:val="003A7E18"/>
    <w:rsid w:val="003C4C86"/>
    <w:rsid w:val="003C6258"/>
    <w:rsid w:val="003C62CF"/>
    <w:rsid w:val="003D46B7"/>
    <w:rsid w:val="003E2904"/>
    <w:rsid w:val="00401927"/>
    <w:rsid w:val="0041027F"/>
    <w:rsid w:val="00412475"/>
    <w:rsid w:val="00423789"/>
    <w:rsid w:val="00440F43"/>
    <w:rsid w:val="00441B6F"/>
    <w:rsid w:val="00446221"/>
    <w:rsid w:val="00450E62"/>
    <w:rsid w:val="004539DB"/>
    <w:rsid w:val="0045440B"/>
    <w:rsid w:val="00471A80"/>
    <w:rsid w:val="0047541E"/>
    <w:rsid w:val="0049569C"/>
    <w:rsid w:val="004D02FB"/>
    <w:rsid w:val="004D305E"/>
    <w:rsid w:val="004D4277"/>
    <w:rsid w:val="00502516"/>
    <w:rsid w:val="00505F06"/>
    <w:rsid w:val="00506828"/>
    <w:rsid w:val="00517B6F"/>
    <w:rsid w:val="0053056E"/>
    <w:rsid w:val="00554FDA"/>
    <w:rsid w:val="00581C38"/>
    <w:rsid w:val="005C784C"/>
    <w:rsid w:val="005D17F6"/>
    <w:rsid w:val="005D24AD"/>
    <w:rsid w:val="005E5539"/>
    <w:rsid w:val="00602BF5"/>
    <w:rsid w:val="00617FDD"/>
    <w:rsid w:val="00633614"/>
    <w:rsid w:val="00633F68"/>
    <w:rsid w:val="00636EB2"/>
    <w:rsid w:val="006375B8"/>
    <w:rsid w:val="0066510A"/>
    <w:rsid w:val="00667B95"/>
    <w:rsid w:val="00673F9F"/>
    <w:rsid w:val="00686953"/>
    <w:rsid w:val="00687DEA"/>
    <w:rsid w:val="00687E67"/>
    <w:rsid w:val="006910D8"/>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38CF"/>
    <w:rsid w:val="00790ADA"/>
    <w:rsid w:val="007D2288"/>
    <w:rsid w:val="007E088F"/>
    <w:rsid w:val="007F7B32"/>
    <w:rsid w:val="00804BC2"/>
    <w:rsid w:val="0081431A"/>
    <w:rsid w:val="0083216F"/>
    <w:rsid w:val="00841B21"/>
    <w:rsid w:val="00860000"/>
    <w:rsid w:val="00863BD3"/>
    <w:rsid w:val="008641ED"/>
    <w:rsid w:val="00866D66"/>
    <w:rsid w:val="008671C6"/>
    <w:rsid w:val="00875803"/>
    <w:rsid w:val="00876875"/>
    <w:rsid w:val="00886EA4"/>
    <w:rsid w:val="008B459E"/>
    <w:rsid w:val="008E13AE"/>
    <w:rsid w:val="008E1506"/>
    <w:rsid w:val="008E710C"/>
    <w:rsid w:val="008F088E"/>
    <w:rsid w:val="008F69D6"/>
    <w:rsid w:val="00902823"/>
    <w:rsid w:val="00915CA6"/>
    <w:rsid w:val="00915F47"/>
    <w:rsid w:val="00927834"/>
    <w:rsid w:val="009500A6"/>
    <w:rsid w:val="00957C18"/>
    <w:rsid w:val="009659BA"/>
    <w:rsid w:val="00983040"/>
    <w:rsid w:val="009B18DA"/>
    <w:rsid w:val="009B2184"/>
    <w:rsid w:val="009B3FB9"/>
    <w:rsid w:val="009C2465"/>
    <w:rsid w:val="009D35A0"/>
    <w:rsid w:val="009D7EB7"/>
    <w:rsid w:val="009E048A"/>
    <w:rsid w:val="009E08E9"/>
    <w:rsid w:val="009E3DB9"/>
    <w:rsid w:val="009E6E35"/>
    <w:rsid w:val="009F0EDA"/>
    <w:rsid w:val="00A03B96"/>
    <w:rsid w:val="00A05B19"/>
    <w:rsid w:val="00A1134E"/>
    <w:rsid w:val="00A24E7E"/>
    <w:rsid w:val="00A251F5"/>
    <w:rsid w:val="00A258C3"/>
    <w:rsid w:val="00A311F9"/>
    <w:rsid w:val="00A347C0"/>
    <w:rsid w:val="00A51431"/>
    <w:rsid w:val="00A539AD"/>
    <w:rsid w:val="00A8676F"/>
    <w:rsid w:val="00A94063"/>
    <w:rsid w:val="00AA6219"/>
    <w:rsid w:val="00AA74E0"/>
    <w:rsid w:val="00AB703F"/>
    <w:rsid w:val="00AC6BB8"/>
    <w:rsid w:val="00AE008F"/>
    <w:rsid w:val="00B01FCD"/>
    <w:rsid w:val="00B02AF4"/>
    <w:rsid w:val="00B127B8"/>
    <w:rsid w:val="00B1776C"/>
    <w:rsid w:val="00B420F2"/>
    <w:rsid w:val="00B52583"/>
    <w:rsid w:val="00B52896"/>
    <w:rsid w:val="00B95236"/>
    <w:rsid w:val="00B96BD9"/>
    <w:rsid w:val="00BA1B01"/>
    <w:rsid w:val="00BA2641"/>
    <w:rsid w:val="00BB37AA"/>
    <w:rsid w:val="00BC53A0"/>
    <w:rsid w:val="00BE62AD"/>
    <w:rsid w:val="00BE64DC"/>
    <w:rsid w:val="00BF121F"/>
    <w:rsid w:val="00BF1F80"/>
    <w:rsid w:val="00C166EF"/>
    <w:rsid w:val="00C17EB0"/>
    <w:rsid w:val="00C27F5F"/>
    <w:rsid w:val="00C30A0F"/>
    <w:rsid w:val="00C37E61"/>
    <w:rsid w:val="00C400E8"/>
    <w:rsid w:val="00C70F1B"/>
    <w:rsid w:val="00C71A47"/>
    <w:rsid w:val="00C7464C"/>
    <w:rsid w:val="00C85588"/>
    <w:rsid w:val="00CB40ED"/>
    <w:rsid w:val="00CD6755"/>
    <w:rsid w:val="00CD6856"/>
    <w:rsid w:val="00CE0089"/>
    <w:rsid w:val="00CE793C"/>
    <w:rsid w:val="00CF193C"/>
    <w:rsid w:val="00D173F1"/>
    <w:rsid w:val="00D74CB0"/>
    <w:rsid w:val="00D81B6C"/>
    <w:rsid w:val="00D8295D"/>
    <w:rsid w:val="00D867E2"/>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678C"/>
    <w:rsid w:val="00EC6A55"/>
    <w:rsid w:val="00ED0288"/>
    <w:rsid w:val="00EE52CB"/>
    <w:rsid w:val="00EF581D"/>
    <w:rsid w:val="00EF7FD8"/>
    <w:rsid w:val="00F06F59"/>
    <w:rsid w:val="00F17988"/>
    <w:rsid w:val="00F24E36"/>
    <w:rsid w:val="00F42CA8"/>
    <w:rsid w:val="00F469F0"/>
    <w:rsid w:val="00F53273"/>
    <w:rsid w:val="00F6094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CA8442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D867E2"/>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D46B7"/>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D867E2"/>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3D46B7"/>
    <w:rPr>
      <w:rFonts w:asciiTheme="minorHAnsi" w:eastAsiaTheme="majorEastAsia" w:hAnsiTheme="minorHAnsi" w:cstheme="majorBidi"/>
      <w:color w:val="365F91" w:themeColor="accent1" w:themeShade="BF"/>
      <w:kern w:val="2"/>
      <w:sz w:val="28"/>
      <w:szCs w:val="28"/>
      <w14:ligatures w14:val="standardContextual"/>
    </w:rPr>
  </w:style>
  <w:style w:type="table" w:styleId="ListTable6Colorful-Accent3">
    <w:name w:val="List Table 6 Colorful Accent 3"/>
    <w:basedOn w:val="TableNormal"/>
    <w:uiPriority w:val="51"/>
    <w:rsid w:val="00BE64DC"/>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
    <w:name w:val="List Table 6 Colorful"/>
    <w:basedOn w:val="TableNormal"/>
    <w:uiPriority w:val="51"/>
    <w:rsid w:val="00BE64D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link w:val="ListParagraphChar"/>
    <w:uiPriority w:val="34"/>
    <w:qFormat/>
    <w:rsid w:val="0007427B"/>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customStyle="1" w:styleId="ListParagraphChar">
    <w:name w:val="List Paragraph Char"/>
    <w:link w:val="ListParagraph"/>
    <w:uiPriority w:val="34"/>
    <w:locked/>
    <w:rsid w:val="0007427B"/>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802434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9254325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image" Target="media/image8.jpeg"/><Relationship Id="rId39" Type="http://schemas.openxmlformats.org/officeDocument/2006/relationships/hyperlink" Target="https://doi.org/10.1080/07853890.2025.2606433" TargetMode="Externa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yperlink" Target="https://doi.org/10.1007/978-981-95-4802-6_3" TargetMode="External"/><Relationship Id="rId47" Type="http://schemas.openxmlformats.org/officeDocument/2006/relationships/hyperlink" Target="https://www.wjpps.com/Wjpps_controller/abstract_id/25022"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chart" Target="charts/chart6.xml"/><Relationship Id="rId40" Type="http://schemas.openxmlformats.org/officeDocument/2006/relationships/hyperlink" Target="https://doi.org/10.1007/s44187-025-00637-7" TargetMode="External"/><Relationship Id="rId45" Type="http://schemas.openxmlformats.org/officeDocument/2006/relationships/hyperlink" Target="https://doi.org/10.2217/cer-2020-015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hyperlink" Target="https://doi.org/10.3389/fchem.2024.146375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s://doi.org/10.1016/j.tifs.2015.11.008"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chart" Target="charts/chart7.xml"/><Relationship Id="rId46" Type="http://schemas.openxmlformats.org/officeDocument/2006/relationships/hyperlink" Target="https://doi.org/10.1016/j.cofs.2016.02.002" TargetMode="External"/><Relationship Id="rId20" Type="http://schemas.openxmlformats.org/officeDocument/2006/relationships/image" Target="media/image2.jpeg"/><Relationship Id="rId41" Type="http://schemas.openxmlformats.org/officeDocument/2006/relationships/hyperlink" Target="https://doi.org/10.1016/j.jep.2015.06.04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ALOGOUN%20Al-Shuharat\Desktop\BISSERATA%20ANTIOXYDA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LOGOUN%20Al-Shuharat\Desktop\ANTIOXYDANT%20AVO%20PRO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a:t>Test DPPH (NB)</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og"/>
            <c:dispRSqr val="1"/>
            <c:dispEq val="1"/>
            <c:trendlineLbl>
              <c:layout>
                <c:manualLayout>
                  <c:x val="4.0760936132983379E-2"/>
                  <c:y val="0.208656678331875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Feuil1!$B$19:$B$27</c:f>
              <c:numCache>
                <c:formatCode>General</c:formatCode>
                <c:ptCount val="9"/>
                <c:pt idx="0">
                  <c:v>0.33300000000000002</c:v>
                </c:pt>
                <c:pt idx="1">
                  <c:v>0.16650000000000001</c:v>
                </c:pt>
                <c:pt idx="2">
                  <c:v>8.3199999999999996E-2</c:v>
                </c:pt>
                <c:pt idx="3">
                  <c:v>4.1619999999999997E-2</c:v>
                </c:pt>
                <c:pt idx="4">
                  <c:v>2.0809999999999999E-2</c:v>
                </c:pt>
                <c:pt idx="5">
                  <c:v>1.04E-2</c:v>
                </c:pt>
                <c:pt idx="6">
                  <c:v>5.1999999999999998E-3</c:v>
                </c:pt>
                <c:pt idx="7">
                  <c:v>2.5999999999999999E-3</c:v>
                </c:pt>
                <c:pt idx="8">
                  <c:v>1.2999999999999999E-3</c:v>
                </c:pt>
              </c:numCache>
            </c:numRef>
          </c:xVal>
          <c:yVal>
            <c:numRef>
              <c:f>Feuil1!$C$19:$C$27</c:f>
              <c:numCache>
                <c:formatCode>General</c:formatCode>
                <c:ptCount val="9"/>
                <c:pt idx="0">
                  <c:v>0.92200000000000004</c:v>
                </c:pt>
                <c:pt idx="1">
                  <c:v>0.82199999999999995</c:v>
                </c:pt>
                <c:pt idx="2">
                  <c:v>0.76200000000000001</c:v>
                </c:pt>
                <c:pt idx="3">
                  <c:v>0.51600000000000001</c:v>
                </c:pt>
                <c:pt idx="4">
                  <c:v>0.51500000000000001</c:v>
                </c:pt>
                <c:pt idx="5">
                  <c:v>0.39500000000000002</c:v>
                </c:pt>
                <c:pt idx="6">
                  <c:v>0.38200000000000001</c:v>
                </c:pt>
                <c:pt idx="7">
                  <c:v>0.379</c:v>
                </c:pt>
                <c:pt idx="8">
                  <c:v>0.373</c:v>
                </c:pt>
              </c:numCache>
            </c:numRef>
          </c:yVal>
          <c:smooth val="1"/>
          <c:extLst>
            <c:ext xmlns:c16="http://schemas.microsoft.com/office/drawing/2014/chart" uri="{C3380CC4-5D6E-409C-BE32-E72D297353CC}">
              <c16:uniqueId val="{00000001-E8A8-4A03-8388-07422ADDF0B2}"/>
            </c:ext>
          </c:extLst>
        </c:ser>
        <c:dLbls>
          <c:showLegendKey val="0"/>
          <c:showVal val="0"/>
          <c:showCatName val="0"/>
          <c:showSerName val="0"/>
          <c:showPercent val="0"/>
          <c:showBubbleSize val="0"/>
        </c:dLbls>
        <c:axId val="438677744"/>
        <c:axId val="438676664"/>
      </c:scatterChart>
      <c:valAx>
        <c:axId val="438677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Concentrations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8676664"/>
        <c:crosses val="autoZero"/>
        <c:crossBetween val="midCat"/>
      </c:valAx>
      <c:valAx>
        <c:axId val="438676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Absorbances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86777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a:t>Test DPPH (SPA)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og"/>
            <c:dispRSqr val="1"/>
            <c:dispEq val="1"/>
            <c:trendlineLbl>
              <c:layout>
                <c:manualLayout>
                  <c:x val="1.0205380577427821E-2"/>
                  <c:y val="0.2032870370370370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Feuil1!$C$4:$C$10</c:f>
              <c:numCache>
                <c:formatCode>General</c:formatCode>
                <c:ptCount val="7"/>
                <c:pt idx="0">
                  <c:v>0.33300000000000002</c:v>
                </c:pt>
                <c:pt idx="1">
                  <c:v>0.16650000000000001</c:v>
                </c:pt>
                <c:pt idx="2">
                  <c:v>8.3199999999999996E-2</c:v>
                </c:pt>
                <c:pt idx="3">
                  <c:v>4.1619999999999997E-2</c:v>
                </c:pt>
                <c:pt idx="4">
                  <c:v>2.0809999999999999E-2</c:v>
                </c:pt>
                <c:pt idx="5">
                  <c:v>1.04E-2</c:v>
                </c:pt>
                <c:pt idx="6">
                  <c:v>5.1999999999999998E-3</c:v>
                </c:pt>
              </c:numCache>
            </c:numRef>
          </c:xVal>
          <c:yVal>
            <c:numRef>
              <c:f>Feuil1!$D$4:$D$10</c:f>
              <c:numCache>
                <c:formatCode>General</c:formatCode>
                <c:ptCount val="7"/>
                <c:pt idx="0">
                  <c:v>0.84199999999999997</c:v>
                </c:pt>
                <c:pt idx="1">
                  <c:v>0.73199999999999998</c:v>
                </c:pt>
                <c:pt idx="2">
                  <c:v>0.71</c:v>
                </c:pt>
                <c:pt idx="3">
                  <c:v>0.52400000000000002</c:v>
                </c:pt>
                <c:pt idx="4">
                  <c:v>0.44</c:v>
                </c:pt>
                <c:pt idx="5">
                  <c:v>0.36199999999999999</c:v>
                </c:pt>
                <c:pt idx="6">
                  <c:v>0.33800000000000002</c:v>
                </c:pt>
              </c:numCache>
            </c:numRef>
          </c:yVal>
          <c:smooth val="1"/>
          <c:extLst>
            <c:ext xmlns:c16="http://schemas.microsoft.com/office/drawing/2014/chart" uri="{C3380CC4-5D6E-409C-BE32-E72D297353CC}">
              <c16:uniqueId val="{00000001-2F0E-4C22-885F-7958778E0666}"/>
            </c:ext>
          </c:extLst>
        </c:ser>
        <c:dLbls>
          <c:showLegendKey val="0"/>
          <c:showVal val="0"/>
          <c:showCatName val="0"/>
          <c:showSerName val="0"/>
          <c:showPercent val="0"/>
          <c:showBubbleSize val="0"/>
        </c:dLbls>
        <c:axId val="434650984"/>
        <c:axId val="434651704"/>
      </c:scatterChart>
      <c:valAx>
        <c:axId val="434650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Concentrations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4651704"/>
        <c:crosses val="autoZero"/>
        <c:crossBetween val="midCat"/>
      </c:valAx>
      <c:valAx>
        <c:axId val="434651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Absorbances</a:t>
                </a:r>
              </a:p>
            </c:rich>
          </c:tx>
          <c:layout>
            <c:manualLayout>
              <c:xMode val="edge"/>
              <c:yMode val="edge"/>
              <c:x val="2.7777777777777776E-2"/>
              <c:y val="0.156751603966170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4650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200" b="0" i="0" u="none" strike="noStrike" kern="1200" spc="0" baseline="0">
                <a:solidFill>
                  <a:sysClr val="windowText" lastClr="000000"/>
                </a:solidFill>
                <a:latin typeface="Arial" panose="020B0604020202020204" pitchFamily="34" charset="0"/>
                <a:cs typeface="Arial" panose="020B0604020202020204" pitchFamily="34" charset="0"/>
              </a:rPr>
              <a:t>Variation of erythrocyte sedimentation </a:t>
            </a:r>
          </a:p>
          <a:p>
            <a:pPr>
              <a:defRPr sz="1200">
                <a:latin typeface="Arial" panose="020B0604020202020204" pitchFamily="34" charset="0"/>
                <a:cs typeface="Arial" panose="020B0604020202020204" pitchFamily="34" charset="0"/>
              </a:defRPr>
            </a:pPr>
            <a:r>
              <a:rPr lang="fr-FR" sz="1200" b="0" i="0" u="none" strike="noStrike" kern="1200" spc="0" baseline="0">
                <a:solidFill>
                  <a:sysClr val="windowText" lastClr="000000"/>
                </a:solidFill>
                <a:latin typeface="Arial" panose="020B0604020202020204" pitchFamily="34" charset="0"/>
                <a:cs typeface="Arial" panose="020B0604020202020204" pitchFamily="34" charset="0"/>
              </a:rPr>
              <a:t>rates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'Avant et après sédimentation'!$C$2</c:f>
              <c:strCache>
                <c:ptCount val="1"/>
                <c:pt idx="0">
                  <c:v>Mean variation of erythrocyte sedimentation rate in rats after induction of hemorrhoids before treatment</c:v>
                </c:pt>
              </c:strCache>
            </c:strRef>
          </c:tx>
          <c:spPr>
            <a:solidFill>
              <a:srgbClr val="23049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'Avant et après sédimentation'!$B$3:$B$9</c:f>
              <c:strCache>
                <c:ptCount val="7"/>
                <c:pt idx="0">
                  <c:v>GN1</c:v>
                </c:pt>
                <c:pt idx="1">
                  <c:v>GN2</c:v>
                </c:pt>
                <c:pt idx="2">
                  <c:v>RCD 10 mg/kg</c:v>
                </c:pt>
                <c:pt idx="3">
                  <c:v>SPA 250 mg/kg</c:v>
                </c:pt>
                <c:pt idx="4">
                  <c:v>SPA 500 mg/kg</c:v>
                </c:pt>
                <c:pt idx="5">
                  <c:v>NB 250 mg/kg</c:v>
                </c:pt>
                <c:pt idx="6">
                  <c:v>NB 500 mg/kg</c:v>
                </c:pt>
              </c:strCache>
            </c:strRef>
          </c:cat>
          <c:val>
            <c:numRef>
              <c:f>'Avant et après sédimentation'!$C$3:$C$9</c:f>
              <c:numCache>
                <c:formatCode>General</c:formatCode>
                <c:ptCount val="7"/>
                <c:pt idx="0">
                  <c:v>2</c:v>
                </c:pt>
                <c:pt idx="1">
                  <c:v>2.6666666669999999</c:v>
                </c:pt>
                <c:pt idx="2">
                  <c:v>2.6666666669999999</c:v>
                </c:pt>
                <c:pt idx="3">
                  <c:v>4.3333333329999997</c:v>
                </c:pt>
                <c:pt idx="4">
                  <c:v>2</c:v>
                </c:pt>
                <c:pt idx="5">
                  <c:v>4.6666666699999997</c:v>
                </c:pt>
                <c:pt idx="6">
                  <c:v>3.3333333299999999</c:v>
                </c:pt>
              </c:numCache>
            </c:numRef>
          </c:val>
          <c:extLst>
            <c:ext xmlns:c16="http://schemas.microsoft.com/office/drawing/2014/chart" uri="{C3380CC4-5D6E-409C-BE32-E72D297353CC}">
              <c16:uniqueId val="{00000000-72AB-41F4-9DC1-CEC8064D88B4}"/>
            </c:ext>
          </c:extLst>
        </c:ser>
        <c:ser>
          <c:idx val="1"/>
          <c:order val="1"/>
          <c:tx>
            <c:strRef>
              <c:f>'Avant et après sédimentation'!$D$2</c:f>
              <c:strCache>
                <c:ptCount val="1"/>
                <c:pt idx="0">
                  <c:v>Mean variation of erythrocyte sedimentation rate in rats after 5 days of treatment</c:v>
                </c:pt>
              </c:strCache>
            </c:strRef>
          </c:tx>
          <c:spPr>
            <a:solidFill>
              <a:srgbClr val="97540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'Avant et après sédimentation'!$B$3:$B$9</c:f>
              <c:strCache>
                <c:ptCount val="7"/>
                <c:pt idx="0">
                  <c:v>GN1</c:v>
                </c:pt>
                <c:pt idx="1">
                  <c:v>GN2</c:v>
                </c:pt>
                <c:pt idx="2">
                  <c:v>RCD 10 mg/kg</c:v>
                </c:pt>
                <c:pt idx="3">
                  <c:v>SPA 250 mg/kg</c:v>
                </c:pt>
                <c:pt idx="4">
                  <c:v>SPA 500 mg/kg</c:v>
                </c:pt>
                <c:pt idx="5">
                  <c:v>NB 250 mg/kg</c:v>
                </c:pt>
                <c:pt idx="6">
                  <c:v>NB 500 mg/kg</c:v>
                </c:pt>
              </c:strCache>
            </c:strRef>
          </c:cat>
          <c:val>
            <c:numRef>
              <c:f>'Avant et après sédimentation'!$D$3:$D$9</c:f>
              <c:numCache>
                <c:formatCode>General</c:formatCode>
                <c:ptCount val="7"/>
                <c:pt idx="0">
                  <c:v>2</c:v>
                </c:pt>
                <c:pt idx="1">
                  <c:v>2</c:v>
                </c:pt>
                <c:pt idx="2">
                  <c:v>3</c:v>
                </c:pt>
                <c:pt idx="3">
                  <c:v>2</c:v>
                </c:pt>
                <c:pt idx="4">
                  <c:v>2</c:v>
                </c:pt>
                <c:pt idx="5">
                  <c:v>2</c:v>
                </c:pt>
                <c:pt idx="6">
                  <c:v>4</c:v>
                </c:pt>
              </c:numCache>
            </c:numRef>
          </c:val>
          <c:extLst>
            <c:ext xmlns:c16="http://schemas.microsoft.com/office/drawing/2014/chart" uri="{C3380CC4-5D6E-409C-BE32-E72D297353CC}">
              <c16:uniqueId val="{00000001-72AB-41F4-9DC1-CEC8064D88B4}"/>
            </c:ext>
          </c:extLst>
        </c:ser>
        <c:dLbls>
          <c:showLegendKey val="0"/>
          <c:showVal val="0"/>
          <c:showCatName val="0"/>
          <c:showSerName val="0"/>
          <c:showPercent val="0"/>
          <c:showBubbleSize val="0"/>
        </c:dLbls>
        <c:gapWidth val="219"/>
        <c:overlap val="-27"/>
        <c:axId val="1145180527"/>
        <c:axId val="1145182447"/>
      </c:barChart>
      <c:catAx>
        <c:axId val="11451805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Nature of the groups</a:t>
                </a:r>
              </a:p>
            </c:rich>
          </c:tx>
          <c:layout>
            <c:manualLayout>
              <c:xMode val="edge"/>
              <c:yMode val="edge"/>
              <c:x val="0.7088079007073268"/>
              <c:y val="0.724069521797580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5182447"/>
        <c:crosses val="autoZero"/>
        <c:auto val="1"/>
        <c:lblAlgn val="ctr"/>
        <c:lblOffset val="100"/>
        <c:noMultiLvlLbl val="0"/>
      </c:catAx>
      <c:valAx>
        <c:axId val="114518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Erythrocyte sedimentation rate</a:t>
                </a:r>
              </a:p>
            </c:rich>
          </c:tx>
          <c:layout>
            <c:manualLayout>
              <c:xMode val="edge"/>
              <c:yMode val="edge"/>
              <c:x val="2.2222222222222223E-2"/>
              <c:y val="0.148564814814814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5180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200" b="0" i="0" u="none" strike="noStrike" kern="1200" spc="0" baseline="0">
                <a:solidFill>
                  <a:sysClr val="windowText" lastClr="000000"/>
                </a:solidFill>
                <a:latin typeface="Arial" panose="020B0604020202020204" pitchFamily="34" charset="0"/>
                <a:cs typeface="Arial" panose="020B0604020202020204" pitchFamily="34" charset="0"/>
              </a:rPr>
              <a:t>Average serum protein levels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'Protidémie avant et après trait'!$B$3</c:f>
              <c:strCache>
                <c:ptCount val="1"/>
                <c:pt idx="0">
                  <c:v>Average serum protein levels in rats after induction of hemorrhoids before treatment</c:v>
                </c:pt>
              </c:strCache>
            </c:strRef>
          </c:tx>
          <c:spPr>
            <a:solidFill>
              <a:srgbClr val="23049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'Protidémie avant et après trait'!$A$4:$A$10</c:f>
              <c:strCache>
                <c:ptCount val="7"/>
                <c:pt idx="0">
                  <c:v>GN1</c:v>
                </c:pt>
                <c:pt idx="1">
                  <c:v>GN2</c:v>
                </c:pt>
                <c:pt idx="2">
                  <c:v>RCD 10 mg/kg</c:v>
                </c:pt>
                <c:pt idx="3">
                  <c:v>SPA 250 mg/kg</c:v>
                </c:pt>
                <c:pt idx="4">
                  <c:v>SPA 500 mg/kg</c:v>
                </c:pt>
                <c:pt idx="5">
                  <c:v>NB 250 mg/kg</c:v>
                </c:pt>
                <c:pt idx="6">
                  <c:v>NB 500 mg/kg</c:v>
                </c:pt>
              </c:strCache>
            </c:strRef>
          </c:cat>
          <c:val>
            <c:numRef>
              <c:f>'Protidémie avant et après trait'!$B$4:$B$10</c:f>
              <c:numCache>
                <c:formatCode>General</c:formatCode>
                <c:ptCount val="7"/>
                <c:pt idx="0">
                  <c:v>58.066666699999999</c:v>
                </c:pt>
                <c:pt idx="1">
                  <c:v>57.5</c:v>
                </c:pt>
                <c:pt idx="2">
                  <c:v>61.766666700000002</c:v>
                </c:pt>
                <c:pt idx="3">
                  <c:v>65.666666699999993</c:v>
                </c:pt>
                <c:pt idx="4">
                  <c:v>58</c:v>
                </c:pt>
                <c:pt idx="5">
                  <c:v>63</c:v>
                </c:pt>
                <c:pt idx="6">
                  <c:v>62.066666699999999</c:v>
                </c:pt>
              </c:numCache>
            </c:numRef>
          </c:val>
          <c:extLst>
            <c:ext xmlns:c16="http://schemas.microsoft.com/office/drawing/2014/chart" uri="{C3380CC4-5D6E-409C-BE32-E72D297353CC}">
              <c16:uniqueId val="{00000000-9F11-4823-8082-5445F454B2F5}"/>
            </c:ext>
          </c:extLst>
        </c:ser>
        <c:ser>
          <c:idx val="1"/>
          <c:order val="1"/>
          <c:tx>
            <c:strRef>
              <c:f>'Protidémie avant et après trait'!$C$3</c:f>
              <c:strCache>
                <c:ptCount val="1"/>
                <c:pt idx="0">
                  <c:v>Average serum protein levels in treated and control rats after 5 days of treatment</c:v>
                </c:pt>
              </c:strCache>
            </c:strRef>
          </c:tx>
          <c:spPr>
            <a:solidFill>
              <a:srgbClr val="97540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'Protidémie avant et après trait'!$A$4:$A$10</c:f>
              <c:strCache>
                <c:ptCount val="7"/>
                <c:pt idx="0">
                  <c:v>GN1</c:v>
                </c:pt>
                <c:pt idx="1">
                  <c:v>GN2</c:v>
                </c:pt>
                <c:pt idx="2">
                  <c:v>RCD 10 mg/kg</c:v>
                </c:pt>
                <c:pt idx="3">
                  <c:v>SPA 250 mg/kg</c:v>
                </c:pt>
                <c:pt idx="4">
                  <c:v>SPA 500 mg/kg</c:v>
                </c:pt>
                <c:pt idx="5">
                  <c:v>NB 250 mg/kg</c:v>
                </c:pt>
                <c:pt idx="6">
                  <c:v>NB 500 mg/kg</c:v>
                </c:pt>
              </c:strCache>
            </c:strRef>
          </c:cat>
          <c:val>
            <c:numRef>
              <c:f>'Protidémie avant et après trait'!$C$4:$C$10</c:f>
              <c:numCache>
                <c:formatCode>General</c:formatCode>
                <c:ptCount val="7"/>
                <c:pt idx="0">
                  <c:v>62.4</c:v>
                </c:pt>
                <c:pt idx="1">
                  <c:v>48.5</c:v>
                </c:pt>
                <c:pt idx="2">
                  <c:v>62.15</c:v>
                </c:pt>
                <c:pt idx="3">
                  <c:v>67.566666699999999</c:v>
                </c:pt>
                <c:pt idx="4">
                  <c:v>64.566666699999999</c:v>
                </c:pt>
                <c:pt idx="5">
                  <c:v>65.400000000000006</c:v>
                </c:pt>
                <c:pt idx="6">
                  <c:v>63.5</c:v>
                </c:pt>
              </c:numCache>
            </c:numRef>
          </c:val>
          <c:extLst>
            <c:ext xmlns:c16="http://schemas.microsoft.com/office/drawing/2014/chart" uri="{C3380CC4-5D6E-409C-BE32-E72D297353CC}">
              <c16:uniqueId val="{00000001-9F11-4823-8082-5445F454B2F5}"/>
            </c:ext>
          </c:extLst>
        </c:ser>
        <c:dLbls>
          <c:showLegendKey val="0"/>
          <c:showVal val="0"/>
          <c:showCatName val="0"/>
          <c:showSerName val="0"/>
          <c:showPercent val="0"/>
          <c:showBubbleSize val="0"/>
        </c:dLbls>
        <c:gapWidth val="219"/>
        <c:overlap val="-27"/>
        <c:axId val="1145223727"/>
        <c:axId val="1145237167"/>
      </c:barChart>
      <c:catAx>
        <c:axId val="1145223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Nature of the groups</a:t>
                </a:r>
              </a:p>
            </c:rich>
          </c:tx>
          <c:layout>
            <c:manualLayout>
              <c:xMode val="edge"/>
              <c:yMode val="edge"/>
              <c:x val="0.69468853893263338"/>
              <c:y val="0.72346894138232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5237167"/>
        <c:crosses val="autoZero"/>
        <c:auto val="1"/>
        <c:lblAlgn val="ctr"/>
        <c:lblOffset val="100"/>
        <c:noMultiLvlLbl val="0"/>
      </c:catAx>
      <c:valAx>
        <c:axId val="1145237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Rat serum protein concentration</a:t>
                </a:r>
              </a:p>
            </c:rich>
          </c:tx>
          <c:layout>
            <c:manualLayout>
              <c:xMode val="edge"/>
              <c:yMode val="edge"/>
              <c:x val="2.2222222222222223E-2"/>
              <c:y val="0.139351851851851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522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Average variation of the Recto-Anal Coefficient after treatment with extracts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'Coefficient recto anal figure'!$C$3</c:f>
              <c:strCache>
                <c:ptCount val="1"/>
                <c:pt idx="0">
                  <c:v>Average variation of the Recto-Anal Coefficient after treatment with extracts</c:v>
                </c:pt>
              </c:strCache>
            </c:strRef>
          </c:tx>
          <c:spPr>
            <a:solidFill>
              <a:srgbClr val="8B380F"/>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'Coefficient recto anal figure'!$B$4:$B$10</c:f>
              <c:strCache>
                <c:ptCount val="7"/>
                <c:pt idx="0">
                  <c:v>GN1</c:v>
                </c:pt>
                <c:pt idx="1">
                  <c:v>GN2</c:v>
                </c:pt>
                <c:pt idx="2">
                  <c:v>RCD 10 mg/kg</c:v>
                </c:pt>
                <c:pt idx="3">
                  <c:v>SPA 250 mg/kg</c:v>
                </c:pt>
                <c:pt idx="4">
                  <c:v>SPA 500 mg/kg</c:v>
                </c:pt>
                <c:pt idx="5">
                  <c:v>NB 250 mg/kg</c:v>
                </c:pt>
                <c:pt idx="6">
                  <c:v>NB 500 mg/kg</c:v>
                </c:pt>
              </c:strCache>
            </c:strRef>
          </c:cat>
          <c:val>
            <c:numRef>
              <c:f>'Coefficient recto anal figure'!$C$4:$C$10</c:f>
              <c:numCache>
                <c:formatCode>General</c:formatCode>
                <c:ptCount val="7"/>
                <c:pt idx="0">
                  <c:v>3.3464670000000001E-3</c:v>
                </c:pt>
                <c:pt idx="1">
                  <c:v>5.1018670000000004E-3</c:v>
                </c:pt>
                <c:pt idx="2">
                  <c:v>3.4648600000000002E-3</c:v>
                </c:pt>
                <c:pt idx="3">
                  <c:v>4.7253929999999996E-3</c:v>
                </c:pt>
                <c:pt idx="4">
                  <c:v>3.6107029999999998E-3</c:v>
                </c:pt>
                <c:pt idx="5">
                  <c:v>1.5583400000000001E-3</c:v>
                </c:pt>
                <c:pt idx="6">
                  <c:v>3.1386999999999999E-3</c:v>
                </c:pt>
              </c:numCache>
            </c:numRef>
          </c:val>
          <c:extLst>
            <c:ext xmlns:c16="http://schemas.microsoft.com/office/drawing/2014/chart" uri="{C3380CC4-5D6E-409C-BE32-E72D297353CC}">
              <c16:uniqueId val="{00000000-FE60-4090-A012-648497A8488E}"/>
            </c:ext>
          </c:extLst>
        </c:ser>
        <c:dLbls>
          <c:showLegendKey val="0"/>
          <c:showVal val="0"/>
          <c:showCatName val="0"/>
          <c:showSerName val="0"/>
          <c:showPercent val="0"/>
          <c:showBubbleSize val="0"/>
        </c:dLbls>
        <c:gapWidth val="219"/>
        <c:overlap val="-27"/>
        <c:axId val="598344879"/>
        <c:axId val="598346319"/>
      </c:barChart>
      <c:catAx>
        <c:axId val="59834487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Nature of the groups</a:t>
                </a:r>
              </a:p>
            </c:rich>
          </c:tx>
          <c:layout>
            <c:manualLayout>
              <c:xMode val="edge"/>
              <c:yMode val="edge"/>
              <c:x val="0.70198031496062996"/>
              <c:y val="0.891203703703703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8346319"/>
        <c:crosses val="autoZero"/>
        <c:auto val="1"/>
        <c:lblAlgn val="ctr"/>
        <c:lblOffset val="100"/>
        <c:noMultiLvlLbl val="0"/>
      </c:catAx>
      <c:valAx>
        <c:axId val="598346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Recto-Anal Coefficient </a:t>
                </a:r>
                <a:endParaRPr lang="fr-FR"/>
              </a:p>
            </c:rich>
          </c:tx>
          <c:layout>
            <c:manualLayout>
              <c:xMode val="edge"/>
              <c:yMode val="edge"/>
              <c:x val="1.9444444444444445E-2"/>
              <c:y val="0.238954141149023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8344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200"/>
              <a:t>Average ASAT Levels in Treated and Control Rats After 5 Days of Treatment</a:t>
            </a:r>
          </a:p>
        </c:rich>
      </c:tx>
      <c:layout>
        <c:manualLayout>
          <c:xMode val="edge"/>
          <c:yMode val="edge"/>
          <c:x val="0.1263401137357830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'Average ASAT'!$B$3</c:f>
              <c:strCache>
                <c:ptCount val="1"/>
                <c:pt idx="0">
                  <c:v>Average ASAT Levels in Treated and Control Rats After 5 Days of Treatment</c:v>
                </c:pt>
              </c:strCache>
            </c:strRef>
          </c:tx>
          <c:spPr>
            <a:solidFill>
              <a:srgbClr val="8B380F"/>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'Average ASAT'!$A$4:$A$10</c:f>
              <c:strCache>
                <c:ptCount val="7"/>
                <c:pt idx="0">
                  <c:v>GN1</c:v>
                </c:pt>
                <c:pt idx="1">
                  <c:v>GN2</c:v>
                </c:pt>
                <c:pt idx="2">
                  <c:v>RCD 10 mg/kg</c:v>
                </c:pt>
                <c:pt idx="3">
                  <c:v>SPA 250 mg/kg</c:v>
                </c:pt>
                <c:pt idx="4">
                  <c:v>SPA 500 mg/kg</c:v>
                </c:pt>
                <c:pt idx="5">
                  <c:v>NB 250 mg/kg</c:v>
                </c:pt>
                <c:pt idx="6">
                  <c:v>NB 500 mg/kg</c:v>
                </c:pt>
              </c:strCache>
            </c:strRef>
          </c:cat>
          <c:val>
            <c:numRef>
              <c:f>'Average ASAT'!$B$4:$B$10</c:f>
              <c:numCache>
                <c:formatCode>General</c:formatCode>
                <c:ptCount val="7"/>
                <c:pt idx="0">
                  <c:v>325.22000000000003</c:v>
                </c:pt>
                <c:pt idx="1">
                  <c:v>438.98</c:v>
                </c:pt>
                <c:pt idx="2">
                  <c:v>369.97500000000002</c:v>
                </c:pt>
                <c:pt idx="3">
                  <c:v>313.52333299999998</c:v>
                </c:pt>
                <c:pt idx="4">
                  <c:v>115.05</c:v>
                </c:pt>
                <c:pt idx="5">
                  <c:v>172.19</c:v>
                </c:pt>
                <c:pt idx="6">
                  <c:v>163.25</c:v>
                </c:pt>
              </c:numCache>
            </c:numRef>
          </c:val>
          <c:extLst>
            <c:ext xmlns:c16="http://schemas.microsoft.com/office/drawing/2014/chart" uri="{C3380CC4-5D6E-409C-BE32-E72D297353CC}">
              <c16:uniqueId val="{00000000-35B7-4309-9F32-B1BA50D9B04E}"/>
            </c:ext>
          </c:extLst>
        </c:ser>
        <c:dLbls>
          <c:showLegendKey val="0"/>
          <c:showVal val="0"/>
          <c:showCatName val="0"/>
          <c:showSerName val="0"/>
          <c:showPercent val="0"/>
          <c:showBubbleSize val="0"/>
        </c:dLbls>
        <c:gapWidth val="219"/>
        <c:overlap val="-27"/>
        <c:axId val="1288286255"/>
        <c:axId val="1288281935"/>
      </c:barChart>
      <c:catAx>
        <c:axId val="128828625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Nature of the groups</a:t>
                </a:r>
              </a:p>
            </c:rich>
          </c:tx>
          <c:layout>
            <c:manualLayout>
              <c:xMode val="edge"/>
              <c:yMode val="edge"/>
              <c:x val="0.69376268591426071"/>
              <c:y val="0.895833333333333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281935"/>
        <c:crosses val="autoZero"/>
        <c:auto val="1"/>
        <c:lblAlgn val="ctr"/>
        <c:lblOffset val="100"/>
        <c:noMultiLvlLbl val="0"/>
      </c:catAx>
      <c:valAx>
        <c:axId val="1288281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BJ"/>
                  <a:t>ASAT Levels </a:t>
                </a:r>
                <a:endParaRPr lang="fr-FR"/>
              </a:p>
            </c:rich>
          </c:tx>
          <c:layout>
            <c:manualLayout>
              <c:xMode val="edge"/>
              <c:yMode val="edge"/>
              <c:x val="2.7777777777777776E-2"/>
              <c:y val="0.223383275007290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286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a:t>Average ALAT Levels in Treated and Control Rats After 5 Days of Treatment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'ALAT Levels'!$B$3</c:f>
              <c:strCache>
                <c:ptCount val="1"/>
                <c:pt idx="0">
                  <c:v>Average ALAT Levels in Treated and Control Rats After 5 Days of Treatment</c:v>
                </c:pt>
              </c:strCache>
            </c:strRef>
          </c:tx>
          <c:spPr>
            <a:solidFill>
              <a:srgbClr val="8B380F"/>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'ALAT Levels'!$A$4:$A$10</c:f>
              <c:strCache>
                <c:ptCount val="7"/>
                <c:pt idx="0">
                  <c:v>GN1</c:v>
                </c:pt>
                <c:pt idx="1">
                  <c:v>GN2</c:v>
                </c:pt>
                <c:pt idx="2">
                  <c:v>RCD 10 mg/kg</c:v>
                </c:pt>
                <c:pt idx="3">
                  <c:v>SPA 250 mg/kg</c:v>
                </c:pt>
                <c:pt idx="4">
                  <c:v>SPA 500 mg/kg</c:v>
                </c:pt>
                <c:pt idx="5">
                  <c:v>NB 250 mg/kg</c:v>
                </c:pt>
                <c:pt idx="6">
                  <c:v>NB 500 mg/kg</c:v>
                </c:pt>
              </c:strCache>
            </c:strRef>
          </c:cat>
          <c:val>
            <c:numRef>
              <c:f>'ALAT Levels'!$B$4:$B$10</c:f>
              <c:numCache>
                <c:formatCode>General</c:formatCode>
                <c:ptCount val="7"/>
                <c:pt idx="0">
                  <c:v>50.2233333</c:v>
                </c:pt>
                <c:pt idx="1">
                  <c:v>118.465</c:v>
                </c:pt>
                <c:pt idx="2">
                  <c:v>180.36</c:v>
                </c:pt>
                <c:pt idx="3">
                  <c:v>156.126667</c:v>
                </c:pt>
                <c:pt idx="4">
                  <c:v>90.733333299999998</c:v>
                </c:pt>
                <c:pt idx="5">
                  <c:v>88.7</c:v>
                </c:pt>
                <c:pt idx="6">
                  <c:v>81.246666700000006</c:v>
                </c:pt>
              </c:numCache>
            </c:numRef>
          </c:val>
          <c:extLst>
            <c:ext xmlns:c16="http://schemas.microsoft.com/office/drawing/2014/chart" uri="{C3380CC4-5D6E-409C-BE32-E72D297353CC}">
              <c16:uniqueId val="{00000000-5458-49CD-A8C6-2ED040155C46}"/>
            </c:ext>
          </c:extLst>
        </c:ser>
        <c:dLbls>
          <c:showLegendKey val="0"/>
          <c:showVal val="0"/>
          <c:showCatName val="0"/>
          <c:showSerName val="0"/>
          <c:showPercent val="0"/>
          <c:showBubbleSize val="0"/>
        </c:dLbls>
        <c:gapWidth val="219"/>
        <c:overlap val="-27"/>
        <c:axId val="1288283375"/>
        <c:axId val="1288333775"/>
      </c:barChart>
      <c:catAx>
        <c:axId val="128828337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Nature of the groups</a:t>
                </a:r>
              </a:p>
            </c:rich>
          </c:tx>
          <c:layout>
            <c:manualLayout>
              <c:xMode val="edge"/>
              <c:yMode val="edge"/>
              <c:x val="0.69376268591426071"/>
              <c:y val="0.891203703703703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333775"/>
        <c:crosses val="autoZero"/>
        <c:auto val="1"/>
        <c:lblAlgn val="ctr"/>
        <c:lblOffset val="100"/>
        <c:noMultiLvlLbl val="0"/>
      </c:catAx>
      <c:valAx>
        <c:axId val="1288333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ALAT Levels </a:t>
                </a:r>
                <a:endParaRPr lang="fr-FR"/>
              </a:p>
            </c:rich>
          </c:tx>
          <c:layout>
            <c:manualLayout>
              <c:xMode val="edge"/>
              <c:yMode val="edge"/>
              <c:x val="2.2222222222222223E-2"/>
              <c:y val="0.226334937299504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283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2BE11-3B98-45A2-91E9-34C640384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13</Pages>
  <Words>5764</Words>
  <Characters>32858</Characters>
  <Application>Microsoft Office Word</Application>
  <DocSecurity>0</DocSecurity>
  <Lines>273</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38545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7</cp:revision>
  <cp:lastPrinted>1999-07-06T11:00:00Z</cp:lastPrinted>
  <dcterms:created xsi:type="dcterms:W3CDTF">2026-04-11T12:12:00Z</dcterms:created>
  <dcterms:modified xsi:type="dcterms:W3CDTF">2026-04-15T09:48:00Z</dcterms:modified>
</cp:coreProperties>
</file>