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E4EC4" w14:textId="24817F98" w:rsidR="00714918" w:rsidRPr="007623FC" w:rsidRDefault="004442CB" w:rsidP="007623FC">
      <w:pPr>
        <w:keepNext/>
        <w:keepLines/>
        <w:spacing w:before="360" w:after="80" w:line="256" w:lineRule="auto"/>
        <w:jc w:val="both"/>
        <w:outlineLvl w:val="0"/>
        <w:rPr>
          <w:rFonts w:ascii="Times New Roman" w:eastAsia="Times New Roman" w:hAnsi="Times New Roman" w:cs="Times New Roman"/>
          <w:b/>
          <w:bCs/>
          <w:color w:val="000000" w:themeColor="text1"/>
          <w:sz w:val="28"/>
          <w:szCs w:val="28"/>
        </w:rPr>
      </w:pPr>
      <w:bookmarkStart w:id="0" w:name="_Toc224021320"/>
      <w:r w:rsidRPr="007623FC">
        <w:rPr>
          <w:rFonts w:ascii="Times New Roman" w:eastAsia="Times New Roman" w:hAnsi="Times New Roman" w:cs="Times New Roman"/>
          <w:b/>
          <w:bCs/>
          <w:color w:val="000000" w:themeColor="text1"/>
          <w:sz w:val="28"/>
          <w:szCs w:val="28"/>
        </w:rPr>
        <w:t>Regeneration</w:t>
      </w:r>
      <w:r w:rsidR="007623FC" w:rsidRPr="007623FC">
        <w:rPr>
          <w:rFonts w:ascii="Times New Roman" w:eastAsia="Times New Roman" w:hAnsi="Times New Roman" w:cs="Times New Roman"/>
          <w:b/>
          <w:bCs/>
          <w:color w:val="000000" w:themeColor="text1"/>
          <w:sz w:val="28"/>
          <w:szCs w:val="28"/>
        </w:rPr>
        <w:t xml:space="preserve"> of </w:t>
      </w:r>
      <w:r>
        <w:rPr>
          <w:rFonts w:ascii="Times New Roman" w:eastAsia="Times New Roman" w:hAnsi="Times New Roman" w:cs="Times New Roman"/>
          <w:b/>
          <w:bCs/>
          <w:color w:val="000000" w:themeColor="text1"/>
          <w:sz w:val="28"/>
          <w:szCs w:val="28"/>
        </w:rPr>
        <w:t>spent</w:t>
      </w:r>
      <w:r w:rsidR="007623FC">
        <w:rPr>
          <w:rFonts w:ascii="Times New Roman" w:eastAsia="Times New Roman" w:hAnsi="Times New Roman" w:cs="Times New Roman"/>
          <w:b/>
          <w:bCs/>
          <w:color w:val="000000" w:themeColor="text1"/>
          <w:sz w:val="28"/>
          <w:szCs w:val="28"/>
        </w:rPr>
        <w:t xml:space="preserve"> </w:t>
      </w:r>
      <w:r w:rsidR="007623FC" w:rsidRPr="007623FC">
        <w:rPr>
          <w:rFonts w:ascii="Times New Roman" w:eastAsia="Times New Roman" w:hAnsi="Times New Roman" w:cs="Times New Roman"/>
          <w:b/>
          <w:bCs/>
          <w:color w:val="000000" w:themeColor="text1"/>
          <w:sz w:val="28"/>
          <w:szCs w:val="28"/>
        </w:rPr>
        <w:t xml:space="preserve">Transformer Oil </w:t>
      </w:r>
      <w:r>
        <w:rPr>
          <w:rFonts w:ascii="Times New Roman" w:eastAsia="Times New Roman" w:hAnsi="Times New Roman" w:cs="Times New Roman"/>
          <w:b/>
          <w:bCs/>
          <w:color w:val="000000" w:themeColor="text1"/>
          <w:sz w:val="28"/>
          <w:szCs w:val="28"/>
        </w:rPr>
        <w:t xml:space="preserve">using </w:t>
      </w:r>
      <w:r w:rsidR="007623FC" w:rsidRPr="007623FC">
        <w:rPr>
          <w:rFonts w:ascii="Times New Roman" w:eastAsia="Times New Roman" w:hAnsi="Times New Roman" w:cs="Times New Roman"/>
          <w:b/>
          <w:bCs/>
          <w:color w:val="000000" w:themeColor="text1"/>
          <w:sz w:val="28"/>
          <w:szCs w:val="28"/>
        </w:rPr>
        <w:t>Coconut Shell</w:t>
      </w:r>
      <w:r>
        <w:rPr>
          <w:rFonts w:ascii="Times New Roman" w:eastAsia="Times New Roman" w:hAnsi="Times New Roman" w:cs="Times New Roman"/>
          <w:b/>
          <w:bCs/>
          <w:color w:val="000000" w:themeColor="text1"/>
          <w:sz w:val="28"/>
          <w:szCs w:val="28"/>
        </w:rPr>
        <w:t xml:space="preserve"> </w:t>
      </w:r>
      <w:bookmarkStart w:id="1" w:name="_GoBack"/>
      <w:bookmarkEnd w:id="1"/>
      <w:r>
        <w:rPr>
          <w:rFonts w:ascii="Times New Roman" w:eastAsia="Times New Roman" w:hAnsi="Times New Roman" w:cs="Times New Roman"/>
          <w:b/>
          <w:bCs/>
          <w:color w:val="000000" w:themeColor="text1"/>
          <w:sz w:val="28"/>
          <w:szCs w:val="28"/>
        </w:rPr>
        <w:t>deriv</w:t>
      </w:r>
      <w:r w:rsidR="007623FC">
        <w:rPr>
          <w:rFonts w:ascii="Times New Roman" w:eastAsia="Times New Roman" w:hAnsi="Times New Roman" w:cs="Times New Roman"/>
          <w:b/>
          <w:bCs/>
          <w:color w:val="000000" w:themeColor="text1"/>
          <w:sz w:val="28"/>
          <w:szCs w:val="28"/>
        </w:rPr>
        <w:t>ed</w:t>
      </w:r>
      <w:r w:rsidR="007623FC" w:rsidRPr="007623FC">
        <w:rPr>
          <w:rFonts w:ascii="Times New Roman" w:eastAsia="Times New Roman" w:hAnsi="Times New Roman" w:cs="Times New Roman"/>
          <w:b/>
          <w:bCs/>
          <w:color w:val="000000" w:themeColor="text1"/>
          <w:sz w:val="28"/>
          <w:szCs w:val="28"/>
        </w:rPr>
        <w:t xml:space="preserve"> Activated Carbon</w:t>
      </w:r>
    </w:p>
    <w:p w14:paraId="18BE0CB4" w14:textId="0A926FF9" w:rsidR="0078026E" w:rsidRDefault="003452F6">
      <w:pPr>
        <w:keepNext/>
        <w:keepLines/>
        <w:spacing w:before="360" w:after="80" w:line="256" w:lineRule="auto"/>
        <w:jc w:val="both"/>
        <w:outlineLvl w:val="0"/>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sz w:val="28"/>
          <w:szCs w:val="28"/>
          <w:lang w:val="en-US"/>
        </w:rPr>
        <w:t>Abstract</w:t>
      </w:r>
      <w:bookmarkEnd w:id="0"/>
    </w:p>
    <w:p w14:paraId="2636D1C4" w14:textId="7E5D9DAE" w:rsidR="007623FC" w:rsidRPr="007623FC" w:rsidRDefault="00265378" w:rsidP="007623FC">
      <w:pPr>
        <w:spacing w:line="240" w:lineRule="auto"/>
        <w:jc w:val="both"/>
        <w:rPr>
          <w:rFonts w:ascii="Times New Roman" w:eastAsia="Calibri" w:hAnsi="Times New Roman" w:cs="Times New Roman"/>
          <w:color w:val="000000" w:themeColor="text1"/>
        </w:rPr>
      </w:pPr>
      <w:r w:rsidRPr="00265378">
        <w:rPr>
          <w:rFonts w:ascii="Times New Roman" w:eastAsia="Calibri" w:hAnsi="Times New Roman" w:cs="Times New Roman"/>
          <w:color w:val="000000" w:themeColor="text1"/>
        </w:rPr>
        <w:t>The reliability of power transformers depends on the insulating oil, which performs the critical dual role of dielectric medium and coolant. Degradation from thermal and oxidative stress produces harmful contaminants like acids and moisture which severely reduce the dielectric strength of the oil, thus necessitating sustainable regeneration to rejuvenate its functionality. The need for sustainable alternatives as adsorbent abounds because conventional adsorbents such as activated alumina are non-renewable and expensive. This study investigated the regeneration of spent transformer oil using activated carbon derived from coconut shells as a low-cost and eco-friendly adsorbent. The coconut shells were carbonized at 800 °C and chemically activated with 1 M sodium bicarbonate to enhance porosity and surface area. The degraded transformer oil was treated under controlled conditions, and its physicochemical properties including moisture content, viscosity, acid number, color, and dielectric breakdown voltage were analyzed before and after regeneration. The regeneration performance was assessed at varied temperatures of 60,80 and 100 ⁰C at constant time of 30 min. Also, regeneration performance was assessed at contact time of 45 and 60 min at a constant temperature of 80 ⁰C. The results revealed a significant improvement in oil quality: Acid number reduced from 4.21 mg KOH/g to 2.11 mg KOH/g (49.8 % performance recovery), viscosity decreased from 9.19 cP to 8.67 cP (5.66 % recovery) and dielectric breakdown voltage increased from 7.8 kV to 25.2 kV (223 % recovery). These findings confirm that coconut shell–based activated carbon effectively restores the properties of spent transformer oil, providing a sustainable, economical, and environme</w:t>
      </w:r>
      <w:r w:rsidR="007623FC" w:rsidRPr="007623FC">
        <w:rPr>
          <w:rFonts w:ascii="Times New Roman" w:eastAsia="Calibri" w:hAnsi="Times New Roman" w:cs="Times New Roman"/>
          <w:color w:val="000000" w:themeColor="text1"/>
        </w:rPr>
        <w:t>.</w:t>
      </w:r>
    </w:p>
    <w:p w14:paraId="201A0779" w14:textId="425A054D" w:rsidR="007623FC" w:rsidRPr="007623FC" w:rsidRDefault="007623FC" w:rsidP="007623FC">
      <w:pPr>
        <w:spacing w:line="240" w:lineRule="auto"/>
        <w:jc w:val="both"/>
        <w:rPr>
          <w:rFonts w:ascii="Times New Roman" w:eastAsia="Calibri" w:hAnsi="Times New Roman" w:cs="Times New Roman"/>
          <w:color w:val="000000" w:themeColor="text1"/>
        </w:rPr>
      </w:pPr>
    </w:p>
    <w:p w14:paraId="0DF36A26" w14:textId="77777777" w:rsidR="0078026E" w:rsidRDefault="0078026E">
      <w:pPr>
        <w:spacing w:line="240" w:lineRule="auto"/>
        <w:jc w:val="both"/>
        <w:rPr>
          <w:rFonts w:ascii="Times New Roman" w:eastAsia="Calibri" w:hAnsi="Times New Roman" w:cs="Times New Roman"/>
          <w:color w:val="000000" w:themeColor="text1"/>
          <w:lang w:val="en-US"/>
        </w:rPr>
      </w:pPr>
    </w:p>
    <w:p w14:paraId="4E3BF01F" w14:textId="1A4A6B0E"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 Keywords: regeneration, adsorbent, degradation, physicochemical, spent transformer oil, dielectric strength</w:t>
      </w:r>
      <w:r w:rsidR="00265378">
        <w:rPr>
          <w:rFonts w:ascii="Times New Roman" w:eastAsia="Calibri" w:hAnsi="Times New Roman" w:cs="Times New Roman"/>
          <w:color w:val="000000" w:themeColor="text1"/>
          <w:lang w:val="en-US"/>
        </w:rPr>
        <w:t>, coconut shell, activated carbon</w:t>
      </w:r>
    </w:p>
    <w:p w14:paraId="6C77B791" w14:textId="77777777" w:rsidR="0078026E" w:rsidRDefault="003452F6">
      <w:pPr>
        <w:keepNext/>
        <w:keepLines/>
        <w:spacing w:before="360" w:after="80" w:line="240" w:lineRule="auto"/>
        <w:jc w:val="both"/>
        <w:outlineLvl w:val="0"/>
        <w:rPr>
          <w:rFonts w:ascii="Times New Roman" w:eastAsia="Times New Roman" w:hAnsi="Times New Roman" w:cs="Times New Roman"/>
          <w:b/>
          <w:bCs/>
          <w:color w:val="000000" w:themeColor="text1"/>
          <w:sz w:val="28"/>
          <w:szCs w:val="28"/>
          <w:lang w:val="en-US"/>
        </w:rPr>
      </w:pPr>
      <w:bookmarkStart w:id="2" w:name="_Toc214356156"/>
      <w:bookmarkStart w:id="3" w:name="_Toc224021326"/>
      <w:bookmarkStart w:id="4" w:name="_Toc214347842"/>
      <w:r>
        <w:rPr>
          <w:rFonts w:ascii="Times New Roman" w:eastAsia="Times New Roman" w:hAnsi="Times New Roman" w:cs="Times New Roman"/>
          <w:b/>
          <w:bCs/>
          <w:color w:val="000000" w:themeColor="text1"/>
          <w:sz w:val="28"/>
          <w:szCs w:val="28"/>
          <w:lang w:val="en-US"/>
        </w:rPr>
        <w:t>1.0 Introducti</w:t>
      </w:r>
      <w:bookmarkEnd w:id="2"/>
      <w:bookmarkEnd w:id="3"/>
      <w:bookmarkEnd w:id="4"/>
      <w:r>
        <w:rPr>
          <w:rFonts w:ascii="Times New Roman" w:eastAsia="Times New Roman" w:hAnsi="Times New Roman" w:cs="Times New Roman"/>
          <w:b/>
          <w:bCs/>
          <w:color w:val="000000" w:themeColor="text1"/>
          <w:sz w:val="28"/>
          <w:szCs w:val="28"/>
          <w:lang w:val="en-US"/>
        </w:rPr>
        <w:t>on</w:t>
      </w:r>
    </w:p>
    <w:p w14:paraId="2292680F" w14:textId="5BBC4D5C" w:rsidR="009B10F9" w:rsidRPr="009B10F9" w:rsidRDefault="003452F6" w:rsidP="009B10F9">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performance of power transformers is critical for electricity distribution networks because transformers depend heavily on insulating oils to provide both electrical insulation and cooling functions. Over a long period of operation, degradation occurs in transformer oils due to thermal stress, oxidation, and moisture absorption leading to the formation of sludge, acids, and other contaminants that compromise dielectric strength. The regeneration process helps improve critical properties of the oil.  Although there are conventional approaches to addressing spent transformer oil which could involve either complete replacement or industrial regeneration processes, both method present significant economic and environmental challenges. In developing nations like Nigeria, where power infrastructure maintenance budgets are constrained, the cost of transformer oil replacement poses a substantial burden. Recent data indicates that Nigerian electricity distribution companies spend an average of ₦4.5 million annually per transformer on oil replacement. </w:t>
      </w:r>
      <w:r w:rsidR="009B10F9" w:rsidRPr="009B10F9">
        <w:rPr>
          <w:rFonts w:ascii="Times New Roman" w:eastAsia="Calibri" w:hAnsi="Times New Roman" w:cs="Times New Roman"/>
          <w:color w:val="000000" w:themeColor="text1"/>
          <w:lang w:val="en-US"/>
        </w:rPr>
        <w:t>(</w:t>
      </w:r>
      <w:r w:rsidR="009B10F9" w:rsidRPr="00E343F6">
        <w:rPr>
          <w:rFonts w:ascii="Times New Roman" w:eastAsia="Calibri" w:hAnsi="Times New Roman" w:cs="Times New Roman"/>
          <w:color w:val="00B0F0"/>
          <w:lang w:val="en-US"/>
        </w:rPr>
        <w:t xml:space="preserve">Liu et al., 2015; </w:t>
      </w:r>
      <w:proofErr w:type="spellStart"/>
      <w:r w:rsidR="009B10F9" w:rsidRPr="00E343F6">
        <w:rPr>
          <w:rFonts w:ascii="Times New Roman" w:eastAsia="Calibri" w:hAnsi="Times New Roman" w:cs="Times New Roman"/>
          <w:color w:val="00B0F0"/>
          <w:lang w:val="en-US"/>
        </w:rPr>
        <w:t>Saffidine</w:t>
      </w:r>
      <w:proofErr w:type="spellEnd"/>
      <w:r w:rsidR="009B10F9" w:rsidRPr="00E343F6">
        <w:rPr>
          <w:rFonts w:ascii="Times New Roman" w:eastAsia="Calibri" w:hAnsi="Times New Roman" w:cs="Times New Roman"/>
          <w:color w:val="00B0F0"/>
          <w:lang w:val="en-US"/>
        </w:rPr>
        <w:t xml:space="preserve"> et al, 2017; </w:t>
      </w:r>
      <w:proofErr w:type="spellStart"/>
      <w:r w:rsidR="009B10F9" w:rsidRPr="00E343F6">
        <w:rPr>
          <w:rFonts w:ascii="Times New Roman" w:eastAsia="Calibri" w:hAnsi="Times New Roman" w:cs="Times New Roman"/>
          <w:color w:val="00B0F0"/>
          <w:lang w:val="en-US"/>
        </w:rPr>
        <w:t>Basu</w:t>
      </w:r>
      <w:proofErr w:type="spellEnd"/>
      <w:r w:rsidR="009B10F9" w:rsidRPr="00E343F6">
        <w:rPr>
          <w:rFonts w:ascii="Times New Roman" w:eastAsia="Calibri" w:hAnsi="Times New Roman" w:cs="Times New Roman"/>
          <w:color w:val="00B0F0"/>
          <w:lang w:val="en-US"/>
        </w:rPr>
        <w:t xml:space="preserve"> et al, 2020</w:t>
      </w:r>
      <w:r w:rsidR="00D42B15" w:rsidRPr="00E343F6">
        <w:rPr>
          <w:rFonts w:ascii="Times New Roman" w:eastAsia="Calibri" w:hAnsi="Times New Roman" w:cs="Times New Roman"/>
          <w:color w:val="00B0F0"/>
          <w:lang w:val="en-US"/>
        </w:rPr>
        <w:t>, NERC, 2020</w:t>
      </w:r>
      <w:r w:rsidR="009B10F9" w:rsidRPr="009B10F9">
        <w:rPr>
          <w:rFonts w:ascii="Times New Roman" w:eastAsia="Calibri" w:hAnsi="Times New Roman" w:cs="Times New Roman"/>
          <w:color w:val="000000" w:themeColor="text1"/>
          <w:lang w:val="en-US"/>
        </w:rPr>
        <w:t>).</w:t>
      </w:r>
    </w:p>
    <w:p w14:paraId="47CA1B81" w14:textId="65AECF9A" w:rsidR="0078026E" w:rsidRDefault="0078026E">
      <w:pPr>
        <w:spacing w:line="240" w:lineRule="auto"/>
        <w:jc w:val="both"/>
        <w:rPr>
          <w:rFonts w:ascii="Times New Roman" w:eastAsia="Calibri" w:hAnsi="Times New Roman" w:cs="Times New Roman"/>
          <w:color w:val="000000" w:themeColor="text1"/>
          <w:lang w:val="en-US"/>
        </w:rPr>
      </w:pPr>
    </w:p>
    <w:p w14:paraId="2F8DF802" w14:textId="0AC7425D"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There are physical and chemical methods that are conventionally used to regenerate transformer oils. The physical methods include mechanical filtration, thermal settling and decantation, vacuum dehydration and degassing under vacuum. Using these methods, suspended particles are removed, heavier particles settle to enable decantation, moisture content is reduced and dielectric strength of the oil is improved </w:t>
      </w:r>
      <w:r w:rsidR="009B10F9" w:rsidRPr="009B10F9">
        <w:rPr>
          <w:rFonts w:ascii="Times New Roman" w:eastAsia="Calibri" w:hAnsi="Times New Roman" w:cs="Times New Roman"/>
          <w:color w:val="000000" w:themeColor="text1"/>
          <w:lang w:val="en-US"/>
        </w:rPr>
        <w:t>(</w:t>
      </w:r>
      <w:proofErr w:type="spellStart"/>
      <w:r w:rsidR="009B10F9" w:rsidRPr="00E343F6">
        <w:rPr>
          <w:rFonts w:ascii="Times New Roman" w:eastAsia="Calibri" w:hAnsi="Times New Roman" w:cs="Times New Roman"/>
          <w:color w:val="00B0F0"/>
          <w:lang w:val="en-US"/>
        </w:rPr>
        <w:t>Selvi</w:t>
      </w:r>
      <w:proofErr w:type="spellEnd"/>
      <w:r w:rsidR="009B10F9" w:rsidRPr="00E343F6">
        <w:rPr>
          <w:rFonts w:ascii="Times New Roman" w:eastAsia="Calibri" w:hAnsi="Times New Roman" w:cs="Times New Roman"/>
          <w:color w:val="00B0F0"/>
          <w:lang w:val="en-US"/>
        </w:rPr>
        <w:t xml:space="preserve"> et al, 2024</w:t>
      </w:r>
      <w:r w:rsidR="009B10F9" w:rsidRPr="009B10F9">
        <w:rPr>
          <w:rFonts w:ascii="Times New Roman" w:eastAsia="Calibri" w:hAnsi="Times New Roman" w:cs="Times New Roman"/>
          <w:color w:val="000000" w:themeColor="text1"/>
          <w:lang w:val="en-US"/>
        </w:rPr>
        <w:t>)</w:t>
      </w:r>
      <w:r>
        <w:rPr>
          <w:rFonts w:ascii="Times New Roman" w:eastAsia="Calibri" w:hAnsi="Times New Roman" w:cs="Times New Roman"/>
          <w:color w:val="000000" w:themeColor="text1"/>
          <w:lang w:val="en-US"/>
        </w:rPr>
        <w:t xml:space="preserve">. </w:t>
      </w:r>
    </w:p>
    <w:p w14:paraId="0ECC15A2" w14:textId="77777777" w:rsidR="009B10F9" w:rsidRPr="009B10F9" w:rsidRDefault="003452F6" w:rsidP="009B10F9">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chemical methods include oxidation and precipitation, hydrogen peroxide assisted oxidation and acid-alkali neutralization. Through these methods, soluble oxidized species are decomposed and removed, harmful residues are reduced and dielectric properties are improved, and acid degradation products are removed</w:t>
      </w:r>
      <w:r w:rsidR="009B10F9">
        <w:rPr>
          <w:rFonts w:ascii="Times New Roman" w:eastAsia="Calibri" w:hAnsi="Times New Roman" w:cs="Times New Roman"/>
          <w:color w:val="000000" w:themeColor="text1"/>
          <w:lang w:val="en-US"/>
        </w:rPr>
        <w:t xml:space="preserve"> </w:t>
      </w:r>
      <w:r w:rsidR="009B10F9" w:rsidRPr="009B10F9">
        <w:rPr>
          <w:rFonts w:ascii="Times New Roman" w:eastAsia="Calibri" w:hAnsi="Times New Roman" w:cs="Times New Roman"/>
          <w:color w:val="000000" w:themeColor="text1"/>
          <w:lang w:val="en-US"/>
        </w:rPr>
        <w:t>(</w:t>
      </w:r>
      <w:proofErr w:type="spellStart"/>
      <w:r w:rsidR="009B10F9" w:rsidRPr="00E343F6">
        <w:rPr>
          <w:rFonts w:ascii="Times New Roman" w:eastAsia="Calibri" w:hAnsi="Times New Roman" w:cs="Times New Roman"/>
          <w:color w:val="00B0F0"/>
          <w:lang w:val="en-US"/>
        </w:rPr>
        <w:t>Macuzic</w:t>
      </w:r>
      <w:proofErr w:type="spellEnd"/>
      <w:r w:rsidR="009B10F9" w:rsidRPr="00E343F6">
        <w:rPr>
          <w:rFonts w:ascii="Times New Roman" w:eastAsia="Calibri" w:hAnsi="Times New Roman" w:cs="Times New Roman"/>
          <w:color w:val="00B0F0"/>
          <w:lang w:val="en-US"/>
        </w:rPr>
        <w:t xml:space="preserve"> and Jeremic, 2002; </w:t>
      </w:r>
      <w:proofErr w:type="spellStart"/>
      <w:r w:rsidR="009B10F9" w:rsidRPr="00E343F6">
        <w:rPr>
          <w:rFonts w:ascii="Times New Roman" w:eastAsia="Calibri" w:hAnsi="Times New Roman" w:cs="Times New Roman"/>
          <w:color w:val="00B0F0"/>
          <w:lang w:val="en-US"/>
        </w:rPr>
        <w:t>Hassanpour</w:t>
      </w:r>
      <w:proofErr w:type="spellEnd"/>
      <w:r w:rsidR="009B10F9" w:rsidRPr="00E343F6">
        <w:rPr>
          <w:rFonts w:ascii="Times New Roman" w:eastAsia="Calibri" w:hAnsi="Times New Roman" w:cs="Times New Roman"/>
          <w:color w:val="00B0F0"/>
          <w:lang w:val="en-US"/>
        </w:rPr>
        <w:t xml:space="preserve">, 2021; </w:t>
      </w:r>
      <w:proofErr w:type="spellStart"/>
      <w:r w:rsidR="009B10F9" w:rsidRPr="00E343F6">
        <w:rPr>
          <w:rFonts w:ascii="Times New Roman" w:eastAsia="Calibri" w:hAnsi="Times New Roman" w:cs="Times New Roman"/>
          <w:color w:val="00B0F0"/>
          <w:lang w:val="en-US"/>
        </w:rPr>
        <w:t>Yusupov</w:t>
      </w:r>
      <w:proofErr w:type="spellEnd"/>
      <w:r w:rsidR="009B10F9" w:rsidRPr="00E343F6">
        <w:rPr>
          <w:rFonts w:ascii="Times New Roman" w:eastAsia="Calibri" w:hAnsi="Times New Roman" w:cs="Times New Roman"/>
          <w:color w:val="00B0F0"/>
          <w:lang w:val="en-US"/>
        </w:rPr>
        <w:t xml:space="preserve"> and </w:t>
      </w:r>
      <w:proofErr w:type="spellStart"/>
      <w:r w:rsidR="009B10F9" w:rsidRPr="00E343F6">
        <w:rPr>
          <w:rFonts w:ascii="Times New Roman" w:eastAsia="Calibri" w:hAnsi="Times New Roman" w:cs="Times New Roman"/>
          <w:color w:val="00B0F0"/>
          <w:lang w:val="en-US"/>
        </w:rPr>
        <w:t>Avazov</w:t>
      </w:r>
      <w:proofErr w:type="spellEnd"/>
      <w:r w:rsidR="009B10F9" w:rsidRPr="00E343F6">
        <w:rPr>
          <w:rFonts w:ascii="Times New Roman" w:eastAsia="Calibri" w:hAnsi="Times New Roman" w:cs="Times New Roman"/>
          <w:color w:val="00B0F0"/>
          <w:lang w:val="en-US"/>
        </w:rPr>
        <w:t>, 2025</w:t>
      </w:r>
      <w:r w:rsidR="009B10F9" w:rsidRPr="009B10F9">
        <w:rPr>
          <w:rFonts w:ascii="Times New Roman" w:eastAsia="Calibri" w:hAnsi="Times New Roman" w:cs="Times New Roman"/>
          <w:color w:val="000000" w:themeColor="text1"/>
          <w:lang w:val="en-US"/>
        </w:rPr>
        <w:t>)</w:t>
      </w:r>
      <w:r>
        <w:rPr>
          <w:rFonts w:ascii="Times New Roman" w:eastAsia="Calibri" w:hAnsi="Times New Roman" w:cs="Times New Roman"/>
          <w:color w:val="000000" w:themeColor="text1"/>
          <w:lang w:val="en-US"/>
        </w:rPr>
        <w:t xml:space="preserve">. Unfortunately, due to the expensive cost of transformer oil replacement and the improper disposal of </w:t>
      </w:r>
      <w:proofErr w:type="gramStart"/>
      <w:r>
        <w:rPr>
          <w:rFonts w:ascii="Times New Roman" w:eastAsia="Calibri" w:hAnsi="Times New Roman" w:cs="Times New Roman"/>
          <w:color w:val="000000" w:themeColor="text1"/>
          <w:lang w:val="en-US"/>
        </w:rPr>
        <w:t>spent  transformer</w:t>
      </w:r>
      <w:proofErr w:type="gramEnd"/>
      <w:r>
        <w:rPr>
          <w:rFonts w:ascii="Times New Roman" w:eastAsia="Calibri" w:hAnsi="Times New Roman" w:cs="Times New Roman"/>
          <w:color w:val="000000" w:themeColor="text1"/>
          <w:lang w:val="en-US"/>
        </w:rPr>
        <w:t xml:space="preserve"> oil, environmental hazards occur, because these oils may contain polychlorinated biphenyls (PCBs) and other toxic compounds</w:t>
      </w:r>
      <w:r w:rsidR="009B10F9">
        <w:rPr>
          <w:rFonts w:ascii="Times New Roman" w:eastAsia="Calibri" w:hAnsi="Times New Roman" w:cs="Times New Roman"/>
          <w:color w:val="000000" w:themeColor="text1"/>
          <w:lang w:val="en-US"/>
        </w:rPr>
        <w:t xml:space="preserve"> </w:t>
      </w:r>
      <w:r w:rsidR="009B10F9" w:rsidRPr="009B10F9">
        <w:rPr>
          <w:rFonts w:ascii="Times New Roman" w:eastAsia="Calibri" w:hAnsi="Times New Roman" w:cs="Times New Roman"/>
          <w:color w:val="000000" w:themeColor="text1"/>
          <w:lang w:val="en-US"/>
        </w:rPr>
        <w:t>(</w:t>
      </w:r>
      <w:proofErr w:type="spellStart"/>
      <w:r w:rsidR="009B10F9" w:rsidRPr="005B2588">
        <w:rPr>
          <w:rFonts w:ascii="Times New Roman" w:eastAsia="Calibri" w:hAnsi="Times New Roman" w:cs="Times New Roman"/>
          <w:color w:val="00B0F0"/>
          <w:lang w:val="en-US"/>
        </w:rPr>
        <w:t>Pelitli</w:t>
      </w:r>
      <w:proofErr w:type="spellEnd"/>
      <w:r w:rsidR="009B10F9" w:rsidRPr="005B2588">
        <w:rPr>
          <w:rFonts w:ascii="Times New Roman" w:eastAsia="Calibri" w:hAnsi="Times New Roman" w:cs="Times New Roman"/>
          <w:color w:val="00B0F0"/>
          <w:lang w:val="en-US"/>
        </w:rPr>
        <w:t xml:space="preserve"> et al., 2015</w:t>
      </w:r>
      <w:r w:rsidR="009B10F9" w:rsidRPr="009B10F9">
        <w:rPr>
          <w:rFonts w:ascii="Times New Roman" w:eastAsia="Calibri" w:hAnsi="Times New Roman" w:cs="Times New Roman"/>
          <w:color w:val="000000" w:themeColor="text1"/>
          <w:lang w:val="en-US"/>
        </w:rPr>
        <w:t xml:space="preserve">). </w:t>
      </w:r>
    </w:p>
    <w:p w14:paraId="74703DE3" w14:textId="4666902A"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 </w:t>
      </w:r>
    </w:p>
    <w:p w14:paraId="11033384"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Also, conventional mineral based adsorbent such as activated alumina, bentonite and fuller’s earth being used for oil regeneration are non-renewable and difficult to dispose without posing hazard in the environment. These challenges have spurred interest in the development of sustainable regeneration methods that can extend transformer oil service life while minimizing costs and environmental impact. Agricultural waste materials have emerged as promising alternative for transformer oil regeneration due to their adsorptive properties and economic advantages. Nigeria generates approximately 50 million </w:t>
      </w:r>
      <w:proofErr w:type="spellStart"/>
      <w:r>
        <w:rPr>
          <w:rFonts w:ascii="Times New Roman" w:eastAsia="Calibri" w:hAnsi="Times New Roman" w:cs="Times New Roman"/>
          <w:color w:val="000000" w:themeColor="text1"/>
          <w:lang w:val="en-US"/>
        </w:rPr>
        <w:t>tonnes</w:t>
      </w:r>
      <w:proofErr w:type="spellEnd"/>
      <w:r>
        <w:rPr>
          <w:rFonts w:ascii="Times New Roman" w:eastAsia="Calibri" w:hAnsi="Times New Roman" w:cs="Times New Roman"/>
          <w:color w:val="000000" w:themeColor="text1"/>
          <w:lang w:val="en-US"/>
        </w:rPr>
        <w:t xml:space="preserve"> of agricultural waste annually, including coconut shells, palm kernel shells, and rice husks (FAO, 2021). Coconut shell is a by-product of coconut oil processing and its high carbon content makes it a potential raw material for activated carbon production.</w:t>
      </w:r>
    </w:p>
    <w:p w14:paraId="1093636B" w14:textId="07A8ED69" w:rsidR="006176C9"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Some studies have been carried out to investigate the use of coconut shells as adsorbent in the regeneration or rejuvenation of spent/degraded transformer oil.</w:t>
      </w:r>
      <w:r w:rsidR="009B10F9" w:rsidRPr="009B10F9">
        <w:rPr>
          <w:rFonts w:ascii="Times New Roman" w:eastAsia="Calibri" w:hAnsi="Times New Roman" w:cs="Times New Roman"/>
          <w:lang w:val="en-US"/>
        </w:rPr>
        <w:t xml:space="preserve"> </w:t>
      </w:r>
      <w:proofErr w:type="spellStart"/>
      <w:r w:rsidR="009B10F9" w:rsidRPr="005B2588">
        <w:rPr>
          <w:rFonts w:ascii="Times New Roman" w:eastAsia="Calibri" w:hAnsi="Times New Roman" w:cs="Times New Roman"/>
          <w:color w:val="00B0F0"/>
          <w:lang w:val="en-US"/>
        </w:rPr>
        <w:t>Okafoagu</w:t>
      </w:r>
      <w:proofErr w:type="spellEnd"/>
      <w:r w:rsidR="009B10F9" w:rsidRPr="005B2588">
        <w:rPr>
          <w:rFonts w:ascii="Times New Roman" w:eastAsia="Calibri" w:hAnsi="Times New Roman" w:cs="Times New Roman"/>
          <w:color w:val="00B0F0"/>
          <w:lang w:val="en-US"/>
        </w:rPr>
        <w:t xml:space="preserve"> et al. (2025) demonstrated that activated carbon derived from palm kernel shells could increase breakdown voltage from 10 kV to 60 kV while reducing acidity from 0.821 mg KOH/g to 0.003mg KOH/g</w:t>
      </w:r>
      <w:r w:rsidRPr="005B2588">
        <w:rPr>
          <w:rFonts w:ascii="Times New Roman" w:eastAsia="Calibri" w:hAnsi="Times New Roman" w:cs="Times New Roman"/>
          <w:color w:val="00B0F0"/>
          <w:lang w:val="en-US"/>
        </w:rPr>
        <w:t xml:space="preserve">. </w:t>
      </w:r>
      <w:r>
        <w:rPr>
          <w:rFonts w:ascii="Times New Roman" w:eastAsia="Calibri" w:hAnsi="Times New Roman" w:cs="Times New Roman"/>
          <w:color w:val="000000" w:themeColor="text1"/>
          <w:lang w:val="en-US"/>
        </w:rPr>
        <w:t xml:space="preserve">Similarly, Adeoye and Olatunji (2019) found that acid-activated Nigerian clay achieved 80 % sludge removal efficiency. These findings suggest that locally available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 xml:space="preserve">-waste materials may offer a cost-effective alternative to commercial adsorbents like Fuller's earth. Yahya et al. (2015) reported that the adsorptive capacity of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 xml:space="preserve">-wastes adsorption lies in their porous structure and surface chemistry and when properly activated through pyrolysis or chemical treatment, these materials develop extensive surface areas (300-1000 m²/g) and functional groups that can trap polar compounds. </w:t>
      </w:r>
      <w:proofErr w:type="spellStart"/>
      <w:r w:rsidR="00E17798" w:rsidRPr="00E17798">
        <w:rPr>
          <w:rFonts w:ascii="Times New Roman" w:eastAsia="Calibri" w:hAnsi="Times New Roman" w:cs="Times New Roman"/>
          <w:color w:val="00B0F0"/>
          <w:lang w:val="en-US"/>
        </w:rPr>
        <w:t>C</w:t>
      </w:r>
      <w:r w:rsidR="006711F9" w:rsidRPr="00E17798">
        <w:rPr>
          <w:rFonts w:ascii="Times New Roman" w:eastAsia="Calibri" w:hAnsi="Times New Roman" w:cs="Times New Roman"/>
          <w:color w:val="00B0F0"/>
          <w:lang w:val="en-US"/>
        </w:rPr>
        <w:t>hairul</w:t>
      </w:r>
      <w:proofErr w:type="spellEnd"/>
      <w:r w:rsidR="00AD5D04" w:rsidRPr="00E17798">
        <w:rPr>
          <w:rFonts w:ascii="Times New Roman" w:eastAsia="Calibri" w:hAnsi="Times New Roman" w:cs="Times New Roman"/>
          <w:color w:val="00B0F0"/>
          <w:lang w:val="en-US"/>
        </w:rPr>
        <w:t xml:space="preserve"> et al</w:t>
      </w:r>
      <w:r w:rsidRPr="00E17798">
        <w:rPr>
          <w:rFonts w:ascii="Times New Roman" w:eastAsia="Calibri" w:hAnsi="Times New Roman" w:cs="Times New Roman"/>
          <w:color w:val="00B0F0"/>
          <w:lang w:val="en-US"/>
        </w:rPr>
        <w:t xml:space="preserve"> (20</w:t>
      </w:r>
      <w:r w:rsidR="00732AEE" w:rsidRPr="00E17798">
        <w:rPr>
          <w:rFonts w:ascii="Times New Roman" w:eastAsia="Calibri" w:hAnsi="Times New Roman" w:cs="Times New Roman"/>
          <w:color w:val="00B0F0"/>
          <w:lang w:val="en-US"/>
        </w:rPr>
        <w:t>20</w:t>
      </w:r>
      <w:r w:rsidRPr="00E17798">
        <w:rPr>
          <w:rFonts w:ascii="Times New Roman" w:eastAsia="Calibri" w:hAnsi="Times New Roman" w:cs="Times New Roman"/>
          <w:color w:val="00B0F0"/>
          <w:lang w:val="en-US"/>
        </w:rPr>
        <w:t xml:space="preserve">) investigated the regeneration </w:t>
      </w:r>
      <w:proofErr w:type="gramStart"/>
      <w:r w:rsidRPr="00E17798">
        <w:rPr>
          <w:rFonts w:ascii="Times New Roman" w:eastAsia="Calibri" w:hAnsi="Times New Roman" w:cs="Times New Roman"/>
          <w:color w:val="00B0F0"/>
          <w:lang w:val="en-US"/>
        </w:rPr>
        <w:t xml:space="preserve">of  </w:t>
      </w:r>
      <w:r w:rsidR="006176C9" w:rsidRPr="00E17798">
        <w:rPr>
          <w:rFonts w:ascii="Times New Roman" w:eastAsia="Calibri" w:hAnsi="Times New Roman" w:cs="Times New Roman"/>
          <w:color w:val="00B0F0"/>
          <w:lang w:val="en-US"/>
        </w:rPr>
        <w:t>aged</w:t>
      </w:r>
      <w:proofErr w:type="gramEnd"/>
      <w:r w:rsidR="006176C9" w:rsidRPr="00E17798">
        <w:rPr>
          <w:rFonts w:ascii="Times New Roman" w:eastAsia="Calibri" w:hAnsi="Times New Roman" w:cs="Times New Roman"/>
          <w:color w:val="00B0F0"/>
          <w:lang w:val="en-US"/>
        </w:rPr>
        <w:t xml:space="preserve"> </w:t>
      </w:r>
      <w:r w:rsidRPr="00E17798">
        <w:rPr>
          <w:rFonts w:ascii="Times New Roman" w:eastAsia="Calibri" w:hAnsi="Times New Roman" w:cs="Times New Roman"/>
          <w:color w:val="00B0F0"/>
          <w:lang w:val="en-US"/>
        </w:rPr>
        <w:t xml:space="preserve">transformer </w:t>
      </w:r>
      <w:r w:rsidR="006176C9" w:rsidRPr="00E17798">
        <w:rPr>
          <w:rFonts w:ascii="Times New Roman" w:eastAsia="Calibri" w:hAnsi="Times New Roman" w:cs="Times New Roman"/>
          <w:color w:val="00B0F0"/>
          <w:lang w:val="en-US"/>
        </w:rPr>
        <w:t xml:space="preserve">oil </w:t>
      </w:r>
      <w:r w:rsidR="00732AEE" w:rsidRPr="00E17798">
        <w:rPr>
          <w:rFonts w:ascii="Times New Roman" w:eastAsia="Calibri" w:hAnsi="Times New Roman" w:cs="Times New Roman"/>
          <w:color w:val="00B0F0"/>
          <w:lang w:val="en-US"/>
        </w:rPr>
        <w:t>based on a laboratory scale process</w:t>
      </w:r>
      <w:r w:rsidR="00202BD4" w:rsidRPr="00E17798">
        <w:rPr>
          <w:rFonts w:ascii="Times New Roman" w:eastAsia="Calibri" w:hAnsi="Times New Roman" w:cs="Times New Roman"/>
          <w:color w:val="00B0F0"/>
          <w:lang w:val="en-US"/>
        </w:rPr>
        <w:t xml:space="preserve"> using fuller’s earth</w:t>
      </w:r>
      <w:r w:rsidR="00732AEE" w:rsidRPr="00E17798">
        <w:rPr>
          <w:rFonts w:ascii="Times New Roman" w:eastAsia="Calibri" w:hAnsi="Times New Roman" w:cs="Times New Roman"/>
          <w:color w:val="00B0F0"/>
          <w:lang w:val="en-US"/>
        </w:rPr>
        <w:t>.</w:t>
      </w:r>
      <w:r w:rsidRPr="00E17798">
        <w:rPr>
          <w:rFonts w:ascii="Times New Roman" w:eastAsia="Calibri" w:hAnsi="Times New Roman" w:cs="Times New Roman"/>
          <w:color w:val="00B0F0"/>
          <w:lang w:val="en-US"/>
        </w:rPr>
        <w:t xml:space="preserve"> </w:t>
      </w:r>
      <w:r w:rsidR="00E12098" w:rsidRPr="00E17798">
        <w:rPr>
          <w:rFonts w:ascii="Times New Roman" w:eastAsia="Calibri" w:hAnsi="Times New Roman" w:cs="Times New Roman"/>
          <w:color w:val="00B0F0"/>
          <w:lang w:val="en-US"/>
        </w:rPr>
        <w:t xml:space="preserve">The breakdown voltage </w:t>
      </w:r>
      <w:r w:rsidR="007502F2" w:rsidRPr="00E17798">
        <w:rPr>
          <w:rFonts w:ascii="Times New Roman" w:eastAsia="Calibri" w:hAnsi="Times New Roman" w:cs="Times New Roman"/>
          <w:color w:val="00B0F0"/>
          <w:lang w:val="en-US"/>
        </w:rPr>
        <w:t>increased by 50% and the content of dissolved decay product</w:t>
      </w:r>
      <w:r w:rsidR="00E12098" w:rsidRPr="00E17798">
        <w:rPr>
          <w:rFonts w:ascii="Times New Roman" w:eastAsia="Calibri" w:hAnsi="Times New Roman" w:cs="Times New Roman"/>
          <w:color w:val="00B0F0"/>
          <w:lang w:val="en-US"/>
        </w:rPr>
        <w:t xml:space="preserve"> </w:t>
      </w:r>
      <w:r w:rsidR="007502F2" w:rsidRPr="00E17798">
        <w:rPr>
          <w:rFonts w:ascii="Times New Roman" w:eastAsia="Calibri" w:hAnsi="Times New Roman" w:cs="Times New Roman"/>
          <w:color w:val="00B0F0"/>
          <w:lang w:val="en-US"/>
        </w:rPr>
        <w:t xml:space="preserve">of </w:t>
      </w:r>
      <w:r w:rsidR="00E12098" w:rsidRPr="00E17798">
        <w:rPr>
          <w:rFonts w:ascii="Times New Roman" w:eastAsia="Calibri" w:hAnsi="Times New Roman" w:cs="Times New Roman"/>
          <w:color w:val="00B0F0"/>
          <w:lang w:val="en-US"/>
        </w:rPr>
        <w:t xml:space="preserve">the oil </w:t>
      </w:r>
      <w:r w:rsidR="007502F2" w:rsidRPr="00E17798">
        <w:rPr>
          <w:rFonts w:ascii="Times New Roman" w:eastAsia="Calibri" w:hAnsi="Times New Roman" w:cs="Times New Roman"/>
          <w:color w:val="00B0F0"/>
          <w:lang w:val="en-US"/>
        </w:rPr>
        <w:t xml:space="preserve">was decreased by </w:t>
      </w:r>
      <w:r w:rsidR="006176C9" w:rsidRPr="00E17798">
        <w:rPr>
          <w:rFonts w:ascii="Times New Roman" w:eastAsia="Calibri" w:hAnsi="Times New Roman" w:cs="Times New Roman"/>
          <w:color w:val="00B0F0"/>
          <w:lang w:val="en-US"/>
        </w:rPr>
        <w:t>25.24% resulting to 84.62% decrease in total acid number</w:t>
      </w:r>
      <w:r w:rsidR="00E17798">
        <w:rPr>
          <w:rFonts w:ascii="Times New Roman" w:eastAsia="Calibri" w:hAnsi="Times New Roman" w:cs="Times New Roman"/>
          <w:color w:val="00B0F0"/>
          <w:lang w:val="en-US"/>
        </w:rPr>
        <w:t>.</w:t>
      </w:r>
    </w:p>
    <w:p w14:paraId="645CA861" w14:textId="77777777" w:rsidR="00265378"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carboxyl and phenolic groups on activated carbon surfaces effectively remove acidic degradation products from transformer oil (</w:t>
      </w:r>
      <w:r w:rsidRPr="00182BCB">
        <w:rPr>
          <w:rFonts w:ascii="Times New Roman" w:eastAsia="Calibri" w:hAnsi="Times New Roman" w:cs="Times New Roman"/>
          <w:color w:val="00B0F0"/>
          <w:lang w:val="en-US"/>
        </w:rPr>
        <w:t>Zhang et al., 20</w:t>
      </w:r>
      <w:r w:rsidR="00182BCB" w:rsidRPr="00182BCB">
        <w:rPr>
          <w:rFonts w:ascii="Times New Roman" w:eastAsia="Calibri" w:hAnsi="Times New Roman" w:cs="Times New Roman"/>
          <w:color w:val="00B0F0"/>
          <w:lang w:val="en-US"/>
        </w:rPr>
        <w:t>26</w:t>
      </w:r>
      <w:r>
        <w:rPr>
          <w:rFonts w:ascii="Times New Roman" w:eastAsia="Calibri" w:hAnsi="Times New Roman" w:cs="Times New Roman"/>
          <w:color w:val="000000" w:themeColor="text1"/>
          <w:lang w:val="en-US"/>
        </w:rPr>
        <w:t>). This adsorption process not only restores oil properties but also aligns with circular economy principles by valorizing agricultural byproducts (</w:t>
      </w:r>
      <w:r w:rsidR="00DC2354" w:rsidRPr="00DC2354">
        <w:rPr>
          <w:rFonts w:ascii="Times New Roman" w:eastAsia="Calibri" w:hAnsi="Times New Roman" w:cs="Times New Roman"/>
          <w:color w:val="00B0F0"/>
          <w:lang w:val="en-US"/>
        </w:rPr>
        <w:t>Yahya</w:t>
      </w:r>
      <w:r w:rsidR="00D028BF">
        <w:rPr>
          <w:rFonts w:ascii="Times New Roman" w:eastAsia="Calibri" w:hAnsi="Times New Roman" w:cs="Times New Roman"/>
          <w:color w:val="00B0F0"/>
          <w:lang w:val="en-US"/>
        </w:rPr>
        <w:t xml:space="preserve"> et al.</w:t>
      </w:r>
      <w:r w:rsidRPr="00DC2354">
        <w:rPr>
          <w:rFonts w:ascii="Times New Roman" w:eastAsia="Calibri" w:hAnsi="Times New Roman" w:cs="Times New Roman"/>
          <w:color w:val="00B0F0"/>
          <w:lang w:val="en-US"/>
        </w:rPr>
        <w:t>,</w:t>
      </w:r>
      <w:r w:rsidR="00DC2354" w:rsidRPr="00DC2354">
        <w:rPr>
          <w:rFonts w:ascii="Times New Roman" w:eastAsia="Calibri" w:hAnsi="Times New Roman" w:cs="Times New Roman"/>
          <w:color w:val="00B0F0"/>
          <w:lang w:val="en-US"/>
        </w:rPr>
        <w:t xml:space="preserve"> </w:t>
      </w:r>
      <w:r w:rsidRPr="00DC2354">
        <w:rPr>
          <w:rFonts w:ascii="Times New Roman" w:eastAsia="Calibri" w:hAnsi="Times New Roman" w:cs="Times New Roman"/>
          <w:color w:val="00B0F0"/>
          <w:lang w:val="en-US"/>
        </w:rPr>
        <w:t>2015</w:t>
      </w:r>
      <w:r>
        <w:rPr>
          <w:rFonts w:ascii="Times New Roman" w:eastAsia="Calibri" w:hAnsi="Times New Roman" w:cs="Times New Roman"/>
          <w:color w:val="000000" w:themeColor="text1"/>
          <w:lang w:val="en-US"/>
        </w:rPr>
        <w:t xml:space="preserve">). Despite these advantages, significant research gaps remain in optimizing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-waste adsorbents for field applications. Most studies have focused on laboratory-</w:t>
      </w:r>
      <w:r>
        <w:rPr>
          <w:rFonts w:ascii="Times New Roman" w:eastAsia="Calibri" w:hAnsi="Times New Roman" w:cs="Times New Roman"/>
          <w:color w:val="000000" w:themeColor="text1"/>
          <w:lang w:val="en-US"/>
        </w:rPr>
        <w:lastRenderedPageBreak/>
        <w:t>scale experiments under controlled conditions, leaving questions about scalability and long-term performance (</w:t>
      </w:r>
      <w:r w:rsidR="000304CB" w:rsidRPr="00E6029D">
        <w:rPr>
          <w:rFonts w:ascii="Times New Roman" w:eastAsia="Calibri" w:hAnsi="Times New Roman" w:cs="Times New Roman"/>
          <w:color w:val="00B0F0"/>
          <w:lang w:val="en-US"/>
        </w:rPr>
        <w:t>Vu</w:t>
      </w:r>
      <w:r w:rsidRPr="00E6029D">
        <w:rPr>
          <w:rFonts w:ascii="Times New Roman" w:eastAsia="Calibri" w:hAnsi="Times New Roman" w:cs="Times New Roman"/>
          <w:color w:val="00B0F0"/>
          <w:lang w:val="en-US"/>
        </w:rPr>
        <w:t xml:space="preserve"> et al., 202</w:t>
      </w:r>
      <w:r w:rsidR="000304CB" w:rsidRPr="00E6029D">
        <w:rPr>
          <w:rFonts w:ascii="Times New Roman" w:eastAsia="Calibri" w:hAnsi="Times New Roman" w:cs="Times New Roman"/>
          <w:color w:val="00B0F0"/>
          <w:lang w:val="en-US"/>
        </w:rPr>
        <w:t xml:space="preserve">0; </w:t>
      </w:r>
      <w:proofErr w:type="spellStart"/>
      <w:r w:rsidR="000304CB" w:rsidRPr="00E6029D">
        <w:rPr>
          <w:rFonts w:ascii="Times New Roman" w:eastAsia="Calibri" w:hAnsi="Times New Roman" w:cs="Times New Roman"/>
          <w:color w:val="00B0F0"/>
          <w:lang w:val="en-US"/>
        </w:rPr>
        <w:t>Selvi</w:t>
      </w:r>
      <w:proofErr w:type="spellEnd"/>
      <w:r w:rsidR="000304CB" w:rsidRPr="00E6029D">
        <w:rPr>
          <w:rFonts w:ascii="Times New Roman" w:eastAsia="Calibri" w:hAnsi="Times New Roman" w:cs="Times New Roman"/>
          <w:color w:val="00B0F0"/>
          <w:lang w:val="en-US"/>
        </w:rPr>
        <w:t xml:space="preserve"> et al., 2024; </w:t>
      </w:r>
      <w:proofErr w:type="spellStart"/>
      <w:r w:rsidR="000304CB" w:rsidRPr="00E6029D">
        <w:rPr>
          <w:rFonts w:ascii="Times New Roman" w:eastAsia="Calibri" w:hAnsi="Times New Roman" w:cs="Times New Roman"/>
          <w:color w:val="00B0F0"/>
          <w:lang w:val="en-US"/>
        </w:rPr>
        <w:t>Yusupov</w:t>
      </w:r>
      <w:proofErr w:type="spellEnd"/>
      <w:r w:rsidR="000304CB" w:rsidRPr="00E6029D">
        <w:rPr>
          <w:rFonts w:ascii="Times New Roman" w:eastAsia="Calibri" w:hAnsi="Times New Roman" w:cs="Times New Roman"/>
          <w:color w:val="00B0F0"/>
          <w:lang w:val="en-US"/>
        </w:rPr>
        <w:t xml:space="preserve"> and </w:t>
      </w:r>
      <w:proofErr w:type="spellStart"/>
      <w:r w:rsidR="000304CB" w:rsidRPr="00E6029D">
        <w:rPr>
          <w:rFonts w:ascii="Times New Roman" w:eastAsia="Calibri" w:hAnsi="Times New Roman" w:cs="Times New Roman"/>
          <w:color w:val="00B0F0"/>
          <w:lang w:val="en-US"/>
        </w:rPr>
        <w:t>Avazov</w:t>
      </w:r>
      <w:proofErr w:type="spellEnd"/>
      <w:r w:rsidR="000304CB" w:rsidRPr="00E6029D">
        <w:rPr>
          <w:rFonts w:ascii="Times New Roman" w:eastAsia="Calibri" w:hAnsi="Times New Roman" w:cs="Times New Roman"/>
          <w:color w:val="00B0F0"/>
          <w:lang w:val="en-US"/>
        </w:rPr>
        <w:t>, 2025</w:t>
      </w:r>
      <w:r>
        <w:rPr>
          <w:rFonts w:ascii="Times New Roman" w:eastAsia="Calibri" w:hAnsi="Times New Roman" w:cs="Times New Roman"/>
          <w:color w:val="000000" w:themeColor="text1"/>
          <w:lang w:val="en-US"/>
        </w:rPr>
        <w:t xml:space="preserve">). In addition, there is limited comparative data on the effectiveness of different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-waste materials, particularly those abundant in sub-Saharan Africa. The variability in local agricultural waste composition also presents challenges for standardizing treatment protocols (</w:t>
      </w:r>
      <w:r w:rsidR="00D028BF" w:rsidRPr="00E6029D">
        <w:rPr>
          <w:rFonts w:ascii="Times New Roman" w:eastAsia="Calibri" w:hAnsi="Times New Roman" w:cs="Times New Roman"/>
          <w:color w:val="00B0F0"/>
          <w:lang w:val="en-US"/>
        </w:rPr>
        <w:t>Zh</w:t>
      </w:r>
      <w:r w:rsidR="002A733C" w:rsidRPr="00E6029D">
        <w:rPr>
          <w:rFonts w:ascii="Times New Roman" w:eastAsia="Calibri" w:hAnsi="Times New Roman" w:cs="Times New Roman"/>
          <w:color w:val="00B0F0"/>
          <w:lang w:val="en-US"/>
        </w:rPr>
        <w:t>ang et al., 2024</w:t>
      </w:r>
      <w:r>
        <w:rPr>
          <w:rFonts w:ascii="Times New Roman" w:eastAsia="Calibri" w:hAnsi="Times New Roman" w:cs="Times New Roman"/>
          <w:color w:val="000000" w:themeColor="text1"/>
          <w:lang w:val="en-US"/>
        </w:rPr>
        <w:t>).</w:t>
      </w:r>
    </w:p>
    <w:p w14:paraId="46CC278B" w14:textId="7EAF5021" w:rsidR="00265378" w:rsidRPr="00265378" w:rsidRDefault="00265378" w:rsidP="001215F6">
      <w:pPr>
        <w:jc w:val="both"/>
        <w:rPr>
          <w:rFonts w:ascii="Times New Roman" w:eastAsia="Calibri" w:hAnsi="Times New Roman" w:cs="Times New Roman"/>
          <w:color w:val="000000" w:themeColor="text1"/>
        </w:rPr>
      </w:pPr>
      <w:r w:rsidRPr="00265378">
        <w:rPr>
          <w:rFonts w:ascii="Times New Roman" w:eastAsia="Calibri" w:hAnsi="Times New Roman" w:cs="Times New Roman"/>
          <w:color w:val="000000" w:themeColor="text1"/>
        </w:rPr>
        <w:t>Coconut shell–synthesized activated carbon, owing to its functional surface groups and enhanced porosity, can efficiently adsorb acidic degradation products and moisture from spent transformer oil. Consequently, the regenerated oil will exhibit significant improvements in physicochemical properties, thereby validating CSAC as a viable, eco</w:t>
      </w:r>
      <w:r w:rsidRPr="00265378">
        <w:rPr>
          <w:rFonts w:ascii="Times New Roman" w:eastAsia="Calibri" w:hAnsi="Times New Roman" w:cs="Times New Roman"/>
          <w:color w:val="000000" w:themeColor="text1"/>
        </w:rPr>
        <w:noBreakHyphen/>
        <w:t>friendly, and economical adsorbent for transformer oil regeneratio</w:t>
      </w:r>
      <w:r>
        <w:rPr>
          <w:rFonts w:ascii="Times New Roman" w:eastAsia="Calibri" w:hAnsi="Times New Roman" w:cs="Times New Roman"/>
          <w:color w:val="000000" w:themeColor="text1"/>
          <w:lang w:val="en-US"/>
        </w:rPr>
        <w:t xml:space="preserve">n. </w:t>
      </w:r>
      <w:r w:rsidR="003452F6">
        <w:rPr>
          <w:rFonts w:ascii="Times New Roman" w:eastAsia="Calibri" w:hAnsi="Times New Roman" w:cs="Times New Roman"/>
          <w:color w:val="000000" w:themeColor="text1"/>
          <w:lang w:val="en-US"/>
        </w:rPr>
        <w:t xml:space="preserve">The current study focused on synthesizing adsorbent from coconut shells and determining the optimum conditions suitable for the regeneration of the spent transformer oil using physicochemical method. Properties such as pore volume, pH, moisture content, ash content of </w:t>
      </w:r>
      <w:r w:rsidR="003452F6" w:rsidRPr="001215F6">
        <w:rPr>
          <w:rFonts w:ascii="Times New Roman" w:eastAsia="Calibri" w:hAnsi="Times New Roman" w:cs="Times New Roman"/>
          <w:color w:val="000000" w:themeColor="text1"/>
          <w:lang w:val="en-US"/>
        </w:rPr>
        <w:t xml:space="preserve">the coconut activated carbon (CSAC) were analyzed. The physicochemical characteristics such as the viscosity, total acid number, moisture content and dielectric breakdown voltage of both the spent and regenerated oil were </w:t>
      </w:r>
      <w:r w:rsidRPr="001215F6">
        <w:rPr>
          <w:rFonts w:ascii="Times New Roman" w:eastAsia="Calibri" w:hAnsi="Times New Roman" w:cs="Times New Roman"/>
          <w:color w:val="000000" w:themeColor="text1"/>
          <w:lang w:val="en-US"/>
        </w:rPr>
        <w:t>analyzed to e</w:t>
      </w:r>
      <w:r w:rsidRPr="001215F6">
        <w:rPr>
          <w:rFonts w:ascii="Times New Roman" w:eastAsia="Calibri" w:hAnsi="Times New Roman" w:cs="Times New Roman"/>
          <w:color w:val="000000" w:themeColor="text1"/>
        </w:rPr>
        <w:t>valuate  the effectiveness of coconut shell activated carbon (CSAC) in restoring critical physicochemical properties of degraded transformer oil,</w:t>
      </w:r>
      <w:r w:rsidRPr="00265378">
        <w:rPr>
          <w:rFonts w:ascii="Times New Roman" w:eastAsia="Calibri" w:hAnsi="Times New Roman" w:cs="Times New Roman"/>
          <w:color w:val="000000" w:themeColor="text1"/>
        </w:rPr>
        <w:t xml:space="preserve"> </w:t>
      </w:r>
      <w:r w:rsidR="001215F6" w:rsidRPr="001215F6">
        <w:rPr>
          <w:rFonts w:ascii="Times New Roman" w:eastAsia="Calibri" w:hAnsi="Times New Roman" w:cs="Times New Roman"/>
          <w:color w:val="000000" w:themeColor="text1"/>
        </w:rPr>
        <w:t xml:space="preserve">The </w:t>
      </w:r>
      <w:r w:rsidRPr="00265378">
        <w:rPr>
          <w:rFonts w:ascii="Times New Roman" w:eastAsia="Calibri" w:hAnsi="Times New Roman" w:cs="Times New Roman"/>
          <w:color w:val="000000" w:themeColor="text1"/>
        </w:rPr>
        <w:t>potential of coconut shell</w:t>
      </w:r>
      <w:r w:rsidR="001215F6" w:rsidRPr="001215F6">
        <w:rPr>
          <w:rFonts w:ascii="Times New Roman" w:eastAsia="Calibri" w:hAnsi="Times New Roman" w:cs="Times New Roman"/>
          <w:color w:val="000000" w:themeColor="text1"/>
        </w:rPr>
        <w:t>-</w:t>
      </w:r>
      <w:r w:rsidRPr="00265378">
        <w:rPr>
          <w:rFonts w:ascii="Times New Roman" w:eastAsia="Calibri" w:hAnsi="Times New Roman" w:cs="Times New Roman"/>
          <w:color w:val="000000" w:themeColor="text1"/>
        </w:rPr>
        <w:t>derived activated carbon as a sustainable and cost</w:t>
      </w:r>
      <w:r w:rsidRPr="00265378">
        <w:rPr>
          <w:rFonts w:ascii="Times New Roman" w:eastAsia="Calibri" w:hAnsi="Times New Roman" w:cs="Times New Roman"/>
          <w:color w:val="000000" w:themeColor="text1"/>
        </w:rPr>
        <w:noBreakHyphen/>
        <w:t>effective alternative to conventional adsorbents for transformer oil regeneration</w:t>
      </w:r>
      <w:r w:rsidR="001215F6" w:rsidRPr="001215F6">
        <w:rPr>
          <w:rFonts w:ascii="Times New Roman" w:eastAsia="Calibri" w:hAnsi="Times New Roman" w:cs="Times New Roman"/>
          <w:color w:val="000000" w:themeColor="text1"/>
        </w:rPr>
        <w:t xml:space="preserve"> was established</w:t>
      </w:r>
      <w:r w:rsidR="001215F6">
        <w:rPr>
          <w:rFonts w:ascii="Times New Roman" w:eastAsia="Calibri" w:hAnsi="Times New Roman" w:cs="Times New Roman"/>
          <w:color w:val="000000" w:themeColor="text1"/>
        </w:rPr>
        <w:t>.</w:t>
      </w:r>
    </w:p>
    <w:p w14:paraId="3E6291A6" w14:textId="2115E4A7" w:rsidR="0078026E" w:rsidRPr="001215F6" w:rsidRDefault="0078026E">
      <w:pPr>
        <w:spacing w:line="240" w:lineRule="auto"/>
        <w:jc w:val="both"/>
        <w:rPr>
          <w:rFonts w:ascii="Times New Roman" w:eastAsia="Calibri" w:hAnsi="Times New Roman" w:cs="Times New Roman"/>
          <w:color w:val="000000" w:themeColor="text1"/>
          <w:lang w:val="en-US"/>
        </w:rPr>
      </w:pPr>
    </w:p>
    <w:p w14:paraId="667A5349" w14:textId="77777777" w:rsidR="0078026E" w:rsidRDefault="003452F6">
      <w:pPr>
        <w:keepNext/>
        <w:keepLines/>
        <w:spacing w:before="360" w:after="80" w:line="240" w:lineRule="auto"/>
        <w:jc w:val="both"/>
        <w:outlineLvl w:val="0"/>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 xml:space="preserve">2.0 Materials and Methods </w:t>
      </w:r>
    </w:p>
    <w:p w14:paraId="7DDA0A62" w14:textId="77777777" w:rsidR="0078026E" w:rsidRDefault="003452F6">
      <w:pPr>
        <w:pStyle w:val="NoSpacing"/>
        <w:jc w:val="both"/>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 xml:space="preserve">2.1 Materials </w:t>
      </w:r>
    </w:p>
    <w:p w14:paraId="30CD3CE6"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b/>
      </w:r>
      <w:r>
        <w:rPr>
          <w:rFonts w:ascii="Times New Roman" w:hAnsi="Times New Roman" w:cs="Times New Roman"/>
          <w:color w:val="000000" w:themeColor="text1"/>
          <w:lang w:val="en-US"/>
        </w:rPr>
        <w:tab/>
      </w:r>
      <w:bookmarkStart w:id="5" w:name="_Toc213293275"/>
      <w:bookmarkStart w:id="6" w:name="_Toc224021369"/>
    </w:p>
    <w:p w14:paraId="4CA62197" w14:textId="77777777" w:rsidR="0078026E" w:rsidRDefault="003452F6">
      <w:pPr>
        <w:pStyle w:val="NoSpacing"/>
        <w:jc w:val="both"/>
        <w:rPr>
          <w:rFonts w:ascii="Times New Roman" w:hAnsi="Times New Roman" w:cs="Times New Roman"/>
          <w:b/>
          <w:bCs/>
          <w:color w:val="000000" w:themeColor="text1"/>
          <w:lang w:val="en-US"/>
        </w:rPr>
      </w:pPr>
      <w:r>
        <w:rPr>
          <w:rFonts w:ascii="Times New Roman" w:hAnsi="Times New Roman" w:cs="Times New Roman"/>
          <w:b/>
          <w:bCs/>
          <w:color w:val="000000" w:themeColor="text1"/>
          <w:lang w:val="en-US"/>
        </w:rPr>
        <w:t>2.1.1 Sample Collection</w:t>
      </w:r>
      <w:bookmarkStart w:id="7" w:name="_Toc213293276"/>
      <w:bookmarkStart w:id="8" w:name="_Toc224021370"/>
      <w:bookmarkEnd w:id="5"/>
      <w:bookmarkEnd w:id="6"/>
    </w:p>
    <w:p w14:paraId="1C637620"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w:t>
      </w:r>
      <w:bookmarkEnd w:id="7"/>
      <w:bookmarkEnd w:id="8"/>
    </w:p>
    <w:p w14:paraId="2EB75C0E"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A 5 L sample of spent transformer oil was collected from a decommissioned 500 </w:t>
      </w:r>
      <w:proofErr w:type="spellStart"/>
      <w:r>
        <w:rPr>
          <w:rFonts w:ascii="Times New Roman" w:eastAsia="Calibri" w:hAnsi="Times New Roman" w:cs="Times New Roman"/>
          <w:color w:val="000000" w:themeColor="text1"/>
          <w:lang w:val="en-US"/>
        </w:rPr>
        <w:t>kva</w:t>
      </w:r>
      <w:proofErr w:type="spellEnd"/>
      <w:r>
        <w:rPr>
          <w:rFonts w:ascii="Times New Roman" w:eastAsia="Calibri" w:hAnsi="Times New Roman" w:cs="Times New Roman"/>
          <w:color w:val="000000" w:themeColor="text1"/>
          <w:lang w:val="en-US"/>
        </w:rPr>
        <w:t xml:space="preserve"> distribution transformer at the Bayelsa State Electricity Board (BSEB) maintenance facility situated in </w:t>
      </w:r>
      <w:proofErr w:type="spellStart"/>
      <w:r>
        <w:rPr>
          <w:rFonts w:ascii="Times New Roman" w:eastAsia="Calibri" w:hAnsi="Times New Roman" w:cs="Times New Roman"/>
          <w:color w:val="000000" w:themeColor="text1"/>
          <w:lang w:val="en-US"/>
        </w:rPr>
        <w:t>Nembe</w:t>
      </w:r>
      <w:proofErr w:type="spellEnd"/>
      <w:r>
        <w:rPr>
          <w:rFonts w:ascii="Times New Roman" w:eastAsia="Calibri" w:hAnsi="Times New Roman" w:cs="Times New Roman"/>
          <w:color w:val="000000" w:themeColor="text1"/>
          <w:lang w:val="en-US"/>
        </w:rPr>
        <w:t xml:space="preserve"> local government area, Bayelsa State, Nigeria. The transformer had been in service for 8 - 12 yr. The sample was collected from different point to ensure representative samples of </w:t>
      </w:r>
      <w:proofErr w:type="gramStart"/>
      <w:r>
        <w:rPr>
          <w:rFonts w:ascii="Times New Roman" w:eastAsia="Calibri" w:hAnsi="Times New Roman" w:cs="Times New Roman"/>
          <w:color w:val="000000" w:themeColor="text1"/>
          <w:lang w:val="en-US"/>
        </w:rPr>
        <w:t>spent  oil</w:t>
      </w:r>
      <w:proofErr w:type="gramEnd"/>
      <w:r>
        <w:rPr>
          <w:rFonts w:ascii="Times New Roman" w:eastAsia="Calibri" w:hAnsi="Times New Roman" w:cs="Times New Roman"/>
          <w:color w:val="000000" w:themeColor="text1"/>
          <w:lang w:val="en-US"/>
        </w:rPr>
        <w:t>. The oil was transported in sealed, light-proof 10 L containers to prevent further oxidation during storage.</w:t>
      </w:r>
    </w:p>
    <w:p w14:paraId="4B5341ED" w14:textId="77777777" w:rsidR="0078026E" w:rsidRDefault="003452F6">
      <w:pPr>
        <w:spacing w:after="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Coconut shells from matured coconut were sourced from a farm in </w:t>
      </w:r>
      <w:proofErr w:type="spellStart"/>
      <w:proofErr w:type="gramStart"/>
      <w:r>
        <w:rPr>
          <w:rFonts w:ascii="Times New Roman" w:eastAsia="Calibri" w:hAnsi="Times New Roman" w:cs="Times New Roman"/>
          <w:color w:val="000000" w:themeColor="text1"/>
          <w:lang w:val="en-US"/>
        </w:rPr>
        <w:t>Aluu</w:t>
      </w:r>
      <w:proofErr w:type="spellEnd"/>
      <w:r>
        <w:rPr>
          <w:rFonts w:ascii="Times New Roman" w:eastAsia="Calibri" w:hAnsi="Times New Roman" w:cs="Times New Roman"/>
          <w:color w:val="000000" w:themeColor="text1"/>
          <w:lang w:val="en-US"/>
        </w:rPr>
        <w:t>,  Rivers</w:t>
      </w:r>
      <w:proofErr w:type="gramEnd"/>
      <w:r>
        <w:rPr>
          <w:rFonts w:ascii="Times New Roman" w:eastAsia="Calibri" w:hAnsi="Times New Roman" w:cs="Times New Roman"/>
          <w:color w:val="000000" w:themeColor="text1"/>
          <w:lang w:val="en-US"/>
        </w:rPr>
        <w:t xml:space="preserve"> State, Nigeria. The shells were manually cleaned to remove organic residues. Samples were bagged and labeled before transporting them to the laboratory for processing.</w:t>
      </w:r>
      <w:bookmarkStart w:id="9" w:name="_Toc224021372"/>
      <w:bookmarkStart w:id="10" w:name="_Toc213293278"/>
    </w:p>
    <w:bookmarkEnd w:id="9"/>
    <w:bookmarkEnd w:id="10"/>
    <w:p w14:paraId="54150DD1" w14:textId="77777777" w:rsidR="0078026E" w:rsidRDefault="0078026E">
      <w:pPr>
        <w:spacing w:line="240" w:lineRule="auto"/>
        <w:jc w:val="both"/>
        <w:rPr>
          <w:rFonts w:ascii="Times New Roman" w:eastAsia="Calibri" w:hAnsi="Times New Roman" w:cs="Times New Roman"/>
          <w:color w:val="000000" w:themeColor="text1"/>
          <w:lang w:val="en-US"/>
        </w:rPr>
      </w:pPr>
    </w:p>
    <w:p w14:paraId="46BFFA45"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following equipment, apparatus and materials were used: A gasoline powered grinding machine; An electronic weighing balance (</w:t>
      </w:r>
      <w:proofErr w:type="spellStart"/>
      <w:r>
        <w:rPr>
          <w:rFonts w:ascii="Times New Roman" w:eastAsia="Calibri" w:hAnsi="Times New Roman" w:cs="Times New Roman"/>
          <w:color w:val="000000" w:themeColor="text1"/>
          <w:lang w:val="en-US"/>
        </w:rPr>
        <w:t>Kerro</w:t>
      </w:r>
      <w:proofErr w:type="spellEnd"/>
      <w:r>
        <w:rPr>
          <w:rFonts w:ascii="Times New Roman" w:eastAsia="Calibri" w:hAnsi="Times New Roman" w:cs="Times New Roman"/>
          <w:color w:val="000000" w:themeColor="text1"/>
          <w:lang w:val="en-US"/>
        </w:rPr>
        <w:t xml:space="preserve"> series P5C); Muffle furnace (The Select-Horn); 500 </w:t>
      </w:r>
      <w:proofErr w:type="spellStart"/>
      <w:r>
        <w:rPr>
          <w:rFonts w:ascii="Times New Roman" w:eastAsia="Calibri" w:hAnsi="Times New Roman" w:cs="Times New Roman"/>
          <w:color w:val="000000" w:themeColor="text1"/>
          <w:lang w:val="en-US"/>
        </w:rPr>
        <w:t>μm</w:t>
      </w:r>
      <w:proofErr w:type="spellEnd"/>
      <w:r>
        <w:rPr>
          <w:rFonts w:ascii="Times New Roman" w:eastAsia="Calibri" w:hAnsi="Times New Roman" w:cs="Times New Roman"/>
          <w:color w:val="000000" w:themeColor="text1"/>
          <w:lang w:val="en-US"/>
        </w:rPr>
        <w:t xml:space="preserve"> stainless-steel; Buchner funnel; filter paper; atomic absorption spectrophotometer (AAS) (Perkin Elmer Buck Scientific 210);  BET analyzer (Micromeritics ASAP 2020); 250ml conical </w:t>
      </w:r>
      <w:r>
        <w:rPr>
          <w:rFonts w:ascii="Times New Roman" w:eastAsia="Calibri" w:hAnsi="Times New Roman" w:cs="Times New Roman"/>
          <w:color w:val="000000" w:themeColor="text1"/>
          <w:lang w:val="en-US"/>
        </w:rPr>
        <w:lastRenderedPageBreak/>
        <w:t>flask;  A desktop constant temperature drying oven (DNP-9022A); Ostwald viscometer; burette and pipette; magnetic stirrer (A 78-1)</w:t>
      </w:r>
      <w:bookmarkStart w:id="11" w:name="_Toc224021373"/>
      <w:bookmarkStart w:id="12" w:name="_Toc213293279"/>
      <w:r>
        <w:rPr>
          <w:rFonts w:ascii="Times New Roman" w:eastAsia="Calibri" w:hAnsi="Times New Roman" w:cs="Times New Roman"/>
          <w:color w:val="000000" w:themeColor="text1"/>
          <w:lang w:val="en-US"/>
        </w:rPr>
        <w:t>; Scanning Electron Microscope (JSM-7610F Tokyo, Japan).</w:t>
      </w:r>
    </w:p>
    <w:p w14:paraId="4DF0FFC2"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w:t>
      </w:r>
      <w:r>
        <w:rPr>
          <w:rFonts w:ascii="Times New Roman" w:eastAsia="Times New Roman" w:hAnsi="Times New Roman" w:cs="Times New Roman"/>
          <w:color w:val="000000" w:themeColor="text1"/>
          <w:lang w:val="en-US"/>
        </w:rPr>
        <w:t>reagents</w:t>
      </w:r>
      <w:bookmarkEnd w:id="11"/>
      <w:bookmarkEnd w:id="12"/>
      <w:r>
        <w:rPr>
          <w:rFonts w:ascii="Times New Roman" w:eastAsia="Times New Roman" w:hAnsi="Times New Roman" w:cs="Times New Roman"/>
          <w:color w:val="000000" w:themeColor="text1"/>
          <w:lang w:val="en-US"/>
        </w:rPr>
        <w:t xml:space="preserve"> used were </w:t>
      </w:r>
      <w:r>
        <w:rPr>
          <w:rFonts w:ascii="Times New Roman" w:eastAsia="Calibri" w:hAnsi="Times New Roman" w:cs="Times New Roman"/>
          <w:color w:val="000000" w:themeColor="text1"/>
          <w:lang w:val="en-US"/>
        </w:rPr>
        <w:t>1 M sodium bicarbonate (</w:t>
      </w:r>
      <w:proofErr w:type="spellStart"/>
      <w:r>
        <w:rPr>
          <w:rFonts w:ascii="Times New Roman" w:eastAsia="Calibri" w:hAnsi="Times New Roman" w:cs="Times New Roman"/>
          <w:color w:val="000000" w:themeColor="text1"/>
          <w:lang w:val="en-US"/>
        </w:rPr>
        <w:t>NaHCO</w:t>
      </w:r>
      <w:proofErr w:type="spellEnd"/>
      <w:r>
        <w:rPr>
          <w:rFonts w:ascii="Times New Roman" w:eastAsia="Calibri" w:hAnsi="Times New Roman" w:cs="Times New Roman"/>
          <w:color w:val="000000" w:themeColor="text1"/>
          <w:lang w:val="en-US"/>
        </w:rPr>
        <w:t>₃) and 0.5 M acetic acid. All reagents and chemicals used were of analytical grade and were</w:t>
      </w:r>
      <w:bookmarkStart w:id="13" w:name="_Toc213293280"/>
      <w:bookmarkStart w:id="14" w:name="_Toc224021374"/>
      <w:r>
        <w:rPr>
          <w:rFonts w:ascii="Times New Roman" w:eastAsia="Calibri" w:hAnsi="Times New Roman" w:cs="Times New Roman"/>
          <w:color w:val="000000" w:themeColor="text1"/>
          <w:lang w:val="en-US"/>
        </w:rPr>
        <w:t xml:space="preserve"> </w:t>
      </w:r>
      <w:r>
        <w:rPr>
          <w:rFonts w:ascii="Times New Roman" w:hAnsi="Times New Roman" w:cs="Times New Roman"/>
          <w:color w:val="000000" w:themeColor="text1"/>
          <w:lang w:val="en-US"/>
        </w:rPr>
        <w:t xml:space="preserve">purchased from </w:t>
      </w:r>
      <w:proofErr w:type="spellStart"/>
      <w:r>
        <w:rPr>
          <w:rFonts w:ascii="Times New Roman" w:hAnsi="Times New Roman" w:cs="Times New Roman"/>
          <w:color w:val="000000" w:themeColor="text1"/>
          <w:lang w:val="en-US"/>
        </w:rPr>
        <w:t>Bernaco</w:t>
      </w:r>
      <w:proofErr w:type="spellEnd"/>
      <w:r>
        <w:rPr>
          <w:rFonts w:ascii="Times New Roman" w:hAnsi="Times New Roman" w:cs="Times New Roman"/>
          <w:color w:val="000000" w:themeColor="text1"/>
          <w:lang w:val="en-US"/>
        </w:rPr>
        <w:t xml:space="preserve"> Enterprise, Nigeria.</w:t>
      </w:r>
    </w:p>
    <w:p w14:paraId="31909563" w14:textId="77777777" w:rsidR="0078026E" w:rsidRDefault="003452F6">
      <w:pPr>
        <w:spacing w:line="240" w:lineRule="auto"/>
        <w:jc w:val="both"/>
        <w:rPr>
          <w:rFonts w:ascii="Times New Roman" w:eastAsia="Times New Roman" w:hAnsi="Times New Roman" w:cs="Times New Roman"/>
          <w:b/>
          <w:bCs/>
          <w:color w:val="000000" w:themeColor="text1"/>
          <w:lang w:val="en-US"/>
        </w:rPr>
      </w:pPr>
      <w:bookmarkStart w:id="15" w:name="_Toc224021375"/>
      <w:bookmarkStart w:id="16" w:name="_Toc213293281"/>
      <w:bookmarkEnd w:id="13"/>
      <w:bookmarkEnd w:id="14"/>
      <w:r>
        <w:rPr>
          <w:rFonts w:ascii="Times New Roman" w:eastAsia="Times New Roman" w:hAnsi="Times New Roman" w:cs="Times New Roman"/>
          <w:b/>
          <w:bCs/>
          <w:color w:val="000000" w:themeColor="text1"/>
          <w:lang w:val="en-US"/>
        </w:rPr>
        <w:t xml:space="preserve">2.2 Methods </w:t>
      </w:r>
    </w:p>
    <w:p w14:paraId="12BFBDA0" w14:textId="77777777" w:rsidR="0078026E" w:rsidRDefault="003452F6">
      <w:pPr>
        <w:spacing w:line="240" w:lineRule="auto"/>
        <w:jc w:val="both"/>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t>2.2.1 Preparation of Activated Carbon</w:t>
      </w:r>
      <w:bookmarkEnd w:id="15"/>
      <w:bookmarkEnd w:id="16"/>
    </w:p>
    <w:p w14:paraId="60DA619D" w14:textId="77777777" w:rsidR="0078026E" w:rsidRDefault="003452F6">
      <w:pPr>
        <w:spacing w:line="240" w:lineRule="auto"/>
        <w:jc w:val="both"/>
        <w:rPr>
          <w:rFonts w:ascii="Times New Roman" w:eastAsia="Calibri" w:hAnsi="Times New Roman" w:cs="Times New Roman"/>
          <w:color w:val="000000" w:themeColor="text1"/>
          <w:lang w:val="en-US"/>
        </w:rPr>
      </w:pPr>
      <w:r>
        <w:rPr>
          <w:noProof/>
          <w:color w:val="000000" w:themeColor="text1"/>
        </w:rPr>
        <mc:AlternateContent>
          <mc:Choice Requires="wps">
            <w:drawing>
              <wp:anchor distT="0" distB="0" distL="114300" distR="114300" simplePos="0" relativeHeight="251659264" behindDoc="0" locked="0" layoutInCell="1" allowOverlap="1" wp14:anchorId="799461FB" wp14:editId="4C7FD97D">
                <wp:simplePos x="0" y="0"/>
                <wp:positionH relativeFrom="column">
                  <wp:posOffset>92075</wp:posOffset>
                </wp:positionH>
                <wp:positionV relativeFrom="paragraph">
                  <wp:posOffset>2203450</wp:posOffset>
                </wp:positionV>
                <wp:extent cx="5447665" cy="2187575"/>
                <wp:effectExtent l="0" t="0" r="8255" b="6985"/>
                <wp:wrapNone/>
                <wp:docPr id="2" name="Text Box 2"/>
                <wp:cNvGraphicFramePr/>
                <a:graphic xmlns:a="http://schemas.openxmlformats.org/drawingml/2006/main">
                  <a:graphicData uri="http://schemas.microsoft.com/office/word/2010/wordprocessingShape">
                    <wps:wsp>
                      <wps:cNvSpPr txBox="1"/>
                      <wps:spPr>
                        <a:xfrm>
                          <a:off x="1573530" y="6998335"/>
                          <a:ext cx="5447665" cy="21875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A15EB0" w14:textId="77777777" w:rsidR="0078026E" w:rsidRDefault="003452F6">
                            <w:pPr>
                              <w:jc w:val="both"/>
                            </w:pPr>
                            <w:r>
                              <w:rPr>
                                <w:noProof/>
                              </w:rPr>
                              <w:drawing>
                                <wp:inline distT="0" distB="0" distL="114300" distR="114300" wp14:anchorId="5AF3B107" wp14:editId="51DB387A">
                                  <wp:extent cx="2539365" cy="2098675"/>
                                  <wp:effectExtent l="0" t="0" r="5715"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2539365" cy="2098675"/>
                                          </a:xfrm>
                                          <a:prstGeom prst="rect">
                                            <a:avLst/>
                                          </a:prstGeom>
                                          <a:noFill/>
                                          <a:ln>
                                            <a:noFill/>
                                          </a:ln>
                                        </pic:spPr>
                                      </pic:pic>
                                    </a:graphicData>
                                  </a:graphic>
                                </wp:inline>
                              </w:drawing>
                            </w:r>
                            <w:r>
                              <w:rPr>
                                <w:noProof/>
                              </w:rPr>
                              <w:drawing>
                                <wp:inline distT="0" distB="0" distL="114300" distR="114300" wp14:anchorId="62127F7A" wp14:editId="7AB15F62">
                                  <wp:extent cx="2691765" cy="2122805"/>
                                  <wp:effectExtent l="0" t="0" r="5715" b="1079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stretch>
                                            <a:fillRect/>
                                          </a:stretch>
                                        </pic:blipFill>
                                        <pic:spPr>
                                          <a:xfrm>
                                            <a:off x="0" y="0"/>
                                            <a:ext cx="2691765" cy="2122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99461FB" id="_x0000_t202" coordsize="21600,21600" o:spt="202" path="m,l,21600r21600,l21600,xe">
                <v:stroke joinstyle="miter"/>
                <v:path gradientshapeok="t" o:connecttype="rect"/>
              </v:shapetype>
              <v:shape id="Text Box 2" o:spid="_x0000_s1026" type="#_x0000_t202" style="position:absolute;left:0;text-align:left;margin-left:7.25pt;margin-top:173.5pt;width:428.95pt;height:17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" fillcolor="white [3201]" stroked="f" strokeweight=".5pt">
                <v:textbox>
                  <w:txbxContent>
                    <w:p w14:paraId="2FA15EB0" w14:textId="77777777" w:rsidR="0078026E" w:rsidRDefault="003452F6">
                      <w:pPr>
                        <w:jc w:val="both"/>
                      </w:pPr>
                      <w:r>
                        <w:rPr>
                          <w:noProof/>
                        </w:rPr>
                        <w:drawing>
                          <wp:inline distT="0" distB="0" distL="114300" distR="114300" wp14:anchorId="5AF3B107" wp14:editId="51DB387A">
                            <wp:extent cx="2539365" cy="2098675"/>
                            <wp:effectExtent l="0" t="0" r="5715" b="444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2539365" cy="2098675"/>
                                    </a:xfrm>
                                    <a:prstGeom prst="rect">
                                      <a:avLst/>
                                    </a:prstGeom>
                                    <a:noFill/>
                                    <a:ln>
                                      <a:noFill/>
                                    </a:ln>
                                  </pic:spPr>
                                </pic:pic>
                              </a:graphicData>
                            </a:graphic>
                          </wp:inline>
                        </w:drawing>
                      </w:r>
                      <w:r>
                        <w:rPr>
                          <w:noProof/>
                        </w:rPr>
                        <w:drawing>
                          <wp:inline distT="0" distB="0" distL="114300" distR="114300" wp14:anchorId="62127F7A" wp14:editId="7AB15F62">
                            <wp:extent cx="2691765" cy="2122805"/>
                            <wp:effectExtent l="0" t="0" r="5715" b="1079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2691765" cy="2122805"/>
                                    </a:xfrm>
                                    <a:prstGeom prst="rect">
                                      <a:avLst/>
                                    </a:prstGeom>
                                    <a:noFill/>
                                    <a:ln>
                                      <a:noFill/>
                                    </a:ln>
                                  </pic:spPr>
                                </pic:pic>
                              </a:graphicData>
                            </a:graphic>
                          </wp:inline>
                        </w:drawing>
                      </w:r>
                    </w:p>
                  </w:txbxContent>
                </v:textbox>
              </v:shape>
            </w:pict>
          </mc:Fallback>
        </mc:AlternateContent>
      </w:r>
      <w:r>
        <w:rPr>
          <w:rFonts w:ascii="Times New Roman" w:eastAsia="Times New Roman" w:hAnsi="Times New Roman" w:cs="Times New Roman"/>
          <w:color w:val="000000" w:themeColor="text1"/>
          <w:lang w:val="en-US"/>
        </w:rPr>
        <w:t>The</w:t>
      </w:r>
      <w:r>
        <w:rPr>
          <w:rFonts w:ascii="Times New Roman" w:eastAsia="Times New Roman" w:hAnsi="Times New Roman" w:cs="Times New Roman"/>
          <w:b/>
          <w:bCs/>
          <w:color w:val="000000" w:themeColor="text1"/>
          <w:lang w:val="en-US"/>
        </w:rPr>
        <w:t xml:space="preserve"> </w:t>
      </w:r>
      <w:r>
        <w:rPr>
          <w:rFonts w:ascii="Times New Roman" w:eastAsia="Calibri" w:hAnsi="Times New Roman" w:cs="Times New Roman"/>
          <w:color w:val="000000" w:themeColor="text1"/>
          <w:lang w:val="en-US"/>
        </w:rPr>
        <w:t>raw coconut shells were washed thoroughly with tap water to remove coarse dirt and debris, and then rinsed multiple times with distilled water to eliminate soluble impurities (</w:t>
      </w:r>
      <w:proofErr w:type="spellStart"/>
      <w:r>
        <w:rPr>
          <w:rFonts w:ascii="Times New Roman" w:eastAsia="Calibri" w:hAnsi="Times New Roman" w:cs="Times New Roman"/>
          <w:color w:val="000000" w:themeColor="text1"/>
          <w:lang w:val="en-US"/>
        </w:rPr>
        <w:t>Boadu</w:t>
      </w:r>
      <w:proofErr w:type="spellEnd"/>
      <w:r>
        <w:rPr>
          <w:rFonts w:ascii="Times New Roman" w:eastAsia="Calibri" w:hAnsi="Times New Roman" w:cs="Times New Roman"/>
          <w:color w:val="000000" w:themeColor="text1"/>
          <w:lang w:val="en-US"/>
        </w:rPr>
        <w:t xml:space="preserve"> et al., 2020). The cleaned shells were dried for 24 h to remove residual moisture and prevent microbial degradation (</w:t>
      </w:r>
      <w:proofErr w:type="spellStart"/>
      <w:r>
        <w:rPr>
          <w:rFonts w:ascii="Times New Roman" w:eastAsia="Calibri" w:hAnsi="Times New Roman" w:cs="Times New Roman"/>
          <w:color w:val="000000" w:themeColor="text1"/>
          <w:lang w:val="en-US"/>
        </w:rPr>
        <w:t>Boadu</w:t>
      </w:r>
      <w:proofErr w:type="spellEnd"/>
      <w:r>
        <w:rPr>
          <w:rFonts w:ascii="Times New Roman" w:eastAsia="Calibri" w:hAnsi="Times New Roman" w:cs="Times New Roman"/>
          <w:color w:val="000000" w:themeColor="text1"/>
          <w:lang w:val="en-US"/>
        </w:rPr>
        <w:t xml:space="preserve"> et al., 2020). The dried coconut shells were ground into fine particles using a gasoline powered grinding machine. The resulting powder was sieved through a 500 </w:t>
      </w:r>
      <w:proofErr w:type="spellStart"/>
      <w:r>
        <w:rPr>
          <w:rFonts w:ascii="Times New Roman" w:eastAsia="Calibri" w:hAnsi="Times New Roman" w:cs="Times New Roman"/>
          <w:color w:val="000000" w:themeColor="text1"/>
          <w:lang w:val="en-US"/>
        </w:rPr>
        <w:t>μm</w:t>
      </w:r>
      <w:proofErr w:type="spellEnd"/>
      <w:r>
        <w:rPr>
          <w:rFonts w:ascii="Times New Roman" w:eastAsia="Calibri" w:hAnsi="Times New Roman" w:cs="Times New Roman"/>
          <w:color w:val="000000" w:themeColor="text1"/>
          <w:lang w:val="en-US"/>
        </w:rPr>
        <w:t xml:space="preserve"> mesh screen to ensure uniform particle size. The sieved material was stored in airtight containers to prevent moisture absorption before chemical treatment. A 30 g sample of the sieved coconut shell powder was impregnated with 1M solutions of sodium bicarbonate (</w:t>
      </w:r>
      <w:proofErr w:type="spellStart"/>
      <w:r>
        <w:rPr>
          <w:rFonts w:ascii="Times New Roman" w:eastAsia="Calibri" w:hAnsi="Times New Roman" w:cs="Times New Roman"/>
          <w:color w:val="000000" w:themeColor="text1"/>
          <w:lang w:val="en-US"/>
        </w:rPr>
        <w:t>NaHCO</w:t>
      </w:r>
      <w:proofErr w:type="spellEnd"/>
      <w:r>
        <w:rPr>
          <w:rFonts w:ascii="Times New Roman" w:eastAsia="Calibri" w:hAnsi="Times New Roman" w:cs="Times New Roman"/>
          <w:color w:val="000000" w:themeColor="text1"/>
          <w:lang w:val="en-US"/>
        </w:rPr>
        <w:t xml:space="preserve">₃) and left at room temperature for 3 h. The chemically treated material was carbonized at 800 °C for 40 </w:t>
      </w:r>
      <w:proofErr w:type="gramStart"/>
      <w:r>
        <w:rPr>
          <w:rFonts w:ascii="Times New Roman" w:eastAsia="Calibri" w:hAnsi="Times New Roman" w:cs="Times New Roman"/>
          <w:color w:val="000000" w:themeColor="text1"/>
          <w:lang w:val="en-US"/>
        </w:rPr>
        <w:t>min  in</w:t>
      </w:r>
      <w:proofErr w:type="gramEnd"/>
      <w:r>
        <w:rPr>
          <w:rFonts w:ascii="Times New Roman" w:eastAsia="Calibri" w:hAnsi="Times New Roman" w:cs="Times New Roman"/>
          <w:color w:val="000000" w:themeColor="text1"/>
          <w:lang w:val="en-US"/>
        </w:rPr>
        <w:t xml:space="preserve"> a select-horn muffle furnace. The activated carbon was then washed with 0.5 M glacial acetic acid and distilled water until neutral pH (⁓7) was achieved, followed by drying using the drying oven for 1 h and stored in an airtight container (Figure 1)</w:t>
      </w:r>
      <w:r>
        <w:rPr>
          <w:rFonts w:ascii="Times New Roman" w:eastAsia="Times New Roman" w:hAnsi="Times New Roman" w:cs="Times New Roman"/>
          <w:b/>
          <w:bCs/>
          <w:color w:val="000000" w:themeColor="text1"/>
          <w:lang w:val="en-US"/>
        </w:rPr>
        <w:t xml:space="preserve">. </w:t>
      </w:r>
      <w:r>
        <w:rPr>
          <w:rFonts w:ascii="Times New Roman" w:eastAsia="Calibri" w:hAnsi="Times New Roman" w:cs="Times New Roman"/>
          <w:color w:val="000000" w:themeColor="text1"/>
          <w:lang w:val="en-US"/>
        </w:rPr>
        <w:t xml:space="preserve"> </w:t>
      </w:r>
    </w:p>
    <w:p w14:paraId="34DFB09B" w14:textId="77777777" w:rsidR="0078026E" w:rsidRDefault="003452F6">
      <w:pPr>
        <w:spacing w:before="100" w:beforeAutospacing="1" w:after="100" w:afterAutospacing="1" w:line="240" w:lineRule="auto"/>
        <w:jc w:val="both"/>
        <w:rPr>
          <w:rFonts w:ascii="Times New Roman" w:eastAsia="Calibri" w:hAnsi="Times New Roman" w:cs="Times New Roman"/>
          <w:b/>
          <w:bCs/>
          <w:color w:val="000000" w:themeColor="text1"/>
          <w:lang w:val="en-US"/>
        </w:rPr>
      </w:pPr>
      <w:r>
        <w:rPr>
          <w:rFonts w:ascii="Times New Roman" w:eastAsia="Times New Roman" w:hAnsi="Times New Roman" w:cs="Times New Roman"/>
          <w:b/>
          <w:bCs/>
          <w:color w:val="000000" w:themeColor="text1"/>
          <w:lang w:val="en-US"/>
        </w:rPr>
        <w:t xml:space="preserve">                  </w:t>
      </w:r>
    </w:p>
    <w:p w14:paraId="04870BB8"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4BD94A6A"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6A08A3AA"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687BA4D2"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6A6EF3FD"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3D9319BC"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4F4F1F8E" w14:textId="77777777" w:rsidR="0078026E" w:rsidRDefault="0078026E">
      <w:pPr>
        <w:spacing w:line="240" w:lineRule="auto"/>
        <w:jc w:val="both"/>
        <w:rPr>
          <w:rFonts w:ascii="Times New Roman" w:eastAsia="Calibri" w:hAnsi="Times New Roman" w:cs="Times New Roman"/>
          <w:b/>
          <w:bCs/>
          <w:color w:val="000000" w:themeColor="text1"/>
          <w:lang w:val="en-US"/>
        </w:rPr>
      </w:pPr>
    </w:p>
    <w:p w14:paraId="297A77C2"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Figure 1. Processing coconut shells (</w:t>
      </w:r>
      <w:proofErr w:type="spellStart"/>
      <w:proofErr w:type="gramStart"/>
      <w:r>
        <w:rPr>
          <w:rFonts w:ascii="Times New Roman" w:eastAsia="Calibri" w:hAnsi="Times New Roman" w:cs="Times New Roman"/>
          <w:color w:val="000000" w:themeColor="text1"/>
          <w:lang w:val="en-US"/>
        </w:rPr>
        <w:t>A:raw</w:t>
      </w:r>
      <w:proofErr w:type="spellEnd"/>
      <w:proofErr w:type="gramEnd"/>
      <w:r>
        <w:rPr>
          <w:rFonts w:ascii="Times New Roman" w:eastAsia="Calibri" w:hAnsi="Times New Roman" w:cs="Times New Roman"/>
          <w:color w:val="000000" w:themeColor="text1"/>
          <w:lang w:val="en-US"/>
        </w:rPr>
        <w:t xml:space="preserve"> coconut shells); B: Ground and carbonized shell at 800 °C)</w:t>
      </w:r>
      <w:bookmarkStart w:id="17" w:name="_Toc213293287"/>
      <w:bookmarkStart w:id="18" w:name="_Toc224021381"/>
    </w:p>
    <w:p w14:paraId="5A5119E7" w14:textId="77777777" w:rsidR="0078026E" w:rsidRDefault="003452F6">
      <w:pPr>
        <w:spacing w:line="240" w:lineRule="auto"/>
        <w:jc w:val="both"/>
        <w:rPr>
          <w:rFonts w:ascii="Times New Roman" w:eastAsia="Calibri" w:hAnsi="Times New Roman" w:cs="Times New Roman"/>
          <w:b/>
          <w:bCs/>
          <w:color w:val="000000" w:themeColor="text1"/>
          <w:lang w:val="en-US"/>
        </w:rPr>
      </w:pPr>
      <w:r>
        <w:rPr>
          <w:rFonts w:ascii="Times New Roman" w:hAnsi="Times New Roman" w:cs="Times New Roman"/>
          <w:color w:val="000000" w:themeColor="text1"/>
          <w:lang w:val="en-US"/>
        </w:rPr>
        <w:t>2.2.2 Analysis of the spent and regenerated transformer oil</w:t>
      </w:r>
    </w:p>
    <w:p w14:paraId="745B973E"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(1). Moisture Content Determination</w:t>
      </w:r>
    </w:p>
    <w:p w14:paraId="78C62E0A"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hygroscopic moisture content was evaluated using the ASTM D2974 (2014) method, as described by </w:t>
      </w:r>
      <w:proofErr w:type="spellStart"/>
      <w:r>
        <w:rPr>
          <w:rFonts w:ascii="Times New Roman" w:eastAsia="Calibri" w:hAnsi="Times New Roman" w:cs="Times New Roman"/>
          <w:color w:val="000000" w:themeColor="text1"/>
          <w:lang w:val="en-US"/>
        </w:rPr>
        <w:t>Boadu</w:t>
      </w:r>
      <w:proofErr w:type="spellEnd"/>
      <w:r>
        <w:rPr>
          <w:rFonts w:ascii="Times New Roman" w:eastAsia="Calibri" w:hAnsi="Times New Roman" w:cs="Times New Roman"/>
          <w:color w:val="000000" w:themeColor="text1"/>
          <w:lang w:val="en-US"/>
        </w:rPr>
        <w:t xml:space="preserve"> et al. (2018). Clean empty petri-dish was oven dried at 110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cooled in a desiccator, and weighed. A 1.0 g sample of the coconut shells activated carbon (CSAC) was measured into the empty petri-dish, and the weight was recorded. The petri- dish and its content was then oven dried at 110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to a constant weight for 3 h. The percentage moisture content was calculated </w:t>
      </w:r>
      <w:proofErr w:type="gramStart"/>
      <w:r>
        <w:rPr>
          <w:rFonts w:ascii="Times New Roman" w:eastAsia="Calibri" w:hAnsi="Times New Roman" w:cs="Times New Roman"/>
          <w:color w:val="000000" w:themeColor="text1"/>
          <w:lang w:val="en-US"/>
        </w:rPr>
        <w:t>using  Equation</w:t>
      </w:r>
      <w:proofErr w:type="gramEnd"/>
      <w:r>
        <w:rPr>
          <w:rFonts w:ascii="Times New Roman" w:eastAsia="Calibri" w:hAnsi="Times New Roman" w:cs="Times New Roman"/>
          <w:color w:val="000000" w:themeColor="text1"/>
          <w:lang w:val="en-US"/>
        </w:rPr>
        <w:t xml:space="preserve"> 1. </w:t>
      </w:r>
    </w:p>
    <w:p w14:paraId="65E13409" w14:textId="77777777" w:rsidR="0078026E" w:rsidRDefault="003452F6">
      <w:pPr>
        <w:spacing w:line="240" w:lineRule="auto"/>
        <w:jc w:val="both"/>
        <w:rPr>
          <w:rFonts w:ascii="Times New Roman" w:eastAsia="Times New Roman" w:hAnsi="Times New Roman" w:cs="Times New Roman"/>
          <w:color w:val="000000" w:themeColor="text1"/>
          <w:lang w:val="en-US"/>
        </w:rPr>
      </w:pPr>
      <w:proofErr w:type="gramStart"/>
      <w:r>
        <w:rPr>
          <w:rFonts w:ascii="Times New Roman" w:eastAsia="Calibri" w:hAnsi="Times New Roman" w:cs="Times New Roman"/>
          <w:color w:val="000000" w:themeColor="text1"/>
          <w:lang w:val="en-US"/>
        </w:rPr>
        <w:lastRenderedPageBreak/>
        <w:t>X</w:t>
      </w:r>
      <w:r>
        <w:rPr>
          <w:rFonts w:ascii="Times New Roman" w:eastAsia="Calibri" w:hAnsi="Times New Roman" w:cs="Times New Roman"/>
          <w:color w:val="000000" w:themeColor="text1"/>
          <w:vertAlign w:val="subscript"/>
          <w:lang w:val="en-US"/>
        </w:rPr>
        <w:t xml:space="preserve">o  </w:t>
      </w:r>
      <w:r>
        <w:rPr>
          <w:rFonts w:ascii="Times New Roman" w:eastAsia="Calibri" w:hAnsi="Times New Roman" w:cs="Times New Roman"/>
          <w:color w:val="000000" w:themeColor="text1"/>
          <w:lang w:val="en-US"/>
        </w:rPr>
        <w:t>=</w:t>
      </w:r>
      <w:proofErr w:type="gramEnd"/>
      <w:r>
        <w:rPr>
          <w:rFonts w:ascii="Times New Roman" w:eastAsia="Calibri" w:hAnsi="Times New Roman" w:cs="Times New Roman"/>
          <w:color w:val="000000" w:themeColor="text1"/>
          <w:lang w:val="en-US"/>
        </w:rPr>
        <w:t xml:space="preserve"> </w:t>
      </w:r>
      <m:oMath>
        <m:f>
          <m:fPr>
            <m:ctrlPr>
              <w:rPr>
                <w:rFonts w:ascii="Cambria Math" w:eastAsia="Calibri" w:hAnsi="Cambria Math" w:cs="Times New Roman"/>
                <w:color w:val="000000" w:themeColor="text1"/>
                <w:lang w:val="en-US"/>
              </w:rPr>
            </m:ctrlPr>
          </m:fPr>
          <m:num>
            <m:sSub>
              <m:sSubPr>
                <m:ctrlPr>
                  <w:rPr>
                    <w:rFonts w:ascii="Cambria Math" w:eastAsia="Calibri" w:hAnsi="Cambria Math" w:cs="Times New Roman"/>
                    <w:color w:val="000000" w:themeColor="text1"/>
                    <w:lang w:val="en-US"/>
                  </w:rPr>
                </m:ctrlPr>
              </m:sSubPr>
              <m:e>
                <m:r>
                  <w:rPr>
                    <w:rFonts w:ascii="Cambria Math" w:eastAsia="Calibri" w:hAnsi="Cambria Math" w:cs="Times New Roman"/>
                    <w:color w:val="000000" w:themeColor="text1"/>
                    <w:lang w:val="en-US"/>
                  </w:rPr>
                  <m:t>W</m:t>
                </m:r>
              </m:e>
              <m:sub>
                <m:r>
                  <m:rPr>
                    <m:sty m:val="p"/>
                  </m:rPr>
                  <w:rPr>
                    <w:rFonts w:ascii="Cambria Math" w:eastAsia="Calibri" w:hAnsi="Cambria Math" w:cs="Times New Roman"/>
                    <w:color w:val="000000" w:themeColor="text1"/>
                    <w:lang w:val="en-US"/>
                  </w:rPr>
                  <m:t>1</m:t>
                </m:r>
              </m:sub>
            </m:sSub>
            <m:r>
              <m:rPr>
                <m:sty m:val="p"/>
              </m:rPr>
              <w:rPr>
                <w:rFonts w:ascii="Cambria Math" w:eastAsia="Calibri" w:hAnsi="Cambria Math" w:cs="Times New Roman"/>
                <w:color w:val="000000" w:themeColor="text1"/>
                <w:lang w:val="en-US"/>
              </w:rPr>
              <m:t>-</m:t>
            </m:r>
            <m:sSub>
              <m:sSubPr>
                <m:ctrlPr>
                  <w:rPr>
                    <w:rFonts w:ascii="Cambria Math" w:eastAsia="Calibri" w:hAnsi="Cambria Math" w:cs="Times New Roman"/>
                    <w:color w:val="000000" w:themeColor="text1"/>
                    <w:lang w:val="en-US"/>
                  </w:rPr>
                </m:ctrlPr>
              </m:sSubPr>
              <m:e>
                <m:r>
                  <w:rPr>
                    <w:rFonts w:ascii="Cambria Math" w:eastAsia="Calibri" w:hAnsi="Cambria Math" w:cs="Times New Roman"/>
                    <w:color w:val="000000" w:themeColor="text1"/>
                    <w:lang w:val="en-US"/>
                  </w:rPr>
                  <m:t>W</m:t>
                </m:r>
              </m:e>
              <m:sub>
                <m:r>
                  <m:rPr>
                    <m:sty m:val="p"/>
                  </m:rPr>
                  <w:rPr>
                    <w:rFonts w:ascii="Cambria Math" w:eastAsia="Calibri" w:hAnsi="Cambria Math" w:cs="Times New Roman"/>
                    <w:color w:val="000000" w:themeColor="text1"/>
                    <w:lang w:val="en-US"/>
                  </w:rPr>
                  <m:t>2</m:t>
                </m:r>
              </m:sub>
            </m:sSub>
          </m:num>
          <m:den>
            <m:sSub>
              <m:sSubPr>
                <m:ctrlPr>
                  <w:rPr>
                    <w:rFonts w:ascii="Cambria Math" w:eastAsia="Calibri" w:hAnsi="Cambria Math" w:cs="Times New Roman"/>
                    <w:color w:val="000000" w:themeColor="text1"/>
                    <w:lang w:val="en-US"/>
                  </w:rPr>
                </m:ctrlPr>
              </m:sSubPr>
              <m:e>
                <m:r>
                  <w:rPr>
                    <w:rFonts w:ascii="Cambria Math" w:eastAsia="Calibri" w:hAnsi="Cambria Math" w:cs="Times New Roman"/>
                    <w:color w:val="000000" w:themeColor="text1"/>
                    <w:lang w:val="en-US"/>
                  </w:rPr>
                  <m:t>W</m:t>
                </m:r>
              </m:e>
              <m:sub>
                <m:r>
                  <m:rPr>
                    <m:sty m:val="p"/>
                  </m:rPr>
                  <w:rPr>
                    <w:rFonts w:ascii="Cambria Math" w:eastAsia="Calibri" w:hAnsi="Cambria Math" w:cs="Times New Roman"/>
                    <w:color w:val="000000" w:themeColor="text1"/>
                    <w:lang w:val="en-US"/>
                  </w:rPr>
                  <m:t>1</m:t>
                </m:r>
              </m:sub>
            </m:sSub>
          </m:den>
        </m:f>
      </m:oMath>
      <w:r>
        <w:rPr>
          <w:rFonts w:ascii="Times New Roman" w:eastAsia="Times New Roman" w:hAnsi="Times New Roman" w:cs="Times New Roman"/>
          <w:color w:val="000000" w:themeColor="text1"/>
          <w:lang w:val="en-US"/>
        </w:rPr>
        <w:t xml:space="preserve">  </w:t>
      </w:r>
      <m:oMath>
        <m:r>
          <w:rPr>
            <w:rFonts w:ascii="Cambria Math" w:hAnsi="Cambria Math" w:cs="Times New Roman"/>
            <w:color w:val="000000" w:themeColor="text1"/>
            <w:lang w:val="en-US"/>
          </w:rPr>
          <m:t>×</m:t>
        </m:r>
      </m:oMath>
      <w:r>
        <w:rPr>
          <w:rFonts w:ascii="Times New Roman" w:eastAsia="Times New Roman" w:hAnsi="Times New Roman" w:cs="Times New Roman"/>
          <w:color w:val="000000" w:themeColor="text1"/>
          <w:lang w:val="en-US"/>
        </w:rPr>
        <w:t xml:space="preserve"> 100 %                                                                                                               (1)</w:t>
      </w:r>
    </w:p>
    <w:p w14:paraId="0B962799" w14:textId="77777777" w:rsidR="0078026E" w:rsidRDefault="003452F6">
      <w:pPr>
        <w:spacing w:line="240" w:lineRule="auto"/>
        <w:jc w:val="both"/>
        <w:rPr>
          <w:rFonts w:ascii="Times New Roman" w:eastAsia="Times New Roman" w:hAnsi="Times New Roman" w:cs="Times New Roman"/>
          <w:color w:val="000000" w:themeColor="text1"/>
          <w:lang w:val="en-US"/>
        </w:rPr>
      </w:pPr>
      <w:proofErr w:type="gramStart"/>
      <w:r>
        <w:rPr>
          <w:rFonts w:ascii="Times New Roman" w:eastAsia="Times New Roman" w:hAnsi="Times New Roman" w:cs="Times New Roman"/>
          <w:color w:val="000000" w:themeColor="text1"/>
          <w:lang w:val="en-US"/>
        </w:rPr>
        <w:t>X</w:t>
      </w:r>
      <w:r>
        <w:rPr>
          <w:rFonts w:ascii="Times New Roman" w:eastAsia="Times New Roman" w:hAnsi="Times New Roman" w:cs="Times New Roman"/>
          <w:color w:val="000000" w:themeColor="text1"/>
          <w:vertAlign w:val="subscript"/>
          <w:lang w:val="en-US"/>
        </w:rPr>
        <w:t xml:space="preserve">o  </w:t>
      </w:r>
      <w:r>
        <w:rPr>
          <w:rFonts w:ascii="Times New Roman" w:eastAsia="Times New Roman" w:hAnsi="Times New Roman" w:cs="Times New Roman"/>
          <w:color w:val="000000" w:themeColor="text1"/>
          <w:lang w:val="en-US"/>
        </w:rPr>
        <w:t>=</w:t>
      </w:r>
      <w:proofErr w:type="gramEnd"/>
      <w:r>
        <w:rPr>
          <w:rFonts w:ascii="Times New Roman" w:eastAsia="Times New Roman" w:hAnsi="Times New Roman" w:cs="Times New Roman"/>
          <w:color w:val="000000" w:themeColor="text1"/>
          <w:lang w:val="en-US"/>
        </w:rPr>
        <w:t xml:space="preserve"> Moisture content on wet basis; W</w:t>
      </w:r>
      <w:r>
        <w:rPr>
          <w:rFonts w:ascii="Times New Roman" w:eastAsia="Times New Roman" w:hAnsi="Times New Roman" w:cs="Times New Roman"/>
          <w:color w:val="000000" w:themeColor="text1"/>
          <w:vertAlign w:val="subscript"/>
          <w:lang w:val="en-US"/>
        </w:rPr>
        <w:t>1</w:t>
      </w:r>
      <w:r>
        <w:rPr>
          <w:rFonts w:ascii="Times New Roman" w:eastAsia="Times New Roman" w:hAnsi="Times New Roman" w:cs="Times New Roman"/>
          <w:color w:val="000000" w:themeColor="text1"/>
          <w:lang w:val="en-US"/>
        </w:rPr>
        <w:t>= Initial Weight Sample (g); W</w:t>
      </w:r>
      <w:r>
        <w:rPr>
          <w:rFonts w:ascii="Times New Roman" w:eastAsia="Times New Roman" w:hAnsi="Times New Roman" w:cs="Times New Roman"/>
          <w:color w:val="000000" w:themeColor="text1"/>
          <w:vertAlign w:val="subscript"/>
          <w:lang w:val="en-US"/>
        </w:rPr>
        <w:t>2</w:t>
      </w:r>
      <w:r>
        <w:rPr>
          <w:rFonts w:ascii="Times New Roman" w:eastAsia="Times New Roman" w:hAnsi="Times New Roman" w:cs="Times New Roman"/>
          <w:color w:val="000000" w:themeColor="text1"/>
          <w:lang w:val="en-US"/>
        </w:rPr>
        <w:t>= Final weight of sample after drying (g)</w:t>
      </w:r>
    </w:p>
    <w:p w14:paraId="1A79C265"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(2). Ash Content</w:t>
      </w:r>
    </w:p>
    <w:p w14:paraId="4C235DCE"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The ash content was accessed following the ASTM D2974 (2014) method, as </w:t>
      </w:r>
      <w:proofErr w:type="gramStart"/>
      <w:r>
        <w:rPr>
          <w:rFonts w:ascii="Times New Roman" w:eastAsia="Times New Roman" w:hAnsi="Times New Roman" w:cs="Times New Roman"/>
          <w:color w:val="000000" w:themeColor="text1"/>
          <w:lang w:val="en-US"/>
        </w:rPr>
        <w:t>prescribed  by</w:t>
      </w:r>
      <w:proofErr w:type="gramEnd"/>
      <w:r>
        <w:rPr>
          <w:rFonts w:ascii="Times New Roman" w:eastAsia="Times New Roman" w:hAnsi="Times New Roman" w:cs="Times New Roman"/>
          <w:color w:val="000000" w:themeColor="text1"/>
          <w:lang w:val="en-US"/>
        </w:rPr>
        <w:t xml:space="preserve"> Vera et al. (2012). Dry activated carbon sample (I.0 g of coconut shells) was placed in a metal tray heat diffuser and moved to a preheated select-Horn furnace set at 750 </w:t>
      </w:r>
      <w:r>
        <w:rPr>
          <w:rFonts w:ascii="Times New Roman" w:eastAsia="Times New Roman" w:hAnsi="Times New Roman" w:cs="Times New Roman"/>
          <w:color w:val="000000" w:themeColor="text1"/>
          <w:vertAlign w:val="superscript"/>
          <w:lang w:val="en-US"/>
        </w:rPr>
        <w:t>0</w:t>
      </w:r>
      <w:r>
        <w:rPr>
          <w:rFonts w:ascii="Times New Roman" w:eastAsia="Times New Roman" w:hAnsi="Times New Roman" w:cs="Times New Roman"/>
          <w:color w:val="000000" w:themeColor="text1"/>
          <w:lang w:val="en-US"/>
        </w:rPr>
        <w:t xml:space="preserve">C for 90 min. After this, the melting pots and their contents were transfer to a desiccator to cool. The melting pots and their contents were reweighed, and the weight loss was noted as ash content of the activated sample. Then the % ash content (dry basis) for each sample was calculated using the Equation 2. </w:t>
      </w:r>
    </w:p>
    <w:p w14:paraId="03D27BC2"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Ash (%) = </w:t>
      </w:r>
      <m:oMath>
        <m:f>
          <m:fPr>
            <m:ctrlPr>
              <w:rPr>
                <w:rFonts w:ascii="Cambria Math" w:eastAsia="Times New Roman" w:hAnsi="Cambria Math" w:cs="Times New Roman"/>
                <w:color w:val="000000" w:themeColor="text1"/>
                <w:lang w:val="en-US"/>
              </w:rPr>
            </m:ctrlPr>
          </m:fPr>
          <m:num>
            <m:sSub>
              <m:sSubPr>
                <m:ctrlPr>
                  <w:rPr>
                    <w:rFonts w:ascii="Cambria Math" w:eastAsia="Times New Roman" w:hAnsi="Cambria Math" w:cs="Times New Roman"/>
                    <w:color w:val="000000" w:themeColor="text1"/>
                    <w:lang w:val="en-US"/>
                  </w:rPr>
                </m:ctrlPr>
              </m:sSubPr>
              <m:e>
                <m:r>
                  <w:rPr>
                    <w:rFonts w:ascii="Cambria Math" w:eastAsia="Times New Roman" w:hAnsi="Cambria Math" w:cs="Times New Roman"/>
                    <w:color w:val="000000" w:themeColor="text1"/>
                    <w:lang w:val="en-US"/>
                  </w:rPr>
                  <m:t>W</m:t>
                </m:r>
              </m:e>
              <m:sub>
                <m:r>
                  <w:rPr>
                    <w:rFonts w:ascii="Cambria Math" w:eastAsia="Times New Roman" w:hAnsi="Cambria Math" w:cs="Times New Roman"/>
                    <w:color w:val="000000" w:themeColor="text1"/>
                    <w:lang w:val="en-US"/>
                  </w:rPr>
                  <m:t>p</m:t>
                </m:r>
                <m:r>
                  <m:rPr>
                    <m:sty m:val="p"/>
                  </m:rPr>
                  <w:rPr>
                    <w:rFonts w:ascii="Cambria Math" w:eastAsia="Times New Roman" w:hAnsi="Cambria Math" w:cs="Times New Roman"/>
                    <w:color w:val="000000" w:themeColor="text1"/>
                    <w:lang w:val="en-US"/>
                  </w:rPr>
                  <m:t>&amp;</m:t>
                </m:r>
                <m:r>
                  <w:rPr>
                    <w:rFonts w:ascii="Cambria Math" w:eastAsia="Times New Roman" w:hAnsi="Cambria Math" w:cs="Times New Roman"/>
                    <w:color w:val="000000" w:themeColor="text1"/>
                    <w:lang w:val="en-US"/>
                  </w:rPr>
                  <m:t>S</m:t>
                </m:r>
              </m:sub>
            </m:sSub>
            <m:r>
              <m:rPr>
                <m:sty m:val="p"/>
              </m:rPr>
              <w:rPr>
                <w:rFonts w:ascii="Cambria Math" w:eastAsia="Times New Roman" w:hAnsi="Cambria Math" w:cs="Times New Roman"/>
                <w:color w:val="000000" w:themeColor="text1"/>
                <w:lang w:val="en-US"/>
              </w:rPr>
              <m:t>-</m:t>
            </m:r>
            <m:sSub>
              <m:sSubPr>
                <m:ctrlPr>
                  <w:rPr>
                    <w:rFonts w:ascii="Cambria Math" w:eastAsia="Times New Roman" w:hAnsi="Cambria Math" w:cs="Times New Roman"/>
                    <w:color w:val="000000" w:themeColor="text1"/>
                    <w:lang w:val="en-US"/>
                  </w:rPr>
                </m:ctrlPr>
              </m:sSubPr>
              <m:e>
                <m:r>
                  <w:rPr>
                    <w:rFonts w:ascii="Cambria Math" w:eastAsia="Times New Roman" w:hAnsi="Cambria Math" w:cs="Times New Roman"/>
                    <w:color w:val="000000" w:themeColor="text1"/>
                    <w:lang w:val="en-US"/>
                  </w:rPr>
                  <m:t>W</m:t>
                </m:r>
              </m:e>
              <m:sub>
                <m:r>
                  <w:rPr>
                    <w:rFonts w:ascii="Cambria Math" w:eastAsia="Times New Roman" w:hAnsi="Cambria Math" w:cs="Times New Roman"/>
                    <w:color w:val="000000" w:themeColor="text1"/>
                    <w:lang w:val="en-US"/>
                  </w:rPr>
                  <m:t>p</m:t>
                </m:r>
              </m:sub>
            </m:sSub>
          </m:num>
          <m:den>
            <m:sSub>
              <m:sSubPr>
                <m:ctrlPr>
                  <w:rPr>
                    <w:rFonts w:ascii="Cambria Math" w:eastAsia="Times New Roman" w:hAnsi="Cambria Math" w:cs="Times New Roman"/>
                    <w:color w:val="000000" w:themeColor="text1"/>
                    <w:lang w:val="en-US"/>
                  </w:rPr>
                </m:ctrlPr>
              </m:sSubPr>
              <m:e>
                <m:r>
                  <w:rPr>
                    <w:rFonts w:ascii="Cambria Math" w:eastAsia="Times New Roman" w:hAnsi="Cambria Math" w:cs="Times New Roman"/>
                    <w:color w:val="000000" w:themeColor="text1"/>
                    <w:lang w:val="en-US"/>
                  </w:rPr>
                  <m:t>W</m:t>
                </m:r>
              </m:e>
              <m:sub>
                <m:r>
                  <m:rPr>
                    <m:sty m:val="p"/>
                  </m:rPr>
                  <w:rPr>
                    <w:rFonts w:ascii="Cambria Math" w:eastAsia="Times New Roman" w:hAnsi="Cambria Math" w:cs="Times New Roman"/>
                    <w:color w:val="000000" w:themeColor="text1"/>
                    <w:lang w:val="en-US"/>
                  </w:rPr>
                  <m:t>0</m:t>
                </m:r>
              </m:sub>
            </m:sSub>
          </m:den>
        </m:f>
      </m:oMath>
      <w:r>
        <w:rPr>
          <w:rFonts w:ascii="Times New Roman" w:eastAsia="Times New Roman" w:hAnsi="Times New Roman" w:cs="Times New Roman"/>
          <w:color w:val="000000" w:themeColor="text1"/>
          <w:lang w:val="en-US"/>
        </w:rPr>
        <w:t xml:space="preserve"> </w:t>
      </w:r>
      <m:oMath>
        <m:r>
          <m:rPr>
            <m:sty m:val="p"/>
          </m:rPr>
          <w:rPr>
            <w:rFonts w:ascii="Cambria Math" w:eastAsia="Times New Roman" w:hAnsi="Cambria Math" w:cs="Times New Roman"/>
            <w:color w:val="000000" w:themeColor="text1"/>
            <w:lang w:val="en-US"/>
          </w:rPr>
          <m:t>×</m:t>
        </m:r>
      </m:oMath>
      <w:r>
        <w:rPr>
          <w:rFonts w:ascii="Times New Roman" w:eastAsia="Times New Roman" w:hAnsi="Times New Roman" w:cs="Times New Roman"/>
          <w:color w:val="000000" w:themeColor="text1"/>
          <w:lang w:val="en-US"/>
        </w:rPr>
        <w:t xml:space="preserve"> 100%                                                                                                  </w:t>
      </w:r>
      <w:proofErr w:type="gramStart"/>
      <w:r>
        <w:rPr>
          <w:rFonts w:ascii="Times New Roman" w:eastAsia="Times New Roman" w:hAnsi="Times New Roman" w:cs="Times New Roman"/>
          <w:color w:val="000000" w:themeColor="text1"/>
          <w:lang w:val="en-US"/>
        </w:rPr>
        <w:t xml:space="preserve">   (</w:t>
      </w:r>
      <w:proofErr w:type="gramEnd"/>
      <w:r>
        <w:rPr>
          <w:rFonts w:ascii="Times New Roman" w:eastAsia="Times New Roman" w:hAnsi="Times New Roman" w:cs="Times New Roman"/>
          <w:color w:val="000000" w:themeColor="text1"/>
          <w:lang w:val="en-US"/>
        </w:rPr>
        <w:t xml:space="preserve">2)                                        </w:t>
      </w:r>
    </w:p>
    <w:p w14:paraId="3CE285BD"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Where: W</w:t>
      </w:r>
      <w:r>
        <w:rPr>
          <w:rFonts w:ascii="Times New Roman" w:eastAsia="Times New Roman" w:hAnsi="Times New Roman" w:cs="Times New Roman"/>
          <w:color w:val="000000" w:themeColor="text1"/>
          <w:vertAlign w:val="subscript"/>
          <w:lang w:val="en-US"/>
        </w:rPr>
        <w:t xml:space="preserve">p </w:t>
      </w:r>
      <w:r>
        <w:rPr>
          <w:rFonts w:ascii="Times New Roman" w:eastAsia="Times New Roman" w:hAnsi="Times New Roman" w:cs="Times New Roman"/>
          <w:color w:val="000000" w:themeColor="text1"/>
          <w:lang w:val="en-US"/>
        </w:rPr>
        <w:t>= Weight of petri-dish(g); W</w:t>
      </w:r>
      <w:r>
        <w:rPr>
          <w:rFonts w:ascii="Times New Roman" w:eastAsia="Times New Roman" w:hAnsi="Times New Roman" w:cs="Times New Roman"/>
          <w:color w:val="000000" w:themeColor="text1"/>
          <w:vertAlign w:val="subscript"/>
          <w:lang w:val="en-US"/>
        </w:rPr>
        <w:t>p&amp; s</w:t>
      </w:r>
      <w:r>
        <w:rPr>
          <w:rFonts w:ascii="Times New Roman" w:eastAsia="Times New Roman" w:hAnsi="Times New Roman" w:cs="Times New Roman"/>
          <w:color w:val="000000" w:themeColor="text1"/>
          <w:lang w:val="en-US"/>
        </w:rPr>
        <w:t xml:space="preserve">= Weight of petri-dish and sample after </w:t>
      </w:r>
      <w:proofErr w:type="spellStart"/>
      <w:r>
        <w:rPr>
          <w:rFonts w:ascii="Times New Roman" w:eastAsia="Times New Roman" w:hAnsi="Times New Roman" w:cs="Times New Roman"/>
          <w:color w:val="000000" w:themeColor="text1"/>
          <w:lang w:val="en-US"/>
        </w:rPr>
        <w:t>ashing</w:t>
      </w:r>
      <w:proofErr w:type="spellEnd"/>
      <w:r>
        <w:rPr>
          <w:rFonts w:ascii="Times New Roman" w:eastAsia="Times New Roman" w:hAnsi="Times New Roman" w:cs="Times New Roman"/>
          <w:color w:val="000000" w:themeColor="text1"/>
          <w:lang w:val="en-US"/>
        </w:rPr>
        <w:t xml:space="preserve"> (g);</w:t>
      </w:r>
    </w:p>
    <w:p w14:paraId="59316958"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W</w:t>
      </w:r>
      <w:r>
        <w:rPr>
          <w:rFonts w:ascii="Times New Roman" w:eastAsia="Times New Roman" w:hAnsi="Times New Roman" w:cs="Times New Roman"/>
          <w:color w:val="000000" w:themeColor="text1"/>
          <w:vertAlign w:val="subscript"/>
          <w:lang w:val="en-US"/>
        </w:rPr>
        <w:t xml:space="preserve">O </w:t>
      </w:r>
      <w:r>
        <w:rPr>
          <w:rFonts w:ascii="Times New Roman" w:eastAsia="Times New Roman" w:hAnsi="Times New Roman" w:cs="Times New Roman"/>
          <w:color w:val="000000" w:themeColor="text1"/>
          <w:lang w:val="en-US"/>
        </w:rPr>
        <w:t xml:space="preserve">= Dry weight of carbon sample before </w:t>
      </w:r>
      <w:proofErr w:type="spellStart"/>
      <w:r>
        <w:rPr>
          <w:rFonts w:ascii="Times New Roman" w:eastAsia="Times New Roman" w:hAnsi="Times New Roman" w:cs="Times New Roman"/>
          <w:color w:val="000000" w:themeColor="text1"/>
          <w:lang w:val="en-US"/>
        </w:rPr>
        <w:t>ashing</w:t>
      </w:r>
      <w:proofErr w:type="spellEnd"/>
      <w:r>
        <w:rPr>
          <w:rFonts w:ascii="Times New Roman" w:eastAsia="Times New Roman" w:hAnsi="Times New Roman" w:cs="Times New Roman"/>
          <w:color w:val="000000" w:themeColor="text1"/>
          <w:lang w:val="en-US"/>
        </w:rPr>
        <w:t>.</w:t>
      </w:r>
    </w:p>
    <w:p w14:paraId="57A32BF6"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(3). Pore Volume Measurement</w:t>
      </w:r>
    </w:p>
    <w:p w14:paraId="29DA51CA" w14:textId="77777777" w:rsidR="0078026E" w:rsidRDefault="003452F6">
      <w:pPr>
        <w:spacing w:after="0"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A 1.0 g of coconut shell activated carbon was put into a beaker containing 20 mL of distilled water and heated to boil for 5 min to ensure uniform dispersion. After boiling, the mixture was filtered, and the solid residue was dried and weighed. The pore volume was calculated using Equation 3 (</w:t>
      </w:r>
      <w:proofErr w:type="spellStart"/>
      <w:r>
        <w:rPr>
          <w:rFonts w:ascii="Times New Roman" w:eastAsia="Times New Roman" w:hAnsi="Times New Roman" w:cs="Times New Roman"/>
          <w:color w:val="000000" w:themeColor="text1"/>
          <w:lang w:val="en-US"/>
        </w:rPr>
        <w:t>Evbuomwan</w:t>
      </w:r>
      <w:proofErr w:type="spellEnd"/>
      <w:r>
        <w:rPr>
          <w:rFonts w:ascii="Times New Roman" w:eastAsia="Times New Roman" w:hAnsi="Times New Roman" w:cs="Times New Roman"/>
          <w:color w:val="000000" w:themeColor="text1"/>
          <w:lang w:val="en-US"/>
        </w:rPr>
        <w:t xml:space="preserve"> et al., 2013).</w:t>
      </w:r>
    </w:p>
    <w:p w14:paraId="3780688F" w14:textId="77777777" w:rsidR="0078026E" w:rsidRPr="005A3365" w:rsidRDefault="003452F6">
      <w:pPr>
        <w:spacing w:after="0" w:line="240" w:lineRule="auto"/>
        <w:jc w:val="both"/>
        <w:rPr>
          <w:rFonts w:ascii="Times New Roman" w:eastAsia="Times New Roman" w:hAnsi="Times New Roman" w:cs="Times New Roman"/>
          <w:color w:val="000000" w:themeColor="text1"/>
          <w:lang w:val="fr-FR"/>
        </w:rPr>
      </w:pPr>
      <w:r w:rsidRPr="005A3365">
        <w:rPr>
          <w:rFonts w:ascii="Times New Roman" w:eastAsia="Times New Roman" w:hAnsi="Times New Roman" w:cs="Times New Roman"/>
          <w:color w:val="000000" w:themeColor="text1"/>
          <w:lang w:val="en-IN"/>
        </w:rPr>
        <w:br/>
      </w:r>
      <w:r w:rsidRPr="005A3365">
        <w:rPr>
          <w:rFonts w:ascii="Times New Roman" w:eastAsia="Times New Roman" w:hAnsi="Times New Roman" w:cs="Times New Roman"/>
          <w:color w:val="000000" w:themeColor="text1"/>
          <w:lang w:val="fr-FR"/>
        </w:rPr>
        <w:t xml:space="preserve">Pore volume = </w:t>
      </w:r>
      <m:oMath>
        <m:f>
          <m:fPr>
            <m:ctrlPr>
              <w:rPr>
                <w:rFonts w:ascii="Cambria Math" w:eastAsia="Times New Roman" w:hAnsi="Cambria Math" w:cs="Times New Roman"/>
                <w:color w:val="000000" w:themeColor="text1"/>
                <w:lang w:val="en-US"/>
              </w:rPr>
            </m:ctrlPr>
          </m:fPr>
          <m:num>
            <m:r>
              <w:rPr>
                <w:rFonts w:ascii="Cambria Math" w:eastAsia="Times New Roman" w:hAnsi="Cambria Math" w:cs="Times New Roman"/>
                <w:color w:val="000000" w:themeColor="text1"/>
                <w:lang w:val="en-US"/>
              </w:rPr>
              <m:t>Increase</m:t>
            </m:r>
            <m:r>
              <m:rPr>
                <m:sty m:val="p"/>
              </m:rPr>
              <w:rPr>
                <w:rFonts w:ascii="Cambria Math" w:eastAsia="Times New Roman" w:hAnsi="Cambria Math" w:cs="Times New Roman"/>
                <w:color w:val="000000" w:themeColor="text1"/>
                <w:lang w:val="fr-FR"/>
              </w:rPr>
              <m:t xml:space="preserve"> </m:t>
            </m:r>
            <m:r>
              <w:rPr>
                <w:rFonts w:ascii="Cambria Math" w:eastAsia="Times New Roman" w:hAnsi="Cambria Math" w:cs="Times New Roman"/>
                <w:color w:val="000000" w:themeColor="text1"/>
                <w:lang w:val="en-US"/>
              </w:rPr>
              <m:t>in</m:t>
            </m:r>
            <m:r>
              <m:rPr>
                <m:sty m:val="p"/>
              </m:rPr>
              <w:rPr>
                <w:rFonts w:ascii="Cambria Math" w:eastAsia="Times New Roman" w:hAnsi="Cambria Math" w:cs="Times New Roman"/>
                <w:color w:val="000000" w:themeColor="text1"/>
                <w:lang w:val="fr-FR"/>
              </w:rPr>
              <m:t xml:space="preserve"> </m:t>
            </m:r>
            <m:r>
              <w:rPr>
                <w:rFonts w:ascii="Cambria Math" w:eastAsia="Times New Roman" w:hAnsi="Cambria Math" w:cs="Times New Roman"/>
                <w:color w:val="000000" w:themeColor="text1"/>
                <w:lang w:val="en-US"/>
              </w:rPr>
              <m:t>sampl</m:t>
            </m:r>
            <m:sSup>
              <m:sSupPr>
                <m:ctrlPr>
                  <w:rPr>
                    <w:rFonts w:ascii="Cambria Math" w:eastAsia="Times New Roman" w:hAnsi="Cambria Math" w:cs="Times New Roman"/>
                    <w:color w:val="000000" w:themeColor="text1"/>
                    <w:lang w:val="en-US"/>
                  </w:rPr>
                </m:ctrlPr>
              </m:sSupPr>
              <m:e>
                <m:r>
                  <w:rPr>
                    <w:rFonts w:ascii="Cambria Math" w:eastAsia="Times New Roman" w:hAnsi="Cambria Math" w:cs="Times New Roman"/>
                    <w:color w:val="000000" w:themeColor="text1"/>
                    <w:lang w:val="en-US"/>
                  </w:rPr>
                  <m:t>e</m:t>
                </m:r>
              </m:e>
              <m:sup>
                <m:r>
                  <m:rPr>
                    <m:sty m:val="p"/>
                  </m:rPr>
                  <w:rPr>
                    <w:rFonts w:ascii="Cambria Math" w:eastAsia="Times New Roman" w:hAnsi="Cambria Math" w:cs="Times New Roman"/>
                    <w:color w:val="000000" w:themeColor="text1"/>
                    <w:lang w:val="fr-FR"/>
                  </w:rPr>
                  <m:t>'</m:t>
                </m:r>
              </m:sup>
            </m:sSup>
            <m:r>
              <w:rPr>
                <w:rFonts w:ascii="Cambria Math" w:eastAsia="Times New Roman" w:hAnsi="Cambria Math" w:cs="Times New Roman"/>
                <w:color w:val="000000" w:themeColor="text1"/>
                <w:lang w:val="en-US"/>
              </w:rPr>
              <m:t>s</m:t>
            </m:r>
            <m:r>
              <m:rPr>
                <m:sty m:val="p"/>
              </m:rPr>
              <w:rPr>
                <w:rFonts w:ascii="Cambria Math" w:eastAsia="Times New Roman" w:hAnsi="Cambria Math" w:cs="Times New Roman"/>
                <w:color w:val="000000" w:themeColor="text1"/>
                <w:lang w:val="fr-FR"/>
              </w:rPr>
              <m:t xml:space="preserve"> </m:t>
            </m:r>
            <m:r>
              <w:rPr>
                <w:rFonts w:ascii="Cambria Math" w:eastAsia="Times New Roman" w:hAnsi="Cambria Math" w:cs="Times New Roman"/>
                <w:color w:val="000000" w:themeColor="text1"/>
                <w:lang w:val="en-US"/>
              </w:rPr>
              <m:t>weig</m:t>
            </m:r>
            <m:r>
              <w:rPr>
                <w:rFonts w:ascii="Cambria Math" w:eastAsia="Times New Roman" w:hAnsi="Cambria Math" w:cs="Times New Roman"/>
                <w:color w:val="000000" w:themeColor="text1"/>
                <w:lang w:val="fr-FR"/>
              </w:rPr>
              <m:t>h</m:t>
            </m:r>
            <m:r>
              <w:rPr>
                <w:rFonts w:ascii="Cambria Math" w:eastAsia="Times New Roman" w:hAnsi="Cambria Math" w:cs="Times New Roman"/>
                <w:color w:val="000000" w:themeColor="text1"/>
                <w:lang w:val="en-US"/>
              </w:rPr>
              <m:t>t</m:t>
            </m:r>
            <m:r>
              <m:rPr>
                <m:sty m:val="p"/>
              </m:rPr>
              <w:rPr>
                <w:rFonts w:ascii="Cambria Math" w:eastAsia="Times New Roman" w:hAnsi="Cambria Math" w:cs="Times New Roman"/>
                <w:color w:val="000000" w:themeColor="text1"/>
                <w:lang w:val="fr-FR"/>
              </w:rPr>
              <m:t xml:space="preserve"> </m:t>
            </m:r>
          </m:num>
          <m:den>
            <m:r>
              <w:rPr>
                <w:rFonts w:ascii="Cambria Math" w:eastAsia="Times New Roman" w:hAnsi="Cambria Math" w:cs="Times New Roman"/>
                <w:color w:val="000000" w:themeColor="text1"/>
                <w:lang w:val="en-US"/>
              </w:rPr>
              <m:t>Density</m:t>
            </m:r>
            <m:r>
              <m:rPr>
                <m:sty m:val="p"/>
              </m:rPr>
              <w:rPr>
                <w:rFonts w:ascii="Cambria Math" w:eastAsia="Times New Roman" w:hAnsi="Cambria Math" w:cs="Times New Roman"/>
                <w:color w:val="000000" w:themeColor="text1"/>
                <w:lang w:val="fr-FR"/>
              </w:rPr>
              <m:t xml:space="preserve"> </m:t>
            </m:r>
            <m:r>
              <w:rPr>
                <w:rFonts w:ascii="Cambria Math" w:eastAsia="Times New Roman" w:hAnsi="Cambria Math" w:cs="Times New Roman"/>
                <w:color w:val="000000" w:themeColor="text1"/>
                <w:lang w:val="en-US"/>
              </w:rPr>
              <m:t>of</m:t>
            </m:r>
            <m:r>
              <m:rPr>
                <m:sty m:val="p"/>
              </m:rPr>
              <w:rPr>
                <w:rFonts w:ascii="Cambria Math" w:eastAsia="Times New Roman" w:hAnsi="Cambria Math" w:cs="Times New Roman"/>
                <w:color w:val="000000" w:themeColor="text1"/>
                <w:lang w:val="fr-FR"/>
              </w:rPr>
              <m:t xml:space="preserve"> </m:t>
            </m:r>
            <m:r>
              <w:rPr>
                <w:rFonts w:ascii="Cambria Math" w:eastAsia="Times New Roman" w:hAnsi="Cambria Math" w:cs="Times New Roman"/>
                <w:color w:val="000000" w:themeColor="text1"/>
                <w:lang w:val="en-US"/>
              </w:rPr>
              <m:t>water</m:t>
            </m:r>
            <m:r>
              <m:rPr>
                <m:sty m:val="p"/>
              </m:rPr>
              <w:rPr>
                <w:rFonts w:ascii="Cambria Math" w:eastAsia="Times New Roman" w:hAnsi="Cambria Math" w:cs="Times New Roman"/>
                <w:color w:val="000000" w:themeColor="text1"/>
                <w:lang w:val="fr-FR"/>
              </w:rPr>
              <m:t xml:space="preserve"> </m:t>
            </m:r>
          </m:den>
        </m:f>
      </m:oMath>
      <w:r w:rsidRPr="005A3365">
        <w:rPr>
          <w:rFonts w:ascii="Times New Roman" w:eastAsia="Times New Roman" w:hAnsi="Times New Roman" w:cs="Times New Roman"/>
          <w:color w:val="000000" w:themeColor="text1"/>
          <w:lang w:val="fr-FR"/>
        </w:rPr>
        <w:t xml:space="preserve">                                                                                  </w:t>
      </w:r>
      <w:proofErr w:type="gramStart"/>
      <w:r w:rsidRPr="005A3365">
        <w:rPr>
          <w:rFonts w:ascii="Times New Roman" w:eastAsia="Times New Roman" w:hAnsi="Times New Roman" w:cs="Times New Roman"/>
          <w:color w:val="000000" w:themeColor="text1"/>
          <w:lang w:val="fr-FR"/>
        </w:rPr>
        <w:t xml:space="preserve">   (</w:t>
      </w:r>
      <w:proofErr w:type="gramEnd"/>
      <w:r w:rsidRPr="005A3365">
        <w:rPr>
          <w:rFonts w:ascii="Times New Roman" w:eastAsia="Times New Roman" w:hAnsi="Times New Roman" w:cs="Times New Roman"/>
          <w:color w:val="000000" w:themeColor="text1"/>
          <w:lang w:val="fr-FR"/>
        </w:rPr>
        <w:t>3)</w:t>
      </w:r>
    </w:p>
    <w:p w14:paraId="5437F5F0" w14:textId="77777777" w:rsidR="0078026E" w:rsidRPr="005A3365" w:rsidRDefault="0078026E">
      <w:pPr>
        <w:spacing w:line="240" w:lineRule="auto"/>
        <w:jc w:val="both"/>
        <w:rPr>
          <w:rFonts w:ascii="Times New Roman" w:eastAsia="Times New Roman" w:hAnsi="Times New Roman" w:cs="Times New Roman"/>
          <w:b/>
          <w:bCs/>
          <w:color w:val="000000" w:themeColor="text1"/>
          <w:lang w:val="fr-FR"/>
        </w:rPr>
      </w:pPr>
    </w:p>
    <w:p w14:paraId="01E2D6AD"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(4). pH Measurement </w:t>
      </w:r>
    </w:p>
    <w:p w14:paraId="76526032"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A 1.0 g of coconut shell activated carbon was mixed with 3 mL of deionized water. The mixture was heated and stirred for about 3 min to ensure thorough dispersion of the sample. After heating, the solution was filtered, and the pH of the filtrate was measured using a digital pH meter (</w:t>
      </w:r>
      <w:proofErr w:type="spellStart"/>
      <w:r>
        <w:rPr>
          <w:rFonts w:ascii="Times New Roman" w:eastAsia="Times New Roman" w:hAnsi="Times New Roman" w:cs="Times New Roman"/>
          <w:color w:val="000000" w:themeColor="text1"/>
          <w:lang w:val="en-US"/>
        </w:rPr>
        <w:t>Boadu</w:t>
      </w:r>
      <w:proofErr w:type="spellEnd"/>
      <w:r>
        <w:rPr>
          <w:rFonts w:ascii="Times New Roman" w:eastAsia="Times New Roman" w:hAnsi="Times New Roman" w:cs="Times New Roman"/>
          <w:color w:val="000000" w:themeColor="text1"/>
          <w:lang w:val="en-US"/>
        </w:rPr>
        <w:t xml:space="preserve"> et al., 2018).</w:t>
      </w:r>
    </w:p>
    <w:p w14:paraId="51414498" w14:textId="77777777" w:rsidR="0078026E" w:rsidRDefault="0078026E">
      <w:pPr>
        <w:spacing w:line="240" w:lineRule="auto"/>
        <w:jc w:val="both"/>
        <w:rPr>
          <w:rFonts w:ascii="Times New Roman" w:eastAsia="Times New Roman" w:hAnsi="Times New Roman" w:cs="Times New Roman"/>
          <w:color w:val="000000" w:themeColor="text1"/>
          <w:lang w:val="en-US"/>
        </w:rPr>
      </w:pPr>
    </w:p>
    <w:p w14:paraId="4FF15150" w14:textId="77777777" w:rsidR="0078026E" w:rsidRDefault="0078026E">
      <w:pPr>
        <w:spacing w:line="240" w:lineRule="auto"/>
        <w:jc w:val="both"/>
        <w:rPr>
          <w:rFonts w:ascii="Times New Roman" w:eastAsia="Times New Roman" w:hAnsi="Times New Roman" w:cs="Times New Roman"/>
          <w:color w:val="000000" w:themeColor="text1"/>
          <w:lang w:val="en-US"/>
        </w:rPr>
      </w:pPr>
    </w:p>
    <w:p w14:paraId="77C93896" w14:textId="77777777" w:rsidR="0078026E" w:rsidRDefault="003452F6">
      <w:pPr>
        <w:numPr>
          <w:ilvl w:val="0"/>
          <w:numId w:val="1"/>
        </w:num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Determining the functional groups in the coconut shell activated carbon </w:t>
      </w:r>
    </w:p>
    <w:p w14:paraId="7D8CBA1D"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This was carried out using Fourier transform infrared </w:t>
      </w:r>
      <w:r>
        <w:rPr>
          <w:rFonts w:ascii="Times New Roman" w:eastAsia="Times New Roman" w:hAnsi="Times New Roman" w:cs="Times New Roman"/>
          <w:b/>
          <w:bCs/>
          <w:color w:val="000000" w:themeColor="text1"/>
          <w:lang w:val="en-US"/>
        </w:rPr>
        <w:t>(</w:t>
      </w:r>
      <w:r>
        <w:rPr>
          <w:rFonts w:ascii="Times New Roman" w:eastAsia="Times New Roman" w:hAnsi="Times New Roman" w:cs="Times New Roman"/>
          <w:color w:val="000000" w:themeColor="text1"/>
          <w:lang w:val="en-US"/>
        </w:rPr>
        <w:t xml:space="preserve">FTIR) spectroscopy. The spectra were recorded with a </w:t>
      </w:r>
      <w:proofErr w:type="spellStart"/>
      <w:r>
        <w:rPr>
          <w:rFonts w:ascii="Times New Roman" w:eastAsia="Times New Roman" w:hAnsi="Times New Roman" w:cs="Times New Roman"/>
          <w:color w:val="000000" w:themeColor="text1"/>
          <w:lang w:val="en-US"/>
        </w:rPr>
        <w:t>Digilab</w:t>
      </w:r>
      <w:proofErr w:type="spellEnd"/>
      <w:r>
        <w:rPr>
          <w:rFonts w:ascii="Times New Roman" w:eastAsia="Times New Roman" w:hAnsi="Times New Roman" w:cs="Times New Roman"/>
          <w:color w:val="000000" w:themeColor="text1"/>
          <w:lang w:val="en-US"/>
        </w:rPr>
        <w:t xml:space="preserve"> Excalibur FTS 3000 series spectrometer over the range 400 – 4000 cm⁻¹ at a resolution of 4 cm⁻¹. Samples were prepared as </w:t>
      </w:r>
      <w:proofErr w:type="spellStart"/>
      <w:r>
        <w:rPr>
          <w:rFonts w:ascii="Times New Roman" w:eastAsia="Times New Roman" w:hAnsi="Times New Roman" w:cs="Times New Roman"/>
          <w:color w:val="000000" w:themeColor="text1"/>
          <w:lang w:val="en-US"/>
        </w:rPr>
        <w:t>KBr</w:t>
      </w:r>
      <w:proofErr w:type="spellEnd"/>
      <w:r>
        <w:rPr>
          <w:rFonts w:ascii="Times New Roman" w:eastAsia="Times New Roman" w:hAnsi="Times New Roman" w:cs="Times New Roman"/>
          <w:color w:val="000000" w:themeColor="text1"/>
          <w:lang w:val="en-US"/>
        </w:rPr>
        <w:t xml:space="preserve"> pellets. FTIR analysis provided insight into the surface chemistry by revealing characteristic functional groups associated with the activated carbon (</w:t>
      </w:r>
      <w:proofErr w:type="spellStart"/>
      <w:r>
        <w:rPr>
          <w:rFonts w:ascii="Times New Roman" w:eastAsia="Times New Roman" w:hAnsi="Times New Roman" w:cs="Times New Roman"/>
          <w:color w:val="000000" w:themeColor="text1"/>
          <w:lang w:val="en-US"/>
        </w:rPr>
        <w:t>Boadu</w:t>
      </w:r>
      <w:proofErr w:type="spellEnd"/>
      <w:r>
        <w:rPr>
          <w:rFonts w:ascii="Times New Roman" w:eastAsia="Times New Roman" w:hAnsi="Times New Roman" w:cs="Times New Roman"/>
          <w:color w:val="000000" w:themeColor="text1"/>
          <w:lang w:val="en-US"/>
        </w:rPr>
        <w:t xml:space="preserve"> et al., 2018).</w:t>
      </w:r>
    </w:p>
    <w:p w14:paraId="1ACCF2D5" w14:textId="77777777" w:rsidR="0078026E" w:rsidRDefault="003452F6">
      <w:pPr>
        <w:numPr>
          <w:ilvl w:val="0"/>
          <w:numId w:val="1"/>
        </w:num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t xml:space="preserve">Determining the surface morphology of the coconut shell activated carbon </w:t>
      </w:r>
    </w:p>
    <w:p w14:paraId="438C9871" w14:textId="77777777" w:rsidR="0078026E" w:rsidRDefault="003452F6">
      <w:pPr>
        <w:spacing w:line="240" w:lineRule="auto"/>
        <w:jc w:val="both"/>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val="en-US"/>
        </w:rPr>
        <w:lastRenderedPageBreak/>
        <w:t>This was done using scanning electron microscopy (SEM) equipped with a semi-in-lens objective lens and high-power optics. SEM was used to observe structural features and surface texture of the activated carbon, and supply valuable information on its physical characteristics (</w:t>
      </w:r>
      <w:proofErr w:type="spellStart"/>
      <w:r>
        <w:rPr>
          <w:rFonts w:ascii="Times New Roman" w:eastAsia="Times New Roman" w:hAnsi="Times New Roman" w:cs="Times New Roman"/>
          <w:color w:val="000000" w:themeColor="text1"/>
          <w:lang w:val="en-US"/>
        </w:rPr>
        <w:t>Boadu</w:t>
      </w:r>
      <w:proofErr w:type="spellEnd"/>
      <w:r>
        <w:rPr>
          <w:rFonts w:ascii="Times New Roman" w:eastAsia="Times New Roman" w:hAnsi="Times New Roman" w:cs="Times New Roman"/>
          <w:color w:val="000000" w:themeColor="text1"/>
          <w:lang w:val="en-US"/>
        </w:rPr>
        <w:t xml:space="preserve"> et al., 2018).</w:t>
      </w:r>
    </w:p>
    <w:p w14:paraId="03C0F056" w14:textId="611AFE38"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lang w:val="en-US" w:bidi="ar"/>
          <w14:ligatures w14:val="none"/>
        </w:rPr>
      </w:pPr>
      <w:r>
        <w:rPr>
          <w:rFonts w:ascii="Times New Roman" w:eastAsia="Times New Roman" w:hAnsi="Times New Roman" w:cs="Times New Roman"/>
          <w:color w:val="000000" w:themeColor="text1"/>
          <w:lang w:val="en-US" w:bidi="ar"/>
        </w:rPr>
        <w:t xml:space="preserve">2.2.3 Spent transformer oil regeneration process using </w:t>
      </w:r>
      <w:bookmarkEnd w:id="17"/>
      <w:bookmarkEnd w:id="18"/>
      <w:r>
        <w:rPr>
          <w:rFonts w:ascii="Times New Roman" w:eastAsia="Times New Roman" w:hAnsi="Times New Roman" w:cs="Times New Roman"/>
          <w:color w:val="000000" w:themeColor="text1"/>
          <w:lang w:val="en-US" w:bidi="ar"/>
        </w:rPr>
        <w:t xml:space="preserve">coconut oil synthesized adsorbent </w:t>
      </w:r>
    </w:p>
    <w:p w14:paraId="1BD0B915" w14:textId="77777777"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sz w:val="28"/>
          <w:szCs w:val="28"/>
          <w:lang w:val="en-US"/>
          <w14:ligatures w14:val="none"/>
        </w:rPr>
      </w:pPr>
      <w:r>
        <w:rPr>
          <w:rFonts w:ascii="Times New Roman" w:eastAsia="Times New Roman" w:hAnsi="Times New Roman" w:cs="Times New Roman"/>
          <w:color w:val="000000" w:themeColor="text1"/>
          <w:kern w:val="0"/>
          <w:lang w:val="en-US"/>
          <w14:ligatures w14:val="none"/>
        </w:rPr>
        <w:t>A 50 mL of the pretreated spent transformer oil was measured into a beaker, and 0.5 g of the prepared coconut shell activated carbon was added and thoroughly mixed. The mixture was homogenized using a magnetic stirrer with a hot plate and set at temperatures of 60 °C, 80 °C, and 100 °C, maintaining a stirring speed of 750 rpm for 30 min. After mixing, the oil was purified by gravity filtration using a funnel stuffed with sterilized cotton wool. The filtrate (regenerated oil) was collected in a conical flask. The regenerated oil samples obtained at different temperatures were analyzed, and the temperature that produced the best-quality oil was maintained for further tests, during which the contact time was varied at 45 and 60 minutes. The physiochemical properties of the recycled oil, including moisture content and acid value, were then determined</w:t>
      </w:r>
      <w:bookmarkStart w:id="19" w:name="_Toc224021383"/>
      <w:bookmarkStart w:id="20" w:name="_Toc213293289"/>
      <w:bookmarkStart w:id="21" w:name="_Toc214356213"/>
      <w:bookmarkStart w:id="22" w:name="_Toc214347899"/>
      <w:bookmarkStart w:id="23" w:name="_Toc213826695"/>
      <w:r>
        <w:rPr>
          <w:rFonts w:ascii="Times New Roman" w:eastAsia="Times New Roman" w:hAnsi="Times New Roman" w:cs="Times New Roman"/>
          <w:color w:val="000000" w:themeColor="text1"/>
          <w:kern w:val="0"/>
          <w:lang w:val="en-US"/>
          <w14:ligatures w14:val="none"/>
        </w:rPr>
        <w:t xml:space="preserve"> as described earlier.</w:t>
      </w:r>
    </w:p>
    <w:p w14:paraId="31592A0E" w14:textId="77777777"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sz w:val="28"/>
          <w:szCs w:val="28"/>
          <w:lang w:val="en-US"/>
          <w14:ligatures w14:val="none"/>
        </w:rPr>
      </w:pPr>
      <w:r>
        <w:rPr>
          <w:rFonts w:ascii="Times New Roman" w:eastAsia="Times New Roman" w:hAnsi="Times New Roman" w:cs="Times New Roman"/>
          <w:b/>
          <w:bCs/>
          <w:color w:val="000000" w:themeColor="text1"/>
          <w:sz w:val="28"/>
          <w:szCs w:val="28"/>
          <w:lang w:val="en-US"/>
        </w:rPr>
        <w:t xml:space="preserve">3.0 </w:t>
      </w:r>
      <w:bookmarkStart w:id="24" w:name="_Toc213293290"/>
      <w:bookmarkStart w:id="25" w:name="_Toc224021384"/>
      <w:bookmarkEnd w:id="19"/>
      <w:bookmarkEnd w:id="20"/>
      <w:bookmarkEnd w:id="21"/>
      <w:bookmarkEnd w:id="22"/>
      <w:bookmarkEnd w:id="23"/>
      <w:r>
        <w:rPr>
          <w:rFonts w:ascii="Times New Roman" w:eastAsia="Times New Roman" w:hAnsi="Times New Roman" w:cs="Times New Roman"/>
          <w:b/>
          <w:bCs/>
          <w:color w:val="000000" w:themeColor="text1"/>
          <w:sz w:val="28"/>
          <w:szCs w:val="28"/>
          <w:lang w:val="en-US"/>
        </w:rPr>
        <w:t xml:space="preserve">Results and Discussion </w:t>
      </w:r>
    </w:p>
    <w:p w14:paraId="44AF233E" w14:textId="77777777" w:rsidR="0078026E" w:rsidRDefault="003452F6">
      <w:pPr>
        <w:spacing w:line="240" w:lineRule="auto"/>
        <w:jc w:val="both"/>
        <w:rPr>
          <w:rFonts w:ascii="Times New Roman" w:hAnsi="Times New Roman" w:cs="Times New Roman"/>
          <w:color w:val="000000" w:themeColor="text1"/>
          <w:lang w:val="en-US"/>
        </w:rPr>
      </w:pPr>
      <w:bookmarkStart w:id="26" w:name="_Toc213293292"/>
      <w:bookmarkStart w:id="27" w:name="_Toc224021386"/>
      <w:bookmarkEnd w:id="24"/>
      <w:bookmarkEnd w:id="25"/>
      <w:r>
        <w:rPr>
          <w:rFonts w:ascii="Times New Roman" w:hAnsi="Times New Roman" w:cs="Times New Roman"/>
          <w:color w:val="000000" w:themeColor="text1"/>
          <w:lang w:val="en-US"/>
        </w:rPr>
        <w:t xml:space="preserve">3.1 Analysis of the coconut shell activated carbon </w:t>
      </w:r>
    </w:p>
    <w:p w14:paraId="0DE7D84B" w14:textId="77777777" w:rsidR="0078026E" w:rsidRDefault="003452F6">
      <w:pPr>
        <w:spacing w:line="240" w:lineRule="auto"/>
        <w:jc w:val="both"/>
        <w:rPr>
          <w:rFonts w:ascii="Times New Roman" w:hAnsi="Times New Roman" w:cs="Times New Roman"/>
          <w:color w:val="000000" w:themeColor="text1"/>
          <w:lang w:val="en-US"/>
        </w:rPr>
      </w:pPr>
      <w:bookmarkStart w:id="28" w:name="_Toc8039"/>
      <w:r>
        <w:rPr>
          <w:rFonts w:ascii="Times New Roman" w:hAnsi="Times New Roman" w:cs="Times New Roman"/>
          <w:color w:val="000000" w:themeColor="text1"/>
          <w:lang w:val="en-US"/>
        </w:rPr>
        <w:t xml:space="preserve">3.1.1 </w:t>
      </w:r>
      <w:bookmarkStart w:id="29" w:name="_Toc10646"/>
      <w:r>
        <w:rPr>
          <w:rFonts w:ascii="Times New Roman" w:hAnsi="Times New Roman" w:cs="Times New Roman"/>
          <w:color w:val="000000" w:themeColor="text1"/>
          <w:lang w:val="en-US"/>
        </w:rPr>
        <w:t>Determining the physicochemical properties of coconut shell activated carbon</w:t>
      </w:r>
      <w:bookmarkEnd w:id="28"/>
      <w:bookmarkEnd w:id="29"/>
    </w:p>
    <w:bookmarkEnd w:id="26"/>
    <w:bookmarkEnd w:id="27"/>
    <w:p w14:paraId="126175C3" w14:textId="3C609AAF"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lang w:val="en-US"/>
          <w14:ligatures w14:val="none"/>
        </w:rPr>
      </w:pPr>
      <w:r>
        <w:rPr>
          <w:rFonts w:ascii="Times New Roman" w:eastAsia="Times New Roman" w:hAnsi="Times New Roman" w:cs="Times New Roman"/>
          <w:color w:val="000000" w:themeColor="text1"/>
          <w:kern w:val="0"/>
          <w:lang w:val="en-US"/>
          <w14:ligatures w14:val="none"/>
        </w:rPr>
        <w:t>The physicochemical properties of the coconut shell activated carbon (CSAC) were evaluated to determine its suitability as an adsorbent for spent transformer oil regeneration. The coconut shell was successfully converted into activated carbon with suitable physical and chemical properties, confirming its potential for use as an adsorbent. Characterization was performed to measure the quality of the adsorbent, and the result obtained are presented in Table 1</w:t>
      </w:r>
      <w:bookmarkStart w:id="30" w:name="_Toc214345023"/>
      <w:r>
        <w:rPr>
          <w:rFonts w:ascii="Times New Roman" w:eastAsia="Times New Roman" w:hAnsi="Times New Roman" w:cs="Times New Roman"/>
          <w:color w:val="000000" w:themeColor="text1"/>
          <w:kern w:val="0"/>
          <w:lang w:val="en-US"/>
          <w14:ligatures w14:val="none"/>
        </w:rPr>
        <w:t xml:space="preserve">. </w:t>
      </w:r>
      <w:r>
        <w:rPr>
          <w:rFonts w:ascii="Times New Roman" w:eastAsia="Calibri" w:hAnsi="Times New Roman" w:cs="Times New Roman"/>
          <w:color w:val="000000" w:themeColor="text1"/>
          <w:lang w:val="en-US"/>
        </w:rPr>
        <w:t xml:space="preserve">The low moisture content (1.414 %) indicates effective drying of the activated carbon, enhancing its adsorption efficiency. This low level minimizes the likelihood of microbial activity and water interference in adsorption. </w:t>
      </w:r>
      <w:r w:rsidRPr="00E6029D">
        <w:rPr>
          <w:rFonts w:ascii="Times New Roman" w:eastAsia="Calibri" w:hAnsi="Times New Roman" w:cs="Times New Roman"/>
          <w:color w:val="00B0F0"/>
          <w:lang w:val="en-US"/>
        </w:rPr>
        <w:t xml:space="preserve">Compared to the 19.7 % reported by </w:t>
      </w:r>
      <w:r w:rsidR="00C55CE7" w:rsidRPr="00E6029D">
        <w:rPr>
          <w:rFonts w:ascii="Times New Roman" w:eastAsia="Calibri" w:hAnsi="Times New Roman" w:cs="Times New Roman"/>
          <w:color w:val="00B0F0"/>
        </w:rPr>
        <w:t>Macuzic and Jeremic (2002)</w:t>
      </w:r>
      <w:r>
        <w:rPr>
          <w:rFonts w:ascii="Times New Roman" w:eastAsia="Calibri" w:hAnsi="Times New Roman" w:cs="Times New Roman"/>
          <w:color w:val="000000" w:themeColor="text1"/>
          <w:lang w:val="en-US"/>
        </w:rPr>
        <w:t xml:space="preserve">, the result demonstrates superior preparation and improved adsorptive readiness. The reduced water retention also suggests a higher surface area and better pore accessibility for the adsorption of polar compounds present in spent transformer oil. </w:t>
      </w:r>
      <w:r>
        <w:rPr>
          <w:rFonts w:ascii="Times New Roman" w:eastAsia="Times New Roman" w:hAnsi="Times New Roman" w:cs="Times New Roman"/>
          <w:color w:val="000000" w:themeColor="text1"/>
          <w:kern w:val="0"/>
          <w:lang w:val="en-US"/>
          <w14:ligatures w14:val="none"/>
        </w:rPr>
        <w:t xml:space="preserve">The low moisture content indicates the effectiveness of the carbonization and drying process, while the high pore volume directly relates to the material capacity for adsorption. </w:t>
      </w:r>
    </w:p>
    <w:p w14:paraId="3FEF7C60" w14:textId="77777777" w:rsidR="0078026E" w:rsidRDefault="0078026E">
      <w:pPr>
        <w:spacing w:after="120" w:line="240" w:lineRule="auto"/>
        <w:jc w:val="both"/>
        <w:rPr>
          <w:rFonts w:ascii="Times New Roman" w:eastAsia="Calibri" w:hAnsi="Times New Roman" w:cs="Times New Roman"/>
          <w:color w:val="000000" w:themeColor="text1"/>
          <w:lang w:val="en-US"/>
        </w:rPr>
      </w:pPr>
    </w:p>
    <w:p w14:paraId="6183541A"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Ash Content represents the non-carbonaceous, inert mineral residue remaining after the volatile and carbonaceous components have been removed (Table 1). A high ash content is generally undesirable in an adsorbent because the mineral matter occupies pore volume, effectively diluting the active carbon sites and reducing the overall adsorption </w:t>
      </w:r>
    </w:p>
    <w:p w14:paraId="063E5280" w14:textId="77777777" w:rsidR="0078026E" w:rsidRDefault="003452F6">
      <w:pPr>
        <w:spacing w:before="100" w:beforeAutospacing="1" w:after="100" w:afterAutospacing="1"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Table 1. </w:t>
      </w:r>
      <w:proofErr w:type="spellStart"/>
      <w:r>
        <w:rPr>
          <w:rFonts w:ascii="Times New Roman" w:eastAsia="Calibri" w:hAnsi="Times New Roman" w:cs="Times New Roman"/>
          <w:color w:val="000000" w:themeColor="text1"/>
          <w:lang w:val="en-US"/>
        </w:rPr>
        <w:t>Physichochemical</w:t>
      </w:r>
      <w:proofErr w:type="spellEnd"/>
      <w:r>
        <w:rPr>
          <w:rFonts w:ascii="Times New Roman" w:eastAsia="Calibri" w:hAnsi="Times New Roman" w:cs="Times New Roman"/>
          <w:color w:val="000000" w:themeColor="text1"/>
          <w:lang w:val="en-US"/>
        </w:rPr>
        <w:t xml:space="preserve"> properties of the synthesized coconut shell adsorbent</w:t>
      </w:r>
      <w:bookmarkEnd w:id="30"/>
    </w:p>
    <w:tbl>
      <w:tblPr>
        <w:tblStyle w:val="TableGrid"/>
        <w:tblW w:w="957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2630"/>
        <w:gridCol w:w="3011"/>
        <w:gridCol w:w="3157"/>
      </w:tblGrid>
      <w:tr w:rsidR="0078026E" w14:paraId="0C1EE999" w14:textId="77777777">
        <w:trPr>
          <w:trHeight w:val="565"/>
          <w:jc w:val="center"/>
        </w:trPr>
        <w:tc>
          <w:tcPr>
            <w:tcW w:w="778" w:type="dxa"/>
            <w:tcBorders>
              <w:top w:val="single" w:sz="8" w:space="0" w:color="FFFFFF"/>
              <w:left w:val="single" w:sz="8" w:space="0" w:color="FFFFFF"/>
              <w:bottom w:val="single" w:sz="18" w:space="0" w:color="FFFFFF"/>
              <w:right w:val="single" w:sz="8" w:space="0" w:color="FFFFFF"/>
            </w:tcBorders>
            <w:shd w:val="clear" w:color="auto" w:fill="000000"/>
          </w:tcPr>
          <w:p w14:paraId="1FEF9EF1" w14:textId="77777777" w:rsidR="0078026E" w:rsidRDefault="003452F6">
            <w:pPr>
              <w:spacing w:after="0" w:line="240" w:lineRule="auto"/>
              <w:jc w:val="center"/>
              <w:rPr>
                <w:rFonts w:ascii="Times New Roman" w:eastAsia="Calibri" w:hAnsi="Times New Roman" w:cs="Times New Roman"/>
                <w:color w:val="FFFFFF"/>
                <w:lang w:val="en-US"/>
              </w:rPr>
            </w:pPr>
            <w:r>
              <w:rPr>
                <w:rFonts w:ascii="Times New Roman" w:eastAsia="Calibri" w:hAnsi="Times New Roman" w:cs="Times New Roman"/>
                <w:color w:val="FFFFFF"/>
                <w:lang w:val="en-US"/>
              </w:rPr>
              <w:lastRenderedPageBreak/>
              <w:t>S/N</w:t>
            </w:r>
          </w:p>
        </w:tc>
        <w:tc>
          <w:tcPr>
            <w:tcW w:w="2630" w:type="dxa"/>
            <w:tcBorders>
              <w:top w:val="single" w:sz="8" w:space="0" w:color="FFFFFF"/>
              <w:left w:val="single" w:sz="8" w:space="0" w:color="FFFFFF"/>
              <w:bottom w:val="single" w:sz="18" w:space="0" w:color="FFFFFF"/>
              <w:right w:val="single" w:sz="8" w:space="0" w:color="FFFFFF"/>
            </w:tcBorders>
            <w:shd w:val="clear" w:color="auto" w:fill="000000"/>
          </w:tcPr>
          <w:p w14:paraId="46B13DFF" w14:textId="77777777" w:rsidR="0078026E" w:rsidRDefault="003452F6">
            <w:pPr>
              <w:spacing w:after="0" w:line="240" w:lineRule="auto"/>
              <w:jc w:val="center"/>
              <w:rPr>
                <w:rFonts w:ascii="Times New Roman" w:eastAsia="Calibri" w:hAnsi="Times New Roman" w:cs="Times New Roman"/>
                <w:color w:val="FFFFFF"/>
                <w:lang w:val="en-US"/>
              </w:rPr>
            </w:pPr>
            <w:proofErr w:type="spellStart"/>
            <w:r>
              <w:rPr>
                <w:rFonts w:ascii="Times New Roman" w:eastAsia="Calibri" w:hAnsi="Times New Roman" w:cs="Times New Roman"/>
                <w:color w:val="FFFFFF"/>
                <w:lang w:val="en-US"/>
              </w:rPr>
              <w:t>Paremeter</w:t>
            </w:r>
            <w:proofErr w:type="spellEnd"/>
          </w:p>
        </w:tc>
        <w:tc>
          <w:tcPr>
            <w:tcW w:w="3011" w:type="dxa"/>
            <w:tcBorders>
              <w:top w:val="single" w:sz="8" w:space="0" w:color="FFFFFF"/>
              <w:left w:val="single" w:sz="8" w:space="0" w:color="FFFFFF"/>
              <w:bottom w:val="single" w:sz="18" w:space="0" w:color="FFFFFF"/>
              <w:right w:val="single" w:sz="8" w:space="0" w:color="FFFFFF"/>
            </w:tcBorders>
            <w:shd w:val="clear" w:color="auto" w:fill="000000"/>
          </w:tcPr>
          <w:p w14:paraId="18A42D31" w14:textId="77777777" w:rsidR="0078026E" w:rsidRDefault="003452F6">
            <w:pPr>
              <w:spacing w:after="0" w:line="240" w:lineRule="auto"/>
              <w:jc w:val="center"/>
              <w:rPr>
                <w:rFonts w:ascii="Times New Roman" w:eastAsia="Calibri" w:hAnsi="Times New Roman" w:cs="Times New Roman"/>
                <w:color w:val="FFFFFF"/>
                <w:lang w:val="en-US"/>
              </w:rPr>
            </w:pPr>
            <w:r>
              <w:rPr>
                <w:rFonts w:ascii="Times New Roman" w:eastAsia="Calibri" w:hAnsi="Times New Roman" w:cs="Times New Roman"/>
                <w:color w:val="FFFFFF"/>
                <w:lang w:val="en-US"/>
              </w:rPr>
              <w:t>Value</w:t>
            </w:r>
          </w:p>
        </w:tc>
        <w:tc>
          <w:tcPr>
            <w:tcW w:w="3157" w:type="dxa"/>
            <w:tcBorders>
              <w:top w:val="single" w:sz="8" w:space="0" w:color="FFFFFF"/>
              <w:left w:val="single" w:sz="8" w:space="0" w:color="FFFFFF"/>
              <w:bottom w:val="single" w:sz="18" w:space="0" w:color="FFFFFF"/>
              <w:right w:val="single" w:sz="8" w:space="0" w:color="FFFFFF"/>
            </w:tcBorders>
            <w:shd w:val="clear" w:color="auto" w:fill="000000"/>
          </w:tcPr>
          <w:p w14:paraId="6D666433" w14:textId="77777777" w:rsidR="0078026E" w:rsidRDefault="003452F6">
            <w:pPr>
              <w:spacing w:after="0" w:line="240" w:lineRule="auto"/>
              <w:jc w:val="center"/>
              <w:rPr>
                <w:rFonts w:ascii="Times New Roman" w:eastAsia="Calibri" w:hAnsi="Times New Roman" w:cs="Times New Roman"/>
                <w:color w:val="FFFFFF"/>
                <w:lang w:val="en-US"/>
              </w:rPr>
            </w:pPr>
            <w:r>
              <w:rPr>
                <w:rFonts w:ascii="Times New Roman" w:eastAsia="Calibri" w:hAnsi="Times New Roman" w:cs="Times New Roman"/>
                <w:color w:val="FFFFFF"/>
                <w:lang w:val="en-US"/>
              </w:rPr>
              <w:t>Unit</w:t>
            </w:r>
          </w:p>
        </w:tc>
      </w:tr>
      <w:tr w:rsidR="0078026E" w14:paraId="44BE7A44" w14:textId="77777777">
        <w:trPr>
          <w:trHeight w:val="557"/>
          <w:jc w:val="center"/>
        </w:trPr>
        <w:tc>
          <w:tcPr>
            <w:tcW w:w="778" w:type="dxa"/>
            <w:tcBorders>
              <w:top w:val="single" w:sz="18" w:space="0" w:color="FFFFFF"/>
              <w:left w:val="single" w:sz="8" w:space="0" w:color="FFFFFF"/>
              <w:bottom w:val="single" w:sz="8" w:space="0" w:color="FFFFFF"/>
              <w:right w:val="single" w:sz="8" w:space="0" w:color="FFFFFF"/>
            </w:tcBorders>
            <w:shd w:val="clear" w:color="auto" w:fill="CBCBCB"/>
          </w:tcPr>
          <w:p w14:paraId="18F449CF"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1.</w:t>
            </w:r>
          </w:p>
        </w:tc>
        <w:tc>
          <w:tcPr>
            <w:tcW w:w="2630" w:type="dxa"/>
            <w:tcBorders>
              <w:top w:val="single" w:sz="18" w:space="0" w:color="FFFFFF"/>
              <w:left w:val="single" w:sz="8" w:space="0" w:color="FFFFFF"/>
              <w:bottom w:val="single" w:sz="8" w:space="0" w:color="FFFFFF"/>
              <w:right w:val="single" w:sz="8" w:space="0" w:color="FFFFFF"/>
            </w:tcBorders>
            <w:shd w:val="clear" w:color="auto" w:fill="CBCBCB"/>
          </w:tcPr>
          <w:p w14:paraId="6EC038A7" w14:textId="77777777" w:rsidR="0078026E" w:rsidRDefault="003452F6">
            <w:pPr>
              <w:spacing w:after="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Moisture Content </w:t>
            </w:r>
          </w:p>
        </w:tc>
        <w:tc>
          <w:tcPr>
            <w:tcW w:w="3011" w:type="dxa"/>
            <w:tcBorders>
              <w:top w:val="single" w:sz="18" w:space="0" w:color="FFFFFF"/>
              <w:left w:val="single" w:sz="8" w:space="0" w:color="FFFFFF"/>
              <w:bottom w:val="single" w:sz="8" w:space="0" w:color="FFFFFF"/>
              <w:right w:val="single" w:sz="8" w:space="0" w:color="FFFFFF"/>
            </w:tcBorders>
            <w:shd w:val="clear" w:color="auto" w:fill="CBCBCB"/>
          </w:tcPr>
          <w:p w14:paraId="5F4A502F"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1.414</w:t>
            </w:r>
          </w:p>
        </w:tc>
        <w:tc>
          <w:tcPr>
            <w:tcW w:w="3157" w:type="dxa"/>
            <w:tcBorders>
              <w:top w:val="single" w:sz="18" w:space="0" w:color="FFFFFF"/>
              <w:left w:val="single" w:sz="8" w:space="0" w:color="FFFFFF"/>
              <w:bottom w:val="single" w:sz="8" w:space="0" w:color="FFFFFF"/>
              <w:right w:val="single" w:sz="8" w:space="0" w:color="FFFFFF"/>
            </w:tcBorders>
            <w:shd w:val="clear" w:color="auto" w:fill="CBCBCB"/>
          </w:tcPr>
          <w:p w14:paraId="40F2FC1B"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w:t>
            </w:r>
          </w:p>
        </w:tc>
      </w:tr>
      <w:tr w:rsidR="0078026E" w14:paraId="47E801CC" w14:textId="77777777">
        <w:trPr>
          <w:trHeight w:val="557"/>
          <w:jc w:val="center"/>
        </w:trPr>
        <w:tc>
          <w:tcPr>
            <w:tcW w:w="778" w:type="dxa"/>
            <w:tcBorders>
              <w:top w:val="single" w:sz="8" w:space="0" w:color="FFFFFF"/>
              <w:left w:val="single" w:sz="8" w:space="0" w:color="FFFFFF"/>
              <w:bottom w:val="single" w:sz="8" w:space="0" w:color="FFFFFF"/>
              <w:right w:val="single" w:sz="8" w:space="0" w:color="FFFFFF"/>
            </w:tcBorders>
            <w:shd w:val="clear" w:color="auto" w:fill="E7E7E7"/>
          </w:tcPr>
          <w:p w14:paraId="5A65501A"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2.</w:t>
            </w:r>
          </w:p>
        </w:tc>
        <w:tc>
          <w:tcPr>
            <w:tcW w:w="2630" w:type="dxa"/>
            <w:tcBorders>
              <w:top w:val="single" w:sz="8" w:space="0" w:color="FFFFFF"/>
              <w:left w:val="single" w:sz="8" w:space="0" w:color="FFFFFF"/>
              <w:bottom w:val="single" w:sz="8" w:space="0" w:color="FFFFFF"/>
              <w:right w:val="single" w:sz="8" w:space="0" w:color="FFFFFF"/>
            </w:tcBorders>
            <w:shd w:val="clear" w:color="auto" w:fill="E7E7E7"/>
          </w:tcPr>
          <w:p w14:paraId="7BBEE7A2" w14:textId="77777777" w:rsidR="0078026E" w:rsidRDefault="003452F6">
            <w:pPr>
              <w:spacing w:after="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Ash Content </w:t>
            </w:r>
          </w:p>
        </w:tc>
        <w:tc>
          <w:tcPr>
            <w:tcW w:w="3011" w:type="dxa"/>
            <w:tcBorders>
              <w:top w:val="single" w:sz="8" w:space="0" w:color="FFFFFF"/>
              <w:left w:val="single" w:sz="8" w:space="0" w:color="FFFFFF"/>
              <w:bottom w:val="single" w:sz="8" w:space="0" w:color="FFFFFF"/>
              <w:right w:val="single" w:sz="8" w:space="0" w:color="FFFFFF"/>
            </w:tcBorders>
            <w:shd w:val="clear" w:color="auto" w:fill="E7E7E7"/>
          </w:tcPr>
          <w:p w14:paraId="65C92B29"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16.8</w:t>
            </w:r>
          </w:p>
        </w:tc>
        <w:tc>
          <w:tcPr>
            <w:tcW w:w="3157" w:type="dxa"/>
            <w:tcBorders>
              <w:top w:val="single" w:sz="8" w:space="0" w:color="FFFFFF"/>
              <w:left w:val="single" w:sz="8" w:space="0" w:color="FFFFFF"/>
              <w:bottom w:val="single" w:sz="8" w:space="0" w:color="FFFFFF"/>
              <w:right w:val="single" w:sz="8" w:space="0" w:color="FFFFFF"/>
            </w:tcBorders>
            <w:shd w:val="clear" w:color="auto" w:fill="E7E7E7"/>
          </w:tcPr>
          <w:p w14:paraId="7189A0BA"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w:t>
            </w:r>
          </w:p>
        </w:tc>
      </w:tr>
      <w:tr w:rsidR="0078026E" w14:paraId="1D97E486" w14:textId="77777777">
        <w:trPr>
          <w:trHeight w:val="516"/>
          <w:jc w:val="center"/>
        </w:trPr>
        <w:tc>
          <w:tcPr>
            <w:tcW w:w="778" w:type="dxa"/>
            <w:tcBorders>
              <w:top w:val="single" w:sz="8" w:space="0" w:color="FFFFFF"/>
              <w:left w:val="single" w:sz="8" w:space="0" w:color="FFFFFF"/>
              <w:bottom w:val="single" w:sz="8" w:space="0" w:color="FFFFFF"/>
              <w:right w:val="single" w:sz="8" w:space="0" w:color="FFFFFF"/>
            </w:tcBorders>
            <w:shd w:val="clear" w:color="auto" w:fill="CBCBCB"/>
          </w:tcPr>
          <w:p w14:paraId="2A99BD43"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3.</w:t>
            </w:r>
          </w:p>
        </w:tc>
        <w:tc>
          <w:tcPr>
            <w:tcW w:w="2630" w:type="dxa"/>
            <w:tcBorders>
              <w:top w:val="single" w:sz="8" w:space="0" w:color="FFFFFF"/>
              <w:left w:val="single" w:sz="8" w:space="0" w:color="FFFFFF"/>
              <w:bottom w:val="single" w:sz="8" w:space="0" w:color="FFFFFF"/>
              <w:right w:val="single" w:sz="8" w:space="0" w:color="FFFFFF"/>
            </w:tcBorders>
            <w:shd w:val="clear" w:color="auto" w:fill="CBCBCB"/>
          </w:tcPr>
          <w:p w14:paraId="66FE781F" w14:textId="77777777" w:rsidR="0078026E" w:rsidRDefault="003452F6">
            <w:pPr>
              <w:spacing w:after="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Pore Volume </w:t>
            </w:r>
          </w:p>
        </w:tc>
        <w:tc>
          <w:tcPr>
            <w:tcW w:w="3011" w:type="dxa"/>
            <w:tcBorders>
              <w:top w:val="single" w:sz="8" w:space="0" w:color="FFFFFF"/>
              <w:left w:val="single" w:sz="8" w:space="0" w:color="FFFFFF"/>
              <w:bottom w:val="single" w:sz="8" w:space="0" w:color="FFFFFF"/>
              <w:right w:val="single" w:sz="8" w:space="0" w:color="FFFFFF"/>
            </w:tcBorders>
            <w:shd w:val="clear" w:color="auto" w:fill="CBCBCB"/>
          </w:tcPr>
          <w:p w14:paraId="4B5333B9"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0.379</w:t>
            </w:r>
          </w:p>
        </w:tc>
        <w:tc>
          <w:tcPr>
            <w:tcW w:w="3157" w:type="dxa"/>
            <w:tcBorders>
              <w:top w:val="single" w:sz="8" w:space="0" w:color="FFFFFF"/>
              <w:left w:val="single" w:sz="8" w:space="0" w:color="FFFFFF"/>
              <w:bottom w:val="single" w:sz="8" w:space="0" w:color="FFFFFF"/>
              <w:right w:val="single" w:sz="8" w:space="0" w:color="FFFFFF"/>
            </w:tcBorders>
            <w:shd w:val="clear" w:color="auto" w:fill="CBCBCB"/>
          </w:tcPr>
          <w:p w14:paraId="51F420B7" w14:textId="77777777" w:rsidR="0078026E" w:rsidRDefault="003452F6">
            <w:pPr>
              <w:spacing w:after="0"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cm</w:t>
            </w:r>
            <w:r>
              <w:rPr>
                <w:rFonts w:ascii="Times New Roman" w:eastAsia="Calibri" w:hAnsi="Times New Roman" w:cs="Times New Roman"/>
                <w:color w:val="000000" w:themeColor="text1"/>
                <w:vertAlign w:val="superscript"/>
                <w:lang w:val="en-US"/>
              </w:rPr>
              <w:t>3</w:t>
            </w:r>
          </w:p>
        </w:tc>
      </w:tr>
    </w:tbl>
    <w:p w14:paraId="6726AC90" w14:textId="77777777" w:rsidR="0078026E" w:rsidRDefault="0078026E">
      <w:pPr>
        <w:spacing w:line="240" w:lineRule="auto"/>
        <w:jc w:val="both"/>
        <w:rPr>
          <w:rFonts w:ascii="Times New Roman" w:eastAsia="Calibri" w:hAnsi="Times New Roman" w:cs="Times New Roman"/>
          <w:color w:val="000000" w:themeColor="text1"/>
          <w:lang w:val="en-US"/>
        </w:rPr>
      </w:pPr>
    </w:p>
    <w:p w14:paraId="51B6FFE1" w14:textId="4BF1BAB5"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capacity. The low ash content obtained in the prepared CSAC is consistent with that presented by </w:t>
      </w:r>
      <w:proofErr w:type="spellStart"/>
      <w:r w:rsidR="00C55CE7">
        <w:rPr>
          <w:rFonts w:ascii="Times New Roman" w:eastAsia="Calibri" w:hAnsi="Times New Roman" w:cs="Times New Roman"/>
          <w:color w:val="000000" w:themeColor="text1"/>
          <w:lang w:val="en-US"/>
        </w:rPr>
        <w:t>Okafoagu</w:t>
      </w:r>
      <w:proofErr w:type="spellEnd"/>
      <w:r w:rsidR="00C55CE7">
        <w:rPr>
          <w:rFonts w:ascii="Times New Roman" w:eastAsia="Calibri" w:hAnsi="Times New Roman" w:cs="Times New Roman"/>
          <w:color w:val="000000" w:themeColor="text1"/>
          <w:lang w:val="en-US"/>
        </w:rPr>
        <w:t xml:space="preserve"> </w:t>
      </w:r>
      <w:r>
        <w:rPr>
          <w:rFonts w:ascii="Times New Roman" w:eastAsia="Calibri" w:hAnsi="Times New Roman" w:cs="Times New Roman"/>
          <w:color w:val="000000" w:themeColor="text1"/>
          <w:lang w:val="en-US"/>
        </w:rPr>
        <w:t>et al., (20</w:t>
      </w:r>
      <w:r w:rsidR="00C55CE7">
        <w:rPr>
          <w:rFonts w:ascii="Times New Roman" w:eastAsia="Calibri" w:hAnsi="Times New Roman" w:cs="Times New Roman"/>
          <w:color w:val="000000" w:themeColor="text1"/>
          <w:lang w:val="en-US"/>
        </w:rPr>
        <w:t>25</w:t>
      </w:r>
      <w:r>
        <w:rPr>
          <w:rFonts w:ascii="Times New Roman" w:eastAsia="Calibri" w:hAnsi="Times New Roman" w:cs="Times New Roman"/>
          <w:color w:val="000000" w:themeColor="text1"/>
          <w:lang w:val="en-US"/>
        </w:rPr>
        <w:t>) who emphasized that low mineral content is critical for maximizing effective surface area in high-quality adsorbents. This result confirms the effectiveness of the purification steps carried out during the preparation, ensuring the final material is predominantly active carbon.</w:t>
      </w:r>
    </w:p>
    <w:p w14:paraId="74834655" w14:textId="52F7AAE1"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Pore Volume is the most critical physical parameter, as it directly governs the adsorbent's capacity (Table 1). The substantial pore volume achieved signifies a highly developed internal pore structure a vast network of interconnected micro-, meso-, and </w:t>
      </w:r>
      <w:proofErr w:type="spellStart"/>
      <w:r>
        <w:rPr>
          <w:rFonts w:ascii="Times New Roman" w:eastAsia="Calibri" w:hAnsi="Times New Roman" w:cs="Times New Roman"/>
          <w:color w:val="000000" w:themeColor="text1"/>
          <w:lang w:val="en-US"/>
        </w:rPr>
        <w:t>macropores</w:t>
      </w:r>
      <w:proofErr w:type="spellEnd"/>
      <w:r>
        <w:rPr>
          <w:rFonts w:ascii="Times New Roman" w:eastAsia="Calibri" w:hAnsi="Times New Roman" w:cs="Times New Roman"/>
          <w:color w:val="000000" w:themeColor="text1"/>
          <w:lang w:val="en-US"/>
        </w:rPr>
        <w:t xml:space="preserve">. This internal surface area is where the physical adsorption (physisorption) of contaminant molecules occurs. In the context of transformer oil, a high pore volume is essential for capturing both small polar molecules (moisture) and large organic molecules (sludge and complex acids).  </w:t>
      </w:r>
      <w:r w:rsidR="00AE030D">
        <w:rPr>
          <w:rFonts w:ascii="Times New Roman" w:eastAsia="Calibri" w:hAnsi="Times New Roman" w:cs="Times New Roman"/>
          <w:color w:val="000000" w:themeColor="text1"/>
          <w:lang w:val="en-US"/>
        </w:rPr>
        <w:t>H</w:t>
      </w:r>
      <w:r>
        <w:rPr>
          <w:rFonts w:ascii="Times New Roman" w:eastAsia="Calibri" w:hAnsi="Times New Roman" w:cs="Times New Roman"/>
          <w:color w:val="000000" w:themeColor="text1"/>
          <w:lang w:val="en-US"/>
        </w:rPr>
        <w:t>igh pore volume is a prerequisite for achieving high adsorption capacity, especially for complex, multi-component systems like degraded transformer oil. The measured pore volume therefore confirms that the activation process in this study was highly successful in etching out a large internal surface, providing the massive area required for effective oil purification</w:t>
      </w:r>
      <w:r w:rsidR="00AE030D">
        <w:rPr>
          <w:rFonts w:ascii="Times New Roman" w:eastAsia="Calibri" w:hAnsi="Times New Roman" w:cs="Times New Roman"/>
          <w:color w:val="000000" w:themeColor="text1"/>
          <w:lang w:val="en-US"/>
        </w:rPr>
        <w:t xml:space="preserve"> (</w:t>
      </w:r>
      <w:r w:rsidR="005D2CF5">
        <w:rPr>
          <w:rFonts w:ascii="Times New Roman" w:eastAsia="Calibri" w:hAnsi="Times New Roman" w:cs="Times New Roman"/>
          <w:color w:val="000000" w:themeColor="text1"/>
          <w:lang w:val="en-US"/>
        </w:rPr>
        <w:t xml:space="preserve">Vu et al., 2020; </w:t>
      </w:r>
      <w:r w:rsidR="005D2CF5" w:rsidRPr="005D2CF5">
        <w:rPr>
          <w:rFonts w:ascii="Times New Roman" w:eastAsia="Calibri" w:hAnsi="Times New Roman" w:cs="Times New Roman"/>
          <w:color w:val="000000" w:themeColor="text1"/>
          <w:lang w:val="en-US"/>
        </w:rPr>
        <w:t>Ali et al</w:t>
      </w:r>
      <w:r w:rsidR="005D2CF5">
        <w:rPr>
          <w:rFonts w:ascii="Times New Roman" w:eastAsia="Calibri" w:hAnsi="Times New Roman" w:cs="Times New Roman"/>
          <w:color w:val="000000" w:themeColor="text1"/>
          <w:lang w:val="en-US"/>
        </w:rPr>
        <w:t xml:space="preserve">., </w:t>
      </w:r>
      <w:r w:rsidR="005D2CF5" w:rsidRPr="005D2CF5">
        <w:rPr>
          <w:rFonts w:ascii="Times New Roman" w:eastAsia="Calibri" w:hAnsi="Times New Roman" w:cs="Times New Roman"/>
          <w:color w:val="000000" w:themeColor="text1"/>
          <w:lang w:val="en-US"/>
        </w:rPr>
        <w:t>20</w:t>
      </w:r>
      <w:r w:rsidR="005D2CF5">
        <w:rPr>
          <w:rFonts w:ascii="Times New Roman" w:eastAsia="Calibri" w:hAnsi="Times New Roman" w:cs="Times New Roman"/>
          <w:color w:val="000000" w:themeColor="text1"/>
          <w:lang w:val="en-US"/>
        </w:rPr>
        <w:t>21</w:t>
      </w:r>
      <w:r w:rsidR="00AE030D">
        <w:rPr>
          <w:rFonts w:ascii="Times New Roman" w:eastAsia="Calibri" w:hAnsi="Times New Roman" w:cs="Times New Roman"/>
          <w:color w:val="000000" w:themeColor="text1"/>
          <w:lang w:val="en-US"/>
        </w:rPr>
        <w:t>)</w:t>
      </w:r>
      <w:r>
        <w:rPr>
          <w:rFonts w:ascii="Times New Roman" w:eastAsia="Calibri" w:hAnsi="Times New Roman" w:cs="Times New Roman"/>
          <w:color w:val="000000" w:themeColor="text1"/>
          <w:lang w:val="en-US"/>
        </w:rPr>
        <w:t>.</w:t>
      </w:r>
    </w:p>
    <w:p w14:paraId="6B2E24C9" w14:textId="77777777" w:rsidR="0078026E" w:rsidRDefault="003452F6">
      <w:pPr>
        <w:spacing w:line="240" w:lineRule="auto"/>
        <w:jc w:val="both"/>
        <w:rPr>
          <w:rFonts w:ascii="Times New Roman" w:eastAsia="Times New Roman" w:hAnsi="Times New Roman" w:cs="Times New Roman"/>
          <w:color w:val="000000" w:themeColor="text1"/>
          <w:kern w:val="0"/>
          <w:lang w:val="en-US"/>
          <w14:ligatures w14:val="none"/>
        </w:rPr>
      </w:pPr>
      <w:r>
        <w:rPr>
          <w:rFonts w:ascii="Times New Roman" w:eastAsia="Calibri" w:hAnsi="Times New Roman" w:cs="Times New Roman"/>
          <w:color w:val="000000" w:themeColor="text1"/>
          <w:lang w:val="en-US"/>
        </w:rPr>
        <w:t>The low moisture and ash contents indicate effective drying and minimal inorganic residue, which are critical parameters for adsorbent efficiency. The moderate pore volume demonstrated that the activation process developed sufficient internal voids for contaminant adsorption. These findings show that the prepared coconut shell activated carbon possessed desirable characteristics vis-a-vis high surface activity, good porosity, and chemical stability making it a suitable and eco-friendly adsorbent for transformer oil regeneration.</w:t>
      </w:r>
    </w:p>
    <w:p w14:paraId="6446213D" w14:textId="77777777" w:rsidR="0078026E" w:rsidRDefault="003452F6">
      <w:pPr>
        <w:spacing w:line="240" w:lineRule="auto"/>
        <w:jc w:val="both"/>
        <w:rPr>
          <w:rFonts w:ascii="Times New Roman" w:eastAsia="Times New Roman" w:hAnsi="Times New Roman" w:cs="Times New Roman"/>
          <w:color w:val="000000" w:themeColor="text1"/>
          <w:kern w:val="0"/>
          <w:lang w:val="en-US"/>
          <w14:ligatures w14:val="none"/>
        </w:rPr>
      </w:pPr>
      <w:r>
        <w:rPr>
          <w:rFonts w:ascii="Times New Roman" w:hAnsi="Times New Roman" w:cs="Times New Roman"/>
          <w:color w:val="000000" w:themeColor="text1"/>
          <w:lang w:val="en-US"/>
        </w:rPr>
        <w:t>3.1.2 Investigating the surface morphology of coconut shell activated carbon</w:t>
      </w:r>
    </w:p>
    <w:p w14:paraId="7176027D" w14:textId="17B197FF" w:rsidR="0078026E" w:rsidRDefault="003452F6">
      <w:pPr>
        <w:spacing w:after="120" w:line="240" w:lineRule="auto"/>
        <w:jc w:val="both"/>
        <w:rPr>
          <w:rFonts w:ascii="Times New Roman" w:eastAsia="Times New Roman" w:hAnsi="Times New Roman" w:cs="Times New Roman"/>
          <w:color w:val="000000" w:themeColor="text1"/>
          <w:kern w:val="0"/>
          <w:lang w:val="en-US"/>
          <w14:ligatures w14:val="none"/>
        </w:rPr>
      </w:pPr>
      <w:r>
        <w:rPr>
          <w:rFonts w:ascii="Times New Roman" w:eastAsia="Calibri" w:hAnsi="Times New Roman" w:cs="Times New Roman"/>
          <w:color w:val="000000" w:themeColor="text1"/>
          <w:lang w:val="en-US"/>
        </w:rPr>
        <w:t xml:space="preserve">This provides a high-magnification visual assessment of the activated carbon's surface morphology and texture. The investigation was conducted using Scanning Electron Microscopy (SEM), and the result obtained is presented in Figure 2. The figure typically </w:t>
      </w:r>
      <w:proofErr w:type="gramStart"/>
      <w:r>
        <w:rPr>
          <w:rFonts w:ascii="Times New Roman" w:eastAsia="Calibri" w:hAnsi="Times New Roman" w:cs="Times New Roman"/>
          <w:color w:val="000000" w:themeColor="text1"/>
          <w:lang w:val="en-US"/>
        </w:rPr>
        <w:t>reveal</w:t>
      </w:r>
      <w:proofErr w:type="gramEnd"/>
      <w:r>
        <w:rPr>
          <w:rFonts w:ascii="Times New Roman" w:eastAsia="Calibri" w:hAnsi="Times New Roman" w:cs="Times New Roman"/>
          <w:color w:val="000000" w:themeColor="text1"/>
          <w:lang w:val="en-US"/>
        </w:rPr>
        <w:t xml:space="preserve"> a highly heterogeneous and fractured surface structure. The key features observed are the irregular pores and voids created during the carbonization and activation processes. This visible porosity supports the high pore volume measurements and confirms the destruction of the precursor's initial structure. Furthermore, the rough surface texture increases the external surface area available for adsorption and ensures that the contaminant molecules have multiple pathways to enter the internal pore system. Consistent with the findings of </w:t>
      </w:r>
      <w:proofErr w:type="spellStart"/>
      <w:r>
        <w:rPr>
          <w:rFonts w:ascii="Times New Roman" w:eastAsia="Calibri" w:hAnsi="Times New Roman" w:cs="Times New Roman"/>
          <w:color w:val="000000" w:themeColor="text1"/>
          <w:lang w:val="en-US"/>
        </w:rPr>
        <w:t>Okafo</w:t>
      </w:r>
      <w:r w:rsidR="00C55CE7">
        <w:rPr>
          <w:rFonts w:ascii="Times New Roman" w:eastAsia="Calibri" w:hAnsi="Times New Roman" w:cs="Times New Roman"/>
          <w:color w:val="000000" w:themeColor="text1"/>
          <w:lang w:val="en-US"/>
        </w:rPr>
        <w:t>agu</w:t>
      </w:r>
      <w:proofErr w:type="spellEnd"/>
      <w:r>
        <w:rPr>
          <w:rFonts w:ascii="Times New Roman" w:eastAsia="Calibri" w:hAnsi="Times New Roman" w:cs="Times New Roman"/>
          <w:color w:val="000000" w:themeColor="text1"/>
          <w:lang w:val="en-US"/>
        </w:rPr>
        <w:t xml:space="preserve"> et al. (20</w:t>
      </w:r>
      <w:r w:rsidR="00C55CE7">
        <w:rPr>
          <w:rFonts w:ascii="Times New Roman" w:eastAsia="Calibri" w:hAnsi="Times New Roman" w:cs="Times New Roman"/>
          <w:color w:val="000000" w:themeColor="text1"/>
          <w:lang w:val="en-US"/>
        </w:rPr>
        <w:t>25</w:t>
      </w:r>
      <w:r>
        <w:rPr>
          <w:rFonts w:ascii="Times New Roman" w:eastAsia="Calibri" w:hAnsi="Times New Roman" w:cs="Times New Roman"/>
          <w:color w:val="000000" w:themeColor="text1"/>
          <w:lang w:val="en-US"/>
        </w:rPr>
        <w:t xml:space="preserve">), a high degree of surface irregularity is vital for efficient mass transfer in solid-liquid adsorption applications. The SEM analysis, therefore, confirms the successful physical activation and transformation of the coconut shell into </w:t>
      </w:r>
      <w:r>
        <w:rPr>
          <w:rFonts w:ascii="Times New Roman" w:eastAsia="Calibri" w:hAnsi="Times New Roman" w:cs="Times New Roman"/>
          <w:color w:val="000000" w:themeColor="text1"/>
          <w:lang w:val="en-US"/>
        </w:rPr>
        <w:lastRenderedPageBreak/>
        <w:t>a material with the necessary structural characteristics to serve as an efficient, high-surface-area adsorbent for transformer oil regeneration.</w:t>
      </w:r>
    </w:p>
    <w:p w14:paraId="574A73BD" w14:textId="77777777" w:rsidR="0078026E" w:rsidRDefault="003452F6">
      <w:pPr>
        <w:spacing w:before="100" w:beforeAutospacing="1" w:after="100" w:afterAutospacing="1" w:line="240" w:lineRule="auto"/>
        <w:jc w:val="center"/>
        <w:rPr>
          <w:rFonts w:ascii="Times New Roman" w:eastAsia="Times New Roman" w:hAnsi="Times New Roman" w:cs="Times New Roman"/>
          <w:color w:val="000000" w:themeColor="text1"/>
          <w:kern w:val="0"/>
          <w:lang w:val="en-US"/>
          <w14:ligatures w14:val="none"/>
        </w:rPr>
      </w:pPr>
      <w:bookmarkStart w:id="31" w:name="_Toc214344619"/>
      <w:bookmarkStart w:id="32" w:name="_Toc214345458"/>
      <w:r>
        <w:rPr>
          <w:rFonts w:ascii="Times New Roman" w:eastAsia="Calibri" w:hAnsi="Times New Roman" w:cs="Times New Roman"/>
          <w:noProof/>
          <w:color w:val="000000" w:themeColor="text1"/>
          <w:lang w:val="en-US"/>
        </w:rPr>
        <w:drawing>
          <wp:inline distT="0" distB="0" distL="0" distR="0" wp14:anchorId="5FC75B43" wp14:editId="7E0504C9">
            <wp:extent cx="5326380" cy="2792730"/>
            <wp:effectExtent l="0" t="0" r="7620" b="11430"/>
            <wp:docPr id="1251162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62877" name="Picture 1"/>
                    <pic:cNvPicPr>
                      <a:picLocks noChangeAspect="1"/>
                    </pic:cNvPicPr>
                  </pic:nvPicPr>
                  <pic:blipFill>
                    <a:blip r:embed="rId12"/>
                    <a:srcRect l="24181" t="13298" r="29266" b="8230"/>
                    <a:stretch>
                      <a:fillRect/>
                    </a:stretch>
                  </pic:blipFill>
                  <pic:spPr>
                    <a:xfrm>
                      <a:off x="0" y="0"/>
                      <a:ext cx="5326380" cy="2792730"/>
                    </a:xfrm>
                    <a:prstGeom prst="rect">
                      <a:avLst/>
                    </a:prstGeom>
                    <a:ln>
                      <a:noFill/>
                    </a:ln>
                  </pic:spPr>
                </pic:pic>
              </a:graphicData>
            </a:graphic>
          </wp:inline>
        </w:drawing>
      </w:r>
    </w:p>
    <w:p w14:paraId="5E46FD17" w14:textId="77777777" w:rsidR="0078026E" w:rsidRDefault="003452F6">
      <w:pPr>
        <w:spacing w:before="100" w:beforeAutospacing="1" w:after="100" w:afterAutospacing="1" w:line="240" w:lineRule="auto"/>
        <w:jc w:val="both"/>
        <w:rPr>
          <w:rFonts w:ascii="Times New Roman" w:eastAsia="Times New Roman" w:hAnsi="Times New Roman" w:cs="Times New Roman"/>
          <w:color w:val="000000" w:themeColor="text1"/>
          <w:kern w:val="0"/>
          <w:lang w:val="en-US"/>
          <w14:ligatures w14:val="none"/>
        </w:rPr>
      </w:pPr>
      <w:r>
        <w:rPr>
          <w:rFonts w:ascii="Times New Roman" w:eastAsia="Times New Roman" w:hAnsi="Times New Roman" w:cs="Times New Roman"/>
          <w:color w:val="000000" w:themeColor="text1"/>
          <w:kern w:val="0"/>
          <w:lang w:val="en-US"/>
          <w14:ligatures w14:val="none"/>
        </w:rPr>
        <w:t>Figure 2. S</w:t>
      </w:r>
      <w:r>
        <w:rPr>
          <w:rFonts w:ascii="Times New Roman" w:hAnsi="Times New Roman" w:cs="Times New Roman"/>
          <w:color w:val="000000" w:themeColor="text1"/>
          <w:lang w:val="en-US"/>
        </w:rPr>
        <w:t>urface morphology of coconut shell activated carbon obtained from s</w:t>
      </w:r>
      <w:r>
        <w:rPr>
          <w:rFonts w:ascii="Times New Roman" w:eastAsia="Times New Roman" w:hAnsi="Times New Roman" w:cs="Times New Roman"/>
          <w:color w:val="000000" w:themeColor="text1"/>
          <w:kern w:val="0"/>
          <w:lang w:val="en-US"/>
          <w14:ligatures w14:val="none"/>
        </w:rPr>
        <w:t>canning electron microscopy</w:t>
      </w:r>
      <w:bookmarkEnd w:id="31"/>
      <w:bookmarkEnd w:id="32"/>
      <w:r>
        <w:rPr>
          <w:rFonts w:ascii="Times New Roman" w:eastAsia="Times New Roman" w:hAnsi="Times New Roman" w:cs="Times New Roman"/>
          <w:color w:val="000000" w:themeColor="text1"/>
          <w:kern w:val="0"/>
          <w:lang w:val="en-US"/>
          <w14:ligatures w14:val="none"/>
        </w:rPr>
        <w:t xml:space="preserve">         </w:t>
      </w:r>
    </w:p>
    <w:p w14:paraId="6468369E"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3.1.3 Determining the functional groups present in coconut shell activated carbon</w:t>
      </w:r>
    </w:p>
    <w:p w14:paraId="0D042E62" w14:textId="2F5CCF9D"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The Fourier Transform Infrared (FTIR) spectroscopy (Figure 3) provides vital information on the surface chemistry of the activated carbon, specifically identifying the functional groups available on the pore surfaces. These functional groups are the chemical attachment points that govern the selective removal of contaminants via chemisorption. The most important features observed include a broad, strong absorption band typically seen around 3200-3500 cm</w:t>
      </w:r>
      <w:r>
        <w:rPr>
          <w:rFonts w:ascii="Times New Roman" w:eastAsia="Calibri" w:hAnsi="Times New Roman" w:cs="Times New Roman"/>
          <w:color w:val="000000" w:themeColor="text1"/>
          <w:vertAlign w:val="superscript"/>
          <w:lang w:val="en-US"/>
        </w:rPr>
        <w:t>-1</w:t>
      </w:r>
      <w:r>
        <w:rPr>
          <w:rFonts w:ascii="Times New Roman" w:eastAsia="Calibri" w:hAnsi="Times New Roman" w:cs="Times New Roman"/>
          <w:color w:val="000000" w:themeColor="text1"/>
          <w:lang w:val="en-US"/>
        </w:rPr>
        <w:t>, which is characteristic of O-H stretching vibrations (indicating hydroxyl functional groups). Furthermore, a peak appearing in the range of 1600-1750 cm</w:t>
      </w:r>
      <w:r>
        <w:rPr>
          <w:rFonts w:ascii="Times New Roman" w:eastAsia="Calibri" w:hAnsi="Times New Roman" w:cs="Times New Roman"/>
          <w:color w:val="000000" w:themeColor="text1"/>
          <w:vertAlign w:val="superscript"/>
          <w:lang w:val="en-US"/>
        </w:rPr>
        <w:t>-1</w:t>
      </w:r>
      <w:r>
        <w:rPr>
          <w:rFonts w:ascii="Times New Roman" w:eastAsia="Calibri" w:hAnsi="Times New Roman" w:cs="Times New Roman"/>
          <w:color w:val="000000" w:themeColor="text1"/>
          <w:lang w:val="en-US"/>
        </w:rPr>
        <w:t xml:space="preserve"> is often attributed to the C=O carbonyl or quinone stretching vibration. The presence of these oxygen-containing surface groups is paramount, as they are polar. The polar groups on the AC surface O-H, C=O exhibit a strong chemical affinity for the polar contaminants in the oil (i.e., acidic oxidation products and moisture). This electrostatic attraction allows the AC to selectively chemisorb these detrimental contaminants, thereby purifying the dielectric fluid. This finding directly aligns with the work of </w:t>
      </w:r>
      <w:r w:rsidR="00C55CE7" w:rsidRPr="005D2CF5">
        <w:rPr>
          <w:rFonts w:ascii="Times New Roman" w:eastAsia="Calibri" w:hAnsi="Times New Roman" w:cs="Times New Roman"/>
          <w:color w:val="00B0F0"/>
          <w:lang w:val="en-US"/>
        </w:rPr>
        <w:t>Ali et al</w:t>
      </w:r>
      <w:r w:rsidR="00BC59EA" w:rsidRPr="005D2CF5">
        <w:rPr>
          <w:rFonts w:ascii="Times New Roman" w:eastAsia="Calibri" w:hAnsi="Times New Roman" w:cs="Times New Roman"/>
          <w:color w:val="00B0F0"/>
          <w:lang w:val="en-US"/>
        </w:rPr>
        <w:t>.</w:t>
      </w:r>
      <w:r w:rsidRPr="005D2CF5">
        <w:rPr>
          <w:rFonts w:ascii="Times New Roman" w:eastAsia="Calibri" w:hAnsi="Times New Roman" w:cs="Times New Roman"/>
          <w:color w:val="00B0F0"/>
          <w:lang w:val="en-US"/>
        </w:rPr>
        <w:t xml:space="preserve"> (202</w:t>
      </w:r>
      <w:r w:rsidR="00C55CE7" w:rsidRPr="005D2CF5">
        <w:rPr>
          <w:rFonts w:ascii="Times New Roman" w:eastAsia="Calibri" w:hAnsi="Times New Roman" w:cs="Times New Roman"/>
          <w:color w:val="00B0F0"/>
          <w:lang w:val="en-US"/>
        </w:rPr>
        <w:t>1</w:t>
      </w:r>
      <w:r w:rsidRPr="005D2CF5">
        <w:rPr>
          <w:rFonts w:ascii="Times New Roman" w:eastAsia="Calibri" w:hAnsi="Times New Roman" w:cs="Times New Roman"/>
          <w:color w:val="00B0F0"/>
          <w:lang w:val="en-US"/>
        </w:rPr>
        <w:t>),</w:t>
      </w:r>
      <w:r>
        <w:rPr>
          <w:rFonts w:ascii="Times New Roman" w:eastAsia="Calibri" w:hAnsi="Times New Roman" w:cs="Times New Roman"/>
          <w:color w:val="000000" w:themeColor="text1"/>
          <w:lang w:val="en-US"/>
        </w:rPr>
        <w:t xml:space="preserve"> who demonstrated that the presence of these oxygenated groups significantly enhances the adsorption of polar species via mechanisms such as hydrogen bonding and complexation, providing the chemical basis for the AC's high selectivity and the effectiveness demonstrated in the regeneration experiments.</w:t>
      </w:r>
    </w:p>
    <w:p w14:paraId="7474170D" w14:textId="77777777" w:rsidR="0078026E" w:rsidRDefault="003452F6">
      <w:pPr>
        <w:spacing w:after="200" w:line="240" w:lineRule="auto"/>
        <w:jc w:val="both"/>
        <w:rPr>
          <w:rFonts w:ascii="Times New Roman" w:eastAsia="Calibri" w:hAnsi="Times New Roman" w:cs="Times New Roman"/>
          <w:color w:val="000000" w:themeColor="text1"/>
          <w:lang w:val="en-US"/>
        </w:rPr>
      </w:pPr>
      <w:r>
        <w:rPr>
          <w:rFonts w:ascii="Times New Roman" w:eastAsia="Times New Roman" w:hAnsi="Times New Roman" w:cs="Times New Roman"/>
          <w:color w:val="000000" w:themeColor="text1"/>
          <w:kern w:val="0"/>
          <w:lang w:val="en-US"/>
          <w14:ligatures w14:val="none"/>
        </w:rPr>
        <w:lastRenderedPageBreak/>
        <w:t xml:space="preserve">            </w:t>
      </w:r>
      <w:bookmarkStart w:id="33" w:name="_Toc214345459"/>
      <w:r>
        <w:rPr>
          <w:noProof/>
          <w:color w:val="000000" w:themeColor="text1"/>
        </w:rPr>
        <w:drawing>
          <wp:inline distT="0" distB="0" distL="114300" distR="114300" wp14:anchorId="21957EFE" wp14:editId="7F35A65E">
            <wp:extent cx="5937250" cy="298704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937250" cy="2987040"/>
                    </a:xfrm>
                    <a:prstGeom prst="rect">
                      <a:avLst/>
                    </a:prstGeom>
                    <a:noFill/>
                    <a:ln>
                      <a:noFill/>
                    </a:ln>
                  </pic:spPr>
                </pic:pic>
              </a:graphicData>
            </a:graphic>
          </wp:inline>
        </w:drawing>
      </w:r>
    </w:p>
    <w:p w14:paraId="24A5496E"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eastAsia="Calibri" w:hAnsi="Times New Roman" w:cs="Times New Roman"/>
          <w:color w:val="000000" w:themeColor="text1"/>
          <w:lang w:val="en-US"/>
        </w:rPr>
        <w:t xml:space="preserve">Figure 3. </w:t>
      </w:r>
      <w:bookmarkEnd w:id="33"/>
      <w:r>
        <w:rPr>
          <w:rFonts w:ascii="Times New Roman" w:hAnsi="Times New Roman" w:cs="Times New Roman"/>
          <w:color w:val="000000" w:themeColor="text1"/>
          <w:lang w:val="en-US"/>
        </w:rPr>
        <w:t xml:space="preserve"> Functional groups present in coconut shell activated carbon obtained using FTIR</w:t>
      </w:r>
      <w:bookmarkStart w:id="34" w:name="_Toc214345024"/>
    </w:p>
    <w:p w14:paraId="73FED69A" w14:textId="77777777" w:rsidR="0078026E" w:rsidRDefault="0078026E">
      <w:pPr>
        <w:spacing w:line="240" w:lineRule="auto"/>
        <w:jc w:val="both"/>
        <w:rPr>
          <w:rFonts w:ascii="Times New Roman" w:hAnsi="Times New Roman" w:cs="Times New Roman"/>
          <w:color w:val="000000" w:themeColor="text1"/>
          <w:lang w:val="en-US"/>
        </w:rPr>
      </w:pPr>
    </w:p>
    <w:p w14:paraId="127BC364"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3.2 Analysis of the spent transformer oil </w:t>
      </w:r>
    </w:p>
    <w:p w14:paraId="3103871B" w14:textId="3DBC5CB9"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This was done to determine the quality of the spent transformer oil. The parameters assessed included moisture content, total acid number (TAN), dielectric breakdown voltage and viscosity. The results obtained are presented in Table 2. The results show that the moisture content, total acid number, dielectric breakdown voltage, and viscosity were 15,000 ppm, 4.21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w:t>
      </w:r>
      <w:proofErr w:type="gramStart"/>
      <w:r>
        <w:rPr>
          <w:rFonts w:ascii="Times New Roman" w:eastAsia="Calibri" w:hAnsi="Times New Roman" w:cs="Times New Roman"/>
          <w:color w:val="000000" w:themeColor="text1"/>
          <w:lang w:val="en-US"/>
        </w:rPr>
        <w:t>g,  7.8</w:t>
      </w:r>
      <w:proofErr w:type="gramEnd"/>
      <w:r>
        <w:rPr>
          <w:rFonts w:ascii="Times New Roman" w:eastAsia="Calibri" w:hAnsi="Times New Roman" w:cs="Times New Roman"/>
          <w:color w:val="000000" w:themeColor="text1"/>
          <w:lang w:val="en-US"/>
        </w:rPr>
        <w:t xml:space="preserve"> kV, and 9.19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Comparing these with standard of moisture content (&lt;35 ppm), total acid number (&lt; 0.003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/g), dielectric breakdown voltage (</w:t>
      </w:r>
      <w:r>
        <w:rPr>
          <w:rFonts w:ascii="Times New Roman" w:hAnsi="Times New Roman" w:cs="Times New Roman"/>
          <w:color w:val="000000" w:themeColor="text1"/>
          <w:lang w:val="en-US"/>
        </w:rPr>
        <w:t xml:space="preserve">8.0 ± 0.5 kV), and </w:t>
      </w:r>
      <w:proofErr w:type="spellStart"/>
      <w:r>
        <w:rPr>
          <w:rFonts w:ascii="Times New Roman" w:hAnsi="Times New Roman" w:cs="Times New Roman"/>
          <w:color w:val="000000" w:themeColor="text1"/>
          <w:lang w:val="en-US"/>
        </w:rPr>
        <w:t>visocity</w:t>
      </w:r>
      <w:proofErr w:type="spellEnd"/>
      <w:r>
        <w:rPr>
          <w:rFonts w:ascii="Times New Roman" w:hAnsi="Times New Roman" w:cs="Times New Roman"/>
          <w:color w:val="000000" w:themeColor="text1"/>
          <w:lang w:val="en-US"/>
        </w:rPr>
        <w:t xml:space="preserve"> (&gt; 30 </w:t>
      </w:r>
      <w:proofErr w:type="spellStart"/>
      <w:r>
        <w:rPr>
          <w:rFonts w:ascii="Times New Roman" w:hAnsi="Times New Roman" w:cs="Times New Roman"/>
          <w:color w:val="000000" w:themeColor="text1"/>
          <w:lang w:val="en-US"/>
        </w:rPr>
        <w:t>cP</w:t>
      </w:r>
      <w:proofErr w:type="spellEnd"/>
      <w:r>
        <w:rPr>
          <w:rFonts w:ascii="Times New Roman" w:hAnsi="Times New Roman" w:cs="Times New Roman"/>
          <w:color w:val="000000" w:themeColor="text1"/>
          <w:lang w:val="en-US"/>
        </w:rPr>
        <w:t>) show that the spent transformer oil was degraded as the values of the parameters assessed were out of the range specified in the</w:t>
      </w:r>
      <w:r w:rsidR="00AE030D">
        <w:rPr>
          <w:rFonts w:ascii="Times New Roman" w:hAnsi="Times New Roman" w:cs="Times New Roman"/>
          <w:color w:val="000000" w:themeColor="text1"/>
          <w:lang w:val="en-US"/>
        </w:rPr>
        <w:t xml:space="preserve"> </w:t>
      </w:r>
      <w:r>
        <w:rPr>
          <w:rFonts w:ascii="Times New Roman" w:hAnsi="Times New Roman" w:cs="Times New Roman"/>
          <w:color w:val="000000" w:themeColor="text1"/>
          <w:lang w:val="en-US"/>
        </w:rPr>
        <w:t>IEC (2003), ASTM D445</w:t>
      </w:r>
      <w:r w:rsidR="00AE030D">
        <w:rPr>
          <w:rFonts w:ascii="Times New Roman" w:hAnsi="Times New Roman" w:cs="Times New Roman"/>
          <w:color w:val="000000" w:themeColor="text1"/>
          <w:lang w:val="en-US"/>
        </w:rPr>
        <w:t xml:space="preserve"> (2014), </w:t>
      </w:r>
      <w:r w:rsidR="00AE030D" w:rsidRPr="00AE030D">
        <w:rPr>
          <w:rFonts w:ascii="Times New Roman" w:hAnsi="Times New Roman" w:cs="Times New Roman"/>
          <w:color w:val="00B0F0"/>
          <w:lang w:val="en-US"/>
        </w:rPr>
        <w:t>IEC (2020)</w:t>
      </w:r>
      <w:r w:rsidRPr="00AE030D">
        <w:rPr>
          <w:rFonts w:ascii="Times New Roman" w:hAnsi="Times New Roman" w:cs="Times New Roman"/>
          <w:color w:val="00B0F0"/>
          <w:lang w:val="en-US"/>
        </w:rPr>
        <w:t xml:space="preserve"> </w:t>
      </w:r>
      <w:r>
        <w:rPr>
          <w:rFonts w:ascii="Times New Roman" w:hAnsi="Times New Roman" w:cs="Times New Roman"/>
          <w:color w:val="000000" w:themeColor="text1"/>
          <w:lang w:val="en-US"/>
        </w:rPr>
        <w:t xml:space="preserve">and IEC (2018). The oil </w:t>
      </w:r>
      <w:r>
        <w:rPr>
          <w:rFonts w:ascii="Times New Roman" w:eastAsia="Calibri" w:hAnsi="Times New Roman" w:cs="Times New Roman"/>
          <w:color w:val="000000" w:themeColor="text1"/>
          <w:lang w:val="en-US"/>
        </w:rPr>
        <w:t>showed severely compromised, with an extremely low dielectric breakdown voltage (BDV) and an excessively high total acid number (TAN), alongside high moisture content. The low BDV indicates a severe loss of electrical insulation strength, and aging which introduced contaminants like moisture and polar degradation products that act as conductive weak spots, drastically reducing the oil’s insulating strength. The high TAN confirms significant oxidation leading to the formation of corrosive carboxylic acids. These acidic components threaten the structural integrity of the transformer by promoting internal corrosion and accelerating further oil breakdown, thus establishing the severe and urgent need for an effective adsorbent-based regeneration process.</w:t>
      </w:r>
    </w:p>
    <w:p w14:paraId="6F62DDFD" w14:textId="77777777" w:rsidR="0078026E" w:rsidRDefault="0078026E">
      <w:pPr>
        <w:spacing w:after="120" w:line="240" w:lineRule="auto"/>
        <w:jc w:val="both"/>
        <w:rPr>
          <w:rFonts w:ascii="Times New Roman" w:eastAsia="Calibri" w:hAnsi="Times New Roman" w:cs="Times New Roman"/>
          <w:color w:val="000000" w:themeColor="text1"/>
          <w:lang w:val="en-US"/>
        </w:rPr>
      </w:pPr>
    </w:p>
    <w:p w14:paraId="3EEB222E" w14:textId="77777777" w:rsidR="0078026E" w:rsidRDefault="0078026E">
      <w:pPr>
        <w:spacing w:after="120" w:line="240" w:lineRule="auto"/>
        <w:jc w:val="both"/>
        <w:rPr>
          <w:rFonts w:ascii="Times New Roman" w:eastAsia="Calibri" w:hAnsi="Times New Roman" w:cs="Times New Roman"/>
          <w:color w:val="000000" w:themeColor="text1"/>
          <w:lang w:val="en-US"/>
        </w:rPr>
      </w:pPr>
    </w:p>
    <w:p w14:paraId="5D8B0E82" w14:textId="77777777" w:rsidR="0078026E" w:rsidRDefault="0078026E">
      <w:pPr>
        <w:spacing w:after="120" w:line="240" w:lineRule="auto"/>
        <w:jc w:val="both"/>
        <w:rPr>
          <w:rFonts w:ascii="Times New Roman" w:eastAsia="Calibri" w:hAnsi="Times New Roman" w:cs="Times New Roman"/>
          <w:color w:val="000000" w:themeColor="text1"/>
          <w:lang w:val="en-US"/>
        </w:rPr>
      </w:pPr>
    </w:p>
    <w:p w14:paraId="3AB87C3A"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Table 2. Physicochemical properties of spent transformer oil</w:t>
      </w:r>
      <w:bookmarkEnd w:id="34"/>
    </w:p>
    <w:tbl>
      <w:tblPr>
        <w:tblW w:w="10856" w:type="dxa"/>
        <w:jc w:val="center"/>
        <w:tblBorders>
          <w:top w:val="single" w:sz="4" w:space="0" w:color="auto"/>
          <w:bottom w:val="single" w:sz="4" w:space="0" w:color="auto"/>
        </w:tblBorders>
        <w:tblLayout w:type="fixed"/>
        <w:tblLook w:val="04A0" w:firstRow="1" w:lastRow="0" w:firstColumn="1" w:lastColumn="0" w:noHBand="0" w:noVBand="1"/>
      </w:tblPr>
      <w:tblGrid>
        <w:gridCol w:w="2346"/>
        <w:gridCol w:w="2400"/>
        <w:gridCol w:w="1233"/>
        <w:gridCol w:w="1789"/>
        <w:gridCol w:w="1918"/>
        <w:gridCol w:w="1170"/>
      </w:tblGrid>
      <w:tr w:rsidR="0078026E" w14:paraId="727E9A2A" w14:textId="77777777">
        <w:trPr>
          <w:trHeight w:val="182"/>
          <w:jc w:val="center"/>
        </w:trPr>
        <w:tc>
          <w:tcPr>
            <w:tcW w:w="2346" w:type="dxa"/>
            <w:tcBorders>
              <w:top w:val="single" w:sz="8" w:space="0" w:color="FFFFFF"/>
              <w:left w:val="single" w:sz="8" w:space="0" w:color="FFFFFF"/>
              <w:bottom w:val="single" w:sz="18" w:space="0" w:color="FFFFFF"/>
              <w:right w:val="single" w:sz="8" w:space="0" w:color="FFFFFF"/>
            </w:tcBorders>
            <w:shd w:val="clear" w:color="auto" w:fill="000000"/>
          </w:tcPr>
          <w:p w14:paraId="52827F3B"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lastRenderedPageBreak/>
              <w:t>Property</w:t>
            </w:r>
          </w:p>
        </w:tc>
        <w:tc>
          <w:tcPr>
            <w:tcW w:w="2400" w:type="dxa"/>
            <w:tcBorders>
              <w:top w:val="single" w:sz="8" w:space="0" w:color="FFFFFF"/>
              <w:left w:val="single" w:sz="8" w:space="0" w:color="FFFFFF"/>
              <w:bottom w:val="single" w:sz="18" w:space="0" w:color="FFFFFF"/>
              <w:right w:val="single" w:sz="8" w:space="0" w:color="FFFFFF"/>
            </w:tcBorders>
            <w:shd w:val="clear" w:color="auto" w:fill="000000"/>
          </w:tcPr>
          <w:p w14:paraId="7357E32E"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Test Method</w:t>
            </w:r>
          </w:p>
        </w:tc>
        <w:tc>
          <w:tcPr>
            <w:tcW w:w="1233" w:type="dxa"/>
            <w:tcBorders>
              <w:top w:val="single" w:sz="8" w:space="0" w:color="FFFFFF"/>
              <w:left w:val="single" w:sz="8" w:space="0" w:color="FFFFFF"/>
              <w:bottom w:val="single" w:sz="18" w:space="0" w:color="FFFFFF"/>
              <w:right w:val="single" w:sz="8" w:space="0" w:color="FFFFFF"/>
            </w:tcBorders>
            <w:shd w:val="clear" w:color="auto" w:fill="000000"/>
          </w:tcPr>
          <w:p w14:paraId="0DB3595E"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Unit</w:t>
            </w:r>
          </w:p>
        </w:tc>
        <w:tc>
          <w:tcPr>
            <w:tcW w:w="1789" w:type="dxa"/>
            <w:tcBorders>
              <w:top w:val="single" w:sz="8" w:space="0" w:color="FFFFFF"/>
              <w:left w:val="single" w:sz="8" w:space="0" w:color="FFFFFF"/>
              <w:bottom w:val="single" w:sz="18" w:space="0" w:color="FFFFFF"/>
              <w:right w:val="single" w:sz="8" w:space="0" w:color="FFFFFF"/>
            </w:tcBorders>
            <w:shd w:val="clear" w:color="auto" w:fill="000000"/>
          </w:tcPr>
          <w:p w14:paraId="34783627"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Measured Value</w:t>
            </w:r>
          </w:p>
        </w:tc>
        <w:tc>
          <w:tcPr>
            <w:tcW w:w="3088" w:type="dxa"/>
            <w:gridSpan w:val="2"/>
            <w:tcBorders>
              <w:top w:val="single" w:sz="8" w:space="0" w:color="FFFFFF"/>
              <w:left w:val="single" w:sz="8" w:space="0" w:color="FFFFFF"/>
              <w:bottom w:val="single" w:sz="18" w:space="0" w:color="FFFFFF"/>
              <w:right w:val="single" w:sz="8" w:space="0" w:color="FFFFFF"/>
            </w:tcBorders>
            <w:shd w:val="clear" w:color="auto" w:fill="000000"/>
          </w:tcPr>
          <w:p w14:paraId="02C24931" w14:textId="77777777" w:rsidR="0078026E" w:rsidRDefault="003452F6">
            <w:pPr>
              <w:spacing w:after="0" w:line="240" w:lineRule="auto"/>
              <w:ind w:firstLineChars="100" w:firstLine="240"/>
              <w:jc w:val="both"/>
              <w:rPr>
                <w:rFonts w:ascii="Times New Roman" w:hAnsi="Times New Roman" w:cs="Times New Roman"/>
                <w:color w:val="FFFFFF"/>
                <w:lang w:val="en-US"/>
              </w:rPr>
            </w:pPr>
            <w:r>
              <w:rPr>
                <w:rFonts w:ascii="Times New Roman" w:hAnsi="Times New Roman" w:cs="Times New Roman"/>
                <w:b/>
                <w:bCs/>
                <w:color w:val="FFFFFF"/>
              </w:rPr>
              <w:t>T</w:t>
            </w:r>
            <w:proofErr w:type="spellStart"/>
            <w:r>
              <w:rPr>
                <w:rFonts w:ascii="Times New Roman" w:hAnsi="Times New Roman" w:cs="Times New Roman"/>
                <w:b/>
                <w:bCs/>
                <w:color w:val="FFFFFF"/>
                <w:lang w:val="en-US"/>
              </w:rPr>
              <w:t>ypical</w:t>
            </w:r>
            <w:proofErr w:type="spellEnd"/>
            <w:r>
              <w:rPr>
                <w:rFonts w:ascii="Times New Roman" w:hAnsi="Times New Roman" w:cs="Times New Roman"/>
                <w:b/>
                <w:bCs/>
                <w:color w:val="FFFFFF"/>
                <w:lang w:val="en-US"/>
              </w:rPr>
              <w:t xml:space="preserve"> transformer oil</w:t>
            </w:r>
            <w:r>
              <w:rPr>
                <w:rFonts w:ascii="Times New Roman" w:hAnsi="Times New Roman" w:cs="Times New Roman"/>
                <w:b/>
                <w:bCs/>
                <w:color w:val="FFFFFF"/>
              </w:rPr>
              <w:t xml:space="preserve"> </w:t>
            </w:r>
            <w:r>
              <w:rPr>
                <w:rFonts w:ascii="Times New Roman" w:hAnsi="Times New Roman" w:cs="Times New Roman"/>
                <w:b/>
                <w:bCs/>
                <w:color w:val="FFFFFF"/>
                <w:lang w:val="en-US"/>
              </w:rPr>
              <w:t>(Reference)</w:t>
            </w:r>
          </w:p>
        </w:tc>
      </w:tr>
      <w:tr w:rsidR="0078026E" w14:paraId="25194C81" w14:textId="77777777">
        <w:trPr>
          <w:jc w:val="center"/>
        </w:trPr>
        <w:tc>
          <w:tcPr>
            <w:tcW w:w="2346" w:type="dxa"/>
            <w:tcBorders>
              <w:top w:val="single" w:sz="18" w:space="0" w:color="FFFFFF"/>
              <w:left w:val="single" w:sz="8" w:space="0" w:color="FFFFFF"/>
              <w:bottom w:val="single" w:sz="8" w:space="0" w:color="FFFFFF"/>
              <w:right w:val="single" w:sz="8" w:space="0" w:color="FFFFFF"/>
            </w:tcBorders>
            <w:shd w:val="clear" w:color="auto" w:fill="CBCBCB"/>
          </w:tcPr>
          <w:p w14:paraId="7DED3465"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Moisture content</w:t>
            </w:r>
          </w:p>
        </w:tc>
        <w:tc>
          <w:tcPr>
            <w:tcW w:w="2400" w:type="dxa"/>
            <w:tcBorders>
              <w:top w:val="single" w:sz="18" w:space="0" w:color="FFFFFF"/>
              <w:left w:val="single" w:sz="8" w:space="0" w:color="FFFFFF"/>
              <w:bottom w:val="single" w:sz="8" w:space="0" w:color="FFFFFF"/>
              <w:right w:val="single" w:sz="8" w:space="0" w:color="FFFFFF"/>
            </w:tcBorders>
            <w:shd w:val="clear" w:color="auto" w:fill="CBCBCB"/>
          </w:tcPr>
          <w:p w14:paraId="0FFFF045"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Karl Fischer Titration</w:t>
            </w:r>
          </w:p>
        </w:tc>
        <w:tc>
          <w:tcPr>
            <w:tcW w:w="1233" w:type="dxa"/>
            <w:tcBorders>
              <w:top w:val="single" w:sz="18" w:space="0" w:color="FFFFFF"/>
              <w:left w:val="single" w:sz="8" w:space="0" w:color="FFFFFF"/>
              <w:bottom w:val="single" w:sz="8" w:space="0" w:color="FFFFFF"/>
              <w:right w:val="single" w:sz="8" w:space="0" w:color="FFFFFF"/>
            </w:tcBorders>
            <w:shd w:val="clear" w:color="auto" w:fill="CBCBCB"/>
          </w:tcPr>
          <w:p w14:paraId="68B137FE"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ppm</w:t>
            </w:r>
          </w:p>
        </w:tc>
        <w:tc>
          <w:tcPr>
            <w:tcW w:w="1789" w:type="dxa"/>
            <w:tcBorders>
              <w:top w:val="single" w:sz="18" w:space="0" w:color="FFFFFF"/>
              <w:left w:val="single" w:sz="8" w:space="0" w:color="FFFFFF"/>
              <w:bottom w:val="single" w:sz="8" w:space="0" w:color="FFFFFF"/>
              <w:right w:val="single" w:sz="8" w:space="0" w:color="FFFFFF"/>
            </w:tcBorders>
            <w:shd w:val="clear" w:color="auto" w:fill="CBCBCB"/>
          </w:tcPr>
          <w:p w14:paraId="71BDFC90"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15,000</w:t>
            </w:r>
          </w:p>
        </w:tc>
        <w:tc>
          <w:tcPr>
            <w:tcW w:w="1918" w:type="dxa"/>
            <w:tcBorders>
              <w:top w:val="single" w:sz="18" w:space="0" w:color="FFFFFF"/>
              <w:left w:val="single" w:sz="8" w:space="0" w:color="FFFFFF"/>
              <w:bottom w:val="single" w:sz="8" w:space="0" w:color="FFFFFF"/>
              <w:right w:val="single" w:sz="8" w:space="0" w:color="FFFFFF"/>
            </w:tcBorders>
            <w:shd w:val="clear" w:color="auto" w:fill="CBCBCB"/>
          </w:tcPr>
          <w:p w14:paraId="208F12BB" w14:textId="77777777" w:rsidR="0078026E" w:rsidRDefault="003452F6">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&lt; </w:t>
            </w:r>
            <w:r>
              <w:rPr>
                <w:rFonts w:ascii="Times New Roman" w:hAnsi="Times New Roman" w:cs="Times New Roman"/>
                <w:color w:val="000000" w:themeColor="text1"/>
              </w:rPr>
              <w:t>35</w:t>
            </w:r>
          </w:p>
        </w:tc>
        <w:tc>
          <w:tcPr>
            <w:tcW w:w="1170" w:type="dxa"/>
            <w:tcBorders>
              <w:top w:val="single" w:sz="18" w:space="0" w:color="FFFFFF"/>
              <w:left w:val="single" w:sz="8" w:space="0" w:color="FFFFFF"/>
              <w:bottom w:val="single" w:sz="8" w:space="0" w:color="FFFFFF"/>
              <w:right w:val="single" w:sz="8" w:space="0" w:color="FFFFFF"/>
            </w:tcBorders>
            <w:shd w:val="clear" w:color="auto" w:fill="CBCBCB"/>
          </w:tcPr>
          <w:p w14:paraId="2BCE517F" w14:textId="77777777" w:rsidR="0078026E" w:rsidRDefault="003452F6">
            <w:pPr>
              <w:spacing w:after="0" w:line="240" w:lineRule="auto"/>
              <w:jc w:val="both"/>
              <w:rPr>
                <w:color w:val="000000" w:themeColor="text1"/>
              </w:rPr>
            </w:pPr>
            <w:r>
              <w:rPr>
                <w:rFonts w:ascii="Times New Roman" w:hAnsi="Times New Roman" w:cs="Times New Roman"/>
                <w:color w:val="000000" w:themeColor="text1"/>
                <w:lang w:val="en-US"/>
              </w:rPr>
              <w:t>IEC (2014)</w:t>
            </w:r>
          </w:p>
        </w:tc>
      </w:tr>
      <w:tr w:rsidR="0078026E" w14:paraId="0E5D8374" w14:textId="77777777">
        <w:trPr>
          <w:jc w:val="center"/>
        </w:trPr>
        <w:tc>
          <w:tcPr>
            <w:tcW w:w="2346" w:type="dxa"/>
            <w:tcBorders>
              <w:top w:val="single" w:sz="8" w:space="0" w:color="FFFFFF"/>
              <w:left w:val="single" w:sz="8" w:space="0" w:color="FFFFFF"/>
              <w:bottom w:val="single" w:sz="8" w:space="0" w:color="FFFFFF"/>
              <w:right w:val="single" w:sz="8" w:space="0" w:color="FFFFFF"/>
            </w:tcBorders>
            <w:shd w:val="clear" w:color="auto" w:fill="E7E7E7"/>
          </w:tcPr>
          <w:p w14:paraId="5698C2C2"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Total acid number (TAN)</w:t>
            </w:r>
          </w:p>
        </w:tc>
        <w:tc>
          <w:tcPr>
            <w:tcW w:w="2400" w:type="dxa"/>
            <w:tcBorders>
              <w:top w:val="single" w:sz="8" w:space="0" w:color="FFFFFF"/>
              <w:left w:val="single" w:sz="8" w:space="0" w:color="FFFFFF"/>
              <w:bottom w:val="single" w:sz="8" w:space="0" w:color="FFFFFF"/>
              <w:right w:val="single" w:sz="8" w:space="0" w:color="FFFFFF"/>
            </w:tcBorders>
            <w:shd w:val="clear" w:color="auto" w:fill="E7E7E7"/>
          </w:tcPr>
          <w:p w14:paraId="3D747AC6"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Acid–Base Titration</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Pr>
          <w:p w14:paraId="3896BFCB" w14:textId="77777777" w:rsidR="0078026E" w:rsidRDefault="003452F6">
            <w:pPr>
              <w:pStyle w:val="NoSpacing"/>
              <w:jc w:val="both"/>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mgKOH</w:t>
            </w:r>
            <w:proofErr w:type="spellEnd"/>
            <w:r>
              <w:rPr>
                <w:rFonts w:ascii="Times New Roman" w:hAnsi="Times New Roman" w:cs="Times New Roman"/>
                <w:color w:val="000000" w:themeColor="text1"/>
                <w:lang w:val="en-US"/>
              </w:rPr>
              <w:t>/g</w:t>
            </w:r>
          </w:p>
        </w:tc>
        <w:tc>
          <w:tcPr>
            <w:tcW w:w="1789" w:type="dxa"/>
            <w:tcBorders>
              <w:top w:val="single" w:sz="8" w:space="0" w:color="FFFFFF"/>
              <w:left w:val="single" w:sz="8" w:space="0" w:color="FFFFFF"/>
              <w:bottom w:val="single" w:sz="8" w:space="0" w:color="FFFFFF"/>
              <w:right w:val="single" w:sz="8" w:space="0" w:color="FFFFFF"/>
            </w:tcBorders>
            <w:shd w:val="clear" w:color="auto" w:fill="E7E7E7"/>
          </w:tcPr>
          <w:p w14:paraId="0A489BA0"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4.21</w:t>
            </w:r>
          </w:p>
        </w:tc>
        <w:tc>
          <w:tcPr>
            <w:tcW w:w="1918" w:type="dxa"/>
            <w:tcBorders>
              <w:top w:val="single" w:sz="8" w:space="0" w:color="FFFFFF"/>
              <w:left w:val="single" w:sz="8" w:space="0" w:color="FFFFFF"/>
              <w:bottom w:val="single" w:sz="8" w:space="0" w:color="FFFFFF"/>
              <w:right w:val="single" w:sz="8" w:space="0" w:color="FFFFFF"/>
            </w:tcBorders>
            <w:shd w:val="clear" w:color="auto" w:fill="E7E7E7"/>
          </w:tcPr>
          <w:p w14:paraId="1E870A8A" w14:textId="77777777" w:rsidR="0078026E" w:rsidRDefault="003452F6">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&lt; </w:t>
            </w:r>
            <w:r>
              <w:rPr>
                <w:rFonts w:ascii="Times New Roman" w:hAnsi="Times New Roman" w:cs="Times New Roman"/>
                <w:color w:val="000000" w:themeColor="text1"/>
              </w:rPr>
              <w:t>0.003</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Pr>
          <w:p w14:paraId="3DAC1990" w14:textId="77777777" w:rsidR="0078026E" w:rsidRDefault="003452F6">
            <w:pPr>
              <w:spacing w:after="0" w:line="240" w:lineRule="auto"/>
              <w:jc w:val="both"/>
              <w:rPr>
                <w:color w:val="000000" w:themeColor="text1"/>
              </w:rPr>
            </w:pPr>
            <w:r>
              <w:rPr>
                <w:rFonts w:ascii="Times New Roman" w:hAnsi="Times New Roman" w:cs="Times New Roman"/>
                <w:color w:val="000000" w:themeColor="text1"/>
                <w:lang w:val="en-US"/>
              </w:rPr>
              <w:t>IEC (2003)</w:t>
            </w:r>
          </w:p>
        </w:tc>
      </w:tr>
      <w:tr w:rsidR="0078026E" w14:paraId="61D3AC4C" w14:textId="77777777">
        <w:trPr>
          <w:jc w:val="center"/>
        </w:trPr>
        <w:tc>
          <w:tcPr>
            <w:tcW w:w="2346" w:type="dxa"/>
            <w:tcBorders>
              <w:top w:val="single" w:sz="8" w:space="0" w:color="FFFFFF"/>
              <w:left w:val="single" w:sz="8" w:space="0" w:color="FFFFFF"/>
              <w:bottom w:val="single" w:sz="8" w:space="0" w:color="FFFFFF"/>
              <w:right w:val="single" w:sz="8" w:space="0" w:color="FFFFFF"/>
            </w:tcBorders>
            <w:shd w:val="clear" w:color="auto" w:fill="CBCBCB"/>
          </w:tcPr>
          <w:p w14:paraId="3488C053" w14:textId="77777777" w:rsidR="0078026E" w:rsidRDefault="003452F6">
            <w:pPr>
              <w:pStyle w:val="NoSpacing"/>
              <w:jc w:val="both"/>
              <w:rPr>
                <w:rFonts w:ascii="Times New Roman" w:hAnsi="Times New Roman" w:cs="Times New Roman"/>
                <w:color w:val="000000" w:themeColor="text1"/>
                <w:lang w:val="en-US"/>
              </w:rPr>
            </w:pPr>
            <w:r>
              <w:rPr>
                <w:rFonts w:ascii="Times New Roman" w:eastAsia="Calibri" w:hAnsi="Times New Roman" w:cs="Times New Roman"/>
                <w:color w:val="000000" w:themeColor="text1"/>
                <w:lang w:val="en-US"/>
              </w:rPr>
              <w:t>Dielectric breakdown voltage</w:t>
            </w:r>
          </w:p>
        </w:tc>
        <w:tc>
          <w:tcPr>
            <w:tcW w:w="2400" w:type="dxa"/>
            <w:tcBorders>
              <w:top w:val="single" w:sz="8" w:space="0" w:color="FFFFFF"/>
              <w:left w:val="single" w:sz="8" w:space="0" w:color="FFFFFF"/>
              <w:bottom w:val="single" w:sz="8" w:space="0" w:color="FFFFFF"/>
              <w:right w:val="single" w:sz="8" w:space="0" w:color="FFFFFF"/>
            </w:tcBorders>
            <w:shd w:val="clear" w:color="auto" w:fill="CBCBCB"/>
          </w:tcPr>
          <w:p w14:paraId="7D46F90E"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IEC Method</w:t>
            </w:r>
          </w:p>
        </w:tc>
        <w:tc>
          <w:tcPr>
            <w:tcW w:w="1233" w:type="dxa"/>
            <w:tcBorders>
              <w:top w:val="single" w:sz="8" w:space="0" w:color="FFFFFF"/>
              <w:left w:val="single" w:sz="8" w:space="0" w:color="FFFFFF"/>
              <w:bottom w:val="single" w:sz="8" w:space="0" w:color="FFFFFF"/>
              <w:right w:val="single" w:sz="8" w:space="0" w:color="FFFFFF"/>
            </w:tcBorders>
            <w:shd w:val="clear" w:color="auto" w:fill="CBCBCB"/>
          </w:tcPr>
          <w:p w14:paraId="26CD842D"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kV</w:t>
            </w:r>
          </w:p>
        </w:tc>
        <w:tc>
          <w:tcPr>
            <w:tcW w:w="1789" w:type="dxa"/>
            <w:tcBorders>
              <w:top w:val="single" w:sz="8" w:space="0" w:color="FFFFFF"/>
              <w:left w:val="single" w:sz="8" w:space="0" w:color="FFFFFF"/>
              <w:bottom w:val="single" w:sz="8" w:space="0" w:color="FFFFFF"/>
              <w:right w:val="single" w:sz="8" w:space="0" w:color="FFFFFF"/>
            </w:tcBorders>
            <w:shd w:val="clear" w:color="auto" w:fill="CBCBCB"/>
          </w:tcPr>
          <w:p w14:paraId="35547004"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7.8</w:t>
            </w:r>
          </w:p>
        </w:tc>
        <w:tc>
          <w:tcPr>
            <w:tcW w:w="1918" w:type="dxa"/>
            <w:tcBorders>
              <w:top w:val="single" w:sz="8" w:space="0" w:color="FFFFFF"/>
              <w:left w:val="single" w:sz="8" w:space="0" w:color="FFFFFF"/>
              <w:bottom w:val="single" w:sz="8" w:space="0" w:color="FFFFFF"/>
              <w:right w:val="single" w:sz="8" w:space="0" w:color="FFFFFF"/>
            </w:tcBorders>
            <w:shd w:val="clear" w:color="auto" w:fill="CBCBCB"/>
          </w:tcPr>
          <w:p w14:paraId="035A0FBD" w14:textId="77777777" w:rsidR="0078026E" w:rsidRDefault="003452F6">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 8.0 ± 0.5</w:t>
            </w:r>
          </w:p>
        </w:tc>
        <w:tc>
          <w:tcPr>
            <w:tcW w:w="1170" w:type="dxa"/>
            <w:tcBorders>
              <w:top w:val="single" w:sz="8" w:space="0" w:color="FFFFFF"/>
              <w:left w:val="single" w:sz="8" w:space="0" w:color="FFFFFF"/>
              <w:bottom w:val="single" w:sz="8" w:space="0" w:color="FFFFFF"/>
              <w:right w:val="single" w:sz="8" w:space="0" w:color="FFFFFF"/>
            </w:tcBorders>
            <w:shd w:val="clear" w:color="auto" w:fill="CBCBCB"/>
          </w:tcPr>
          <w:p w14:paraId="311A87AC" w14:textId="77777777" w:rsidR="0078026E" w:rsidRDefault="003452F6">
            <w:pPr>
              <w:spacing w:after="0" w:line="240" w:lineRule="auto"/>
              <w:jc w:val="both"/>
              <w:rPr>
                <w:color w:val="000000" w:themeColor="text1"/>
              </w:rPr>
            </w:pPr>
            <w:r>
              <w:rPr>
                <w:rFonts w:ascii="Times New Roman" w:hAnsi="Times New Roman" w:cs="Times New Roman"/>
                <w:color w:val="000000" w:themeColor="text1"/>
                <w:lang w:val="en-US"/>
              </w:rPr>
              <w:t>ASTM D445</w:t>
            </w:r>
          </w:p>
        </w:tc>
      </w:tr>
      <w:tr w:rsidR="0078026E" w14:paraId="79C3F06A" w14:textId="77777777">
        <w:trPr>
          <w:jc w:val="center"/>
        </w:trPr>
        <w:tc>
          <w:tcPr>
            <w:tcW w:w="2346" w:type="dxa"/>
            <w:tcBorders>
              <w:top w:val="single" w:sz="8" w:space="0" w:color="FFFFFF"/>
              <w:left w:val="single" w:sz="8" w:space="0" w:color="FFFFFF"/>
              <w:bottom w:val="single" w:sz="8" w:space="0" w:color="FFFFFF"/>
              <w:right w:val="single" w:sz="8" w:space="0" w:color="FFFFFF"/>
            </w:tcBorders>
            <w:shd w:val="clear" w:color="auto" w:fill="E7E7E7"/>
          </w:tcPr>
          <w:p w14:paraId="1085BF25"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Viscosity</w:t>
            </w:r>
          </w:p>
        </w:tc>
        <w:tc>
          <w:tcPr>
            <w:tcW w:w="2400" w:type="dxa"/>
            <w:tcBorders>
              <w:top w:val="single" w:sz="8" w:space="0" w:color="FFFFFF"/>
              <w:left w:val="single" w:sz="8" w:space="0" w:color="FFFFFF"/>
              <w:bottom w:val="single" w:sz="8" w:space="0" w:color="FFFFFF"/>
              <w:right w:val="single" w:sz="8" w:space="0" w:color="FFFFFF"/>
            </w:tcBorders>
            <w:shd w:val="clear" w:color="auto" w:fill="E7E7E7"/>
          </w:tcPr>
          <w:p w14:paraId="7602B89E"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Ostwald Viscometer</w:t>
            </w:r>
          </w:p>
        </w:tc>
        <w:tc>
          <w:tcPr>
            <w:tcW w:w="1233" w:type="dxa"/>
            <w:tcBorders>
              <w:top w:val="single" w:sz="8" w:space="0" w:color="FFFFFF"/>
              <w:left w:val="single" w:sz="8" w:space="0" w:color="FFFFFF"/>
              <w:bottom w:val="single" w:sz="8" w:space="0" w:color="FFFFFF"/>
              <w:right w:val="single" w:sz="8" w:space="0" w:color="FFFFFF"/>
            </w:tcBorders>
            <w:shd w:val="clear" w:color="auto" w:fill="E7E7E7"/>
          </w:tcPr>
          <w:p w14:paraId="61717EDB" w14:textId="77777777" w:rsidR="0078026E" w:rsidRDefault="003452F6">
            <w:pPr>
              <w:pStyle w:val="NoSpacing"/>
              <w:jc w:val="both"/>
              <w:rPr>
                <w:rFonts w:ascii="Times New Roman" w:hAnsi="Times New Roman" w:cs="Times New Roman"/>
                <w:color w:val="000000" w:themeColor="text1"/>
                <w:lang w:val="en-US"/>
              </w:rPr>
            </w:pPr>
            <w:proofErr w:type="spellStart"/>
            <w:r>
              <w:rPr>
                <w:rFonts w:ascii="Times New Roman" w:hAnsi="Times New Roman" w:cs="Times New Roman"/>
                <w:color w:val="000000" w:themeColor="text1"/>
                <w:lang w:val="en-US"/>
              </w:rPr>
              <w:t>cP</w:t>
            </w:r>
            <w:proofErr w:type="spellEnd"/>
          </w:p>
        </w:tc>
        <w:tc>
          <w:tcPr>
            <w:tcW w:w="1789" w:type="dxa"/>
            <w:tcBorders>
              <w:top w:val="single" w:sz="8" w:space="0" w:color="FFFFFF"/>
              <w:left w:val="single" w:sz="8" w:space="0" w:color="FFFFFF"/>
              <w:bottom w:val="single" w:sz="8" w:space="0" w:color="FFFFFF"/>
              <w:right w:val="single" w:sz="8" w:space="0" w:color="FFFFFF"/>
            </w:tcBorders>
            <w:shd w:val="clear" w:color="auto" w:fill="E7E7E7"/>
          </w:tcPr>
          <w:p w14:paraId="5A1C8255" w14:textId="77777777" w:rsidR="0078026E" w:rsidRDefault="003452F6">
            <w:pPr>
              <w:pStyle w:val="NoSpacing"/>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9.19</w:t>
            </w:r>
          </w:p>
        </w:tc>
        <w:tc>
          <w:tcPr>
            <w:tcW w:w="1918" w:type="dxa"/>
            <w:tcBorders>
              <w:top w:val="single" w:sz="8" w:space="0" w:color="FFFFFF"/>
              <w:left w:val="single" w:sz="8" w:space="0" w:color="FFFFFF"/>
              <w:bottom w:val="single" w:sz="8" w:space="0" w:color="FFFFFF"/>
              <w:right w:val="single" w:sz="8" w:space="0" w:color="FFFFFF"/>
            </w:tcBorders>
            <w:shd w:val="clear" w:color="auto" w:fill="E7E7E7"/>
          </w:tcPr>
          <w:p w14:paraId="12C0CA81" w14:textId="77777777" w:rsidR="0078026E" w:rsidRDefault="003452F6">
            <w:pPr>
              <w:spacing w:after="0"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rPr>
              <w:t>&gt;</w:t>
            </w:r>
            <w:r>
              <w:rPr>
                <w:rFonts w:ascii="Times New Roman" w:hAnsi="Times New Roman" w:cs="Times New Roman"/>
                <w:color w:val="000000" w:themeColor="text1"/>
                <w:lang w:val="en-US"/>
              </w:rPr>
              <w:t xml:space="preserve"> </w:t>
            </w:r>
            <w:r>
              <w:rPr>
                <w:rFonts w:ascii="Times New Roman" w:hAnsi="Times New Roman" w:cs="Times New Roman"/>
                <w:color w:val="000000" w:themeColor="text1"/>
              </w:rPr>
              <w:t>30</w:t>
            </w:r>
            <w:r>
              <w:rPr>
                <w:rFonts w:ascii="Times New Roman" w:hAnsi="Times New Roman" w:cs="Times New Roman"/>
                <w:color w:val="000000" w:themeColor="text1"/>
                <w:lang w:val="en-US"/>
              </w:rPr>
              <w:t xml:space="preserve"> (tested over a 2.5 mm gap)</w:t>
            </w:r>
          </w:p>
        </w:tc>
        <w:tc>
          <w:tcPr>
            <w:tcW w:w="1170" w:type="dxa"/>
            <w:tcBorders>
              <w:top w:val="single" w:sz="8" w:space="0" w:color="FFFFFF"/>
              <w:left w:val="single" w:sz="8" w:space="0" w:color="FFFFFF"/>
              <w:bottom w:val="single" w:sz="8" w:space="0" w:color="FFFFFF"/>
              <w:right w:val="single" w:sz="8" w:space="0" w:color="FFFFFF"/>
            </w:tcBorders>
            <w:shd w:val="clear" w:color="auto" w:fill="E7E7E7"/>
          </w:tcPr>
          <w:p w14:paraId="09255F41" w14:textId="77777777" w:rsidR="0078026E" w:rsidRDefault="003452F6">
            <w:pPr>
              <w:spacing w:after="0" w:line="240" w:lineRule="auto"/>
              <w:jc w:val="both"/>
              <w:rPr>
                <w:color w:val="000000" w:themeColor="text1"/>
              </w:rPr>
            </w:pPr>
            <w:r>
              <w:rPr>
                <w:rFonts w:ascii="Times New Roman" w:hAnsi="Times New Roman" w:cs="Times New Roman"/>
                <w:color w:val="000000" w:themeColor="text1"/>
                <w:lang w:val="en-US"/>
              </w:rPr>
              <w:t>IEC (2018)</w:t>
            </w:r>
          </w:p>
        </w:tc>
      </w:tr>
    </w:tbl>
    <w:p w14:paraId="6CEB0E5D" w14:textId="77777777" w:rsidR="0078026E" w:rsidRDefault="0078026E">
      <w:pPr>
        <w:spacing w:line="240" w:lineRule="auto"/>
        <w:jc w:val="both"/>
        <w:rPr>
          <w:rFonts w:ascii="Times New Roman" w:hAnsi="Times New Roman" w:cs="Times New Roman"/>
          <w:color w:val="000000" w:themeColor="text1"/>
          <w:lang w:val="en-US"/>
        </w:rPr>
      </w:pPr>
      <w:bookmarkStart w:id="35" w:name="_Toc224021388"/>
      <w:bookmarkStart w:id="36" w:name="_Toc213293299"/>
    </w:p>
    <w:p w14:paraId="1092E95E"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3.3 The regeneration of spent transformer oil </w:t>
      </w:r>
    </w:p>
    <w:p w14:paraId="6F0F7E0F"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3.3.1 Investigating the effect of temperature on the performance of regeneration of </w:t>
      </w:r>
      <w:proofErr w:type="gramStart"/>
      <w:r>
        <w:rPr>
          <w:rFonts w:ascii="Times New Roman" w:hAnsi="Times New Roman" w:cs="Times New Roman"/>
          <w:color w:val="000000" w:themeColor="text1"/>
          <w:lang w:val="en-US"/>
        </w:rPr>
        <w:t>spent  transformer</w:t>
      </w:r>
      <w:proofErr w:type="gramEnd"/>
      <w:r>
        <w:rPr>
          <w:rFonts w:ascii="Times New Roman" w:hAnsi="Times New Roman" w:cs="Times New Roman"/>
          <w:color w:val="000000" w:themeColor="text1"/>
          <w:lang w:val="en-US"/>
        </w:rPr>
        <w:t xml:space="preserve"> oil</w:t>
      </w:r>
    </w:p>
    <w:p w14:paraId="4063E728"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temperature was varied (60, 80, and 100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at constant contact time of 30 min, and the results obtained are presented in Table 3. The results show that the lowest value of dielectric breakdown voltage of the spent transformer oil after regeneration was 20.6 kV and the highest was 24.2 kV obtained at 60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and 100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respectively. The minimum viscosity of the regenerated transformer oil was 8.67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and the maximum was 8.95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obtained at 100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and 60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respectively. The least total acid number of the regenerated transformer oil was 2.63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 xml:space="preserve">/g and the highest was 3.16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 xml:space="preserve">/g obtained at 100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and 80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respectively. </w:t>
      </w:r>
    </w:p>
    <w:p w14:paraId="53A7BDF9"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Table 3. Effect of temperature on regeneration Performance </w:t>
      </w:r>
    </w:p>
    <w:tbl>
      <w:tblPr>
        <w:tblW w:w="0" w:type="auto"/>
        <w:jc w:val="center"/>
        <w:tblLook w:val="04A0" w:firstRow="1" w:lastRow="0" w:firstColumn="1" w:lastColumn="0" w:noHBand="0" w:noVBand="1"/>
      </w:tblPr>
      <w:tblGrid>
        <w:gridCol w:w="1793"/>
        <w:gridCol w:w="2527"/>
        <w:gridCol w:w="2160"/>
        <w:gridCol w:w="2160"/>
      </w:tblGrid>
      <w:tr w:rsidR="0078026E" w14:paraId="0FF4C6B2" w14:textId="77777777">
        <w:trPr>
          <w:jc w:val="center"/>
        </w:trPr>
        <w:tc>
          <w:tcPr>
            <w:tcW w:w="1793" w:type="dxa"/>
            <w:tcBorders>
              <w:top w:val="single" w:sz="8" w:space="0" w:color="FFFFFF"/>
              <w:left w:val="single" w:sz="8" w:space="0" w:color="FFFFFF"/>
              <w:bottom w:val="single" w:sz="18" w:space="0" w:color="FFFFFF"/>
              <w:right w:val="single" w:sz="8" w:space="0" w:color="FFFFFF"/>
            </w:tcBorders>
            <w:shd w:val="clear" w:color="auto" w:fill="000000"/>
          </w:tcPr>
          <w:p w14:paraId="652FEE7E"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Temperature (°C)</w:t>
            </w:r>
          </w:p>
        </w:tc>
        <w:tc>
          <w:tcPr>
            <w:tcW w:w="2527" w:type="dxa"/>
            <w:tcBorders>
              <w:top w:val="single" w:sz="8" w:space="0" w:color="FFFFFF"/>
              <w:left w:val="single" w:sz="8" w:space="0" w:color="FFFFFF"/>
              <w:bottom w:val="single" w:sz="18" w:space="0" w:color="FFFFFF"/>
              <w:right w:val="single" w:sz="8" w:space="0" w:color="FFFFFF"/>
            </w:tcBorders>
            <w:shd w:val="clear" w:color="auto" w:fill="000000"/>
          </w:tcPr>
          <w:p w14:paraId="7ADD4D55"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Dielectric breakdown voltage (kV)</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16ECB5DC"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Viscosity (</w:t>
            </w:r>
            <w:proofErr w:type="spellStart"/>
            <w:r>
              <w:rPr>
                <w:rFonts w:ascii="Times New Roman" w:hAnsi="Times New Roman" w:cs="Times New Roman"/>
                <w:color w:val="FFFFFF"/>
                <w:lang w:val="en-US"/>
              </w:rPr>
              <w:t>cP</w:t>
            </w:r>
            <w:proofErr w:type="spellEnd"/>
            <w:r>
              <w:rPr>
                <w:rFonts w:ascii="Times New Roman" w:hAnsi="Times New Roman" w:cs="Times New Roman"/>
                <w:color w:val="FFFFFF"/>
                <w:lang w:val="en-US"/>
              </w:rPr>
              <w:t>)</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120975B1"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Total Acid Number (</w:t>
            </w:r>
            <w:proofErr w:type="spellStart"/>
            <w:r>
              <w:rPr>
                <w:rFonts w:ascii="Times New Roman" w:hAnsi="Times New Roman" w:cs="Times New Roman"/>
                <w:color w:val="FFFFFF"/>
                <w:lang w:val="en-US"/>
              </w:rPr>
              <w:t>mgKOH</w:t>
            </w:r>
            <w:proofErr w:type="spellEnd"/>
            <w:r>
              <w:rPr>
                <w:rFonts w:ascii="Times New Roman" w:hAnsi="Times New Roman" w:cs="Times New Roman"/>
                <w:color w:val="FFFFFF"/>
                <w:lang w:val="en-US"/>
              </w:rPr>
              <w:t>/g)</w:t>
            </w:r>
          </w:p>
        </w:tc>
      </w:tr>
      <w:tr w:rsidR="0078026E" w14:paraId="4DDC915C" w14:textId="77777777">
        <w:trPr>
          <w:jc w:val="center"/>
        </w:trPr>
        <w:tc>
          <w:tcPr>
            <w:tcW w:w="1793" w:type="dxa"/>
            <w:tcBorders>
              <w:top w:val="single" w:sz="18" w:space="0" w:color="FFFFFF"/>
              <w:left w:val="single" w:sz="8" w:space="0" w:color="FFFFFF"/>
              <w:bottom w:val="single" w:sz="8" w:space="0" w:color="FFFFFF"/>
              <w:right w:val="single" w:sz="8" w:space="0" w:color="FFFFFF"/>
            </w:tcBorders>
            <w:shd w:val="clear" w:color="auto" w:fill="CBCBCB"/>
          </w:tcPr>
          <w:p w14:paraId="3C774167"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60</w:t>
            </w:r>
          </w:p>
        </w:tc>
        <w:tc>
          <w:tcPr>
            <w:tcW w:w="2527" w:type="dxa"/>
            <w:tcBorders>
              <w:top w:val="single" w:sz="18" w:space="0" w:color="FFFFFF"/>
              <w:left w:val="single" w:sz="8" w:space="0" w:color="FFFFFF"/>
              <w:bottom w:val="single" w:sz="8" w:space="0" w:color="FFFFFF"/>
              <w:right w:val="single" w:sz="8" w:space="0" w:color="FFFFFF"/>
            </w:tcBorders>
            <w:shd w:val="clear" w:color="auto" w:fill="CBCBCB"/>
          </w:tcPr>
          <w:p w14:paraId="4614E2BC"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20.6</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2A4B29BA"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8.95</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208C9FD6"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3.68</w:t>
            </w:r>
          </w:p>
        </w:tc>
      </w:tr>
      <w:tr w:rsidR="0078026E" w14:paraId="355B136F" w14:textId="77777777">
        <w:trPr>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E7E7E7"/>
          </w:tcPr>
          <w:p w14:paraId="21C14E3D"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80</w:t>
            </w:r>
          </w:p>
        </w:tc>
        <w:tc>
          <w:tcPr>
            <w:tcW w:w="2527" w:type="dxa"/>
            <w:tcBorders>
              <w:top w:val="single" w:sz="8" w:space="0" w:color="FFFFFF"/>
              <w:left w:val="single" w:sz="8" w:space="0" w:color="FFFFFF"/>
              <w:bottom w:val="single" w:sz="8" w:space="0" w:color="FFFFFF"/>
              <w:right w:val="single" w:sz="8" w:space="0" w:color="FFFFFF"/>
            </w:tcBorders>
            <w:shd w:val="clear" w:color="auto" w:fill="E7E7E7"/>
          </w:tcPr>
          <w:p w14:paraId="0FE34F82"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21.5</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1E6DDD6F"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8.81</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77D4AF6E"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3.16</w:t>
            </w:r>
          </w:p>
        </w:tc>
      </w:tr>
      <w:tr w:rsidR="0078026E" w14:paraId="3C8F34DA" w14:textId="77777777">
        <w:trPr>
          <w:jc w:val="center"/>
        </w:trPr>
        <w:tc>
          <w:tcPr>
            <w:tcW w:w="1793" w:type="dxa"/>
            <w:tcBorders>
              <w:top w:val="single" w:sz="8" w:space="0" w:color="FFFFFF"/>
              <w:left w:val="single" w:sz="8" w:space="0" w:color="FFFFFF"/>
              <w:bottom w:val="single" w:sz="8" w:space="0" w:color="FFFFFF"/>
              <w:right w:val="single" w:sz="8" w:space="0" w:color="FFFFFF"/>
            </w:tcBorders>
            <w:shd w:val="clear" w:color="auto" w:fill="CBCBCB"/>
          </w:tcPr>
          <w:p w14:paraId="02056890"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100</w:t>
            </w:r>
          </w:p>
        </w:tc>
        <w:tc>
          <w:tcPr>
            <w:tcW w:w="2527" w:type="dxa"/>
            <w:tcBorders>
              <w:top w:val="single" w:sz="8" w:space="0" w:color="FFFFFF"/>
              <w:left w:val="single" w:sz="8" w:space="0" w:color="FFFFFF"/>
              <w:bottom w:val="single" w:sz="8" w:space="0" w:color="FFFFFF"/>
              <w:right w:val="single" w:sz="8" w:space="0" w:color="FFFFFF"/>
            </w:tcBorders>
            <w:shd w:val="clear" w:color="auto" w:fill="CBCBCB"/>
          </w:tcPr>
          <w:p w14:paraId="24890A9F"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24.2</w:t>
            </w:r>
          </w:p>
        </w:tc>
        <w:tc>
          <w:tcPr>
            <w:tcW w:w="2160" w:type="dxa"/>
            <w:tcBorders>
              <w:top w:val="single" w:sz="8" w:space="0" w:color="FFFFFF"/>
              <w:left w:val="single" w:sz="8" w:space="0" w:color="FFFFFF"/>
              <w:bottom w:val="single" w:sz="8" w:space="0" w:color="FFFFFF"/>
              <w:right w:val="single" w:sz="8" w:space="0" w:color="FFFFFF"/>
            </w:tcBorders>
            <w:shd w:val="clear" w:color="auto" w:fill="CBCBCB"/>
          </w:tcPr>
          <w:p w14:paraId="386932FB"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8.67</w:t>
            </w:r>
          </w:p>
        </w:tc>
        <w:tc>
          <w:tcPr>
            <w:tcW w:w="2160" w:type="dxa"/>
            <w:tcBorders>
              <w:top w:val="single" w:sz="8" w:space="0" w:color="FFFFFF"/>
              <w:left w:val="single" w:sz="8" w:space="0" w:color="FFFFFF"/>
              <w:bottom w:val="single" w:sz="8" w:space="0" w:color="FFFFFF"/>
              <w:right w:val="single" w:sz="8" w:space="0" w:color="FFFFFF"/>
            </w:tcBorders>
            <w:shd w:val="clear" w:color="auto" w:fill="CBCBCB"/>
          </w:tcPr>
          <w:p w14:paraId="36D5A106"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2.63</w:t>
            </w:r>
          </w:p>
        </w:tc>
      </w:tr>
    </w:tbl>
    <w:p w14:paraId="5CEB6895" w14:textId="77777777" w:rsidR="0078026E" w:rsidRDefault="0078026E">
      <w:pPr>
        <w:keepNext/>
        <w:keepLines/>
        <w:spacing w:before="160" w:after="80" w:line="240" w:lineRule="auto"/>
        <w:jc w:val="both"/>
        <w:outlineLvl w:val="1"/>
        <w:rPr>
          <w:rFonts w:ascii="Times New Roman" w:eastAsia="Times New Roman" w:hAnsi="Times New Roman" w:cs="Times New Roman"/>
          <w:b/>
          <w:bCs/>
          <w:color w:val="000000" w:themeColor="text1"/>
          <w:lang w:val="en-US"/>
        </w:rPr>
      </w:pPr>
    </w:p>
    <w:p w14:paraId="4E1810B7" w14:textId="69A214C1"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regeneration temperature demonstrated a crucial influence on the dielectric breakdown voltage (BDV) of the oil. As the temperature increased, the BDV exhibited a corresponding significant improvement. This finding is directly explained by the inherent instability of aged oil: the low initial BDV of 7.8 kV prior to regeneration was primarily caused by moisture and polar contaminants. When the temperature is elevated during the adsorption process, two synergistic effects occur: enhanced kinetics and increased adsorption. The increased thermal energy enhances the mobility and diffusion rate of the contaminants, accelerating their movement toward the activated carbon's surface. Simultaneously, higher temperatures promote the adsorption of polar acidic by-products onto the coconut shell activated carbon (CSAC), thereby restoring the oil's capability to withstand electrical stress and fulfilling its essential role as a dielectric medium. This finding validates previous research on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 xml:space="preserve">-waste adsorbents; for instance, </w:t>
      </w:r>
      <w:proofErr w:type="spellStart"/>
      <w:r>
        <w:rPr>
          <w:rFonts w:ascii="Times New Roman" w:eastAsia="Calibri" w:hAnsi="Times New Roman" w:cs="Times New Roman"/>
          <w:color w:val="000000" w:themeColor="text1"/>
          <w:lang w:val="en-US"/>
        </w:rPr>
        <w:t>O</w:t>
      </w:r>
      <w:r w:rsidR="002A733C">
        <w:rPr>
          <w:rFonts w:ascii="Times New Roman" w:eastAsia="Calibri" w:hAnsi="Times New Roman" w:cs="Times New Roman"/>
          <w:color w:val="000000" w:themeColor="text1"/>
          <w:lang w:val="en-US"/>
        </w:rPr>
        <w:t>kafo</w:t>
      </w:r>
      <w:r>
        <w:rPr>
          <w:rFonts w:ascii="Times New Roman" w:eastAsia="Calibri" w:hAnsi="Times New Roman" w:cs="Times New Roman"/>
          <w:color w:val="000000" w:themeColor="text1"/>
          <w:lang w:val="en-US"/>
        </w:rPr>
        <w:t>a</w:t>
      </w:r>
      <w:r w:rsidR="002A733C">
        <w:rPr>
          <w:rFonts w:ascii="Times New Roman" w:eastAsia="Calibri" w:hAnsi="Times New Roman" w:cs="Times New Roman"/>
          <w:color w:val="000000" w:themeColor="text1"/>
          <w:lang w:val="en-US"/>
        </w:rPr>
        <w:t>gu</w:t>
      </w:r>
      <w:proofErr w:type="spellEnd"/>
      <w:r>
        <w:rPr>
          <w:rFonts w:ascii="Times New Roman" w:eastAsia="Calibri" w:hAnsi="Times New Roman" w:cs="Times New Roman"/>
          <w:color w:val="000000" w:themeColor="text1"/>
          <w:lang w:val="en-US"/>
        </w:rPr>
        <w:t xml:space="preserve"> et al. (2025) also reported a substantial increase in BDV, demonstrating that activated carbon derived from agricultural waste is highly effective in restoring dielectric strength. </w:t>
      </w:r>
    </w:p>
    <w:p w14:paraId="0C462E9A"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lastRenderedPageBreak/>
        <w:t xml:space="preserve">The viscosity of the oil was observed to decrease consistently as the regeneration temperature was increased, following its expected thermal behavior (See Table 3). This reduction is primarily a physical phenomenon as increasing temperature lowers the internal resistance to flow by reducing the intermolecular forces within the oil. This physical relationship is fundamental to insulating oil behavior, as (coolants in transformers) of this work. From an operational standpoint, this is a beneficial outcome, as lower viscosity enhances the oil's function as an efficient coolant by improving its flow rate and ability to transfer heat away from the transformer windings. </w:t>
      </w:r>
    </w:p>
    <w:p w14:paraId="7B766F8E" w14:textId="63CEBEA2"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A marked reduction in total acid number (TAN) was achieved as temperature increased, decreasing from 3.68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 xml:space="preserve">/g at 60 °C to 2.63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 xml:space="preserve">/g at 100 °C (Table 3). This decline demonstrates efficient adsorption and removal of acidic oxidation products by coconut shell activated carbon, aided by enhanced diffusion and activation of adsorption-sites-at-higher-temperatures. The decrease in TAN reflects the elimination of carboxylic acids and other polar compounds responsible for oil acidity. According to </w:t>
      </w:r>
      <w:r w:rsidR="005F718D" w:rsidRPr="005F718D">
        <w:rPr>
          <w:rFonts w:ascii="Times New Roman" w:eastAsia="Calibri" w:hAnsi="Times New Roman" w:cs="Times New Roman"/>
          <w:color w:val="000000" w:themeColor="text1"/>
        </w:rPr>
        <w:t>Venkatasubramanian</w:t>
      </w:r>
      <w:r w:rsidR="005F718D">
        <w:rPr>
          <w:rFonts w:ascii="Times New Roman" w:eastAsia="Calibri" w:hAnsi="Times New Roman" w:cs="Times New Roman"/>
          <w:color w:val="000000" w:themeColor="text1"/>
          <w:lang w:val="en-US"/>
        </w:rPr>
        <w:t xml:space="preserve"> et al.,</w:t>
      </w:r>
      <w:r>
        <w:rPr>
          <w:rFonts w:ascii="Times New Roman" w:eastAsia="Calibri" w:hAnsi="Times New Roman" w:cs="Times New Roman"/>
          <w:color w:val="000000" w:themeColor="text1"/>
          <w:lang w:val="en-US"/>
        </w:rPr>
        <w:t xml:space="preserve"> (2022), temperature promotes surface reactivity and aids contaminant desorption from the oil phase. Although the final TAN remains above the 0.3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/g threshold for unused transformer oil, the significant reduction confirms the adsorbent’s high efficiency and potential for sustainable regeneration applications</w:t>
      </w:r>
    </w:p>
    <w:p w14:paraId="09A2A1D6" w14:textId="77777777" w:rsidR="0078026E" w:rsidRDefault="003452F6">
      <w:pPr>
        <w:spacing w:line="240" w:lineRule="auto"/>
        <w:jc w:val="both"/>
        <w:rPr>
          <w:rFonts w:ascii="Times New Roman" w:eastAsia="Calibri" w:hAnsi="Times New Roman" w:cs="Times New Roman"/>
          <w:color w:val="000000" w:themeColor="text1"/>
          <w:lang w:val="en-US"/>
        </w:rPr>
      </w:pPr>
      <w:r>
        <w:rPr>
          <w:color w:val="000000" w:themeColor="text1"/>
          <w:lang w:val="en-US"/>
        </w:rPr>
        <w:t xml:space="preserve">                          </w:t>
      </w:r>
      <w:bookmarkEnd w:id="35"/>
      <w:bookmarkEnd w:id="36"/>
    </w:p>
    <w:p w14:paraId="3F273CF9"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3.3.2 Investigating the effect of contact time on the performance of regeneration of </w:t>
      </w:r>
      <w:proofErr w:type="gramStart"/>
      <w:r>
        <w:rPr>
          <w:rFonts w:ascii="Times New Roman" w:hAnsi="Times New Roman" w:cs="Times New Roman"/>
          <w:color w:val="000000" w:themeColor="text1"/>
          <w:lang w:val="en-US"/>
        </w:rPr>
        <w:t>spent  transformer</w:t>
      </w:r>
      <w:proofErr w:type="gramEnd"/>
      <w:r>
        <w:rPr>
          <w:rFonts w:ascii="Times New Roman" w:hAnsi="Times New Roman" w:cs="Times New Roman"/>
          <w:color w:val="000000" w:themeColor="text1"/>
          <w:lang w:val="en-US"/>
        </w:rPr>
        <w:t xml:space="preserve"> oil</w:t>
      </w:r>
    </w:p>
    <w:p w14:paraId="5F5AF911" w14:textId="0D743861"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The variation in contact time from 45 to 60 min on the performance of the regeneration of spent transformer oil was carried out at constant temperature of 80 </w:t>
      </w:r>
      <w:proofErr w:type="spellStart"/>
      <w:r>
        <w:rPr>
          <w:rFonts w:ascii="Times New Roman" w:eastAsia="Calibri" w:hAnsi="Times New Roman" w:cs="Times New Roman"/>
          <w:color w:val="000000" w:themeColor="text1"/>
          <w:vertAlign w:val="superscript"/>
          <w:lang w:val="en-US"/>
        </w:rPr>
        <w:t>o</w:t>
      </w:r>
      <w:r>
        <w:rPr>
          <w:rFonts w:ascii="Times New Roman" w:eastAsia="Calibri" w:hAnsi="Times New Roman" w:cs="Times New Roman"/>
          <w:color w:val="000000" w:themeColor="text1"/>
          <w:lang w:val="en-US"/>
        </w:rPr>
        <w:t>C</w:t>
      </w:r>
      <w:proofErr w:type="spellEnd"/>
      <w:r>
        <w:rPr>
          <w:rFonts w:ascii="Times New Roman" w:eastAsia="Calibri" w:hAnsi="Times New Roman" w:cs="Times New Roman"/>
          <w:color w:val="000000" w:themeColor="text1"/>
          <w:lang w:val="en-US"/>
        </w:rPr>
        <w:t xml:space="preserve">, and the results obtained are presented in Table 4. The table shows that the dielectric breakdown voltage increased from 23.4 kV to 25.2 kV as the contact time increased from 45 min to 60 min. Comparing this with a dielectric breakdown voltage of 7.8 kV of the spent transformer oil before regeneration gave a maximum regeneration efficiency of 223.97 </w:t>
      </w:r>
      <w:proofErr w:type="gramStart"/>
      <w:r>
        <w:rPr>
          <w:rFonts w:ascii="Times New Roman" w:eastAsia="Calibri" w:hAnsi="Times New Roman" w:cs="Times New Roman"/>
          <w:color w:val="000000" w:themeColor="text1"/>
          <w:lang w:val="en-US"/>
        </w:rPr>
        <w:t>% .</w:t>
      </w:r>
      <w:proofErr w:type="gramEnd"/>
      <w:r>
        <w:rPr>
          <w:rFonts w:ascii="Times New Roman" w:eastAsia="Calibri" w:hAnsi="Times New Roman" w:cs="Times New Roman"/>
          <w:color w:val="000000" w:themeColor="text1"/>
          <w:lang w:val="en-US"/>
        </w:rPr>
        <w:t xml:space="preserve"> The result shows that longer contact time between the synthesized coconut shell adsorbent and the spent transformer oil facilitated the removal of moisture, acids, sludge </w:t>
      </w:r>
      <w:proofErr w:type="gramStart"/>
      <w:r>
        <w:rPr>
          <w:rFonts w:ascii="Times New Roman" w:eastAsia="Calibri" w:hAnsi="Times New Roman" w:cs="Times New Roman"/>
          <w:color w:val="000000" w:themeColor="text1"/>
          <w:lang w:val="en-US"/>
        </w:rPr>
        <w:t>which  usually</w:t>
      </w:r>
      <w:proofErr w:type="gramEnd"/>
      <w:r>
        <w:rPr>
          <w:rFonts w:ascii="Times New Roman" w:eastAsia="Calibri" w:hAnsi="Times New Roman" w:cs="Times New Roman"/>
          <w:color w:val="000000" w:themeColor="text1"/>
          <w:lang w:val="en-US"/>
        </w:rPr>
        <w:t xml:space="preserve"> reduce the dielectric strength. </w:t>
      </w:r>
    </w:p>
    <w:p w14:paraId="4011EE7F" w14:textId="77777777" w:rsidR="0078026E" w:rsidRDefault="003452F6">
      <w:pPr>
        <w:spacing w:line="240" w:lineRule="auto"/>
        <w:jc w:val="both"/>
        <w:rPr>
          <w:rFonts w:ascii="Times New Roman" w:hAnsi="Times New Roman" w:cs="Times New Roman"/>
          <w:color w:val="000000" w:themeColor="text1"/>
          <w:lang w:val="en-US"/>
        </w:rPr>
      </w:pPr>
      <w:r>
        <w:rPr>
          <w:rFonts w:ascii="Times New Roman" w:eastAsia="Calibri" w:hAnsi="Times New Roman" w:cs="Times New Roman"/>
          <w:color w:val="000000" w:themeColor="text1"/>
          <w:lang w:val="en-US"/>
        </w:rPr>
        <w:t xml:space="preserve">The contact time had a negligible direct effect on the viscosity of the regenerated oil, showing only a minimal change from a viscosity of 9.0 6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at 45 min to a viscosity of 9.50 </w:t>
      </w:r>
      <w:proofErr w:type="spellStart"/>
      <w:r>
        <w:rPr>
          <w:rFonts w:ascii="Times New Roman" w:eastAsia="Calibri" w:hAnsi="Times New Roman" w:cs="Times New Roman"/>
          <w:color w:val="000000" w:themeColor="text1"/>
          <w:lang w:val="en-US"/>
        </w:rPr>
        <w:t>cP</w:t>
      </w:r>
      <w:proofErr w:type="spellEnd"/>
      <w:r>
        <w:rPr>
          <w:rFonts w:ascii="Times New Roman" w:eastAsia="Calibri" w:hAnsi="Times New Roman" w:cs="Times New Roman"/>
          <w:color w:val="000000" w:themeColor="text1"/>
          <w:lang w:val="en-US"/>
        </w:rPr>
        <w:t xml:space="preserve"> at 60 min. This result is expected because viscosity is primarily a </w:t>
      </w:r>
    </w:p>
    <w:p w14:paraId="0AF75881"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hAnsi="Times New Roman" w:cs="Times New Roman"/>
          <w:color w:val="000000" w:themeColor="text1"/>
          <w:lang w:val="en-US"/>
        </w:rPr>
        <w:t>Table 4. Effect of Contact Time on Regeneration Performance</w:t>
      </w:r>
    </w:p>
    <w:tbl>
      <w:tblPr>
        <w:tblpPr w:leftFromText="180" w:rightFromText="180" w:vertAnchor="text" w:horzAnchor="page" w:tblpX="1997" w:tblpY="53"/>
        <w:tblOverlap w:val="never"/>
        <w:tblW w:w="0" w:type="auto"/>
        <w:tblBorders>
          <w:top w:val="single" w:sz="4" w:space="0" w:color="auto"/>
          <w:bottom w:val="single" w:sz="4" w:space="0" w:color="auto"/>
        </w:tblBorders>
        <w:tblLook w:val="04A0" w:firstRow="1" w:lastRow="0" w:firstColumn="1" w:lastColumn="0" w:noHBand="0" w:noVBand="1"/>
      </w:tblPr>
      <w:tblGrid>
        <w:gridCol w:w="2160"/>
        <w:gridCol w:w="2160"/>
        <w:gridCol w:w="2160"/>
        <w:gridCol w:w="2160"/>
      </w:tblGrid>
      <w:tr w:rsidR="0078026E" w14:paraId="69ABD3CB" w14:textId="77777777">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4E0B0296" w14:textId="77777777" w:rsidR="0078026E" w:rsidRDefault="003452F6">
            <w:pPr>
              <w:pStyle w:val="NoSpacing"/>
              <w:jc w:val="center"/>
              <w:rPr>
                <w:rFonts w:ascii="Times New Roman" w:hAnsi="Times New Roman" w:cs="Times New Roman"/>
                <w:color w:val="FFFFFF"/>
                <w:lang w:val="en-US"/>
              </w:rPr>
            </w:pPr>
            <w:r>
              <w:rPr>
                <w:rFonts w:ascii="Times New Roman" w:hAnsi="Times New Roman" w:cs="Times New Roman"/>
                <w:color w:val="FFFFFF"/>
                <w:lang w:val="en-US"/>
              </w:rPr>
              <w:t>Contact Time (min)</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176F1766"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Dielectric breakdown voltage (kV)</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1BE174E8"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Viscosity (</w:t>
            </w:r>
            <w:proofErr w:type="spellStart"/>
            <w:r>
              <w:rPr>
                <w:rFonts w:ascii="Times New Roman" w:hAnsi="Times New Roman" w:cs="Times New Roman"/>
                <w:color w:val="FFFFFF"/>
                <w:lang w:val="en-US"/>
              </w:rPr>
              <w:t>cP</w:t>
            </w:r>
            <w:proofErr w:type="spellEnd"/>
            <w:r>
              <w:rPr>
                <w:rFonts w:ascii="Times New Roman" w:hAnsi="Times New Roman" w:cs="Times New Roman"/>
                <w:color w:val="FFFFFF"/>
                <w:lang w:val="en-US"/>
              </w:rPr>
              <w:t>)</w:t>
            </w:r>
          </w:p>
        </w:tc>
        <w:tc>
          <w:tcPr>
            <w:tcW w:w="2160" w:type="dxa"/>
            <w:tcBorders>
              <w:top w:val="single" w:sz="8" w:space="0" w:color="FFFFFF"/>
              <w:left w:val="single" w:sz="8" w:space="0" w:color="FFFFFF"/>
              <w:bottom w:val="single" w:sz="18" w:space="0" w:color="FFFFFF"/>
              <w:right w:val="single" w:sz="8" w:space="0" w:color="FFFFFF"/>
            </w:tcBorders>
            <w:shd w:val="clear" w:color="auto" w:fill="000000"/>
          </w:tcPr>
          <w:p w14:paraId="334E9B62" w14:textId="77777777" w:rsidR="0078026E" w:rsidRDefault="003452F6">
            <w:pPr>
              <w:pStyle w:val="NoSpacing"/>
              <w:jc w:val="both"/>
              <w:rPr>
                <w:rFonts w:ascii="Times New Roman" w:hAnsi="Times New Roman" w:cs="Times New Roman"/>
                <w:color w:val="FFFFFF"/>
                <w:lang w:val="en-US"/>
              </w:rPr>
            </w:pPr>
            <w:r>
              <w:rPr>
                <w:rFonts w:ascii="Times New Roman" w:hAnsi="Times New Roman" w:cs="Times New Roman"/>
                <w:color w:val="FFFFFF"/>
                <w:lang w:val="en-US"/>
              </w:rPr>
              <w:t>Total acid number (</w:t>
            </w:r>
            <w:proofErr w:type="spellStart"/>
            <w:r>
              <w:rPr>
                <w:rFonts w:ascii="Times New Roman" w:hAnsi="Times New Roman" w:cs="Times New Roman"/>
                <w:color w:val="FFFFFF"/>
                <w:lang w:val="en-US"/>
              </w:rPr>
              <w:t>mgKOH</w:t>
            </w:r>
            <w:proofErr w:type="spellEnd"/>
            <w:r>
              <w:rPr>
                <w:rFonts w:ascii="Times New Roman" w:hAnsi="Times New Roman" w:cs="Times New Roman"/>
                <w:color w:val="FFFFFF"/>
                <w:lang w:val="en-US"/>
              </w:rPr>
              <w:t>/g)</w:t>
            </w:r>
          </w:p>
        </w:tc>
      </w:tr>
      <w:tr w:rsidR="0078026E" w14:paraId="17B68750" w14:textId="77777777">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7FE900BD"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45</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28CE4561"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23.4</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0C485150"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9.06</w:t>
            </w:r>
          </w:p>
        </w:tc>
        <w:tc>
          <w:tcPr>
            <w:tcW w:w="2160" w:type="dxa"/>
            <w:tcBorders>
              <w:top w:val="single" w:sz="18" w:space="0" w:color="FFFFFF"/>
              <w:left w:val="single" w:sz="8" w:space="0" w:color="FFFFFF"/>
              <w:bottom w:val="single" w:sz="8" w:space="0" w:color="FFFFFF"/>
              <w:right w:val="single" w:sz="8" w:space="0" w:color="FFFFFF"/>
            </w:tcBorders>
            <w:shd w:val="clear" w:color="auto" w:fill="CBCBCB"/>
          </w:tcPr>
          <w:p w14:paraId="4D6430F2" w14:textId="77777777" w:rsidR="0078026E" w:rsidRDefault="003452F6">
            <w:pPr>
              <w:spacing w:line="240" w:lineRule="auto"/>
              <w:jc w:val="center"/>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3.16</w:t>
            </w:r>
          </w:p>
        </w:tc>
      </w:tr>
      <w:tr w:rsidR="0078026E" w14:paraId="694A72B9" w14:textId="77777777">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5071C1E8"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60</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3728C3D0"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25.2</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31ECD6EF"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9.50</w:t>
            </w:r>
          </w:p>
        </w:tc>
        <w:tc>
          <w:tcPr>
            <w:tcW w:w="2160" w:type="dxa"/>
            <w:tcBorders>
              <w:top w:val="single" w:sz="8" w:space="0" w:color="FFFFFF"/>
              <w:left w:val="single" w:sz="8" w:space="0" w:color="FFFFFF"/>
              <w:bottom w:val="single" w:sz="8" w:space="0" w:color="FFFFFF"/>
              <w:right w:val="single" w:sz="8" w:space="0" w:color="FFFFFF"/>
            </w:tcBorders>
            <w:shd w:val="clear" w:color="auto" w:fill="E7E7E7"/>
          </w:tcPr>
          <w:p w14:paraId="65FE5687" w14:textId="77777777" w:rsidR="0078026E" w:rsidRDefault="003452F6">
            <w:pPr>
              <w:pStyle w:val="NoSpacing"/>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2.11</w:t>
            </w:r>
          </w:p>
        </w:tc>
      </w:tr>
    </w:tbl>
    <w:p w14:paraId="682022CF" w14:textId="77777777" w:rsidR="0078026E" w:rsidRDefault="0078026E">
      <w:pPr>
        <w:spacing w:line="240" w:lineRule="auto"/>
        <w:jc w:val="both"/>
        <w:rPr>
          <w:rFonts w:ascii="Times New Roman" w:eastAsia="Calibri" w:hAnsi="Times New Roman" w:cs="Times New Roman"/>
          <w:color w:val="000000" w:themeColor="text1"/>
          <w:lang w:val="en-US"/>
        </w:rPr>
      </w:pPr>
    </w:p>
    <w:p w14:paraId="33E445DA"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physical property that depends on temperature rather than the duration of solid-liquid contact; it is largely determined by the oil’s molecular structure and thermal state, which emphasizes that effective heat transfer relies on maintaining consistent viscosity. Any slight reduction in viscosity over time is likely attributable to the gradual disaggregation and settling of colloidal sludge particles, which are removed by the coconut shell activated carbon, rather than any fundamental alteration of the base oil. The key implication is favorable: the regeneration process effectively </w:t>
      </w:r>
      <w:r>
        <w:rPr>
          <w:rFonts w:ascii="Times New Roman" w:eastAsia="Calibri" w:hAnsi="Times New Roman" w:cs="Times New Roman"/>
          <w:color w:val="000000" w:themeColor="text1"/>
          <w:lang w:val="en-US"/>
        </w:rPr>
        <w:lastRenderedPageBreak/>
        <w:t>removes chemical contaminants, as evidenced by the concurrent reduction in TAN, without compromising the critical physical property of viscosity necessary for efficient transformer cooling and heat transfer.</w:t>
      </w:r>
    </w:p>
    <w:p w14:paraId="57589030"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hAnsi="Times New Roman" w:cs="Times New Roman"/>
          <w:color w:val="000000" w:themeColor="text1"/>
          <w:lang w:val="en-US"/>
        </w:rPr>
        <w:t xml:space="preserve">The acid number decreased from 3.16 </w:t>
      </w:r>
      <w:proofErr w:type="spellStart"/>
      <w:r>
        <w:rPr>
          <w:rFonts w:ascii="Times New Roman" w:hAnsi="Times New Roman" w:cs="Times New Roman"/>
          <w:color w:val="000000" w:themeColor="text1"/>
          <w:lang w:val="en-US"/>
        </w:rPr>
        <w:t>mgKOH</w:t>
      </w:r>
      <w:proofErr w:type="spellEnd"/>
      <w:r>
        <w:rPr>
          <w:rFonts w:ascii="Times New Roman" w:hAnsi="Times New Roman" w:cs="Times New Roman"/>
          <w:color w:val="000000" w:themeColor="text1"/>
          <w:lang w:val="en-US"/>
        </w:rPr>
        <w:t xml:space="preserve">/g to 2.11 </w:t>
      </w:r>
      <w:proofErr w:type="spellStart"/>
      <w:r>
        <w:rPr>
          <w:rFonts w:ascii="Times New Roman" w:hAnsi="Times New Roman" w:cs="Times New Roman"/>
          <w:color w:val="000000" w:themeColor="text1"/>
          <w:lang w:val="en-US"/>
        </w:rPr>
        <w:t>mgKOH</w:t>
      </w:r>
      <w:proofErr w:type="spellEnd"/>
      <w:r>
        <w:rPr>
          <w:rFonts w:ascii="Times New Roman" w:hAnsi="Times New Roman" w:cs="Times New Roman"/>
          <w:color w:val="000000" w:themeColor="text1"/>
          <w:lang w:val="en-US"/>
        </w:rPr>
        <w:t>/g with increasing contact time from 45 min to 60 min. This demonstrates that prolonged exposure enhances the adsorption of acidic and polar compounds, resulting in the stability of the oil. With this result, the highest acidic regeneration efficiency of 49.88 % of the spent transformer was achieved after 60 min. The gradual reduction in the total acid number confirms the continued removal of oxidation by-products over long contact time.</w:t>
      </w:r>
    </w:p>
    <w:p w14:paraId="7BA07307" w14:textId="77777777" w:rsidR="0078026E" w:rsidRDefault="003452F6">
      <w:pPr>
        <w:spacing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b/>
          <w:bCs/>
          <w:color w:val="000000" w:themeColor="text1"/>
          <w:lang w:val="en-US"/>
        </w:rPr>
        <w:br/>
      </w:r>
      <w:r>
        <w:rPr>
          <w:rFonts w:ascii="Times New Roman" w:eastAsia="Calibri" w:hAnsi="Times New Roman" w:cs="Times New Roman"/>
          <w:b/>
          <w:bCs/>
          <w:color w:val="000000" w:themeColor="text1"/>
          <w:sz w:val="28"/>
          <w:szCs w:val="28"/>
          <w:lang w:val="en-US"/>
        </w:rPr>
        <w:t xml:space="preserve">3.0 Conclusion </w:t>
      </w:r>
    </w:p>
    <w:p w14:paraId="5569BB78" w14:textId="77777777" w:rsidR="0078026E" w:rsidRDefault="003452F6">
      <w:pPr>
        <w:spacing w:after="120" w:line="240" w:lineRule="auto"/>
        <w:jc w:val="both"/>
        <w:rPr>
          <w:rFonts w:ascii="Times New Roman" w:eastAsia="Calibri" w:hAnsi="Times New Roman" w:cs="Times New Roman"/>
          <w:color w:val="000000" w:themeColor="text1"/>
          <w:lang w:val="en-US"/>
        </w:rPr>
      </w:pPr>
      <w:r>
        <w:rPr>
          <w:rFonts w:ascii="Times New Roman" w:eastAsia="Calibri" w:hAnsi="Times New Roman" w:cs="Times New Roman"/>
          <w:color w:val="000000" w:themeColor="text1"/>
          <w:lang w:val="en-US"/>
        </w:rPr>
        <w:t xml:space="preserve">This study was undertaken to investigate the regeneration of spent transformer oil using activated carbon (AC) derived from coconut shell, an abundantly available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 xml:space="preserve">-waste material. Based on the highly positive regeneration results obtained, the study concludes that coconut shell activated carbon is a veritable adsorbent for industrial transformer oil reclamation. The substantial increase in the Breakdown Voltage (BDV) to 25.2 kV far exceeds the minimum acceptable BDV for in-service oil (typically 20 kV) and places the quality of the reclaimed oil well within the acceptable standard for continued operation and reuse. Concurrently, the reduction of the Total Acid Number (TAN) to 2.11 </w:t>
      </w:r>
      <w:proofErr w:type="spellStart"/>
      <w:r>
        <w:rPr>
          <w:rFonts w:ascii="Times New Roman" w:eastAsia="Calibri" w:hAnsi="Times New Roman" w:cs="Times New Roman"/>
          <w:color w:val="000000" w:themeColor="text1"/>
          <w:lang w:val="en-US"/>
        </w:rPr>
        <w:t>mgKOH</w:t>
      </w:r>
      <w:proofErr w:type="spellEnd"/>
      <w:r>
        <w:rPr>
          <w:rFonts w:ascii="Times New Roman" w:eastAsia="Calibri" w:hAnsi="Times New Roman" w:cs="Times New Roman"/>
          <w:color w:val="000000" w:themeColor="text1"/>
          <w:lang w:val="en-US"/>
        </w:rPr>
        <w:t xml:space="preserve">/g confirms the effective elimination of corrosive oxidation products. In the industry, this level of performance allows the oil to be re-entered into the transformer operational cycle, significantly extending the lifespan of the fluid and the transformer itself. This is critical for asset management and reducing replacement costs. Furthermore, compared to conventional non-renewable adsorbents like Fuller’s Earth, the utilization of coconut shells a readily available </w:t>
      </w:r>
      <w:proofErr w:type="spellStart"/>
      <w:r>
        <w:rPr>
          <w:rFonts w:ascii="Times New Roman" w:eastAsia="Calibri" w:hAnsi="Times New Roman" w:cs="Times New Roman"/>
          <w:color w:val="000000" w:themeColor="text1"/>
          <w:lang w:val="en-US"/>
        </w:rPr>
        <w:t>agro</w:t>
      </w:r>
      <w:proofErr w:type="spellEnd"/>
      <w:r>
        <w:rPr>
          <w:rFonts w:ascii="Times New Roman" w:eastAsia="Calibri" w:hAnsi="Times New Roman" w:cs="Times New Roman"/>
          <w:color w:val="000000" w:themeColor="text1"/>
          <w:lang w:val="en-US"/>
        </w:rPr>
        <w:t xml:space="preserve">-waste offers a sustainable, local, and cost-effective solution, aligning perfectly with modern industrial goals of waste-to-wealth conversion and adherence to environmental standards. While the final measured properties demonstrate substantial recovery and approach the industry standards, they indicate that the oil is not yet fully restored to "new oil" specifications. This slight shortfall suggests that the laboratory-scale batch adsorption methodology may require future optimization, potentially involving a continuous flow system or a higher adsorbent dosage, </w:t>
      </w:r>
    </w:p>
    <w:p w14:paraId="24D108DE" w14:textId="77777777" w:rsidR="00372A4B" w:rsidRDefault="00372A4B">
      <w:pPr>
        <w:spacing w:after="120" w:line="240" w:lineRule="auto"/>
        <w:jc w:val="both"/>
        <w:rPr>
          <w:rFonts w:ascii="Times New Roman" w:eastAsia="Calibri" w:hAnsi="Times New Roman" w:cs="Times New Roman"/>
          <w:color w:val="000000" w:themeColor="text1"/>
          <w:lang w:val="en-US"/>
        </w:rPr>
      </w:pPr>
    </w:p>
    <w:p w14:paraId="013FD5EE" w14:textId="77777777" w:rsidR="00372A4B" w:rsidRDefault="00372A4B">
      <w:pPr>
        <w:spacing w:after="120" w:line="240" w:lineRule="auto"/>
        <w:jc w:val="both"/>
        <w:rPr>
          <w:rFonts w:ascii="Times New Roman" w:eastAsia="Calibri" w:hAnsi="Times New Roman" w:cs="Times New Roman"/>
          <w:color w:val="000000" w:themeColor="text1"/>
          <w:lang w:val="en-US"/>
        </w:rPr>
      </w:pPr>
    </w:p>
    <w:p w14:paraId="77B7D05F" w14:textId="77777777" w:rsidR="00372A4B" w:rsidRPr="00372A4B" w:rsidRDefault="00372A4B" w:rsidP="00372A4B">
      <w:pPr>
        <w:spacing w:after="120" w:line="240" w:lineRule="auto"/>
        <w:jc w:val="both"/>
        <w:rPr>
          <w:rFonts w:ascii="Times New Roman" w:eastAsia="Calibri" w:hAnsi="Times New Roman" w:cs="Times New Roman"/>
          <w:color w:val="000000" w:themeColor="text1"/>
          <w:lang w:val="en-US"/>
        </w:rPr>
      </w:pPr>
      <w:r w:rsidRPr="00372A4B">
        <w:rPr>
          <w:rFonts w:ascii="Times New Roman" w:eastAsia="Calibri" w:hAnsi="Times New Roman" w:cs="Times New Roman"/>
          <w:color w:val="000000" w:themeColor="text1"/>
          <w:lang w:val="en-US"/>
        </w:rPr>
        <w:t>COMPETING INTERESTS DISCLAIMER:</w:t>
      </w:r>
    </w:p>
    <w:p w14:paraId="2F298EC8" w14:textId="4C86EBCF" w:rsidR="00372A4B" w:rsidRDefault="00372A4B" w:rsidP="00372A4B">
      <w:pPr>
        <w:spacing w:after="120" w:line="240" w:lineRule="auto"/>
        <w:jc w:val="both"/>
        <w:rPr>
          <w:rFonts w:ascii="Times New Roman" w:eastAsia="Calibri" w:hAnsi="Times New Roman" w:cs="Times New Roman"/>
          <w:color w:val="000000" w:themeColor="text1"/>
          <w:lang w:val="en-US"/>
        </w:rPr>
      </w:pPr>
      <w:r w:rsidRPr="00372A4B">
        <w:rPr>
          <w:rFonts w:ascii="Times New Roman" w:eastAsia="Calibri" w:hAnsi="Times New Roman" w:cs="Times New Roman"/>
          <w:color w:val="000000" w:themeColor="text1"/>
          <w:lang w:val="en-US"/>
        </w:rPr>
        <w:t>Authors have declared that they have no known competing financial interests OR non-financial interests OR personal relationships that could have appeared to influence the work reported in this paper.</w:t>
      </w:r>
    </w:p>
    <w:p w14:paraId="6F113545" w14:textId="02358671" w:rsidR="005A3365" w:rsidRDefault="005A3365" w:rsidP="00372A4B">
      <w:pPr>
        <w:spacing w:after="120" w:line="240" w:lineRule="auto"/>
        <w:jc w:val="both"/>
        <w:rPr>
          <w:rFonts w:ascii="Times New Roman" w:eastAsia="Calibri" w:hAnsi="Times New Roman" w:cs="Times New Roman"/>
          <w:color w:val="000000" w:themeColor="text1"/>
          <w:lang w:val="en-US"/>
        </w:rPr>
      </w:pPr>
    </w:p>
    <w:p w14:paraId="1C2C41AA" w14:textId="77777777" w:rsidR="005A3365" w:rsidRPr="005A3365" w:rsidRDefault="005A3365" w:rsidP="005A3365">
      <w:pPr>
        <w:spacing w:after="0" w:line="240" w:lineRule="auto"/>
        <w:rPr>
          <w:rFonts w:ascii="Times New Roman" w:eastAsia="Calibri" w:hAnsi="Times New Roman" w:cs="Times New Roman"/>
          <w:sz w:val="22"/>
          <w:szCs w:val="22"/>
          <w:highlight w:val="yellow"/>
          <w:lang w:val="en-US"/>
          <w14:ligatures w14:val="none"/>
        </w:rPr>
      </w:pPr>
      <w:bookmarkStart w:id="37" w:name="_Hlk198031404"/>
      <w:r w:rsidRPr="005A3365">
        <w:rPr>
          <w:rFonts w:ascii="Times New Roman" w:eastAsia="Calibri" w:hAnsi="Times New Roman" w:cs="Times New Roman"/>
          <w:sz w:val="22"/>
          <w:szCs w:val="22"/>
          <w:highlight w:val="yellow"/>
          <w:lang w:val="en-US"/>
          <w14:ligatures w14:val="none"/>
        </w:rPr>
        <w:t>Disclaimer (Artificial intelligence)</w:t>
      </w:r>
    </w:p>
    <w:p w14:paraId="68DFD1B9" w14:textId="77777777" w:rsidR="005A3365" w:rsidRPr="005A3365" w:rsidRDefault="005A3365" w:rsidP="005A3365">
      <w:pPr>
        <w:spacing w:after="0" w:line="240" w:lineRule="auto"/>
        <w:rPr>
          <w:rFonts w:ascii="Times New Roman" w:eastAsia="Calibri" w:hAnsi="Times New Roman" w:cs="Times New Roman"/>
          <w:sz w:val="22"/>
          <w:szCs w:val="22"/>
          <w:highlight w:val="yellow"/>
          <w:lang w:val="en-US"/>
          <w14:ligatures w14:val="none"/>
        </w:rPr>
      </w:pPr>
    </w:p>
    <w:p w14:paraId="6D7DA489" w14:textId="77777777" w:rsidR="005A3365" w:rsidRPr="005A3365" w:rsidRDefault="005A3365" w:rsidP="005A3365">
      <w:pPr>
        <w:spacing w:after="0" w:line="240" w:lineRule="auto"/>
        <w:rPr>
          <w:rFonts w:ascii="Times New Roman" w:eastAsia="Calibri" w:hAnsi="Times New Roman" w:cs="Times New Roman"/>
          <w:sz w:val="22"/>
          <w:szCs w:val="22"/>
          <w:highlight w:val="yellow"/>
          <w:lang w:val="en-US"/>
          <w14:ligatures w14:val="none"/>
        </w:rPr>
      </w:pPr>
      <w:r w:rsidRPr="005A3365">
        <w:rPr>
          <w:rFonts w:ascii="Times New Roman" w:eastAsia="Calibri" w:hAnsi="Times New Roman" w:cs="Times New Roman"/>
          <w:sz w:val="22"/>
          <w:szCs w:val="22"/>
          <w:highlight w:val="yellow"/>
          <w:lang w:val="en-US"/>
          <w14:ligatures w14:val="none"/>
        </w:rPr>
        <w:t>Author(s) hereby declare that NO generative AI technologies such as Large Language Models (</w:t>
      </w:r>
      <w:proofErr w:type="spellStart"/>
      <w:r w:rsidRPr="005A3365">
        <w:rPr>
          <w:rFonts w:ascii="Times New Roman" w:eastAsia="Calibri" w:hAnsi="Times New Roman" w:cs="Times New Roman"/>
          <w:sz w:val="22"/>
          <w:szCs w:val="22"/>
          <w:highlight w:val="yellow"/>
          <w:lang w:val="en-US"/>
          <w14:ligatures w14:val="none"/>
        </w:rPr>
        <w:t>ChatGPT</w:t>
      </w:r>
      <w:proofErr w:type="spellEnd"/>
      <w:r w:rsidRPr="005A3365">
        <w:rPr>
          <w:rFonts w:ascii="Times New Roman" w:eastAsia="Calibri" w:hAnsi="Times New Roman" w:cs="Times New Roman"/>
          <w:sz w:val="22"/>
          <w:szCs w:val="22"/>
          <w:highlight w:val="yellow"/>
          <w:lang w:val="en-US"/>
          <w14:ligatures w14:val="none"/>
        </w:rPr>
        <w:t xml:space="preserve">, COPILOT, etc.) and text-to-image generators have been used during the writing or editing of this manuscript. </w:t>
      </w:r>
    </w:p>
    <w:bookmarkEnd w:id="37"/>
    <w:p w14:paraId="5A733F97" w14:textId="77777777" w:rsidR="005A3365" w:rsidRDefault="005A3365" w:rsidP="00372A4B">
      <w:pPr>
        <w:spacing w:after="120" w:line="240" w:lineRule="auto"/>
        <w:jc w:val="both"/>
        <w:rPr>
          <w:rFonts w:ascii="Times New Roman" w:eastAsia="Calibri" w:hAnsi="Times New Roman" w:cs="Times New Roman"/>
          <w:color w:val="000000" w:themeColor="text1"/>
          <w:lang w:val="en-US"/>
        </w:rPr>
      </w:pPr>
    </w:p>
    <w:p w14:paraId="5449C209" w14:textId="77777777" w:rsidR="0078026E" w:rsidRDefault="003452F6">
      <w:pPr>
        <w:keepNext/>
        <w:keepLines/>
        <w:spacing w:before="360" w:after="80" w:line="240" w:lineRule="auto"/>
        <w:jc w:val="both"/>
        <w:outlineLvl w:val="0"/>
        <w:rPr>
          <w:rFonts w:ascii="Times New Roman" w:eastAsia="Times New Roman" w:hAnsi="Times New Roman" w:cs="Times New Roman"/>
          <w:b/>
          <w:bCs/>
          <w:color w:val="000000" w:themeColor="text1"/>
          <w:lang w:val="en-US"/>
        </w:rPr>
      </w:pPr>
      <w:r>
        <w:rPr>
          <w:rFonts w:ascii="Times New Roman" w:eastAsia="Times New Roman" w:hAnsi="Times New Roman" w:cs="Times New Roman"/>
          <w:b/>
          <w:bCs/>
          <w:color w:val="000000" w:themeColor="text1"/>
          <w:lang w:val="en-US"/>
        </w:rPr>
        <w:lastRenderedPageBreak/>
        <w:t xml:space="preserve">Reference </w:t>
      </w:r>
    </w:p>
    <w:p w14:paraId="07032B0D" w14:textId="1F97572F" w:rsidR="00C55CE7" w:rsidRPr="009F05D7" w:rsidRDefault="007642AF" w:rsidP="009F05D7">
      <w:pPr>
        <w:pStyle w:val="ListParagraph"/>
        <w:keepNext/>
        <w:keepLines/>
        <w:numPr>
          <w:ilvl w:val="0"/>
          <w:numId w:val="3"/>
        </w:numPr>
        <w:spacing w:before="360" w:after="80" w:line="240" w:lineRule="auto"/>
        <w:jc w:val="both"/>
        <w:outlineLvl w:val="0"/>
        <w:rPr>
          <w:rFonts w:ascii="Times New Roman" w:eastAsia="Times New Roman" w:hAnsi="Times New Roman" w:cs="Times New Roman"/>
          <w:color w:val="00B0F0"/>
        </w:rPr>
      </w:pPr>
      <w:r w:rsidRPr="009F05D7">
        <w:rPr>
          <w:rFonts w:ascii="Times New Roman" w:eastAsia="Times New Roman" w:hAnsi="Times New Roman" w:cs="Times New Roman"/>
          <w:color w:val="00B0F0"/>
        </w:rPr>
        <w:t>Ali M., Deenesh N.K., Kadir, G., Hasnan, K., Nayan, N. (2021). Effect purification process on the thermal conductivity and breakdown voltage of inhibited, isoparaffinic transformer oil used in electric train. Journal of physics, 1878 (1)</w:t>
      </w:r>
    </w:p>
    <w:p w14:paraId="2CA5AC23" w14:textId="77777777" w:rsidR="0078026E" w:rsidRPr="009F05D7" w:rsidRDefault="003452F6" w:rsidP="009F05D7">
      <w:pPr>
        <w:pStyle w:val="ListParagraph"/>
        <w:numPr>
          <w:ilvl w:val="0"/>
          <w:numId w:val="3"/>
        </w:numPr>
        <w:spacing w:line="240" w:lineRule="auto"/>
        <w:jc w:val="both"/>
        <w:rPr>
          <w:rFonts w:ascii="Times New Roman" w:eastAsia="Calibri" w:hAnsi="Times New Roman" w:cs="Times New Roman"/>
          <w:color w:val="000000" w:themeColor="text1"/>
          <w:lang w:val="en-US"/>
        </w:rPr>
      </w:pPr>
      <w:r w:rsidRPr="009F05D7">
        <w:rPr>
          <w:rFonts w:ascii="Times New Roman" w:eastAsia="Calibri" w:hAnsi="Times New Roman" w:cs="Times New Roman"/>
          <w:color w:val="000000" w:themeColor="text1"/>
          <w:lang w:val="en-US"/>
        </w:rPr>
        <w:t>ASTM International. (2014). ASTM D2974—Standard test methods for moisture, ash, and organic matter of peat and other organic soils. ASTM International.</w:t>
      </w:r>
    </w:p>
    <w:p w14:paraId="6AC97E86" w14:textId="77777777" w:rsidR="0078026E" w:rsidRPr="009F05D7" w:rsidRDefault="003452F6" w:rsidP="009F05D7">
      <w:pPr>
        <w:pStyle w:val="ListParagraph"/>
        <w:numPr>
          <w:ilvl w:val="0"/>
          <w:numId w:val="3"/>
        </w:numPr>
        <w:spacing w:line="240" w:lineRule="auto"/>
        <w:jc w:val="both"/>
        <w:rPr>
          <w:rFonts w:ascii="Times New Roman" w:hAnsi="Times New Roman" w:cs="Times New Roman"/>
          <w:color w:val="000000" w:themeColor="text1"/>
          <w:lang w:val="en-US"/>
        </w:rPr>
      </w:pPr>
      <w:r w:rsidRPr="009F05D7">
        <w:rPr>
          <w:rFonts w:ascii="Times New Roman" w:hAnsi="Times New Roman" w:cs="Times New Roman"/>
          <w:color w:val="000000" w:themeColor="text1"/>
          <w:lang w:val="en-US"/>
        </w:rPr>
        <w:t>ASTM International. (2022). Standard test method for kinematic viscosity of transparent and opaque liquids (ASTM D445). ASTM International.</w:t>
      </w:r>
    </w:p>
    <w:p w14:paraId="505418AC" w14:textId="7FF61766" w:rsidR="007642AF" w:rsidRPr="009F05D7" w:rsidRDefault="007642AF" w:rsidP="009F05D7">
      <w:pPr>
        <w:pStyle w:val="ListParagraph"/>
        <w:numPr>
          <w:ilvl w:val="0"/>
          <w:numId w:val="3"/>
        </w:numPr>
        <w:spacing w:line="240" w:lineRule="auto"/>
        <w:jc w:val="both"/>
        <w:rPr>
          <w:rFonts w:ascii="Times New Roman" w:hAnsi="Times New Roman" w:cs="Times New Roman"/>
          <w:color w:val="000000" w:themeColor="text1"/>
        </w:rPr>
      </w:pPr>
      <w:r w:rsidRPr="009F05D7">
        <w:rPr>
          <w:rFonts w:ascii="Times New Roman" w:hAnsi="Times New Roman" w:cs="Times New Roman"/>
          <w:color w:val="000000" w:themeColor="text1"/>
        </w:rPr>
        <w:t xml:space="preserve">Basu N., Gupta D.P., Jundhare P.R., </w:t>
      </w:r>
      <w:r w:rsidRPr="009F05D7">
        <w:rPr>
          <w:rFonts w:ascii="Times New Roman" w:hAnsi="Times New Roman" w:cs="Times New Roman"/>
          <w:color w:val="000000" w:themeColor="text1"/>
        </w:rPr>
        <w:tab/>
        <w:t>Dev, T.K., Gulavani, N.S., (2020). Effect of transformer oil reconditioning on oil properties and dissolved gases. 17th india council international conference, 17(1): 1-5.</w:t>
      </w:r>
    </w:p>
    <w:p w14:paraId="4F07C347" w14:textId="77777777" w:rsidR="0078026E" w:rsidRPr="009F05D7" w:rsidRDefault="003452F6" w:rsidP="009F05D7">
      <w:pPr>
        <w:pStyle w:val="ListParagraph"/>
        <w:numPr>
          <w:ilvl w:val="0"/>
          <w:numId w:val="3"/>
        </w:numPr>
        <w:spacing w:line="240" w:lineRule="auto"/>
        <w:jc w:val="both"/>
        <w:rPr>
          <w:rFonts w:ascii="Times New Roman" w:hAnsi="Times New Roman" w:cs="Times New Roman"/>
          <w:color w:val="000000" w:themeColor="text1"/>
        </w:rPr>
      </w:pPr>
      <w:r w:rsidRPr="009F05D7">
        <w:rPr>
          <w:rFonts w:ascii="Times New Roman" w:hAnsi="Times New Roman" w:cs="Times New Roman"/>
          <w:color w:val="000000" w:themeColor="text1"/>
        </w:rPr>
        <w:t>Boadu, K. B., Asare, R., &amp; Tuffour, B. (2018). Characterization of activated carbon derived from coconut shells for adsorption applications. International Journal of Scientific &amp; Engineering Research, 9(7), 451–460.</w:t>
      </w:r>
    </w:p>
    <w:p w14:paraId="77DB6A82" w14:textId="77777777" w:rsidR="0078026E" w:rsidRPr="009F05D7" w:rsidRDefault="003452F6" w:rsidP="009F05D7">
      <w:pPr>
        <w:pStyle w:val="ListParagraph"/>
        <w:numPr>
          <w:ilvl w:val="0"/>
          <w:numId w:val="3"/>
        </w:numPr>
        <w:spacing w:line="240" w:lineRule="auto"/>
        <w:jc w:val="both"/>
        <w:rPr>
          <w:rFonts w:ascii="Times New Roman" w:hAnsi="Times New Roman" w:cs="Times New Roman"/>
          <w:color w:val="000000" w:themeColor="text1"/>
        </w:rPr>
      </w:pPr>
      <w:r w:rsidRPr="009F05D7">
        <w:rPr>
          <w:rFonts w:ascii="Times New Roman" w:hAnsi="Times New Roman" w:cs="Times New Roman"/>
          <w:color w:val="000000" w:themeColor="text1"/>
        </w:rPr>
        <w:t>Boadu, K. B., Owusu, P. A., &amp; Tuffour, B. (2020). Production and optimization of coconut shell activated carbon for industrial applications. Journal of Environmental Chemical Engineering, 8(5), 104–119.</w:t>
      </w:r>
    </w:p>
    <w:p w14:paraId="242BADB7" w14:textId="77777777" w:rsidR="0078026E" w:rsidRPr="009F05D7" w:rsidRDefault="003452F6" w:rsidP="009F05D7">
      <w:pPr>
        <w:pStyle w:val="ListParagraph"/>
        <w:numPr>
          <w:ilvl w:val="0"/>
          <w:numId w:val="3"/>
        </w:numPr>
        <w:spacing w:line="240" w:lineRule="auto"/>
        <w:jc w:val="both"/>
        <w:rPr>
          <w:rFonts w:ascii="Times New Roman" w:hAnsi="Times New Roman" w:cs="Times New Roman"/>
          <w:color w:val="000000" w:themeColor="text1"/>
        </w:rPr>
      </w:pPr>
      <w:r w:rsidRPr="009F05D7">
        <w:rPr>
          <w:rFonts w:ascii="Times New Roman" w:hAnsi="Times New Roman" w:cs="Times New Roman"/>
          <w:color w:val="000000" w:themeColor="text1"/>
        </w:rPr>
        <w:t xml:space="preserve">FAO. (2021). FAOSTAT statistical database. Food and Agriculture Organization of the United Nations. </w:t>
      </w:r>
    </w:p>
    <w:p w14:paraId="56528075" w14:textId="77777777" w:rsidR="0078026E" w:rsidRPr="009F05D7" w:rsidRDefault="003452F6" w:rsidP="009F05D7">
      <w:pPr>
        <w:pStyle w:val="ListParagraph"/>
        <w:numPr>
          <w:ilvl w:val="0"/>
          <w:numId w:val="3"/>
        </w:numPr>
        <w:spacing w:line="240" w:lineRule="auto"/>
        <w:jc w:val="both"/>
        <w:rPr>
          <w:rFonts w:ascii="Times New Roman" w:hAnsi="Times New Roman" w:cs="Times New Roman"/>
          <w:color w:val="000000" w:themeColor="text1"/>
        </w:rPr>
      </w:pPr>
      <w:r w:rsidRPr="009F05D7">
        <w:rPr>
          <w:rFonts w:ascii="Times New Roman" w:hAnsi="Times New Roman" w:cs="Times New Roman"/>
          <w:color w:val="000000" w:themeColor="text1"/>
          <w:lang w:val="en-US"/>
        </w:rPr>
        <w:t>International Electrotechnical Commission (IEC) (2003). Insulating liquids Determination of acidity (IEC 62021-1)</w:t>
      </w:r>
    </w:p>
    <w:p w14:paraId="2A8DF242" w14:textId="77777777" w:rsidR="0078026E" w:rsidRPr="009F05D7" w:rsidRDefault="003452F6" w:rsidP="009F05D7">
      <w:pPr>
        <w:pStyle w:val="ListParagraph"/>
        <w:numPr>
          <w:ilvl w:val="0"/>
          <w:numId w:val="3"/>
        </w:numPr>
        <w:spacing w:line="240" w:lineRule="auto"/>
        <w:jc w:val="both"/>
        <w:rPr>
          <w:rFonts w:ascii="Times New Roman" w:hAnsi="Times New Roman" w:cs="Times New Roman"/>
          <w:color w:val="000000" w:themeColor="text1"/>
        </w:rPr>
      </w:pPr>
      <w:r w:rsidRPr="009F05D7">
        <w:rPr>
          <w:rFonts w:ascii="Times New Roman" w:hAnsi="Times New Roman" w:cs="Times New Roman"/>
          <w:color w:val="000000" w:themeColor="text1"/>
        </w:rPr>
        <w:t>IEC. (2018). IEC 60156: Insulating liquids—Determination of the breakdown voltage at power frequency. International Electrotechnical Commission.</w:t>
      </w:r>
    </w:p>
    <w:p w14:paraId="229398FB" w14:textId="77777777" w:rsidR="0078026E" w:rsidRPr="009F05D7" w:rsidRDefault="003452F6" w:rsidP="009F05D7">
      <w:pPr>
        <w:pStyle w:val="ListParagraph"/>
        <w:numPr>
          <w:ilvl w:val="0"/>
          <w:numId w:val="3"/>
        </w:numPr>
        <w:spacing w:line="240" w:lineRule="auto"/>
        <w:jc w:val="both"/>
        <w:rPr>
          <w:rFonts w:ascii="Times New Roman" w:hAnsi="Times New Roman" w:cs="Times New Roman"/>
          <w:color w:val="00B0F0"/>
          <w:lang w:val="en-US"/>
        </w:rPr>
      </w:pPr>
      <w:r w:rsidRPr="009F05D7">
        <w:rPr>
          <w:rFonts w:ascii="Times New Roman" w:hAnsi="Times New Roman" w:cs="Times New Roman"/>
          <w:color w:val="00B0F0"/>
        </w:rPr>
        <w:t>International Electrotechnical Commission. (2020). IEC 60296: Fluids for electrotechnical applications – Mineral insulating oils for electrical equipment. IEC.</w:t>
      </w:r>
    </w:p>
    <w:p w14:paraId="0643277B" w14:textId="25FD42BD" w:rsidR="007642AF" w:rsidRPr="009F05D7" w:rsidRDefault="007642AF" w:rsidP="009F05D7">
      <w:pPr>
        <w:pStyle w:val="ListParagraph"/>
        <w:numPr>
          <w:ilvl w:val="0"/>
          <w:numId w:val="3"/>
        </w:numPr>
        <w:spacing w:line="240" w:lineRule="auto"/>
        <w:jc w:val="both"/>
        <w:rPr>
          <w:rFonts w:ascii="Times New Roman" w:hAnsi="Times New Roman" w:cs="Times New Roman"/>
          <w:color w:val="00B0F0"/>
        </w:rPr>
      </w:pPr>
      <w:r w:rsidRPr="009F05D7">
        <w:rPr>
          <w:rFonts w:ascii="Times New Roman" w:hAnsi="Times New Roman" w:cs="Times New Roman"/>
          <w:color w:val="00B0F0"/>
        </w:rPr>
        <w:t>Macuzic I., and Jeremic B. (2002). Modern approach to problems of transformer oil purification, Tribology in industry, 24(3,4), 40-44.</w:t>
      </w:r>
    </w:p>
    <w:p w14:paraId="1D9ED46B" w14:textId="77777777" w:rsidR="0078026E" w:rsidRPr="009F05D7" w:rsidRDefault="003452F6" w:rsidP="009F05D7">
      <w:pPr>
        <w:pStyle w:val="ListParagraph"/>
        <w:numPr>
          <w:ilvl w:val="0"/>
          <w:numId w:val="3"/>
        </w:numPr>
        <w:spacing w:line="240" w:lineRule="auto"/>
        <w:jc w:val="both"/>
        <w:rPr>
          <w:rFonts w:ascii="Times New Roman" w:hAnsi="Times New Roman" w:cs="Times New Roman"/>
          <w:color w:val="000000" w:themeColor="text1"/>
        </w:rPr>
      </w:pPr>
      <w:r w:rsidRPr="009F05D7">
        <w:rPr>
          <w:rFonts w:ascii="Times New Roman" w:hAnsi="Times New Roman" w:cs="Times New Roman"/>
          <w:color w:val="000000" w:themeColor="text1"/>
        </w:rPr>
        <w:t>Nigerian Electricity Regulatory Commission (NERC). (2022). Annual operational and financial report. Nigerian Electricity Regulatory Commission.</w:t>
      </w:r>
    </w:p>
    <w:p w14:paraId="0AA900FA" w14:textId="77777777" w:rsidR="00E0727F" w:rsidRPr="009F05D7" w:rsidRDefault="00E0727F" w:rsidP="009F05D7">
      <w:pPr>
        <w:pStyle w:val="ListParagraph"/>
        <w:numPr>
          <w:ilvl w:val="0"/>
          <w:numId w:val="3"/>
        </w:numPr>
        <w:spacing w:line="240" w:lineRule="auto"/>
        <w:jc w:val="both"/>
        <w:rPr>
          <w:rFonts w:ascii="Times New Roman" w:hAnsi="Times New Roman" w:cs="Times New Roman"/>
          <w:color w:val="00B0F0"/>
        </w:rPr>
      </w:pPr>
      <w:r w:rsidRPr="009F05D7">
        <w:rPr>
          <w:rFonts w:ascii="Times New Roman" w:hAnsi="Times New Roman" w:cs="Times New Roman"/>
          <w:color w:val="00B0F0"/>
        </w:rPr>
        <w:t>Okafoagu S. O., Edeh, I., &amp; Evbomwan, B. O. (2025). Regeneration of Spent transformer oil using Bentonite clay palm kernel shell. Chemical science international journal, 34(3), 60–72.</w:t>
      </w:r>
    </w:p>
    <w:p w14:paraId="10973ADC" w14:textId="77777777" w:rsidR="00E0727F" w:rsidRPr="009F05D7" w:rsidRDefault="00E0727F" w:rsidP="009F05D7">
      <w:pPr>
        <w:pStyle w:val="ListParagraph"/>
        <w:numPr>
          <w:ilvl w:val="0"/>
          <w:numId w:val="3"/>
        </w:numPr>
        <w:spacing w:line="240" w:lineRule="auto"/>
        <w:jc w:val="both"/>
        <w:rPr>
          <w:rFonts w:ascii="Times New Roman" w:hAnsi="Times New Roman" w:cs="Times New Roman"/>
          <w:color w:val="00B0F0"/>
        </w:rPr>
      </w:pPr>
      <w:r w:rsidRPr="009F05D7">
        <w:rPr>
          <w:rFonts w:ascii="Times New Roman" w:hAnsi="Times New Roman" w:cs="Times New Roman"/>
          <w:color w:val="00B0F0"/>
        </w:rPr>
        <w:t xml:space="preserve">Okofoagu, S. O., Edeh, I. (2025). Sustainable reclamation of Spent Transformer Oil Using Bentonite and Palm Kernel Shell. Chemical Science International Journal, 34(4), 127-152. DOI: </w:t>
      </w:r>
      <w:hyperlink r:id="rId14" w:history="1">
        <w:r w:rsidRPr="009F05D7">
          <w:rPr>
            <w:rStyle w:val="Hyperlink"/>
            <w:rFonts w:ascii="Times New Roman" w:hAnsi="Times New Roman" w:cs="Times New Roman"/>
            <w:color w:val="00B0F0"/>
          </w:rPr>
          <w:t>https://doi.org/10.9734/CSJI/2025/v34i4983</w:t>
        </w:r>
      </w:hyperlink>
      <w:r w:rsidRPr="009F05D7">
        <w:rPr>
          <w:rFonts w:ascii="Times New Roman" w:hAnsi="Times New Roman" w:cs="Times New Roman"/>
          <w:color w:val="00B0F0"/>
        </w:rPr>
        <w:t xml:space="preserve"> </w:t>
      </w:r>
    </w:p>
    <w:p w14:paraId="57602E31" w14:textId="2DBC25A7" w:rsidR="00C55CE7" w:rsidRPr="009F05D7" w:rsidRDefault="00C55CE7" w:rsidP="009F05D7">
      <w:pPr>
        <w:pStyle w:val="ListParagraph"/>
        <w:numPr>
          <w:ilvl w:val="0"/>
          <w:numId w:val="3"/>
        </w:numPr>
        <w:spacing w:line="240" w:lineRule="auto"/>
        <w:jc w:val="both"/>
        <w:rPr>
          <w:rFonts w:ascii="Times New Roman" w:hAnsi="Times New Roman" w:cs="Times New Roman"/>
          <w:color w:val="00B0F0"/>
        </w:rPr>
      </w:pPr>
      <w:r w:rsidRPr="009F05D7">
        <w:rPr>
          <w:rFonts w:ascii="Times New Roman" w:hAnsi="Times New Roman" w:cs="Times New Roman"/>
          <w:color w:val="00B0F0"/>
        </w:rPr>
        <w:t xml:space="preserve">Pelitli V., Dogan O., and Koroglu, H.J.. (2015). Transformer oils potential for PCBs Contamination. International journal of metallurgical and materials Engineering Sustainable Energy Reviews, 46, 218–235. . Doi: </w:t>
      </w:r>
      <w:hyperlink r:id="rId15" w:history="1">
        <w:r w:rsidRPr="009F05D7">
          <w:rPr>
            <w:rStyle w:val="Hyperlink"/>
            <w:rFonts w:ascii="Times New Roman" w:hAnsi="Times New Roman" w:cs="Times New Roman"/>
            <w:color w:val="00B0F0"/>
          </w:rPr>
          <w:t>https://dx.doi.org/10.15344/2455-2372/2015/114</w:t>
        </w:r>
      </w:hyperlink>
    </w:p>
    <w:p w14:paraId="0F9236B9" w14:textId="0015208E" w:rsidR="007642AF" w:rsidRPr="009F05D7" w:rsidRDefault="007642AF" w:rsidP="009F05D7">
      <w:pPr>
        <w:pStyle w:val="ListParagraph"/>
        <w:numPr>
          <w:ilvl w:val="0"/>
          <w:numId w:val="3"/>
        </w:numPr>
        <w:spacing w:line="240" w:lineRule="auto"/>
        <w:jc w:val="both"/>
        <w:rPr>
          <w:rFonts w:ascii="Times New Roman" w:hAnsi="Times New Roman" w:cs="Times New Roman"/>
          <w:color w:val="00B0F0"/>
        </w:rPr>
      </w:pPr>
      <w:r w:rsidRPr="009F05D7">
        <w:rPr>
          <w:rFonts w:ascii="Times New Roman" w:hAnsi="Times New Roman" w:cs="Times New Roman"/>
          <w:color w:val="00B0F0"/>
        </w:rPr>
        <w:t xml:space="preserve">Saffidine L., Zafour, A.H., Fofana I., Skender, A., Guerbas F., Boucherit, A. (2017). Transformer oil reclamation  by combining several strategies enhanced by the use of four adsorbents. </w:t>
      </w:r>
      <w:r w:rsidRPr="009F05D7">
        <w:rPr>
          <w:rFonts w:ascii="Times New Roman" w:hAnsi="Times New Roman" w:cs="Times New Roman"/>
          <w:color w:val="00B0F0"/>
        </w:rPr>
        <w:tab/>
        <w:t>The institution of engineering and technology. 11(11): 2912-2920.</w:t>
      </w:r>
    </w:p>
    <w:p w14:paraId="6D4D4780" w14:textId="77A30781" w:rsidR="007642AF" w:rsidRPr="009F05D7" w:rsidRDefault="007642AF" w:rsidP="009F05D7">
      <w:pPr>
        <w:pStyle w:val="ListParagraph"/>
        <w:numPr>
          <w:ilvl w:val="0"/>
          <w:numId w:val="3"/>
        </w:numPr>
        <w:spacing w:line="240" w:lineRule="auto"/>
        <w:jc w:val="both"/>
        <w:rPr>
          <w:rFonts w:ascii="Times New Roman" w:hAnsi="Times New Roman" w:cs="Times New Roman"/>
          <w:color w:val="00B0F0"/>
        </w:rPr>
      </w:pPr>
      <w:r w:rsidRPr="009F05D7">
        <w:rPr>
          <w:rFonts w:ascii="Times New Roman" w:hAnsi="Times New Roman" w:cs="Times New Roman"/>
          <w:color w:val="00B0F0"/>
        </w:rPr>
        <w:t xml:space="preserve">Selvi, S.T., Krishna, N., Jeevanantham G., Abhishek R. (2024). Adsorptive removal of impurities from transformer oil using activated carbon, fourth international conference on </w:t>
      </w:r>
      <w:r w:rsidRPr="009F05D7">
        <w:rPr>
          <w:rFonts w:ascii="Times New Roman" w:hAnsi="Times New Roman" w:cs="Times New Roman"/>
          <w:color w:val="00B0F0"/>
        </w:rPr>
        <w:lastRenderedPageBreak/>
        <w:tab/>
        <w:t>advances in electrical, computing, communication and sustainable technologies, 24; 1-8</w:t>
      </w:r>
    </w:p>
    <w:p w14:paraId="09083487" w14:textId="701FB4D0" w:rsidR="007642AF" w:rsidRPr="009F05D7" w:rsidRDefault="007642AF" w:rsidP="009F05D7">
      <w:pPr>
        <w:pStyle w:val="ListParagraph"/>
        <w:numPr>
          <w:ilvl w:val="0"/>
          <w:numId w:val="3"/>
        </w:numPr>
        <w:spacing w:line="240" w:lineRule="auto"/>
        <w:jc w:val="both"/>
        <w:rPr>
          <w:rFonts w:ascii="Times New Roman" w:hAnsi="Times New Roman" w:cs="Times New Roman"/>
          <w:color w:val="00B0F0"/>
          <w:lang w:val="en-US"/>
        </w:rPr>
      </w:pPr>
      <w:bookmarkStart w:id="38" w:name="_Hlk226738426"/>
      <w:r w:rsidRPr="009F05D7">
        <w:rPr>
          <w:rFonts w:ascii="Times New Roman" w:hAnsi="Times New Roman" w:cs="Times New Roman"/>
          <w:color w:val="00B0F0"/>
        </w:rPr>
        <w:t xml:space="preserve">Venkatasubramanian </w:t>
      </w:r>
      <w:bookmarkEnd w:id="38"/>
      <w:r w:rsidRPr="009F05D7">
        <w:rPr>
          <w:rFonts w:ascii="Times New Roman" w:hAnsi="Times New Roman" w:cs="Times New Roman"/>
          <w:color w:val="00B0F0"/>
        </w:rPr>
        <w:t xml:space="preserve">R.P., Liu Q., Wang Z.D. and Marshall P. (2015). assessment of  regenerated oil through accelerated thermal ageing Experiment, international universities power engineering conference, 15(1): 1-4, </w:t>
      </w:r>
      <w:hyperlink r:id="rId16" w:history="1">
        <w:r w:rsidRPr="009F05D7">
          <w:rPr>
            <w:rStyle w:val="Hyperlink"/>
            <w:rFonts w:ascii="Times New Roman" w:hAnsi="Times New Roman" w:cs="Times New Roman"/>
            <w:color w:val="00B0F0"/>
          </w:rPr>
          <w:t>https://doi.org/10.1109/UPEC.2015.7339927</w:t>
        </w:r>
      </w:hyperlink>
    </w:p>
    <w:p w14:paraId="003BDB82" w14:textId="0BF8682A" w:rsidR="007642AF" w:rsidRPr="009F05D7" w:rsidRDefault="007642AF" w:rsidP="009F05D7">
      <w:pPr>
        <w:pStyle w:val="ListParagraph"/>
        <w:numPr>
          <w:ilvl w:val="0"/>
          <w:numId w:val="3"/>
        </w:numPr>
        <w:spacing w:line="240" w:lineRule="auto"/>
        <w:jc w:val="both"/>
        <w:rPr>
          <w:rFonts w:ascii="Times New Roman" w:hAnsi="Times New Roman" w:cs="Times New Roman"/>
          <w:color w:val="00B0F0"/>
        </w:rPr>
      </w:pPr>
      <w:r w:rsidRPr="009F05D7">
        <w:rPr>
          <w:rFonts w:ascii="Times New Roman" w:hAnsi="Times New Roman" w:cs="Times New Roman"/>
          <w:color w:val="00B0F0"/>
        </w:rPr>
        <w:t>Vu T.T., La T.V., Vu, M.K., Huynh, D.C., Tran, N.K. (2020). Highly efficient adsorbent for the transformer oil purification by ZnO/Graphene composite, Arabian journal of chemistry, 13(11), 7798-7808</w:t>
      </w:r>
    </w:p>
    <w:p w14:paraId="3C9FF74B" w14:textId="25032646" w:rsidR="0078026E" w:rsidRPr="009F05D7" w:rsidRDefault="003452F6" w:rsidP="009F05D7">
      <w:pPr>
        <w:pStyle w:val="ListParagraph"/>
        <w:numPr>
          <w:ilvl w:val="0"/>
          <w:numId w:val="3"/>
        </w:numPr>
        <w:spacing w:line="240" w:lineRule="auto"/>
        <w:jc w:val="both"/>
        <w:rPr>
          <w:rFonts w:ascii="Times New Roman" w:hAnsi="Times New Roman" w:cs="Times New Roman"/>
          <w:color w:val="00B0F0"/>
        </w:rPr>
      </w:pPr>
      <w:r w:rsidRPr="009F05D7">
        <w:rPr>
          <w:rFonts w:ascii="Times New Roman" w:hAnsi="Times New Roman" w:cs="Times New Roman"/>
          <w:color w:val="00B0F0"/>
        </w:rPr>
        <w:t>Yahya, M. A., Al-Qodah, Z., &amp; Ngah, C. Z. (2015). Agricultural waste materials as potential sustainable precursors used for activated carbon production: A review. Renewable and Sustainable Energy Reviews, 46, 218–235.</w:t>
      </w:r>
    </w:p>
    <w:p w14:paraId="04E020DA" w14:textId="01FC22E5" w:rsidR="002A733C" w:rsidRPr="009F05D7" w:rsidRDefault="002A733C" w:rsidP="009F05D7">
      <w:pPr>
        <w:pStyle w:val="ListParagraph"/>
        <w:numPr>
          <w:ilvl w:val="0"/>
          <w:numId w:val="3"/>
        </w:numPr>
        <w:spacing w:line="240" w:lineRule="auto"/>
        <w:jc w:val="both"/>
        <w:rPr>
          <w:rFonts w:ascii="Times New Roman" w:hAnsi="Times New Roman" w:cs="Times New Roman"/>
          <w:color w:val="00B0F0"/>
          <w:lang w:eastAsia="zh-CN"/>
        </w:rPr>
      </w:pPr>
      <w:r w:rsidRPr="009F05D7">
        <w:rPr>
          <w:rFonts w:ascii="Times New Roman" w:hAnsi="Times New Roman" w:cs="Times New Roman"/>
          <w:color w:val="00B0F0"/>
          <w:lang w:eastAsia="zh-CN"/>
        </w:rPr>
        <w:t>Yusupov D. and Avazov B. (2025). Experimental analysis of the process of purifying  transformer oil from various impurities under the influence of a constant electric field and mathematically modelled results. Liquid and gaseous energy resources, 5(2), 19-30</w:t>
      </w:r>
    </w:p>
    <w:p w14:paraId="1E9803C5" w14:textId="56694331" w:rsidR="007642AF" w:rsidRPr="009F05D7" w:rsidRDefault="007642AF" w:rsidP="009F05D7">
      <w:pPr>
        <w:pStyle w:val="ListParagraph"/>
        <w:numPr>
          <w:ilvl w:val="0"/>
          <w:numId w:val="3"/>
        </w:numPr>
        <w:spacing w:line="240" w:lineRule="auto"/>
        <w:jc w:val="both"/>
        <w:rPr>
          <w:rFonts w:ascii="Times New Roman" w:hAnsi="Times New Roman" w:cs="Times New Roman"/>
          <w:color w:val="00B0F0"/>
        </w:rPr>
      </w:pPr>
      <w:r w:rsidRPr="009F05D7">
        <w:rPr>
          <w:rFonts w:ascii="Times New Roman" w:hAnsi="Times New Roman" w:cs="Times New Roman"/>
          <w:color w:val="00B0F0"/>
        </w:rPr>
        <w:t xml:space="preserve">Zhang G., Yao, Y., Wang, W., Zhang, X. (2026). Hydrogen production waste insulating oil based on DBD plasma (laboratory). Journal of the energy institute. 125. </w:t>
      </w:r>
      <w:hyperlink r:id="rId17" w:history="1">
        <w:r w:rsidRPr="009F05D7">
          <w:rPr>
            <w:rStyle w:val="Hyperlink"/>
            <w:rFonts w:ascii="Times New Roman" w:hAnsi="Times New Roman" w:cs="Times New Roman"/>
            <w:color w:val="00B0F0"/>
          </w:rPr>
          <w:t>https://doi.org/10.1016/j.joei.2025.102280</w:t>
        </w:r>
      </w:hyperlink>
    </w:p>
    <w:p w14:paraId="24F2621E" w14:textId="77777777" w:rsidR="007642AF" w:rsidRPr="007642AF" w:rsidRDefault="007642AF">
      <w:pPr>
        <w:spacing w:line="240" w:lineRule="auto"/>
        <w:jc w:val="both"/>
        <w:rPr>
          <w:rFonts w:ascii="Times New Roman" w:hAnsi="Times New Roman" w:cs="Times New Roman"/>
          <w:color w:val="000000" w:themeColor="text1"/>
          <w:lang w:val="en-US"/>
        </w:rPr>
      </w:pPr>
    </w:p>
    <w:sectPr w:rsidR="007642AF" w:rsidRPr="007642AF">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7C553D" w14:textId="77777777" w:rsidR="001A55CB" w:rsidRDefault="001A55CB">
      <w:pPr>
        <w:spacing w:line="240" w:lineRule="auto"/>
      </w:pPr>
      <w:r>
        <w:separator/>
      </w:r>
    </w:p>
  </w:endnote>
  <w:endnote w:type="continuationSeparator" w:id="0">
    <w:p w14:paraId="5651E95D" w14:textId="77777777" w:rsidR="001A55CB" w:rsidRDefault="001A55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0E4C1" w14:textId="77777777" w:rsidR="00714918" w:rsidRDefault="007149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240C5" w14:textId="77777777" w:rsidR="00714918" w:rsidRDefault="007149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1390A" w14:textId="77777777" w:rsidR="00714918" w:rsidRDefault="00714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E593E2" w14:textId="77777777" w:rsidR="001A55CB" w:rsidRDefault="001A55CB">
      <w:pPr>
        <w:spacing w:after="0"/>
      </w:pPr>
      <w:r>
        <w:separator/>
      </w:r>
    </w:p>
  </w:footnote>
  <w:footnote w:type="continuationSeparator" w:id="0">
    <w:p w14:paraId="1B83ACA6" w14:textId="77777777" w:rsidR="001A55CB" w:rsidRDefault="001A55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B2B71" w14:textId="677E571E" w:rsidR="00714918" w:rsidRDefault="001A55CB">
    <w:pPr>
      <w:pStyle w:val="Header"/>
    </w:pPr>
    <w:r>
      <w:rPr>
        <w:noProof/>
      </w:rPr>
      <w:pict w14:anchorId="7014C2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344"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7BD99" w14:textId="0689A5F4" w:rsidR="00714918" w:rsidRDefault="001A55CB">
    <w:pPr>
      <w:pStyle w:val="Header"/>
    </w:pPr>
    <w:r>
      <w:rPr>
        <w:noProof/>
      </w:rPr>
      <w:pict w14:anchorId="2159A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345"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4EA31" w14:textId="54B26122" w:rsidR="00714918" w:rsidRDefault="001A55CB">
    <w:pPr>
      <w:pStyle w:val="Header"/>
    </w:pPr>
    <w:r>
      <w:rPr>
        <w:noProof/>
      </w:rPr>
      <w:pict w14:anchorId="508D3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3499343"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DengXi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C65E2D"/>
    <w:multiLevelType w:val="hybridMultilevel"/>
    <w:tmpl w:val="6F6AB6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F5C23A9"/>
    <w:multiLevelType w:val="singleLevel"/>
    <w:tmpl w:val="5F5C23A9"/>
    <w:lvl w:ilvl="0">
      <w:start w:val="5"/>
      <w:numFmt w:val="decimal"/>
      <w:suff w:val="space"/>
      <w:lvlText w:val="%1."/>
      <w:lvlJc w:val="left"/>
    </w:lvl>
  </w:abstractNum>
  <w:abstractNum w:abstractNumId="2" w15:restartNumberingAfterBreak="0">
    <w:nsid w:val="683D2B15"/>
    <w:multiLevelType w:val="multilevel"/>
    <w:tmpl w:val="0BB4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41"/>
    <w:rsid w:val="00002BDA"/>
    <w:rsid w:val="000152A5"/>
    <w:rsid w:val="00023804"/>
    <w:rsid w:val="000304CB"/>
    <w:rsid w:val="00056483"/>
    <w:rsid w:val="000634AA"/>
    <w:rsid w:val="00064674"/>
    <w:rsid w:val="000A2DEF"/>
    <w:rsid w:val="000C236A"/>
    <w:rsid w:val="000D17AB"/>
    <w:rsid w:val="000E3346"/>
    <w:rsid w:val="000F1584"/>
    <w:rsid w:val="000F4D2F"/>
    <w:rsid w:val="000F6023"/>
    <w:rsid w:val="001119EF"/>
    <w:rsid w:val="00114EED"/>
    <w:rsid w:val="001215F6"/>
    <w:rsid w:val="00123FF0"/>
    <w:rsid w:val="001402D4"/>
    <w:rsid w:val="0015315A"/>
    <w:rsid w:val="00161A40"/>
    <w:rsid w:val="00180A22"/>
    <w:rsid w:val="00182BCB"/>
    <w:rsid w:val="0018579B"/>
    <w:rsid w:val="001A55CB"/>
    <w:rsid w:val="001A7D19"/>
    <w:rsid w:val="001B768B"/>
    <w:rsid w:val="001D0428"/>
    <w:rsid w:val="001D1517"/>
    <w:rsid w:val="002008AF"/>
    <w:rsid w:val="00202BD4"/>
    <w:rsid w:val="002076C7"/>
    <w:rsid w:val="00212B8B"/>
    <w:rsid w:val="00247D87"/>
    <w:rsid w:val="002562F6"/>
    <w:rsid w:val="00260741"/>
    <w:rsid w:val="00265378"/>
    <w:rsid w:val="002832CA"/>
    <w:rsid w:val="00291DE2"/>
    <w:rsid w:val="002A733C"/>
    <w:rsid w:val="002A7BF5"/>
    <w:rsid w:val="002E0BFF"/>
    <w:rsid w:val="002F4DC5"/>
    <w:rsid w:val="002F5EF9"/>
    <w:rsid w:val="0031771B"/>
    <w:rsid w:val="00326F74"/>
    <w:rsid w:val="003452F6"/>
    <w:rsid w:val="00372A4B"/>
    <w:rsid w:val="00395A7A"/>
    <w:rsid w:val="003A008B"/>
    <w:rsid w:val="003A169A"/>
    <w:rsid w:val="003B78DB"/>
    <w:rsid w:val="003C39BD"/>
    <w:rsid w:val="003C4E1F"/>
    <w:rsid w:val="003D4F3B"/>
    <w:rsid w:val="0040614A"/>
    <w:rsid w:val="00411018"/>
    <w:rsid w:val="004270B7"/>
    <w:rsid w:val="004442CB"/>
    <w:rsid w:val="00451881"/>
    <w:rsid w:val="00491D12"/>
    <w:rsid w:val="004A5D1E"/>
    <w:rsid w:val="004C28E7"/>
    <w:rsid w:val="005304E2"/>
    <w:rsid w:val="00530D5B"/>
    <w:rsid w:val="00537E6D"/>
    <w:rsid w:val="005621D6"/>
    <w:rsid w:val="005651F0"/>
    <w:rsid w:val="00575109"/>
    <w:rsid w:val="005A3365"/>
    <w:rsid w:val="005B2588"/>
    <w:rsid w:val="005B65E7"/>
    <w:rsid w:val="005D2CF5"/>
    <w:rsid w:val="005D3E68"/>
    <w:rsid w:val="005D600B"/>
    <w:rsid w:val="005E2BAE"/>
    <w:rsid w:val="005E63D9"/>
    <w:rsid w:val="005F718D"/>
    <w:rsid w:val="006176C9"/>
    <w:rsid w:val="0064168E"/>
    <w:rsid w:val="0065431D"/>
    <w:rsid w:val="006711F9"/>
    <w:rsid w:val="006741A4"/>
    <w:rsid w:val="0067726B"/>
    <w:rsid w:val="00684B18"/>
    <w:rsid w:val="006E70A8"/>
    <w:rsid w:val="006F5E22"/>
    <w:rsid w:val="00701F18"/>
    <w:rsid w:val="007147EE"/>
    <w:rsid w:val="00714918"/>
    <w:rsid w:val="00726677"/>
    <w:rsid w:val="00732AEE"/>
    <w:rsid w:val="00746A62"/>
    <w:rsid w:val="007502F2"/>
    <w:rsid w:val="007565D0"/>
    <w:rsid w:val="007623FC"/>
    <w:rsid w:val="007642AF"/>
    <w:rsid w:val="00766B1B"/>
    <w:rsid w:val="0078026E"/>
    <w:rsid w:val="00780B45"/>
    <w:rsid w:val="007D195B"/>
    <w:rsid w:val="007E3936"/>
    <w:rsid w:val="007F5090"/>
    <w:rsid w:val="007F7A08"/>
    <w:rsid w:val="00811FB6"/>
    <w:rsid w:val="00821390"/>
    <w:rsid w:val="00834C7D"/>
    <w:rsid w:val="00860F3C"/>
    <w:rsid w:val="008722E8"/>
    <w:rsid w:val="00882F64"/>
    <w:rsid w:val="00884EB2"/>
    <w:rsid w:val="008A08AB"/>
    <w:rsid w:val="008B3587"/>
    <w:rsid w:val="008B42FE"/>
    <w:rsid w:val="008E4E4C"/>
    <w:rsid w:val="008E6A15"/>
    <w:rsid w:val="009119E6"/>
    <w:rsid w:val="0094207C"/>
    <w:rsid w:val="00950476"/>
    <w:rsid w:val="0095232C"/>
    <w:rsid w:val="00984B5F"/>
    <w:rsid w:val="00992827"/>
    <w:rsid w:val="0099425F"/>
    <w:rsid w:val="00997584"/>
    <w:rsid w:val="009B10F9"/>
    <w:rsid w:val="009B5061"/>
    <w:rsid w:val="009F05D7"/>
    <w:rsid w:val="00A15067"/>
    <w:rsid w:val="00A3164F"/>
    <w:rsid w:val="00A46694"/>
    <w:rsid w:val="00A83ADF"/>
    <w:rsid w:val="00A87CEE"/>
    <w:rsid w:val="00A979FC"/>
    <w:rsid w:val="00AA127B"/>
    <w:rsid w:val="00AB0E8E"/>
    <w:rsid w:val="00AD5D04"/>
    <w:rsid w:val="00AE030D"/>
    <w:rsid w:val="00AF25FA"/>
    <w:rsid w:val="00AF2703"/>
    <w:rsid w:val="00AF3BE0"/>
    <w:rsid w:val="00AF5941"/>
    <w:rsid w:val="00B06347"/>
    <w:rsid w:val="00B361C5"/>
    <w:rsid w:val="00B36B30"/>
    <w:rsid w:val="00B408B1"/>
    <w:rsid w:val="00B6613A"/>
    <w:rsid w:val="00B959E5"/>
    <w:rsid w:val="00BB2DD6"/>
    <w:rsid w:val="00BB4CAA"/>
    <w:rsid w:val="00BC59EA"/>
    <w:rsid w:val="00BD7696"/>
    <w:rsid w:val="00C062E0"/>
    <w:rsid w:val="00C17355"/>
    <w:rsid w:val="00C40F03"/>
    <w:rsid w:val="00C53579"/>
    <w:rsid w:val="00C55CE7"/>
    <w:rsid w:val="00C72F23"/>
    <w:rsid w:val="00C76AE1"/>
    <w:rsid w:val="00CA2CB4"/>
    <w:rsid w:val="00CC585D"/>
    <w:rsid w:val="00CE79A1"/>
    <w:rsid w:val="00D02071"/>
    <w:rsid w:val="00D028BF"/>
    <w:rsid w:val="00D17B44"/>
    <w:rsid w:val="00D42B15"/>
    <w:rsid w:val="00D43D39"/>
    <w:rsid w:val="00D44B5D"/>
    <w:rsid w:val="00D50596"/>
    <w:rsid w:val="00D558E9"/>
    <w:rsid w:val="00D65527"/>
    <w:rsid w:val="00D8275D"/>
    <w:rsid w:val="00DA65A3"/>
    <w:rsid w:val="00DC2354"/>
    <w:rsid w:val="00E04ADB"/>
    <w:rsid w:val="00E071B0"/>
    <w:rsid w:val="00E0727F"/>
    <w:rsid w:val="00E12098"/>
    <w:rsid w:val="00E17798"/>
    <w:rsid w:val="00E343F6"/>
    <w:rsid w:val="00E6029D"/>
    <w:rsid w:val="00E74AC9"/>
    <w:rsid w:val="00E77E6C"/>
    <w:rsid w:val="00E93FB1"/>
    <w:rsid w:val="00E97327"/>
    <w:rsid w:val="00EA242D"/>
    <w:rsid w:val="00EA4188"/>
    <w:rsid w:val="00EA7C56"/>
    <w:rsid w:val="00EC2822"/>
    <w:rsid w:val="00EF339F"/>
    <w:rsid w:val="00EF4ADE"/>
    <w:rsid w:val="00EF7A23"/>
    <w:rsid w:val="00F35C2F"/>
    <w:rsid w:val="00F37F21"/>
    <w:rsid w:val="00F4511F"/>
    <w:rsid w:val="00F67AA3"/>
    <w:rsid w:val="0215596D"/>
    <w:rsid w:val="02566477"/>
    <w:rsid w:val="034C1C36"/>
    <w:rsid w:val="040C55EB"/>
    <w:rsid w:val="043F37C2"/>
    <w:rsid w:val="054B039D"/>
    <w:rsid w:val="057E6895"/>
    <w:rsid w:val="05BF3F2F"/>
    <w:rsid w:val="05FA6A52"/>
    <w:rsid w:val="06532D85"/>
    <w:rsid w:val="06E778CF"/>
    <w:rsid w:val="08036534"/>
    <w:rsid w:val="080804DF"/>
    <w:rsid w:val="094E033A"/>
    <w:rsid w:val="0A336104"/>
    <w:rsid w:val="0A641F21"/>
    <w:rsid w:val="0B564C52"/>
    <w:rsid w:val="0C774C37"/>
    <w:rsid w:val="0D5A6B1A"/>
    <w:rsid w:val="0E0B07B8"/>
    <w:rsid w:val="0E572549"/>
    <w:rsid w:val="107F069A"/>
    <w:rsid w:val="110D5A42"/>
    <w:rsid w:val="11804748"/>
    <w:rsid w:val="11D4290A"/>
    <w:rsid w:val="126122B6"/>
    <w:rsid w:val="12AD3EC9"/>
    <w:rsid w:val="13235365"/>
    <w:rsid w:val="140838EB"/>
    <w:rsid w:val="1682360E"/>
    <w:rsid w:val="16C53E67"/>
    <w:rsid w:val="16D43DC3"/>
    <w:rsid w:val="18027B0E"/>
    <w:rsid w:val="18BB15FC"/>
    <w:rsid w:val="1AD63A7F"/>
    <w:rsid w:val="1AEC06BC"/>
    <w:rsid w:val="1B5B6771"/>
    <w:rsid w:val="1BA33377"/>
    <w:rsid w:val="1D7B41ED"/>
    <w:rsid w:val="1DA41B2E"/>
    <w:rsid w:val="1E8E096D"/>
    <w:rsid w:val="1EAA34D4"/>
    <w:rsid w:val="1F4007B6"/>
    <w:rsid w:val="1FD617DD"/>
    <w:rsid w:val="20DC38FA"/>
    <w:rsid w:val="21FC539C"/>
    <w:rsid w:val="223312CE"/>
    <w:rsid w:val="22A62223"/>
    <w:rsid w:val="22D07A5E"/>
    <w:rsid w:val="22FA25EF"/>
    <w:rsid w:val="22FE4BD2"/>
    <w:rsid w:val="245D2237"/>
    <w:rsid w:val="246E78A3"/>
    <w:rsid w:val="249B3D44"/>
    <w:rsid w:val="25261CB5"/>
    <w:rsid w:val="26BD3BD5"/>
    <w:rsid w:val="26D37A33"/>
    <w:rsid w:val="294C13C0"/>
    <w:rsid w:val="2B7405F6"/>
    <w:rsid w:val="2D172720"/>
    <w:rsid w:val="2D4B705C"/>
    <w:rsid w:val="2EA74ED1"/>
    <w:rsid w:val="2FDD7395"/>
    <w:rsid w:val="34812B9C"/>
    <w:rsid w:val="34CA19F4"/>
    <w:rsid w:val="35754EC5"/>
    <w:rsid w:val="35CC7970"/>
    <w:rsid w:val="366D7C02"/>
    <w:rsid w:val="37666E72"/>
    <w:rsid w:val="38C53A27"/>
    <w:rsid w:val="39800415"/>
    <w:rsid w:val="39931A05"/>
    <w:rsid w:val="3A684EE0"/>
    <w:rsid w:val="3A97665F"/>
    <w:rsid w:val="3B037AD7"/>
    <w:rsid w:val="3CB32B11"/>
    <w:rsid w:val="3CC67E5A"/>
    <w:rsid w:val="3F271176"/>
    <w:rsid w:val="3FC0486E"/>
    <w:rsid w:val="3FD85C86"/>
    <w:rsid w:val="40787E17"/>
    <w:rsid w:val="410364C5"/>
    <w:rsid w:val="413A63D2"/>
    <w:rsid w:val="41AA67C7"/>
    <w:rsid w:val="41FC086B"/>
    <w:rsid w:val="42316284"/>
    <w:rsid w:val="43407B62"/>
    <w:rsid w:val="43640156"/>
    <w:rsid w:val="44DC41A6"/>
    <w:rsid w:val="46B4240A"/>
    <w:rsid w:val="47F0578A"/>
    <w:rsid w:val="488C0094"/>
    <w:rsid w:val="49192208"/>
    <w:rsid w:val="49240122"/>
    <w:rsid w:val="49D35E2D"/>
    <w:rsid w:val="4A6661FA"/>
    <w:rsid w:val="4AB60996"/>
    <w:rsid w:val="4BC55D8A"/>
    <w:rsid w:val="4C8E5CA5"/>
    <w:rsid w:val="4D6833E3"/>
    <w:rsid w:val="4DFD248A"/>
    <w:rsid w:val="4E032A66"/>
    <w:rsid w:val="4E2635C9"/>
    <w:rsid w:val="4EDC49A8"/>
    <w:rsid w:val="4EFB7302"/>
    <w:rsid w:val="4F457D08"/>
    <w:rsid w:val="4FBC3C5F"/>
    <w:rsid w:val="506F3702"/>
    <w:rsid w:val="51541D83"/>
    <w:rsid w:val="532A1846"/>
    <w:rsid w:val="554B51B8"/>
    <w:rsid w:val="56B52C69"/>
    <w:rsid w:val="56CB79B7"/>
    <w:rsid w:val="57050FA0"/>
    <w:rsid w:val="575A48A4"/>
    <w:rsid w:val="585D1031"/>
    <w:rsid w:val="58981452"/>
    <w:rsid w:val="58B77D99"/>
    <w:rsid w:val="5A67219A"/>
    <w:rsid w:val="5B051952"/>
    <w:rsid w:val="5B5962C5"/>
    <w:rsid w:val="5BDD0946"/>
    <w:rsid w:val="5C5F6B69"/>
    <w:rsid w:val="5E5F76C5"/>
    <w:rsid w:val="5ECF2E97"/>
    <w:rsid w:val="5F0707E8"/>
    <w:rsid w:val="5F4C0F51"/>
    <w:rsid w:val="608B4472"/>
    <w:rsid w:val="61A56906"/>
    <w:rsid w:val="627E7B09"/>
    <w:rsid w:val="62C63D9D"/>
    <w:rsid w:val="63347599"/>
    <w:rsid w:val="633B2EE7"/>
    <w:rsid w:val="63467B6E"/>
    <w:rsid w:val="63E044E9"/>
    <w:rsid w:val="64056CA7"/>
    <w:rsid w:val="641B0FA6"/>
    <w:rsid w:val="64470BBF"/>
    <w:rsid w:val="65C53405"/>
    <w:rsid w:val="677A17D2"/>
    <w:rsid w:val="6893310E"/>
    <w:rsid w:val="68AD66CB"/>
    <w:rsid w:val="696025A2"/>
    <w:rsid w:val="6BD07F47"/>
    <w:rsid w:val="6BF36128"/>
    <w:rsid w:val="6EDE174C"/>
    <w:rsid w:val="6F702E68"/>
    <w:rsid w:val="6FB45735"/>
    <w:rsid w:val="70D95C27"/>
    <w:rsid w:val="71304DCD"/>
    <w:rsid w:val="71B30B97"/>
    <w:rsid w:val="74F21EC2"/>
    <w:rsid w:val="75343799"/>
    <w:rsid w:val="774814FC"/>
    <w:rsid w:val="777F5E11"/>
    <w:rsid w:val="78D51BC9"/>
    <w:rsid w:val="79554795"/>
    <w:rsid w:val="799F19BA"/>
    <w:rsid w:val="79CF5664"/>
    <w:rsid w:val="7A2C376D"/>
    <w:rsid w:val="7A7C6A82"/>
    <w:rsid w:val="7AA53CEB"/>
    <w:rsid w:val="7B5A3446"/>
    <w:rsid w:val="7CE36D30"/>
    <w:rsid w:val="7D3B0B43"/>
    <w:rsid w:val="7D3C6605"/>
    <w:rsid w:val="7D6E03EA"/>
    <w:rsid w:val="7E71642D"/>
    <w:rsid w:val="7ECA7828"/>
    <w:rsid w:val="7F0D1E11"/>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35EEE4CC"/>
  <w15:docId w15:val="{BE67E819-1A2F-4E42-A9A2-5A901D9AD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kern w:val="2"/>
      <w:sz w:val="24"/>
      <w:szCs w:val="24"/>
      <w:lang w:val="zh-C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pPr>
      <w:spacing w:after="200" w:line="240" w:lineRule="auto"/>
    </w:pPr>
    <w:rPr>
      <w:i/>
      <w:iCs/>
      <w:color w:val="44546A" w:themeColor="text2"/>
      <w:sz w:val="18"/>
      <w:szCs w:val="18"/>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sz w:val="22"/>
      <w:szCs w:val="22"/>
      <w:lang w:val="en-US"/>
    </w:rPr>
  </w:style>
  <w:style w:type="paragraph" w:styleId="Header">
    <w:name w:val="header"/>
    <w:basedOn w:val="Normal"/>
    <w:link w:val="HeaderChar"/>
    <w:uiPriority w:val="99"/>
    <w:unhideWhenUsed/>
    <w:qFormat/>
    <w:pPr>
      <w:tabs>
        <w:tab w:val="center" w:pos="4680"/>
        <w:tab w:val="right" w:pos="9360"/>
      </w:tabs>
      <w:spacing w:after="0" w:line="240" w:lineRule="auto"/>
    </w:pPr>
    <w:rPr>
      <w:sz w:val="22"/>
      <w:szCs w:val="22"/>
      <w:lang w:val="en-US"/>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qFormat/>
    <w:pPr>
      <w:tabs>
        <w:tab w:val="right" w:pos="9350"/>
      </w:tabs>
      <w:spacing w:before="120" w:after="0" w:line="256" w:lineRule="auto"/>
      <w:jc w:val="center"/>
    </w:pPr>
    <w:rPr>
      <w:rFonts w:ascii="Times New Roman" w:hAnsi="Times New Roman" w:cs="Times New Roman"/>
      <w:b/>
      <w:bCs/>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Hyperlink1">
    <w:name w:val="Hyperlink1"/>
    <w:basedOn w:val="DefaultParagraphFont"/>
    <w:uiPriority w:val="99"/>
    <w:unhideWhenUsed/>
    <w:qFormat/>
    <w:rPr>
      <w:color w:val="0563C1"/>
      <w:u w:val="single"/>
    </w:rPr>
  </w:style>
  <w:style w:type="character" w:styleId="PlaceholderText">
    <w:name w:val="Placeholder Text"/>
    <w:basedOn w:val="DefaultParagraphFont"/>
    <w:uiPriority w:val="99"/>
    <w:semiHidden/>
    <w:qFormat/>
    <w:rPr>
      <w:color w:val="666666"/>
    </w:rPr>
  </w:style>
  <w:style w:type="paragraph" w:customStyle="1" w:styleId="Caption1">
    <w:name w:val="Caption1"/>
    <w:basedOn w:val="Normal"/>
    <w:next w:val="Normal"/>
    <w:uiPriority w:val="35"/>
    <w:unhideWhenUsed/>
    <w:qFormat/>
    <w:pPr>
      <w:spacing w:after="200" w:line="240" w:lineRule="auto"/>
    </w:pPr>
    <w:rPr>
      <w:i/>
      <w:iCs/>
      <w:color w:val="44546A"/>
      <w:sz w:val="18"/>
      <w:szCs w:val="18"/>
      <w:lang w:val="en-US"/>
    </w:rPr>
  </w:style>
  <w:style w:type="character" w:customStyle="1" w:styleId="HeaderChar">
    <w:name w:val="Header Char"/>
    <w:basedOn w:val="DefaultParagraphFont"/>
    <w:link w:val="Header"/>
    <w:uiPriority w:val="99"/>
    <w:qFormat/>
    <w:rPr>
      <w:sz w:val="22"/>
      <w:szCs w:val="22"/>
      <w:lang w:val="en-US"/>
    </w:rPr>
  </w:style>
  <w:style w:type="character" w:customStyle="1" w:styleId="FooterChar">
    <w:name w:val="Footer Char"/>
    <w:basedOn w:val="DefaultParagraphFont"/>
    <w:link w:val="Footer"/>
    <w:uiPriority w:val="99"/>
    <w:qFormat/>
    <w:rPr>
      <w:sz w:val="22"/>
      <w:szCs w:val="22"/>
      <w:lang w:val="en-US"/>
    </w:rPr>
  </w:style>
  <w:style w:type="paragraph" w:customStyle="1" w:styleId="TOCHeading1">
    <w:name w:val="TOC Heading1"/>
    <w:basedOn w:val="Heading1"/>
    <w:next w:val="Normal"/>
    <w:uiPriority w:val="39"/>
    <w:unhideWhenUsed/>
    <w:qFormat/>
    <w:pPr>
      <w:spacing w:before="240" w:after="0" w:line="259" w:lineRule="auto"/>
      <w:outlineLvl w:val="9"/>
    </w:pPr>
    <w:rPr>
      <w:kern w:val="0"/>
      <w:sz w:val="32"/>
      <w:szCs w:val="32"/>
      <w:lang w:val="en-US"/>
      <w14:ligatures w14:val="none"/>
    </w:rPr>
  </w:style>
  <w:style w:type="paragraph" w:customStyle="1" w:styleId="TOC21">
    <w:name w:val="TOC 21"/>
    <w:basedOn w:val="Normal"/>
    <w:next w:val="Normal"/>
    <w:autoRedefine/>
    <w:uiPriority w:val="39"/>
    <w:unhideWhenUsed/>
    <w:qFormat/>
    <w:pPr>
      <w:spacing w:before="120" w:after="0" w:line="256" w:lineRule="auto"/>
      <w:ind w:left="220"/>
    </w:pPr>
    <w:rPr>
      <w:rFonts w:cs="Calibri"/>
      <w:b/>
      <w:bCs/>
      <w:sz w:val="22"/>
      <w:szCs w:val="22"/>
      <w:lang w:val="en-US"/>
    </w:rPr>
  </w:style>
  <w:style w:type="paragraph" w:customStyle="1" w:styleId="TOC31">
    <w:name w:val="TOC 31"/>
    <w:basedOn w:val="Normal"/>
    <w:next w:val="Normal"/>
    <w:autoRedefine/>
    <w:uiPriority w:val="39"/>
    <w:unhideWhenUsed/>
    <w:qFormat/>
    <w:pPr>
      <w:spacing w:after="0" w:line="256" w:lineRule="auto"/>
      <w:ind w:left="440"/>
    </w:pPr>
    <w:rPr>
      <w:rFonts w:cs="Calibri"/>
      <w:sz w:val="20"/>
      <w:szCs w:val="20"/>
      <w:lang w:val="en-US"/>
    </w:rPr>
  </w:style>
  <w:style w:type="paragraph" w:customStyle="1" w:styleId="TOC41">
    <w:name w:val="TOC 41"/>
    <w:basedOn w:val="Normal"/>
    <w:next w:val="Normal"/>
    <w:autoRedefine/>
    <w:uiPriority w:val="39"/>
    <w:unhideWhenUsed/>
    <w:qFormat/>
    <w:pPr>
      <w:spacing w:after="0" w:line="256" w:lineRule="auto"/>
      <w:ind w:left="660"/>
    </w:pPr>
    <w:rPr>
      <w:rFonts w:cs="Calibri"/>
      <w:sz w:val="20"/>
      <w:szCs w:val="20"/>
      <w:lang w:val="en-US"/>
    </w:rPr>
  </w:style>
  <w:style w:type="paragraph" w:customStyle="1" w:styleId="TOC51">
    <w:name w:val="TOC 51"/>
    <w:basedOn w:val="Normal"/>
    <w:next w:val="Normal"/>
    <w:autoRedefine/>
    <w:uiPriority w:val="39"/>
    <w:unhideWhenUsed/>
    <w:qFormat/>
    <w:pPr>
      <w:spacing w:after="0" w:line="256" w:lineRule="auto"/>
      <w:ind w:left="880"/>
    </w:pPr>
    <w:rPr>
      <w:rFonts w:cs="Calibri"/>
      <w:sz w:val="20"/>
      <w:szCs w:val="20"/>
      <w:lang w:val="en-US"/>
    </w:rPr>
  </w:style>
  <w:style w:type="paragraph" w:customStyle="1" w:styleId="TOC61">
    <w:name w:val="TOC 61"/>
    <w:basedOn w:val="Normal"/>
    <w:next w:val="Normal"/>
    <w:autoRedefine/>
    <w:uiPriority w:val="39"/>
    <w:unhideWhenUsed/>
    <w:qFormat/>
    <w:pPr>
      <w:spacing w:after="0" w:line="256" w:lineRule="auto"/>
      <w:ind w:left="1100"/>
    </w:pPr>
    <w:rPr>
      <w:rFonts w:cs="Calibri"/>
      <w:sz w:val="20"/>
      <w:szCs w:val="20"/>
      <w:lang w:val="en-US"/>
    </w:rPr>
  </w:style>
  <w:style w:type="paragraph" w:customStyle="1" w:styleId="TOC71">
    <w:name w:val="TOC 71"/>
    <w:basedOn w:val="Normal"/>
    <w:next w:val="Normal"/>
    <w:autoRedefine/>
    <w:uiPriority w:val="39"/>
    <w:unhideWhenUsed/>
    <w:qFormat/>
    <w:pPr>
      <w:spacing w:after="0" w:line="256" w:lineRule="auto"/>
      <w:ind w:left="1320"/>
    </w:pPr>
    <w:rPr>
      <w:rFonts w:cs="Calibri"/>
      <w:sz w:val="20"/>
      <w:szCs w:val="20"/>
      <w:lang w:val="en-US"/>
    </w:rPr>
  </w:style>
  <w:style w:type="paragraph" w:customStyle="1" w:styleId="TOC81">
    <w:name w:val="TOC 81"/>
    <w:basedOn w:val="Normal"/>
    <w:next w:val="Normal"/>
    <w:autoRedefine/>
    <w:uiPriority w:val="39"/>
    <w:unhideWhenUsed/>
    <w:qFormat/>
    <w:pPr>
      <w:spacing w:after="0" w:line="256" w:lineRule="auto"/>
      <w:ind w:left="1540"/>
    </w:pPr>
    <w:rPr>
      <w:rFonts w:cs="Calibri"/>
      <w:sz w:val="20"/>
      <w:szCs w:val="20"/>
      <w:lang w:val="en-US"/>
    </w:rPr>
  </w:style>
  <w:style w:type="paragraph" w:customStyle="1" w:styleId="TOC91">
    <w:name w:val="TOC 91"/>
    <w:basedOn w:val="Normal"/>
    <w:next w:val="Normal"/>
    <w:autoRedefine/>
    <w:uiPriority w:val="39"/>
    <w:unhideWhenUsed/>
    <w:qFormat/>
    <w:pPr>
      <w:spacing w:after="0" w:line="256" w:lineRule="auto"/>
      <w:ind w:left="1760"/>
    </w:pPr>
    <w:rPr>
      <w:rFonts w:cs="Calibri"/>
      <w:sz w:val="20"/>
      <w:szCs w:val="20"/>
      <w:lang w:val="en-US"/>
    </w:rPr>
  </w:style>
  <w:style w:type="paragraph" w:customStyle="1" w:styleId="Myfigures">
    <w:name w:val="My figures"/>
    <w:basedOn w:val="Caption"/>
    <w:next w:val="Caption"/>
    <w:qFormat/>
    <w:pPr>
      <w:spacing w:line="360" w:lineRule="auto"/>
    </w:pPr>
    <w:rPr>
      <w:rFonts w:ascii="Times New Roman" w:hAnsi="Times New Roman" w:cs="Times New Roman"/>
      <w:b/>
      <w:bCs/>
      <w:color w:val="000000"/>
      <w:sz w:val="24"/>
      <w:szCs w:val="24"/>
      <w:lang w:val="en-US"/>
    </w:rPr>
  </w:style>
  <w:style w:type="paragraph" w:customStyle="1" w:styleId="Mytable">
    <w:name w:val="My table"/>
    <w:basedOn w:val="Caption"/>
    <w:next w:val="Caption"/>
    <w:qFormat/>
    <w:rPr>
      <w:rFonts w:ascii="Times New Roman" w:hAnsi="Times New Roman"/>
      <w:color w:val="000000"/>
      <w:sz w:val="24"/>
      <w:lang w:val="en-US"/>
    </w:rPr>
  </w:style>
  <w:style w:type="paragraph" w:customStyle="1" w:styleId="TableofFigures1">
    <w:name w:val="Table of Figures1"/>
    <w:basedOn w:val="Normal"/>
    <w:next w:val="Normal"/>
    <w:uiPriority w:val="99"/>
    <w:unhideWhenUsed/>
    <w:qFormat/>
    <w:pPr>
      <w:spacing w:after="0" w:line="256" w:lineRule="auto"/>
      <w:ind w:left="440" w:hanging="440"/>
    </w:pPr>
    <w:rPr>
      <w:rFonts w:cs="Calibri"/>
      <w:smallCaps/>
      <w:sz w:val="20"/>
      <w:szCs w:val="20"/>
      <w:lang w:val="en-US"/>
    </w:rPr>
  </w:style>
  <w:style w:type="paragraph" w:customStyle="1" w:styleId="listofplates">
    <w:name w:val="list of plates"/>
    <w:basedOn w:val="Caption"/>
    <w:next w:val="Caption"/>
    <w:qFormat/>
    <w:pPr>
      <w:spacing w:line="360" w:lineRule="auto"/>
    </w:pPr>
    <w:rPr>
      <w:rFonts w:ascii="Times New Roman" w:hAnsi="Times New Roman" w:cs="Times New Roman"/>
      <w:b/>
      <w:bCs/>
      <w:color w:val="000000"/>
      <w:sz w:val="24"/>
      <w:szCs w:val="24"/>
      <w:lang w:val="en-US"/>
    </w:rPr>
  </w:style>
  <w:style w:type="paragraph" w:customStyle="1" w:styleId="TableParagraph">
    <w:name w:val="Table Paragraph"/>
    <w:basedOn w:val="Normal"/>
    <w:uiPriority w:val="1"/>
    <w:qFormat/>
    <w:pPr>
      <w:widowControl w:val="0"/>
      <w:autoSpaceDE w:val="0"/>
      <w:autoSpaceDN w:val="0"/>
      <w:spacing w:after="0" w:line="240" w:lineRule="auto"/>
      <w:ind w:left="110"/>
    </w:pPr>
    <w:rPr>
      <w:rFonts w:ascii="Times New Roman" w:eastAsia="Times New Roman" w:hAnsi="Times New Roman" w:cs="Times New Roman"/>
      <w:kern w:val="0"/>
      <w:sz w:val="22"/>
      <w:szCs w:val="22"/>
      <w:lang w:val="en-US"/>
      <w14:ligatures w14:val="non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styleId="NoSpacing">
    <w:name w:val="No Spacing"/>
    <w:uiPriority w:val="1"/>
    <w:qFormat/>
    <w:rPr>
      <w:kern w:val="2"/>
      <w:sz w:val="24"/>
      <w:szCs w:val="24"/>
      <w:lang w:val="zh-CN"/>
      <w14:ligatures w14:val="standardContextual"/>
    </w:rPr>
  </w:style>
  <w:style w:type="character" w:styleId="UnresolvedMention">
    <w:name w:val="Unresolved Mention"/>
    <w:basedOn w:val="DefaultParagraphFont"/>
    <w:uiPriority w:val="99"/>
    <w:semiHidden/>
    <w:unhideWhenUsed/>
    <w:rsid w:val="00372A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1016/j.joei.2025.10228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109/UPEC.2015.7339927"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x.doi.org/10.15344/2455-2372/2015/114" TargetMode="External"/><Relationship Id="rId23" Type="http://schemas.openxmlformats.org/officeDocument/2006/relationships/footer" Target="footer3.xml"/><Relationship Id="rId10" Type="http://schemas.openxmlformats.org/officeDocument/2006/relationships/image" Target="media/image10.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9734/CSJI/2025/v34i4983"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1597</TotalTime>
  <Pages>14</Pages>
  <Words>5645</Words>
  <Characters>32180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1186</cp:lastModifiedBy>
  <cp:revision>44</cp:revision>
  <dcterms:created xsi:type="dcterms:W3CDTF">2026-03-12T11:57:00Z</dcterms:created>
  <dcterms:modified xsi:type="dcterms:W3CDTF">2026-04-11T06:54:00Z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2183C82D89324C6DB4F7F3F848080C37_12</vt:lpwstr>
  </property>
</Properties>
</file>