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9C0F" w14:textId="215F1E41" w:rsidR="00351C7C" w:rsidRPr="00351C7C" w:rsidRDefault="00351C7C" w:rsidP="00351C7C">
      <w:pPr>
        <w:rPr>
          <w:rFonts w:ascii="Times New Roman" w:hAnsi="Times New Roman" w:cs="Times New Roman"/>
          <w:b/>
          <w:bCs/>
          <w:sz w:val="24"/>
          <w:szCs w:val="24"/>
          <w:u w:val="single"/>
        </w:rPr>
      </w:pPr>
      <w:r w:rsidRPr="00351C7C">
        <w:rPr>
          <w:rFonts w:ascii="Times New Roman" w:hAnsi="Times New Roman" w:cs="Times New Roman"/>
          <w:b/>
          <w:bCs/>
          <w:sz w:val="24"/>
          <w:szCs w:val="24"/>
          <w:u w:val="single"/>
        </w:rPr>
        <w:t>Review Article</w:t>
      </w:r>
    </w:p>
    <w:p w14:paraId="459114EC" w14:textId="250393D2" w:rsidR="00AB10DA" w:rsidRDefault="00351C7C" w:rsidP="004F5719">
      <w:pPr>
        <w:jc w:val="right"/>
        <w:rPr>
          <w:rFonts w:ascii="Times New Roman" w:hAnsi="Times New Roman" w:cs="Times New Roman"/>
          <w:b/>
          <w:bCs/>
          <w:sz w:val="24"/>
          <w:szCs w:val="24"/>
        </w:rPr>
      </w:pPr>
      <w:r w:rsidRPr="00351C7C">
        <w:rPr>
          <w:rFonts w:ascii="Times New Roman" w:hAnsi="Times New Roman" w:cs="Times New Roman"/>
          <w:b/>
          <w:bCs/>
          <w:sz w:val="24"/>
          <w:szCs w:val="24"/>
        </w:rPr>
        <w:t>NEURODEGENERATION IN ALZHEIMER’S DISEASE: INTEGRATING MECHANISM WITH TRANSLATIONAL THERAPEUTIC STRATEGIES</w:t>
      </w:r>
    </w:p>
    <w:p w14:paraId="615DD3F7" w14:textId="77777777" w:rsidR="00351C7C" w:rsidRDefault="00351C7C" w:rsidP="004F5719">
      <w:pPr>
        <w:jc w:val="right"/>
        <w:rPr>
          <w:rFonts w:ascii="Times New Roman" w:hAnsi="Times New Roman" w:cs="Times New Roman"/>
          <w:b/>
          <w:bCs/>
          <w:sz w:val="24"/>
          <w:szCs w:val="24"/>
        </w:rPr>
      </w:pPr>
    </w:p>
    <w:p w14:paraId="47C30780" w14:textId="3FD502AE" w:rsidR="00AB10DA" w:rsidRPr="00DE6416" w:rsidRDefault="00756060" w:rsidP="00F8100A">
      <w:pPr>
        <w:jc w:val="both"/>
        <w:rPr>
          <w:rFonts w:ascii="Times New Roman" w:hAnsi="Times New Roman" w:cs="Times New Roman"/>
          <w:b/>
          <w:bCs/>
        </w:rPr>
      </w:pPr>
      <w:r w:rsidRPr="00DE6416">
        <w:rPr>
          <w:rFonts w:ascii="Times New Roman" w:hAnsi="Times New Roman" w:cs="Times New Roman"/>
          <w:b/>
          <w:bCs/>
        </w:rPr>
        <w:t>ABSTRACT</w:t>
      </w:r>
    </w:p>
    <w:p w14:paraId="4216E9CC" w14:textId="52977A3E" w:rsidR="00F8100A" w:rsidRPr="00DE6416" w:rsidRDefault="00F8100A" w:rsidP="00F8100A">
      <w:pPr>
        <w:spacing w:before="100" w:beforeAutospacing="1" w:after="100" w:afterAutospacing="1" w:line="240" w:lineRule="auto"/>
        <w:jc w:val="both"/>
        <w:rPr>
          <w:rFonts w:ascii="Times New Roman" w:hAnsi="Times New Roman" w:cs="Times New Roman"/>
          <w:sz w:val="20"/>
          <w:szCs w:val="20"/>
        </w:rPr>
      </w:pPr>
      <w:r w:rsidRPr="00DE6416">
        <w:rPr>
          <w:rFonts w:ascii="Times New Roman" w:hAnsi="Times New Roman" w:cs="Times New Roman"/>
          <w:sz w:val="20"/>
          <w:szCs w:val="20"/>
        </w:rPr>
        <w:t xml:space="preserve">Alzheimer </w:t>
      </w:r>
      <w:r w:rsidR="00C11A7F" w:rsidRPr="00DE6416">
        <w:rPr>
          <w:rFonts w:ascii="Times New Roman" w:hAnsi="Times New Roman" w:cs="Times New Roman"/>
          <w:sz w:val="20"/>
          <w:szCs w:val="20"/>
        </w:rPr>
        <w:t>disease (</w:t>
      </w:r>
      <w:r w:rsidRPr="00DE6416">
        <w:rPr>
          <w:rFonts w:ascii="Times New Roman" w:hAnsi="Times New Roman" w:cs="Times New Roman"/>
          <w:sz w:val="20"/>
          <w:szCs w:val="20"/>
        </w:rPr>
        <w:t>AD</w:t>
      </w:r>
      <w:r w:rsidR="00C11A7F" w:rsidRPr="00DE6416">
        <w:rPr>
          <w:rFonts w:ascii="Times New Roman" w:hAnsi="Times New Roman" w:cs="Times New Roman"/>
          <w:sz w:val="20"/>
          <w:szCs w:val="20"/>
        </w:rPr>
        <w:t>)</w:t>
      </w:r>
      <w:r w:rsidRPr="00DE6416">
        <w:rPr>
          <w:rFonts w:ascii="Times New Roman" w:hAnsi="Times New Roman" w:cs="Times New Roman"/>
          <w:sz w:val="20"/>
          <w:szCs w:val="20"/>
        </w:rPr>
        <w:t xml:space="preserve"> is a progressive neurodegenerative disease and the most common cause of dementia in the world, which has a gradual deterioration of memory, thinking and autonomy. The AD pathogenesis is a multifaceted and intricate interaction between molecular/cellular processes like amyloid-</w:t>
      </w:r>
      <w:r w:rsidR="00DE003B" w:rsidRPr="00DE6416">
        <w:rPr>
          <w:rFonts w:ascii="Times New Roman" w:hAnsi="Times New Roman" w:cs="Times New Roman"/>
          <w:sz w:val="20"/>
          <w:szCs w:val="20"/>
        </w:rPr>
        <w:t>ß</w:t>
      </w:r>
      <w:r w:rsidRPr="00DE6416">
        <w:rPr>
          <w:rFonts w:ascii="Times New Roman" w:hAnsi="Times New Roman" w:cs="Times New Roman"/>
          <w:sz w:val="20"/>
          <w:szCs w:val="20"/>
        </w:rPr>
        <w:t xml:space="preserve"> (A</w:t>
      </w:r>
      <w:r w:rsidR="00DE003B" w:rsidRPr="00DE6416">
        <w:rPr>
          <w:rFonts w:ascii="Times New Roman" w:hAnsi="Times New Roman" w:cs="Times New Roman"/>
          <w:sz w:val="20"/>
          <w:szCs w:val="20"/>
        </w:rPr>
        <w:t>ß</w:t>
      </w:r>
      <w:r w:rsidRPr="00DE6416">
        <w:rPr>
          <w:rFonts w:ascii="Times New Roman" w:hAnsi="Times New Roman" w:cs="Times New Roman"/>
          <w:sz w:val="20"/>
          <w:szCs w:val="20"/>
        </w:rPr>
        <w:t>) aggregation, tau hyperphosphorylation, neuroinflammation, synaptic dysfunction, vascular changes, and genetic predisposing factors (APOE 4 allele). The amyloid cascade proposal suggests that when there is an anomaly in the handling of amyloid precursor protein, it will cause aggregation of A</w:t>
      </w:r>
      <w:r w:rsidR="00DE003B" w:rsidRPr="00DE6416">
        <w:rPr>
          <w:rFonts w:ascii="Times New Roman" w:hAnsi="Times New Roman" w:cs="Times New Roman"/>
          <w:sz w:val="20"/>
          <w:szCs w:val="20"/>
        </w:rPr>
        <w:t>ß</w:t>
      </w:r>
      <w:r w:rsidRPr="00DE6416">
        <w:rPr>
          <w:rFonts w:ascii="Times New Roman" w:hAnsi="Times New Roman" w:cs="Times New Roman"/>
          <w:sz w:val="20"/>
          <w:szCs w:val="20"/>
        </w:rPr>
        <w:t>, which will culminate into the development of toxic oligomers and as well as extracellular plaques, and the eventual destruction of neurons. Tau pathology is also associated with a further role in neurodegeneration by causing intracellular neurofibrillary tangles and impairment of transport via axons. The studies on biomarkers obtained in recent years, such as cerebrospinal fluid biomarkers, plasma phosphorylated tau, and neuroimaging, such as structural MRI, have greatly augmented the exquisite rooting of the disease by detecting and classifying in its initial phases using AT(N) biomarker framework. Symbolic treatment has changed to disease-modifying treatment designed to inhibit the cholinergic system, glutamatergic system, anti-amyloid monoclonal antibodies, anti-tau therapy, and neuroinflammatory and metabolic dysfunction modulators. New technologies such as gene-editing, stem cell-therapy, exosome-therapy, digital-neuromodulation technologies etc also add to the translational therapeutic landscape. Moreover, multidomain lifestyle intervention, cognitive engagement, and any preventive approach to vascular risk management can be vital to eliminate the risk and development of diseases. Irrespective of these developments, there are still major challenges in translational research, such as heterogeneity of diseases, evaluation limitations of preclinical models, and inability to intervene clinically promptly. Precision medicine methods with multimodal biomarkers, early-stage diagnostics, and combination therapy should be considered in the future research to enhance the clinical outcomes and decrease the worldwide Alzheimer disease burden.</w:t>
      </w:r>
    </w:p>
    <w:p w14:paraId="50F9128B" w14:textId="14092380" w:rsidR="00144AED" w:rsidRPr="00DE6416" w:rsidRDefault="00756060" w:rsidP="00F8100A">
      <w:pPr>
        <w:spacing w:before="100" w:beforeAutospacing="1" w:after="100" w:afterAutospacing="1" w:line="240" w:lineRule="auto"/>
        <w:jc w:val="both"/>
        <w:rPr>
          <w:rFonts w:ascii="Times New Roman" w:eastAsia="Times New Roman" w:hAnsi="Times New Roman" w:cs="Times New Roman"/>
          <w:lang w:eastAsia="en-IN"/>
        </w:rPr>
      </w:pPr>
      <w:r w:rsidRPr="00DE6416">
        <w:rPr>
          <w:rFonts w:ascii="Times New Roman" w:eastAsia="Times New Roman" w:hAnsi="Times New Roman" w:cs="Times New Roman"/>
          <w:b/>
          <w:bCs/>
          <w:lang w:eastAsia="en-IN"/>
        </w:rPr>
        <w:t>KEYWORDS</w:t>
      </w:r>
    </w:p>
    <w:p w14:paraId="552A53A7" w14:textId="4FE153B5" w:rsidR="00A063CE" w:rsidRPr="00A063CE" w:rsidRDefault="00A063CE" w:rsidP="00C01458">
      <w:pPr>
        <w:spacing w:before="100" w:beforeAutospacing="1" w:after="100" w:afterAutospacing="1" w:line="240" w:lineRule="auto"/>
        <w:jc w:val="both"/>
        <w:rPr>
          <w:rFonts w:ascii="Times New Roman" w:eastAsia="Times New Roman" w:hAnsi="Times New Roman" w:cs="Times New Roman"/>
          <w:sz w:val="20"/>
          <w:szCs w:val="20"/>
          <w:lang w:eastAsia="en-IN"/>
        </w:rPr>
      </w:pPr>
      <w:r w:rsidRPr="00A063CE">
        <w:rPr>
          <w:rFonts w:ascii="Times New Roman" w:hAnsi="Times New Roman" w:cs="Times New Roman"/>
          <w:sz w:val="20"/>
          <w:szCs w:val="20"/>
        </w:rPr>
        <w:t xml:space="preserve">Alzheimer’s disease; Amyloid-beta; Tau pathology; Neuroinflammation; Oxidative stress; Disease-modifying therapies; Biomarkers; AT(N) framework; Neurodegeneration; Precision medicine </w:t>
      </w:r>
    </w:p>
    <w:p w14:paraId="243620A6" w14:textId="77777777" w:rsidR="00C11A7F" w:rsidRDefault="00C11A7F" w:rsidP="00F8100A">
      <w:pPr>
        <w:jc w:val="both"/>
        <w:rPr>
          <w:rFonts w:ascii="Times New Roman" w:hAnsi="Times New Roman" w:cs="Times New Roman"/>
          <w:b/>
          <w:bCs/>
          <w:sz w:val="24"/>
          <w:szCs w:val="24"/>
        </w:rPr>
      </w:pPr>
    </w:p>
    <w:p w14:paraId="219E435D" w14:textId="77777777" w:rsidR="00C11A7F" w:rsidRDefault="00C11A7F" w:rsidP="00F8100A">
      <w:pPr>
        <w:jc w:val="both"/>
        <w:rPr>
          <w:rFonts w:ascii="Times New Roman" w:hAnsi="Times New Roman" w:cs="Times New Roman"/>
          <w:b/>
          <w:bCs/>
          <w:sz w:val="24"/>
          <w:szCs w:val="24"/>
        </w:rPr>
      </w:pPr>
    </w:p>
    <w:p w14:paraId="7EC11029" w14:textId="77777777" w:rsidR="00DE6416" w:rsidRDefault="00DE6416" w:rsidP="00F8100A">
      <w:pPr>
        <w:jc w:val="both"/>
        <w:rPr>
          <w:rFonts w:ascii="Times New Roman" w:hAnsi="Times New Roman" w:cs="Times New Roman"/>
          <w:b/>
          <w:bCs/>
          <w:sz w:val="24"/>
          <w:szCs w:val="24"/>
        </w:rPr>
      </w:pPr>
    </w:p>
    <w:p w14:paraId="44D4C9D4" w14:textId="77777777" w:rsidR="00DE6416" w:rsidRDefault="00DE6416" w:rsidP="00F8100A">
      <w:pPr>
        <w:jc w:val="both"/>
        <w:rPr>
          <w:rFonts w:ascii="Times New Roman" w:hAnsi="Times New Roman" w:cs="Times New Roman"/>
          <w:b/>
          <w:bCs/>
          <w:sz w:val="24"/>
          <w:szCs w:val="24"/>
        </w:rPr>
      </w:pPr>
    </w:p>
    <w:p w14:paraId="35986B5C" w14:textId="77777777" w:rsidR="00DE6416" w:rsidRDefault="00DE6416" w:rsidP="00F8100A">
      <w:pPr>
        <w:jc w:val="both"/>
        <w:rPr>
          <w:rFonts w:ascii="Times New Roman" w:hAnsi="Times New Roman" w:cs="Times New Roman"/>
          <w:b/>
          <w:bCs/>
          <w:sz w:val="24"/>
          <w:szCs w:val="24"/>
        </w:rPr>
      </w:pPr>
    </w:p>
    <w:p w14:paraId="56878E32" w14:textId="77777777" w:rsidR="00DE6416" w:rsidRDefault="00DE6416" w:rsidP="00F8100A">
      <w:pPr>
        <w:jc w:val="both"/>
        <w:rPr>
          <w:rFonts w:ascii="Times New Roman" w:hAnsi="Times New Roman" w:cs="Times New Roman"/>
          <w:b/>
          <w:bCs/>
          <w:sz w:val="24"/>
          <w:szCs w:val="24"/>
        </w:rPr>
      </w:pPr>
    </w:p>
    <w:p w14:paraId="6D3588FD" w14:textId="77777777" w:rsidR="00DE6416" w:rsidRDefault="00DE6416" w:rsidP="00F8100A">
      <w:pPr>
        <w:jc w:val="both"/>
        <w:rPr>
          <w:rFonts w:ascii="Times New Roman" w:hAnsi="Times New Roman" w:cs="Times New Roman"/>
          <w:b/>
          <w:bCs/>
          <w:sz w:val="24"/>
          <w:szCs w:val="24"/>
        </w:rPr>
      </w:pPr>
    </w:p>
    <w:p w14:paraId="1BB75A7E" w14:textId="0177CF3D" w:rsidR="00DE6416" w:rsidRDefault="00DE6416" w:rsidP="00F8100A">
      <w:pPr>
        <w:jc w:val="both"/>
        <w:rPr>
          <w:rFonts w:ascii="Times New Roman" w:hAnsi="Times New Roman" w:cs="Times New Roman"/>
          <w:b/>
          <w:bCs/>
          <w:sz w:val="24"/>
          <w:szCs w:val="24"/>
        </w:rPr>
      </w:pPr>
    </w:p>
    <w:p w14:paraId="6C560577" w14:textId="3B1C89D0" w:rsidR="007E3E41" w:rsidRDefault="007E3E41" w:rsidP="00F8100A">
      <w:pPr>
        <w:jc w:val="both"/>
        <w:rPr>
          <w:rFonts w:ascii="Times New Roman" w:hAnsi="Times New Roman" w:cs="Times New Roman"/>
          <w:b/>
          <w:bCs/>
          <w:sz w:val="24"/>
          <w:szCs w:val="24"/>
        </w:rPr>
      </w:pPr>
    </w:p>
    <w:p w14:paraId="50DFBF03" w14:textId="32AFB6C0" w:rsidR="007E3E41" w:rsidRDefault="007E3E41" w:rsidP="00F8100A">
      <w:pPr>
        <w:jc w:val="both"/>
        <w:rPr>
          <w:rFonts w:ascii="Times New Roman" w:hAnsi="Times New Roman" w:cs="Times New Roman"/>
          <w:b/>
          <w:bCs/>
          <w:sz w:val="24"/>
          <w:szCs w:val="24"/>
        </w:rPr>
      </w:pPr>
    </w:p>
    <w:p w14:paraId="1A02A35E" w14:textId="724208CA" w:rsidR="007E3E41" w:rsidRDefault="007E3E41" w:rsidP="00F8100A">
      <w:pPr>
        <w:jc w:val="both"/>
        <w:rPr>
          <w:rFonts w:ascii="Times New Roman" w:hAnsi="Times New Roman" w:cs="Times New Roman"/>
          <w:b/>
          <w:bCs/>
          <w:sz w:val="24"/>
          <w:szCs w:val="24"/>
        </w:rPr>
      </w:pPr>
    </w:p>
    <w:p w14:paraId="0082D623" w14:textId="77777777" w:rsidR="007E3E41" w:rsidRDefault="007E3E41" w:rsidP="00F8100A">
      <w:pPr>
        <w:jc w:val="both"/>
        <w:rPr>
          <w:rFonts w:ascii="Times New Roman" w:hAnsi="Times New Roman" w:cs="Times New Roman"/>
          <w:b/>
          <w:bCs/>
          <w:sz w:val="24"/>
          <w:szCs w:val="24"/>
        </w:rPr>
      </w:pPr>
    </w:p>
    <w:p w14:paraId="6086BD07" w14:textId="0AEF5C5F" w:rsidR="00AB10DA" w:rsidRPr="00DE6416" w:rsidRDefault="00C11A7F" w:rsidP="00F8100A">
      <w:pPr>
        <w:jc w:val="both"/>
        <w:rPr>
          <w:rFonts w:ascii="Times New Roman" w:hAnsi="Times New Roman" w:cs="Times New Roman"/>
          <w:b/>
          <w:bCs/>
        </w:rPr>
      </w:pPr>
      <w:r w:rsidRPr="00DE6416">
        <w:rPr>
          <w:rFonts w:ascii="Times New Roman" w:hAnsi="Times New Roman" w:cs="Times New Roman"/>
          <w:b/>
          <w:bCs/>
        </w:rPr>
        <w:lastRenderedPageBreak/>
        <w:t xml:space="preserve">1. INTRODUCTION </w:t>
      </w:r>
    </w:p>
    <w:p w14:paraId="137568F5"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Alzheimer disease (AD) is a progressive neurodegenerative disorder and the most prevalent cause of dementia in the globe, which is marked by progressive impairment of the memory, cognition, and behavior that eventually disrupt the day-to-day functioning. AD is accelerating in the world burden because of aging of the population, and it presents a significant cause of disability in elderly people, making it a key issue of focus among the general population </w:t>
      </w:r>
      <w:r w:rsidRPr="00DE6416">
        <w:rPr>
          <w:rFonts w:ascii="Times New Roman" w:hAnsi="Times New Roman" w:cs="Times New Roman"/>
          <w:sz w:val="20"/>
          <w:szCs w:val="20"/>
          <w:vertAlign w:val="superscript"/>
        </w:rPr>
        <w:t>[1]</w:t>
      </w:r>
      <w:r w:rsidRPr="00DE6416">
        <w:rPr>
          <w:rFonts w:ascii="Times New Roman" w:hAnsi="Times New Roman" w:cs="Times New Roman"/>
          <w:sz w:val="20"/>
          <w:szCs w:val="20"/>
        </w:rPr>
        <w:t>.</w:t>
      </w:r>
    </w:p>
    <w:p w14:paraId="1A4830E9"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Extracellular deposition of amyloid-ß (Aß) plaques and intracellular accumulations of hyperphosphorylated tau protein in the form of neurofibrillary tangles are the neuropathological hallmarks of Alzheimer disease. These diseased aggregates interfere with neuronal communication, damage synapse plasticity, and eventually result in a progressive loss of neurons and atrophy of the brain, especially the memory-related regions of hippocampus and cortex </w:t>
      </w:r>
      <w:r w:rsidRPr="00DE6416">
        <w:rPr>
          <w:rFonts w:ascii="Times New Roman" w:hAnsi="Times New Roman" w:cs="Times New Roman"/>
          <w:sz w:val="20"/>
          <w:szCs w:val="20"/>
          <w:vertAlign w:val="superscript"/>
        </w:rPr>
        <w:t>[2]</w:t>
      </w:r>
      <w:r w:rsidRPr="00DE6416">
        <w:rPr>
          <w:rFonts w:ascii="Times New Roman" w:hAnsi="Times New Roman" w:cs="Times New Roman"/>
          <w:sz w:val="20"/>
          <w:szCs w:val="20"/>
        </w:rPr>
        <w:t>.</w:t>
      </w:r>
    </w:p>
    <w:p w14:paraId="5E890D12"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Even though the amyloid cascade hypothesis has remained the primary hypothesis in AD studies, new discoveries point to the fact that Alzheimer disease is a complex condition that entails the complex interplay among amyloid toxicity, tau pathology, neuroinflammation, oxidative stress, mitochondrial dysfunction, and dysfunctional protein clearance systems </w:t>
      </w:r>
      <w:r w:rsidRPr="00DE6416">
        <w:rPr>
          <w:rFonts w:ascii="Times New Roman" w:hAnsi="Times New Roman" w:cs="Times New Roman"/>
          <w:sz w:val="20"/>
          <w:szCs w:val="20"/>
          <w:vertAlign w:val="superscript"/>
        </w:rPr>
        <w:t>[3]</w:t>
      </w:r>
      <w:r w:rsidRPr="00DE6416">
        <w:rPr>
          <w:rFonts w:ascii="Times New Roman" w:hAnsi="Times New Roman" w:cs="Times New Roman"/>
          <w:sz w:val="20"/>
          <w:szCs w:val="20"/>
        </w:rPr>
        <w:t>.</w:t>
      </w:r>
    </w:p>
    <w:p w14:paraId="4AC74EBE"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These molecular processes are not the only factors that control susceptibility to disease, genetic factors are also very important. APOE ε4 allele, mutations in APP, PSEN1, PSEN2, and other genes play a significant role in predisposing people to develop the Alzheimer disease by affecting the processing of amyloid, lipid metabolism, and mechanisms of neuronal repair </w:t>
      </w:r>
      <w:r w:rsidRPr="00DE6416">
        <w:rPr>
          <w:rFonts w:ascii="Times New Roman" w:hAnsi="Times New Roman" w:cs="Times New Roman"/>
          <w:sz w:val="20"/>
          <w:szCs w:val="20"/>
          <w:vertAlign w:val="superscript"/>
        </w:rPr>
        <w:t>[4]</w:t>
      </w:r>
      <w:r w:rsidRPr="00DE6416">
        <w:rPr>
          <w:rFonts w:ascii="Times New Roman" w:hAnsi="Times New Roman" w:cs="Times New Roman"/>
          <w:sz w:val="20"/>
          <w:szCs w:val="20"/>
        </w:rPr>
        <w:t>.</w:t>
      </w:r>
    </w:p>
    <w:p w14:paraId="5B24BBBE"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synergistic interaction between amylin-ß and tau is another recent development that has pointed to the role of the two pathologies in causing neurodegeneration. Research indicates the possibility of abnormal tau phosphorylation and aggregation as a result of accumulation of amyloid, which further propagates neuronal impairment and hastens cognitive impairment </w:t>
      </w:r>
      <w:r w:rsidRPr="00DE6416">
        <w:rPr>
          <w:rFonts w:ascii="Times New Roman" w:hAnsi="Times New Roman" w:cs="Times New Roman"/>
          <w:sz w:val="20"/>
          <w:szCs w:val="20"/>
          <w:vertAlign w:val="superscript"/>
        </w:rPr>
        <w:t>[5]</w:t>
      </w:r>
      <w:r w:rsidRPr="00DE6416">
        <w:rPr>
          <w:rFonts w:ascii="Times New Roman" w:hAnsi="Times New Roman" w:cs="Times New Roman"/>
          <w:sz w:val="20"/>
          <w:szCs w:val="20"/>
        </w:rPr>
        <w:t>.</w:t>
      </w:r>
    </w:p>
    <w:p w14:paraId="2B43575E"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breakthrough in neurobiology has also shown that neuroinflammation and glial cell activation play a major role in the progression of disease. Pro-inflammatory mediators released by activated microglia and astrocytes increase neuronal damage and enhance further deposition of pathological proteins, enhancing neurodegenerative reactions </w:t>
      </w:r>
      <w:r w:rsidRPr="00DE6416">
        <w:rPr>
          <w:rFonts w:ascii="Times New Roman" w:hAnsi="Times New Roman" w:cs="Times New Roman"/>
          <w:sz w:val="20"/>
          <w:szCs w:val="20"/>
          <w:vertAlign w:val="superscript"/>
        </w:rPr>
        <w:t>[6]</w:t>
      </w:r>
      <w:r w:rsidRPr="00DE6416">
        <w:rPr>
          <w:rFonts w:ascii="Times New Roman" w:hAnsi="Times New Roman" w:cs="Times New Roman"/>
          <w:sz w:val="20"/>
          <w:szCs w:val="20"/>
        </w:rPr>
        <w:t>.</w:t>
      </w:r>
    </w:p>
    <w:p w14:paraId="517B87D7" w14:textId="35AA08DD" w:rsidR="00351AD5"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With this intertwined nature of these systems, modern therapeutic studies are moving towards translational approaches, which combine both mechanistic and interventions. These strategies are disease-modifying therapy based on amyloid and tau, biomarker-based early diagnosis, and novel modalities such as gene-based therapy, immunotherapy, and multi-target pharmacological therapy </w:t>
      </w:r>
      <w:r w:rsidRPr="00DE6416">
        <w:rPr>
          <w:rFonts w:ascii="Times New Roman" w:hAnsi="Times New Roman" w:cs="Times New Roman"/>
          <w:sz w:val="20"/>
          <w:szCs w:val="20"/>
          <w:vertAlign w:val="superscript"/>
        </w:rPr>
        <w:t>[7]</w:t>
      </w:r>
      <w:r w:rsidRPr="00DE6416">
        <w:rPr>
          <w:rFonts w:ascii="Times New Roman" w:hAnsi="Times New Roman" w:cs="Times New Roman"/>
          <w:sz w:val="20"/>
          <w:szCs w:val="20"/>
        </w:rPr>
        <w:t>.</w:t>
      </w:r>
    </w:p>
    <w:p w14:paraId="5722DC74" w14:textId="49469004" w:rsidR="002B48C8" w:rsidRDefault="002B48C8" w:rsidP="00F8100A">
      <w:pPr>
        <w:jc w:val="both"/>
        <w:rPr>
          <w:rFonts w:ascii="Times New Roman" w:hAnsi="Times New Roman" w:cs="Times New Roman"/>
          <w:b/>
          <w:bCs/>
        </w:rPr>
      </w:pPr>
      <w:r w:rsidRPr="002B48C8">
        <w:rPr>
          <w:rFonts w:ascii="Times New Roman" w:hAnsi="Times New Roman" w:cs="Times New Roman"/>
          <w:b/>
          <w:bCs/>
        </w:rPr>
        <w:t>2. LITERATURE SEARCH METHODOLOGY</w:t>
      </w:r>
    </w:p>
    <w:p w14:paraId="52D231F8" w14:textId="77777777" w:rsidR="00733B86" w:rsidRPr="00A86987" w:rsidRDefault="00733B86" w:rsidP="00733B86">
      <w:pPr>
        <w:jc w:val="both"/>
        <w:rPr>
          <w:rStyle w:val="rounded-sm"/>
          <w:rFonts w:ascii="Times New Roman" w:hAnsi="Times New Roman" w:cs="Times New Roman"/>
          <w:sz w:val="20"/>
          <w:szCs w:val="20"/>
        </w:rPr>
      </w:pPr>
      <w:r w:rsidRPr="00A86987">
        <w:rPr>
          <w:rStyle w:val="rounded-sm"/>
          <w:rFonts w:ascii="Times New Roman" w:hAnsi="Times New Roman" w:cs="Times New Roman"/>
          <w:sz w:val="20"/>
          <w:szCs w:val="20"/>
        </w:rPr>
        <w:t>A broad literature search was conducted in the key electronic databases (Publmed, Scopus, and Google Scholar) to search and define the relevant literature on Alzheimer disease. The search strategy was search through a combination of key words i.e., Alzheimer disease, amyloid -Beta, tau pathology, neuroinflammation, oxidative stress, biomarkers and therapeutic strategies. Articles were selected based on their relevance to the scope of the review, with priority given to recent peer-reviewed publications (primarily from the last decade), as well as seminal studies that have significantly contributed to the understanding of disease mechanisms and therapeutic approaches.</w:t>
      </w:r>
      <w:r w:rsidRPr="00A86987">
        <w:rPr>
          <w:rFonts w:ascii="Times New Roman" w:hAnsi="Times New Roman" w:cs="Times New Roman"/>
          <w:sz w:val="20"/>
          <w:szCs w:val="20"/>
        </w:rPr>
        <w:t xml:space="preserve"> </w:t>
      </w:r>
      <w:r w:rsidRPr="00A86987">
        <w:rPr>
          <w:rStyle w:val="rounded-sm"/>
          <w:rFonts w:ascii="Times New Roman" w:hAnsi="Times New Roman" w:cs="Times New Roman"/>
          <w:sz w:val="20"/>
          <w:szCs w:val="20"/>
        </w:rPr>
        <w:t>Only articles published in English were considered.</w:t>
      </w:r>
    </w:p>
    <w:p w14:paraId="330FCE02" w14:textId="44592CC5" w:rsidR="002B48C8" w:rsidRPr="002B48C8" w:rsidRDefault="00733B86" w:rsidP="00F8100A">
      <w:pPr>
        <w:jc w:val="both"/>
        <w:rPr>
          <w:rFonts w:ascii="Times New Roman" w:hAnsi="Times New Roman" w:cs="Times New Roman"/>
          <w:sz w:val="20"/>
          <w:szCs w:val="20"/>
        </w:rPr>
      </w:pPr>
      <w:r w:rsidRPr="00A86987">
        <w:rPr>
          <w:rFonts w:ascii="Times New Roman" w:hAnsi="Times New Roman" w:cs="Times New Roman"/>
          <w:sz w:val="20"/>
          <w:szCs w:val="20"/>
        </w:rPr>
        <w:t>The reference lists of the identified articles were then screened manually to come up with more relevant studies in order to make the coverage complete. The focus has been on the research that covers both mechanistic plus translational therapeutic approaches, such as preclinical and clinical investigations. The review articles, original research papers, and consensus guidelines were taken into account to offer a balanced and current view of the field.</w:t>
      </w:r>
    </w:p>
    <w:p w14:paraId="6895F96D" w14:textId="55AD6820" w:rsidR="00EC0AFF" w:rsidRPr="00DE6416" w:rsidRDefault="00756060" w:rsidP="00F8100A">
      <w:pPr>
        <w:jc w:val="both"/>
        <w:rPr>
          <w:rFonts w:ascii="Times New Roman" w:hAnsi="Times New Roman" w:cs="Times New Roman"/>
          <w:b/>
          <w:bCs/>
        </w:rPr>
      </w:pPr>
      <w:r w:rsidRPr="00DE6416">
        <w:rPr>
          <w:rFonts w:ascii="Times New Roman" w:hAnsi="Times New Roman" w:cs="Times New Roman"/>
          <w:b/>
          <w:bCs/>
        </w:rPr>
        <w:t xml:space="preserve">2. </w:t>
      </w:r>
      <w:r w:rsidR="002B48C8" w:rsidRPr="00DE6416">
        <w:rPr>
          <w:rFonts w:ascii="Times New Roman" w:hAnsi="Times New Roman" w:cs="Times New Roman"/>
          <w:b/>
          <w:bCs/>
        </w:rPr>
        <w:t>PATHOGENIC MECHANISM</w:t>
      </w:r>
    </w:p>
    <w:p w14:paraId="545CB24B" w14:textId="6A936A15" w:rsidR="00A15CB7" w:rsidRPr="00DE6416" w:rsidRDefault="00756060" w:rsidP="00F8100A">
      <w:pPr>
        <w:jc w:val="both"/>
        <w:rPr>
          <w:rFonts w:ascii="Times New Roman" w:hAnsi="Times New Roman" w:cs="Times New Roman"/>
          <w:b/>
          <w:bCs/>
        </w:rPr>
      </w:pPr>
      <w:r w:rsidRPr="00DE6416">
        <w:rPr>
          <w:rFonts w:ascii="Times New Roman" w:hAnsi="Times New Roman" w:cs="Times New Roman"/>
          <w:b/>
          <w:bCs/>
        </w:rPr>
        <w:t>2.1 Amyloid-β (aβ) and the Amyloid Cascade</w:t>
      </w:r>
    </w:p>
    <w:p w14:paraId="5AFC7328"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lastRenderedPageBreak/>
        <w:t xml:space="preserve">One of the most popular models that can be used to explain the pathogenesis of the Alzheimer disease is the amyloid cascade hypothesis. This hypothesis holds that an abnormal accumulation of amyloid-ß (Aß) peptides in the brain is the starting point and a cascade of neurodegenerative events causes cognitive impairment. Sequential proteolytic processes on the amyloid precursor protein (APP) produce amyloid peptides as a result of ß-secretase (BACE1) and ɣ-secretase enzymatic activity. This process results in peptides of different lengths with the most common ones being Aß40 and Aß42. The Aß42 protein is more hydrophobic and aggregation-prone, which results in oligomers and extracellular amyloid plaques which is a significant neuropathological characteristic of Alzheimer disease </w:t>
      </w:r>
      <w:r w:rsidRPr="00DE6416">
        <w:rPr>
          <w:rFonts w:ascii="Times New Roman" w:hAnsi="Times New Roman" w:cs="Times New Roman"/>
          <w:sz w:val="20"/>
          <w:szCs w:val="20"/>
          <w:vertAlign w:val="superscript"/>
        </w:rPr>
        <w:t>[8]</w:t>
      </w:r>
      <w:r w:rsidRPr="00DE6416">
        <w:rPr>
          <w:rFonts w:ascii="Times New Roman" w:hAnsi="Times New Roman" w:cs="Times New Roman"/>
          <w:sz w:val="20"/>
          <w:szCs w:val="20"/>
        </w:rPr>
        <w:t>.</w:t>
      </w:r>
    </w:p>
    <w:p w14:paraId="5BE44863" w14:textId="7B86DE3E"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emerging body of evidence indicates that soluble Aß oligomers are especially neurotoxic as well as contribute significantly to early synaptic dysfunction. These oligomers interfere with synaptic signaling, impair long-term potentiation, alter calcium homeostasis and cause oxidative stress in neurons. In addition, Aggregation of Aß may stimulate the activation of microglia and astrocytes, which leads to neuroinflammatory mechanisms that worsen the destruction of neurons. It is also hypothesized that deposition of amyloid plaques facilitates tau hyperphosphorylation and synaptic formation of a neurofibrillary tangle, and thus connects amyloid pathology with subsequent tau-mediated neurodegeneration </w:t>
      </w:r>
      <w:r w:rsidRPr="00DE6416">
        <w:rPr>
          <w:rFonts w:ascii="Times New Roman" w:hAnsi="Times New Roman" w:cs="Times New Roman"/>
          <w:sz w:val="20"/>
          <w:szCs w:val="20"/>
          <w:vertAlign w:val="superscript"/>
        </w:rPr>
        <w:t>[9]</w:t>
      </w:r>
      <w:r w:rsidRPr="00DE6416">
        <w:rPr>
          <w:rFonts w:ascii="Times New Roman" w:hAnsi="Times New Roman" w:cs="Times New Roman"/>
          <w:sz w:val="20"/>
          <w:szCs w:val="20"/>
        </w:rPr>
        <w:t>.</w:t>
      </w:r>
    </w:p>
    <w:p w14:paraId="5FB9F207"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Altogether, the amyloid cascade hypothesis states that abnormal production of Aß, aggregation, and clearance are combined to trigger the cascade of molecular and cellular events leading to the progressive neurodegeneration in the Alzheimer disease </w:t>
      </w:r>
      <w:r w:rsidRPr="00DE6416">
        <w:rPr>
          <w:rFonts w:ascii="Times New Roman" w:hAnsi="Times New Roman" w:cs="Times New Roman"/>
          <w:sz w:val="20"/>
          <w:szCs w:val="20"/>
          <w:vertAlign w:val="superscript"/>
        </w:rPr>
        <w:t>[9]</w:t>
      </w:r>
      <w:r w:rsidRPr="00DE6416">
        <w:rPr>
          <w:rFonts w:ascii="Times New Roman" w:hAnsi="Times New Roman" w:cs="Times New Roman"/>
          <w:sz w:val="20"/>
          <w:szCs w:val="20"/>
        </w:rPr>
        <w:t xml:space="preserve">. </w:t>
      </w:r>
    </w:p>
    <w:p w14:paraId="3935344C" w14:textId="776B7B4F" w:rsidR="000A2D60" w:rsidRPr="00F8100A" w:rsidRDefault="00C372B3" w:rsidP="00F8100A">
      <w:pPr>
        <w:ind w:firstLine="360"/>
        <w:jc w:val="both"/>
        <w:rPr>
          <w:rFonts w:ascii="Times New Roman" w:hAnsi="Times New Roman" w:cs="Times New Roman"/>
          <w:sz w:val="24"/>
          <w:szCs w:val="24"/>
        </w:rPr>
      </w:pPr>
      <w:r w:rsidRPr="00F8100A">
        <w:rPr>
          <w:rFonts w:ascii="Times New Roman" w:hAnsi="Times New Roman" w:cs="Times New Roman"/>
          <w:noProof/>
          <w:sz w:val="24"/>
          <w:szCs w:val="24"/>
        </w:rPr>
        <w:drawing>
          <wp:inline distT="0" distB="0" distL="0" distR="0" wp14:anchorId="71668EDA" wp14:editId="51428787">
            <wp:extent cx="5728021" cy="362866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b="7289"/>
                    <a:stretch/>
                  </pic:blipFill>
                  <pic:spPr bwMode="auto">
                    <a:xfrm>
                      <a:off x="0" y="0"/>
                      <a:ext cx="5757725" cy="3647480"/>
                    </a:xfrm>
                    <a:prstGeom prst="rect">
                      <a:avLst/>
                    </a:prstGeom>
                    <a:ln>
                      <a:noFill/>
                    </a:ln>
                    <a:extLst>
                      <a:ext uri="{53640926-AAD7-44D8-BBD7-CCE9431645EC}">
                        <a14:shadowObscured xmlns:a14="http://schemas.microsoft.com/office/drawing/2010/main"/>
                      </a:ext>
                    </a:extLst>
                  </pic:spPr>
                </pic:pic>
              </a:graphicData>
            </a:graphic>
          </wp:inline>
        </w:drawing>
      </w:r>
    </w:p>
    <w:p w14:paraId="00F18934" w14:textId="0A718D13" w:rsidR="000A2D60" w:rsidRPr="005729CC" w:rsidRDefault="000A2D60" w:rsidP="005729CC">
      <w:pPr>
        <w:ind w:firstLine="360"/>
        <w:jc w:val="both"/>
        <w:rPr>
          <w:rFonts w:ascii="Times New Roman" w:hAnsi="Times New Roman" w:cs="Times New Roman"/>
        </w:rPr>
      </w:pPr>
      <w:r w:rsidRPr="00DE6416">
        <w:rPr>
          <w:rFonts w:ascii="Times New Roman" w:hAnsi="Times New Roman" w:cs="Times New Roman"/>
          <w:b/>
          <w:bCs/>
        </w:rPr>
        <w:t>Fig. 1:</w:t>
      </w:r>
      <w:r w:rsidR="00DF77D6" w:rsidRPr="00DF77D6">
        <w:t xml:space="preserve"> </w:t>
      </w:r>
      <w:r w:rsidR="00DF77D6" w:rsidRPr="005729CC">
        <w:rPr>
          <w:rFonts w:ascii="Times New Roman" w:hAnsi="Times New Roman" w:cs="Times New Roman"/>
        </w:rPr>
        <w:t>Amyloid-β aggregation and toxicity</w:t>
      </w:r>
      <w:r w:rsidR="005729CC">
        <w:t xml:space="preserve">. </w:t>
      </w:r>
      <w:r w:rsidR="00DF77D6" w:rsidRPr="005729CC">
        <w:t>Graphical depiction of amyloid-</w:t>
      </w:r>
      <w:r w:rsidR="00A46A60" w:rsidRPr="005729CC">
        <w:rPr>
          <w:rFonts w:ascii="Calibri" w:hAnsi="Calibri" w:cs="Calibri"/>
        </w:rPr>
        <w:t>ß</w:t>
      </w:r>
      <w:r w:rsidR="00DF77D6" w:rsidRPr="005729CC">
        <w:t xml:space="preserve"> aggregation between monomers, soluble oligomers and insoluble fibrils. Soluble oligomers are extremely toxic and lead to the neuronal malfunction and the aggregation process might depend on several factors.</w:t>
      </w:r>
    </w:p>
    <w:p w14:paraId="2C91DB73" w14:textId="4E2E958A" w:rsidR="000A2D60" w:rsidRPr="00F8100A" w:rsidRDefault="00756060" w:rsidP="00F8100A">
      <w:pPr>
        <w:jc w:val="both"/>
        <w:rPr>
          <w:rFonts w:ascii="Times New Roman" w:hAnsi="Times New Roman" w:cs="Times New Roman"/>
          <w:b/>
          <w:bCs/>
          <w:sz w:val="24"/>
          <w:szCs w:val="24"/>
        </w:rPr>
      </w:pPr>
      <w:r w:rsidRPr="00DE6416">
        <w:rPr>
          <w:rFonts w:ascii="Times New Roman" w:hAnsi="Times New Roman" w:cs="Times New Roman"/>
          <w:b/>
          <w:bCs/>
        </w:rPr>
        <w:t>amyloid-</w:t>
      </w:r>
      <w:r w:rsidRPr="00DE6416">
        <w:rPr>
          <w:rFonts w:ascii="Times New Roman" w:eastAsia="Times New Roman" w:hAnsi="Times New Roman" w:cs="Times New Roman"/>
          <w:b/>
          <w:bCs/>
          <w:lang w:eastAsia="en-IN"/>
        </w:rPr>
        <w:t xml:space="preserve"> β</w:t>
      </w:r>
      <w:r w:rsidRPr="00DE6416">
        <w:rPr>
          <w:rFonts w:ascii="Times New Roman" w:hAnsi="Times New Roman" w:cs="Times New Roman"/>
          <w:b/>
          <w:bCs/>
        </w:rPr>
        <w:t xml:space="preserve"> in three main states</w:t>
      </w:r>
      <w:r w:rsidRPr="00F8100A">
        <w:rPr>
          <w:rFonts w:ascii="Times New Roman" w:hAnsi="Times New Roman" w:cs="Times New Roman"/>
          <w:b/>
          <w:bCs/>
          <w:sz w:val="24"/>
          <w:szCs w:val="24"/>
        </w:rPr>
        <w:t>:</w:t>
      </w:r>
    </w:p>
    <w:p w14:paraId="0C0EB1BA" w14:textId="08514293" w:rsidR="00011459" w:rsidRPr="00DE6416" w:rsidRDefault="000A2D60"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Amyloid-ß (Aß) is a hydrophobic </w:t>
      </w:r>
      <w:r w:rsidR="002045F6" w:rsidRPr="00DE6416">
        <w:rPr>
          <w:rFonts w:ascii="Times New Roman" w:hAnsi="Times New Roman" w:cs="Times New Roman"/>
          <w:sz w:val="20"/>
          <w:szCs w:val="20"/>
        </w:rPr>
        <w:t>part</w:t>
      </w:r>
      <w:r w:rsidRPr="00DE6416">
        <w:rPr>
          <w:rFonts w:ascii="Times New Roman" w:hAnsi="Times New Roman" w:cs="Times New Roman"/>
          <w:sz w:val="20"/>
          <w:szCs w:val="20"/>
        </w:rPr>
        <w:t xml:space="preserve"> of the amyloid precursor protein (APP) derived by the successive </w:t>
      </w:r>
      <w:r w:rsidR="002045F6" w:rsidRPr="00DE6416">
        <w:rPr>
          <w:rFonts w:ascii="Times New Roman" w:hAnsi="Times New Roman" w:cs="Times New Roman"/>
          <w:sz w:val="20"/>
          <w:szCs w:val="20"/>
        </w:rPr>
        <w:t>fissure</w:t>
      </w:r>
      <w:r w:rsidRPr="00DE6416">
        <w:rPr>
          <w:rFonts w:ascii="Times New Roman" w:hAnsi="Times New Roman" w:cs="Times New Roman"/>
          <w:sz w:val="20"/>
          <w:szCs w:val="20"/>
        </w:rPr>
        <w:t xml:space="preserve"> of the protein by </w:t>
      </w:r>
      <w:r w:rsidR="00011459" w:rsidRPr="00DE6416">
        <w:rPr>
          <w:rFonts w:ascii="Times New Roman" w:hAnsi="Times New Roman" w:cs="Times New Roman"/>
          <w:sz w:val="20"/>
          <w:szCs w:val="20"/>
        </w:rPr>
        <w:t xml:space="preserve">ß </w:t>
      </w:r>
      <w:r w:rsidRPr="00DE6416">
        <w:rPr>
          <w:rFonts w:ascii="Times New Roman" w:hAnsi="Times New Roman" w:cs="Times New Roman"/>
          <w:sz w:val="20"/>
          <w:szCs w:val="20"/>
        </w:rPr>
        <w:t xml:space="preserve">and </w:t>
      </w:r>
      <w:r w:rsidR="00011459" w:rsidRPr="00DE6416">
        <w:rPr>
          <w:rFonts w:ascii="Times New Roman" w:hAnsi="Times New Roman" w:cs="Times New Roman"/>
          <w:sz w:val="20"/>
          <w:szCs w:val="20"/>
        </w:rPr>
        <w:t>ɣ</w:t>
      </w:r>
      <w:r w:rsidRPr="00DE6416">
        <w:rPr>
          <w:rFonts w:ascii="Times New Roman" w:hAnsi="Times New Roman" w:cs="Times New Roman"/>
          <w:sz w:val="20"/>
          <w:szCs w:val="20"/>
        </w:rPr>
        <w:t xml:space="preserve"> -secretases. In the brain, A</w:t>
      </w:r>
      <w:r w:rsidR="00011459" w:rsidRPr="00DE6416">
        <w:rPr>
          <w:rFonts w:ascii="Times New Roman" w:hAnsi="Times New Roman" w:cs="Times New Roman"/>
          <w:sz w:val="20"/>
          <w:szCs w:val="20"/>
        </w:rPr>
        <w:t>ß</w:t>
      </w:r>
      <w:r w:rsidRPr="00DE6416">
        <w:rPr>
          <w:rFonts w:ascii="Times New Roman" w:hAnsi="Times New Roman" w:cs="Times New Roman"/>
          <w:sz w:val="20"/>
          <w:szCs w:val="20"/>
        </w:rPr>
        <w:t xml:space="preserve"> forms take up three key conformational and aggregational forms</w:t>
      </w:r>
      <w:r w:rsidR="00011459" w:rsidRPr="00DE6416">
        <w:rPr>
          <w:rFonts w:ascii="Times New Roman" w:eastAsia="Times New Roman" w:hAnsi="Times New Roman" w:cs="Times New Roman"/>
          <w:sz w:val="20"/>
          <w:szCs w:val="20"/>
          <w:lang w:eastAsia="en-IN"/>
        </w:rPr>
        <w:t>—</w:t>
      </w:r>
      <w:r w:rsidR="00011459" w:rsidRPr="00DE6416">
        <w:rPr>
          <w:rFonts w:ascii="Times New Roman" w:hAnsi="Times New Roman" w:cs="Times New Roman"/>
          <w:sz w:val="20"/>
          <w:szCs w:val="20"/>
        </w:rPr>
        <w:t>M</w:t>
      </w:r>
      <w:r w:rsidRPr="00DE6416">
        <w:rPr>
          <w:rFonts w:ascii="Times New Roman" w:hAnsi="Times New Roman" w:cs="Times New Roman"/>
          <w:sz w:val="20"/>
          <w:szCs w:val="20"/>
        </w:rPr>
        <w:t xml:space="preserve">onomeric, </w:t>
      </w:r>
      <w:r w:rsidR="00011459" w:rsidRPr="00DE6416">
        <w:rPr>
          <w:rFonts w:ascii="Times New Roman" w:hAnsi="Times New Roman" w:cs="Times New Roman"/>
          <w:sz w:val="20"/>
          <w:szCs w:val="20"/>
        </w:rPr>
        <w:t>O</w:t>
      </w:r>
      <w:r w:rsidRPr="00DE6416">
        <w:rPr>
          <w:rFonts w:ascii="Times New Roman" w:hAnsi="Times New Roman" w:cs="Times New Roman"/>
          <w:sz w:val="20"/>
          <w:szCs w:val="20"/>
        </w:rPr>
        <w:t xml:space="preserve">ligomeric, and </w:t>
      </w:r>
      <w:r w:rsidR="00011459" w:rsidRPr="00DE6416">
        <w:rPr>
          <w:rFonts w:ascii="Times New Roman" w:hAnsi="Times New Roman" w:cs="Times New Roman"/>
          <w:sz w:val="20"/>
          <w:szCs w:val="20"/>
        </w:rPr>
        <w:t>F</w:t>
      </w:r>
      <w:r w:rsidRPr="00DE6416">
        <w:rPr>
          <w:rFonts w:ascii="Times New Roman" w:hAnsi="Times New Roman" w:cs="Times New Roman"/>
          <w:sz w:val="20"/>
          <w:szCs w:val="20"/>
        </w:rPr>
        <w:t>ibrillar A</w:t>
      </w:r>
      <w:r w:rsidR="00011459" w:rsidRPr="00DE6416">
        <w:rPr>
          <w:rFonts w:ascii="Times New Roman" w:hAnsi="Times New Roman" w:cs="Times New Roman"/>
          <w:sz w:val="20"/>
          <w:szCs w:val="20"/>
        </w:rPr>
        <w:t>ß</w:t>
      </w:r>
      <w:r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[10]</w:t>
      </w:r>
      <w:r w:rsidRPr="00DE6416">
        <w:rPr>
          <w:rFonts w:ascii="Times New Roman" w:hAnsi="Times New Roman" w:cs="Times New Roman"/>
          <w:sz w:val="20"/>
          <w:szCs w:val="20"/>
        </w:rPr>
        <w:t>.</w:t>
      </w:r>
    </w:p>
    <w:p w14:paraId="4D40CB68" w14:textId="356BCF36" w:rsidR="00011459" w:rsidRPr="00DE6416" w:rsidRDefault="00E67AC0"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Monomeric Aß</w:t>
      </w:r>
    </w:p>
    <w:p w14:paraId="1AFC9971" w14:textId="5B913F37" w:rsidR="00011459" w:rsidRPr="00733B86" w:rsidRDefault="00011459" w:rsidP="00F8100A">
      <w:pPr>
        <w:jc w:val="both"/>
        <w:rPr>
          <w:rFonts w:ascii="Times New Roman" w:hAnsi="Times New Roman" w:cs="Times New Roman"/>
          <w:sz w:val="20"/>
          <w:szCs w:val="20"/>
        </w:rPr>
      </w:pPr>
      <w:r w:rsidRPr="00733B86">
        <w:rPr>
          <w:rFonts w:ascii="Times New Roman" w:hAnsi="Times New Roman" w:cs="Times New Roman"/>
          <w:sz w:val="20"/>
          <w:szCs w:val="20"/>
        </w:rPr>
        <w:lastRenderedPageBreak/>
        <w:t>Monomeric Aß is the soluble and most physiological form of the peptide. It usually occurs in the interstitial fluid, and cerebrospinal fluid where the most common isoforms are Aß</w:t>
      </w:r>
      <w:r w:rsidRPr="00733B86">
        <w:rPr>
          <w:rFonts w:ascii="Times New Roman" w:hAnsi="Times New Roman" w:cs="Times New Roman"/>
          <w:sz w:val="20"/>
          <w:szCs w:val="20"/>
          <w:vertAlign w:val="subscript"/>
        </w:rPr>
        <w:t>40</w:t>
      </w:r>
      <w:r w:rsidRPr="00733B86">
        <w:rPr>
          <w:rFonts w:ascii="Times New Roman" w:hAnsi="Times New Roman" w:cs="Times New Roman"/>
          <w:sz w:val="20"/>
          <w:szCs w:val="20"/>
        </w:rPr>
        <w:t xml:space="preserve"> and Aß</w:t>
      </w:r>
      <w:r w:rsidRPr="00733B86">
        <w:rPr>
          <w:rFonts w:ascii="Times New Roman" w:hAnsi="Times New Roman" w:cs="Times New Roman"/>
          <w:sz w:val="20"/>
          <w:szCs w:val="20"/>
          <w:vertAlign w:val="subscript"/>
        </w:rPr>
        <w:t>42</w:t>
      </w:r>
      <w:r w:rsidRPr="00733B86">
        <w:rPr>
          <w:rFonts w:ascii="Times New Roman" w:hAnsi="Times New Roman" w:cs="Times New Roman"/>
          <w:sz w:val="20"/>
          <w:szCs w:val="20"/>
        </w:rPr>
        <w:t xml:space="preserve"> </w:t>
      </w:r>
      <w:r w:rsidRPr="00733B86">
        <w:rPr>
          <w:rFonts w:ascii="Times New Roman" w:hAnsi="Times New Roman" w:cs="Times New Roman"/>
          <w:sz w:val="20"/>
          <w:szCs w:val="20"/>
          <w:vertAlign w:val="superscript"/>
        </w:rPr>
        <w:t>[11]</w:t>
      </w:r>
      <w:r w:rsidRPr="00733B86">
        <w:rPr>
          <w:rFonts w:ascii="Times New Roman" w:hAnsi="Times New Roman" w:cs="Times New Roman"/>
          <w:sz w:val="20"/>
          <w:szCs w:val="20"/>
        </w:rPr>
        <w:t xml:space="preserve">. In low concentrations, monomeric Aß isoform might also be involved in the regulation of synapses, neurosurvival and neuroplasticity </w:t>
      </w:r>
      <w:r w:rsidRPr="00733B86">
        <w:rPr>
          <w:rFonts w:ascii="Times New Roman" w:hAnsi="Times New Roman" w:cs="Times New Roman"/>
          <w:sz w:val="20"/>
          <w:szCs w:val="20"/>
          <w:vertAlign w:val="superscript"/>
        </w:rPr>
        <w:t>[10]</w:t>
      </w:r>
      <w:r w:rsidRPr="00733B86">
        <w:rPr>
          <w:rFonts w:ascii="Times New Roman" w:hAnsi="Times New Roman" w:cs="Times New Roman"/>
          <w:sz w:val="20"/>
          <w:szCs w:val="20"/>
        </w:rPr>
        <w:t xml:space="preserve">. But under pathological conditions, monomeric Aβ is the precursors of other higher-order aggregates because of its inherent misfoldation propensity </w:t>
      </w:r>
      <w:r w:rsidRPr="00733B86">
        <w:rPr>
          <w:rFonts w:ascii="Times New Roman" w:hAnsi="Times New Roman" w:cs="Times New Roman"/>
          <w:sz w:val="20"/>
          <w:szCs w:val="20"/>
          <w:vertAlign w:val="superscript"/>
        </w:rPr>
        <w:t>[12]</w:t>
      </w:r>
      <w:r w:rsidRPr="00733B86">
        <w:rPr>
          <w:rFonts w:ascii="Times New Roman" w:hAnsi="Times New Roman" w:cs="Times New Roman"/>
          <w:sz w:val="20"/>
          <w:szCs w:val="20"/>
        </w:rPr>
        <w:t>.</w:t>
      </w:r>
    </w:p>
    <w:p w14:paraId="6E3309BA" w14:textId="72A349D0" w:rsidR="00142761" w:rsidRPr="00DE6416" w:rsidRDefault="00E67AC0" w:rsidP="00F8100A">
      <w:pPr>
        <w:pStyle w:val="ListParagraph"/>
        <w:numPr>
          <w:ilvl w:val="0"/>
          <w:numId w:val="3"/>
        </w:numPr>
        <w:jc w:val="both"/>
        <w:rPr>
          <w:rFonts w:ascii="Times New Roman" w:hAnsi="Times New Roman" w:cs="Times New Roman"/>
          <w:b/>
          <w:bCs/>
        </w:rPr>
      </w:pPr>
      <w:r w:rsidRPr="00DE6416">
        <w:rPr>
          <w:rFonts w:ascii="Times New Roman" w:eastAsia="Times New Roman" w:hAnsi="Times New Roman" w:cs="Times New Roman"/>
          <w:b/>
          <w:bCs/>
          <w:lang w:eastAsia="en-IN"/>
        </w:rPr>
        <w:t>Oligomeric Aβ</w:t>
      </w:r>
    </w:p>
    <w:p w14:paraId="50EECAF7" w14:textId="3E525CC2" w:rsidR="00011459" w:rsidRPr="00F8100A" w:rsidRDefault="00142761" w:rsidP="00F8100A">
      <w:pPr>
        <w:jc w:val="both"/>
        <w:rPr>
          <w:rFonts w:ascii="Times New Roman" w:hAnsi="Times New Roman" w:cs="Times New Roman"/>
          <w:sz w:val="24"/>
          <w:szCs w:val="24"/>
        </w:rPr>
      </w:pPr>
      <w:r w:rsidRPr="00DE6416">
        <w:rPr>
          <w:rFonts w:ascii="Times New Roman" w:hAnsi="Times New Roman" w:cs="Times New Roman"/>
          <w:sz w:val="20"/>
          <w:szCs w:val="20"/>
        </w:rPr>
        <w:t>Oligomeric Aß assemblies of misfolded A</w:t>
      </w:r>
      <w:r w:rsidR="00F31455" w:rsidRPr="00DE6416">
        <w:rPr>
          <w:rFonts w:ascii="Times New Roman" w:hAnsi="Times New Roman" w:cs="Times New Roman"/>
          <w:sz w:val="20"/>
          <w:szCs w:val="20"/>
        </w:rPr>
        <w:t>ß</w:t>
      </w:r>
      <w:r w:rsidRPr="00DE6416">
        <w:rPr>
          <w:rFonts w:ascii="Times New Roman" w:hAnsi="Times New Roman" w:cs="Times New Roman"/>
          <w:sz w:val="20"/>
          <w:szCs w:val="20"/>
        </w:rPr>
        <w:t xml:space="preserve"> Oligomers include dimers, trimers, and higher-order assemblies of A</w:t>
      </w:r>
      <w:r w:rsidR="00F31455" w:rsidRPr="00DE6416">
        <w:rPr>
          <w:rFonts w:ascii="Times New Roman" w:hAnsi="Times New Roman" w:cs="Times New Roman"/>
          <w:sz w:val="20"/>
          <w:szCs w:val="20"/>
        </w:rPr>
        <w:t>ß</w:t>
      </w:r>
      <w:r w:rsidRPr="00DE6416">
        <w:rPr>
          <w:rFonts w:ascii="Times New Roman" w:hAnsi="Times New Roman" w:cs="Times New Roman"/>
          <w:sz w:val="20"/>
          <w:szCs w:val="20"/>
        </w:rPr>
        <w:t xml:space="preserve"> monomers into soluble, small, and oligomeric lattices </w:t>
      </w:r>
      <w:r w:rsidRPr="00DE6416">
        <w:rPr>
          <w:rFonts w:ascii="Times New Roman" w:hAnsi="Times New Roman" w:cs="Times New Roman"/>
          <w:sz w:val="20"/>
          <w:szCs w:val="20"/>
          <w:vertAlign w:val="superscript"/>
        </w:rPr>
        <w:t>[13]</w:t>
      </w:r>
      <w:r w:rsidRPr="00DE6416">
        <w:rPr>
          <w:rFonts w:ascii="Times New Roman" w:hAnsi="Times New Roman" w:cs="Times New Roman"/>
          <w:sz w:val="20"/>
          <w:szCs w:val="20"/>
        </w:rPr>
        <w:t xml:space="preserve">. These oligomers are commonly viewed as the most neurotoxic peptide of Aβ, with harmful effects on the structure and functioning of the synapses </w:t>
      </w:r>
      <w:r w:rsidRPr="00DE6416">
        <w:rPr>
          <w:rFonts w:ascii="Times New Roman" w:hAnsi="Times New Roman" w:cs="Times New Roman"/>
          <w:sz w:val="20"/>
          <w:szCs w:val="20"/>
          <w:vertAlign w:val="superscript"/>
        </w:rPr>
        <w:t>[12]</w:t>
      </w:r>
      <w:r w:rsidRPr="00DE6416">
        <w:rPr>
          <w:rFonts w:ascii="Times New Roman" w:hAnsi="Times New Roman" w:cs="Times New Roman"/>
          <w:sz w:val="20"/>
          <w:szCs w:val="20"/>
        </w:rPr>
        <w:t>. Oligomeric A</w:t>
      </w:r>
      <w:r w:rsidR="00F31455" w:rsidRPr="00DE6416">
        <w:rPr>
          <w:rFonts w:ascii="Times New Roman" w:hAnsi="Times New Roman" w:cs="Times New Roman"/>
          <w:sz w:val="20"/>
          <w:szCs w:val="20"/>
        </w:rPr>
        <w:t>ß</w:t>
      </w:r>
      <w:r w:rsidRPr="00DE6416">
        <w:rPr>
          <w:rFonts w:ascii="Times New Roman" w:hAnsi="Times New Roman" w:cs="Times New Roman"/>
          <w:sz w:val="20"/>
          <w:szCs w:val="20"/>
        </w:rPr>
        <w:t xml:space="preserve"> interferes with long-term potentiation (LTP), interferes with calcium homeostasis and causes oxidative stress as well as impairs neuronal signalling pathways </w:t>
      </w:r>
      <w:r w:rsidRPr="00DE6416">
        <w:rPr>
          <w:rFonts w:ascii="Times New Roman" w:hAnsi="Times New Roman" w:cs="Times New Roman"/>
          <w:sz w:val="20"/>
          <w:szCs w:val="20"/>
          <w:vertAlign w:val="superscript"/>
        </w:rPr>
        <w:t>[10,13]</w:t>
      </w:r>
      <w:r w:rsidRPr="00DE6416">
        <w:rPr>
          <w:rFonts w:ascii="Times New Roman" w:hAnsi="Times New Roman" w:cs="Times New Roman"/>
          <w:sz w:val="20"/>
          <w:szCs w:val="20"/>
        </w:rPr>
        <w:t>. There is ever-growing evidence that soluble A</w:t>
      </w:r>
      <w:r w:rsidR="00F31455" w:rsidRPr="00DE6416">
        <w:rPr>
          <w:rFonts w:ascii="Times New Roman" w:hAnsi="Times New Roman" w:cs="Times New Roman"/>
          <w:sz w:val="20"/>
          <w:szCs w:val="20"/>
        </w:rPr>
        <w:t>ß</w:t>
      </w:r>
      <w:r w:rsidRPr="00DE6416">
        <w:rPr>
          <w:rFonts w:ascii="Times New Roman" w:hAnsi="Times New Roman" w:cs="Times New Roman"/>
          <w:sz w:val="20"/>
          <w:szCs w:val="20"/>
        </w:rPr>
        <w:t xml:space="preserve"> oligomers play the primary role in the cognitive impairment of the Alzheimer disease </w:t>
      </w:r>
      <w:r w:rsidRPr="00DE6416">
        <w:rPr>
          <w:rFonts w:ascii="Times New Roman" w:hAnsi="Times New Roman" w:cs="Times New Roman"/>
          <w:sz w:val="20"/>
          <w:szCs w:val="20"/>
          <w:vertAlign w:val="superscript"/>
        </w:rPr>
        <w:t>[11]</w:t>
      </w:r>
      <w:r w:rsidRPr="00DE6416">
        <w:rPr>
          <w:rFonts w:ascii="Times New Roman" w:hAnsi="Times New Roman" w:cs="Times New Roman"/>
          <w:sz w:val="20"/>
          <w:szCs w:val="20"/>
        </w:rPr>
        <w:t>.</w:t>
      </w:r>
    </w:p>
    <w:p w14:paraId="0D230EB8" w14:textId="17E6CD74" w:rsidR="00F31455" w:rsidRPr="00DE6416" w:rsidRDefault="00E67AC0" w:rsidP="00F8100A">
      <w:pPr>
        <w:pStyle w:val="ListParagraph"/>
        <w:numPr>
          <w:ilvl w:val="0"/>
          <w:numId w:val="3"/>
        </w:numPr>
        <w:jc w:val="both"/>
        <w:rPr>
          <w:rFonts w:ascii="Times New Roman" w:hAnsi="Times New Roman" w:cs="Times New Roman"/>
        </w:rPr>
      </w:pPr>
      <w:r w:rsidRPr="00DE6416">
        <w:rPr>
          <w:rFonts w:ascii="Times New Roman" w:hAnsi="Times New Roman" w:cs="Times New Roman"/>
          <w:b/>
          <w:bCs/>
        </w:rPr>
        <w:t>Fibrillar A</w:t>
      </w:r>
      <w:r w:rsidRPr="00DE6416">
        <w:rPr>
          <w:rFonts w:ascii="Times New Roman" w:eastAsia="Times New Roman" w:hAnsi="Times New Roman" w:cs="Times New Roman"/>
          <w:b/>
          <w:bCs/>
          <w:lang w:eastAsia="en-IN"/>
        </w:rPr>
        <w:t>β</w:t>
      </w:r>
    </w:p>
    <w:p w14:paraId="620DBCCD" w14:textId="7563FEE8" w:rsidR="00F31455" w:rsidRPr="00DE6416" w:rsidRDefault="00F3145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Fibrillar Aß was insoluble, ß-sheet-containing aggregates that appear as a result of polymerization of oligomeric Aß </w:t>
      </w:r>
      <w:r w:rsidRPr="00DE6416">
        <w:rPr>
          <w:rFonts w:ascii="Times New Roman" w:hAnsi="Times New Roman" w:cs="Times New Roman"/>
          <w:sz w:val="20"/>
          <w:szCs w:val="20"/>
          <w:vertAlign w:val="superscript"/>
        </w:rPr>
        <w:t>[10]</w:t>
      </w:r>
      <w:r w:rsidRPr="00DE6416">
        <w:rPr>
          <w:rFonts w:ascii="Times New Roman" w:hAnsi="Times New Roman" w:cs="Times New Roman"/>
          <w:sz w:val="20"/>
          <w:szCs w:val="20"/>
        </w:rPr>
        <w:t xml:space="preserve">. These fibrils depose extracellularly to create amyloid plaques, which is a classical neuropathological sign of the Alzheimer disease </w:t>
      </w:r>
      <w:r w:rsidRPr="00DE6416">
        <w:rPr>
          <w:rFonts w:ascii="Times New Roman" w:hAnsi="Times New Roman" w:cs="Times New Roman"/>
          <w:sz w:val="20"/>
          <w:szCs w:val="20"/>
          <w:vertAlign w:val="superscript"/>
        </w:rPr>
        <w:t>[11]</w:t>
      </w:r>
      <w:r w:rsidRPr="00DE6416">
        <w:rPr>
          <w:rFonts w:ascii="Times New Roman" w:hAnsi="Times New Roman" w:cs="Times New Roman"/>
          <w:sz w:val="20"/>
          <w:szCs w:val="20"/>
        </w:rPr>
        <w:t xml:space="preserve">. Even though fibrillar Aβ is not considered as acutely toxic as oligomeric species, it causes chronic neurodegeneration through the process of powering up microglial activation, neuroinflammation, synaptic loss, and neuronal harm </w:t>
      </w:r>
      <w:r w:rsidRPr="00DE6416">
        <w:rPr>
          <w:rFonts w:ascii="Times New Roman" w:hAnsi="Times New Roman" w:cs="Times New Roman"/>
          <w:sz w:val="20"/>
          <w:szCs w:val="20"/>
          <w:vertAlign w:val="superscript"/>
        </w:rPr>
        <w:t>[13]</w:t>
      </w:r>
      <w:r w:rsidRPr="00DE6416">
        <w:rPr>
          <w:rFonts w:ascii="Times New Roman" w:hAnsi="Times New Roman" w:cs="Times New Roman"/>
          <w:sz w:val="20"/>
          <w:szCs w:val="20"/>
        </w:rPr>
        <w:t>.</w:t>
      </w:r>
    </w:p>
    <w:p w14:paraId="1F95E136" w14:textId="77777777" w:rsidR="005B0095" w:rsidRDefault="005B0095" w:rsidP="005B0095">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0536DB0" wp14:editId="15B9B6BA">
            <wp:extent cx="4246814" cy="27679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6792" t="577" r="2837" b="6049"/>
                    <a:stretch/>
                  </pic:blipFill>
                  <pic:spPr bwMode="auto">
                    <a:xfrm>
                      <a:off x="0" y="0"/>
                      <a:ext cx="4289412" cy="2795729"/>
                    </a:xfrm>
                    <a:prstGeom prst="rect">
                      <a:avLst/>
                    </a:prstGeom>
                    <a:ln>
                      <a:noFill/>
                    </a:ln>
                    <a:extLst>
                      <a:ext uri="{53640926-AAD7-44D8-BBD7-CCE9431645EC}">
                        <a14:shadowObscured xmlns:a14="http://schemas.microsoft.com/office/drawing/2010/main"/>
                      </a:ext>
                    </a:extLst>
                  </pic:spPr>
                </pic:pic>
              </a:graphicData>
            </a:graphic>
          </wp:inline>
        </w:drawing>
      </w:r>
    </w:p>
    <w:p w14:paraId="6D0F822C" w14:textId="0D97ED59" w:rsidR="00DF77D6" w:rsidRPr="005729CC" w:rsidRDefault="006763D0" w:rsidP="00DF77D6">
      <w:pPr>
        <w:jc w:val="center"/>
        <w:rPr>
          <w:rFonts w:ascii="Times New Roman" w:hAnsi="Times New Roman" w:cs="Times New Roman"/>
          <w:color w:val="222222"/>
          <w:sz w:val="20"/>
          <w:szCs w:val="20"/>
          <w:shd w:val="clear" w:color="auto" w:fill="FFFFFF"/>
        </w:rPr>
      </w:pPr>
      <w:r w:rsidRPr="00DE6416">
        <w:rPr>
          <w:rFonts w:ascii="Times New Roman" w:hAnsi="Times New Roman" w:cs="Times New Roman"/>
          <w:b/>
          <w:bCs/>
        </w:rPr>
        <w:t>Fig 2</w:t>
      </w:r>
      <w:r w:rsidR="005B0095" w:rsidRPr="00DE6416">
        <w:rPr>
          <w:rFonts w:ascii="Times New Roman" w:hAnsi="Times New Roman" w:cs="Times New Roman"/>
          <w:b/>
          <w:bCs/>
        </w:rPr>
        <w:t>:</w:t>
      </w:r>
      <w:r w:rsidR="005B0095" w:rsidRPr="00DE6416">
        <w:rPr>
          <w:rFonts w:ascii="Times New Roman" w:hAnsi="Times New Roman" w:cs="Times New Roman"/>
        </w:rPr>
        <w:t xml:space="preserve"> </w:t>
      </w:r>
      <w:r w:rsidR="00DF77D6" w:rsidRPr="005729CC">
        <w:rPr>
          <w:rFonts w:ascii="Times New Roman" w:hAnsi="Times New Roman" w:cs="Times New Roman"/>
        </w:rPr>
        <w:t>Amyloid plaque formation pathway</w:t>
      </w:r>
      <w:r w:rsidR="005729CC">
        <w:rPr>
          <w:b/>
          <w:bCs/>
        </w:rPr>
        <w:t xml:space="preserve">. </w:t>
      </w:r>
      <w:r w:rsidR="00DF77D6" w:rsidRPr="005729CC">
        <w:rPr>
          <w:rFonts w:ascii="Times New Roman" w:hAnsi="Times New Roman" w:cs="Times New Roman"/>
        </w:rPr>
        <w:t>Examples of the amyloid-ß development through monomers to oligomers, protofibrils, fibrils and the development of a plaque, which is linked to neuronal damage in Alzheimer disease.]</w:t>
      </w:r>
    </w:p>
    <w:p w14:paraId="650ADEBA" w14:textId="77777777" w:rsidR="00DF77D6" w:rsidRPr="00DE6416" w:rsidRDefault="00DF77D6" w:rsidP="005B0095">
      <w:pPr>
        <w:jc w:val="center"/>
        <w:rPr>
          <w:rFonts w:ascii="Times New Roman" w:hAnsi="Times New Roman" w:cs="Times New Roman"/>
        </w:rPr>
      </w:pPr>
    </w:p>
    <w:p w14:paraId="2D900836" w14:textId="6BE54BF4" w:rsidR="00F31455" w:rsidRPr="00DE6416" w:rsidRDefault="00F31455" w:rsidP="00F8100A">
      <w:pPr>
        <w:jc w:val="both"/>
        <w:rPr>
          <w:rFonts w:ascii="Times New Roman" w:hAnsi="Times New Roman" w:cs="Times New Roman"/>
          <w:sz w:val="20"/>
          <w:szCs w:val="20"/>
        </w:rPr>
      </w:pPr>
      <w:r w:rsidRPr="00F8100A">
        <w:rPr>
          <w:rFonts w:ascii="Times New Roman" w:hAnsi="Times New Roman" w:cs="Times New Roman"/>
          <w:sz w:val="24"/>
          <w:szCs w:val="24"/>
        </w:rPr>
        <w:tab/>
      </w:r>
      <w:r w:rsidR="00530D15" w:rsidRPr="00DE6416">
        <w:rPr>
          <w:rFonts w:ascii="Times New Roman" w:hAnsi="Times New Roman" w:cs="Times New Roman"/>
          <w:sz w:val="20"/>
          <w:szCs w:val="20"/>
        </w:rPr>
        <w:t>Aß40 and Aß42 are the most common amyloid-b isoforms present in amyloid plaques of human beings and, of the isoforms, Aß42 is believed to be more neurotoxic.</w:t>
      </w:r>
      <w:r w:rsidRPr="00DE6416">
        <w:rPr>
          <w:rFonts w:ascii="Times New Roman" w:hAnsi="Times New Roman" w:cs="Times New Roman"/>
          <w:sz w:val="20"/>
          <w:szCs w:val="20"/>
        </w:rPr>
        <w:t xml:space="preserve"> </w:t>
      </w:r>
      <w:r w:rsidR="00530D15" w:rsidRPr="00DE6416">
        <w:rPr>
          <w:rFonts w:ascii="Times New Roman" w:hAnsi="Times New Roman" w:cs="Times New Roman"/>
          <w:sz w:val="20"/>
          <w:szCs w:val="20"/>
        </w:rPr>
        <w:t>During aging of the brain and in the pathology of Alzheimer, the fibrillar Aß slowly deposits within the brain parenchyma, and when it does, it forms plaques triggered by toxic effects on the brain.</w:t>
      </w:r>
      <w:r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w:t>
      </w:r>
      <w:r w:rsidR="00561D73" w:rsidRPr="00DE6416">
        <w:rPr>
          <w:rFonts w:ascii="Times New Roman" w:hAnsi="Times New Roman" w:cs="Times New Roman"/>
          <w:sz w:val="20"/>
          <w:szCs w:val="20"/>
          <w:vertAlign w:val="superscript"/>
        </w:rPr>
        <w:t>14</w:t>
      </w:r>
      <w:r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09E5BED8" w14:textId="77777777" w:rsidR="00530D15"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chain of the pathological events associated with the amyloid cascade of the Alzheimer disease can be summed up as follows:</w:t>
      </w:r>
    </w:p>
    <w:p w14:paraId="46C5C0EE" w14:textId="2B875456" w:rsidR="005B0095"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Aß production →Aggregation of amyloid →Aggregates into neurons Degration →Affective decline and dementia.</w:t>
      </w:r>
    </w:p>
    <w:p w14:paraId="68B1B24C" w14:textId="4543F904" w:rsidR="00FF622F" w:rsidRPr="00DE6416" w:rsidRDefault="00FF622F" w:rsidP="00F8100A">
      <w:pPr>
        <w:jc w:val="both"/>
        <w:rPr>
          <w:rFonts w:ascii="Times New Roman" w:hAnsi="Times New Roman" w:cs="Times New Roman"/>
        </w:rPr>
      </w:pPr>
      <w:r w:rsidRPr="00DE6416">
        <w:rPr>
          <w:rFonts w:ascii="Times New Roman" w:hAnsi="Times New Roman" w:cs="Times New Roman"/>
          <w:b/>
          <w:bCs/>
        </w:rPr>
        <w:lastRenderedPageBreak/>
        <w:t>Table 1:</w:t>
      </w:r>
      <w:r w:rsidRPr="00DE6416">
        <w:rPr>
          <w:rFonts w:ascii="Times New Roman" w:hAnsi="Times New Roman" w:cs="Times New Roman"/>
        </w:rPr>
        <w:t xml:space="preserve"> Pathogenic mechanism of Alzheimer’s Disease </w:t>
      </w:r>
      <w:r w:rsidRPr="00DE6416">
        <w:rPr>
          <w:rFonts w:ascii="Times New Roman" w:hAnsi="Times New Roman" w:cs="Times New Roman"/>
          <w:vertAlign w:val="superscript"/>
        </w:rPr>
        <w:t>[15-20]</w:t>
      </w:r>
    </w:p>
    <w:tbl>
      <w:tblPr>
        <w:tblStyle w:val="TableGrid"/>
        <w:tblW w:w="0" w:type="auto"/>
        <w:tblLook w:val="04A0" w:firstRow="1" w:lastRow="0" w:firstColumn="1" w:lastColumn="0" w:noHBand="0" w:noVBand="1"/>
      </w:tblPr>
      <w:tblGrid>
        <w:gridCol w:w="2243"/>
        <w:gridCol w:w="2296"/>
        <w:gridCol w:w="2226"/>
        <w:gridCol w:w="2251"/>
      </w:tblGrid>
      <w:tr w:rsidR="00FF622F" w:rsidRPr="00F8100A" w14:paraId="0B6E25E6" w14:textId="77777777" w:rsidTr="005E0A3F">
        <w:tc>
          <w:tcPr>
            <w:tcW w:w="2243" w:type="dxa"/>
          </w:tcPr>
          <w:p w14:paraId="329CFBF0" w14:textId="5B7AB5C7" w:rsidR="00FF622F" w:rsidRPr="00DE6416" w:rsidRDefault="007B2642"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 xml:space="preserve"> </w:t>
            </w:r>
            <w:r w:rsidR="00FF622F" w:rsidRPr="00DE6416">
              <w:rPr>
                <w:rFonts w:ascii="Times New Roman" w:eastAsia="Times New Roman" w:hAnsi="Times New Roman" w:cs="Times New Roman"/>
                <w:b/>
                <w:bCs/>
                <w:color w:val="1F1F1F"/>
                <w:bdr w:val="none" w:sz="0" w:space="0" w:color="auto" w:frame="1"/>
                <w:lang w:eastAsia="en-IN"/>
              </w:rPr>
              <w:t>Mechanism</w:t>
            </w:r>
          </w:p>
        </w:tc>
        <w:tc>
          <w:tcPr>
            <w:tcW w:w="2296" w:type="dxa"/>
          </w:tcPr>
          <w:p w14:paraId="4B79E92C" w14:textId="77777777" w:rsidR="00FF622F" w:rsidRPr="00DE6416" w:rsidRDefault="00FF622F"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Primary Driver / Key Players</w:t>
            </w:r>
          </w:p>
        </w:tc>
        <w:tc>
          <w:tcPr>
            <w:tcW w:w="2226" w:type="dxa"/>
          </w:tcPr>
          <w:p w14:paraId="1EF325A9" w14:textId="77777777" w:rsidR="00FF622F" w:rsidRPr="00DE6416" w:rsidRDefault="00FF622F"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Pathological Process</w:t>
            </w:r>
          </w:p>
        </w:tc>
        <w:tc>
          <w:tcPr>
            <w:tcW w:w="2251" w:type="dxa"/>
          </w:tcPr>
          <w:p w14:paraId="70F894B7" w14:textId="77777777" w:rsidR="00FF622F" w:rsidRPr="00DE6416" w:rsidRDefault="00FF622F"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Impact on Neurodegeneration</w:t>
            </w:r>
          </w:p>
        </w:tc>
      </w:tr>
      <w:tr w:rsidR="00FF622F" w:rsidRPr="00F8100A" w14:paraId="312CBFDC" w14:textId="77777777" w:rsidTr="005E0A3F">
        <w:tc>
          <w:tcPr>
            <w:tcW w:w="2243" w:type="dxa"/>
          </w:tcPr>
          <w:p w14:paraId="1BB08DF2"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Amyloid-ß (Aß) Cascade</w:t>
            </w:r>
          </w:p>
        </w:tc>
        <w:tc>
          <w:tcPr>
            <w:tcW w:w="2296" w:type="dxa"/>
            <w:vAlign w:val="center"/>
          </w:tcPr>
          <w:p w14:paraId="5F4248E4" w14:textId="77777777"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APP cleavage Aß42 monomers, oligomers, and plaques</w:t>
            </w:r>
          </w:p>
        </w:tc>
        <w:tc>
          <w:tcPr>
            <w:tcW w:w="2226" w:type="dxa"/>
            <w:vAlign w:val="center"/>
          </w:tcPr>
          <w:p w14:paraId="0CF333B7" w14:textId="77777777"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Inequalities between the production of Aß and its clearance; accumulation of extracellular plaques.</w:t>
            </w:r>
          </w:p>
        </w:tc>
        <w:tc>
          <w:tcPr>
            <w:tcW w:w="2251" w:type="dxa"/>
            <w:vAlign w:val="center"/>
          </w:tcPr>
          <w:p w14:paraId="6913A1A2" w14:textId="77BC01B9"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Theoretically, the trigger; causes proteotoxicity and results in downstream tau spreading </w:t>
            </w:r>
            <w:r w:rsidRPr="00DE6416">
              <w:rPr>
                <w:rFonts w:ascii="Times New Roman" w:hAnsi="Times New Roman" w:cs="Times New Roman"/>
                <w:sz w:val="20"/>
                <w:szCs w:val="20"/>
                <w:vertAlign w:val="superscript"/>
              </w:rPr>
              <w:t>[15]</w:t>
            </w:r>
            <w:r w:rsidRPr="00DE6416">
              <w:rPr>
                <w:rFonts w:ascii="Times New Roman" w:hAnsi="Times New Roman" w:cs="Times New Roman"/>
                <w:sz w:val="20"/>
                <w:szCs w:val="20"/>
              </w:rPr>
              <w:t>.</w:t>
            </w:r>
          </w:p>
        </w:tc>
      </w:tr>
      <w:tr w:rsidR="00FF622F" w:rsidRPr="00F8100A" w14:paraId="3CED1B35" w14:textId="77777777" w:rsidTr="00530D15">
        <w:trPr>
          <w:trHeight w:val="132"/>
        </w:trPr>
        <w:tc>
          <w:tcPr>
            <w:tcW w:w="2243" w:type="dxa"/>
            <w:vAlign w:val="center"/>
          </w:tcPr>
          <w:p w14:paraId="1CC92601"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Tau Pathology</w:t>
            </w:r>
          </w:p>
        </w:tc>
        <w:tc>
          <w:tcPr>
            <w:tcW w:w="2296" w:type="dxa"/>
            <w:vAlign w:val="center"/>
          </w:tcPr>
          <w:p w14:paraId="6BC3A7FD"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Hyperphosphorylated tau; MAPT gene</w:t>
            </w:r>
          </w:p>
        </w:tc>
        <w:tc>
          <w:tcPr>
            <w:tcW w:w="2226" w:type="dxa"/>
            <w:vAlign w:val="center"/>
          </w:tcPr>
          <w:p w14:paraId="4C107485"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Development of intracellular Neurofibrillary Tangles (NFTs) in paired helical filaments</w:t>
            </w:r>
          </w:p>
        </w:tc>
        <w:tc>
          <w:tcPr>
            <w:tcW w:w="2251" w:type="dxa"/>
            <w:vAlign w:val="center"/>
          </w:tcPr>
          <w:p w14:paraId="2E52E377" w14:textId="1D6AEBFF" w:rsidR="00974F8B"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Direct relationship with cognitive loss; inhibits axonal transport and leads to microtubule collapse </w:t>
            </w:r>
            <w:r w:rsidRPr="00DE6416">
              <w:rPr>
                <w:rFonts w:ascii="Times New Roman" w:hAnsi="Times New Roman" w:cs="Times New Roman"/>
                <w:sz w:val="20"/>
                <w:szCs w:val="20"/>
                <w:vertAlign w:val="superscript"/>
              </w:rPr>
              <w:t>[16]</w:t>
            </w:r>
            <w:r w:rsidRPr="00DE6416">
              <w:rPr>
                <w:rFonts w:ascii="Times New Roman" w:hAnsi="Times New Roman" w:cs="Times New Roman"/>
                <w:sz w:val="20"/>
                <w:szCs w:val="20"/>
              </w:rPr>
              <w:t>.</w:t>
            </w:r>
          </w:p>
        </w:tc>
      </w:tr>
      <w:tr w:rsidR="00FF622F" w:rsidRPr="00F8100A" w14:paraId="3683899C" w14:textId="77777777" w:rsidTr="005E0A3F">
        <w:tc>
          <w:tcPr>
            <w:tcW w:w="2243" w:type="dxa"/>
            <w:vAlign w:val="center"/>
          </w:tcPr>
          <w:p w14:paraId="6F3984F6"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Neuroinflammation</w:t>
            </w:r>
          </w:p>
          <w:p w14:paraId="0CAEC0DD"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p>
        </w:tc>
        <w:tc>
          <w:tcPr>
            <w:tcW w:w="2296" w:type="dxa"/>
            <w:vAlign w:val="center"/>
          </w:tcPr>
          <w:p w14:paraId="27299C8D"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Microglia (TREM2), Astrocyte, Pro-inflammatory cytokines (IL-1 ß, TNF-ɑ).</w:t>
            </w:r>
          </w:p>
        </w:tc>
        <w:tc>
          <w:tcPr>
            <w:tcW w:w="2226" w:type="dxa"/>
            <w:vAlign w:val="center"/>
          </w:tcPr>
          <w:p w14:paraId="0267A4E5"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Persistent glial stimulation; the primed microglia are unable to clear Aß and instead, release neurotoxins</w:t>
            </w:r>
            <w:r w:rsidRPr="00DE6416">
              <w:rPr>
                <w:rFonts w:ascii="Times New Roman" w:eastAsia="Times New Roman" w:hAnsi="Times New Roman" w:cs="Times New Roman"/>
                <w:color w:val="1F1F1F"/>
                <w:sz w:val="20"/>
                <w:szCs w:val="20"/>
                <w:bdr w:val="none" w:sz="0" w:space="0" w:color="auto" w:frame="1"/>
                <w:lang w:eastAsia="en-IN"/>
              </w:rPr>
              <w:t>.</w:t>
            </w:r>
          </w:p>
        </w:tc>
        <w:tc>
          <w:tcPr>
            <w:tcW w:w="2251" w:type="dxa"/>
            <w:vAlign w:val="center"/>
          </w:tcPr>
          <w:p w14:paraId="5D2D863C" w14:textId="32E020C2"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Maintains a vicious cycle of injury; causes bystander neuronal death</w:t>
            </w:r>
            <w:r w:rsidR="00D413CC"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[17]</w:t>
            </w:r>
            <w:r w:rsidRPr="00DE6416">
              <w:rPr>
                <w:rFonts w:ascii="Times New Roman" w:hAnsi="Times New Roman" w:cs="Times New Roman"/>
                <w:sz w:val="20"/>
                <w:szCs w:val="20"/>
              </w:rPr>
              <w:t>.</w:t>
            </w:r>
          </w:p>
        </w:tc>
      </w:tr>
      <w:tr w:rsidR="00FF622F" w:rsidRPr="00F8100A" w14:paraId="0163CAFF" w14:textId="77777777" w:rsidTr="005E0A3F">
        <w:tc>
          <w:tcPr>
            <w:tcW w:w="2243" w:type="dxa"/>
            <w:vAlign w:val="center"/>
          </w:tcPr>
          <w:p w14:paraId="6F430008"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Synaptic &amp; Network Failure</w:t>
            </w:r>
          </w:p>
        </w:tc>
        <w:tc>
          <w:tcPr>
            <w:tcW w:w="2296" w:type="dxa"/>
            <w:vAlign w:val="center"/>
          </w:tcPr>
          <w:p w14:paraId="7865355A"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Glutamate signaling; BDNF decrease; Mitochondrial pathology.</w:t>
            </w:r>
          </w:p>
        </w:tc>
        <w:tc>
          <w:tcPr>
            <w:tcW w:w="2226" w:type="dxa"/>
            <w:vAlign w:val="center"/>
          </w:tcPr>
          <w:p w14:paraId="5DBCC70A"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Dendritic spine loss; dysfunctional Long-Term Potentiation (LTP); network asynchrony.</w:t>
            </w:r>
          </w:p>
        </w:tc>
        <w:tc>
          <w:tcPr>
            <w:tcW w:w="2251" w:type="dxa"/>
            <w:vAlign w:val="center"/>
          </w:tcPr>
          <w:p w14:paraId="2E2CA286" w14:textId="46FBFAC4"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nearest counterpart of memory loss; detaches functional brain </w:t>
            </w:r>
            <w:r w:rsidR="00D413CC" w:rsidRPr="00DE6416">
              <w:rPr>
                <w:rFonts w:ascii="Times New Roman" w:hAnsi="Times New Roman" w:cs="Times New Roman"/>
                <w:sz w:val="20"/>
                <w:szCs w:val="20"/>
              </w:rPr>
              <w:t>areas</w:t>
            </w:r>
            <w:r w:rsidR="00D413CC" w:rsidRPr="00DE6416">
              <w:rPr>
                <w:rFonts w:ascii="Times New Roman" w:hAnsi="Times New Roman" w:cs="Times New Roman"/>
                <w:sz w:val="20"/>
                <w:szCs w:val="20"/>
                <w:vertAlign w:val="superscript"/>
              </w:rPr>
              <w:t xml:space="preserve"> [</w:t>
            </w:r>
            <w:r w:rsidRPr="00DE6416">
              <w:rPr>
                <w:rFonts w:ascii="Times New Roman" w:hAnsi="Times New Roman" w:cs="Times New Roman"/>
                <w:sz w:val="20"/>
                <w:szCs w:val="20"/>
                <w:vertAlign w:val="superscript"/>
              </w:rPr>
              <w:t>18]</w:t>
            </w:r>
            <w:r w:rsidRPr="00DE6416">
              <w:rPr>
                <w:rFonts w:ascii="Times New Roman" w:hAnsi="Times New Roman" w:cs="Times New Roman"/>
                <w:sz w:val="20"/>
                <w:szCs w:val="20"/>
              </w:rPr>
              <w:t>.</w:t>
            </w:r>
          </w:p>
        </w:tc>
      </w:tr>
      <w:tr w:rsidR="00FF622F" w:rsidRPr="00F8100A" w14:paraId="28EE9736" w14:textId="77777777" w:rsidTr="005E0A3F">
        <w:tc>
          <w:tcPr>
            <w:tcW w:w="2243" w:type="dxa"/>
            <w:vAlign w:val="center"/>
          </w:tcPr>
          <w:p w14:paraId="6C6F43B8"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Vascular Contribution</w:t>
            </w:r>
          </w:p>
        </w:tc>
        <w:tc>
          <w:tcPr>
            <w:tcW w:w="2296" w:type="dxa"/>
            <w:vAlign w:val="center"/>
          </w:tcPr>
          <w:p w14:paraId="3ACD4095" w14:textId="77777777" w:rsidR="00314DE0"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BBB Leakage; </w:t>
            </w:r>
          </w:p>
          <w:p w14:paraId="0385D4B2" w14:textId="618EB54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CAA.</w:t>
            </w:r>
          </w:p>
        </w:tc>
        <w:tc>
          <w:tcPr>
            <w:tcW w:w="2226" w:type="dxa"/>
            <w:vAlign w:val="center"/>
          </w:tcPr>
          <w:p w14:paraId="403D706E" w14:textId="695BE757" w:rsidR="00FF622F" w:rsidRPr="00DE6416" w:rsidRDefault="00974F8B"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Reduce</w:t>
            </w:r>
            <w:r w:rsidR="00FF622F" w:rsidRPr="00DE6416">
              <w:rPr>
                <w:rFonts w:ascii="Times New Roman" w:hAnsi="Times New Roman" w:cs="Times New Roman"/>
                <w:sz w:val="20"/>
                <w:szCs w:val="20"/>
              </w:rPr>
              <w:t xml:space="preserve"> cerebral blood</w:t>
            </w:r>
            <w:r w:rsidRPr="00DE6416">
              <w:rPr>
                <w:rFonts w:ascii="Times New Roman" w:hAnsi="Times New Roman" w:cs="Times New Roman"/>
                <w:sz w:val="20"/>
                <w:szCs w:val="20"/>
              </w:rPr>
              <w:t xml:space="preserve"> flow</w:t>
            </w:r>
            <w:r w:rsidR="00FF622F" w:rsidRPr="00DE6416">
              <w:rPr>
                <w:rFonts w:ascii="Times New Roman" w:hAnsi="Times New Roman" w:cs="Times New Roman"/>
                <w:sz w:val="20"/>
                <w:szCs w:val="20"/>
              </w:rPr>
              <w:t>; persistent hypoxia; intrusion of systemic toxins in the parenchyma.</w:t>
            </w:r>
          </w:p>
        </w:tc>
        <w:tc>
          <w:tcPr>
            <w:tcW w:w="2251" w:type="dxa"/>
            <w:vAlign w:val="center"/>
          </w:tcPr>
          <w:p w14:paraId="100EF58B" w14:textId="699F374B"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Enhances Aß deposition and restricts clearance; frequently appears as mixed </w:t>
            </w:r>
            <w:r w:rsidR="00D413CC" w:rsidRPr="00DE6416">
              <w:rPr>
                <w:rFonts w:ascii="Times New Roman" w:hAnsi="Times New Roman" w:cs="Times New Roman"/>
                <w:sz w:val="20"/>
                <w:szCs w:val="20"/>
              </w:rPr>
              <w:t>dementia</w:t>
            </w:r>
            <w:r w:rsidR="00D413CC" w:rsidRPr="00DE6416">
              <w:rPr>
                <w:rFonts w:ascii="Times New Roman" w:eastAsia="Times New Roman" w:hAnsi="Times New Roman" w:cs="Times New Roman"/>
                <w:color w:val="1F1F1F"/>
                <w:sz w:val="20"/>
                <w:szCs w:val="20"/>
                <w:bdr w:val="none" w:sz="0" w:space="0" w:color="auto" w:frame="1"/>
                <w:vertAlign w:val="superscript"/>
                <w:lang w:eastAsia="en-IN"/>
              </w:rPr>
              <w:t xml:space="preserve"> [</w:t>
            </w:r>
            <w:r w:rsidRPr="00DE6416">
              <w:rPr>
                <w:rFonts w:ascii="Times New Roman" w:eastAsia="Times New Roman" w:hAnsi="Times New Roman" w:cs="Times New Roman"/>
                <w:color w:val="1F1F1F"/>
                <w:sz w:val="20"/>
                <w:szCs w:val="20"/>
                <w:bdr w:val="none" w:sz="0" w:space="0" w:color="auto" w:frame="1"/>
                <w:vertAlign w:val="superscript"/>
                <w:lang w:eastAsia="en-IN"/>
              </w:rPr>
              <w:t>19]</w:t>
            </w:r>
            <w:r w:rsidR="00D413CC" w:rsidRPr="00DE6416">
              <w:rPr>
                <w:rFonts w:ascii="Times New Roman" w:eastAsia="Times New Roman" w:hAnsi="Times New Roman" w:cs="Times New Roman"/>
                <w:color w:val="1F1F1F"/>
                <w:sz w:val="20"/>
                <w:szCs w:val="20"/>
                <w:bdr w:val="none" w:sz="0" w:space="0" w:color="auto" w:frame="1"/>
                <w:lang w:eastAsia="en-IN"/>
              </w:rPr>
              <w:t>.</w:t>
            </w:r>
          </w:p>
        </w:tc>
      </w:tr>
      <w:tr w:rsidR="00FF622F" w:rsidRPr="00F8100A" w14:paraId="7CF1077D" w14:textId="77777777" w:rsidTr="005E0A3F">
        <w:tc>
          <w:tcPr>
            <w:tcW w:w="2243" w:type="dxa"/>
            <w:vAlign w:val="center"/>
          </w:tcPr>
          <w:p w14:paraId="642BB18E"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Genetics &amp; Risk Modifiers</w:t>
            </w:r>
          </w:p>
        </w:tc>
        <w:tc>
          <w:tcPr>
            <w:tcW w:w="2296" w:type="dxa"/>
            <w:vAlign w:val="center"/>
          </w:tcPr>
          <w:p w14:paraId="7B47849A"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i/>
                <w:iCs/>
                <w:sz w:val="20"/>
                <w:szCs w:val="20"/>
              </w:rPr>
              <w:t>APOE4, TREM2, CLU</w:t>
            </w:r>
            <w:r w:rsidRPr="00DE6416">
              <w:rPr>
                <w:rFonts w:ascii="Times New Roman" w:hAnsi="Times New Roman" w:cs="Times New Roman"/>
                <w:sz w:val="20"/>
                <w:szCs w:val="20"/>
              </w:rPr>
              <w:t>; Modifiable factors (hypertension, diabetes).</w:t>
            </w:r>
          </w:p>
        </w:tc>
        <w:tc>
          <w:tcPr>
            <w:tcW w:w="2226" w:type="dxa"/>
            <w:vAlign w:val="center"/>
          </w:tcPr>
          <w:p w14:paraId="01B6F6FE"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Modulation of lipid metabolism, immune response and amyloid processing.</w:t>
            </w:r>
          </w:p>
        </w:tc>
        <w:tc>
          <w:tcPr>
            <w:tcW w:w="2251" w:type="dxa"/>
            <w:vAlign w:val="center"/>
          </w:tcPr>
          <w:p w14:paraId="632E293D" w14:textId="23C00230"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Establishes age of onset and vulnerability or resistance to </w:t>
            </w:r>
            <w:r w:rsidR="00D413CC" w:rsidRPr="00DE6416">
              <w:rPr>
                <w:rFonts w:ascii="Times New Roman" w:hAnsi="Times New Roman" w:cs="Times New Roman"/>
                <w:sz w:val="20"/>
                <w:szCs w:val="20"/>
              </w:rPr>
              <w:t>pathology</w:t>
            </w:r>
            <w:r w:rsidR="00D413CC" w:rsidRPr="00DE6416">
              <w:rPr>
                <w:rFonts w:ascii="Times New Roman" w:hAnsi="Times New Roman" w:cs="Times New Roman"/>
                <w:sz w:val="20"/>
                <w:szCs w:val="20"/>
                <w:vertAlign w:val="superscript"/>
              </w:rPr>
              <w:t xml:space="preserve"> [</w:t>
            </w:r>
            <w:r w:rsidRPr="00DE6416">
              <w:rPr>
                <w:rFonts w:ascii="Times New Roman" w:hAnsi="Times New Roman" w:cs="Times New Roman"/>
                <w:sz w:val="20"/>
                <w:szCs w:val="20"/>
                <w:vertAlign w:val="superscript"/>
              </w:rPr>
              <w:t>20]</w:t>
            </w:r>
            <w:r w:rsidRPr="00DE6416">
              <w:rPr>
                <w:rFonts w:ascii="Times New Roman" w:hAnsi="Times New Roman" w:cs="Times New Roman"/>
                <w:sz w:val="20"/>
                <w:szCs w:val="20"/>
              </w:rPr>
              <w:t>.</w:t>
            </w:r>
          </w:p>
        </w:tc>
      </w:tr>
    </w:tbl>
    <w:p w14:paraId="213CBFF6" w14:textId="5C879376" w:rsidR="00FF622F" w:rsidRPr="00F8100A" w:rsidRDefault="00FF622F" w:rsidP="00F8100A">
      <w:pPr>
        <w:jc w:val="both"/>
        <w:rPr>
          <w:rFonts w:ascii="Times New Roman" w:hAnsi="Times New Roman" w:cs="Times New Roman"/>
          <w:sz w:val="24"/>
          <w:szCs w:val="24"/>
        </w:rPr>
      </w:pPr>
    </w:p>
    <w:p w14:paraId="6B85009A" w14:textId="7B061123" w:rsidR="00FC2F0F" w:rsidRPr="00DE6416" w:rsidRDefault="00E67AC0" w:rsidP="00F8100A">
      <w:pPr>
        <w:jc w:val="both"/>
        <w:rPr>
          <w:rFonts w:ascii="Times New Roman" w:hAnsi="Times New Roman" w:cs="Times New Roman"/>
          <w:b/>
          <w:bCs/>
        </w:rPr>
      </w:pPr>
      <w:r w:rsidRPr="00DE6416">
        <w:rPr>
          <w:rFonts w:ascii="Times New Roman" w:hAnsi="Times New Roman" w:cs="Times New Roman"/>
          <w:b/>
          <w:bCs/>
        </w:rPr>
        <w:t>2.2 The Executioner: The Tau Pathology And Neurofibrillary Tangles</w:t>
      </w:r>
    </w:p>
    <w:p w14:paraId="6874F6B3" w14:textId="0AAF4067" w:rsidR="00FC2F0F" w:rsidRPr="00DE6416" w:rsidRDefault="00FC2F0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Although Aß may trigger the process, the death of neurons is directly related to the Tau protein. It was determined by Braake and Braak et al. (1991) that </w:t>
      </w:r>
      <w:r w:rsidR="00530D15" w:rsidRPr="00DE6416">
        <w:rPr>
          <w:rFonts w:ascii="Times New Roman" w:hAnsi="Times New Roman" w:cs="Times New Roman"/>
          <w:sz w:val="20"/>
          <w:szCs w:val="20"/>
        </w:rPr>
        <w:t>Tau pathology is caused by pathological hyperphosphorylation of the micro tubule-associated protein tau and proliferates throughout the brain in a predictable anatomical sequence referred to as Braak stages</w:t>
      </w:r>
      <w:r w:rsidRPr="00DE6416">
        <w:rPr>
          <w:rFonts w:ascii="Times New Roman" w:hAnsi="Times New Roman" w:cs="Times New Roman"/>
          <w:sz w:val="20"/>
          <w:szCs w:val="20"/>
        </w:rPr>
        <w:t xml:space="preserve">. These intracellular Neurofibrillary Tangles (NFTs) induce the breakdown of the neuronal cytoskeleton resulting in the disruption of axonal transportation and subsequent cellular apoptosis. </w:t>
      </w:r>
      <w:r w:rsidR="00530D15" w:rsidRPr="00DE6416">
        <w:rPr>
          <w:rFonts w:ascii="Times New Roman" w:hAnsi="Times New Roman" w:cs="Times New Roman"/>
          <w:sz w:val="20"/>
          <w:szCs w:val="20"/>
        </w:rPr>
        <w:t>The severity of clinical cognition decline has a higher correlation with accumulation of tau neurofibrillary tangles rather than with the load of Aß aggregates</w:t>
      </w:r>
      <w:r w:rsidR="00530D15" w:rsidRPr="00DE6416">
        <w:rPr>
          <w:rFonts w:ascii="Times New Roman" w:hAnsi="Times New Roman" w:cs="Times New Roman"/>
          <w:sz w:val="20"/>
          <w:szCs w:val="20"/>
          <w:vertAlign w:val="superscript"/>
        </w:rPr>
        <w:t xml:space="preserve"> [</w:t>
      </w:r>
      <w:r w:rsidRPr="00DE6416">
        <w:rPr>
          <w:rFonts w:ascii="Times New Roman" w:hAnsi="Times New Roman" w:cs="Times New Roman"/>
          <w:sz w:val="20"/>
          <w:szCs w:val="20"/>
          <w:vertAlign w:val="superscript"/>
        </w:rPr>
        <w:t>16]</w:t>
      </w:r>
      <w:r w:rsidR="00D413CC" w:rsidRPr="00DE6416">
        <w:rPr>
          <w:rFonts w:ascii="Times New Roman" w:hAnsi="Times New Roman" w:cs="Times New Roman"/>
          <w:sz w:val="20"/>
          <w:szCs w:val="20"/>
        </w:rPr>
        <w:t>.</w:t>
      </w:r>
    </w:p>
    <w:p w14:paraId="6A291A73" w14:textId="0680595C" w:rsidR="00FC2F0F" w:rsidRPr="00DE6416" w:rsidRDefault="00FC2F0F" w:rsidP="00F8100A">
      <w:pPr>
        <w:jc w:val="both"/>
        <w:rPr>
          <w:rFonts w:ascii="Times New Roman" w:hAnsi="Times New Roman" w:cs="Times New Roman"/>
          <w:b/>
          <w:bCs/>
        </w:rPr>
      </w:pPr>
      <w:r w:rsidRPr="00DE6416">
        <w:rPr>
          <w:rFonts w:ascii="Times New Roman" w:hAnsi="Times New Roman" w:cs="Times New Roman"/>
          <w:b/>
          <w:bCs/>
        </w:rPr>
        <w:t>2.3 The Amplifier: Glial Dysfunction and Neuroinflammation.</w:t>
      </w:r>
    </w:p>
    <w:p w14:paraId="45E89D6C" w14:textId="16BBCB0A" w:rsidR="00FC2F0F" w:rsidRPr="00DE6416" w:rsidRDefault="00FC2F0F" w:rsidP="00F8100A">
      <w:pPr>
        <w:pStyle w:val="isselectedend"/>
        <w:jc w:val="both"/>
        <w:rPr>
          <w:rFonts w:eastAsiaTheme="minorHAnsi"/>
          <w:sz w:val="20"/>
          <w:szCs w:val="20"/>
          <w:lang w:eastAsia="en-US"/>
        </w:rPr>
      </w:pPr>
      <w:r w:rsidRPr="00DE6416">
        <w:rPr>
          <w:sz w:val="20"/>
          <w:szCs w:val="20"/>
        </w:rPr>
        <w:t xml:space="preserve">AD development is now regarded as more of an immunological failure. According to Heneka et al. (2015), Aß aggregates and Tau presence activate a long-term inflammatory reaction of the microglia and astrocytes. </w:t>
      </w:r>
      <w:r w:rsidR="00530D15" w:rsidRPr="00DE6416">
        <w:rPr>
          <w:rFonts w:eastAsiaTheme="minorHAnsi"/>
          <w:sz w:val="20"/>
          <w:szCs w:val="20"/>
          <w:lang w:eastAsia="en-US"/>
        </w:rPr>
        <w:t>Being an activation of the protective ion in early phases, these glial cells can be protective though in the long run, their chronic stimulation leads to dysfunction and the release of pro-inflammatory cytokines like IL-1B and TNF- alpha</w:t>
      </w:r>
      <w:r w:rsidRPr="00DE6416">
        <w:rPr>
          <w:sz w:val="20"/>
          <w:szCs w:val="20"/>
        </w:rPr>
        <w:t xml:space="preserve">. This persistent neuroinflammation forms a vicious circle of the immune response itself being neurotoxic and contributes even more to the build-up of Aß and the phosphorylation of Tau </w:t>
      </w:r>
      <w:r w:rsidRPr="00DE6416">
        <w:rPr>
          <w:sz w:val="20"/>
          <w:szCs w:val="20"/>
          <w:vertAlign w:val="superscript"/>
        </w:rPr>
        <w:t>[17]</w:t>
      </w:r>
      <w:r w:rsidR="00D413CC" w:rsidRPr="00DE6416">
        <w:rPr>
          <w:sz w:val="20"/>
          <w:szCs w:val="20"/>
        </w:rPr>
        <w:t>.</w:t>
      </w:r>
    </w:p>
    <w:p w14:paraId="07EC0471" w14:textId="16FE8CA9" w:rsidR="00FC2F0F" w:rsidRPr="00DE6416" w:rsidRDefault="00FC2F0F" w:rsidP="00F8100A">
      <w:pPr>
        <w:jc w:val="both"/>
        <w:rPr>
          <w:rFonts w:ascii="Times New Roman" w:hAnsi="Times New Roman" w:cs="Times New Roman"/>
          <w:b/>
          <w:bCs/>
        </w:rPr>
      </w:pPr>
      <w:r w:rsidRPr="00DE6416">
        <w:rPr>
          <w:rFonts w:ascii="Times New Roman" w:hAnsi="Times New Roman" w:cs="Times New Roman"/>
          <w:b/>
          <w:bCs/>
        </w:rPr>
        <w:t>2.4 The Mediator: APOE4 and Genetic Predisposition</w:t>
      </w:r>
    </w:p>
    <w:p w14:paraId="04730C1E" w14:textId="4C7A3BD5" w:rsidR="00FC2F0F" w:rsidRPr="00DE6416" w:rsidRDefault="00FC2F0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pace at which this pathogenic cascade runs is strongly determined by the genetic background of the patient. </w:t>
      </w:r>
      <w:r w:rsidR="00530D15" w:rsidRPr="00DE6416">
        <w:rPr>
          <w:rFonts w:ascii="Times New Roman" w:hAnsi="Times New Roman" w:cs="Times New Roman"/>
          <w:sz w:val="20"/>
          <w:szCs w:val="20"/>
        </w:rPr>
        <w:t>The main genetic factor in the progression of the late-onset of Alzheimer disease (Corder et al., 1993)</w:t>
      </w:r>
      <w:r w:rsidRPr="00DE6416">
        <w:rPr>
          <w:rFonts w:ascii="Times New Roman" w:hAnsi="Times New Roman" w:cs="Times New Roman"/>
          <w:sz w:val="20"/>
          <w:szCs w:val="20"/>
        </w:rPr>
        <w:t xml:space="preserve">. Compared to other forms of APOE (APOE2 or APOE3), the APOE4 is less efficient in clearing the Aß amyloid in the brain </w:t>
      </w:r>
      <w:r w:rsidRPr="00DE6416">
        <w:rPr>
          <w:rFonts w:ascii="Times New Roman" w:hAnsi="Times New Roman" w:cs="Times New Roman"/>
          <w:sz w:val="20"/>
          <w:szCs w:val="20"/>
        </w:rPr>
        <w:lastRenderedPageBreak/>
        <w:t xml:space="preserve">parenchyma. Moreover, the APOE4 was also demonstrated to worsen the compromising of the </w:t>
      </w:r>
      <w:r w:rsidR="002C4CF5" w:rsidRPr="00DE6416">
        <w:rPr>
          <w:rFonts w:ascii="Times New Roman" w:hAnsi="Times New Roman" w:cs="Times New Roman"/>
          <w:sz w:val="20"/>
          <w:szCs w:val="20"/>
        </w:rPr>
        <w:t>BBB</w:t>
      </w:r>
      <w:r w:rsidRPr="00DE6416">
        <w:rPr>
          <w:rFonts w:ascii="Times New Roman" w:hAnsi="Times New Roman" w:cs="Times New Roman"/>
          <w:sz w:val="20"/>
          <w:szCs w:val="20"/>
        </w:rPr>
        <w:t xml:space="preserve"> and</w:t>
      </w:r>
      <w:r w:rsidR="002C4CF5" w:rsidRPr="00DE6416">
        <w:rPr>
          <w:rFonts w:ascii="Times New Roman" w:hAnsi="Times New Roman" w:cs="Times New Roman"/>
          <w:sz w:val="20"/>
          <w:szCs w:val="20"/>
        </w:rPr>
        <w:t xml:space="preserve"> also</w:t>
      </w:r>
      <w:r w:rsidRPr="00DE6416">
        <w:rPr>
          <w:rFonts w:ascii="Times New Roman" w:hAnsi="Times New Roman" w:cs="Times New Roman"/>
          <w:sz w:val="20"/>
          <w:szCs w:val="20"/>
        </w:rPr>
        <w:t xml:space="preserve"> regulate immune response, in effect reducing the triggering threshold of the amyloid cascade to initiate </w:t>
      </w:r>
      <w:r w:rsidRPr="00DE6416">
        <w:rPr>
          <w:rFonts w:ascii="Times New Roman" w:hAnsi="Times New Roman" w:cs="Times New Roman"/>
          <w:sz w:val="20"/>
          <w:szCs w:val="20"/>
          <w:vertAlign w:val="superscript"/>
        </w:rPr>
        <w:t>[18]</w:t>
      </w:r>
      <w:r w:rsidR="00D413CC" w:rsidRPr="00DE6416">
        <w:rPr>
          <w:rFonts w:ascii="Times New Roman" w:hAnsi="Times New Roman" w:cs="Times New Roman"/>
          <w:sz w:val="20"/>
          <w:szCs w:val="20"/>
        </w:rPr>
        <w:t>.</w:t>
      </w:r>
    </w:p>
    <w:p w14:paraId="76F3C835" w14:textId="58D961ED" w:rsidR="00251158" w:rsidRPr="00DE6416" w:rsidRDefault="00251158" w:rsidP="00F8100A">
      <w:pPr>
        <w:jc w:val="both"/>
        <w:rPr>
          <w:rFonts w:ascii="Times New Roman" w:hAnsi="Times New Roman" w:cs="Times New Roman"/>
          <w:b/>
          <w:bCs/>
        </w:rPr>
      </w:pPr>
      <w:r w:rsidRPr="00DE6416">
        <w:rPr>
          <w:rFonts w:ascii="Times New Roman" w:hAnsi="Times New Roman" w:cs="Times New Roman"/>
          <w:b/>
          <w:bCs/>
        </w:rPr>
        <w:t>3.  Biomarkers and diagnosis</w:t>
      </w:r>
    </w:p>
    <w:p w14:paraId="268EA08F" w14:textId="738E38B3"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Cerebrospinal Fluid (CSF) Amyloid Biomarkers</w:t>
      </w:r>
    </w:p>
    <w:p w14:paraId="2E7B8DCB" w14:textId="5A751C83" w:rsidR="00CC2E2C"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loss of Aß42 concentration in the cerebrospinal fluid, particularly in terms of Aß42/Aß40 ratio, is among the first biochemical markers of the disease of Alzheimer</w:t>
      </w:r>
      <w:r w:rsidR="00CC2E2C" w:rsidRPr="00DE6416">
        <w:rPr>
          <w:rFonts w:ascii="Times New Roman" w:hAnsi="Times New Roman" w:cs="Times New Roman"/>
          <w:sz w:val="20"/>
          <w:szCs w:val="20"/>
        </w:rPr>
        <w:t xml:space="preserve">. The decrease is caused by soluble Aß42 solubility being sequestered into insoluble extracellular amyloid plaques into the brain parenchyma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21</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Longitudinal investigations indicate that the CSF amyloid changes may be observed a decade or two before the clinical manifestations, which makes them useful in preclinical AD detection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22</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Ratios Aß42/Aß40 enhance diagnostic specificity by reducing inter-personal differences in amyloid production and increase the distinction of AD and other neurodegenerative diseases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23</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Thus, CSF amyloid biomarkers are central in biological diagnosis at early stages.</w:t>
      </w:r>
    </w:p>
    <w:p w14:paraId="79E80FDF" w14:textId="21533F55" w:rsidR="00CC2E2C" w:rsidRPr="00DE6416" w:rsidRDefault="00CC2E2C" w:rsidP="00F8100A">
      <w:pPr>
        <w:pStyle w:val="ListParagraph"/>
        <w:numPr>
          <w:ilvl w:val="0"/>
          <w:numId w:val="3"/>
        </w:numPr>
        <w:jc w:val="both"/>
        <w:rPr>
          <w:rFonts w:ascii="Times New Roman" w:hAnsi="Times New Roman" w:cs="Times New Roman"/>
        </w:rPr>
      </w:pPr>
      <w:r w:rsidRPr="00DE6416">
        <w:rPr>
          <w:rFonts w:ascii="Times New Roman" w:hAnsi="Times New Roman" w:cs="Times New Roman"/>
          <w:b/>
          <w:bCs/>
        </w:rPr>
        <w:t>CSF Tau Biomarkers (Total Tau and Phosphorylated Tau)</w:t>
      </w:r>
    </w:p>
    <w:p w14:paraId="10FE2F07" w14:textId="02D7133E" w:rsidR="00CC2E2C"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level of both neuronal and axonal damage is reflected in CSF t-tau but tau hyperphosphorylation and formation of neurofibrillary tangles which is a major pathological process of AD are only seen in phosphorylated tau (p-tau181 and p-tau217).</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21</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High CSF p-tau is strongly associated with tau PET scan and cognitive debilitation, especially episodic memory loss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24</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Tau isoforms p-tau217 have been shown to have the greatest diagnostic specificity in differentiating AD and other tauopathies/non-AD dementia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25</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Therefore, the CSF tau biomarkers do not only indicate neurodegeneration, but also give disease-specific pathological confirmation.</w:t>
      </w:r>
    </w:p>
    <w:p w14:paraId="0AC22768" w14:textId="3A9CA6EA"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Plasma phosphorylated Tau (Blood-Based Biomarkers)</w:t>
      </w:r>
    </w:p>
    <w:p w14:paraId="1ECF23A5" w14:textId="10E722A3" w:rsidR="00CC2E2C"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development of new technologies of data analysis made it possible to identify the presence of phosphorylated tau species in plasma, specifically, p-tau181 and p-tau217, which are strongly correlated with CSF biomarkers and amyloid PET positivity</w:t>
      </w:r>
      <w:r w:rsidR="00CC2E2C"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26</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Plasma p-tau levels increase at an early stage of the disease and have the potential to forecast further decrease in cognition, thus are potential screening and disease progression tools of the future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27</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In comparison with CSF analysis, biomarkers in the blood are minimally invasive, cost-effective, and can be used in large-scale clinical application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28</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w:t>
      </w:r>
      <w:r w:rsidR="006E073A" w:rsidRPr="00DE6416">
        <w:rPr>
          <w:rFonts w:ascii="Times New Roman" w:hAnsi="Times New Roman" w:cs="Times New Roman"/>
          <w:sz w:val="20"/>
          <w:szCs w:val="20"/>
        </w:rPr>
        <w:t>Recent studies indicate that plasma p-tau217 can be used to demonstrate the pathology of the Alzheimer disease at an earlier stage before the occurrence of the observable changes in its diagnosis through imaging methods</w:t>
      </w:r>
      <w:r w:rsidR="00CC2E2C"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25, 27</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These results explain the need to incorporate blood biomarkers into the daily diagnostic processes.</w:t>
      </w:r>
    </w:p>
    <w:p w14:paraId="26BC3F25" w14:textId="6F464871"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Neurodegeneration as a Marker in Structural MRI</w:t>
      </w:r>
    </w:p>
    <w:p w14:paraId="4605CF34" w14:textId="77777777" w:rsidR="006E073A"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Structural magnetic resonance imaging (MRI) has become common in measuring the atrophy of the brain in relation to neurodegeneration in AD. The most typical one is hippocampal atrophy, which is closely associated with episodic memory lapse and severity of the disease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29</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Further development of cortical atrophy in medial temporal cortex, posterior cingulate and parietal areas indicates progressive loss of the neurons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29, 30</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The longitudinal studies of MRI show that brain volume decreases progressively with age and thus qualifies as a neurodegeneration (N) biomarker in AT(N) framework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31</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r w:rsidR="006E073A" w:rsidRPr="00DE6416">
        <w:rPr>
          <w:rFonts w:ascii="Times New Roman" w:hAnsi="Times New Roman" w:cs="Times New Roman"/>
          <w:sz w:val="20"/>
          <w:szCs w:val="20"/>
        </w:rPr>
        <w:t>Moreover, MRI can be used to diagnose the condition as well as distinguish it to other causes of cognitive decline.</w:t>
      </w:r>
    </w:p>
    <w:p w14:paraId="388A8C43" w14:textId="70249219" w:rsidR="00CC2E2C" w:rsidRPr="00DE6416" w:rsidRDefault="00CC2E2C" w:rsidP="00F8100A">
      <w:pPr>
        <w:pStyle w:val="ListParagraph"/>
        <w:numPr>
          <w:ilvl w:val="0"/>
          <w:numId w:val="3"/>
        </w:numPr>
        <w:jc w:val="both"/>
        <w:rPr>
          <w:rFonts w:ascii="Times New Roman" w:hAnsi="Times New Roman" w:cs="Times New Roman"/>
        </w:rPr>
      </w:pPr>
      <w:bookmarkStart w:id="0" w:name="_Hlk227104283"/>
      <w:r w:rsidRPr="00DE6416">
        <w:rPr>
          <w:rFonts w:ascii="Times New Roman" w:hAnsi="Times New Roman" w:cs="Times New Roman"/>
          <w:b/>
          <w:bCs/>
        </w:rPr>
        <w:t>Framework of AT (N) Classification</w:t>
      </w:r>
    </w:p>
    <w:bookmarkEnd w:id="0"/>
    <w:p w14:paraId="1CFB33E4" w14:textId="77777777" w:rsidR="00EB6154" w:rsidRPr="00DE6416" w:rsidRDefault="00EB6154" w:rsidP="00F8100A">
      <w:pPr>
        <w:jc w:val="both"/>
        <w:rPr>
          <w:rFonts w:ascii="Times New Roman" w:hAnsi="Times New Roman" w:cs="Times New Roman"/>
          <w:sz w:val="20"/>
          <w:szCs w:val="20"/>
        </w:rPr>
      </w:pPr>
      <w:r w:rsidRPr="00DE6416">
        <w:rPr>
          <w:rFonts w:ascii="Times New Roman" w:hAnsi="Times New Roman" w:cs="Times New Roman"/>
          <w:sz w:val="20"/>
          <w:szCs w:val="20"/>
        </w:rPr>
        <w:t>The AT(N) system suggests that the definition of the Alzheimer disease ought to be based on both the biomarker evidence based on the biological facts and not on clinical signs. According to this model, biomarkers can be divided into three broad groups:</w:t>
      </w:r>
    </w:p>
    <w:p w14:paraId="23B109D7" w14:textId="7946A1B3" w:rsidR="00CC2E2C"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 (Amylid pathology): CSF Aß42 or </w:t>
      </w:r>
      <w:r w:rsidR="00EB6154" w:rsidRPr="00DE6416">
        <w:rPr>
          <w:rFonts w:ascii="Times New Roman" w:hAnsi="Times New Roman" w:cs="Times New Roman"/>
          <w:sz w:val="20"/>
          <w:szCs w:val="20"/>
        </w:rPr>
        <w:t>PET of amyloid</w:t>
      </w:r>
      <w:r w:rsidRPr="00DE6416">
        <w:rPr>
          <w:rFonts w:ascii="Times New Roman" w:hAnsi="Times New Roman" w:cs="Times New Roman"/>
          <w:sz w:val="20"/>
          <w:szCs w:val="20"/>
        </w:rPr>
        <w:t>.</w:t>
      </w:r>
    </w:p>
    <w:p w14:paraId="21FC915A" w14:textId="77777777" w:rsidR="00EB6154" w:rsidRPr="00DE6416" w:rsidRDefault="00EB6154" w:rsidP="00F8100A">
      <w:pPr>
        <w:jc w:val="both"/>
        <w:rPr>
          <w:rFonts w:ascii="Times New Roman" w:hAnsi="Times New Roman" w:cs="Times New Roman"/>
          <w:sz w:val="20"/>
          <w:szCs w:val="20"/>
        </w:rPr>
      </w:pPr>
      <w:r w:rsidRPr="00DE6416">
        <w:rPr>
          <w:rFonts w:ascii="Times New Roman" w:hAnsi="Times New Roman" w:cs="Times New Roman"/>
          <w:sz w:val="20"/>
          <w:szCs w:val="20"/>
        </w:rPr>
        <w:t>T (Tau pathology): determined with the help of CSF phosphorylated tau (p-tau) or tau PET imaging.</w:t>
      </w:r>
    </w:p>
    <w:p w14:paraId="1682AFBA" w14:textId="098673A1" w:rsidR="00CC2E2C"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N (Neurodegeneration): Structural MRI atrophy, or neurofilament light chain (NfL).</w:t>
      </w:r>
    </w:p>
    <w:p w14:paraId="2E9C23BA" w14:textId="3A916D49" w:rsidR="00CC2E2C"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lastRenderedPageBreak/>
        <w:t xml:space="preserve">This model enables AD to be staged at preclinical, prodromal, and dementia stages according to the profiles of biomarkers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31</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The framework can improve diagnostic accuracy, enable patient stratification during clinical trials, and enable a timely therapeutic intervention before the neurons are permanently damaged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28, 31</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Addition of biomarkers in the blood to the AT(N) system also enhances accessibility and feasibility in clinical practice contexts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28</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398384FD" w14:textId="77777777" w:rsidR="00CC2E2C" w:rsidRPr="00DE6416" w:rsidRDefault="00CC2E2C" w:rsidP="00F8100A">
      <w:pPr>
        <w:jc w:val="both"/>
        <w:rPr>
          <w:rFonts w:ascii="Times New Roman" w:hAnsi="Times New Roman" w:cs="Times New Roman"/>
          <w:b/>
          <w:bCs/>
        </w:rPr>
      </w:pPr>
      <w:r w:rsidRPr="00DE6416">
        <w:rPr>
          <w:rFonts w:ascii="Times New Roman" w:hAnsi="Times New Roman" w:cs="Times New Roman"/>
          <w:b/>
          <w:bCs/>
        </w:rPr>
        <w:t>4. Prevention strategies – evidence and recommendation</w:t>
      </w:r>
    </w:p>
    <w:p w14:paraId="6F5140B1" w14:textId="08C662A0"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Managing vascular risk factors.</w:t>
      </w:r>
    </w:p>
    <w:p w14:paraId="5FAA2BA7" w14:textId="54E50945" w:rsidR="00CC2E2C" w:rsidRPr="00DE6416" w:rsidRDefault="006E073A" w:rsidP="00F8100A">
      <w:pPr>
        <w:jc w:val="both"/>
        <w:rPr>
          <w:rFonts w:ascii="Times New Roman" w:hAnsi="Times New Roman" w:cs="Times New Roman"/>
          <w:sz w:val="20"/>
          <w:szCs w:val="20"/>
        </w:rPr>
      </w:pPr>
      <w:r w:rsidRPr="00DE6416">
        <w:rPr>
          <w:rFonts w:ascii="Times New Roman" w:hAnsi="Times New Roman" w:cs="Times New Roman"/>
          <w:sz w:val="20"/>
          <w:szCs w:val="20"/>
        </w:rPr>
        <w:t>Hypertension, diabetes mellitus, hyperlipidemia, obesity, and smoking are also considered as some of the vascular risk factors that contribute to the risk of developing the AD because they promote chronic cerebral hypoperfusion, the breaking of the BBB, oxidative stress, and neuroinflammatory mechanisms</w:t>
      </w:r>
      <w:r w:rsidR="00CC2E2C" w:rsidRPr="00DE6416">
        <w:rPr>
          <w:rFonts w:ascii="Times New Roman" w:hAnsi="Times New Roman" w:cs="Times New Roman"/>
          <w:sz w:val="20"/>
          <w:szCs w:val="20"/>
        </w:rPr>
        <w:t xml:space="preserve"> </w:t>
      </w:r>
      <w:r w:rsidR="00CC2E2C" w:rsidRPr="00DE6416">
        <w:rPr>
          <w:rFonts w:ascii="Times New Roman" w:hAnsi="Times New Roman" w:cs="Times New Roman"/>
          <w:sz w:val="20"/>
          <w:szCs w:val="20"/>
          <w:vertAlign w:val="superscript"/>
        </w:rPr>
        <w:t>[32, 33]</w:t>
      </w:r>
      <w:r w:rsidR="00CC2E2C" w:rsidRPr="00DE6416">
        <w:rPr>
          <w:rFonts w:ascii="Times New Roman" w:hAnsi="Times New Roman" w:cs="Times New Roman"/>
          <w:sz w:val="20"/>
          <w:szCs w:val="20"/>
        </w:rPr>
        <w:t xml:space="preserve">. It has also been noted that midlife hypertension is a specific factor that has led to a decline in cognitive ability later in life because of cumulative microvascular injury </w:t>
      </w:r>
      <w:r w:rsidR="00CC2E2C" w:rsidRPr="00DE6416">
        <w:rPr>
          <w:rFonts w:ascii="Times New Roman" w:hAnsi="Times New Roman" w:cs="Times New Roman"/>
          <w:sz w:val="20"/>
          <w:szCs w:val="20"/>
          <w:vertAlign w:val="superscript"/>
        </w:rPr>
        <w:t>[34]</w:t>
      </w:r>
      <w:r w:rsidR="00CC2E2C" w:rsidRPr="00DE6416">
        <w:rPr>
          <w:rFonts w:ascii="Times New Roman" w:hAnsi="Times New Roman" w:cs="Times New Roman"/>
          <w:sz w:val="20"/>
          <w:szCs w:val="20"/>
        </w:rPr>
        <w:t xml:space="preserve">. </w:t>
      </w:r>
      <w:r w:rsidRPr="00DE6416">
        <w:rPr>
          <w:rFonts w:ascii="Times New Roman" w:hAnsi="Times New Roman" w:cs="Times New Roman"/>
          <w:sz w:val="20"/>
          <w:szCs w:val="20"/>
        </w:rPr>
        <w:t>Clinical trials evidence indicates that reactive blood pressure management has a low chance of mild cognitive impairment and is possible to delay the onset of dementia</w:t>
      </w:r>
      <w:r w:rsidR="00CC2E2C" w:rsidRPr="00DE6416">
        <w:rPr>
          <w:rFonts w:ascii="Times New Roman" w:hAnsi="Times New Roman" w:cs="Times New Roman"/>
          <w:sz w:val="20"/>
          <w:szCs w:val="20"/>
        </w:rPr>
        <w:t xml:space="preserve"> </w:t>
      </w:r>
      <w:r w:rsidR="00CC2E2C" w:rsidRPr="00DE6416">
        <w:rPr>
          <w:rFonts w:ascii="Times New Roman" w:hAnsi="Times New Roman" w:cs="Times New Roman"/>
          <w:sz w:val="20"/>
          <w:szCs w:val="20"/>
          <w:vertAlign w:val="superscript"/>
        </w:rPr>
        <w:t>[35]</w:t>
      </w:r>
      <w:r w:rsidR="00CC2E2C" w:rsidRPr="00DE6416">
        <w:rPr>
          <w:rFonts w:ascii="Times New Roman" w:hAnsi="Times New Roman" w:cs="Times New Roman"/>
          <w:sz w:val="20"/>
          <w:szCs w:val="20"/>
        </w:rPr>
        <w:t xml:space="preserve">. On the same note, good glycemic control in diabetes and lipid can decrease neurovascular damage and amyloid-induced pathology </w:t>
      </w:r>
      <w:r w:rsidR="00CC2E2C" w:rsidRPr="00DE6416">
        <w:rPr>
          <w:rFonts w:ascii="Times New Roman" w:hAnsi="Times New Roman" w:cs="Times New Roman"/>
          <w:sz w:val="20"/>
          <w:szCs w:val="20"/>
          <w:vertAlign w:val="superscript"/>
        </w:rPr>
        <w:t>[36, 37]</w:t>
      </w:r>
      <w:r w:rsidR="00CC2E2C" w:rsidRPr="00DE6416">
        <w:rPr>
          <w:rFonts w:ascii="Times New Roman" w:hAnsi="Times New Roman" w:cs="Times New Roman"/>
          <w:sz w:val="20"/>
          <w:szCs w:val="20"/>
        </w:rPr>
        <w:t xml:space="preserve">. Multidomain lifestyle interventions aiming to promote vascular health, i.e. physical exercise, healthy diet and vascular risk assessment, have demonstrated small yet significant cognitive advantages in high-risk groups </w:t>
      </w:r>
      <w:r w:rsidR="00CC2E2C" w:rsidRPr="00DE6416">
        <w:rPr>
          <w:rFonts w:ascii="Times New Roman" w:hAnsi="Times New Roman" w:cs="Times New Roman"/>
          <w:sz w:val="20"/>
          <w:szCs w:val="20"/>
          <w:vertAlign w:val="superscript"/>
        </w:rPr>
        <w:t>[38, 39]</w:t>
      </w:r>
      <w:r w:rsidR="00CC2E2C" w:rsidRPr="00DE6416">
        <w:rPr>
          <w:rFonts w:ascii="Times New Roman" w:hAnsi="Times New Roman" w:cs="Times New Roman"/>
          <w:sz w:val="20"/>
          <w:szCs w:val="20"/>
        </w:rPr>
        <w:t>. Hence, the early detection and intensive intervention of modifiable vascular risk factors are still among the evidence-based interventions to prevent or postpone the progression of the A</w:t>
      </w:r>
      <w:r w:rsidR="006337AF" w:rsidRPr="00DE6416">
        <w:rPr>
          <w:rFonts w:ascii="Times New Roman" w:hAnsi="Times New Roman" w:cs="Times New Roman"/>
          <w:sz w:val="20"/>
          <w:szCs w:val="20"/>
        </w:rPr>
        <w:t>D</w:t>
      </w:r>
      <w:r w:rsidR="00CC2E2C" w:rsidRPr="00DE6416">
        <w:rPr>
          <w:rFonts w:ascii="Times New Roman" w:hAnsi="Times New Roman" w:cs="Times New Roman"/>
          <w:sz w:val="20"/>
          <w:szCs w:val="20"/>
        </w:rPr>
        <w:t>.</w:t>
      </w:r>
    </w:p>
    <w:p w14:paraId="42D1330A" w14:textId="3AB6C64D"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Multidomain Lifestyle Intervention</w:t>
      </w:r>
    </w:p>
    <w:p w14:paraId="31E5240E" w14:textId="1924BC46" w:rsidR="0059016E" w:rsidRPr="00DE6416" w:rsidRDefault="005B2F3A" w:rsidP="00F8100A">
      <w:pPr>
        <w:jc w:val="both"/>
        <w:rPr>
          <w:rFonts w:ascii="Times New Roman" w:hAnsi="Times New Roman" w:cs="Times New Roman"/>
          <w:sz w:val="20"/>
          <w:szCs w:val="20"/>
        </w:rPr>
      </w:pPr>
      <w:r w:rsidRPr="00DE6416">
        <w:rPr>
          <w:rFonts w:ascii="Times New Roman" w:hAnsi="Times New Roman" w:cs="Times New Roman"/>
          <w:sz w:val="20"/>
          <w:szCs w:val="20"/>
        </w:rPr>
        <w:t>A multidomain intervention combining dietary change, frequent physical activities, cognitive tasks, and management of vascular risks in persons with high risk of dementia who are older than 60 years.</w:t>
      </w:r>
      <w:r w:rsidR="00DF154E" w:rsidRPr="00DE6416">
        <w:rPr>
          <w:rFonts w:ascii="Times New Roman" w:hAnsi="Times New Roman" w:cs="Times New Roman"/>
          <w:sz w:val="20"/>
          <w:szCs w:val="20"/>
        </w:rPr>
        <w:t xml:space="preserve"> Some of the largest randomized and cluster-based prevention trails have shown that multidomain prevention can be globally maintained and enhance executive function, at least in high-risk groups, and when initiated in midlife </w:t>
      </w:r>
      <w:r w:rsidR="00DF154E" w:rsidRPr="00DE6416">
        <w:rPr>
          <w:rFonts w:ascii="Times New Roman" w:hAnsi="Times New Roman" w:cs="Times New Roman"/>
          <w:sz w:val="20"/>
          <w:szCs w:val="20"/>
          <w:vertAlign w:val="superscript"/>
        </w:rPr>
        <w:t>[40,41]</w:t>
      </w:r>
      <w:r w:rsidR="00DF154E" w:rsidRPr="00DE6416">
        <w:rPr>
          <w:rFonts w:ascii="Times New Roman" w:hAnsi="Times New Roman" w:cs="Times New Roman"/>
          <w:sz w:val="20"/>
          <w:szCs w:val="20"/>
        </w:rPr>
        <w:t xml:space="preserve">. Mechanistic as well as longitudinal studies have also indicated that multidomain prevention has additives or synergistic effects as compared to single-domain studies </w:t>
      </w:r>
      <w:r w:rsidR="00DF154E" w:rsidRPr="00DE6416">
        <w:rPr>
          <w:rFonts w:ascii="Times New Roman" w:hAnsi="Times New Roman" w:cs="Times New Roman"/>
          <w:sz w:val="20"/>
          <w:szCs w:val="20"/>
          <w:vertAlign w:val="superscript"/>
        </w:rPr>
        <w:t>[42]</w:t>
      </w:r>
      <w:r w:rsidR="00DF154E" w:rsidRPr="00DE6416">
        <w:rPr>
          <w:rFonts w:ascii="Times New Roman" w:hAnsi="Times New Roman" w:cs="Times New Roman"/>
          <w:sz w:val="20"/>
          <w:szCs w:val="20"/>
        </w:rPr>
        <w:t xml:space="preserve">. The scalability and </w:t>
      </w:r>
      <w:r w:rsidR="0059016E" w:rsidRPr="00DE6416">
        <w:rPr>
          <w:rFonts w:ascii="Times New Roman" w:hAnsi="Times New Roman" w:cs="Times New Roman"/>
          <w:sz w:val="20"/>
          <w:szCs w:val="20"/>
        </w:rPr>
        <w:t xml:space="preserve">feasibility of multidomain prevention to real-life settings </w:t>
      </w:r>
      <w:r w:rsidR="0059016E" w:rsidRPr="00DE6416">
        <w:rPr>
          <w:rFonts w:ascii="Times New Roman" w:hAnsi="Times New Roman" w:cs="Times New Roman"/>
          <w:sz w:val="20"/>
          <w:szCs w:val="20"/>
          <w:vertAlign w:val="superscript"/>
        </w:rPr>
        <w:t>[43]</w:t>
      </w:r>
      <w:r w:rsidR="0059016E" w:rsidRPr="00DE6416">
        <w:rPr>
          <w:rFonts w:ascii="Times New Roman" w:hAnsi="Times New Roman" w:cs="Times New Roman"/>
          <w:sz w:val="20"/>
          <w:szCs w:val="20"/>
        </w:rPr>
        <w:t>.</w:t>
      </w:r>
    </w:p>
    <w:p w14:paraId="335942E0" w14:textId="790E029A" w:rsidR="00DF154E" w:rsidRPr="00DE6416" w:rsidRDefault="0059016E"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Cognitive Engagement and Education</w:t>
      </w:r>
    </w:p>
    <w:p w14:paraId="409F3AB3" w14:textId="680F7764" w:rsidR="0059016E" w:rsidRPr="00DE6416" w:rsidRDefault="00BB6920"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Those who are more educated and better mentally engaged are likely to develop a better cognitive reserve, which improves the resilience of the brain and postpones the manifestation of clinical symptoms in the case of underlying neuropathology </w:t>
      </w:r>
      <w:r w:rsidR="008A2764"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44,45</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w:t>
      </w:r>
      <w:r w:rsidR="0059016E" w:rsidRPr="00DE6416">
        <w:rPr>
          <w:rFonts w:ascii="Times New Roman" w:hAnsi="Times New Roman" w:cs="Times New Roman"/>
          <w:sz w:val="20"/>
          <w:szCs w:val="20"/>
        </w:rPr>
        <w:t xml:space="preserve"> </w:t>
      </w:r>
      <w:r w:rsidRPr="00DE6416">
        <w:rPr>
          <w:rFonts w:ascii="Times New Roman" w:hAnsi="Times New Roman" w:cs="Times New Roman"/>
          <w:sz w:val="20"/>
          <w:szCs w:val="20"/>
        </w:rPr>
        <w:t xml:space="preserve">Higher education level and an increased time lapse before clinical symptoms occur and progression are reduced by epidemiological cohort studies have demonstrated that higher levels of education decrease the risk of getting dementia and slow down the rate of progression to clinical symptoms </w:t>
      </w:r>
      <w:r w:rsidR="008A2764"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46</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w:t>
      </w:r>
      <w:r w:rsidRPr="00DE6416">
        <w:rPr>
          <w:rFonts w:ascii="Times New Roman" w:hAnsi="Times New Roman" w:cs="Times New Roman"/>
          <w:sz w:val="20"/>
          <w:szCs w:val="20"/>
        </w:rPr>
        <w:t xml:space="preserve"> Cognitive training regimens conducted in older adults have been demonstrated to generate long-lasting benefits in memory and reasoning skills and utilized in averting dementia </w:t>
      </w:r>
      <w:r w:rsidR="008A2764"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47</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 xml:space="preserve">. </w:t>
      </w:r>
    </w:p>
    <w:p w14:paraId="281AA5FA" w14:textId="77777777" w:rsidR="0059016E" w:rsidRPr="00DE6416" w:rsidRDefault="0059016E" w:rsidP="00F8100A">
      <w:pPr>
        <w:pStyle w:val="ListParagraph"/>
        <w:numPr>
          <w:ilvl w:val="0"/>
          <w:numId w:val="3"/>
        </w:numPr>
        <w:jc w:val="both"/>
        <w:rPr>
          <w:rFonts w:ascii="Times New Roman" w:hAnsi="Times New Roman" w:cs="Times New Roman"/>
        </w:rPr>
      </w:pPr>
      <w:r w:rsidRPr="00DE6416">
        <w:rPr>
          <w:rFonts w:ascii="Times New Roman" w:eastAsia="Times New Roman" w:hAnsi="Times New Roman" w:cs="Times New Roman"/>
          <w:b/>
          <w:bCs/>
          <w:lang w:eastAsia="en-IN"/>
        </w:rPr>
        <w:t>Public Health and Clinical Implementation</w:t>
      </w:r>
    </w:p>
    <w:p w14:paraId="377A0889" w14:textId="69395369"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To a public health and clinical implementation, prevention of dementia should become a component of cardiovascular and non-communicable disease prevention. </w:t>
      </w:r>
      <w:r w:rsidR="0080655B" w:rsidRPr="00DE6416">
        <w:rPr>
          <w:rFonts w:ascii="Times New Roman" w:hAnsi="Times New Roman" w:cs="Times New Roman"/>
          <w:sz w:val="20"/>
          <w:szCs w:val="20"/>
        </w:rPr>
        <w:t>Population-attributable risk findings propose that the shift of the key risk factors including hypertension, diabetes, obesity, smoking, depression and physical inactivity would slow down or avert a huge percentage of dementia cases across the globe</w:t>
      </w:r>
      <w:r w:rsidR="008A2764"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48,49</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w:t>
      </w:r>
      <w:r w:rsidRPr="00DE6416">
        <w:rPr>
          <w:rFonts w:ascii="Times New Roman" w:hAnsi="Times New Roman" w:cs="Times New Roman"/>
          <w:sz w:val="20"/>
          <w:szCs w:val="20"/>
        </w:rPr>
        <w:t xml:space="preserve"> </w:t>
      </w:r>
      <w:r w:rsidR="0080655B" w:rsidRPr="00DE6416">
        <w:rPr>
          <w:rFonts w:ascii="Times New Roman" w:hAnsi="Times New Roman" w:cs="Times New Roman"/>
          <w:sz w:val="20"/>
          <w:szCs w:val="20"/>
        </w:rPr>
        <w:t>The international strategies emphasize the significance of screening of dementia risks, educating about lifestyle health, and managing vascular risks in primary care facilities, especially the countries with the scarce resources in which the prevalence of dementia is increasing rapidly</w:t>
      </w:r>
      <w:r w:rsidR="0080655B" w:rsidRPr="00DE6416">
        <w:rPr>
          <w:rFonts w:ascii="Times New Roman" w:hAnsi="Times New Roman" w:cs="Times New Roman"/>
          <w:sz w:val="20"/>
          <w:szCs w:val="20"/>
          <w:vertAlign w:val="superscript"/>
        </w:rPr>
        <w:t xml:space="preserv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50,51</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 xml:space="preserve">. </w:t>
      </w:r>
    </w:p>
    <w:p w14:paraId="59615526" w14:textId="77777777" w:rsidR="0059016E" w:rsidRPr="00DE6416" w:rsidRDefault="0059016E" w:rsidP="00F8100A">
      <w:pPr>
        <w:jc w:val="both"/>
        <w:rPr>
          <w:rFonts w:ascii="Times New Roman" w:hAnsi="Times New Roman" w:cs="Times New Roman"/>
          <w:b/>
          <w:bCs/>
        </w:rPr>
      </w:pPr>
      <w:r w:rsidRPr="00DE6416">
        <w:rPr>
          <w:rFonts w:ascii="Times New Roman" w:hAnsi="Times New Roman" w:cs="Times New Roman"/>
          <w:b/>
          <w:bCs/>
        </w:rPr>
        <w:t>5. Therapeutic landscape</w:t>
      </w:r>
    </w:p>
    <w:p w14:paraId="7FA0BAD4" w14:textId="6255ABE5" w:rsidR="0059016E" w:rsidRPr="00DE6416" w:rsidRDefault="0059016E" w:rsidP="00F8100A">
      <w:pPr>
        <w:pStyle w:val="ListParagraph"/>
        <w:numPr>
          <w:ilvl w:val="0"/>
          <w:numId w:val="5"/>
        </w:numPr>
        <w:jc w:val="both"/>
        <w:rPr>
          <w:rFonts w:ascii="Times New Roman" w:hAnsi="Times New Roman" w:cs="Times New Roman"/>
          <w:b/>
          <w:bCs/>
        </w:rPr>
      </w:pPr>
      <w:r w:rsidRPr="00DE6416">
        <w:rPr>
          <w:rFonts w:ascii="Times New Roman" w:hAnsi="Times New Roman" w:cs="Times New Roman"/>
          <w:b/>
          <w:bCs/>
        </w:rPr>
        <w:t>Symptomatic therapies</w:t>
      </w:r>
    </w:p>
    <w:p w14:paraId="691B0F59" w14:textId="06B6C8A5"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The available symptomatic management in Alzheimer disease (AD) focuses mainly on the deficiencies of neurotransmitters, particularly those of the cholinergic and glutamatergic systems. Donepezil, rivastigamine, and galantamine are cholinesterase inhibitors which promote synaptic acetylcholine release, and result in small </w:t>
      </w:r>
      <w:r w:rsidRPr="00DE6416">
        <w:rPr>
          <w:rFonts w:ascii="Times New Roman" w:hAnsi="Times New Roman" w:cs="Times New Roman"/>
          <w:sz w:val="20"/>
          <w:szCs w:val="20"/>
        </w:rPr>
        <w:lastRenderedPageBreak/>
        <w:t xml:space="preserve">improvements in cognition, behavior, and daily functioning in mild-to-moderate AD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52, 5</w:t>
      </w:r>
      <w:r w:rsidR="003A2653" w:rsidRPr="00DE6416">
        <w:rPr>
          <w:rFonts w:ascii="Times New Roman" w:hAnsi="Times New Roman" w:cs="Times New Roman"/>
          <w:sz w:val="20"/>
          <w:szCs w:val="20"/>
          <w:vertAlign w:val="superscript"/>
        </w:rPr>
        <w:t>3</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r w:rsidR="003A2653" w:rsidRPr="00DE6416">
        <w:rPr>
          <w:rFonts w:ascii="Times New Roman" w:hAnsi="Times New Roman" w:cs="Times New Roman"/>
          <w:sz w:val="20"/>
          <w:szCs w:val="20"/>
        </w:rPr>
        <w:t xml:space="preserve">The antagonist of NMDA receptors that improves the excitotoxicity in sport of glutamate and is used in the treatment of the moderate-to-severe Alzheimer disease is memantine </w:t>
      </w:r>
      <w:r w:rsidR="003A2653" w:rsidRPr="00DE6416">
        <w:rPr>
          <w:rFonts w:ascii="Times New Roman" w:hAnsi="Times New Roman" w:cs="Times New Roman"/>
          <w:sz w:val="20"/>
          <w:szCs w:val="20"/>
          <w:vertAlign w:val="superscript"/>
        </w:rPr>
        <w:t>[54]</w:t>
      </w:r>
      <w:r w:rsidR="003A2653" w:rsidRPr="00DE6416">
        <w:rPr>
          <w:rFonts w:ascii="Times New Roman" w:hAnsi="Times New Roman" w:cs="Times New Roman"/>
          <w:sz w:val="20"/>
          <w:szCs w:val="20"/>
        </w:rPr>
        <w:t xml:space="preserve">. The combination of memantine and cholinesterase inhibitors may yield further curative effect during the advanced types of the disease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55</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Nevertheless, these treatments are symptomatic and they fail to change the neurodegenerative process.</w:t>
      </w:r>
    </w:p>
    <w:p w14:paraId="12AF21C0" w14:textId="024EEA2D" w:rsidR="0059016E" w:rsidRPr="00F8100A" w:rsidRDefault="0059016E" w:rsidP="00F8100A">
      <w:pPr>
        <w:pStyle w:val="ListParagraph"/>
        <w:numPr>
          <w:ilvl w:val="0"/>
          <w:numId w:val="6"/>
        </w:numPr>
        <w:jc w:val="both"/>
        <w:rPr>
          <w:rFonts w:ascii="Times New Roman" w:hAnsi="Times New Roman" w:cs="Times New Roman"/>
          <w:b/>
          <w:bCs/>
          <w:sz w:val="24"/>
          <w:szCs w:val="24"/>
        </w:rPr>
      </w:pPr>
      <w:bookmarkStart w:id="1" w:name="_Hlk227104123"/>
      <w:r w:rsidRPr="00DE6416">
        <w:rPr>
          <w:rFonts w:ascii="Times New Roman" w:hAnsi="Times New Roman" w:cs="Times New Roman"/>
          <w:b/>
          <w:bCs/>
        </w:rPr>
        <w:t>Anti-Amyloid Monoclonal Antibodies-Disease-Modifying Therapies</w:t>
      </w:r>
    </w:p>
    <w:bookmarkEnd w:id="1"/>
    <w:p w14:paraId="7986B819" w14:textId="173ADCA2" w:rsidR="00DF77D6" w:rsidRDefault="0059016E" w:rsidP="00DF77D6">
      <w:pPr>
        <w:jc w:val="both"/>
      </w:pPr>
      <w:r w:rsidRPr="00DE6416">
        <w:rPr>
          <w:rFonts w:ascii="Times New Roman" w:hAnsi="Times New Roman" w:cs="Times New Roman"/>
          <w:sz w:val="20"/>
          <w:szCs w:val="20"/>
        </w:rPr>
        <w:t xml:space="preserve">Amyloid- 2 pathology has been attacked by means of disease-modifying strategies. Aducanumab has been shown to lower the amount of amyloid plaques evidenced by PET scan but the clinical benefit of this agent is controversial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56</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Lecanemab showed amyloid clearing as well as slight cognitive decline in early AD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57</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Donanemab also demonstrated considerable plaque clearance/slowing of clinical progression in early symptomatic AD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58</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r w:rsidR="008A1D84" w:rsidRPr="00DE6416">
        <w:rPr>
          <w:rFonts w:ascii="Times New Roman" w:hAnsi="Times New Roman" w:cs="Times New Roman"/>
          <w:sz w:val="20"/>
          <w:szCs w:val="20"/>
        </w:rPr>
        <w:t>Nonetheless, such therapies should be associated with close observation, because of their adverse effects on the safety, such as amyloid-related imaging abnormalities (ARIA), such as brain edema and microhemorrhage</w:t>
      </w:r>
      <w:r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59</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Such therapies are a major move towards biological targeted treatment methods.</w:t>
      </w:r>
      <w:r w:rsidR="00DF77D6" w:rsidRPr="00DF77D6">
        <w:t xml:space="preserve"> </w:t>
      </w:r>
      <w:r w:rsidR="00DF77D6" w:rsidRPr="00DF77D6">
        <w:rPr>
          <w:rFonts w:ascii="Times New Roman" w:hAnsi="Times New Roman" w:cs="Times New Roman"/>
          <w:sz w:val="20"/>
          <w:szCs w:val="20"/>
        </w:rPr>
        <w:t>Clinical trials have recently shown that disease-modifying amyloid-pathology therapies could slow cognitive loss in early Alzheimer disease but their long-term safety and effectiveness are under investigation</w:t>
      </w:r>
      <w:r w:rsidR="00DF77D6">
        <w:rPr>
          <w:sz w:val="20"/>
          <w:szCs w:val="20"/>
        </w:rPr>
        <w:t xml:space="preserve"> </w:t>
      </w:r>
      <w:r w:rsidR="00DF77D6" w:rsidRPr="00DF77D6">
        <w:rPr>
          <w:rFonts w:ascii="Times New Roman" w:hAnsi="Times New Roman" w:cs="Times New Roman"/>
          <w:sz w:val="20"/>
          <w:szCs w:val="20"/>
          <w:vertAlign w:val="superscript"/>
        </w:rPr>
        <w:t>[60]</w:t>
      </w:r>
      <w:r w:rsidR="00DF77D6">
        <w:rPr>
          <w:sz w:val="20"/>
          <w:szCs w:val="20"/>
        </w:rPr>
        <w:t>.</w:t>
      </w:r>
    </w:p>
    <w:p w14:paraId="3FEB18A1" w14:textId="4051951D" w:rsidR="0059016E" w:rsidRPr="00DE6416" w:rsidRDefault="0059016E" w:rsidP="006205D9">
      <w:pPr>
        <w:jc w:val="both"/>
        <w:rPr>
          <w:rFonts w:ascii="Times New Roman" w:hAnsi="Times New Roman" w:cs="Times New Roman"/>
          <w:sz w:val="20"/>
          <w:szCs w:val="20"/>
        </w:rPr>
      </w:pPr>
    </w:p>
    <w:p w14:paraId="391CB493" w14:textId="287A5F10"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Anti-Tau and Other Direct Pathology Modulators</w:t>
      </w:r>
    </w:p>
    <w:p w14:paraId="1D484E4F" w14:textId="2950B3D9"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Since tau pathology and cognitive impairment have a high correlation, anti-τu approaches are meant to prevent tau aggregation, phosphorylation, or propagation. </w:t>
      </w:r>
      <w:r w:rsidR="008A1D84" w:rsidRPr="00DE6416">
        <w:rPr>
          <w:rFonts w:ascii="Times New Roman" w:hAnsi="Times New Roman" w:cs="Times New Roman"/>
          <w:sz w:val="20"/>
          <w:szCs w:val="20"/>
        </w:rPr>
        <w:t>Numerous treatment strategies are under investigation such as monoclonal antibody targeting extracellular tau, vaccination therapy involving tau, antisense oligonucleotides, and small-molecule inhibitors</w:t>
      </w:r>
      <w:r w:rsidRPr="00DE6416">
        <w:rPr>
          <w:rFonts w:ascii="Times New Roman" w:hAnsi="Times New Roman" w:cs="Times New Roman"/>
          <w:sz w:val="20"/>
          <w:szCs w:val="20"/>
        </w:rPr>
        <w:t xml:space="preserve">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1</w:t>
      </w:r>
      <w:r w:rsidRPr="00DE6416">
        <w:rPr>
          <w:rFonts w:ascii="Times New Roman" w:hAnsi="Times New Roman" w:cs="Times New Roman"/>
          <w:sz w:val="20"/>
          <w:szCs w:val="20"/>
          <w:vertAlign w:val="superscript"/>
        </w:rPr>
        <w:t>, 6</w:t>
      </w:r>
      <w:r w:rsidR="00DF77D6">
        <w:rPr>
          <w:rFonts w:ascii="Times New Roman" w:hAnsi="Times New Roman" w:cs="Times New Roman"/>
          <w:sz w:val="20"/>
          <w:szCs w:val="20"/>
          <w:vertAlign w:val="superscript"/>
        </w:rPr>
        <w:t>2</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Even though clinical efficacy evidence is still scarce, biomarker research indicates that there is engagement of targets and prevention of pathological tau propagation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3</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There is also a possibility that tau targeting is especially significant in later disease progression when tau load has a stronger relationship with neuronal loss and the severity of symptoms.</w:t>
      </w:r>
    </w:p>
    <w:p w14:paraId="79F0FD8B" w14:textId="799D9F2A"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Attacking Neuroinflammation, Synaptic Resilience, and Metabolism</w:t>
      </w:r>
    </w:p>
    <w:p w14:paraId="2D3BBD53" w14:textId="0B11CC8E" w:rsidR="0059016E" w:rsidRPr="005B7429"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Neuroinflammation is also essential to AD. The active exploration is in the process of modulating microglial activation functions, such as TREM2 signaling, and innate immune responses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4</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Methods to improve synaptic resilience by means of neurotrophic support and the mitigation of oxidative stress are also being studied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5</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Moreover, insulin resistance, and dysfunction of the mitochondrion itself, has also contributed to the experiment of intranasal insulin and GLP-1 receptor agonists as possible therapeutic agents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6</w:t>
      </w:r>
      <w:r w:rsidRPr="00DE6416">
        <w:rPr>
          <w:rFonts w:ascii="Times New Roman" w:hAnsi="Times New Roman" w:cs="Times New Roman"/>
          <w:sz w:val="20"/>
          <w:szCs w:val="20"/>
          <w:vertAlign w:val="superscript"/>
        </w:rPr>
        <w:t>, 6</w:t>
      </w:r>
      <w:r w:rsidR="00DF77D6">
        <w:rPr>
          <w:rFonts w:ascii="Times New Roman" w:hAnsi="Times New Roman" w:cs="Times New Roman"/>
          <w:sz w:val="20"/>
          <w:szCs w:val="20"/>
          <w:vertAlign w:val="superscript"/>
        </w:rPr>
        <w:t>7</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These methods expand the therapeutic target of amyloid and tau to systemic and cellular processes that cause neurodegeneration.</w:t>
      </w:r>
      <w:r w:rsidR="005B7429">
        <w:rPr>
          <w:rFonts w:ascii="Times New Roman" w:hAnsi="Times New Roman" w:cs="Times New Roman"/>
          <w:sz w:val="20"/>
          <w:szCs w:val="20"/>
        </w:rPr>
        <w:t xml:space="preserve"> </w:t>
      </w:r>
      <w:r w:rsidR="005B7429" w:rsidRPr="005B7429">
        <w:rPr>
          <w:rFonts w:ascii="Times New Roman" w:hAnsi="Times New Roman" w:cs="Times New Roman"/>
          <w:sz w:val="20"/>
          <w:szCs w:val="20"/>
        </w:rPr>
        <w:t>The development of Alzheimer diseases is driven by several pathological mechanisms that are linked, which are oxidative stress, neuroinflammation and metabolic dysfunction resulting into the destruction of synapses and neurodegeneration. Such a multidimensional character underlines the shortcomings of single-target therapies and justifies the necessity of the multi-target approach to therapy</w:t>
      </w:r>
      <w:r w:rsidR="005B7429">
        <w:rPr>
          <w:rFonts w:ascii="Times New Roman" w:hAnsi="Times New Roman" w:cs="Times New Roman"/>
          <w:sz w:val="20"/>
          <w:szCs w:val="20"/>
        </w:rPr>
        <w:t xml:space="preserve"> </w:t>
      </w:r>
      <w:r w:rsidR="005B7429" w:rsidRPr="005B7429">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8</w:t>
      </w:r>
      <w:r w:rsidR="005B7429" w:rsidRPr="005B7429">
        <w:rPr>
          <w:rFonts w:ascii="Times New Roman" w:hAnsi="Times New Roman" w:cs="Times New Roman"/>
          <w:sz w:val="20"/>
          <w:szCs w:val="20"/>
          <w:vertAlign w:val="superscript"/>
        </w:rPr>
        <w:t>]</w:t>
      </w:r>
      <w:r w:rsidR="005B7429">
        <w:rPr>
          <w:rFonts w:ascii="Times New Roman" w:hAnsi="Times New Roman" w:cs="Times New Roman"/>
          <w:sz w:val="20"/>
          <w:szCs w:val="20"/>
        </w:rPr>
        <w:t>.</w:t>
      </w:r>
    </w:p>
    <w:p w14:paraId="67DAEE7E" w14:textId="2EEFFA9B"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Non-Drug and Non-Procedure Interventions</w:t>
      </w:r>
    </w:p>
    <w:p w14:paraId="54FC53B4" w14:textId="52CF666F"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Non-drug strategies including structured physical exercise, cognitive training and dietary adjustment encourage neuroplasticity and have a potential to delay cognitive deterioration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w:t>
      </w:r>
      <w:r w:rsidR="00DF77D6">
        <w:rPr>
          <w:rFonts w:ascii="Times New Roman" w:hAnsi="Times New Roman" w:cs="Times New Roman"/>
          <w:sz w:val="20"/>
          <w:szCs w:val="20"/>
          <w:vertAlign w:val="superscript"/>
        </w:rPr>
        <w:t>9</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New approaches like the gamma-frequency sensory stimulation have demonstrated possibilities to alter the neural activity oscillation and can lessen the amyloid burden at early phases of research </w:t>
      </w:r>
      <w:r w:rsidR="001C2656" w:rsidRPr="00DE6416">
        <w:rPr>
          <w:rFonts w:ascii="Times New Roman" w:hAnsi="Times New Roman" w:cs="Times New Roman"/>
          <w:sz w:val="20"/>
          <w:szCs w:val="20"/>
          <w:vertAlign w:val="superscript"/>
        </w:rPr>
        <w:t>[</w:t>
      </w:r>
      <w:r w:rsidR="00DF77D6">
        <w:rPr>
          <w:rFonts w:ascii="Times New Roman" w:hAnsi="Times New Roman" w:cs="Times New Roman"/>
          <w:sz w:val="20"/>
          <w:szCs w:val="20"/>
          <w:vertAlign w:val="superscript"/>
        </w:rPr>
        <w:t>70</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These practices can be used as an addition to the pharmacological therapy.</w:t>
      </w:r>
    </w:p>
    <w:p w14:paraId="5C29283D" w14:textId="72680FB8" w:rsidR="0059016E" w:rsidRDefault="0059016E" w:rsidP="00F8100A">
      <w:pPr>
        <w:jc w:val="both"/>
        <w:rPr>
          <w:rFonts w:ascii="Times New Roman" w:hAnsi="Times New Roman" w:cs="Times New Roman"/>
          <w:b/>
          <w:bCs/>
        </w:rPr>
      </w:pPr>
      <w:bookmarkStart w:id="2" w:name="_Hlk227104855"/>
      <w:r w:rsidRPr="00DE6416">
        <w:rPr>
          <w:rFonts w:ascii="Times New Roman" w:hAnsi="Times New Roman" w:cs="Times New Roman"/>
          <w:b/>
          <w:bCs/>
        </w:rPr>
        <w:t>5.1 Gene and Cell-Based Therapies</w:t>
      </w:r>
    </w:p>
    <w:p w14:paraId="1D2FEF58" w14:textId="62F9DC0F" w:rsidR="00D207E6" w:rsidRPr="00D207E6" w:rsidRDefault="00D207E6" w:rsidP="00D207E6">
      <w:pPr>
        <w:jc w:val="both"/>
        <w:rPr>
          <w:rFonts w:ascii="Times New Roman" w:hAnsi="Times New Roman" w:cs="Times New Roman"/>
          <w:sz w:val="20"/>
          <w:szCs w:val="20"/>
        </w:rPr>
      </w:pPr>
      <w:r w:rsidRPr="00D207E6">
        <w:rPr>
          <w:rFonts w:ascii="Times New Roman" w:hAnsi="Times New Roman" w:cs="Times New Roman"/>
          <w:sz w:val="20"/>
          <w:szCs w:val="20"/>
        </w:rPr>
        <w:t>The therapeutic approaches based on genes are more focused on binding to molecular mechanisms of disease, such as regulation of gene expression and protein synthesis. They have several approaches, including viral vectors-mediated gene delivery, RNA-based therapies, which are already under other investigation, but with promising preclinical results, their implementation in clinical practice is still low and needs to be verified</w:t>
      </w:r>
      <w:r>
        <w:rPr>
          <w:rFonts w:ascii="Times New Roman" w:hAnsi="Times New Roman" w:cs="Times New Roman"/>
          <w:sz w:val="20"/>
          <w:szCs w:val="20"/>
        </w:rPr>
        <w:t xml:space="preserve"> </w:t>
      </w:r>
      <w:r w:rsidRPr="00D207E6">
        <w:rPr>
          <w:rFonts w:ascii="Times New Roman" w:hAnsi="Times New Roman" w:cs="Times New Roman"/>
          <w:sz w:val="20"/>
          <w:szCs w:val="20"/>
          <w:vertAlign w:val="superscript"/>
        </w:rPr>
        <w:t>[71]</w:t>
      </w:r>
    </w:p>
    <w:bookmarkEnd w:id="2"/>
    <w:p w14:paraId="2B0A0F2C" w14:textId="3EE4B35D"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Gene-Editing and Gene-Delivery Systems</w:t>
      </w:r>
    </w:p>
    <w:p w14:paraId="01AAA2F1" w14:textId="4B3C51AB" w:rsidR="00FA51B5"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lastRenderedPageBreak/>
        <w:t>Strategies of gene-editing, including CRISPR/Cas9, have the prospect of directly altering the genes involved in Alzheimer disease (AD) like APP and APOE and, therefore, decreasing the level of amyloid-</w:t>
      </w:r>
      <w:r w:rsidR="00D207E6">
        <w:rPr>
          <w:rFonts w:ascii="Times New Roman" w:hAnsi="Times New Roman" w:cs="Times New Roman"/>
          <w:sz w:val="20"/>
          <w:szCs w:val="20"/>
        </w:rPr>
        <w:t>ß</w:t>
      </w:r>
      <w:r w:rsidRPr="00DE6416">
        <w:rPr>
          <w:rFonts w:ascii="Times New Roman" w:hAnsi="Times New Roman" w:cs="Times New Roman"/>
          <w:sz w:val="20"/>
          <w:szCs w:val="20"/>
        </w:rPr>
        <w:t xml:space="preserve"> and, accordingly, changing the progression of the disease at a molecular scale </w:t>
      </w:r>
      <w:r w:rsidR="001C2656" w:rsidRPr="00DE6416">
        <w:rPr>
          <w:rFonts w:ascii="Times New Roman" w:hAnsi="Times New Roman" w:cs="Times New Roman"/>
          <w:sz w:val="20"/>
          <w:szCs w:val="20"/>
          <w:vertAlign w:val="superscript"/>
        </w:rPr>
        <w:t>[</w:t>
      </w:r>
      <w:r w:rsidR="005B7429">
        <w:rPr>
          <w:rFonts w:ascii="Times New Roman" w:hAnsi="Times New Roman" w:cs="Times New Roman"/>
          <w:sz w:val="20"/>
          <w:szCs w:val="20"/>
          <w:vertAlign w:val="superscript"/>
        </w:rPr>
        <w:t>7</w:t>
      </w:r>
      <w:r w:rsidR="00D207E6">
        <w:rPr>
          <w:rFonts w:ascii="Times New Roman" w:hAnsi="Times New Roman" w:cs="Times New Roman"/>
          <w:sz w:val="20"/>
          <w:szCs w:val="20"/>
          <w:vertAlign w:val="superscript"/>
        </w:rPr>
        <w:t>2</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Simultaneously, gene delivery systems with adeno-associated virus (AAV) are in progress to deliver neuroprotective genes or silence neuro-pathogenic pathways into the central nervous system to offer a lasting therapeutic expression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w:t>
      </w:r>
      <w:r w:rsidR="00D207E6">
        <w:rPr>
          <w:rFonts w:ascii="Times New Roman" w:hAnsi="Times New Roman" w:cs="Times New Roman"/>
          <w:sz w:val="20"/>
          <w:szCs w:val="20"/>
          <w:vertAlign w:val="superscript"/>
        </w:rPr>
        <w:t>3</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In spite of the fact that these methods are still in their preclinical stages, they could be potential precision-medicine technologies against upstream </w:t>
      </w:r>
      <w:r w:rsidR="005904A2" w:rsidRPr="00DE6416">
        <w:rPr>
          <w:rFonts w:ascii="Times New Roman" w:hAnsi="Times New Roman" w:cs="Times New Roman"/>
          <w:sz w:val="20"/>
          <w:szCs w:val="20"/>
        </w:rPr>
        <w:t>hereditary factors</w:t>
      </w:r>
      <w:r w:rsidRPr="00DE6416">
        <w:rPr>
          <w:rFonts w:ascii="Times New Roman" w:hAnsi="Times New Roman" w:cs="Times New Roman"/>
          <w:sz w:val="20"/>
          <w:szCs w:val="20"/>
        </w:rPr>
        <w:t xml:space="preserve"> of neurodegeneration.</w:t>
      </w:r>
    </w:p>
    <w:p w14:paraId="3971CD10" w14:textId="43936F20" w:rsidR="0059016E" w:rsidRPr="00DE6416" w:rsidRDefault="005904A2" w:rsidP="00F8100A">
      <w:pPr>
        <w:pStyle w:val="ListParagraph"/>
        <w:numPr>
          <w:ilvl w:val="0"/>
          <w:numId w:val="6"/>
        </w:numPr>
        <w:jc w:val="both"/>
        <w:rPr>
          <w:rFonts w:ascii="Times New Roman" w:hAnsi="Times New Roman" w:cs="Times New Roman"/>
          <w:b/>
          <w:bCs/>
        </w:rPr>
      </w:pPr>
      <w:bookmarkStart w:id="3" w:name="_Hlk224072597"/>
      <w:r w:rsidRPr="00DE6416">
        <w:rPr>
          <w:rFonts w:ascii="Times New Roman" w:hAnsi="Times New Roman" w:cs="Times New Roman"/>
          <w:b/>
          <w:bCs/>
        </w:rPr>
        <w:t>Stem Cells-B</w:t>
      </w:r>
      <w:r w:rsidR="0059016E" w:rsidRPr="00DE6416">
        <w:rPr>
          <w:rFonts w:ascii="Times New Roman" w:hAnsi="Times New Roman" w:cs="Times New Roman"/>
          <w:b/>
          <w:bCs/>
        </w:rPr>
        <w:t xml:space="preserve">ased </w:t>
      </w:r>
      <w:r w:rsidRPr="00DE6416">
        <w:rPr>
          <w:rFonts w:ascii="Times New Roman" w:hAnsi="Times New Roman" w:cs="Times New Roman"/>
          <w:b/>
          <w:bCs/>
        </w:rPr>
        <w:t>Therapy</w:t>
      </w:r>
      <w:r w:rsidR="0059016E" w:rsidRPr="00DE6416">
        <w:rPr>
          <w:rFonts w:ascii="Times New Roman" w:hAnsi="Times New Roman" w:cs="Times New Roman"/>
          <w:b/>
          <w:bCs/>
        </w:rPr>
        <w:t xml:space="preserve"> </w:t>
      </w:r>
    </w:p>
    <w:bookmarkEnd w:id="3"/>
    <w:p w14:paraId="222E5BF4" w14:textId="1AAB4BBA" w:rsidR="004246A0" w:rsidRDefault="004246A0" w:rsidP="004246A0">
      <w:pPr>
        <w:jc w:val="both"/>
        <w:rPr>
          <w:rFonts w:ascii="Times New Roman" w:hAnsi="Times New Roman" w:cs="Times New Roman"/>
          <w:sz w:val="20"/>
          <w:szCs w:val="20"/>
        </w:rPr>
      </w:pPr>
      <w:r w:rsidRPr="004246A0">
        <w:rPr>
          <w:rFonts w:ascii="Times New Roman" w:hAnsi="Times New Roman" w:cs="Times New Roman"/>
          <w:sz w:val="20"/>
          <w:szCs w:val="20"/>
        </w:rPr>
        <w:t>A new approach that has been developed is the use of stem cell- based therapies to enhance neuronal repair and regeneration and studies that have been conducted recently have shown promising results in preclinical research and in early clinical studies</w:t>
      </w:r>
      <w:r>
        <w:rPr>
          <w:rFonts w:ascii="Times New Roman" w:hAnsi="Times New Roman" w:cs="Times New Roman"/>
          <w:sz w:val="20"/>
          <w:szCs w:val="20"/>
        </w:rPr>
        <w:t xml:space="preserve"> </w:t>
      </w:r>
      <w:r w:rsidRPr="004246A0">
        <w:rPr>
          <w:rFonts w:ascii="Times New Roman" w:hAnsi="Times New Roman" w:cs="Times New Roman"/>
          <w:sz w:val="20"/>
          <w:szCs w:val="20"/>
          <w:vertAlign w:val="superscript"/>
        </w:rPr>
        <w:t>[74]</w:t>
      </w:r>
      <w:r w:rsidRPr="004246A0">
        <w:rPr>
          <w:rFonts w:ascii="Times New Roman" w:hAnsi="Times New Roman" w:cs="Times New Roman"/>
          <w:sz w:val="20"/>
          <w:szCs w:val="20"/>
        </w:rPr>
        <w:t>.</w:t>
      </w:r>
      <w:r w:rsidRPr="004246A0">
        <w:rPr>
          <w:rFonts w:ascii="Times New Roman" w:hAnsi="Times New Roman" w:cs="Times New Roman"/>
          <w:sz w:val="18"/>
          <w:szCs w:val="18"/>
        </w:rPr>
        <w:t xml:space="preserve"> </w:t>
      </w:r>
      <w:r w:rsidR="0059016E" w:rsidRPr="00DE6416">
        <w:rPr>
          <w:rFonts w:ascii="Times New Roman" w:hAnsi="Times New Roman" w:cs="Times New Roman"/>
          <w:sz w:val="20"/>
          <w:szCs w:val="20"/>
        </w:rPr>
        <w:t>The therapies with stem cells, specifically</w:t>
      </w:r>
      <w:r w:rsidR="005904A2" w:rsidRPr="00DE6416">
        <w:rPr>
          <w:rFonts w:ascii="Times New Roman" w:hAnsi="Times New Roman" w:cs="Times New Roman"/>
          <w:sz w:val="20"/>
          <w:szCs w:val="20"/>
        </w:rPr>
        <w:t xml:space="preserve"> </w:t>
      </w:r>
      <w:r w:rsidR="0059016E" w:rsidRPr="00DE6416">
        <w:rPr>
          <w:rFonts w:ascii="Times New Roman" w:hAnsi="Times New Roman" w:cs="Times New Roman"/>
          <w:sz w:val="20"/>
          <w:szCs w:val="20"/>
        </w:rPr>
        <w:t xml:space="preserve">MSCs and neural stem cells, have shown to decrease the amyloid deposition, activate neuroinflammation, and improve the synaptic plasticity in experimental models of AD </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7</w:t>
      </w:r>
      <w:r>
        <w:rPr>
          <w:rFonts w:ascii="Times New Roman" w:hAnsi="Times New Roman" w:cs="Times New Roman"/>
          <w:sz w:val="20"/>
          <w:szCs w:val="20"/>
          <w:vertAlign w:val="superscript"/>
        </w:rPr>
        <w:t>5</w:t>
      </w:r>
      <w:r w:rsidR="005B7429">
        <w:rPr>
          <w:rFonts w:ascii="Times New Roman" w:hAnsi="Times New Roman" w:cs="Times New Roman"/>
          <w:sz w:val="20"/>
          <w:szCs w:val="20"/>
          <w:vertAlign w:val="superscript"/>
        </w:rPr>
        <w:t>]</w:t>
      </w:r>
      <w:r w:rsidR="008A1D84" w:rsidRPr="00DE6416">
        <w:rPr>
          <w:rFonts w:ascii="Times New Roman" w:hAnsi="Times New Roman" w:cs="Times New Roman"/>
          <w:sz w:val="20"/>
          <w:szCs w:val="20"/>
        </w:rPr>
        <w:t xml:space="preserve"> It is believed that the therapeutic effects are only achieved through the paracrine discharge of neurotrophic and immunomodulatory factors but not by direct neuronal substitution</w:t>
      </w:r>
      <w:r w:rsidR="0059016E" w:rsidRPr="00DE6416">
        <w:rPr>
          <w:rFonts w:ascii="Times New Roman" w:hAnsi="Times New Roman" w:cs="Times New Roman"/>
          <w:sz w:val="20"/>
          <w:szCs w:val="20"/>
        </w:rPr>
        <w:t xml:space="preserve">. Initial preclinical research shows that it is safe and feasible and more extensive studies should be conducted to determine efficacy </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7</w:t>
      </w:r>
      <w:r>
        <w:rPr>
          <w:rFonts w:ascii="Times New Roman" w:hAnsi="Times New Roman" w:cs="Times New Roman"/>
          <w:sz w:val="20"/>
          <w:szCs w:val="20"/>
          <w:vertAlign w:val="superscript"/>
        </w:rPr>
        <w:t>6</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w:t>
      </w:r>
      <w:r>
        <w:rPr>
          <w:rFonts w:ascii="Times New Roman" w:hAnsi="Times New Roman" w:cs="Times New Roman"/>
          <w:sz w:val="20"/>
          <w:szCs w:val="20"/>
        </w:rPr>
        <w:t xml:space="preserve"> </w:t>
      </w:r>
    </w:p>
    <w:p w14:paraId="43BCDBDA" w14:textId="6B0461F1" w:rsidR="0059016E" w:rsidRPr="00DE6416" w:rsidRDefault="0059016E" w:rsidP="004246A0">
      <w:pPr>
        <w:jc w:val="both"/>
        <w:rPr>
          <w:rFonts w:ascii="Times New Roman" w:hAnsi="Times New Roman" w:cs="Times New Roman"/>
          <w:b/>
          <w:bCs/>
        </w:rPr>
      </w:pPr>
      <w:r w:rsidRPr="00DE6416">
        <w:rPr>
          <w:rFonts w:ascii="Times New Roman" w:hAnsi="Times New Roman" w:cs="Times New Roman"/>
          <w:b/>
          <w:bCs/>
        </w:rPr>
        <w:t>Exosome and Extracellular Vesicle Therapeutics</w:t>
      </w:r>
    </w:p>
    <w:p w14:paraId="3F4B02BA" w14:textId="3B981242"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Stem cell exosomes have become an exosome cell-free therapeutic approach in AD. These nano-sized vesicles have the </w:t>
      </w:r>
      <w:r w:rsidR="005904A2" w:rsidRPr="00DE6416">
        <w:rPr>
          <w:rFonts w:ascii="Times New Roman" w:hAnsi="Times New Roman" w:cs="Times New Roman"/>
          <w:sz w:val="20"/>
          <w:szCs w:val="20"/>
        </w:rPr>
        <w:t>potentiality</w:t>
      </w:r>
      <w:r w:rsidRPr="00DE6416">
        <w:rPr>
          <w:rFonts w:ascii="Times New Roman" w:hAnsi="Times New Roman" w:cs="Times New Roman"/>
          <w:sz w:val="20"/>
          <w:szCs w:val="20"/>
        </w:rPr>
        <w:t xml:space="preserve"> of entering the</w:t>
      </w:r>
      <w:r w:rsidR="005904A2" w:rsidRPr="00DE6416">
        <w:rPr>
          <w:rFonts w:ascii="Times New Roman" w:hAnsi="Times New Roman" w:cs="Times New Roman"/>
          <w:sz w:val="20"/>
          <w:szCs w:val="20"/>
        </w:rPr>
        <w:t xml:space="preserve"> BBB</w:t>
      </w:r>
      <w:r w:rsidRPr="00DE6416">
        <w:rPr>
          <w:rFonts w:ascii="Times New Roman" w:hAnsi="Times New Roman" w:cs="Times New Roman"/>
          <w:sz w:val="20"/>
          <w:szCs w:val="20"/>
        </w:rPr>
        <w:t xml:space="preserve"> and transporting regulatory microRNAs and proteins that decrease amyloid burden and tau phosphorylation and regulate neuroinflammatory reactions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w:t>
      </w:r>
      <w:r w:rsidR="004246A0">
        <w:rPr>
          <w:rFonts w:ascii="Times New Roman" w:hAnsi="Times New Roman" w:cs="Times New Roman"/>
          <w:sz w:val="20"/>
          <w:szCs w:val="20"/>
          <w:vertAlign w:val="superscript"/>
        </w:rPr>
        <w:t>7</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According to preclinical experiments, there is enhanced cognitive and synaptic performance and functionality after exosoe administration that speaks volumes about their translational potential and low safety risks relative to whole-cell transplantation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w:t>
      </w:r>
      <w:r w:rsidR="004246A0">
        <w:rPr>
          <w:rFonts w:ascii="Times New Roman" w:hAnsi="Times New Roman" w:cs="Times New Roman"/>
          <w:sz w:val="20"/>
          <w:szCs w:val="20"/>
          <w:vertAlign w:val="superscript"/>
        </w:rPr>
        <w:t>8</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27AA63E9" w14:textId="77777777" w:rsidR="0059016E" w:rsidRPr="00DE6416" w:rsidRDefault="0059016E" w:rsidP="00F8100A">
      <w:pPr>
        <w:jc w:val="both"/>
        <w:rPr>
          <w:rFonts w:ascii="Times New Roman" w:hAnsi="Times New Roman" w:cs="Times New Roman"/>
          <w:b/>
          <w:bCs/>
        </w:rPr>
      </w:pPr>
      <w:bookmarkStart w:id="4" w:name="_Hlk227105405"/>
      <w:r w:rsidRPr="00DE6416">
        <w:rPr>
          <w:rFonts w:ascii="Times New Roman" w:hAnsi="Times New Roman" w:cs="Times New Roman"/>
          <w:b/>
          <w:bCs/>
        </w:rPr>
        <w:t>5.2 Digital and Device-Based Therapies</w:t>
      </w:r>
    </w:p>
    <w:bookmarkEnd w:id="4"/>
    <w:p w14:paraId="78D7F2CD" w14:textId="35FF6555" w:rsidR="004246A0" w:rsidRPr="00E942E9" w:rsidRDefault="004246A0" w:rsidP="00F8100A">
      <w:pPr>
        <w:jc w:val="both"/>
        <w:rPr>
          <w:rFonts w:ascii="Times New Roman" w:eastAsia="Times New Roman" w:hAnsi="Times New Roman" w:cs="Times New Roman"/>
          <w:sz w:val="24"/>
          <w:szCs w:val="24"/>
          <w:lang w:eastAsia="en-IN"/>
        </w:rPr>
      </w:pPr>
      <w:r w:rsidRPr="004246A0">
        <w:rPr>
          <w:rFonts w:ascii="Times New Roman" w:eastAsia="Times New Roman" w:hAnsi="Times New Roman" w:cs="Times New Roman"/>
          <w:sz w:val="20"/>
          <w:szCs w:val="20"/>
          <w:lang w:eastAsia="en-IN"/>
        </w:rPr>
        <w:t>There is growing clinical trial interest in non-pharmacological treatment modalities, such as cognitive training, behavioral therapy, and monitoring technologies, as an adjunct used to improve cognitive ability and quality of life in Alzheimer disease</w:t>
      </w:r>
      <w:r w:rsidR="00E942E9">
        <w:rPr>
          <w:rFonts w:ascii="Times New Roman" w:eastAsia="Times New Roman" w:hAnsi="Times New Roman" w:cs="Times New Roman"/>
          <w:sz w:val="20"/>
          <w:szCs w:val="20"/>
          <w:lang w:eastAsia="en-IN"/>
        </w:rPr>
        <w:t xml:space="preserve"> </w:t>
      </w:r>
      <w:r w:rsidR="00E942E9" w:rsidRPr="00E942E9">
        <w:rPr>
          <w:rFonts w:ascii="Times New Roman" w:eastAsia="Times New Roman" w:hAnsi="Times New Roman" w:cs="Times New Roman"/>
          <w:sz w:val="20"/>
          <w:szCs w:val="20"/>
          <w:vertAlign w:val="superscript"/>
          <w:lang w:eastAsia="en-IN"/>
        </w:rPr>
        <w:t>[79]</w:t>
      </w:r>
      <w:r w:rsidR="00E942E9">
        <w:rPr>
          <w:rFonts w:ascii="Times New Roman" w:eastAsia="Times New Roman" w:hAnsi="Times New Roman" w:cs="Times New Roman"/>
          <w:sz w:val="20"/>
          <w:szCs w:val="20"/>
          <w:lang w:eastAsia="en-IN"/>
        </w:rPr>
        <w:t xml:space="preserve">. </w:t>
      </w:r>
      <w:r w:rsidR="00E942E9" w:rsidRPr="00E942E9">
        <w:rPr>
          <w:rFonts w:ascii="Times New Roman" w:eastAsia="Times New Roman" w:hAnsi="Times New Roman" w:cs="Times New Roman"/>
          <w:sz w:val="20"/>
          <w:szCs w:val="20"/>
          <w:lang w:eastAsia="en-IN"/>
        </w:rPr>
        <w:t>Nevertheless, these interventions, with increased popularity, are still in need of additional standardization and strong clinical validation to determine their long-term effectiveness and applicability to clinical settings.</w:t>
      </w:r>
    </w:p>
    <w:p w14:paraId="670A29C3" w14:textId="240C6F08" w:rsidR="0059016E" w:rsidRPr="00DE6416" w:rsidRDefault="008A1D84"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Digital therapeutics and computerized forms of cognitive training that run on mobile apps have been found to enhance memory, executive functioning, and attention in both patients with mild impaired cognitive and patients with early Alzheimer disease, and have the potential to become scalable adjunctive therapy </w:t>
      </w:r>
      <w:r w:rsidR="001C2656" w:rsidRPr="00DE6416">
        <w:rPr>
          <w:rFonts w:ascii="Times New Roman" w:hAnsi="Times New Roman" w:cs="Times New Roman"/>
          <w:sz w:val="20"/>
          <w:szCs w:val="20"/>
          <w:vertAlign w:val="superscript"/>
        </w:rPr>
        <w:t>[</w:t>
      </w:r>
      <w:r w:rsidR="00E942E9">
        <w:rPr>
          <w:rFonts w:ascii="Times New Roman" w:hAnsi="Times New Roman" w:cs="Times New Roman"/>
          <w:sz w:val="20"/>
          <w:szCs w:val="20"/>
          <w:vertAlign w:val="superscript"/>
        </w:rPr>
        <w:t>80</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 xml:space="preserve">. Wearable technologies and remote monitoring systems also allow one to constantly measure cognitive and behavioral alterations, which allows identifying changes and providing an individual approach to intervention </w:t>
      </w:r>
      <w:r w:rsidR="001C2656" w:rsidRPr="00DE6416">
        <w:rPr>
          <w:rFonts w:ascii="Times New Roman" w:hAnsi="Times New Roman" w:cs="Times New Roman"/>
          <w:sz w:val="20"/>
          <w:szCs w:val="20"/>
          <w:vertAlign w:val="superscript"/>
        </w:rPr>
        <w:t>[</w:t>
      </w:r>
      <w:r w:rsidR="004246A0">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1</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w:t>
      </w:r>
    </w:p>
    <w:p w14:paraId="0BF10E9C" w14:textId="4544F527" w:rsidR="0059016E" w:rsidRPr="00DE6416" w:rsidRDefault="008A1D84"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Transcranial direct current stimulation which is a non-invasive brain stimulation has little yet to be positive in regard to cognitive performance in enhancing cortical excitability and muscle of synaptic plasticity on patients with AD </w:t>
      </w:r>
      <w:r w:rsidR="001C2656" w:rsidRPr="00DE6416">
        <w:rPr>
          <w:rFonts w:ascii="Times New Roman" w:hAnsi="Times New Roman" w:cs="Times New Roman"/>
          <w:sz w:val="20"/>
          <w:szCs w:val="20"/>
          <w:vertAlign w:val="superscript"/>
        </w:rPr>
        <w:t>[</w:t>
      </w:r>
      <w:r w:rsidR="00DA7ED0">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2</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 xml:space="preserve">. Constant transcranial magnetic stimulation (rTMS) has also demonstrated positive results on the global cognition and language performance with cognitive training protocols </w:t>
      </w:r>
      <w:r w:rsidR="001C2656" w:rsidRPr="00DE6416">
        <w:rPr>
          <w:rFonts w:ascii="Times New Roman" w:hAnsi="Times New Roman" w:cs="Times New Roman"/>
          <w:sz w:val="20"/>
          <w:szCs w:val="20"/>
          <w:vertAlign w:val="superscript"/>
        </w:rPr>
        <w:t>[</w:t>
      </w:r>
      <w:r w:rsidR="00DF77D6">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3</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w:t>
      </w:r>
    </w:p>
    <w:p w14:paraId="39CA384F" w14:textId="10051C8A" w:rsidR="0059016E" w:rsidRPr="00DE6416" w:rsidRDefault="0059016E"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Most recently, gamma frequency (40 Hz) non-invasive sensory stimulation has been of interest due to its ability to synchronize neural activity and decrease amyloid pathology, and initial human trials indicate that it is safe and feasible </w:t>
      </w:r>
      <w:r w:rsidR="001C2656" w:rsidRPr="00DE6416">
        <w:rPr>
          <w:rFonts w:ascii="Times New Roman" w:hAnsi="Times New Roman" w:cs="Times New Roman"/>
          <w:sz w:val="20"/>
          <w:szCs w:val="20"/>
          <w:vertAlign w:val="superscript"/>
        </w:rPr>
        <w:t>[</w:t>
      </w:r>
      <w:r w:rsidR="005B7429">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4</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Also, deep brain stimulation (DBS) of memory related circuits including the fornix is under study as a possible treatment to control maladaptive neural networks in AD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5</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1FBBFA7D" w14:textId="14877AD9" w:rsidR="00FA51B5" w:rsidRPr="00DE6416" w:rsidRDefault="0059016E" w:rsidP="00F8100A">
      <w:pPr>
        <w:jc w:val="both"/>
        <w:rPr>
          <w:rFonts w:ascii="Times New Roman" w:hAnsi="Times New Roman" w:cs="Times New Roman"/>
          <w:sz w:val="20"/>
          <w:szCs w:val="20"/>
        </w:rPr>
      </w:pPr>
      <w:r w:rsidRPr="00DE6416">
        <w:rPr>
          <w:rFonts w:ascii="Times New Roman" w:hAnsi="Times New Roman" w:cs="Times New Roman"/>
          <w:sz w:val="20"/>
          <w:szCs w:val="20"/>
        </w:rPr>
        <w:t>Together, the digital and device-based treatments present the potential of promising complementary therapeutic approaches that can potentially increase neuroplasticity, manage symptoms, and provide personalized treatment, but there is still need to conduct long-term studies of their efficacy and the overall validation of the approach.</w:t>
      </w:r>
    </w:p>
    <w:p w14:paraId="5DAB4041" w14:textId="77777777" w:rsidR="00D413CC" w:rsidRPr="00F8100A" w:rsidRDefault="00D413CC" w:rsidP="00F8100A">
      <w:pPr>
        <w:jc w:val="both"/>
        <w:rPr>
          <w:rFonts w:ascii="Times New Roman" w:hAnsi="Times New Roman" w:cs="Times New Roman"/>
          <w:b/>
          <w:bCs/>
          <w:sz w:val="24"/>
          <w:szCs w:val="24"/>
        </w:rPr>
      </w:pPr>
      <w:r w:rsidRPr="00DE6416">
        <w:rPr>
          <w:rFonts w:ascii="Times New Roman" w:hAnsi="Times New Roman" w:cs="Times New Roman"/>
          <w:b/>
          <w:bCs/>
        </w:rPr>
        <w:t>6. Translational Gaps, Challenges and Future Directions</w:t>
      </w:r>
    </w:p>
    <w:p w14:paraId="5954271B" w14:textId="7110B8CA" w:rsidR="006D6C2B" w:rsidRPr="00E251A1" w:rsidRDefault="006D6C2B" w:rsidP="006D6C2B">
      <w:pPr>
        <w:jc w:val="both"/>
        <w:rPr>
          <w:rFonts w:ascii="Times New Roman" w:hAnsi="Times New Roman" w:cs="Times New Roman"/>
          <w:b/>
          <w:bCs/>
        </w:rPr>
      </w:pPr>
      <w:r>
        <w:rPr>
          <w:rFonts w:ascii="Times New Roman" w:hAnsi="Times New Roman" w:cs="Times New Roman"/>
          <w:b/>
          <w:bCs/>
        </w:rPr>
        <w:t xml:space="preserve">6.1 Research Gap </w:t>
      </w:r>
      <w:r w:rsidRPr="00853369">
        <w:rPr>
          <w:rFonts w:ascii="Times New Roman" w:hAnsi="Times New Roman" w:cs="Times New Roman"/>
          <w:vertAlign w:val="superscript"/>
        </w:rPr>
        <w:t>[8</w:t>
      </w:r>
      <w:r w:rsidR="00E942E9">
        <w:rPr>
          <w:rFonts w:ascii="Times New Roman" w:hAnsi="Times New Roman" w:cs="Times New Roman"/>
          <w:vertAlign w:val="superscript"/>
        </w:rPr>
        <w:t>6</w:t>
      </w:r>
      <w:r w:rsidRPr="00853369">
        <w:rPr>
          <w:rFonts w:ascii="Times New Roman" w:hAnsi="Times New Roman" w:cs="Times New Roman"/>
          <w:vertAlign w:val="superscript"/>
        </w:rPr>
        <w:t>-8</w:t>
      </w:r>
      <w:r w:rsidR="00E942E9">
        <w:rPr>
          <w:rFonts w:ascii="Times New Roman" w:hAnsi="Times New Roman" w:cs="Times New Roman"/>
          <w:vertAlign w:val="superscript"/>
        </w:rPr>
        <w:t>8</w:t>
      </w:r>
      <w:r w:rsidRPr="00853369">
        <w:rPr>
          <w:rFonts w:ascii="Times New Roman" w:hAnsi="Times New Roman" w:cs="Times New Roman"/>
          <w:vertAlign w:val="superscript"/>
        </w:rPr>
        <w:t>]</w:t>
      </w:r>
    </w:p>
    <w:p w14:paraId="0C6D26D4" w14:textId="77777777" w:rsidR="006D6C2B" w:rsidRPr="006D6C2B" w:rsidRDefault="006D6C2B" w:rsidP="006D6C2B">
      <w:pPr>
        <w:jc w:val="both"/>
        <w:rPr>
          <w:rFonts w:ascii="Times New Roman" w:hAnsi="Times New Roman" w:cs="Times New Roman"/>
          <w:sz w:val="20"/>
          <w:szCs w:val="20"/>
        </w:rPr>
      </w:pPr>
      <w:r w:rsidRPr="006D6C2B">
        <w:rPr>
          <w:rFonts w:ascii="Times New Roman" w:hAnsi="Times New Roman" w:cs="Times New Roman"/>
          <w:sz w:val="20"/>
          <w:szCs w:val="20"/>
        </w:rPr>
        <w:lastRenderedPageBreak/>
        <w:t>In spite of major advances, there are still a number of research gaps in the Alzheimer’s disease (AD):</w:t>
      </w:r>
    </w:p>
    <w:p w14:paraId="52775BB2" w14:textId="77777777" w:rsidR="006D6C2B" w:rsidRPr="006D6C2B" w:rsidRDefault="006D6C2B" w:rsidP="006D6C2B">
      <w:pPr>
        <w:pStyle w:val="ListParagraph"/>
        <w:numPr>
          <w:ilvl w:val="0"/>
          <w:numId w:val="13"/>
        </w:numPr>
        <w:jc w:val="both"/>
        <w:rPr>
          <w:rFonts w:ascii="Times New Roman" w:hAnsi="Times New Roman" w:cs="Times New Roman"/>
          <w:sz w:val="20"/>
          <w:szCs w:val="20"/>
        </w:rPr>
      </w:pPr>
      <w:r w:rsidRPr="006D6C2B">
        <w:rPr>
          <w:rFonts w:ascii="Times New Roman" w:hAnsi="Times New Roman" w:cs="Times New Roman"/>
          <w:sz w:val="20"/>
          <w:szCs w:val="20"/>
        </w:rPr>
        <w:t>The existing preclinical models are not complete copies of sporadic AD, restricting translational success.</w:t>
      </w:r>
    </w:p>
    <w:p w14:paraId="48059CD9" w14:textId="77777777" w:rsidR="006D6C2B" w:rsidRPr="006D6C2B" w:rsidRDefault="006D6C2B" w:rsidP="006D6C2B">
      <w:pPr>
        <w:pStyle w:val="ListParagraph"/>
        <w:numPr>
          <w:ilvl w:val="0"/>
          <w:numId w:val="13"/>
        </w:numPr>
        <w:jc w:val="both"/>
        <w:rPr>
          <w:rFonts w:ascii="Times New Roman" w:hAnsi="Times New Roman" w:cs="Times New Roman"/>
          <w:sz w:val="20"/>
          <w:szCs w:val="20"/>
        </w:rPr>
      </w:pPr>
      <w:r w:rsidRPr="006D6C2B">
        <w:rPr>
          <w:rFonts w:ascii="Times New Roman" w:hAnsi="Times New Roman" w:cs="Times New Roman"/>
          <w:sz w:val="20"/>
          <w:szCs w:val="20"/>
        </w:rPr>
        <w:t>There is inadequate disease heterogeneity with minimal patient-specific approaches.</w:t>
      </w:r>
    </w:p>
    <w:p w14:paraId="1A5EFADD" w14:textId="77777777" w:rsidR="006D6C2B" w:rsidRPr="006D6C2B" w:rsidRDefault="006D6C2B" w:rsidP="006D6C2B">
      <w:pPr>
        <w:pStyle w:val="ListParagraph"/>
        <w:numPr>
          <w:ilvl w:val="0"/>
          <w:numId w:val="13"/>
        </w:numPr>
        <w:jc w:val="both"/>
        <w:rPr>
          <w:rFonts w:ascii="Times New Roman" w:hAnsi="Times New Roman" w:cs="Times New Roman"/>
          <w:sz w:val="20"/>
          <w:szCs w:val="20"/>
        </w:rPr>
      </w:pPr>
      <w:r w:rsidRPr="006D6C2B">
        <w:rPr>
          <w:rFonts w:ascii="Times New Roman" w:hAnsi="Times New Roman" w:cs="Times New Roman"/>
          <w:sz w:val="20"/>
          <w:szCs w:val="20"/>
        </w:rPr>
        <w:t>Lack of strong relationships between changes in biomarkers and clinical results is a significant limitation.</w:t>
      </w:r>
    </w:p>
    <w:p w14:paraId="48CAB572" w14:textId="77777777" w:rsidR="006D6C2B" w:rsidRPr="006D6C2B" w:rsidRDefault="006D6C2B" w:rsidP="006D6C2B">
      <w:pPr>
        <w:pStyle w:val="ListParagraph"/>
        <w:numPr>
          <w:ilvl w:val="0"/>
          <w:numId w:val="13"/>
        </w:numPr>
        <w:jc w:val="both"/>
        <w:rPr>
          <w:rFonts w:ascii="Times New Roman" w:hAnsi="Times New Roman" w:cs="Times New Roman"/>
          <w:sz w:val="20"/>
          <w:szCs w:val="20"/>
        </w:rPr>
      </w:pPr>
      <w:r w:rsidRPr="006D6C2B">
        <w:rPr>
          <w:rFonts w:ascii="Times New Roman" w:hAnsi="Times New Roman" w:cs="Times New Roman"/>
          <w:sz w:val="20"/>
          <w:szCs w:val="20"/>
        </w:rPr>
        <w:t>Absence of standard procedures of integrating multimodal biomarkers.</w:t>
      </w:r>
    </w:p>
    <w:p w14:paraId="239FA2FE" w14:textId="77777777" w:rsidR="006D6C2B" w:rsidRPr="006D6C2B" w:rsidRDefault="006D6C2B" w:rsidP="006D6C2B">
      <w:pPr>
        <w:pStyle w:val="ListParagraph"/>
        <w:numPr>
          <w:ilvl w:val="0"/>
          <w:numId w:val="13"/>
        </w:numPr>
        <w:jc w:val="both"/>
        <w:rPr>
          <w:rFonts w:ascii="Times New Roman" w:hAnsi="Times New Roman" w:cs="Times New Roman"/>
          <w:sz w:val="20"/>
          <w:szCs w:val="20"/>
        </w:rPr>
      </w:pPr>
      <w:r w:rsidRPr="006D6C2B">
        <w:rPr>
          <w:rFonts w:ascii="Times New Roman" w:hAnsi="Times New Roman" w:cs="Times New Roman"/>
          <w:sz w:val="20"/>
          <w:szCs w:val="20"/>
        </w:rPr>
        <w:t>New treatments are not well-validated clinically.</w:t>
      </w:r>
    </w:p>
    <w:p w14:paraId="3E3CB62D" w14:textId="77777777" w:rsidR="006D6C2B" w:rsidRDefault="006D6C2B" w:rsidP="006D6C2B">
      <w:pPr>
        <w:jc w:val="both"/>
        <w:rPr>
          <w:rFonts w:ascii="Times New Roman" w:hAnsi="Times New Roman" w:cs="Times New Roman"/>
          <w:b/>
          <w:bCs/>
        </w:rPr>
      </w:pPr>
      <w:r>
        <w:rPr>
          <w:rFonts w:ascii="Times New Roman" w:hAnsi="Times New Roman" w:cs="Times New Roman"/>
          <w:b/>
          <w:bCs/>
        </w:rPr>
        <w:t>6.2 Challenges</w:t>
      </w:r>
    </w:p>
    <w:p w14:paraId="3A25B643" w14:textId="77777777" w:rsidR="006D6C2B" w:rsidRPr="006D6C2B" w:rsidRDefault="006D6C2B" w:rsidP="006D6C2B">
      <w:pPr>
        <w:jc w:val="both"/>
        <w:rPr>
          <w:rFonts w:ascii="Times New Roman" w:hAnsi="Times New Roman" w:cs="Times New Roman"/>
          <w:sz w:val="20"/>
          <w:szCs w:val="20"/>
        </w:rPr>
      </w:pPr>
      <w:r w:rsidRPr="006D6C2B">
        <w:rPr>
          <w:rFonts w:ascii="Times New Roman" w:hAnsi="Times New Roman" w:cs="Times New Roman"/>
          <w:sz w:val="20"/>
          <w:szCs w:val="20"/>
        </w:rPr>
        <w:t>Besides gaps in research, a number of practical and translational obstacles to progress exist:</w:t>
      </w:r>
    </w:p>
    <w:p w14:paraId="53CE00FB" w14:textId="47C206E6" w:rsidR="006D6C2B" w:rsidRPr="006D6C2B" w:rsidRDefault="006D6C2B" w:rsidP="006D6C2B">
      <w:pPr>
        <w:pStyle w:val="ListParagraph"/>
        <w:numPr>
          <w:ilvl w:val="0"/>
          <w:numId w:val="14"/>
        </w:numPr>
        <w:jc w:val="both"/>
        <w:rPr>
          <w:rFonts w:ascii="Times New Roman" w:hAnsi="Times New Roman" w:cs="Times New Roman"/>
          <w:sz w:val="20"/>
          <w:szCs w:val="20"/>
        </w:rPr>
      </w:pPr>
      <w:r w:rsidRPr="006D6C2B">
        <w:rPr>
          <w:rFonts w:ascii="Times New Roman" w:hAnsi="Times New Roman" w:cs="Times New Roman"/>
          <w:sz w:val="20"/>
          <w:szCs w:val="20"/>
        </w:rPr>
        <w:t xml:space="preserve">Poor success in clinical trials, even following encouraging preclinical studies </w:t>
      </w:r>
      <w:r w:rsidRPr="006D6C2B">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7</w:t>
      </w:r>
      <w:r w:rsidRPr="006D6C2B">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21087274" w14:textId="13811B90" w:rsidR="006D6C2B" w:rsidRPr="006D6C2B" w:rsidRDefault="006D6C2B" w:rsidP="006D6C2B">
      <w:pPr>
        <w:pStyle w:val="ListParagraph"/>
        <w:numPr>
          <w:ilvl w:val="0"/>
          <w:numId w:val="14"/>
        </w:numPr>
        <w:jc w:val="both"/>
        <w:rPr>
          <w:rFonts w:ascii="Times New Roman" w:hAnsi="Times New Roman" w:cs="Times New Roman"/>
          <w:sz w:val="20"/>
          <w:szCs w:val="20"/>
        </w:rPr>
      </w:pPr>
      <w:r w:rsidRPr="006D6C2B">
        <w:rPr>
          <w:rFonts w:ascii="Times New Roman" w:hAnsi="Times New Roman" w:cs="Times New Roman"/>
          <w:sz w:val="20"/>
          <w:szCs w:val="20"/>
        </w:rPr>
        <w:t xml:space="preserve">Inability to diagnose at an early stage, because symptoms do not manifest themselves until after an irreversible neurodegeneration </w:t>
      </w:r>
      <w:r w:rsidRPr="006D6C2B">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9</w:t>
      </w:r>
      <w:r w:rsidR="00DA7ED0">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5C1B9ABD" w14:textId="77777777" w:rsidR="006D6C2B" w:rsidRPr="006D6C2B" w:rsidRDefault="006D6C2B" w:rsidP="006D6C2B">
      <w:pPr>
        <w:pStyle w:val="ListParagraph"/>
        <w:numPr>
          <w:ilvl w:val="0"/>
          <w:numId w:val="14"/>
        </w:numPr>
        <w:jc w:val="both"/>
        <w:rPr>
          <w:rFonts w:ascii="Times New Roman" w:hAnsi="Times New Roman" w:cs="Times New Roman"/>
          <w:sz w:val="20"/>
          <w:szCs w:val="20"/>
        </w:rPr>
      </w:pPr>
      <w:r w:rsidRPr="006D6C2B">
        <w:rPr>
          <w:rFonts w:ascii="Times New Roman" w:hAnsi="Times New Roman" w:cs="Times New Roman"/>
          <w:sz w:val="20"/>
          <w:szCs w:val="20"/>
        </w:rPr>
        <w:t xml:space="preserve">Safety in new therapy (e.g., amyloid-related imaging abnormalities (ARIA) with monoclonal antibodies, gene therapy risks) </w:t>
      </w:r>
      <w:r w:rsidRPr="006D6C2B">
        <w:rPr>
          <w:rFonts w:ascii="Times New Roman" w:hAnsi="Times New Roman" w:cs="Times New Roman"/>
          <w:sz w:val="20"/>
          <w:szCs w:val="20"/>
          <w:vertAlign w:val="superscript"/>
        </w:rPr>
        <w:t>[59]</w:t>
      </w:r>
      <w:r w:rsidRPr="006D6C2B">
        <w:rPr>
          <w:rFonts w:ascii="Times New Roman" w:hAnsi="Times New Roman" w:cs="Times New Roman"/>
          <w:sz w:val="20"/>
          <w:szCs w:val="20"/>
        </w:rPr>
        <w:t>.</w:t>
      </w:r>
    </w:p>
    <w:p w14:paraId="2A0C3342" w14:textId="77777777" w:rsidR="006D6C2B" w:rsidRPr="006D6C2B" w:rsidRDefault="006D6C2B" w:rsidP="006D6C2B">
      <w:pPr>
        <w:pStyle w:val="ListParagraph"/>
        <w:numPr>
          <w:ilvl w:val="0"/>
          <w:numId w:val="14"/>
        </w:numPr>
        <w:jc w:val="both"/>
        <w:rPr>
          <w:rFonts w:ascii="Times New Roman" w:hAnsi="Times New Roman" w:cs="Times New Roman"/>
          <w:sz w:val="20"/>
          <w:szCs w:val="20"/>
        </w:rPr>
      </w:pPr>
      <w:r w:rsidRPr="006D6C2B">
        <w:rPr>
          <w:rFonts w:ascii="Times New Roman" w:hAnsi="Times New Roman" w:cs="Times New Roman"/>
          <w:sz w:val="20"/>
          <w:szCs w:val="20"/>
        </w:rPr>
        <w:t>Expensive and inaccessible high-level diagnostics and treatments.</w:t>
      </w:r>
    </w:p>
    <w:p w14:paraId="3117225A" w14:textId="52DADC0A" w:rsidR="006D6C2B" w:rsidRPr="006D6C2B" w:rsidRDefault="006D6C2B" w:rsidP="006D6C2B">
      <w:pPr>
        <w:pStyle w:val="ListParagraph"/>
        <w:numPr>
          <w:ilvl w:val="0"/>
          <w:numId w:val="14"/>
        </w:numPr>
        <w:jc w:val="both"/>
        <w:rPr>
          <w:rFonts w:ascii="Times New Roman" w:hAnsi="Times New Roman" w:cs="Times New Roman"/>
          <w:sz w:val="20"/>
          <w:szCs w:val="20"/>
        </w:rPr>
      </w:pPr>
      <w:r w:rsidRPr="006D6C2B">
        <w:rPr>
          <w:rFonts w:ascii="Times New Roman" w:hAnsi="Times New Roman" w:cs="Times New Roman"/>
          <w:sz w:val="20"/>
          <w:szCs w:val="20"/>
        </w:rPr>
        <w:t xml:space="preserve">Multifaceted mechanisms of disease, of which single-target therapy will not be enough </w:t>
      </w:r>
      <w:r w:rsidRPr="006D6C2B">
        <w:rPr>
          <w:rFonts w:ascii="Times New Roman" w:hAnsi="Times New Roman" w:cs="Times New Roman"/>
          <w:sz w:val="20"/>
          <w:szCs w:val="20"/>
          <w:vertAlign w:val="superscript"/>
        </w:rPr>
        <w:t>[</w:t>
      </w:r>
      <w:r w:rsidR="004246A0">
        <w:rPr>
          <w:rFonts w:ascii="Times New Roman" w:hAnsi="Times New Roman" w:cs="Times New Roman"/>
          <w:sz w:val="20"/>
          <w:szCs w:val="20"/>
          <w:vertAlign w:val="superscript"/>
        </w:rPr>
        <w:t>9</w:t>
      </w:r>
      <w:r w:rsidR="00E942E9">
        <w:rPr>
          <w:rFonts w:ascii="Times New Roman" w:hAnsi="Times New Roman" w:cs="Times New Roman"/>
          <w:sz w:val="20"/>
          <w:szCs w:val="20"/>
          <w:vertAlign w:val="superscript"/>
        </w:rPr>
        <w:t>1</w:t>
      </w:r>
      <w:r w:rsidRPr="006D6C2B">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5F8D9316" w14:textId="77777777" w:rsidR="006D6C2B" w:rsidRDefault="006D6C2B" w:rsidP="006D6C2B">
      <w:pPr>
        <w:jc w:val="both"/>
        <w:rPr>
          <w:rFonts w:ascii="Times New Roman" w:hAnsi="Times New Roman" w:cs="Times New Roman"/>
          <w:b/>
          <w:bCs/>
        </w:rPr>
      </w:pPr>
      <w:r>
        <w:rPr>
          <w:rFonts w:ascii="Times New Roman" w:hAnsi="Times New Roman" w:cs="Times New Roman"/>
          <w:b/>
          <w:bCs/>
        </w:rPr>
        <w:t xml:space="preserve">6.3 Future Direction </w:t>
      </w:r>
    </w:p>
    <w:p w14:paraId="55509C44" w14:textId="77777777" w:rsidR="006D6C2B" w:rsidRPr="006D6C2B" w:rsidRDefault="006D6C2B" w:rsidP="006D6C2B">
      <w:pPr>
        <w:jc w:val="both"/>
        <w:rPr>
          <w:rFonts w:ascii="Times New Roman" w:hAnsi="Times New Roman" w:cs="Times New Roman"/>
          <w:sz w:val="20"/>
          <w:szCs w:val="20"/>
        </w:rPr>
      </w:pPr>
      <w:r w:rsidRPr="006D6C2B">
        <w:rPr>
          <w:rFonts w:ascii="Times New Roman" w:hAnsi="Times New Roman" w:cs="Times New Roman"/>
          <w:sz w:val="20"/>
          <w:szCs w:val="20"/>
        </w:rPr>
        <w:t>The future research should concentrate on:</w:t>
      </w:r>
    </w:p>
    <w:p w14:paraId="1087BE6A" w14:textId="4D164910" w:rsidR="006D6C2B" w:rsidRPr="006D6C2B" w:rsidRDefault="006D6C2B" w:rsidP="006D6C2B">
      <w:pPr>
        <w:pStyle w:val="ListParagraph"/>
        <w:numPr>
          <w:ilvl w:val="0"/>
          <w:numId w:val="15"/>
        </w:numPr>
        <w:jc w:val="both"/>
        <w:rPr>
          <w:rFonts w:ascii="Times New Roman" w:hAnsi="Times New Roman" w:cs="Times New Roman"/>
          <w:sz w:val="20"/>
          <w:szCs w:val="20"/>
        </w:rPr>
      </w:pPr>
      <w:r w:rsidRPr="006D6C2B">
        <w:rPr>
          <w:rFonts w:ascii="Times New Roman" w:hAnsi="Times New Roman" w:cs="Times New Roman"/>
          <w:sz w:val="20"/>
          <w:szCs w:val="20"/>
        </w:rPr>
        <w:t xml:space="preserve">Development of precision medicine approaches using biomarker and genetic profiling </w:t>
      </w:r>
      <w:r w:rsidRPr="006D6C2B">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8</w:t>
      </w:r>
      <w:r w:rsidRPr="006D6C2B">
        <w:rPr>
          <w:rFonts w:ascii="Times New Roman" w:hAnsi="Times New Roman" w:cs="Times New Roman"/>
          <w:sz w:val="20"/>
          <w:szCs w:val="20"/>
          <w:vertAlign w:val="superscript"/>
        </w:rPr>
        <w:t>,</w:t>
      </w:r>
      <w:r w:rsidR="004246A0">
        <w:rPr>
          <w:rFonts w:ascii="Times New Roman" w:hAnsi="Times New Roman" w:cs="Times New Roman"/>
          <w:sz w:val="20"/>
          <w:szCs w:val="20"/>
          <w:vertAlign w:val="superscript"/>
        </w:rPr>
        <w:t>9</w:t>
      </w:r>
      <w:r w:rsidR="00E942E9">
        <w:rPr>
          <w:rFonts w:ascii="Times New Roman" w:hAnsi="Times New Roman" w:cs="Times New Roman"/>
          <w:sz w:val="20"/>
          <w:szCs w:val="20"/>
          <w:vertAlign w:val="superscript"/>
        </w:rPr>
        <w:t>0</w:t>
      </w:r>
      <w:r w:rsidRPr="006D6C2B">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42A09697" w14:textId="77777777" w:rsidR="006D6C2B" w:rsidRPr="006D6C2B" w:rsidRDefault="006D6C2B" w:rsidP="006D6C2B">
      <w:pPr>
        <w:pStyle w:val="ListParagraph"/>
        <w:numPr>
          <w:ilvl w:val="0"/>
          <w:numId w:val="15"/>
        </w:numPr>
        <w:jc w:val="both"/>
        <w:rPr>
          <w:rFonts w:ascii="Times New Roman" w:hAnsi="Times New Roman" w:cs="Times New Roman"/>
          <w:sz w:val="20"/>
          <w:szCs w:val="20"/>
        </w:rPr>
      </w:pPr>
      <w:r w:rsidRPr="006D6C2B">
        <w:rPr>
          <w:rFonts w:ascii="Times New Roman" w:hAnsi="Times New Roman" w:cs="Times New Roman"/>
          <w:sz w:val="20"/>
          <w:szCs w:val="20"/>
        </w:rPr>
        <w:t xml:space="preserve">Biomarkers and AI-based tools on the base of blood and early-stage diagnosis </w:t>
      </w:r>
      <w:r w:rsidRPr="006D6C2B">
        <w:rPr>
          <w:rFonts w:ascii="Times New Roman" w:hAnsi="Times New Roman" w:cs="Times New Roman"/>
          <w:sz w:val="20"/>
          <w:szCs w:val="20"/>
          <w:vertAlign w:val="superscript"/>
        </w:rPr>
        <w:t>[28]</w:t>
      </w:r>
      <w:r w:rsidRPr="006D6C2B">
        <w:rPr>
          <w:rFonts w:ascii="Times New Roman" w:hAnsi="Times New Roman" w:cs="Times New Roman"/>
          <w:sz w:val="20"/>
          <w:szCs w:val="20"/>
        </w:rPr>
        <w:t>.</w:t>
      </w:r>
    </w:p>
    <w:p w14:paraId="25BDED88" w14:textId="0DA975D3" w:rsidR="006D6C2B" w:rsidRPr="006D6C2B" w:rsidRDefault="006D6C2B" w:rsidP="006D6C2B">
      <w:pPr>
        <w:pStyle w:val="ListParagraph"/>
        <w:numPr>
          <w:ilvl w:val="0"/>
          <w:numId w:val="15"/>
        </w:numPr>
        <w:jc w:val="both"/>
        <w:rPr>
          <w:rFonts w:ascii="Times New Roman" w:hAnsi="Times New Roman" w:cs="Times New Roman"/>
          <w:sz w:val="20"/>
          <w:szCs w:val="20"/>
        </w:rPr>
      </w:pPr>
      <w:r w:rsidRPr="006D6C2B">
        <w:rPr>
          <w:rFonts w:ascii="Times New Roman" w:hAnsi="Times New Roman" w:cs="Times New Roman"/>
          <w:sz w:val="20"/>
          <w:szCs w:val="20"/>
        </w:rPr>
        <w:t xml:space="preserve">Combination therapies with multiple pathological pathways are used </w:t>
      </w:r>
      <w:r w:rsidRPr="006D6C2B">
        <w:rPr>
          <w:rFonts w:ascii="Times New Roman" w:hAnsi="Times New Roman" w:cs="Times New Roman"/>
          <w:sz w:val="20"/>
          <w:szCs w:val="20"/>
          <w:vertAlign w:val="superscript"/>
        </w:rPr>
        <w:t>[</w:t>
      </w:r>
      <w:r w:rsidR="004246A0">
        <w:rPr>
          <w:rFonts w:ascii="Times New Roman" w:hAnsi="Times New Roman" w:cs="Times New Roman"/>
          <w:sz w:val="20"/>
          <w:szCs w:val="20"/>
          <w:vertAlign w:val="superscript"/>
        </w:rPr>
        <w:t>9</w:t>
      </w:r>
      <w:r w:rsidR="00E942E9">
        <w:rPr>
          <w:rFonts w:ascii="Times New Roman" w:hAnsi="Times New Roman" w:cs="Times New Roman"/>
          <w:sz w:val="20"/>
          <w:szCs w:val="20"/>
          <w:vertAlign w:val="superscript"/>
        </w:rPr>
        <w:t>1</w:t>
      </w:r>
      <w:r w:rsidRPr="006D6C2B">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024E499C" w14:textId="77777777" w:rsidR="006D6C2B" w:rsidRPr="006D6C2B" w:rsidRDefault="006D6C2B" w:rsidP="006D6C2B">
      <w:pPr>
        <w:pStyle w:val="ListParagraph"/>
        <w:numPr>
          <w:ilvl w:val="0"/>
          <w:numId w:val="15"/>
        </w:numPr>
        <w:jc w:val="both"/>
        <w:rPr>
          <w:rFonts w:ascii="Times New Roman" w:hAnsi="Times New Roman" w:cs="Times New Roman"/>
          <w:sz w:val="20"/>
          <w:szCs w:val="20"/>
        </w:rPr>
      </w:pPr>
      <w:r w:rsidRPr="006D6C2B">
        <w:rPr>
          <w:rFonts w:ascii="Times New Roman" w:hAnsi="Times New Roman" w:cs="Times New Roman"/>
          <w:sz w:val="20"/>
          <w:szCs w:val="20"/>
        </w:rPr>
        <w:t>Development of higher forms of human models (organoids, iPSC models).</w:t>
      </w:r>
    </w:p>
    <w:p w14:paraId="106A98ED" w14:textId="2CE28063" w:rsidR="006D6C2B" w:rsidRPr="006D6C2B" w:rsidRDefault="006D6C2B" w:rsidP="006D6C2B">
      <w:pPr>
        <w:pStyle w:val="ListParagraph"/>
        <w:numPr>
          <w:ilvl w:val="0"/>
          <w:numId w:val="15"/>
        </w:numPr>
        <w:jc w:val="both"/>
        <w:rPr>
          <w:rFonts w:ascii="Times New Roman" w:hAnsi="Times New Roman" w:cs="Times New Roman"/>
          <w:sz w:val="20"/>
          <w:szCs w:val="20"/>
        </w:rPr>
      </w:pPr>
      <w:r w:rsidRPr="006D6C2B">
        <w:rPr>
          <w:rFonts w:ascii="Times New Roman" w:hAnsi="Times New Roman" w:cs="Times New Roman"/>
          <w:sz w:val="20"/>
          <w:szCs w:val="20"/>
        </w:rPr>
        <w:t xml:space="preserve">Validation by large-scale longitudinal clinical trials </w:t>
      </w:r>
      <w:r w:rsidRPr="006D6C2B">
        <w:rPr>
          <w:rFonts w:ascii="Times New Roman" w:hAnsi="Times New Roman" w:cs="Times New Roman"/>
          <w:sz w:val="20"/>
          <w:szCs w:val="20"/>
          <w:vertAlign w:val="superscript"/>
        </w:rPr>
        <w:t>[</w:t>
      </w:r>
      <w:r w:rsidR="00D207E6">
        <w:rPr>
          <w:rFonts w:ascii="Times New Roman" w:hAnsi="Times New Roman" w:cs="Times New Roman"/>
          <w:sz w:val="20"/>
          <w:szCs w:val="20"/>
          <w:vertAlign w:val="superscript"/>
        </w:rPr>
        <w:t>9</w:t>
      </w:r>
      <w:r w:rsidR="00E942E9">
        <w:rPr>
          <w:rFonts w:ascii="Times New Roman" w:hAnsi="Times New Roman" w:cs="Times New Roman"/>
          <w:sz w:val="20"/>
          <w:szCs w:val="20"/>
          <w:vertAlign w:val="superscript"/>
        </w:rPr>
        <w:t>2</w:t>
      </w:r>
      <w:r w:rsidRPr="006D6C2B">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647978DD" w14:textId="06BE812F" w:rsidR="006D6C2B" w:rsidRPr="006D6C2B" w:rsidRDefault="006D6C2B" w:rsidP="006D6C2B">
      <w:pPr>
        <w:pStyle w:val="ListParagraph"/>
        <w:numPr>
          <w:ilvl w:val="0"/>
          <w:numId w:val="15"/>
        </w:numPr>
        <w:jc w:val="both"/>
        <w:rPr>
          <w:rFonts w:ascii="Times New Roman" w:hAnsi="Times New Roman" w:cs="Times New Roman"/>
          <w:sz w:val="20"/>
          <w:szCs w:val="20"/>
        </w:rPr>
      </w:pPr>
      <w:r w:rsidRPr="006D6C2B">
        <w:rPr>
          <w:rFonts w:ascii="Times New Roman" w:hAnsi="Times New Roman" w:cs="Times New Roman"/>
          <w:sz w:val="20"/>
          <w:szCs w:val="20"/>
        </w:rPr>
        <w:t xml:space="preserve">Digital therapeutics and real-world monitoring system </w:t>
      </w:r>
      <w:r w:rsidRPr="006D6C2B">
        <w:rPr>
          <w:rFonts w:ascii="Times New Roman" w:hAnsi="Times New Roman" w:cs="Times New Roman"/>
          <w:sz w:val="20"/>
          <w:szCs w:val="20"/>
          <w:vertAlign w:val="superscript"/>
        </w:rPr>
        <w:t>[</w:t>
      </w:r>
      <w:r w:rsidR="004246A0">
        <w:rPr>
          <w:rFonts w:ascii="Times New Roman" w:hAnsi="Times New Roman" w:cs="Times New Roman"/>
          <w:sz w:val="20"/>
          <w:szCs w:val="20"/>
          <w:vertAlign w:val="superscript"/>
        </w:rPr>
        <w:t>8</w:t>
      </w:r>
      <w:r w:rsidR="00E942E9">
        <w:rPr>
          <w:rFonts w:ascii="Times New Roman" w:hAnsi="Times New Roman" w:cs="Times New Roman"/>
          <w:sz w:val="20"/>
          <w:szCs w:val="20"/>
          <w:vertAlign w:val="superscript"/>
        </w:rPr>
        <w:t>1</w:t>
      </w:r>
      <w:r w:rsidRPr="006D6C2B">
        <w:rPr>
          <w:rFonts w:ascii="Times New Roman" w:hAnsi="Times New Roman" w:cs="Times New Roman"/>
          <w:sz w:val="20"/>
          <w:szCs w:val="20"/>
          <w:vertAlign w:val="superscript"/>
        </w:rPr>
        <w:t>]</w:t>
      </w:r>
      <w:r w:rsidRPr="006D6C2B">
        <w:rPr>
          <w:rFonts w:ascii="Times New Roman" w:hAnsi="Times New Roman" w:cs="Times New Roman"/>
          <w:sz w:val="20"/>
          <w:szCs w:val="20"/>
        </w:rPr>
        <w:t>.</w:t>
      </w:r>
    </w:p>
    <w:p w14:paraId="5202D1F4" w14:textId="77777777" w:rsidR="006D6C2B" w:rsidRPr="006D6C2B" w:rsidRDefault="006D6C2B" w:rsidP="006D6C2B">
      <w:pPr>
        <w:jc w:val="both"/>
        <w:rPr>
          <w:rFonts w:ascii="Times New Roman" w:hAnsi="Times New Roman" w:cs="Times New Roman"/>
          <w:b/>
          <w:bCs/>
        </w:rPr>
      </w:pPr>
      <w:r w:rsidRPr="006D6C2B">
        <w:rPr>
          <w:rFonts w:ascii="Times New Roman" w:hAnsi="Times New Roman" w:cs="Times New Roman"/>
          <w:b/>
          <w:bCs/>
        </w:rPr>
        <w:t>7. Limitations of the Study</w:t>
      </w:r>
    </w:p>
    <w:p w14:paraId="188116EF" w14:textId="513D5216" w:rsidR="006D6C2B" w:rsidRPr="006D6C2B" w:rsidRDefault="006D6C2B" w:rsidP="006D6C2B">
      <w:pPr>
        <w:jc w:val="both"/>
        <w:rPr>
          <w:rFonts w:ascii="Times New Roman" w:hAnsi="Times New Roman" w:cs="Times New Roman"/>
          <w:sz w:val="20"/>
          <w:szCs w:val="20"/>
        </w:rPr>
      </w:pPr>
      <w:r w:rsidRPr="006D6C2B">
        <w:rPr>
          <w:rFonts w:ascii="Times New Roman" w:hAnsi="Times New Roman" w:cs="Times New Roman"/>
          <w:sz w:val="20"/>
          <w:szCs w:val="20"/>
        </w:rPr>
        <w:t>There are various limitations that can be identified with this review. First, the research is founded on already published literature and this might have variation in study design, demographic characteristics as well as reporting bias. Second, numerous of the mentioned therapeutic interventions, especially those based on genes, cells, and digital interventions, remain in the preclinical or early clinical phases, which restricts their clinical translatability in the short term. Third, the intricacy of the disease that is affected by genetic, metabolic and environmental factors renders Alzheimer disease difficult to extrapolate the results on all groups of patients. Moreover, despite the fact that the use of biomarkers has enhanced early diagnosis, its relationships with clinical outcomes are inconsistent. Lastly, the swift development of this area implies that not all the new evidence might have been reflected in the time of writing.</w:t>
      </w:r>
    </w:p>
    <w:p w14:paraId="4610CD4A" w14:textId="2EEFE66A" w:rsidR="00D413CC" w:rsidRPr="00DE6416" w:rsidRDefault="00127160" w:rsidP="00F8100A">
      <w:pPr>
        <w:jc w:val="both"/>
        <w:rPr>
          <w:rFonts w:ascii="Times New Roman" w:hAnsi="Times New Roman" w:cs="Times New Roman"/>
          <w:b/>
          <w:bCs/>
        </w:rPr>
      </w:pPr>
      <w:r w:rsidRPr="00DE6416">
        <w:rPr>
          <w:rFonts w:ascii="Times New Roman" w:hAnsi="Times New Roman" w:cs="Times New Roman"/>
          <w:b/>
          <w:bCs/>
        </w:rPr>
        <w:t>CONCLUSION</w:t>
      </w:r>
    </w:p>
    <w:p w14:paraId="763D1AEF" w14:textId="354F0E1B" w:rsidR="007F6434" w:rsidRPr="00DE6416" w:rsidRDefault="00C11A7F" w:rsidP="00F8100A">
      <w:pPr>
        <w:jc w:val="both"/>
        <w:rPr>
          <w:rFonts w:ascii="Times New Roman" w:hAnsi="Times New Roman" w:cs="Times New Roman"/>
          <w:sz w:val="20"/>
          <w:szCs w:val="20"/>
        </w:rPr>
      </w:pPr>
      <w:r w:rsidRPr="00DE6416">
        <w:rPr>
          <w:rFonts w:ascii="Times New Roman" w:hAnsi="Times New Roman" w:cs="Times New Roman"/>
          <w:sz w:val="20"/>
          <w:szCs w:val="20"/>
        </w:rPr>
        <w:t>Alzheimer disease</w:t>
      </w:r>
      <w:r w:rsidR="00D413CC" w:rsidRPr="00DE6416">
        <w:rPr>
          <w:rFonts w:ascii="Times New Roman" w:hAnsi="Times New Roman" w:cs="Times New Roman"/>
          <w:sz w:val="20"/>
          <w:szCs w:val="20"/>
        </w:rPr>
        <w:t xml:space="preserve"> is a progressive, multifactorial, neurodegenerative disease that is associated with complicated interactions of amyloid pathology, tau aggregation, neuroinflammation, synapse dysfunction, and metabolic abnormalities. </w:t>
      </w:r>
      <w:r w:rsidR="005D673F" w:rsidRPr="00DE6416">
        <w:rPr>
          <w:rFonts w:ascii="Times New Roman" w:hAnsi="Times New Roman" w:cs="Times New Roman"/>
          <w:sz w:val="20"/>
          <w:szCs w:val="20"/>
        </w:rPr>
        <w:t xml:space="preserve">Significant advancement in </w:t>
      </w:r>
      <w:r w:rsidR="00D413CC" w:rsidRPr="00DE6416">
        <w:rPr>
          <w:rFonts w:ascii="Times New Roman" w:hAnsi="Times New Roman" w:cs="Times New Roman"/>
          <w:sz w:val="20"/>
          <w:szCs w:val="20"/>
        </w:rPr>
        <w:t xml:space="preserve">biomarker </w:t>
      </w:r>
      <w:r w:rsidR="005D673F" w:rsidRPr="00DE6416">
        <w:rPr>
          <w:rFonts w:ascii="Times New Roman" w:hAnsi="Times New Roman" w:cs="Times New Roman"/>
          <w:sz w:val="20"/>
          <w:szCs w:val="20"/>
        </w:rPr>
        <w:t>investigation</w:t>
      </w:r>
      <w:r w:rsidR="00D413CC" w:rsidRPr="00DE6416">
        <w:rPr>
          <w:rFonts w:ascii="Times New Roman" w:hAnsi="Times New Roman" w:cs="Times New Roman"/>
          <w:sz w:val="20"/>
          <w:szCs w:val="20"/>
        </w:rPr>
        <w:t xml:space="preserve"> especially </w:t>
      </w:r>
      <w:r w:rsidR="005D673F" w:rsidRPr="00DE6416">
        <w:rPr>
          <w:rFonts w:ascii="Times New Roman" w:hAnsi="Times New Roman" w:cs="Times New Roman"/>
          <w:sz w:val="20"/>
          <w:szCs w:val="20"/>
        </w:rPr>
        <w:t>in</w:t>
      </w:r>
      <w:r w:rsidR="00D413CC" w:rsidRPr="00DE6416">
        <w:rPr>
          <w:rFonts w:ascii="Times New Roman" w:hAnsi="Times New Roman" w:cs="Times New Roman"/>
          <w:sz w:val="20"/>
          <w:szCs w:val="20"/>
        </w:rPr>
        <w:t xml:space="preserve"> AT(N) framework have allowed biological diagnosis to be made earlier and more accurately thus allowing timely intervention. Although symptomatic therapies show a limited clinical effect, recent disease-modifying therapies, particularly the anti-amyloid monoclonal antibody, are a significant change towards a more core pathologically-focused approach. There are also new approaches, such as anti-tau agents, neuroinflammation modulators, gene-based, cell-based therapies, and digital neuromodulators, which continue to increase the treatment landscape. Still, there are major issues of translational difficulty, such as lack of heterogeneity in diseases, late intervention, and poor predictive validity of preclinical models. The advances of the future will be based on precision medicine methodologies, combination therapy, initial biomarker-based treatment and the incorporation of multidisciplinary preventive measures. </w:t>
      </w:r>
      <w:r w:rsidR="002770B0" w:rsidRPr="00DE6416">
        <w:rPr>
          <w:rFonts w:ascii="Times New Roman" w:hAnsi="Times New Roman" w:cs="Times New Roman"/>
          <w:sz w:val="20"/>
          <w:szCs w:val="20"/>
        </w:rPr>
        <w:t xml:space="preserve">In general, advances in the level of diagnosis techniques, as well as treatment plans, are a reason to </w:t>
      </w:r>
      <w:r w:rsidR="002770B0" w:rsidRPr="00DE6416">
        <w:rPr>
          <w:rFonts w:ascii="Times New Roman" w:hAnsi="Times New Roman" w:cs="Times New Roman"/>
          <w:sz w:val="20"/>
          <w:szCs w:val="20"/>
        </w:rPr>
        <w:lastRenderedPageBreak/>
        <w:t>hope that there is a chance of improving clinical control over the Alzheimer disease and even preventing its noticeable increase on a global scale.</w:t>
      </w:r>
    </w:p>
    <w:p w14:paraId="435356CE" w14:textId="77777777" w:rsidR="00DE6416" w:rsidRDefault="00DE6416" w:rsidP="00C11A7F">
      <w:pPr>
        <w:jc w:val="both"/>
        <w:rPr>
          <w:rFonts w:ascii="Times New Roman" w:hAnsi="Times New Roman" w:cs="Times New Roman"/>
          <w:b/>
          <w:bCs/>
          <w:lang w:val="en-US"/>
        </w:rPr>
      </w:pPr>
    </w:p>
    <w:p w14:paraId="45D07C41" w14:textId="77777777" w:rsidR="00F13791" w:rsidRPr="00DE6416" w:rsidRDefault="009C0301" w:rsidP="00C11A7F">
      <w:pPr>
        <w:jc w:val="both"/>
        <w:rPr>
          <w:rFonts w:ascii="Times New Roman" w:hAnsi="Times New Roman" w:cs="Times New Roman"/>
          <w:b/>
          <w:bCs/>
          <w:lang w:val="en-US"/>
        </w:rPr>
      </w:pPr>
      <w:r w:rsidRPr="00DE6416">
        <w:rPr>
          <w:rFonts w:ascii="Times New Roman" w:hAnsi="Times New Roman" w:cs="Times New Roman"/>
          <w:b/>
          <w:bCs/>
          <w:lang w:val="en-US"/>
        </w:rPr>
        <w:t>ABBREVIATION</w:t>
      </w:r>
    </w:p>
    <w:p w14:paraId="7A4DFD04" w14:textId="1BBFA8FA" w:rsidR="00DE6416" w:rsidRPr="006D6C2B" w:rsidRDefault="004216A1" w:rsidP="006D6C2B">
      <w:pPr>
        <w:jc w:val="both"/>
        <w:rPr>
          <w:rFonts w:ascii="Times New Roman" w:hAnsi="Times New Roman" w:cs="Times New Roman"/>
          <w:b/>
          <w:bCs/>
          <w:sz w:val="20"/>
          <w:szCs w:val="20"/>
          <w:u w:val="single"/>
          <w:lang w:val="en-US"/>
        </w:rPr>
      </w:pPr>
      <w:r w:rsidRPr="00DE6416">
        <w:rPr>
          <w:rFonts w:ascii="Times New Roman" w:hAnsi="Times New Roman" w:cs="Times New Roman"/>
          <w:b/>
          <w:bCs/>
          <w:sz w:val="20"/>
          <w:szCs w:val="20"/>
        </w:rPr>
        <w:t>AD</w:t>
      </w:r>
      <w:r w:rsidRPr="00DE6416">
        <w:rPr>
          <w:rStyle w:val="bzpyqfadein"/>
          <w:rFonts w:ascii="Times New Roman" w:hAnsi="Times New Roman" w:cs="Times New Roman"/>
          <w:sz w:val="20"/>
          <w:szCs w:val="20"/>
        </w:rPr>
        <w:t xml:space="preserve"> – Alzheimer’s Disease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w:t>
      </w:r>
      <w:r w:rsidRPr="00DE6416">
        <w:rPr>
          <w:rStyle w:val="bzpyqfadein"/>
          <w:rFonts w:ascii="Times New Roman" w:hAnsi="Times New Roman" w:cs="Times New Roman"/>
          <w:b/>
          <w:bCs/>
          <w:sz w:val="20"/>
          <w:szCs w:val="20"/>
        </w:rPr>
        <w:t xml:space="preserve">β (A-beta) </w:t>
      </w:r>
      <w:r w:rsidRPr="00DE6416">
        <w:rPr>
          <w:rStyle w:val="bzpyqfadein"/>
          <w:rFonts w:ascii="Times New Roman" w:hAnsi="Times New Roman" w:cs="Times New Roman"/>
          <w:sz w:val="20"/>
          <w:szCs w:val="20"/>
        </w:rPr>
        <w:t>– Amyloid Beta</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APP</w:t>
      </w:r>
      <w:r w:rsidRPr="00DE6416">
        <w:rPr>
          <w:rStyle w:val="bzpyqfadein"/>
          <w:rFonts w:ascii="Times New Roman" w:hAnsi="Times New Roman" w:cs="Times New Roman"/>
          <w:sz w:val="20"/>
          <w:szCs w:val="20"/>
        </w:rPr>
        <w:t xml:space="preserve"> – Amyloid Precursor Protein</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APOE</w:t>
      </w:r>
      <w:r w:rsidRPr="00DE6416">
        <w:rPr>
          <w:rStyle w:val="bzpyqfadein"/>
          <w:rFonts w:ascii="Times New Roman" w:hAnsi="Times New Roman" w:cs="Times New Roman"/>
          <w:sz w:val="20"/>
          <w:szCs w:val="20"/>
        </w:rPr>
        <w:t xml:space="preserve"> – Apolipoprotein 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APOE</w:t>
      </w:r>
      <w:r w:rsidRPr="00DE6416">
        <w:rPr>
          <w:rStyle w:val="bzpyqfadein"/>
          <w:rFonts w:ascii="Times New Roman" w:hAnsi="Times New Roman" w:cs="Times New Roman"/>
          <w:b/>
          <w:bCs/>
          <w:sz w:val="20"/>
          <w:szCs w:val="20"/>
        </w:rPr>
        <w:t>4 (ε4)</w:t>
      </w:r>
      <w:r w:rsidRPr="00DE6416">
        <w:rPr>
          <w:rStyle w:val="bzpyqfadein"/>
          <w:rFonts w:ascii="Times New Roman" w:hAnsi="Times New Roman" w:cs="Times New Roman"/>
          <w:sz w:val="20"/>
          <w:szCs w:val="20"/>
        </w:rPr>
        <w:t xml:space="preserve"> – Apolipoprotein E epsilon 4 allele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PSEN</w:t>
      </w:r>
      <w:r w:rsidRPr="00DE6416">
        <w:rPr>
          <w:rStyle w:val="bzpyqfadein"/>
          <w:rFonts w:ascii="Times New Roman" w:hAnsi="Times New Roman" w:cs="Times New Roman"/>
          <w:b/>
          <w:bCs/>
          <w:sz w:val="20"/>
          <w:szCs w:val="20"/>
        </w:rPr>
        <w:t>1</w:t>
      </w:r>
      <w:r w:rsidRPr="00DE6416">
        <w:rPr>
          <w:rStyle w:val="bzpyqfadein"/>
          <w:rFonts w:ascii="Times New Roman" w:hAnsi="Times New Roman" w:cs="Times New Roman"/>
          <w:sz w:val="20"/>
          <w:szCs w:val="20"/>
        </w:rPr>
        <w:t xml:space="preserve"> – Presenilin 1</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PSEN</w:t>
      </w:r>
      <w:r w:rsidRPr="00DE6416">
        <w:rPr>
          <w:rStyle w:val="bzpyqfadein"/>
          <w:rFonts w:ascii="Times New Roman" w:hAnsi="Times New Roman" w:cs="Times New Roman"/>
          <w:b/>
          <w:bCs/>
          <w:sz w:val="20"/>
          <w:szCs w:val="20"/>
        </w:rPr>
        <w:t>2</w:t>
      </w:r>
      <w:r w:rsidRPr="00DE6416">
        <w:rPr>
          <w:rStyle w:val="bzpyqfadein"/>
          <w:rFonts w:ascii="Times New Roman" w:hAnsi="Times New Roman" w:cs="Times New Roman"/>
          <w:sz w:val="20"/>
          <w:szCs w:val="20"/>
        </w:rPr>
        <w:t xml:space="preserve"> – Presenilin 2</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BACE</w:t>
      </w:r>
      <w:r w:rsidRPr="00DE6416">
        <w:rPr>
          <w:rStyle w:val="bzpyqfadein"/>
          <w:rFonts w:ascii="Times New Roman" w:hAnsi="Times New Roman" w:cs="Times New Roman"/>
          <w:b/>
          <w:bCs/>
          <w:sz w:val="20"/>
          <w:szCs w:val="20"/>
        </w:rPr>
        <w:t>1</w:t>
      </w:r>
      <w:r w:rsidRPr="00DE6416">
        <w:rPr>
          <w:rStyle w:val="bzpyqfadein"/>
          <w:rFonts w:ascii="Times New Roman" w:hAnsi="Times New Roman" w:cs="Times New Roman"/>
          <w:sz w:val="20"/>
          <w:szCs w:val="20"/>
        </w:rPr>
        <w:t xml:space="preserve"> – Beta-site APP Cleaving Enzyme 1</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NFTs</w:t>
      </w:r>
      <w:r w:rsidRPr="00DE6416">
        <w:rPr>
          <w:rStyle w:val="bzpyqfadein"/>
          <w:rFonts w:ascii="Times New Roman" w:hAnsi="Times New Roman" w:cs="Times New Roman"/>
          <w:sz w:val="20"/>
          <w:szCs w:val="20"/>
        </w:rPr>
        <w:t xml:space="preserve"> – Neurofibrillary Tangles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MAPT</w:t>
      </w:r>
      <w:r w:rsidRPr="00DE6416">
        <w:rPr>
          <w:rStyle w:val="bzpyqfadein"/>
          <w:rFonts w:ascii="Times New Roman" w:hAnsi="Times New Roman" w:cs="Times New Roman"/>
          <w:sz w:val="20"/>
          <w:szCs w:val="20"/>
        </w:rPr>
        <w:t xml:space="preserve"> – Microtubule-Associated Protein Tau</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LTP</w:t>
      </w:r>
      <w:r w:rsidRPr="00DE6416">
        <w:rPr>
          <w:rStyle w:val="bzpyqfadein"/>
          <w:rFonts w:ascii="Times New Roman" w:hAnsi="Times New Roman" w:cs="Times New Roman"/>
          <w:sz w:val="20"/>
          <w:szCs w:val="20"/>
        </w:rPr>
        <w:t xml:space="preserve"> – Long-Term Potentiation</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BDNF</w:t>
      </w:r>
      <w:r w:rsidRPr="00DE6416">
        <w:rPr>
          <w:rStyle w:val="bzpyqfadein"/>
          <w:rFonts w:ascii="Times New Roman" w:hAnsi="Times New Roman" w:cs="Times New Roman"/>
          <w:sz w:val="20"/>
          <w:szCs w:val="20"/>
        </w:rPr>
        <w:t xml:space="preserve"> – Brain-Derived Neurotrophic Factor</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BBB</w:t>
      </w:r>
      <w:r w:rsidRPr="00DE6416">
        <w:rPr>
          <w:rStyle w:val="bzpyqfadein"/>
          <w:rFonts w:ascii="Times New Roman" w:hAnsi="Times New Roman" w:cs="Times New Roman"/>
          <w:sz w:val="20"/>
          <w:szCs w:val="20"/>
        </w:rPr>
        <w:t xml:space="preserve"> – Blood-Brain Barrier</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CAA</w:t>
      </w:r>
      <w:r w:rsidRPr="00DE6416">
        <w:rPr>
          <w:rStyle w:val="bzpyqfadein"/>
          <w:rFonts w:ascii="Times New Roman" w:hAnsi="Times New Roman" w:cs="Times New Roman"/>
          <w:sz w:val="20"/>
          <w:szCs w:val="20"/>
        </w:rPr>
        <w:t xml:space="preserve"> – Cerebral Amyloid Angiopathy</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TREM</w:t>
      </w:r>
      <w:r w:rsidRPr="00DE6416">
        <w:rPr>
          <w:rStyle w:val="bzpyqfadein"/>
          <w:rFonts w:ascii="Times New Roman" w:hAnsi="Times New Roman" w:cs="Times New Roman"/>
          <w:b/>
          <w:bCs/>
          <w:sz w:val="20"/>
          <w:szCs w:val="20"/>
        </w:rPr>
        <w:t>2</w:t>
      </w:r>
      <w:r w:rsidRPr="00DE6416">
        <w:rPr>
          <w:rStyle w:val="bzpyqfadein"/>
          <w:rFonts w:ascii="Times New Roman" w:hAnsi="Times New Roman" w:cs="Times New Roman"/>
          <w:sz w:val="20"/>
          <w:szCs w:val="20"/>
        </w:rPr>
        <w:t xml:space="preserve"> – Triggering Receptor Expressed on Myeloid Cells 2</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IL</w:t>
      </w:r>
      <w:r w:rsidRPr="00DE6416">
        <w:rPr>
          <w:rStyle w:val="bzpyqfadein"/>
          <w:rFonts w:ascii="Times New Roman" w:hAnsi="Times New Roman" w:cs="Times New Roman"/>
          <w:b/>
          <w:bCs/>
          <w:sz w:val="20"/>
          <w:szCs w:val="20"/>
        </w:rPr>
        <w:t>-1β</w:t>
      </w:r>
      <w:r w:rsidRPr="00DE6416">
        <w:rPr>
          <w:rStyle w:val="bzpyqfadein"/>
          <w:rFonts w:ascii="Times New Roman" w:hAnsi="Times New Roman" w:cs="Times New Roman"/>
          <w:sz w:val="20"/>
          <w:szCs w:val="20"/>
        </w:rPr>
        <w:t xml:space="preserve"> – Interleukin-1 Beta</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TNF</w:t>
      </w:r>
      <w:r w:rsidRPr="00DE6416">
        <w:rPr>
          <w:rStyle w:val="bzpyqfadein"/>
          <w:rFonts w:ascii="Times New Roman" w:hAnsi="Times New Roman" w:cs="Times New Roman"/>
          <w:b/>
          <w:bCs/>
          <w:sz w:val="20"/>
          <w:szCs w:val="20"/>
        </w:rPr>
        <w:t>-α</w:t>
      </w:r>
      <w:r w:rsidRPr="00DE6416">
        <w:rPr>
          <w:rStyle w:val="bzpyqfadein"/>
          <w:rFonts w:ascii="Times New Roman" w:hAnsi="Times New Roman" w:cs="Times New Roman"/>
          <w:sz w:val="20"/>
          <w:szCs w:val="20"/>
        </w:rPr>
        <w:t xml:space="preserve"> – Tumor Necrosis Factor Alpha</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CSF</w:t>
      </w:r>
      <w:r w:rsidRPr="00DE6416">
        <w:rPr>
          <w:rStyle w:val="bzpyqfadein"/>
          <w:rFonts w:ascii="Times New Roman" w:hAnsi="Times New Roman" w:cs="Times New Roman"/>
          <w:sz w:val="20"/>
          <w:szCs w:val="20"/>
        </w:rPr>
        <w:t xml:space="preserve"> – Cerebrospinal Fluid</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MRI</w:t>
      </w:r>
      <w:r w:rsidRPr="00DE6416">
        <w:rPr>
          <w:rStyle w:val="bzpyqfadein"/>
          <w:rFonts w:ascii="Times New Roman" w:hAnsi="Times New Roman" w:cs="Times New Roman"/>
          <w:sz w:val="20"/>
          <w:szCs w:val="20"/>
        </w:rPr>
        <w:t xml:space="preserve"> – Magnetic Resonance Imaging</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PET</w:t>
      </w:r>
      <w:r w:rsidRPr="00DE6416">
        <w:rPr>
          <w:rStyle w:val="bzpyqfadein"/>
          <w:rFonts w:ascii="Times New Roman" w:hAnsi="Times New Roman" w:cs="Times New Roman"/>
          <w:sz w:val="20"/>
          <w:szCs w:val="20"/>
        </w:rPr>
        <w:t xml:space="preserve"> – Positron Emission Tomography</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NfL</w:t>
      </w:r>
      <w:r w:rsidRPr="00DE6416">
        <w:rPr>
          <w:rStyle w:val="bzpyqfadein"/>
          <w:rFonts w:ascii="Times New Roman" w:hAnsi="Times New Roman" w:cs="Times New Roman"/>
          <w:sz w:val="20"/>
          <w:szCs w:val="20"/>
        </w:rPr>
        <w:t xml:space="preserve"> – Neurofilament Light Chain</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AT</w:t>
      </w:r>
      <w:r w:rsidRPr="00DE6416">
        <w:rPr>
          <w:rStyle w:val="bzpyqfadein"/>
          <w:rFonts w:ascii="Times New Roman" w:hAnsi="Times New Roman" w:cs="Times New Roman"/>
          <w:b/>
          <w:bCs/>
          <w:sz w:val="20"/>
          <w:szCs w:val="20"/>
        </w:rPr>
        <w:t>(N)</w:t>
      </w:r>
      <w:r w:rsidRPr="00DE6416">
        <w:rPr>
          <w:rStyle w:val="bzpyqfadein"/>
          <w:rFonts w:ascii="Times New Roman" w:hAnsi="Times New Roman" w:cs="Times New Roman"/>
          <w:sz w:val="20"/>
          <w:szCs w:val="20"/>
        </w:rPr>
        <w:t xml:space="preserve"> – Amyloid, Tau, Neurodegeneration Framework</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t</w:t>
      </w:r>
      <w:r w:rsidRPr="00DE6416">
        <w:rPr>
          <w:rStyle w:val="bzpyqfadein"/>
          <w:rFonts w:ascii="Times New Roman" w:hAnsi="Times New Roman" w:cs="Times New Roman"/>
          <w:b/>
          <w:bCs/>
          <w:sz w:val="20"/>
          <w:szCs w:val="20"/>
        </w:rPr>
        <w:t>-tau</w:t>
      </w:r>
      <w:r w:rsidRPr="00DE6416">
        <w:rPr>
          <w:rStyle w:val="bzpyqfadein"/>
          <w:rFonts w:ascii="Times New Roman" w:hAnsi="Times New Roman" w:cs="Times New Roman"/>
          <w:sz w:val="20"/>
          <w:szCs w:val="20"/>
        </w:rPr>
        <w:t xml:space="preserve"> – Total Tau</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w:t>
      </w:r>
      <w:r w:rsidRPr="00DE6416">
        <w:rPr>
          <w:rStyle w:val="bzpyqfadein"/>
          <w:rFonts w:ascii="Times New Roman" w:hAnsi="Times New Roman" w:cs="Times New Roman"/>
          <w:b/>
          <w:bCs/>
          <w:sz w:val="20"/>
          <w:szCs w:val="20"/>
        </w:rPr>
        <w:t>-tau</w:t>
      </w:r>
      <w:r w:rsidRPr="00DE6416">
        <w:rPr>
          <w:rStyle w:val="bzpyqfadein"/>
          <w:rFonts w:ascii="Times New Roman" w:hAnsi="Times New Roman" w:cs="Times New Roman"/>
          <w:sz w:val="20"/>
          <w:szCs w:val="20"/>
        </w:rPr>
        <w:t xml:space="preserve"> – Phosphorylated Tau</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NMDA</w:t>
      </w:r>
      <w:r w:rsidRPr="00DE6416">
        <w:rPr>
          <w:rStyle w:val="bzpyqfadein"/>
          <w:rFonts w:ascii="Times New Roman" w:hAnsi="Times New Roman" w:cs="Times New Roman"/>
          <w:sz w:val="20"/>
          <w:szCs w:val="20"/>
        </w:rPr>
        <w:t xml:space="preserve"> – N-Methyl-D-Aspartate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ARIA</w:t>
      </w:r>
      <w:r w:rsidRPr="00DE6416">
        <w:rPr>
          <w:rStyle w:val="bzpyqfadein"/>
          <w:rFonts w:ascii="Times New Roman" w:hAnsi="Times New Roman" w:cs="Times New Roman"/>
          <w:sz w:val="20"/>
          <w:szCs w:val="20"/>
        </w:rPr>
        <w:t xml:space="preserve"> – Amyloid-Related Imaging Abnormalities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GLP</w:t>
      </w:r>
      <w:r w:rsidRPr="00DE6416">
        <w:rPr>
          <w:rStyle w:val="bzpyqfadein"/>
          <w:rFonts w:ascii="Times New Roman" w:hAnsi="Times New Roman" w:cs="Times New Roman"/>
          <w:b/>
          <w:bCs/>
          <w:sz w:val="20"/>
          <w:szCs w:val="20"/>
        </w:rPr>
        <w:t>-1</w:t>
      </w:r>
      <w:r w:rsidRPr="00DE6416">
        <w:rPr>
          <w:rStyle w:val="bzpyqfadein"/>
          <w:rFonts w:ascii="Times New Roman" w:hAnsi="Times New Roman" w:cs="Times New Roman"/>
          <w:sz w:val="20"/>
          <w:szCs w:val="20"/>
        </w:rPr>
        <w:t xml:space="preserve"> – Glucagon-Like Peptide-1</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MSCs</w:t>
      </w:r>
      <w:r w:rsidRPr="00DE6416">
        <w:rPr>
          <w:rStyle w:val="bzpyqfadein"/>
          <w:rFonts w:ascii="Times New Roman" w:hAnsi="Times New Roman" w:cs="Times New Roman"/>
          <w:sz w:val="20"/>
          <w:szCs w:val="20"/>
        </w:rPr>
        <w:t xml:space="preserve"> – Mesenchymal Stem Cells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AAV</w:t>
      </w:r>
      <w:r w:rsidRPr="00DE6416">
        <w:rPr>
          <w:rStyle w:val="bzpyqfadein"/>
          <w:rFonts w:ascii="Times New Roman" w:hAnsi="Times New Roman" w:cs="Times New Roman"/>
          <w:b/>
          <w:bCs/>
          <w:sz w:val="20"/>
          <w:szCs w:val="20"/>
        </w:rPr>
        <w:t xml:space="preserve"> </w:t>
      </w:r>
      <w:r w:rsidRPr="00DE6416">
        <w:rPr>
          <w:rStyle w:val="bzpyqfadein"/>
          <w:rFonts w:ascii="Times New Roman" w:hAnsi="Times New Roman" w:cs="Times New Roman"/>
          <w:sz w:val="20"/>
          <w:szCs w:val="20"/>
        </w:rPr>
        <w:t>– Adeno-Associated Virus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CRISPR/Cas9</w:t>
      </w:r>
      <w:r w:rsidRPr="00DE6416">
        <w:rPr>
          <w:rFonts w:ascii="Times New Roman" w:hAnsi="Times New Roman" w:cs="Times New Roman"/>
          <w:sz w:val="20"/>
          <w:szCs w:val="20"/>
        </w:rPr>
        <w:t xml:space="preserve"> – Clustered Regularly Interspaced Short Palindromic Repeats / CRISPR-associated protein 9</w:t>
      </w:r>
      <w:r w:rsidR="00F13791" w:rsidRPr="00DE6416">
        <w:rPr>
          <w:rFonts w:ascii="Times New Roman" w:hAnsi="Times New Roman" w:cs="Times New Roman"/>
          <w:sz w:val="20"/>
          <w:szCs w:val="20"/>
        </w:rPr>
        <w:t xml:space="preserve">; </w:t>
      </w:r>
      <w:r w:rsidRPr="00DE6416">
        <w:rPr>
          <w:rFonts w:ascii="Times New Roman" w:hAnsi="Times New Roman" w:cs="Times New Roman"/>
          <w:b/>
          <w:bCs/>
          <w:sz w:val="20"/>
          <w:szCs w:val="20"/>
        </w:rPr>
        <w:t>tDCS</w:t>
      </w:r>
      <w:r w:rsidRPr="00DE6416">
        <w:rPr>
          <w:rFonts w:ascii="Times New Roman" w:hAnsi="Times New Roman" w:cs="Times New Roman"/>
          <w:sz w:val="20"/>
          <w:szCs w:val="20"/>
        </w:rPr>
        <w:t xml:space="preserve"> – Transcranial Direct Current Stimulation</w:t>
      </w:r>
      <w:r w:rsidR="00F13791" w:rsidRPr="00DE6416">
        <w:rPr>
          <w:rFonts w:ascii="Times New Roman" w:hAnsi="Times New Roman" w:cs="Times New Roman"/>
          <w:b/>
          <w:bCs/>
          <w:sz w:val="20"/>
          <w:szCs w:val="20"/>
          <w:u w:val="single"/>
          <w:lang w:val="en-US"/>
        </w:rPr>
        <w:t xml:space="preserve">; </w:t>
      </w:r>
      <w:r w:rsidRPr="00DE6416">
        <w:rPr>
          <w:rFonts w:ascii="Times New Roman" w:eastAsia="Times New Roman" w:hAnsi="Times New Roman" w:cs="Times New Roman"/>
          <w:b/>
          <w:bCs/>
          <w:sz w:val="20"/>
          <w:szCs w:val="20"/>
          <w:lang w:eastAsia="en-IN"/>
        </w:rPr>
        <w:t>rTMS</w:t>
      </w:r>
      <w:r w:rsidRPr="00DE6416">
        <w:rPr>
          <w:rFonts w:ascii="Times New Roman" w:eastAsia="Times New Roman" w:hAnsi="Times New Roman" w:cs="Times New Roman"/>
          <w:sz w:val="20"/>
          <w:szCs w:val="20"/>
          <w:lang w:eastAsia="en-IN"/>
        </w:rPr>
        <w:t xml:space="preserve"> – Repetitive Transcranial Magnetic Stimulation</w:t>
      </w:r>
      <w:r w:rsidR="00F13791" w:rsidRPr="00DE6416">
        <w:rPr>
          <w:rFonts w:ascii="Times New Roman" w:hAnsi="Times New Roman" w:cs="Times New Roman"/>
          <w:b/>
          <w:bCs/>
          <w:sz w:val="20"/>
          <w:szCs w:val="20"/>
          <w:u w:val="single"/>
          <w:lang w:val="en-US"/>
        </w:rPr>
        <w:t xml:space="preserve">; </w:t>
      </w:r>
      <w:r w:rsidRPr="00DE6416">
        <w:rPr>
          <w:rFonts w:ascii="Times New Roman" w:eastAsia="Times New Roman" w:hAnsi="Times New Roman" w:cs="Times New Roman"/>
          <w:b/>
          <w:bCs/>
          <w:sz w:val="20"/>
          <w:szCs w:val="20"/>
          <w:lang w:eastAsia="en-IN"/>
        </w:rPr>
        <w:t>DBS</w:t>
      </w:r>
      <w:r w:rsidRPr="00DE6416">
        <w:rPr>
          <w:rFonts w:ascii="Times New Roman" w:eastAsia="Times New Roman" w:hAnsi="Times New Roman" w:cs="Times New Roman"/>
          <w:sz w:val="20"/>
          <w:szCs w:val="20"/>
          <w:lang w:eastAsia="en-IN"/>
        </w:rPr>
        <w:t xml:space="preserve"> – Deep Brain Stimulation</w:t>
      </w:r>
    </w:p>
    <w:p w14:paraId="1DE9B7C7" w14:textId="77777777" w:rsidR="007B6631" w:rsidRPr="007B6631" w:rsidRDefault="007B6631" w:rsidP="007B6631">
      <w:pPr>
        <w:spacing w:after="200" w:line="276" w:lineRule="auto"/>
        <w:rPr>
          <w:rFonts w:ascii="Arial" w:eastAsia="Times New Roman" w:hAnsi="Arial" w:cs="Arial"/>
          <w:b/>
          <w:bCs/>
          <w:lang w:val="en-GB" w:eastAsia="en-GB"/>
        </w:rPr>
      </w:pPr>
      <w:r w:rsidRPr="007B6631">
        <w:rPr>
          <w:rFonts w:ascii="Arial" w:eastAsia="Times New Roman" w:hAnsi="Arial" w:cs="Arial"/>
          <w:b/>
          <w:bCs/>
          <w:lang w:val="en-GB" w:eastAsia="en-GB"/>
        </w:rPr>
        <w:t>COMPETING INTERESTS DISCLAIMER:</w:t>
      </w:r>
    </w:p>
    <w:p w14:paraId="2A3C099D" w14:textId="77777777" w:rsidR="007B6631" w:rsidRPr="007B6631" w:rsidRDefault="007B6631" w:rsidP="007B6631">
      <w:pPr>
        <w:spacing w:after="200" w:line="276" w:lineRule="auto"/>
        <w:rPr>
          <w:rFonts w:ascii="Calibri" w:eastAsia="Times New Roman" w:hAnsi="Calibri" w:cs="Times New Roman"/>
          <w:lang w:val="en-GB" w:eastAsia="en-GB"/>
        </w:rPr>
      </w:pPr>
      <w:r w:rsidRPr="007B6631">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3C543C4" w14:textId="77777777" w:rsidR="006D6C2B" w:rsidRDefault="004551BF" w:rsidP="004551BF">
      <w:pPr>
        <w:rPr>
          <w:b/>
          <w:highlight w:val="yellow"/>
        </w:rPr>
      </w:pPr>
      <w:r w:rsidRPr="00CA3906">
        <w:rPr>
          <w:b/>
          <w:highlight w:val="yellow"/>
        </w:rPr>
        <w:t>Disclaimer (Artificial intelligence)</w:t>
      </w:r>
    </w:p>
    <w:p w14:paraId="4674A975" w14:textId="698739E7" w:rsidR="004551BF" w:rsidRPr="006D6C2B" w:rsidRDefault="004551BF" w:rsidP="004551BF">
      <w:pPr>
        <w:rPr>
          <w:b/>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24E1223" w14:textId="491A5EF6"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13B9EAC5" w14:textId="77777777" w:rsidR="006D6C2B" w:rsidRDefault="006D6C2B" w:rsidP="004216A1">
      <w:pPr>
        <w:spacing w:before="100" w:beforeAutospacing="1" w:after="100" w:afterAutospacing="1" w:line="240" w:lineRule="auto"/>
        <w:rPr>
          <w:rFonts w:ascii="Times New Roman" w:hAnsi="Times New Roman" w:cs="Times New Roman"/>
          <w:b/>
          <w:bCs/>
          <w:sz w:val="24"/>
          <w:szCs w:val="24"/>
        </w:rPr>
      </w:pPr>
    </w:p>
    <w:p w14:paraId="3DEC1A1A"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3F9B14E2"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4336711B"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368FB1B4"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5D9206C7"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0F7F9868"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6D7CD3F0"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4CB42FF0" w14:textId="77777777" w:rsidR="00A46A60" w:rsidRDefault="00A46A60" w:rsidP="004216A1">
      <w:pPr>
        <w:spacing w:before="100" w:beforeAutospacing="1" w:after="100" w:afterAutospacing="1" w:line="240" w:lineRule="auto"/>
        <w:rPr>
          <w:rFonts w:ascii="Times New Roman" w:hAnsi="Times New Roman" w:cs="Times New Roman"/>
          <w:b/>
          <w:bCs/>
          <w:sz w:val="24"/>
          <w:szCs w:val="24"/>
        </w:rPr>
      </w:pPr>
    </w:p>
    <w:p w14:paraId="16C10F33" w14:textId="68DBA0C9" w:rsidR="001C2656" w:rsidRPr="00C11A7F" w:rsidRDefault="009C0301" w:rsidP="004216A1">
      <w:pPr>
        <w:spacing w:before="100" w:beforeAutospacing="1" w:after="100" w:afterAutospacing="1" w:line="240" w:lineRule="auto"/>
        <w:rPr>
          <w:rFonts w:ascii="Times New Roman" w:eastAsia="Times New Roman" w:hAnsi="Times New Roman" w:cs="Times New Roman"/>
          <w:sz w:val="24"/>
          <w:szCs w:val="24"/>
          <w:lang w:eastAsia="en-IN"/>
        </w:rPr>
      </w:pPr>
      <w:r w:rsidRPr="00C11A7F">
        <w:rPr>
          <w:rFonts w:ascii="Times New Roman" w:hAnsi="Times New Roman" w:cs="Times New Roman"/>
          <w:b/>
          <w:bCs/>
          <w:sz w:val="24"/>
          <w:szCs w:val="24"/>
        </w:rPr>
        <w:t>REFERENCE</w:t>
      </w:r>
    </w:p>
    <w:p w14:paraId="029C7DF9"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lastRenderedPageBreak/>
        <w:t>Bomasang-Layno E, Bronsther R. Diagnosis and treatment of Alzheimer’s disease: an update. Delaware journal of public health. 2021 Sep 27;7(4):74.</w:t>
      </w:r>
    </w:p>
    <w:p w14:paraId="14D6AF03"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Soni P, Hasan SM, Kushwaha SP, Singh K, Kumar A, Hafeez A, Khan S. Amyloid Beta and Tau Aggregation: The Etiology and Potential Pharmaceutical Approaches for Alzheimer’s Disease. Biomedical Research and Therapy. 2025 Sep 30;12(9):7708-22.</w:t>
      </w:r>
    </w:p>
    <w:p w14:paraId="0B04D405"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Sheppard O, Coleman M. Alzheimer’s disease: etiology, neuropathology and pathogenesis. Exon Publications. 2020 Dec 19:1-21.</w:t>
      </w:r>
    </w:p>
    <w:p w14:paraId="534673B2"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Tenchov R, Sasso JM, Zhou QA. Alzheimer’s disease: exploring the landscape of cognitive decline. ACS Chemical Neuroscience. 2024 Oct 11;15(21):3800-27.</w:t>
      </w:r>
    </w:p>
    <w:p w14:paraId="50D15020"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Zhang H, Wei W, Zhao M, Ma L, Jiang X, Pei H, Cao Y, Li H. Interaction between Aβ and tau in the pathogenesis of Alzheimer's disease. International journal of biological sciences. 2021 May 27;17(9):2181.</w:t>
      </w:r>
    </w:p>
    <w:p w14:paraId="08FBBB03"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Zhang J, Zhang Y, Wang J, Xia Y, Zhang J, Chen L. Recent advances in Alzheimer’s disease: Mechanisms, clinical trials and new drug development strategies. Signal transduction and targeted therapy. 2024 Aug 23;9(1):211.</w:t>
      </w:r>
    </w:p>
    <w:p w14:paraId="3C421E55"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Abdul Manap AS, Almadodi R, Sultana S, Sebastian MG, Kavani KS, Lyenouq VE, Shankar A. Alzheimer’s disease: a review on the current trends of the effective diagnosis and therapeutics. Frontiers in Aging Neuroscience. 2024 Aug 9;16:1429211.</w:t>
      </w:r>
    </w:p>
    <w:p w14:paraId="4F927E37"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Breijyeh Z, Karaman R. Comprehensive review on Alzheimer’s disease: causes and treatment. Molecules. 2020 Dec 8;25(24):5789.</w:t>
      </w:r>
    </w:p>
    <w:p w14:paraId="22DF898E" w14:textId="77777777" w:rsidR="00351AD5" w:rsidRPr="00F8100A" w:rsidRDefault="00351AD5"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Tiwari S, Atluri V, Kaushik A, Yndart A, Nair M. Alzheimer’s disease: pathogenesis, diagnostics, and therapeutics. International journal of nanomedicine. 2019 Jul 19:5541-54.</w:t>
      </w:r>
    </w:p>
    <w:p w14:paraId="272810A0" w14:textId="09F1F8B9"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Haass C, Selkoe DJ. Soluble protein oligomers in neurodegeneration: lessons from the Alzheimer's amyloid β-peptide. Nature reviews Molecular cell biology. 2007 Feb;8(2):101-12.</w:t>
      </w:r>
    </w:p>
    <w:p w14:paraId="4712922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Selkoe DJ, Hardy J. The amyloid hypothesis of Alzheimer's disease at 25 years. EMBO molecular medicine. 2016 Jun 1;8(6):595-608.</w:t>
      </w:r>
    </w:p>
    <w:p w14:paraId="2E7CEB2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Walsh DM, Selkoe DJ. Aβ oligomers–a decade of discovery. Journal of neurochemistry. 2007 Jun;101(5):1172-84.</w:t>
      </w:r>
    </w:p>
    <w:p w14:paraId="095732D5" w14:textId="0B6E794C" w:rsidR="001C2656" w:rsidRPr="00F8100A" w:rsidRDefault="001C2656"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Benilova I, Karran E, De Strooper B. The toxic Aβ oligomer and Alzheimer's disease: an emperor in need of clothes. Nature neuroscience. 2012 Mar;15(3):349-57.</w:t>
      </w:r>
    </w:p>
    <w:p w14:paraId="202EE0EB" w14:textId="77777777" w:rsidR="00561D73" w:rsidRPr="00F8100A" w:rsidRDefault="00561D73"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Bernabeu-Zornoza A, Coronel R, Palmer C, Monteagudo M, Zambrano A, Liste I. Physiological and pathological effects of amyloid-β species in neural stem cell biology. Neural regeneration research. 2019 Dec 1;14(12):2035-42.</w:t>
      </w:r>
    </w:p>
    <w:p w14:paraId="1F5C5288" w14:textId="588FD01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Hardy JA, Higgins GA. Alzheimer's disease: the amyloid cascade hypothesis. Science. 1992 Apr 10;256(5054):184-5.</w:t>
      </w:r>
    </w:p>
    <w:p w14:paraId="33D6F104"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Braak H, Braak E. Neuropathological stageing of Alzheimer-related changes. Acta neuropathologica. 1991 Sep;82(4):239-59.</w:t>
      </w:r>
    </w:p>
    <w:p w14:paraId="57E8F67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Heneka MT, Carson MJ, El Khoury J, Landreth GE, Brosseron F, Feinstein DL, Jacobs AH, Wyss-Coray T, Vitorica J, Ransohoff RM, Herrup K. Neuroinflammation in Alzheimer's disease. The Lancet Neurology. 2015 Apr 1;14(4):388-405.</w:t>
      </w:r>
    </w:p>
    <w:p w14:paraId="1F447FDD" w14:textId="0F759ACA" w:rsidR="001C2656" w:rsidRPr="00F8100A" w:rsidRDefault="001C2656"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Selkoe DJ. Alzheimer's disease is a synaptic failure. Science. 2002 Oct 25;298(5594):789-91.</w:t>
      </w:r>
    </w:p>
    <w:p w14:paraId="21E9F716"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Zlokovic BV. Neurovascular pathways to neurodegeneration in Alzheimer's disease and other disorders. Nature Reviews Neuroscience. 2011 Dec;12(12):723-38.</w:t>
      </w:r>
    </w:p>
    <w:p w14:paraId="27B8CA81" w14:textId="2A1700F8"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lastRenderedPageBreak/>
        <w:t>EH C. Gene dose of apolipoprotein E type 4 allele and the risk of Alzheimer's disease in late onset families. Science. 1993;261:921-3.</w:t>
      </w:r>
    </w:p>
    <w:p w14:paraId="6DAF1295"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Hansson O. Biomarkers for neurodegenerative diseases. Nature medicine. 2021 Jun;27(6):954-63.</w:t>
      </w:r>
    </w:p>
    <w:p w14:paraId="7068D7B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Bateman RJ, Xiong C, Benzinger TL, Fagan AM, Goate A, Fox NC, Marcus DS, Cairns NJ, Xie X, Blazey TM, Holtzman DM. Clinical and biomarker changes in dominantly inherited Alzheimer's disease. New England Journal of Medicine. 2012 Aug 30;367(9):795-804.</w:t>
      </w:r>
    </w:p>
    <w:p w14:paraId="0129400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Verberk IM, Thijssen E, Koelewijn J, Mauroo K, Vanbrabant J, De Wilde A, Zwan MD, Verfaillie SC, Ossenkoppele R, Barkhof F, Van Berckel BN. Combination of plasma amyloid beta (1-42/1-40) and glial fibrillary acidic protein strongly associates with cerebral amyloid pathology. Alzheimer's research &amp; therapy. 2020 Sep 28;12(1):118.</w:t>
      </w:r>
    </w:p>
    <w:p w14:paraId="2689582E"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Janelidze S, Stomrud E, Smith R, Palmqvist S, Mattsson N, Airey DC, Proctor NK, Chai X, Shcherbinin S, Sims JR, Triana-Baltzer G. Cerebrospinal fluid p-tau217 performs better than p-tau181 as a biomarker of Alzheimer’s disease. Nature communications. 2020 Apr 3;11(1):1683.</w:t>
      </w:r>
    </w:p>
    <w:p w14:paraId="7E08B32D"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Janelidze S, Berron D, Smith R, Strandberg O, Proctor NK, Dage JL, Stomrud E, Palmqvist S, Mattsson-Carlgren N, Hansson O. Associations of plasma phospho-tau217 levels with tau positron emission tomography in early Alzheimer disease. JAMA neurology. 2021 Feb;78(2):149-56.</w:t>
      </w:r>
    </w:p>
    <w:p w14:paraId="2ECEC23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Karikari TK, Pascoal TA, Ashton NJ, Janelidze S, Benedet AL, Rodriguez JL, Chamoun M, Savard M, Kang MS, Therriault J, Schöll M. Blood phosphorylated tau 181 as a biomarker for Alzheimer's disease: a diagnostic performance and prediction modelling study using data from four prospective cohorts. The Lancet Neurology. 2020 May 1;19(5):422-33.</w:t>
      </w:r>
    </w:p>
    <w:p w14:paraId="4CFD99C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Palmqvist S, Tideman P, Cullen N, Zetterberg H, Blennow K, Alzheimer’s Disease Neuroimaging Initiative, Dage JL, Stomrud E, Janelidze S, Mattsson-Carlgren N, Hansson O. Prediction of future Alzheimer’s disease dementia using plasma phospho-tau combined with other accessible measures. Nature medicine. 2021 Jun;27(6):1034-42.</w:t>
      </w:r>
    </w:p>
    <w:p w14:paraId="3800A941"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Teunissen CE, Verberk IM, Thijssen EH, Vermunt L, Hansson O, Zetterberg H, van der Flier WM, Mielke MM, Del Campo M. Blood-based biomarkers for Alzheimer's disease: towards clinical implementation. The Lancet Neurology. 2022 Jan 1;21(1):66-77.</w:t>
      </w:r>
    </w:p>
    <w:p w14:paraId="0C69ED2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Frisoni GB, Fox NC, Jack Jr CR, Scheltens P, Thompson PM. The clinical use of structural MRI in Alzheimer disease. Nature reviews neurology. 2010 Feb;6(2):67-77.</w:t>
      </w:r>
    </w:p>
    <w:p w14:paraId="56BC5A3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Dickerson BC, Wolk DA. MRI cortical thickness biomarker predicts AD-like CSF and cognitive decline in normal adults. Neurology. 2012 Jan 10;78(2):84-90.</w:t>
      </w:r>
    </w:p>
    <w:p w14:paraId="12DD064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Jack Jr CR, Bennett DA, Blennow K, Carrillo MC, Dunn B, Haeberlein SB, Holtzman DM, Jagust W, Jessen F, Karlawish J, Liu E. NIA‐AA research framework: toward a biological definition of Alzheimer's disease. Alzheimer's &amp; dementia. 2018 Apr;14(4):535-62.</w:t>
      </w:r>
    </w:p>
    <w:p w14:paraId="4445E08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Iadecola C. The pathobiology of vascular dementia. Neuron. 2013 Nov 20;80(4):844-66.</w:t>
      </w:r>
    </w:p>
    <w:p w14:paraId="47C2762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lastRenderedPageBreak/>
        <w:t>Livingston G, Huntley J, Sommerlad A, Ames D, Ballard C, Banerjee S, Brayne C, Burns A, Cohen-Mansfield J, Cooper C, Costafreda SG. Dementia prevention, intervention, and care: 2020 report of the Lancet Commission. The lancet. 2020 Aug 8;396(10248):413-46.</w:t>
      </w:r>
    </w:p>
    <w:p w14:paraId="0A3A8B7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Gottesman RF, Albert MS, Alonso A, Coker LH, Coresh J, Davis SM, Deal JA, McKhann GM, Mosley TH, Sharrett AR, Schneider AL. Associations between midlife vascular risk factors and 25-year incident dementia in the Atherosclerosis Risk in Communities (ARIC) cohort. JAMA neurology. 2017 Oct;74(10):1246-54.</w:t>
      </w:r>
    </w:p>
    <w:p w14:paraId="0305D01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Williamson JD, Pajewski NM, Auchus AP, Bryan RN, Chelune G, Cheung AK, Cleveland ML, Coker LH, Crowe MG, Cushman WC, Cutler JA. Effect of intensive vs standard blood pressure control on probable dementia: a randomized clinical trial. Jama. 2019 Feb 12;321(6):553-61.</w:t>
      </w:r>
    </w:p>
    <w:p w14:paraId="110BE29D"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Biessels GJ, Despa F. Cognitive decline and dementia in diabetes mellitus: mechanisms and clinical implications. Nature Reviews Endocrinology. 2018 Oct;14(10):591-604.</w:t>
      </w:r>
    </w:p>
    <w:p w14:paraId="10014AA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Poly TN, Islam MM, Walther BA, Yang HC, Wu CC, Lin MC, Li YC. Association between use of statin and risk of dementia: a meta-analysis of observational studies. Neuroepidemiology. 2020 May 12;54(3):214-26.</w:t>
      </w:r>
    </w:p>
    <w:p w14:paraId="1C989F57"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 xml:space="preserve">Scarmeas N, Anastasiou CA, Yannakoulia M. Mediterranean diet and cognitive health. </w:t>
      </w:r>
      <w:r w:rsidRPr="00F8100A">
        <w:rPr>
          <w:rStyle w:val="Emphasis"/>
          <w:rFonts w:ascii="Times New Roman" w:hAnsi="Times New Roman" w:cs="Times New Roman"/>
          <w:sz w:val="24"/>
          <w:szCs w:val="24"/>
        </w:rPr>
        <w:t>Nutrients.</w:t>
      </w:r>
      <w:r w:rsidRPr="00F8100A">
        <w:rPr>
          <w:rFonts w:ascii="Times New Roman" w:hAnsi="Times New Roman" w:cs="Times New Roman"/>
          <w:sz w:val="24"/>
          <w:szCs w:val="24"/>
        </w:rPr>
        <w:t xml:space="preserve"> 2018;10(11):1802. doi:10.3390/nu10111802.</w:t>
      </w:r>
    </w:p>
    <w:p w14:paraId="26257D76"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Ngandu T, Lehtisalo J, Solomon A, Levälahti E, Ahtiluoto S, Antikainen R, Bäckman L, Hänninen T, Jula A, Laatikainen T, Lindström J. A 2 year multidomain intervention of diet, exercise, cognitive training, and vascular risk monitoring versus control to prevent cognitive decline in at-risk elderly people (FINGER): a randomised controlled trial. The Lancet. 2015 Jun 6;385(9984):2255-63.</w:t>
      </w:r>
    </w:p>
    <w:p w14:paraId="074ADBD5"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van Charante EP, Richard E, Eurelings LS, van Dalen JW, Ligthart SA, Van Bussel EF, Hoevenaar-Blom MP, Vermeulen M, van Gool WA. Effectiveness of a 6-year multidomain vascular care intervention to prevent dementia (preDIVA): a cluster-randomised controlled trial. The Lancet. 2016 Aug 20;388(10046):797-805.</w:t>
      </w:r>
    </w:p>
    <w:p w14:paraId="5DE0243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Kivipelto M, Mangialasche F, Ngandu T. Lifestyle interventions to prevent cognitive impairment, dementia and Alzheimer disease. Nature Reviews Neurology. 2018 Nov;14(11):653-66.</w:t>
      </w:r>
    </w:p>
    <w:p w14:paraId="7AD92CE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Livingston G, Sommerlad A, Orgeta V, Costafreda SG, Huntley J, Ames D, Ballard C, Banerjee S, Burns A, Cohen-Mansfield J, Cooper C. Dementia prevention, intervention, and care. The lancet. 2017 Dec 16;390(10113):2673-734.</w:t>
      </w:r>
    </w:p>
    <w:p w14:paraId="789CE0ED"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Kivipelto M, Mangialasche F, Snyder HM, Allegri R, Andrieu S, Arai H, Baker L, Belleville S, Brodaty H, Brucki SM, Calandri I. World‐Wide FINGERS Network: a global approach to risk reduction and prevention of dementia. Alzheimer's &amp; dementia. 2020 Jul;16(7):1078-94.</w:t>
      </w:r>
    </w:p>
    <w:p w14:paraId="356DCEB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Stern Y. Cognitive reserve in ageing and Alzheimer's disease. The Lancet Neurology. 2012 Nov 1;11(11):1006-12.</w:t>
      </w:r>
    </w:p>
    <w:p w14:paraId="50A054F7"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Meng X, D’arcy C. Education and dementia in the context of the cognitive reserve hypothesis: a systematic review with meta-analyses and qualitative analyses. PloS one. 2012 Jun 4;7(6):e38268.</w:t>
      </w:r>
    </w:p>
    <w:p w14:paraId="31E865B1"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Wilson RS, De Leon CF, Barnes LL, Schneider JA, Bienias JL, Evans DA, Bennett DA. Participation in cognitively stimulating activities and risk of incident Alzheimer disease. Jama. 2002 Feb 13;287(6):742-8.</w:t>
      </w:r>
    </w:p>
    <w:p w14:paraId="3B92089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lastRenderedPageBreak/>
        <w:t>Rebok GW, Ball K, Guey LT, Jones RN, Kim HY, King JW, Marsiske M, Morris JN, Tennstedt SL, Unverzagt FW, Willis SL. Ten-year effects of the ACTIVE cognitive training trial on cognition and everyday functioning in older adults. Journal of the American Geriatrics Society. 2014 Jan 13;62(1):16.</w:t>
      </w:r>
    </w:p>
    <w:p w14:paraId="6C60B27E"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Norton S, Matthews FE, Barnes DE, Yaffe K, Brayne C. Potential for primary prevention of Alzheimer's disease: an analysis of population-based data. The Lancet Neurology. 2014 Aug 1;13(8):788-94.</w:t>
      </w:r>
    </w:p>
    <w:p w14:paraId="54AC6E9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Livingston G, Huntley J, Sommerlad A, Ames D, Ballard C, Banerjee S, Brayne C, Burns A, Cohen-Mansfield J, Cooper C, Costafreda SG. Dementia prevention, intervention, and care: 2020 report of the Lancet Commission. The lancet. 2020 Aug 8;396(10248):413-46.</w:t>
      </w:r>
    </w:p>
    <w:p w14:paraId="761BFA4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 xml:space="preserve">World Health Organization. </w:t>
      </w:r>
      <w:r w:rsidRPr="00F8100A">
        <w:rPr>
          <w:rStyle w:val="Emphasis"/>
          <w:rFonts w:ascii="Times New Roman" w:hAnsi="Times New Roman" w:cs="Times New Roman"/>
          <w:sz w:val="24"/>
          <w:szCs w:val="24"/>
        </w:rPr>
        <w:t>Risk reduction of cognitive decline and dementia: WHO guidelines.</w:t>
      </w:r>
      <w:r w:rsidRPr="00F8100A">
        <w:rPr>
          <w:rFonts w:ascii="Times New Roman" w:hAnsi="Times New Roman" w:cs="Times New Roman"/>
          <w:sz w:val="24"/>
          <w:szCs w:val="24"/>
        </w:rPr>
        <w:t xml:space="preserve"> Geneva: World Health Organization; 2019. Available from: </w:t>
      </w:r>
      <w:hyperlink r:id="rId9" w:tgtFrame="_new" w:history="1">
        <w:r w:rsidRPr="00F8100A">
          <w:rPr>
            <w:rStyle w:val="Hyperlink"/>
            <w:rFonts w:ascii="Times New Roman" w:hAnsi="Times New Roman" w:cs="Times New Roman"/>
            <w:sz w:val="24"/>
            <w:szCs w:val="24"/>
          </w:rPr>
          <w:t>https://www.who.int/publications/i/item/9789241550543</w:t>
        </w:r>
      </w:hyperlink>
    </w:p>
    <w:p w14:paraId="2A5CC0E5"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Deckers K, Van Boxtel MP, Schiepers OJ, De Vugt M, Munoz Sanchez JL, Anstey KJ, Brayne C, Dartigues JF, Engedal K, Kivipelto M, Ritchie K. Target risk factors for dementia prevention: a systematic review and Delphi consensus study on the evidence from observational studies. International journal of geriatric psychiatry. 2015 Mar;30(3):234-46.</w:t>
      </w:r>
    </w:p>
    <w:p w14:paraId="4360E20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Birks JS, Harvey RJ. Donepezil for dementia due to Alzheimer's disease. Cochrane Database of systematic reviews. 2018(6).</w:t>
      </w:r>
    </w:p>
    <w:p w14:paraId="76CC731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Hampel H, Mesulam MM, Cuello AC, Farlow MR, Giacobini E, Grossberg GT, Khachaturian AS, Vergallo A, Cavedo E, Snyder PJ, Khachaturian ZS. The cholinergic system in the pathophysiology and treatment of Alzheimer’s disease. Brain. 2018 Jul 1;141(7):1917-33.</w:t>
      </w:r>
    </w:p>
    <w:p w14:paraId="1C685B47"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 xml:space="preserve">McShane R, Westby MJ, Roberts E, Minakaran N, Schneider L, Farrimond LE, Maayan N, Ware J, Debarros J. Memantine for dementia. </w:t>
      </w:r>
      <w:r w:rsidRPr="00F8100A">
        <w:rPr>
          <w:rStyle w:val="Emphasis"/>
          <w:rFonts w:ascii="Times New Roman" w:hAnsi="Times New Roman" w:cs="Times New Roman"/>
          <w:sz w:val="24"/>
          <w:szCs w:val="24"/>
        </w:rPr>
        <w:t>Cochrane Database Syst Rev.</w:t>
      </w:r>
      <w:r w:rsidRPr="00F8100A">
        <w:rPr>
          <w:rFonts w:ascii="Times New Roman" w:hAnsi="Times New Roman" w:cs="Times New Roman"/>
          <w:sz w:val="24"/>
          <w:szCs w:val="24"/>
        </w:rPr>
        <w:t xml:space="preserve"> 2019 Mar 20;3(3):CD003154. doi:10.1002/14651858.CD003154.pub6. PMID:30891742; PMCID:PMC6425228.</w:t>
      </w:r>
    </w:p>
    <w:p w14:paraId="6A827A7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Tariot PN, Farlow MR, Grossberg GT, Graham SM, McDonald S, Gergel I, Memantine Study Group. Memantine treatment in patients with moderate to severe Alzheimer disease already receiving donepezil: a randomized controlled trial. Jama. 2004 Jan 21;291(3):317-24.</w:t>
      </w:r>
    </w:p>
    <w:p w14:paraId="2AA253D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Sevigny J, Chiao P, Bussière T, Weinreb PH, Williams L, Maier M, Dunstan R, Salloway S, Chen T, Ling Y, O’Gorman J. The antibody aducanumab reduces Aβ plaques in Alzheimer’s disease. Nature. 2016 Sep 1;537(7618):50-6.</w:t>
      </w:r>
    </w:p>
    <w:p w14:paraId="3076788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Van Dyck CH, Swanson CJ, Aisen P, Bateman RJ, Chen C, Gee M, Kanekiyo M, Li D, Reyderman L, Cohen S, Froelich L. Lecanemab in early Alzheimer’s disease. New England Journal of Medicine. 2023 Jan 5;388(1):9-21.</w:t>
      </w:r>
    </w:p>
    <w:p w14:paraId="4BFAB9B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Mintun MA, Lo AC, Duggan Evans C, Wessels AM, Ardayfio PA, Andersen SW, Shcherbinin S, Sparks J, Sims JR, Brys M, Apostolova LG. Donanemab in early Alzheimer’s disease. New England Journal of Medicine. 2021 May 6;384(18):1691-704.</w:t>
      </w:r>
    </w:p>
    <w:p w14:paraId="6CB2B5A8" w14:textId="3E628A62" w:rsidR="001C2656" w:rsidRPr="00D207E6"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Salloway S, Chalkias S, Barkhof F, Burkett P, Barakos J, Purcell D, Suhy J, Forrestal F, Tian Y, Umans K, Wang G. Amyloid-related imaging abnormalities in 2 phase 3 </w:t>
      </w:r>
      <w:r w:rsidRPr="00F8100A">
        <w:rPr>
          <w:rFonts w:ascii="Times New Roman" w:hAnsi="Times New Roman" w:cs="Times New Roman"/>
          <w:sz w:val="24"/>
          <w:szCs w:val="24"/>
          <w:shd w:val="clear" w:color="auto" w:fill="FFFFFF"/>
        </w:rPr>
        <w:lastRenderedPageBreak/>
        <w:t>studies evaluating aducanumab in patients with early Alzheimer disease. JAMA neurology. 2022 Jan;79(1):13-21.</w:t>
      </w:r>
    </w:p>
    <w:p w14:paraId="6563AA64" w14:textId="24D19588" w:rsidR="00D207E6" w:rsidRPr="00D207E6" w:rsidRDefault="00D207E6" w:rsidP="00D207E6">
      <w:pPr>
        <w:pStyle w:val="ListParagraph"/>
        <w:numPr>
          <w:ilvl w:val="0"/>
          <w:numId w:val="10"/>
        </w:numPr>
        <w:jc w:val="both"/>
        <w:rPr>
          <w:rFonts w:ascii="Times New Roman" w:hAnsi="Times New Roman" w:cs="Times New Roman"/>
          <w:color w:val="222222"/>
          <w:sz w:val="24"/>
          <w:szCs w:val="24"/>
          <w:shd w:val="clear" w:color="auto" w:fill="FFFFFF"/>
        </w:rPr>
      </w:pPr>
      <w:r w:rsidRPr="00D207E6">
        <w:rPr>
          <w:rFonts w:ascii="Times New Roman" w:hAnsi="Times New Roman" w:cs="Times New Roman"/>
          <w:color w:val="222222"/>
          <w:sz w:val="24"/>
          <w:szCs w:val="24"/>
          <w:shd w:val="clear" w:color="auto" w:fill="FFFFFF"/>
        </w:rPr>
        <w:t>Van Dyck CH, Swanson CJ, Aisen P, Bateman RJ, Chen C, Gee M, Kanekiyo M, Li D, Reyderman L, Cohen S, Froelich L. Lecanemab in early Alzheimer’s disease. New England Journal of Medicine. 2023 Jan 5;388(1):9-21.</w:t>
      </w:r>
    </w:p>
    <w:p w14:paraId="1EEFDFA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Congdon EE, Sigurdsson EM. Tau-targeting therapies for Alzheimer disease. Nature Reviews Neurology. 2018 Jul;14(7):399-415.</w:t>
      </w:r>
    </w:p>
    <w:p w14:paraId="7362BEA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Novak P, Schmidt R, Kontsekova E, Zilka N, Kovacech B, Skrabana R, Vince-Kazmerova Z, Katina S, Fialova L, Prcina M, Parrak V. Safety and immunogenicity of the tau vaccine AADvac1 in patients with Alzheimer's disease: a randomised, double-blind, placebo-controlled, phase 1 trial. The Lancet Neurology. 2017 Feb 1;16(2):123-34.</w:t>
      </w:r>
    </w:p>
    <w:p w14:paraId="2E3A3D4E"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Congdon EE, Ji C, Tetlow AM, Jiang Y, Sigurdsson EM. Tau-targeting therapies for Alzheimer disease: current status and future directions. Nature Reviews Neurology. 2023 Dec;19(12):715-36.</w:t>
      </w:r>
    </w:p>
    <w:p w14:paraId="0B4EAB6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Heneka MT, Golenbock DT, Latz E. Innate immunity in Alzheimer's disease. Nature immunology. 2015 Mar;16(3):229-36.</w:t>
      </w:r>
    </w:p>
    <w:p w14:paraId="6411A47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Selkoe DJ. Alzheimer's disease is a synaptic failure. Science. 2002 Oct 25;298(5594):789-91.</w:t>
      </w:r>
    </w:p>
    <w:p w14:paraId="13DF6F94"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Arnold SE, Arvanitakis Z, Macauley-Rambach SL, Koenig AM, Wang HY, Ahima RS, Craft S, Gandy S, Buettner C, Stoeckel LE, Holtzman DM. Brain insulin resistance in type 2 diabetes and Alzheimer disease: concepts and conundrums. Nature Reviews Neurology. 2018 Mar;14(3):168-81.</w:t>
      </w:r>
    </w:p>
    <w:p w14:paraId="7DC84E63" w14:textId="4F7DE29A" w:rsidR="001C2656" w:rsidRPr="005B7429"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Craft S, Raman R, Chow TW, Rafii MS, Sun CK, Rissman RA, Donohue MC, Brewer JB, Jenkins C, Harless K, Gessert D. Safety, efficacy, and feasibility of intranasal insulin for the treatment of mild cognitive impairment and Alzheimer disease dementia: a randomized clinical trial. JAMA neurology. 2020 Sep;77(9):1099-109.</w:t>
      </w:r>
    </w:p>
    <w:p w14:paraId="2B6B052A" w14:textId="4330D58B" w:rsidR="005B7429" w:rsidRPr="005B7429" w:rsidRDefault="005B7429" w:rsidP="00F8100A">
      <w:pPr>
        <w:pStyle w:val="ListParagraph"/>
        <w:numPr>
          <w:ilvl w:val="0"/>
          <w:numId w:val="10"/>
        </w:numPr>
        <w:jc w:val="both"/>
        <w:rPr>
          <w:rFonts w:ascii="Times New Roman" w:hAnsi="Times New Roman" w:cs="Times New Roman"/>
          <w:sz w:val="28"/>
          <w:szCs w:val="28"/>
        </w:rPr>
      </w:pPr>
      <w:r w:rsidRPr="005B7429">
        <w:rPr>
          <w:rFonts w:ascii="Times New Roman" w:hAnsi="Times New Roman" w:cs="Times New Roman"/>
          <w:color w:val="222222"/>
          <w:shd w:val="clear" w:color="auto" w:fill="FFFFFF"/>
        </w:rPr>
        <w:t>Folch J, Petrov D, Ettcheto M, Abad S, Sánchez-López E, García ML, Olloquequi J, Beas-Zarate C, Auladell C, Camins A. Current research therapeutic strategies for Alzheimer’s disease treatment. Neural plasticity. 2016;2016(1):8501693.</w:t>
      </w:r>
    </w:p>
    <w:p w14:paraId="0874331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Ngandu T, Lehtisalo J, Solomon A, Levälahti E, Ahtiluoto S, Antikainen R, Bäckman L, Hänninen T, Jula A, Laatikainen T, Lindström J. A 2 year multidomain intervention of diet, exercise, cognitive training, and vascular risk monitoring versus control to prevent cognitive decline in at-risk elderly people (FINGER): a randomised controlled trial. The Lancet. 2015 Jun 6;385(9984):2255-63.</w:t>
      </w:r>
    </w:p>
    <w:p w14:paraId="6CD7B378" w14:textId="0A7E3C87" w:rsidR="001C2656"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 xml:space="preserve">Traikapi A, Konstantinou N. Gamma oscillations in Alzheimer's disease and their potential therapeutic role. </w:t>
      </w:r>
      <w:r w:rsidRPr="00F8100A">
        <w:rPr>
          <w:rStyle w:val="Emphasis"/>
          <w:rFonts w:ascii="Times New Roman" w:hAnsi="Times New Roman" w:cs="Times New Roman"/>
          <w:sz w:val="24"/>
          <w:szCs w:val="24"/>
        </w:rPr>
        <w:t>Front Syst Neurosci.</w:t>
      </w:r>
      <w:r w:rsidRPr="00F8100A">
        <w:rPr>
          <w:rFonts w:ascii="Times New Roman" w:hAnsi="Times New Roman" w:cs="Times New Roman"/>
          <w:sz w:val="24"/>
          <w:szCs w:val="24"/>
        </w:rPr>
        <w:t xml:space="preserve"> 2021 Dec 13;15:782399. doi:10.3389/fnsys.2021.782399.</w:t>
      </w:r>
    </w:p>
    <w:p w14:paraId="27E4AC22" w14:textId="0AAC6AD3" w:rsidR="00D207E6" w:rsidRPr="00D207E6" w:rsidRDefault="00D207E6" w:rsidP="00F8100A">
      <w:pPr>
        <w:pStyle w:val="ListParagraph"/>
        <w:numPr>
          <w:ilvl w:val="0"/>
          <w:numId w:val="10"/>
        </w:numPr>
        <w:jc w:val="both"/>
        <w:rPr>
          <w:rFonts w:ascii="Times New Roman" w:hAnsi="Times New Roman" w:cs="Times New Roman"/>
          <w:sz w:val="32"/>
          <w:szCs w:val="32"/>
        </w:rPr>
      </w:pPr>
      <w:r w:rsidRPr="00D207E6">
        <w:rPr>
          <w:rFonts w:ascii="Times New Roman" w:hAnsi="Times New Roman" w:cs="Times New Roman"/>
          <w:color w:val="222222"/>
          <w:sz w:val="24"/>
          <w:szCs w:val="24"/>
          <w:shd w:val="clear" w:color="auto" w:fill="FFFFFF"/>
        </w:rPr>
        <w:t>Jakabek D, Isaacs AM, De Strooper B, Tuszynski M, Lane R, Uspenskaya O, McDade E, Rafii MS, Mummery CJ. CTAD taskforce: genetic therapies in Alzheimer’s disease. The journal of prevention of Alzheimer's disease. 2025 Jul 9:100269.</w:t>
      </w:r>
    </w:p>
    <w:p w14:paraId="2A0CE77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György B, Lööv C, Zaborowski MP, Takeda S, Kleinstiver BP, Commins C, Kastanenka K, Mu D, Volak A, Giedraitis V, Lannfelt L. CRISPR/Cas9 mediated disruption of the Swedish APP allele as a therapeutic approach for early-onset Alzheimer’s disease. Molecular therapy Nucleic acids. 2018 Jun 1;11:429-40.</w:t>
      </w:r>
    </w:p>
    <w:p w14:paraId="4C17ED22" w14:textId="17A5B911" w:rsidR="001C2656" w:rsidRPr="004246A0"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Hudry E, Vandenberghe LH. Therapeutic AAV gene transfer to the nervous system: a clinical reality. Neuron. 2019 Mar 6;101(5):839-62.</w:t>
      </w:r>
    </w:p>
    <w:p w14:paraId="4BB97EFE" w14:textId="0C8B1610" w:rsidR="004246A0" w:rsidRPr="004246A0" w:rsidRDefault="004246A0" w:rsidP="004246A0">
      <w:pPr>
        <w:pStyle w:val="ListParagraph"/>
        <w:numPr>
          <w:ilvl w:val="0"/>
          <w:numId w:val="10"/>
        </w:numPr>
        <w:jc w:val="both"/>
        <w:rPr>
          <w:rFonts w:ascii="Times New Roman" w:hAnsi="Times New Roman" w:cs="Times New Roman"/>
          <w:color w:val="222222"/>
          <w:sz w:val="24"/>
          <w:szCs w:val="24"/>
          <w:shd w:val="clear" w:color="auto" w:fill="FFFFFF"/>
        </w:rPr>
      </w:pPr>
      <w:r w:rsidRPr="004246A0">
        <w:rPr>
          <w:rFonts w:ascii="Times New Roman" w:hAnsi="Times New Roman" w:cs="Times New Roman"/>
          <w:color w:val="222222"/>
          <w:sz w:val="24"/>
          <w:szCs w:val="24"/>
          <w:shd w:val="clear" w:color="auto" w:fill="FFFFFF"/>
        </w:rPr>
        <w:lastRenderedPageBreak/>
        <w:t>Ou CM, Xue WW, Liu D, Ma L, Xie HT, Ning K. Stem cell therapy in Alzheimer’s disease: current status and perspectives. Frontiers in Neuroscience. 2024 Nov 21;18:1440334.</w:t>
      </w:r>
    </w:p>
    <w:p w14:paraId="4CF120B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Kim J, Lee Y, Lee S, Kim K, Song M, Lee J. Mesenchymal stem cell therapy and Alzheimer’s disease: current status and future perspectives. Journal of Alzheimer’s Disease. 2020 Sep 1;77(1):1-4.</w:t>
      </w:r>
    </w:p>
    <w:p w14:paraId="5980235B"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Squillaro T, Peluso G, Galderisi U. Clinical trials with mesenchymal stem cells: an update. Cell transplantation. 2016 May;25(5):829-48.</w:t>
      </w:r>
    </w:p>
    <w:p w14:paraId="23D939F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Ni H, Yang S, Siaw-Debrah F, Hu J, Wu K, He Z, Yang J, Pan S, Lin X, Ye H, Xu Z. Exosomes derived from bone mesenchymal stem cells ameliorate early inflammatory responses following traumatic brain injury. Frontiers in neuroscience. 2019 Jan 24;13:14.</w:t>
      </w:r>
    </w:p>
    <w:p w14:paraId="5F91A5C0" w14:textId="0FA2BE47" w:rsidR="001C2656" w:rsidRPr="00E942E9"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Zhang Y, Liu Y, Liu H, Tang WH. Exosomes: biogenesis, biologic function and clinical potential. Cell &amp; bioscience. 2019 Feb 15;9(1):19.</w:t>
      </w:r>
    </w:p>
    <w:p w14:paraId="716A5C84" w14:textId="41EF044C" w:rsidR="00E942E9" w:rsidRPr="00E942E9" w:rsidRDefault="00E942E9" w:rsidP="00E942E9">
      <w:pPr>
        <w:pStyle w:val="ListParagraph"/>
        <w:numPr>
          <w:ilvl w:val="0"/>
          <w:numId w:val="10"/>
        </w:numPr>
        <w:jc w:val="both"/>
        <w:rPr>
          <w:rFonts w:ascii="Times New Roman" w:hAnsi="Times New Roman" w:cs="Times New Roman"/>
          <w:sz w:val="24"/>
          <w:szCs w:val="24"/>
          <w:shd w:val="clear" w:color="auto" w:fill="FFFFFF"/>
        </w:rPr>
      </w:pPr>
      <w:r w:rsidRPr="00E942E9">
        <w:rPr>
          <w:rFonts w:ascii="Times New Roman" w:hAnsi="Times New Roman" w:cs="Times New Roman"/>
          <w:sz w:val="24"/>
          <w:szCs w:val="24"/>
          <w:shd w:val="clear" w:color="auto" w:fill="FFFFFF"/>
        </w:rPr>
        <w:t>Shen G, Xu X, Li M, Sun Z, Wei L, Deng Z, Lin Z, Huang J, Qi W, Xu J. The Clinical Trials Landscape for Alzheimer's Disease. CNS Neuroscience &amp; Therapeutics. 2025 Jun;31(6):e70492.</w:t>
      </w:r>
    </w:p>
    <w:p w14:paraId="71909B9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Lampit A, Hallock H, Valenzuela M. Computerized cognitive training in cognitively healthy older adults: a systematic review and meta-analysis of effect modifiers. PLoS medicine. 2014 Nov 18;11(11):e1001756.</w:t>
      </w:r>
    </w:p>
    <w:p w14:paraId="53AE4F84"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Kourtis LC, Regele OB, Wright JM, Jones GB. Digital biomarkers for Alzheimer’s disease: the mobile/wearable devices opportunity. NPJ digital medicine. 2019 Feb 21;2(1):9.</w:t>
      </w:r>
    </w:p>
    <w:p w14:paraId="612D5C6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Lefaucheur JP, Antal A, Ayache SS, Benninger DH, Brunelin J, Cogiamanian F, Cotelli M, De Ridder D, Ferrucci R, Langguth B, Marangolo P. Evidence-based guidelines on the therapeutic use of transcranial direct current stimulation (tDCS). Clinical neurophysiology. 2017 Jan 1;128(1):56-92.</w:t>
      </w:r>
    </w:p>
    <w:p w14:paraId="243FF43B"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Rutherford G, Lithgow B, Moussavi Z. Short and long-term effects of rTMS treatment on Alzheimer's disease at different stages: a pilot study. Journal of experimental neuroscience. 2015 Jan;9:JEN-S24004.</w:t>
      </w:r>
    </w:p>
    <w:p w14:paraId="4489301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Chan D, Suk HJ, Jackson BL, Milman NP, Stark D, Klerman EB, Kitchener E, Avalos VS, de Weck G, Banerjee A, Beach SD. Gamma frequency sensory stimulation in mild probable Alzheimer’s dementia patients: Results of feasibility and pilot studies. PloS one. 2022 Dec 1;17(12):e0278412.</w:t>
      </w:r>
    </w:p>
    <w:p w14:paraId="5E07703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Lozano AM, Fosdick L, Chakravarty MM, Leoutsakos JM, Munro C, Oh E, Drake KE, Lyman CH, Rosenberg PB, Anderson WS, Tang-Wai DF. A phase II study of fornix deep brain stimulation in mild Alzheimer’s disease. Journal of Alzheimer’s disease. 2016 Sep 6;54(2):777-87.</w:t>
      </w:r>
    </w:p>
    <w:p w14:paraId="5E6A051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Drummond E, Wisniewski T. Alzheimer’s disease: experimental models and reality. Acta neuropathologica. 2017 Feb;133(2):155-75.</w:t>
      </w:r>
    </w:p>
    <w:p w14:paraId="24513166"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Mehta D, Jackson R, Paul G, Shi J, Sabbagh M. Why do trials for Alzheimer’s disease drugs keep failing? A discontinued drug perspective for 2010-2015. Expert opinion on investigational drugs. 2017 Jun 3;26(6):735-9.</w:t>
      </w:r>
    </w:p>
    <w:p w14:paraId="59E0CFD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Hampel HO, O’Bryant SE, Castrillo JI, Ritchie C, Rojkova K, Broich K, Benda N, Nisticò R, Frank RA, Dubois B, Escott-Price V. Precision medicine-the golden gate for </w:t>
      </w:r>
      <w:r w:rsidRPr="00F8100A">
        <w:rPr>
          <w:rFonts w:ascii="Times New Roman" w:hAnsi="Times New Roman" w:cs="Times New Roman"/>
          <w:sz w:val="24"/>
          <w:szCs w:val="24"/>
          <w:shd w:val="clear" w:color="auto" w:fill="FFFFFF"/>
        </w:rPr>
        <w:lastRenderedPageBreak/>
        <w:t>detection, treatment and prevention of Alzheimer’s disease. The journal of prevention of Alzheimer's disease. 2016 Sep 6;3(4):243.</w:t>
      </w:r>
    </w:p>
    <w:p w14:paraId="2091AD3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Sperling RA, Aisen PS, Beckett LA, Bennett DA, Craft S, Fagan AM, Iwatsubo T, Jack Jr CR, Kaye J, Montine TJ, Park DC. Toward defining the preclinical stages of Alzheimer’s disease: Recommendations from the National Institute on Aging-Alzheimer's Association workgroups on diagnostic guidelines for Alzheimer's disease. Alzheimer's &amp; dementia. 2011 May 1;7(3):280-92.</w:t>
      </w:r>
    </w:p>
    <w:p w14:paraId="0FAEEF7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Hampel H, Cummings J, Blennow K, Gao P, Jack Jr CR, Vergallo A. Developing the ATX (N) classification for use across the Alzheimer disease continuum. Nature Reviews Neurology. 2021 Sep;17(9):580-9.</w:t>
      </w:r>
    </w:p>
    <w:p w14:paraId="4525BC4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Cummings J, Lee G, Zhong K, Fonseca J, Taghva K. Alzheimer's disease drug development pipeline: 2021. Alzheimer's &amp; Dementia: Translational Research &amp; Clinical Interventions. 2021;7(1):e12179.</w:t>
      </w:r>
    </w:p>
    <w:p w14:paraId="7230BFFE" w14:textId="2C056D53"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Grill JD, Karlawish J. Addressing the challenges to successful recruitment and retention in Alzheimer's disease clinical trials. Alzheimer's research &amp; therapy. 2010 Oct;2(6):34.</w:t>
      </w:r>
    </w:p>
    <w:sectPr w:rsidR="001C2656" w:rsidRPr="00F810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066" w14:textId="77777777" w:rsidR="000246D6" w:rsidRDefault="000246D6" w:rsidP="00C11A7F">
      <w:pPr>
        <w:spacing w:after="0" w:line="240" w:lineRule="auto"/>
      </w:pPr>
      <w:r>
        <w:separator/>
      </w:r>
    </w:p>
  </w:endnote>
  <w:endnote w:type="continuationSeparator" w:id="0">
    <w:p w14:paraId="2D26E2C2" w14:textId="77777777" w:rsidR="000246D6" w:rsidRDefault="000246D6" w:rsidP="00C1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456E" w14:textId="77777777" w:rsidR="007E3E41" w:rsidRDefault="007E3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38712"/>
      <w:docPartObj>
        <w:docPartGallery w:val="Page Numbers (Bottom of Page)"/>
        <w:docPartUnique/>
      </w:docPartObj>
    </w:sdtPr>
    <w:sdtEndPr>
      <w:rPr>
        <w:noProof/>
      </w:rPr>
    </w:sdtEndPr>
    <w:sdtContent>
      <w:p w14:paraId="57987B60" w14:textId="1C6B8971" w:rsidR="00C11A7F" w:rsidRDefault="00C11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7108" w14:textId="77777777" w:rsidR="007E3E41" w:rsidRDefault="007E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515E" w14:textId="77777777" w:rsidR="000246D6" w:rsidRDefault="000246D6" w:rsidP="00C11A7F">
      <w:pPr>
        <w:spacing w:after="0" w:line="240" w:lineRule="auto"/>
      </w:pPr>
      <w:r>
        <w:separator/>
      </w:r>
    </w:p>
  </w:footnote>
  <w:footnote w:type="continuationSeparator" w:id="0">
    <w:p w14:paraId="74D29EBA" w14:textId="77777777" w:rsidR="000246D6" w:rsidRDefault="000246D6" w:rsidP="00C1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7E0F" w14:textId="138FE7D6" w:rsidR="007E3E41" w:rsidRDefault="00000000">
    <w:pPr>
      <w:pStyle w:val="Header"/>
    </w:pPr>
    <w:r>
      <w:rPr>
        <w:noProof/>
      </w:rPr>
      <w:pict w14:anchorId="7487A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9942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2BC1" w14:textId="073EC527" w:rsidR="007E3E41" w:rsidRDefault="00000000">
    <w:pPr>
      <w:pStyle w:val="Header"/>
    </w:pPr>
    <w:r>
      <w:rPr>
        <w:noProof/>
      </w:rPr>
      <w:pict w14:anchorId="1129A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9942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4104" w14:textId="0541EA11" w:rsidR="007E3E41" w:rsidRDefault="00000000">
    <w:pPr>
      <w:pStyle w:val="Header"/>
    </w:pPr>
    <w:r>
      <w:rPr>
        <w:noProof/>
      </w:rPr>
      <w:pict w14:anchorId="716D3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9942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81"/>
    <w:multiLevelType w:val="hybridMultilevel"/>
    <w:tmpl w:val="315AB7F6"/>
    <w:lvl w:ilvl="0" w:tplc="CA80498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B54220"/>
    <w:multiLevelType w:val="hybridMultilevel"/>
    <w:tmpl w:val="F0580B14"/>
    <w:lvl w:ilvl="0" w:tplc="4009000F">
      <w:start w:val="1"/>
      <w:numFmt w:val="decimal"/>
      <w:lvlText w:val="%1."/>
      <w:lvlJc w:val="left"/>
      <w:pPr>
        <w:ind w:left="1495" w:hanging="360"/>
      </w:p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2" w15:restartNumberingAfterBreak="0">
    <w:nsid w:val="09006B13"/>
    <w:multiLevelType w:val="hybridMultilevel"/>
    <w:tmpl w:val="ED742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E3063E"/>
    <w:multiLevelType w:val="hybridMultilevel"/>
    <w:tmpl w:val="3E6882B4"/>
    <w:lvl w:ilvl="0" w:tplc="40090001">
      <w:start w:val="1"/>
      <w:numFmt w:val="bullet"/>
      <w:lvlText w:val=""/>
      <w:lvlJc w:val="left"/>
      <w:pPr>
        <w:ind w:left="958" w:hanging="360"/>
      </w:pPr>
      <w:rPr>
        <w:rFonts w:ascii="Symbol" w:hAnsi="Symbol" w:hint="default"/>
      </w:rPr>
    </w:lvl>
    <w:lvl w:ilvl="1" w:tplc="40090003" w:tentative="1">
      <w:start w:val="1"/>
      <w:numFmt w:val="bullet"/>
      <w:lvlText w:val="o"/>
      <w:lvlJc w:val="left"/>
      <w:pPr>
        <w:ind w:left="1678" w:hanging="360"/>
      </w:pPr>
      <w:rPr>
        <w:rFonts w:ascii="Courier New" w:hAnsi="Courier New" w:cs="Courier New" w:hint="default"/>
      </w:rPr>
    </w:lvl>
    <w:lvl w:ilvl="2" w:tplc="40090005" w:tentative="1">
      <w:start w:val="1"/>
      <w:numFmt w:val="bullet"/>
      <w:lvlText w:val=""/>
      <w:lvlJc w:val="left"/>
      <w:pPr>
        <w:ind w:left="2398" w:hanging="360"/>
      </w:pPr>
      <w:rPr>
        <w:rFonts w:ascii="Wingdings" w:hAnsi="Wingdings" w:hint="default"/>
      </w:rPr>
    </w:lvl>
    <w:lvl w:ilvl="3" w:tplc="40090001" w:tentative="1">
      <w:start w:val="1"/>
      <w:numFmt w:val="bullet"/>
      <w:lvlText w:val=""/>
      <w:lvlJc w:val="left"/>
      <w:pPr>
        <w:ind w:left="3118" w:hanging="360"/>
      </w:pPr>
      <w:rPr>
        <w:rFonts w:ascii="Symbol" w:hAnsi="Symbol" w:hint="default"/>
      </w:rPr>
    </w:lvl>
    <w:lvl w:ilvl="4" w:tplc="40090003" w:tentative="1">
      <w:start w:val="1"/>
      <w:numFmt w:val="bullet"/>
      <w:lvlText w:val="o"/>
      <w:lvlJc w:val="left"/>
      <w:pPr>
        <w:ind w:left="3838" w:hanging="360"/>
      </w:pPr>
      <w:rPr>
        <w:rFonts w:ascii="Courier New" w:hAnsi="Courier New" w:cs="Courier New" w:hint="default"/>
      </w:rPr>
    </w:lvl>
    <w:lvl w:ilvl="5" w:tplc="40090005" w:tentative="1">
      <w:start w:val="1"/>
      <w:numFmt w:val="bullet"/>
      <w:lvlText w:val=""/>
      <w:lvlJc w:val="left"/>
      <w:pPr>
        <w:ind w:left="4558" w:hanging="360"/>
      </w:pPr>
      <w:rPr>
        <w:rFonts w:ascii="Wingdings" w:hAnsi="Wingdings" w:hint="default"/>
      </w:rPr>
    </w:lvl>
    <w:lvl w:ilvl="6" w:tplc="40090001" w:tentative="1">
      <w:start w:val="1"/>
      <w:numFmt w:val="bullet"/>
      <w:lvlText w:val=""/>
      <w:lvlJc w:val="left"/>
      <w:pPr>
        <w:ind w:left="5278" w:hanging="360"/>
      </w:pPr>
      <w:rPr>
        <w:rFonts w:ascii="Symbol" w:hAnsi="Symbol" w:hint="default"/>
      </w:rPr>
    </w:lvl>
    <w:lvl w:ilvl="7" w:tplc="40090003" w:tentative="1">
      <w:start w:val="1"/>
      <w:numFmt w:val="bullet"/>
      <w:lvlText w:val="o"/>
      <w:lvlJc w:val="left"/>
      <w:pPr>
        <w:ind w:left="5998" w:hanging="360"/>
      </w:pPr>
      <w:rPr>
        <w:rFonts w:ascii="Courier New" w:hAnsi="Courier New" w:cs="Courier New" w:hint="default"/>
      </w:rPr>
    </w:lvl>
    <w:lvl w:ilvl="8" w:tplc="40090005" w:tentative="1">
      <w:start w:val="1"/>
      <w:numFmt w:val="bullet"/>
      <w:lvlText w:val=""/>
      <w:lvlJc w:val="left"/>
      <w:pPr>
        <w:ind w:left="6718" w:hanging="360"/>
      </w:pPr>
      <w:rPr>
        <w:rFonts w:ascii="Wingdings" w:hAnsi="Wingdings" w:hint="default"/>
      </w:rPr>
    </w:lvl>
  </w:abstractNum>
  <w:abstractNum w:abstractNumId="4" w15:restartNumberingAfterBreak="0">
    <w:nsid w:val="230D6DE9"/>
    <w:multiLevelType w:val="hybridMultilevel"/>
    <w:tmpl w:val="61767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CF1EFD"/>
    <w:multiLevelType w:val="hybridMultilevel"/>
    <w:tmpl w:val="F252E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BA6D52"/>
    <w:multiLevelType w:val="hybridMultilevel"/>
    <w:tmpl w:val="854641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5E71DA4"/>
    <w:multiLevelType w:val="hybridMultilevel"/>
    <w:tmpl w:val="BF00F1AE"/>
    <w:lvl w:ilvl="0" w:tplc="EA00B76E">
      <w:start w:val="30"/>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087E6E"/>
    <w:multiLevelType w:val="hybridMultilevel"/>
    <w:tmpl w:val="CFD470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05B20DA"/>
    <w:multiLevelType w:val="multilevel"/>
    <w:tmpl w:val="F9E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17FFD"/>
    <w:multiLevelType w:val="hybridMultilevel"/>
    <w:tmpl w:val="21947F50"/>
    <w:lvl w:ilvl="0" w:tplc="B8A879EA">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88F487F"/>
    <w:multiLevelType w:val="hybridMultilevel"/>
    <w:tmpl w:val="FA9A8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447B37"/>
    <w:multiLevelType w:val="hybridMultilevel"/>
    <w:tmpl w:val="767AB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0175DD"/>
    <w:multiLevelType w:val="hybridMultilevel"/>
    <w:tmpl w:val="87320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39C00E8"/>
    <w:multiLevelType w:val="hybridMultilevel"/>
    <w:tmpl w:val="DC5C4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8218235">
    <w:abstractNumId w:val="2"/>
  </w:num>
  <w:num w:numId="2" w16cid:durableId="70465516">
    <w:abstractNumId w:val="6"/>
  </w:num>
  <w:num w:numId="3" w16cid:durableId="1285311285">
    <w:abstractNumId w:val="8"/>
  </w:num>
  <w:num w:numId="4" w16cid:durableId="1865896961">
    <w:abstractNumId w:val="4"/>
  </w:num>
  <w:num w:numId="5" w16cid:durableId="439647567">
    <w:abstractNumId w:val="3"/>
  </w:num>
  <w:num w:numId="6" w16cid:durableId="754741056">
    <w:abstractNumId w:val="13"/>
  </w:num>
  <w:num w:numId="7" w16cid:durableId="1128627427">
    <w:abstractNumId w:val="0"/>
  </w:num>
  <w:num w:numId="8" w16cid:durableId="68622822">
    <w:abstractNumId w:val="7"/>
  </w:num>
  <w:num w:numId="9" w16cid:durableId="287199124">
    <w:abstractNumId w:val="1"/>
  </w:num>
  <w:num w:numId="10" w16cid:durableId="1428848311">
    <w:abstractNumId w:val="10"/>
  </w:num>
  <w:num w:numId="11" w16cid:durableId="1213495114">
    <w:abstractNumId w:val="9"/>
  </w:num>
  <w:num w:numId="12" w16cid:durableId="519053983">
    <w:abstractNumId w:val="11"/>
  </w:num>
  <w:num w:numId="13" w16cid:durableId="442263026">
    <w:abstractNumId w:val="5"/>
  </w:num>
  <w:num w:numId="14" w16cid:durableId="293413375">
    <w:abstractNumId w:val="14"/>
  </w:num>
  <w:num w:numId="15" w16cid:durableId="1224214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DA"/>
    <w:rsid w:val="00004754"/>
    <w:rsid w:val="00011459"/>
    <w:rsid w:val="0002456E"/>
    <w:rsid w:val="000246D6"/>
    <w:rsid w:val="000717D8"/>
    <w:rsid w:val="000A2D60"/>
    <w:rsid w:val="000A4192"/>
    <w:rsid w:val="000B7CE7"/>
    <w:rsid w:val="00115003"/>
    <w:rsid w:val="00127160"/>
    <w:rsid w:val="00130C1E"/>
    <w:rsid w:val="00142761"/>
    <w:rsid w:val="00144AED"/>
    <w:rsid w:val="001A02C1"/>
    <w:rsid w:val="001A17EF"/>
    <w:rsid w:val="001C0D92"/>
    <w:rsid w:val="001C2656"/>
    <w:rsid w:val="001D05C3"/>
    <w:rsid w:val="001D6FAE"/>
    <w:rsid w:val="001D73E8"/>
    <w:rsid w:val="001E3338"/>
    <w:rsid w:val="002045F6"/>
    <w:rsid w:val="00251158"/>
    <w:rsid w:val="00262BB9"/>
    <w:rsid w:val="002770B0"/>
    <w:rsid w:val="002B48C8"/>
    <w:rsid w:val="002C4CF5"/>
    <w:rsid w:val="00302E74"/>
    <w:rsid w:val="00314DE0"/>
    <w:rsid w:val="00334AE8"/>
    <w:rsid w:val="00351AD5"/>
    <w:rsid w:val="00351C7C"/>
    <w:rsid w:val="00353613"/>
    <w:rsid w:val="00366CC2"/>
    <w:rsid w:val="003A2653"/>
    <w:rsid w:val="004216A1"/>
    <w:rsid w:val="004246A0"/>
    <w:rsid w:val="004551BF"/>
    <w:rsid w:val="004A4C5A"/>
    <w:rsid w:val="004B168F"/>
    <w:rsid w:val="004E6AE2"/>
    <w:rsid w:val="004F5719"/>
    <w:rsid w:val="00530D15"/>
    <w:rsid w:val="00561D73"/>
    <w:rsid w:val="005729CC"/>
    <w:rsid w:val="0059016E"/>
    <w:rsid w:val="005904A2"/>
    <w:rsid w:val="005968D5"/>
    <w:rsid w:val="005B0095"/>
    <w:rsid w:val="005B2F3A"/>
    <w:rsid w:val="005B7429"/>
    <w:rsid w:val="005D673F"/>
    <w:rsid w:val="006205D9"/>
    <w:rsid w:val="006337AF"/>
    <w:rsid w:val="00646C62"/>
    <w:rsid w:val="006763D0"/>
    <w:rsid w:val="006C5BB1"/>
    <w:rsid w:val="006D0E94"/>
    <w:rsid w:val="006D6C2B"/>
    <w:rsid w:val="006E073A"/>
    <w:rsid w:val="006E0989"/>
    <w:rsid w:val="006F35B3"/>
    <w:rsid w:val="00733B86"/>
    <w:rsid w:val="007475A8"/>
    <w:rsid w:val="00756060"/>
    <w:rsid w:val="0076439D"/>
    <w:rsid w:val="007B2642"/>
    <w:rsid w:val="007B6631"/>
    <w:rsid w:val="007E3E41"/>
    <w:rsid w:val="007F132A"/>
    <w:rsid w:val="007F6434"/>
    <w:rsid w:val="0080655B"/>
    <w:rsid w:val="0083032B"/>
    <w:rsid w:val="008A1D84"/>
    <w:rsid w:val="008A2764"/>
    <w:rsid w:val="008B2909"/>
    <w:rsid w:val="008B6185"/>
    <w:rsid w:val="009631B0"/>
    <w:rsid w:val="00966ACE"/>
    <w:rsid w:val="00974F8B"/>
    <w:rsid w:val="009C0301"/>
    <w:rsid w:val="00A060CA"/>
    <w:rsid w:val="00A063CE"/>
    <w:rsid w:val="00A12F25"/>
    <w:rsid w:val="00A15CB7"/>
    <w:rsid w:val="00A271E1"/>
    <w:rsid w:val="00A37E83"/>
    <w:rsid w:val="00A46A60"/>
    <w:rsid w:val="00A65B98"/>
    <w:rsid w:val="00A92157"/>
    <w:rsid w:val="00AB078B"/>
    <w:rsid w:val="00AB10DA"/>
    <w:rsid w:val="00AB1BC9"/>
    <w:rsid w:val="00B13B37"/>
    <w:rsid w:val="00B638A4"/>
    <w:rsid w:val="00B71C00"/>
    <w:rsid w:val="00BB6920"/>
    <w:rsid w:val="00BD3DB8"/>
    <w:rsid w:val="00BE65EA"/>
    <w:rsid w:val="00C01458"/>
    <w:rsid w:val="00C11A7F"/>
    <w:rsid w:val="00C372B3"/>
    <w:rsid w:val="00C43E38"/>
    <w:rsid w:val="00C800EC"/>
    <w:rsid w:val="00CC2E2C"/>
    <w:rsid w:val="00D10EA5"/>
    <w:rsid w:val="00D207E6"/>
    <w:rsid w:val="00D413CC"/>
    <w:rsid w:val="00D612FC"/>
    <w:rsid w:val="00D647BC"/>
    <w:rsid w:val="00DA0197"/>
    <w:rsid w:val="00DA7ED0"/>
    <w:rsid w:val="00DC334D"/>
    <w:rsid w:val="00DD6989"/>
    <w:rsid w:val="00DE003B"/>
    <w:rsid w:val="00DE6416"/>
    <w:rsid w:val="00DF0699"/>
    <w:rsid w:val="00DF154E"/>
    <w:rsid w:val="00DF77D6"/>
    <w:rsid w:val="00E67AC0"/>
    <w:rsid w:val="00E942E9"/>
    <w:rsid w:val="00EB6154"/>
    <w:rsid w:val="00EC0AFF"/>
    <w:rsid w:val="00F13791"/>
    <w:rsid w:val="00F272AB"/>
    <w:rsid w:val="00F31455"/>
    <w:rsid w:val="00F54894"/>
    <w:rsid w:val="00F8100A"/>
    <w:rsid w:val="00F84F18"/>
    <w:rsid w:val="00FA51B5"/>
    <w:rsid w:val="00FB33E7"/>
    <w:rsid w:val="00FC2F0F"/>
    <w:rsid w:val="00FD7C3D"/>
    <w:rsid w:val="00FE6408"/>
    <w:rsid w:val="00FF6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C888"/>
  <w15:chartTrackingRefBased/>
  <w15:docId w15:val="{64A06858-E69A-45BE-9BF3-41CB8C97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C3D"/>
    <w:rPr>
      <w:color w:val="808080"/>
    </w:rPr>
  </w:style>
  <w:style w:type="paragraph" w:styleId="ListParagraph">
    <w:name w:val="List Paragraph"/>
    <w:basedOn w:val="Normal"/>
    <w:uiPriority w:val="34"/>
    <w:qFormat/>
    <w:rsid w:val="00EC0AFF"/>
    <w:pPr>
      <w:ind w:left="720"/>
      <w:contextualSpacing/>
    </w:pPr>
  </w:style>
  <w:style w:type="table" w:styleId="TableGrid">
    <w:name w:val="Table Grid"/>
    <w:basedOn w:val="TableNormal"/>
    <w:uiPriority w:val="39"/>
    <w:rsid w:val="00FF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656"/>
    <w:rPr>
      <w:color w:val="0563C1" w:themeColor="hyperlink"/>
      <w:u w:val="single"/>
    </w:rPr>
  </w:style>
  <w:style w:type="character" w:styleId="Emphasis">
    <w:name w:val="Emphasis"/>
    <w:basedOn w:val="DefaultParagraphFont"/>
    <w:uiPriority w:val="20"/>
    <w:qFormat/>
    <w:rsid w:val="001C2656"/>
    <w:rPr>
      <w:i/>
      <w:iCs/>
    </w:rPr>
  </w:style>
  <w:style w:type="paragraph" w:styleId="NormalWeb">
    <w:name w:val="Normal (Web)"/>
    <w:basedOn w:val="Normal"/>
    <w:uiPriority w:val="99"/>
    <w:unhideWhenUsed/>
    <w:rsid w:val="00351AD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1AD5"/>
    <w:rPr>
      <w:b/>
      <w:bCs/>
    </w:rPr>
  </w:style>
  <w:style w:type="paragraph" w:customStyle="1" w:styleId="isselectedend">
    <w:name w:val="isselectedend"/>
    <w:basedOn w:val="Normal"/>
    <w:rsid w:val="00530D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6205D9"/>
    <w:rPr>
      <w:color w:val="605E5C"/>
      <w:shd w:val="clear" w:color="auto" w:fill="E1DFDD"/>
    </w:rPr>
  </w:style>
  <w:style w:type="character" w:customStyle="1" w:styleId="bzpyqfadein">
    <w:name w:val="bz_pyq_fadein"/>
    <w:basedOn w:val="DefaultParagraphFont"/>
    <w:rsid w:val="005B0095"/>
  </w:style>
  <w:style w:type="paragraph" w:styleId="Header">
    <w:name w:val="header"/>
    <w:basedOn w:val="Normal"/>
    <w:link w:val="HeaderChar"/>
    <w:uiPriority w:val="99"/>
    <w:unhideWhenUsed/>
    <w:rsid w:val="00C11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A7F"/>
  </w:style>
  <w:style w:type="paragraph" w:styleId="Footer">
    <w:name w:val="footer"/>
    <w:basedOn w:val="Normal"/>
    <w:link w:val="FooterChar"/>
    <w:unhideWhenUsed/>
    <w:rsid w:val="00C11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7F"/>
  </w:style>
  <w:style w:type="character" w:customStyle="1" w:styleId="rounded-sm">
    <w:name w:val="rounded-sm"/>
    <w:basedOn w:val="DefaultParagraphFont"/>
    <w:rsid w:val="0073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publications/i/item/97892415505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18</Pages>
  <Words>8635</Words>
  <Characters>49223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 Samiul</dc:creator>
  <cp:keywords/>
  <dc:description/>
  <cp:lastModifiedBy>Editor Acc 101</cp:lastModifiedBy>
  <cp:revision>75</cp:revision>
  <cp:lastPrinted>2026-03-18T06:38:00Z</cp:lastPrinted>
  <dcterms:created xsi:type="dcterms:W3CDTF">2025-11-29T14:11:00Z</dcterms:created>
  <dcterms:modified xsi:type="dcterms:W3CDTF">2026-04-17T13:12:00Z</dcterms:modified>
</cp:coreProperties>
</file>