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05672" w14:textId="7D75274B" w:rsidR="00974103" w:rsidRPr="00974103" w:rsidRDefault="00974103" w:rsidP="00886AFE">
      <w:pPr>
        <w:spacing w:line="360" w:lineRule="auto"/>
        <w:rPr>
          <w:rFonts w:ascii="Times New Roman" w:eastAsia="Times New Roman" w:hAnsi="Times New Roman" w:cs="Times New Roman"/>
          <w:b/>
          <w:bCs/>
          <w:sz w:val="28"/>
          <w:szCs w:val="28"/>
          <w:u w:val="single"/>
          <w:lang w:val="en-US"/>
        </w:rPr>
      </w:pPr>
      <w:r w:rsidRPr="00974103">
        <w:rPr>
          <w:rFonts w:ascii="Times New Roman" w:eastAsia="Times New Roman" w:hAnsi="Times New Roman" w:cs="Times New Roman"/>
          <w:b/>
          <w:bCs/>
          <w:sz w:val="28"/>
          <w:szCs w:val="28"/>
          <w:u w:val="single"/>
          <w:lang w:val="en-US"/>
        </w:rPr>
        <w:t>Review Article</w:t>
      </w:r>
    </w:p>
    <w:p w14:paraId="34CF7372" w14:textId="02E7A70D" w:rsidR="00886AFE" w:rsidRPr="00886AFE" w:rsidRDefault="00886AFE" w:rsidP="00886AFE">
      <w:pPr>
        <w:spacing w:line="360" w:lineRule="auto"/>
        <w:rPr>
          <w:rFonts w:ascii="Times New Roman" w:eastAsia="Times New Roman" w:hAnsi="Times New Roman" w:cs="Times New Roman"/>
          <w:b/>
          <w:bCs/>
          <w:sz w:val="28"/>
          <w:szCs w:val="28"/>
        </w:rPr>
      </w:pPr>
      <w:r w:rsidRPr="00886AFE">
        <w:rPr>
          <w:rFonts w:ascii="Times New Roman" w:eastAsia="Times New Roman" w:hAnsi="Times New Roman" w:cs="Times New Roman"/>
          <w:b/>
          <w:bCs/>
          <w:sz w:val="28"/>
          <w:szCs w:val="28"/>
          <w:lang w:val="en-US"/>
        </w:rPr>
        <w:t>Regenerative and Cellular Therapies in Arthritis: Mechanisms, Clinical Evidence and Translational Challenges</w:t>
      </w:r>
    </w:p>
    <w:p w14:paraId="1BD2E4CE" w14:textId="25DDA9EB" w:rsidR="00974103" w:rsidRDefault="00974103" w:rsidP="00B64422">
      <w:pPr>
        <w:spacing w:line="360" w:lineRule="auto"/>
        <w:rPr>
          <w:rFonts w:ascii="Times New Roman" w:eastAsia="Times New Roman" w:hAnsi="Times New Roman" w:cs="Times New Roman"/>
          <w:b/>
          <w:bCs/>
          <w:sz w:val="24"/>
          <w:szCs w:val="24"/>
        </w:rPr>
      </w:pPr>
    </w:p>
    <w:p w14:paraId="35C72E13" w14:textId="441E078E" w:rsidR="00C512CC" w:rsidRDefault="00C512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659FEF5A" w14:textId="732CC2BD" w:rsidR="00C512CC" w:rsidRDefault="00C512CC">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Background:</w:t>
      </w:r>
    </w:p>
    <w:p w14:paraId="18D6CD48" w14:textId="77777777" w:rsidR="00C512CC" w:rsidRDefault="00C512CC" w:rsidP="00C512CC">
      <w:pPr>
        <w:spacing w:line="360" w:lineRule="auto"/>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Arthritis, and especially osteoarthritis and rheumatoid arthritis, contribute to chronic pain and disability and diminished quality of life on a global scale. Treatment approaches that are used currently seem to be based mainly on treating the symptoms without repairing the structures or modifying the disease, making regenerative approaches important.</w:t>
      </w:r>
    </w:p>
    <w:p w14:paraId="389E7FAD" w14:textId="70AC30BE" w:rsidR="00C512CC" w:rsidRPr="00C512CC" w:rsidRDefault="00C512CC" w:rsidP="00C512CC">
      <w:pPr>
        <w:spacing w:line="360" w:lineRule="auto"/>
        <w:rPr>
          <w:rFonts w:ascii="Times New Roman" w:eastAsia="Times New Roman" w:hAnsi="Times New Roman" w:cs="Times New Roman"/>
          <w:sz w:val="24"/>
          <w:szCs w:val="24"/>
        </w:rPr>
      </w:pPr>
      <w:r w:rsidRPr="00C512CC">
        <w:rPr>
          <w:rFonts w:ascii="Times New Roman" w:eastAsia="Times New Roman" w:hAnsi="Times New Roman" w:cs="Times New Roman"/>
          <w:b/>
          <w:bCs/>
          <w:sz w:val="24"/>
          <w:szCs w:val="24"/>
        </w:rPr>
        <w:t>Aim:</w:t>
      </w:r>
    </w:p>
    <w:p w14:paraId="0B05E1CF" w14:textId="322633AE" w:rsidR="00C512CC" w:rsidRPr="00C512CC" w:rsidRDefault="00C512CC" w:rsidP="00C512CC">
      <w:pPr>
        <w:spacing w:line="360" w:lineRule="auto"/>
        <w:jc w:val="both"/>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 xml:space="preserve">This review </w:t>
      </w:r>
      <w:r>
        <w:rPr>
          <w:rFonts w:ascii="Times New Roman" w:eastAsia="Times New Roman" w:hAnsi="Times New Roman" w:cs="Times New Roman"/>
          <w:sz w:val="24"/>
          <w:szCs w:val="24"/>
        </w:rPr>
        <w:t>will synthesize and critically assess regenerative and cellular therapies in arthritis, their mechanisms, clinical trials, limitations, and potential to be used in translation.</w:t>
      </w:r>
    </w:p>
    <w:p w14:paraId="5164FB59" w14:textId="6437758B"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Materials and Methods:</w:t>
      </w:r>
    </w:p>
    <w:p w14:paraId="7E3C067F" w14:textId="61BB0C7F" w:rsidR="00BE5252" w:rsidRPr="00BE5252" w:rsidRDefault="00BE5252" w:rsidP="00BE5252">
      <w:pPr>
        <w:spacing w:line="360" w:lineRule="auto"/>
        <w:jc w:val="both"/>
        <w:rPr>
          <w:rFonts w:ascii="Times New Roman" w:eastAsia="Times New Roman" w:hAnsi="Times New Roman" w:cs="Times New Roman"/>
          <w:sz w:val="24"/>
          <w:szCs w:val="24"/>
        </w:rPr>
      </w:pPr>
      <w:r w:rsidRPr="00BE5252">
        <w:rPr>
          <w:rFonts w:ascii="Times New Roman" w:eastAsia="Times New Roman" w:hAnsi="Times New Roman" w:cs="Times New Roman"/>
          <w:sz w:val="24"/>
          <w:szCs w:val="24"/>
          <w:highlight w:val="yellow"/>
        </w:rPr>
        <w:t>A comprehensive narrative literature review was conducted using electronic databases, including PubMed, Scopus, and Web of Science. The review comprised preclinical studies, randomized controlled trials, and clinical studies focusing on cell-based therapies, biological adjuncts, tissue engineering strategies, and gene therapy approaches in arthritis. Relevant articles published between 2010 and 202</w:t>
      </w:r>
      <w:r>
        <w:rPr>
          <w:rFonts w:ascii="Times New Roman" w:eastAsia="Times New Roman" w:hAnsi="Times New Roman" w:cs="Times New Roman"/>
          <w:sz w:val="24"/>
          <w:szCs w:val="24"/>
          <w:highlight w:val="yellow"/>
        </w:rPr>
        <w:t>6</w:t>
      </w:r>
      <w:r w:rsidRPr="00BE5252">
        <w:rPr>
          <w:rFonts w:ascii="Times New Roman" w:eastAsia="Times New Roman" w:hAnsi="Times New Roman" w:cs="Times New Roman"/>
          <w:sz w:val="24"/>
          <w:szCs w:val="24"/>
          <w:highlight w:val="yellow"/>
        </w:rPr>
        <w:t xml:space="preserve"> were identified using keywords such as “arthritis,” “mesenchymal stem cells,” “regenerative therapy,” “platelet-rich plasma,” and “extracellular vesicles,” with Boolean operators applied to refine the search. Studies were selected based on relevance, methodological quality, and availability in English, while non-relevant and non-peer-reviewed articles were excluded.</w:t>
      </w:r>
    </w:p>
    <w:p w14:paraId="66DEA142" w14:textId="5A51CFCD"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Findings:</w:t>
      </w:r>
    </w:p>
    <w:p w14:paraId="5622AE96" w14:textId="4F7AA78A" w:rsidR="00C512CC" w:rsidRDefault="007D7994" w:rsidP="00C512C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therapies derived from mesenchymal stem cells, autologous chondrocyte implantation, and induced pluripotent stem cells show promise in terms of cartilage regeneration and immunomodulation. The cell-free strategies, such as platelet-rich plasma, as well as extracellular vesicles, have promising anti-inflammatory and regenerative properties. Better therapeutic outcomes are achieved through the use of biomaterial scaffolds, tissue engineering, </w:t>
      </w:r>
      <w:r>
        <w:rPr>
          <w:rFonts w:ascii="Times New Roman" w:eastAsia="Times New Roman" w:hAnsi="Times New Roman" w:cs="Times New Roman"/>
          <w:sz w:val="24"/>
          <w:szCs w:val="24"/>
        </w:rPr>
        <w:lastRenderedPageBreak/>
        <w:t>and gene therapy. Nevertheless, the clinical evidence is still divided, and some of the shortcomings comprise cell source variations</w:t>
      </w:r>
      <w:r w:rsidR="00D3721B">
        <w:rPr>
          <w:rFonts w:ascii="Times New Roman" w:eastAsia="Times New Roman" w:hAnsi="Times New Roman" w:cs="Times New Roman"/>
          <w:sz w:val="24"/>
          <w:szCs w:val="24"/>
        </w:rPr>
        <w:t>, the absence of standardized protocols, nonuniform outcome measures, and the paucity of long-term data.</w:t>
      </w:r>
    </w:p>
    <w:p w14:paraId="133D13C2" w14:textId="0D20CC94" w:rsid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Conclusion:</w:t>
      </w:r>
    </w:p>
    <w:p w14:paraId="703543D7" w14:textId="670B3576" w:rsidR="00D3721B" w:rsidRDefault="00D3721B" w:rsidP="00D3721B">
      <w:pPr>
        <w:spacing w:line="360" w:lineRule="auto"/>
        <w:jc w:val="both"/>
        <w:rPr>
          <w:rFonts w:ascii="Times New Roman" w:eastAsia="Times New Roman" w:hAnsi="Times New Roman" w:cs="Times New Roman"/>
          <w:sz w:val="24"/>
          <w:szCs w:val="24"/>
        </w:rPr>
      </w:pPr>
      <w:r w:rsidRPr="00D3721B">
        <w:rPr>
          <w:rFonts w:ascii="Times New Roman" w:eastAsia="Times New Roman" w:hAnsi="Times New Roman" w:cs="Times New Roman"/>
          <w:sz w:val="24"/>
          <w:szCs w:val="24"/>
        </w:rPr>
        <w:t>Regenerative therapies are a promising transition to disease-modifying therapy in arthritis. Nonetheless, successful clinical translation depends on them</w:t>
      </w:r>
      <w:r w:rsidR="000D0052">
        <w:rPr>
          <w:rFonts w:ascii="Times New Roman" w:eastAsia="Times New Roman" w:hAnsi="Times New Roman" w:cs="Times New Roman"/>
          <w:sz w:val="24"/>
          <w:szCs w:val="24"/>
        </w:rPr>
        <w:t>, and there is a need</w:t>
      </w:r>
      <w:r w:rsidRPr="00D372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Pr="00D3721B">
        <w:rPr>
          <w:rFonts w:ascii="Times New Roman" w:eastAsia="Times New Roman" w:hAnsi="Times New Roman" w:cs="Times New Roman"/>
          <w:sz w:val="24"/>
          <w:szCs w:val="24"/>
        </w:rPr>
        <w:t xml:space="preserve"> standardization of cell characterization, harmonization of clinical endpoints, scalability of production, and effective long-term clinical trials. The development of multimodal and combination interventions can also enhance the efficiency of the therapy process to further </w:t>
      </w:r>
      <w:r>
        <w:rPr>
          <w:rFonts w:ascii="Times New Roman" w:eastAsia="Times New Roman" w:hAnsi="Times New Roman" w:cs="Times New Roman"/>
          <w:sz w:val="24"/>
          <w:szCs w:val="24"/>
        </w:rPr>
        <w:t xml:space="preserve">develop </w:t>
      </w:r>
      <w:r w:rsidRPr="00D3721B">
        <w:rPr>
          <w:rFonts w:ascii="Times New Roman" w:eastAsia="Times New Roman" w:hAnsi="Times New Roman" w:cs="Times New Roman"/>
          <w:sz w:val="24"/>
          <w:szCs w:val="24"/>
        </w:rPr>
        <w:t>and become a means of its transfer to clinical practice.</w:t>
      </w:r>
    </w:p>
    <w:p w14:paraId="5B772025" w14:textId="0469F6FF" w:rsidR="00C512CC" w:rsidRPr="00C512CC" w:rsidRDefault="00C512CC">
      <w:pPr>
        <w:spacing w:line="360" w:lineRule="auto"/>
        <w:rPr>
          <w:rFonts w:ascii="Times New Roman" w:eastAsia="Times New Roman" w:hAnsi="Times New Roman" w:cs="Times New Roman"/>
          <w:b/>
          <w:bCs/>
          <w:sz w:val="24"/>
          <w:szCs w:val="24"/>
        </w:rPr>
      </w:pPr>
      <w:r w:rsidRPr="00C512CC">
        <w:rPr>
          <w:rFonts w:ascii="Times New Roman" w:eastAsia="Times New Roman" w:hAnsi="Times New Roman" w:cs="Times New Roman"/>
          <w:b/>
          <w:bCs/>
          <w:sz w:val="24"/>
          <w:szCs w:val="24"/>
        </w:rPr>
        <w:t>Keywords</w:t>
      </w:r>
    </w:p>
    <w:p w14:paraId="4FD82239" w14:textId="4D09BF9B" w:rsidR="00C512CC" w:rsidRPr="00C512CC" w:rsidRDefault="00C512CC" w:rsidP="00C512CC">
      <w:pPr>
        <w:spacing w:line="360" w:lineRule="auto"/>
        <w:jc w:val="both"/>
        <w:rPr>
          <w:rFonts w:ascii="Times New Roman" w:eastAsia="Times New Roman" w:hAnsi="Times New Roman" w:cs="Times New Roman"/>
          <w:sz w:val="24"/>
          <w:szCs w:val="24"/>
        </w:rPr>
      </w:pPr>
      <w:r w:rsidRPr="00C512CC">
        <w:rPr>
          <w:rFonts w:ascii="Times New Roman" w:eastAsia="Times New Roman" w:hAnsi="Times New Roman" w:cs="Times New Roman"/>
          <w:sz w:val="24"/>
          <w:szCs w:val="24"/>
        </w:rPr>
        <w:t>Arthritis; Osteoarthritis; Rheumatoid arthritis; Regenerative medicine; Mesenchymal stem cells; Cartilage regeneration; Platelet-rich plasma; Extracellular vesicles; Tissue engineering; Gene therapy</w:t>
      </w:r>
      <w:r>
        <w:rPr>
          <w:rFonts w:ascii="Times New Roman" w:eastAsia="Times New Roman" w:hAnsi="Times New Roman" w:cs="Times New Roman"/>
          <w:sz w:val="24"/>
          <w:szCs w:val="24"/>
        </w:rPr>
        <w:t>.</w:t>
      </w:r>
    </w:p>
    <w:p w14:paraId="3F9446A2" w14:textId="77777777" w:rsidR="00C512CC" w:rsidRDefault="00C512CC">
      <w:pPr>
        <w:spacing w:line="360" w:lineRule="auto"/>
        <w:rPr>
          <w:rFonts w:ascii="Times New Roman" w:eastAsia="Times New Roman" w:hAnsi="Times New Roman" w:cs="Times New Roman"/>
          <w:b/>
          <w:bCs/>
          <w:sz w:val="24"/>
          <w:szCs w:val="24"/>
        </w:rPr>
      </w:pPr>
    </w:p>
    <w:p w14:paraId="181826FE" w14:textId="77777777" w:rsidR="00C512CC" w:rsidRDefault="00C512CC">
      <w:pPr>
        <w:spacing w:line="360" w:lineRule="auto"/>
        <w:rPr>
          <w:rFonts w:ascii="Times New Roman" w:eastAsia="Times New Roman" w:hAnsi="Times New Roman" w:cs="Times New Roman"/>
          <w:b/>
          <w:bCs/>
          <w:sz w:val="24"/>
          <w:szCs w:val="24"/>
        </w:rPr>
      </w:pPr>
    </w:p>
    <w:p w14:paraId="1FA43802" w14:textId="77777777" w:rsidR="00C512CC" w:rsidRDefault="00C512CC">
      <w:pPr>
        <w:spacing w:line="360" w:lineRule="auto"/>
        <w:rPr>
          <w:rFonts w:ascii="Times New Roman" w:eastAsia="Times New Roman" w:hAnsi="Times New Roman" w:cs="Times New Roman"/>
          <w:b/>
          <w:bCs/>
          <w:sz w:val="24"/>
          <w:szCs w:val="24"/>
        </w:rPr>
      </w:pPr>
    </w:p>
    <w:p w14:paraId="3DFDE78F" w14:textId="77777777" w:rsidR="00C512CC" w:rsidRDefault="00C512CC">
      <w:pPr>
        <w:spacing w:line="360" w:lineRule="auto"/>
        <w:rPr>
          <w:rFonts w:ascii="Times New Roman" w:eastAsia="Times New Roman" w:hAnsi="Times New Roman" w:cs="Times New Roman"/>
          <w:b/>
          <w:bCs/>
          <w:sz w:val="24"/>
          <w:szCs w:val="24"/>
        </w:rPr>
      </w:pPr>
    </w:p>
    <w:p w14:paraId="03CF5AEC" w14:textId="77777777" w:rsidR="00C512CC" w:rsidRDefault="00C512CC">
      <w:pPr>
        <w:spacing w:line="360" w:lineRule="auto"/>
        <w:rPr>
          <w:rFonts w:ascii="Times New Roman" w:eastAsia="Times New Roman" w:hAnsi="Times New Roman" w:cs="Times New Roman"/>
          <w:b/>
          <w:bCs/>
          <w:sz w:val="24"/>
          <w:szCs w:val="24"/>
        </w:rPr>
      </w:pPr>
    </w:p>
    <w:p w14:paraId="5A0860FE" w14:textId="77777777" w:rsidR="00C512CC" w:rsidRDefault="00C512CC">
      <w:pPr>
        <w:spacing w:line="360" w:lineRule="auto"/>
        <w:rPr>
          <w:rFonts w:ascii="Times New Roman" w:eastAsia="Times New Roman" w:hAnsi="Times New Roman" w:cs="Times New Roman"/>
          <w:b/>
          <w:bCs/>
          <w:sz w:val="24"/>
          <w:szCs w:val="24"/>
        </w:rPr>
      </w:pPr>
    </w:p>
    <w:p w14:paraId="0AB40CBA" w14:textId="77777777" w:rsidR="00C512CC" w:rsidRDefault="00C512CC">
      <w:pPr>
        <w:spacing w:line="360" w:lineRule="auto"/>
        <w:rPr>
          <w:rFonts w:ascii="Times New Roman" w:eastAsia="Times New Roman" w:hAnsi="Times New Roman" w:cs="Times New Roman"/>
          <w:b/>
          <w:bCs/>
          <w:sz w:val="24"/>
          <w:szCs w:val="24"/>
        </w:rPr>
      </w:pPr>
    </w:p>
    <w:p w14:paraId="4EFF98F7" w14:textId="770789BB" w:rsidR="00ED21D7" w:rsidRDefault="003F3C38">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3E9C2980" w14:textId="767A916E" w:rsidR="00ED21D7" w:rsidRPr="00006496"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Arthritis is a heterogeneous category of musculoskeletal diseases that is manifested by joint inflammation, cartilage degradation, discomfort, and a progressive functional defect. Among the many types of arthritis, osteoarthritis (OA) and rheumatoid arthritis (RA) are the most common and cause disabilities and healthcare burdens in a large percentage of the world. Osteoarthritis is mainly a degenerative disease of the joints of old age, mechanical causes, and metabolic causes, whereas rheumatoid arthritis is an autoimmune condition due to chronic synovial inflammation and focal destruction of the joints. Put collectively, they pose a </w:t>
      </w:r>
      <w:r>
        <w:rPr>
          <w:rFonts w:ascii="Times New Roman" w:eastAsia="Times New Roman" w:hAnsi="Times New Roman" w:cs="Times New Roman"/>
          <w:sz w:val="24"/>
          <w:szCs w:val="24"/>
        </w:rPr>
        <w:lastRenderedPageBreak/>
        <w:t>significant source of long-term disability and lower quality of life that impacts hundreds of millions of people across the globe.</w:t>
      </w:r>
      <w:r w:rsidR="00006496">
        <w:rPr>
          <w:rFonts w:ascii="Times New Roman" w:eastAsia="Times New Roman" w:hAnsi="Times New Roman" w:cs="Times New Roman"/>
          <w:sz w:val="24"/>
          <w:szCs w:val="24"/>
          <w:vertAlign w:val="superscript"/>
        </w:rPr>
        <w:t>1,2</w:t>
      </w:r>
    </w:p>
    <w:p w14:paraId="07F0F150" w14:textId="59CA782D"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existing clinical interventions on arthritis treatment have continued to be based on controlling the symptoms of arthritis, as opposed to bearing in mind the structural rehabilitation of damaged joint tissues. Traditional pharmacological therapy involves nonsteroidal anti-inflammatory drugs (NSAIDs), corticosteroids, analgesic and disease-modifying antirheumatic drugs (DMARDs). Although these treatments have the potential to alleviate pain and inflammation, they do not tend to inhibit the progressive loss of cartilage or incur irreparable joint destruction. Treatment in osteoarthritis is mainly kept as symptomatic management, with no approved disease-modifying osteoarthritis drugs (DMOADs) being able to restore the integrity of cartilage currently.</w:t>
      </w:r>
      <w:r w:rsidR="005E5713">
        <w:rPr>
          <w:rFonts w:ascii="Times New Roman" w:eastAsia="Times New Roman" w:hAnsi="Times New Roman" w:cs="Times New Roman"/>
          <w:sz w:val="24"/>
          <w:szCs w:val="24"/>
          <w:vertAlign w:val="superscript"/>
        </w:rPr>
        <w:t>3</w:t>
      </w:r>
    </w:p>
    <w:p w14:paraId="41664D6C" w14:textId="47713D00"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more severe cases of degenerative changes in the joints of the patients, surgical treatment, including arthroscopic surgeries, osteotomy, or full replacement of the joint, may be necessary. Even though a joint replacement surgery can help a lot to improve mobility and reduce the pain experienced, these operations have limited drawbacks. The life of the prosthetic joint is finite, and usually after 15</w:t>
      </w:r>
      <w:r w:rsidR="00F6087A">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20 years, the prosthetic joints need revision surgery, especially in young and more active patients. More so, there are surgical complications like infection, loosening of the implant, and the post-thoracic functional restriction, this necessitates alternative curative measures to treat the factors that propel the joint degeneration.</w:t>
      </w:r>
      <w:r w:rsidR="005E5713">
        <w:rPr>
          <w:rFonts w:ascii="Times New Roman" w:eastAsia="Times New Roman" w:hAnsi="Times New Roman" w:cs="Times New Roman"/>
          <w:sz w:val="24"/>
          <w:szCs w:val="24"/>
          <w:vertAlign w:val="superscript"/>
        </w:rPr>
        <w:t>4</w:t>
      </w:r>
    </w:p>
    <w:p w14:paraId="0CB50D64" w14:textId="5E3DFCFE"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constraints of the conventional therapies have aroused an augmenting enthusiasm in regenerative medicine as a plausible option in restoring joint structure and function. Regenerative therapies are not only meant to improve the symptoms but also to regenerate the damaged cartilage, balance the inflammatory microenvironment, and restore tissue homeostasis in the joint. These are cell-based therapies that have been identified to have promising outcomes in cartilage regeneration and in the elimination of inflammation in preclinical and early clinical studies: mesenchymal stem cells (MSCs), autologous chondrocyte implantation (ACI), and induced pluripotent stem cell (iPSC)-derived chondrocytes.</w:t>
      </w:r>
      <w:r w:rsidR="005E5713">
        <w:rPr>
          <w:rFonts w:ascii="Times New Roman" w:eastAsia="Times New Roman" w:hAnsi="Times New Roman" w:cs="Times New Roman"/>
          <w:sz w:val="24"/>
          <w:szCs w:val="24"/>
          <w:vertAlign w:val="superscript"/>
        </w:rPr>
        <w:t>5</w:t>
      </w:r>
    </w:p>
    <w:p w14:paraId="18CF710C" w14:textId="098FD1FD"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Besides cellular therapies, novel biologic modalities like platelet-rich plasma (PRP), extracellular </w:t>
      </w:r>
      <w:proofErr w:type="spellStart"/>
      <w:r>
        <w:rPr>
          <w:rFonts w:ascii="Times New Roman" w:eastAsia="Times New Roman" w:hAnsi="Times New Roman" w:cs="Times New Roman"/>
          <w:sz w:val="24"/>
          <w:szCs w:val="24"/>
        </w:rPr>
        <w:t>vesicles</w:t>
      </w:r>
      <w:proofErr w:type="spellEnd"/>
      <w:r>
        <w:rPr>
          <w:rFonts w:ascii="Times New Roman" w:eastAsia="Times New Roman" w:hAnsi="Times New Roman" w:cs="Times New Roman"/>
          <w:sz w:val="24"/>
          <w:szCs w:val="24"/>
        </w:rPr>
        <w:t xml:space="preserve"> (EVs), as well as growth factor-based therapeutic modalities have proven their willingness to induce endogenous regenerative pathways. Recent progress in biomaterials and tissue engineering has also been used to develop scaffolds and three-dimensional structures that facilitate the regeneration and incorporation of cartilage with host tissues. Such innovations </w:t>
      </w:r>
      <w:r>
        <w:rPr>
          <w:rFonts w:ascii="Times New Roman" w:eastAsia="Times New Roman" w:hAnsi="Times New Roman" w:cs="Times New Roman"/>
          <w:sz w:val="24"/>
          <w:szCs w:val="24"/>
        </w:rPr>
        <w:lastRenderedPageBreak/>
        <w:t>are a progressive paradigm shift in the approach to treatment of arthritis and are no longer based on the management of symptoms, but rather on the basis of biological regeneration.</w:t>
      </w:r>
      <w:r w:rsidR="005E5713">
        <w:rPr>
          <w:rFonts w:ascii="Times New Roman" w:eastAsia="Times New Roman" w:hAnsi="Times New Roman" w:cs="Times New Roman"/>
          <w:sz w:val="24"/>
          <w:szCs w:val="24"/>
          <w:vertAlign w:val="superscript"/>
        </w:rPr>
        <w:t>6</w:t>
      </w:r>
    </w:p>
    <w:p w14:paraId="6930AA48" w14:textId="25F02E1E" w:rsidR="00ED21D7" w:rsidRPr="005E5713"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Regardless of the presented huge strides, there are still many issues that need to be resolved before the regenerative therapies can become common in clinical practice. Differences in sources of cells, production methods, methods of delivery, and measures of outcomes have added to the differences in clinical findings across studies. More so, the translation of regenerative therapies between laboratory research and common clinical application is still influenced by regulatory considerations, safety concerns, and cost-effectiveness issues.</w:t>
      </w:r>
      <w:r w:rsidR="005E5713">
        <w:rPr>
          <w:rFonts w:ascii="Times New Roman" w:eastAsia="Times New Roman" w:hAnsi="Times New Roman" w:cs="Times New Roman"/>
          <w:sz w:val="24"/>
          <w:szCs w:val="24"/>
          <w:vertAlign w:val="superscript"/>
        </w:rPr>
        <w:t>7</w:t>
      </w:r>
      <w:r w:rsidR="00C63075">
        <w:rPr>
          <w:rFonts w:ascii="Times New Roman" w:eastAsia="Times New Roman" w:hAnsi="Times New Roman" w:cs="Times New Roman"/>
          <w:sz w:val="24"/>
          <w:szCs w:val="24"/>
          <w:vertAlign w:val="superscript"/>
        </w:rPr>
        <w:t xml:space="preserve"> </w:t>
      </w:r>
    </w:p>
    <w:p w14:paraId="02757F70" w14:textId="26872821" w:rsidR="00F6087A" w:rsidRDefault="00BE5252">
      <w:pPr>
        <w:spacing w:line="360" w:lineRule="auto"/>
        <w:jc w:val="both"/>
        <w:rPr>
          <w:rFonts w:ascii="Times New Roman" w:eastAsia="Times New Roman" w:hAnsi="Times New Roman" w:cs="Times New Roman"/>
          <w:sz w:val="24"/>
          <w:szCs w:val="24"/>
        </w:rPr>
      </w:pPr>
      <w:r w:rsidRPr="00BE5252">
        <w:rPr>
          <w:rFonts w:ascii="Times New Roman" w:eastAsia="Times New Roman" w:hAnsi="Times New Roman" w:cs="Times New Roman"/>
          <w:sz w:val="24"/>
          <w:szCs w:val="24"/>
          <w:highlight w:val="yellow"/>
        </w:rPr>
        <w:t xml:space="preserve">The goal of the review is to present a practical review of regenerative and cellular therapies that are used in the management of arthritis. Recent advances further highlight the integration of mesenchymal stem cells, exosomes, and bioengineered scaffolds as promising strategies for functional joint repair. </w:t>
      </w:r>
      <w:r w:rsidRPr="00BE5252">
        <w:rPr>
          <w:rFonts w:ascii="Times New Roman" w:eastAsia="Times New Roman" w:hAnsi="Times New Roman" w:cs="Times New Roman"/>
          <w:sz w:val="24"/>
          <w:szCs w:val="24"/>
          <w:highlight w:val="yellow"/>
          <w:vertAlign w:val="superscript"/>
        </w:rPr>
        <w:t>72</w:t>
      </w:r>
      <w:r>
        <w:rPr>
          <w:rFonts w:ascii="Times New Roman" w:eastAsia="Times New Roman" w:hAnsi="Times New Roman" w:cs="Times New Roman"/>
          <w:sz w:val="24"/>
          <w:szCs w:val="24"/>
        </w:rPr>
        <w:t xml:space="preserve"> </w:t>
      </w:r>
      <w:r w:rsidR="003F3C38">
        <w:rPr>
          <w:rFonts w:ascii="Times New Roman" w:eastAsia="Times New Roman" w:hAnsi="Times New Roman" w:cs="Times New Roman"/>
          <w:sz w:val="24"/>
          <w:szCs w:val="24"/>
        </w:rPr>
        <w:t>The initial part of the article reviews the pathophysiology involved in the process of cartilage degeneration and tissue repair failure in arthritis. The review then covers regenerative approaches of major importance, such as mesenchymal stem cell therapies, autologous chondrocyte implantation, induced pluripotent stem cell-derived therapies, and emerging cell-free biologic treatments (such as platelet-rich plasma and extracellular vesicles). Developments in tissue engineering, in gene therapy, and in scaffolds of biomaterial are also examined. Lastly, the review also identifies the existing clinical evidence, regulatory factors, and future research that are required in order to push regenerative therapies to effective clinical translation.</w:t>
      </w:r>
    </w:p>
    <w:p w14:paraId="0E4500BC" w14:textId="77777777" w:rsidR="00D500FE" w:rsidRDefault="00D500FE">
      <w:pPr>
        <w:spacing w:line="360" w:lineRule="auto"/>
        <w:jc w:val="both"/>
        <w:rPr>
          <w:rFonts w:ascii="Times New Roman" w:eastAsia="Times New Roman" w:hAnsi="Times New Roman" w:cs="Times New Roman"/>
          <w:sz w:val="24"/>
          <w:szCs w:val="24"/>
        </w:rPr>
      </w:pPr>
    </w:p>
    <w:p w14:paraId="50AFADE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Pathophysiology Relevant to Regeneration</w:t>
      </w:r>
    </w:p>
    <w:p w14:paraId="7EB04B7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Cartilage Biology and Limited Intrinsic Repair Capacity</w:t>
      </w:r>
    </w:p>
    <w:p w14:paraId="4C4C036C" w14:textId="4C5D8C14" w:rsidR="00ED21D7" w:rsidRPr="00006496"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articular cartilage is a highly specialized avascular connective tissue that offers a load-bearing, low-friction surface needed in the joint. It consists of the sparse population of chondrocytes within a thick extracellular matrix (ECM), mostly made up of type II collagen and proteoglycans, e.g., aggrecan. The tensile strength is offered by type II collagen, whereas aggrecan, together with its connections to hyaluronic acid and water molecules, offers compressive resilience and shock-absorbing properties.</w:t>
      </w:r>
      <w:r w:rsidR="00006496">
        <w:rPr>
          <w:rFonts w:ascii="Times New Roman" w:eastAsia="Times New Roman" w:hAnsi="Times New Roman" w:cs="Times New Roman"/>
          <w:sz w:val="24"/>
          <w:szCs w:val="24"/>
          <w:vertAlign w:val="superscript"/>
        </w:rPr>
        <w:t>1</w:t>
      </w:r>
    </w:p>
    <w:p w14:paraId="1B2C355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cartilage functions of chondrocytes are to ensure cartilage homeostasis through the balancing of anabolic and catabolic processes within the ECM. These cells, under physiological </w:t>
      </w:r>
      <w:r>
        <w:rPr>
          <w:rFonts w:ascii="Times New Roman" w:eastAsia="Times New Roman" w:hAnsi="Times New Roman" w:cs="Times New Roman"/>
          <w:sz w:val="24"/>
          <w:szCs w:val="24"/>
        </w:rPr>
        <w:lastRenderedPageBreak/>
        <w:t xml:space="preserve">conditions, control the production of the matrix components, as well as their breakdown via highly regulated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systems. Nevertheless, chondrocytes have low potential for proliferation as well as are metabolically less active than other cells, and this is attributed to the avascular and hypoxic environment of cartilage tissue to a great extent.</w:t>
      </w:r>
    </w:p>
    <w:p w14:paraId="0A07A5D9"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inherent repair potential of cartilage is one of the primary issues of the cartilage re-repair process. Cartilage does not have a direct blood supply, unlike in the vascularized tissues, and this limits the ability of the tissue to recruit reparative cells as well as the supply of nutrients to repair the tissue. After injury or degeneration, the chondrocytes do not respond with a sufficient regenerative process; in many cases, the response supplied is the fibrocartilage instead of the native cartilage hyaline. Fibrocartilage is less mechanical and prone to degeneration of the joint later responsible for the development of the disease.</w:t>
      </w:r>
    </w:p>
    <w:p w14:paraId="62723BB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Inflammatory Microenvironment in Osteoarthritis and Rheumatoid Arthritis</w:t>
      </w:r>
    </w:p>
    <w:p w14:paraId="536AAD8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Inflammatory environment of the joint is one of the core factors of arthritis development, and the outcomes of regeneration are highly dependent on it. In osteoarthritis, inflammation is of low grade, though chronic, and is caused by mechanical stressors, aging, and metabolic factors. Pro-inflammatory cytokines, including interleukin-1, interleukin-1beta (IL-1 2), </w:t>
      </w:r>
      <w:proofErr w:type="spellStart"/>
      <w:r>
        <w:rPr>
          <w:rFonts w:ascii="Times New Roman" w:eastAsia="Times New Roman" w:hAnsi="Times New Roman" w:cs="Times New Roman"/>
          <w:sz w:val="24"/>
          <w:szCs w:val="24"/>
        </w:rPr>
        <w:t>tumor</w:t>
      </w:r>
      <w:proofErr w:type="spellEnd"/>
      <w:r>
        <w:rPr>
          <w:rFonts w:ascii="Times New Roman" w:eastAsia="Times New Roman" w:hAnsi="Times New Roman" w:cs="Times New Roman"/>
          <w:sz w:val="24"/>
          <w:szCs w:val="24"/>
        </w:rPr>
        <w:t xml:space="preserve"> necrosis factor-alpha (TNF- 2), and interleukin-6, produced by chondrocytes and synovial cells, interfere with the homeostasis of the cartilage. These cytokines provoke the synthesis of the matrix-degrading enzymes, such as matrix metalloproteinases (MMPs) and </w:t>
      </w:r>
      <w:proofErr w:type="spellStart"/>
      <w:r>
        <w:rPr>
          <w:rFonts w:ascii="Times New Roman" w:eastAsia="Times New Roman" w:hAnsi="Times New Roman" w:cs="Times New Roman"/>
          <w:sz w:val="24"/>
          <w:szCs w:val="24"/>
        </w:rPr>
        <w:t>aggrecanases</w:t>
      </w:r>
      <w:proofErr w:type="spellEnd"/>
      <w:r>
        <w:rPr>
          <w:rFonts w:ascii="Times New Roman" w:eastAsia="Times New Roman" w:hAnsi="Times New Roman" w:cs="Times New Roman"/>
          <w:sz w:val="24"/>
          <w:szCs w:val="24"/>
        </w:rPr>
        <w:t xml:space="preserve"> (ADAMTS), which cause the progressive degeneration of the ECM.</w:t>
      </w:r>
      <w:r>
        <w:rPr>
          <w:rFonts w:ascii="Times New Roman" w:eastAsia="Times New Roman" w:hAnsi="Times New Roman" w:cs="Times New Roman"/>
          <w:sz w:val="24"/>
          <w:szCs w:val="24"/>
          <w:vertAlign w:val="superscript"/>
        </w:rPr>
        <w:t>4</w:t>
      </w:r>
    </w:p>
    <w:p w14:paraId="3E911001"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 presence of synovial inflammation (synovitis) is a factor causing the development of the disease through the release of inflammatory mediators and catabolic factors into the joint space. The further alteration of the joint biomechanics is associated with subchondral bone </w:t>
      </w:r>
      <w:proofErr w:type="spellStart"/>
      <w:r>
        <w:rPr>
          <w:rFonts w:ascii="Times New Roman" w:eastAsia="Times New Roman" w:hAnsi="Times New Roman" w:cs="Times New Roman"/>
          <w:sz w:val="24"/>
          <w:szCs w:val="24"/>
        </w:rPr>
        <w:t>remodeling</w:t>
      </w:r>
      <w:proofErr w:type="spellEnd"/>
      <w:r>
        <w:rPr>
          <w:rFonts w:ascii="Times New Roman" w:eastAsia="Times New Roman" w:hAnsi="Times New Roman" w:cs="Times New Roman"/>
          <w:sz w:val="24"/>
          <w:szCs w:val="24"/>
        </w:rPr>
        <w:t xml:space="preserve"> that is characterized by sclerosis and osteophyte formation, worsening cartilage degeneration.</w:t>
      </w:r>
      <w:r>
        <w:rPr>
          <w:rFonts w:ascii="Times New Roman" w:eastAsia="Times New Roman" w:hAnsi="Times New Roman" w:cs="Times New Roman"/>
          <w:sz w:val="24"/>
          <w:szCs w:val="24"/>
          <w:vertAlign w:val="superscript"/>
        </w:rPr>
        <w:t>5</w:t>
      </w:r>
    </w:p>
    <w:p w14:paraId="5E1FD406"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Conversely, rheumatoid arthritis is marked by an extraordinarily inflammatory and autoimmune condition. The activated immune cells, consisting of T lymphocytes, B cells, and macrophages, enter the synovium and release large quantities of pro-inflammatory cytokines like TNF-alpha, IL-1 beta, and IL-6. This causes synovial hyperplasia and the proliferation of pannus tissue, which eats away and destroys cartilage and subchondral bone.</w:t>
      </w:r>
      <w:r>
        <w:rPr>
          <w:rFonts w:ascii="Times New Roman" w:eastAsia="Times New Roman" w:hAnsi="Times New Roman" w:cs="Times New Roman"/>
          <w:sz w:val="24"/>
          <w:szCs w:val="24"/>
          <w:vertAlign w:val="superscript"/>
        </w:rPr>
        <w:t>6</w:t>
      </w:r>
    </w:p>
    <w:p w14:paraId="0615C5F9" w14:textId="77777777" w:rsidR="00ED21D7" w:rsidRDefault="003F3C38">
      <w:pPr>
        <w:spacing w:line="360" w:lineRule="auto"/>
        <w:jc w:val="both"/>
        <w:rPr>
          <w:rFonts w:ascii="Times New Roman" w:eastAsia="Times New Roman" w:hAnsi="Times New Roman" w:cs="Times New Roman"/>
          <w:b/>
          <w:bCs/>
          <w:sz w:val="24"/>
          <w:szCs w:val="24"/>
          <w:vertAlign w:val="superscript"/>
        </w:rPr>
      </w:pPr>
      <w:r>
        <w:rPr>
          <w:rFonts w:ascii="Times New Roman" w:eastAsia="Times New Roman" w:hAnsi="Times New Roman" w:cs="Times New Roman"/>
          <w:sz w:val="24"/>
          <w:szCs w:val="24"/>
        </w:rPr>
        <w:lastRenderedPageBreak/>
        <w:t>It is the unresolvable presence of an inflammatory environment in both OA and RA that provides a hostile microenvironment that hinders tissue regeneration. Not only do pro-inflammatory cytokines stimulate the process of degrading the matrix, but they also suppress the processes of anabolic activity, cancer vitalization of chondrocytes, as well as the actions of regenerative cells such as mesenchymal stem cells.</w:t>
      </w:r>
      <w:r>
        <w:rPr>
          <w:rFonts w:ascii="Times New Roman" w:eastAsia="Times New Roman" w:hAnsi="Times New Roman" w:cs="Times New Roman"/>
          <w:sz w:val="24"/>
          <w:szCs w:val="24"/>
          <w:vertAlign w:val="superscript"/>
        </w:rPr>
        <w:t>7</w:t>
      </w:r>
    </w:p>
    <w:p w14:paraId="0C58822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Impaired Progenitor Cell Response, Senescence, and Oxidative Stress</w:t>
      </w:r>
    </w:p>
    <w:p w14:paraId="3A84E6F5"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Dysfunction of endogenous progenitor cells is another negative factor that causes cartilage regeneration to be ineffective. Mesenchymal progenitor cells that inhabit the synovium, bone marrow, and cartilage can differentiate into chondrocytes and contribute to the repair of the tissues. Nevertheless, they are greatly impaired in arthritic diseases.</w:t>
      </w:r>
      <w:r>
        <w:rPr>
          <w:rFonts w:ascii="Times New Roman" w:eastAsia="Times New Roman" w:hAnsi="Times New Roman" w:cs="Times New Roman"/>
          <w:sz w:val="24"/>
          <w:szCs w:val="24"/>
          <w:vertAlign w:val="superscript"/>
        </w:rPr>
        <w:t>8</w:t>
      </w:r>
    </w:p>
    <w:p w14:paraId="179D1CF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This impairment significantly depends on cellular senescence. During aging and chronic inflammation, senescent cells accumulate and have a senescence-associated secretory phenotype (SASP), which is the release of pro-inflammatory cytokines, proteases, and growth factors. These elements continue to cause inflammation and continue to suppress the processes of tissue repair.</w:t>
      </w:r>
      <w:r>
        <w:rPr>
          <w:rFonts w:ascii="Times New Roman" w:eastAsia="Times New Roman" w:hAnsi="Times New Roman" w:cs="Times New Roman"/>
          <w:sz w:val="24"/>
          <w:szCs w:val="24"/>
          <w:vertAlign w:val="superscript"/>
        </w:rPr>
        <w:t>9</w:t>
      </w:r>
    </w:p>
    <w:p w14:paraId="016D396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Another important factor in the analysis of impaired regeneration is oxidative stress. Reactive oxygen species that develop in chronic inflammation have the potential to cause functional degradation of cellular components, such as DNA, proteins, and lipids, which results in apoptosis of chondrocytes and inhibition of matrix production.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related to stem cell survival and differentiation are also disrupted by oxidative stress, which is yet another restriction of regenerative potential.</w:t>
      </w:r>
      <w:r>
        <w:rPr>
          <w:rFonts w:ascii="Times New Roman" w:eastAsia="Times New Roman" w:hAnsi="Times New Roman" w:cs="Times New Roman"/>
          <w:sz w:val="24"/>
          <w:szCs w:val="24"/>
          <w:vertAlign w:val="superscript"/>
        </w:rPr>
        <w:t>10</w:t>
      </w:r>
    </w:p>
    <w:p w14:paraId="563EE533"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Senescence, oxidative stress, and chronic inflammation form a feedback loop and contribute to cartilage degeneration, making regeneration impossible. All these aspects need to be considered in order to obtain significant clinical results with regenerative therapies.</w:t>
      </w:r>
    </w:p>
    <w:p w14:paraId="45EBC0C0" w14:textId="77777777" w:rsidR="00ED21D7" w:rsidRDefault="00ED21D7">
      <w:pPr>
        <w:spacing w:line="360" w:lineRule="auto"/>
        <w:jc w:val="both"/>
        <w:rPr>
          <w:rFonts w:ascii="Times New Roman" w:eastAsia="Times New Roman" w:hAnsi="Times New Roman" w:cs="Times New Roman"/>
          <w:b/>
          <w:bCs/>
          <w:sz w:val="24"/>
          <w:szCs w:val="24"/>
        </w:rPr>
      </w:pPr>
    </w:p>
    <w:p w14:paraId="004E684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Biomarkers and Imaging Endpoints for Regenerative Outcomes</w:t>
      </w:r>
    </w:p>
    <w:p w14:paraId="5B03668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Regenerative therapies in arthritis have to be evaluated using several effective biomarkers and sophisticated imaging to measure the structural and functional outcomes. Conventional clinical outcome measures, including pain and functional measures, are not adequate for measuring early cartilage regeneration changes.</w:t>
      </w:r>
    </w:p>
    <w:p w14:paraId="2C8110C1" w14:textId="6F885DE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 xml:space="preserve">Cartilage metabolic biomarkers, including cartilage oligomeric matrix protein (COMP), C-terminal telopeptide of type II collagen (CTX-II), aggrecan fragments, etc are becoming more commonly applied to measure disease progression and therapeutic response. Biomarkers of inflammation, such as cytokines </w:t>
      </w:r>
      <w:r w:rsidR="000D0052" w:rsidRPr="000D0052">
        <w:rPr>
          <w:rFonts w:ascii="Times New Roman" w:eastAsia="Times New Roman" w:hAnsi="Times New Roman" w:cs="Times New Roman"/>
          <w:sz w:val="24"/>
          <w:szCs w:val="24"/>
          <w:highlight w:val="yellow"/>
        </w:rPr>
        <w:t>(IL-1β, IL-6, TNF- α</w:t>
      </w:r>
      <w:commentRangeStart w:id="0"/>
      <w:commentRangeStart w:id="1"/>
      <w:r w:rsidR="000D0052" w:rsidRPr="000D0052">
        <w:rPr>
          <w:rFonts w:ascii="Times New Roman" w:eastAsia="Times New Roman" w:hAnsi="Times New Roman" w:cs="Times New Roman"/>
          <w:sz w:val="24"/>
          <w:szCs w:val="24"/>
          <w:highlight w:val="yellow"/>
        </w:rPr>
        <w:t>)</w:t>
      </w:r>
      <w:commentRangeEnd w:id="0"/>
      <w:r w:rsidR="000D0052">
        <w:rPr>
          <w:rStyle w:val="CommentReference"/>
          <w:rFonts w:ascii="Times New Roman" w:eastAsia="Times New Roman" w:hAnsi="Times New Roman" w:cs="Times New Roman"/>
          <w:sz w:val="24"/>
          <w:szCs w:val="24"/>
        </w:rPr>
        <w:commentReference w:id="0"/>
      </w:r>
      <w:commentRangeEnd w:id="1"/>
      <w:r>
        <w:rPr>
          <w:rStyle w:val="CommentReference"/>
          <w:rFonts w:ascii="Times New Roman" w:eastAsia="Times New Roman" w:hAnsi="Times New Roman" w:cs="Times New Roman"/>
          <w:sz w:val="24"/>
          <w:szCs w:val="24"/>
        </w:rPr>
        <w:commentReference w:id="1"/>
      </w:r>
      <w:r w:rsidR="000D00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 also be used to give a clue to the state of inflammation within the joint environment.</w:t>
      </w:r>
      <w:r>
        <w:rPr>
          <w:rFonts w:ascii="Times New Roman" w:eastAsia="Times New Roman" w:hAnsi="Times New Roman" w:cs="Times New Roman"/>
          <w:sz w:val="24"/>
          <w:szCs w:val="24"/>
          <w:vertAlign w:val="superscript"/>
        </w:rPr>
        <w:t>11</w:t>
      </w:r>
    </w:p>
    <w:p w14:paraId="6E6C7774" w14:textId="4ECAC472"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imaging modalities, especially magnetic resonance imaging (MRI), are important in determining the integrity and regeneration of the cartilage. T2 mapping and delayed Gadolinium-enhanced MRI of cartilage (</w:t>
      </w:r>
      <w:proofErr w:type="spellStart"/>
      <w:r>
        <w:rPr>
          <w:rFonts w:ascii="Times New Roman" w:eastAsia="Times New Roman" w:hAnsi="Times New Roman" w:cs="Times New Roman"/>
          <w:sz w:val="24"/>
          <w:szCs w:val="24"/>
        </w:rPr>
        <w:t>dGEMRIC</w:t>
      </w:r>
      <w:proofErr w:type="spellEnd"/>
      <w:r>
        <w:rPr>
          <w:rFonts w:ascii="Times New Roman" w:eastAsia="Times New Roman" w:hAnsi="Times New Roman" w:cs="Times New Roman"/>
          <w:sz w:val="24"/>
          <w:szCs w:val="24"/>
        </w:rPr>
        <w:t>) are methods that can be used to quantitatively assess cartilage structure, like collagen arrangement and glycosaminoglycan levels. These techniques offer sensitive and non-invasive sensors to track the structural changes after regenerative therapies.</w:t>
      </w:r>
      <w:r w:rsidR="00F6087A">
        <w:rPr>
          <w:rFonts w:ascii="Times New Roman" w:eastAsia="Times New Roman" w:hAnsi="Times New Roman" w:cs="Times New Roman"/>
          <w:sz w:val="24"/>
          <w:szCs w:val="24"/>
          <w:vertAlign w:val="superscript"/>
        </w:rPr>
        <w:t>12</w:t>
      </w:r>
    </w:p>
    <w:p w14:paraId="522F97F3"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that, innovative imaging technologies and biomarkers of the molecules are under development and have the potential to give more specific and early information about the regenerative results. Yet, the non-standardized nature of endpoints in clinical studies is a significant issue, and it increases the variability of outcomes reported and the limitation to the comparability of various regenerative treatments.</w:t>
      </w:r>
    </w:p>
    <w:p w14:paraId="06E51408"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Cellular Therapies in Arthritis</w:t>
      </w:r>
    </w:p>
    <w:p w14:paraId="1D3E26B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Mesenchymal Stromal/Stem Cells (MSCs)</w:t>
      </w:r>
    </w:p>
    <w:p w14:paraId="745FE99C"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Sources and Biological Variability</w:t>
      </w:r>
    </w:p>
    <w:p w14:paraId="1E91E92E" w14:textId="782F6C30"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mesenchymal stromal/stem cell (MSCs) are multifunctional progenitors, which can develop into chondrocytes, osteoblasts, and adipocytes; thus, the claim is that it plays the key role in the regenerative approach to arthritis. Several sources of MSCs have been found in bone marrow, adipose tissue, synovium, umbilical cord, and placenta, among others, that have varied biological properties.</w:t>
      </w:r>
      <w:r w:rsidR="00F6087A">
        <w:rPr>
          <w:rFonts w:ascii="Times New Roman" w:eastAsia="Times New Roman" w:hAnsi="Times New Roman" w:cs="Times New Roman"/>
          <w:sz w:val="24"/>
          <w:szCs w:val="24"/>
          <w:vertAlign w:val="superscript"/>
        </w:rPr>
        <w:t>13</w:t>
      </w:r>
    </w:p>
    <w:p w14:paraId="5EAB4594" w14:textId="2878A643"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bone marrow-derived MSCs (BM-MSCs) represent the best-investigated and have been shown to have high chondrogenic potential, although the yield is relatively low as age advances. By contrast, the adipose-derived MSCs (AD-MSCs) have a better yield of cells and simpler accessibility, but can potentially have a lower chondrogenic differentiation potential. The MSCs derived from synovium are gaining more acceptance as having a high proliferative capacity and chondrogenic potential, and thus are more desirable as applied in cartilage repair studies. Sources of MSCs during perinatal development, such as the umbilical cord and </w:t>
      </w:r>
      <w:r>
        <w:rPr>
          <w:rFonts w:ascii="Times New Roman" w:eastAsia="Times New Roman" w:hAnsi="Times New Roman" w:cs="Times New Roman"/>
          <w:sz w:val="24"/>
          <w:szCs w:val="24"/>
        </w:rPr>
        <w:lastRenderedPageBreak/>
        <w:t>placenta, have benefits, such as greater proliferative power, reduced immunogenicity, and the potential to be used allogeneically.</w:t>
      </w:r>
      <w:r w:rsidR="00F6087A">
        <w:rPr>
          <w:rFonts w:ascii="Times New Roman" w:eastAsia="Times New Roman" w:hAnsi="Times New Roman" w:cs="Times New Roman"/>
          <w:sz w:val="24"/>
          <w:szCs w:val="24"/>
          <w:vertAlign w:val="superscript"/>
        </w:rPr>
        <w:t>14</w:t>
      </w:r>
      <w:r w:rsidR="00BE5252">
        <w:rPr>
          <w:rFonts w:ascii="Times New Roman" w:eastAsia="Times New Roman" w:hAnsi="Times New Roman" w:cs="Times New Roman"/>
          <w:sz w:val="24"/>
          <w:szCs w:val="24"/>
          <w:vertAlign w:val="superscript"/>
        </w:rPr>
        <w:t xml:space="preserve">, </w:t>
      </w:r>
      <w:r w:rsidR="00BE5252" w:rsidRPr="00BE5252">
        <w:rPr>
          <w:rFonts w:ascii="Times New Roman" w:eastAsia="Times New Roman" w:hAnsi="Times New Roman" w:cs="Times New Roman"/>
          <w:sz w:val="24"/>
          <w:szCs w:val="24"/>
          <w:highlight w:val="yellow"/>
          <w:vertAlign w:val="superscript"/>
        </w:rPr>
        <w:t>73</w:t>
      </w:r>
    </w:p>
    <w:p w14:paraId="6B991D9F"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heterogeneity in MSC sources is a positive factor associated with the variability of the therapeutic outcome of the findings because it affects the phenotype of cells, their differentiation capacities, the secretory profiles, and the heterogeneity of the regenerative potential.</w:t>
      </w:r>
    </w:p>
    <w:p w14:paraId="6C125B5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Mechanisms of Action</w:t>
      </w:r>
    </w:p>
    <w:p w14:paraId="17460453" w14:textId="6735D5E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Even though MSCs have the potential to differentiate, their therapeutic actions in arthritis are now realized to be controlled by paracrine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in most cases, and not by direct replacement of tissue. MSCs release a plethora of trophic signals, cytokines, and extracellular vesicles that regulate the local microenvironment and trigger tissue regeneration.</w:t>
      </w:r>
      <w:r>
        <w:rPr>
          <w:rFonts w:ascii="Times New Roman" w:eastAsia="Times New Roman" w:hAnsi="Times New Roman" w:cs="Times New Roman"/>
          <w:sz w:val="24"/>
          <w:szCs w:val="24"/>
          <w:vertAlign w:val="superscript"/>
        </w:rPr>
        <w:t>15</w:t>
      </w:r>
    </w:p>
    <w:p w14:paraId="7420AC28" w14:textId="2194E4E8"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Immunomodulation is a major process through which MSCs act. MSCs also engage with the innate and adaptive immune system and inhibit T cell proliferation, B cell activation, and induce macrophages to adopt an anti-inflammatory M2 phenotype. These are mediated by soluble factors including transforming growth factor- 2 (TGF- </w:t>
      </w:r>
      <w:r w:rsidRPr="000D0052">
        <w:rPr>
          <w:rFonts w:ascii="Times New Roman" w:eastAsia="Times New Roman" w:hAnsi="Times New Roman" w:cs="Times New Roman"/>
          <w:sz w:val="24"/>
          <w:szCs w:val="24"/>
          <w:highlight w:val="yellow"/>
        </w:rPr>
        <w:t>2)</w:t>
      </w:r>
      <w:r>
        <w:rPr>
          <w:rFonts w:ascii="Times New Roman" w:eastAsia="Times New Roman" w:hAnsi="Times New Roman" w:cs="Times New Roman"/>
          <w:sz w:val="24"/>
          <w:szCs w:val="24"/>
        </w:rPr>
        <w:t>, prostaglandin E2 (PGE2), and indoleamine, 2,3-dioxylase (IDO).</w:t>
      </w:r>
      <w:r>
        <w:rPr>
          <w:rFonts w:ascii="Times New Roman" w:eastAsia="Times New Roman" w:hAnsi="Times New Roman" w:cs="Times New Roman"/>
          <w:sz w:val="24"/>
          <w:szCs w:val="24"/>
          <w:vertAlign w:val="superscript"/>
        </w:rPr>
        <w:t>16</w:t>
      </w:r>
    </w:p>
    <w:p w14:paraId="49FDA5D5" w14:textId="21F9BF34" w:rsidR="009903D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MSCs are also involved in the remodelling of the extracellular matrix by increasing anabolic activities and suppressing catabolic activities. They deactivate matrix metalloproteinases and enhance the production of collagen type II and proteoglycans, which help to repair cartilage. Moreover, MSC-derived extracellular vesicles are highly important in the transfer of bioactive molecules (such as microRNAs) that mediate the regulation of gene expression in target cells.</w:t>
      </w:r>
      <w:r>
        <w:rPr>
          <w:rFonts w:ascii="Times New Roman" w:eastAsia="Times New Roman" w:hAnsi="Times New Roman" w:cs="Times New Roman"/>
          <w:sz w:val="24"/>
          <w:szCs w:val="24"/>
          <w:vertAlign w:val="superscript"/>
        </w:rPr>
        <w:t>17</w:t>
      </w:r>
    </w:p>
    <w:p w14:paraId="10DB50F7" w14:textId="0A25B1BD" w:rsidR="009903DE" w:rsidRPr="009903DE" w:rsidRDefault="009903DE" w:rsidP="009903DE">
      <w:pPr>
        <w:pStyle w:val="NoSpacing"/>
        <w:jc w:val="center"/>
        <w:rPr>
          <w:rFonts w:ascii="Times New Roman" w:hAnsi="Times New Roman" w:cs="Times New Roman"/>
          <w:sz w:val="24"/>
          <w:szCs w:val="24"/>
          <w:vertAlign w:val="superscript"/>
        </w:rPr>
      </w:pPr>
      <w:r w:rsidRPr="009903DE">
        <w:rPr>
          <w:rFonts w:ascii="Times New Roman" w:hAnsi="Times New Roman" w:cs="Times New Roman"/>
          <w:noProof/>
          <w:sz w:val="24"/>
          <w:szCs w:val="24"/>
          <w:vertAlign w:val="superscript"/>
        </w:rPr>
        <w:lastRenderedPageBreak/>
        <w:drawing>
          <wp:inline distT="0" distB="0" distL="0" distR="0" wp14:anchorId="2D44685D" wp14:editId="67FF97B8">
            <wp:extent cx="5657850" cy="3078480"/>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1" b="7657"/>
                    <a:stretch/>
                  </pic:blipFill>
                  <pic:spPr bwMode="auto">
                    <a:xfrm>
                      <a:off x="0" y="0"/>
                      <a:ext cx="5667897" cy="308394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F31661D" w14:textId="0CF369F5" w:rsidR="009903DE" w:rsidRPr="00006496" w:rsidRDefault="009903DE" w:rsidP="009903DE">
      <w:pPr>
        <w:pStyle w:val="NoSpacing"/>
        <w:jc w:val="center"/>
        <w:rPr>
          <w:rFonts w:ascii="Times New Roman" w:hAnsi="Times New Roman" w:cs="Times New Roman"/>
          <w:sz w:val="24"/>
          <w:szCs w:val="24"/>
        </w:rPr>
      </w:pPr>
      <w:r w:rsidRPr="00006496">
        <w:rPr>
          <w:rFonts w:ascii="Times New Roman" w:hAnsi="Times New Roman" w:cs="Times New Roman"/>
          <w:sz w:val="24"/>
          <w:szCs w:val="24"/>
        </w:rPr>
        <w:t>Figure 1: Mechanisms of action of MSCs</w:t>
      </w:r>
    </w:p>
    <w:p w14:paraId="4411EAC1" w14:textId="77777777" w:rsidR="009903DE" w:rsidRDefault="009903DE" w:rsidP="009903DE">
      <w:pPr>
        <w:pStyle w:val="NoSpacing"/>
        <w:jc w:val="center"/>
      </w:pPr>
    </w:p>
    <w:p w14:paraId="60D9CD53" w14:textId="5560D75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It is shown that in preclinical models, the MSCs can home to an injured site; nevertheless, when these cells are administered intra-</w:t>
      </w:r>
      <w:proofErr w:type="spellStart"/>
      <w:r>
        <w:rPr>
          <w:rFonts w:ascii="Times New Roman" w:eastAsia="Times New Roman" w:hAnsi="Times New Roman" w:cs="Times New Roman"/>
          <w:sz w:val="24"/>
          <w:szCs w:val="24"/>
        </w:rPr>
        <w:t>articularly</w:t>
      </w:r>
      <w:proofErr w:type="spellEnd"/>
      <w:r>
        <w:rPr>
          <w:rFonts w:ascii="Times New Roman" w:eastAsia="Times New Roman" w:hAnsi="Times New Roman" w:cs="Times New Roman"/>
          <w:sz w:val="24"/>
          <w:szCs w:val="24"/>
        </w:rPr>
        <w:t>, they act only on a local scale. This reduced survival of the MSCs in the joint also suggests that it is temporary paracrine, but not permanent engraftment, that mediates the therapeutic benefits of MSCs.</w:t>
      </w:r>
      <w:r>
        <w:rPr>
          <w:rFonts w:ascii="Times New Roman" w:eastAsia="Times New Roman" w:hAnsi="Times New Roman" w:cs="Times New Roman"/>
          <w:sz w:val="24"/>
          <w:szCs w:val="24"/>
          <w:vertAlign w:val="superscript"/>
        </w:rPr>
        <w:t>18</w:t>
      </w:r>
    </w:p>
    <w:p w14:paraId="1EA6D14E"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Strategies and Dosing Considerations</w:t>
      </w:r>
    </w:p>
    <w:p w14:paraId="00B86340"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are several possible routes of administration of MSCs, and intra-articular injection is the method most widely used in arthritis. This is because one can target the affected joint directly and limit systemic exposure. Alternatively, the MSCs may be used within biomaterial scaffolds in order to improve the survival and retention of cells and integration into the cartilage defect. It has also been investigated in systemic delivery, especially in autoimmune diseases like rheumatoid arthritis, though the issue of cell homing efficiency is still questioned.</w:t>
      </w:r>
      <w:r>
        <w:rPr>
          <w:rFonts w:ascii="Times New Roman" w:eastAsia="Times New Roman" w:hAnsi="Times New Roman" w:cs="Times New Roman"/>
          <w:sz w:val="24"/>
          <w:szCs w:val="24"/>
          <w:vertAlign w:val="superscript"/>
        </w:rPr>
        <w:t>19</w:t>
      </w:r>
    </w:p>
    <w:p w14:paraId="3CC42D6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diverse dosing strategies used in various studies spanning between 1x10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to more than 1x10</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cells per injection. Single and repeated dosage disciplines have been studied, with some justifications that indicate that repeated dosage of pharmaceuticals can offer long-term therapeutic benefits. Nevertheless, the absence of standardized dosing regimens is one of the greatest weaknesses in the area and enhances the lack of consistency of clinical outcomes.</w:t>
      </w:r>
      <w:r>
        <w:rPr>
          <w:rFonts w:ascii="Times New Roman" w:eastAsia="Times New Roman" w:hAnsi="Times New Roman" w:cs="Times New Roman"/>
          <w:sz w:val="24"/>
          <w:szCs w:val="24"/>
          <w:vertAlign w:val="superscript"/>
        </w:rPr>
        <w:t>20</w:t>
      </w:r>
    </w:p>
    <w:p w14:paraId="308C721E" w14:textId="77777777" w:rsidR="00D500FE" w:rsidRDefault="00D500FE">
      <w:pPr>
        <w:spacing w:line="360" w:lineRule="auto"/>
        <w:jc w:val="both"/>
        <w:rPr>
          <w:rFonts w:ascii="Times New Roman" w:eastAsia="Times New Roman" w:hAnsi="Times New Roman" w:cs="Times New Roman"/>
          <w:b/>
          <w:bCs/>
          <w:sz w:val="24"/>
          <w:szCs w:val="24"/>
        </w:rPr>
      </w:pPr>
    </w:p>
    <w:p w14:paraId="5FB6612D" w14:textId="77777777" w:rsidR="00D500FE" w:rsidRDefault="00D500FE">
      <w:pPr>
        <w:spacing w:line="360" w:lineRule="auto"/>
        <w:jc w:val="both"/>
        <w:rPr>
          <w:rFonts w:ascii="Times New Roman" w:eastAsia="Times New Roman" w:hAnsi="Times New Roman" w:cs="Times New Roman"/>
          <w:b/>
          <w:bCs/>
          <w:sz w:val="24"/>
          <w:szCs w:val="24"/>
        </w:rPr>
      </w:pPr>
    </w:p>
    <w:p w14:paraId="4D0F514A" w14:textId="1702C118"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Preclinical Evidence</w:t>
      </w:r>
    </w:p>
    <w:p w14:paraId="5FAE6D0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Preclinical research has confirmed the possibilities of MSCs in cartilage healing and the management of inflammation. In animal models of osteoarthritis, surgically induced and chemically induced models, MSC administration has been found to slow cartilage degradation, reduce the levels of inflammatory cytokines, and has been shown to improve joint activity.</w:t>
      </w:r>
      <w:r>
        <w:rPr>
          <w:rFonts w:ascii="Times New Roman" w:eastAsia="Times New Roman" w:hAnsi="Times New Roman" w:cs="Times New Roman"/>
          <w:sz w:val="24"/>
          <w:szCs w:val="24"/>
          <w:vertAlign w:val="superscript"/>
        </w:rPr>
        <w:t>21</w:t>
      </w:r>
    </w:p>
    <w:p w14:paraId="4198B97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MSC treatment in these models is also observed to produce several histological changes, including the enhancement of cartilage thickening, subsequent matrix deposition, and the decrease of osteophytes. Besides the structural enhancement, MSCs were also linked to the substantial decrease in the pain-related behaviours, which implies regenerative and symptomatic effects.</w:t>
      </w:r>
      <w:r>
        <w:rPr>
          <w:rFonts w:ascii="Times New Roman" w:eastAsia="Times New Roman" w:hAnsi="Times New Roman" w:cs="Times New Roman"/>
          <w:sz w:val="24"/>
          <w:szCs w:val="24"/>
          <w:vertAlign w:val="superscript"/>
        </w:rPr>
        <w:t>22</w:t>
      </w:r>
    </w:p>
    <w:p w14:paraId="1B1119D3"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Evidence and Heterogeneity</w:t>
      </w:r>
    </w:p>
    <w:p w14:paraId="7A18819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Inconsistent positive results have been reported in clinical studies on MSC treatment in the management of arthritis. Knee osteoarthritis studies of randomized control trials (RCTs) and open-label studies have also found improvements in pain scales, including the Western Ontario and McMaster Universities Osteoarthritis Index (WOMAC), and functional outcome following intra-articular injection of MSCs. There is also some literature on structural improvements on the MRI, such as more cartilage thickness and fewer cartilage defects.</w:t>
      </w:r>
      <w:r>
        <w:rPr>
          <w:rFonts w:ascii="Times New Roman" w:eastAsia="Times New Roman" w:hAnsi="Times New Roman" w:cs="Times New Roman"/>
          <w:sz w:val="24"/>
          <w:szCs w:val="24"/>
          <w:vertAlign w:val="superscript"/>
        </w:rPr>
        <w:t>23</w:t>
      </w:r>
    </w:p>
    <w:p w14:paraId="192FE10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rheumatoid arthritis, MSC therapy has been observed to have the potential to reduce disease activity and also regulate immune responses, but no clear clinical evidence has been supported in comparison to OA.</w:t>
      </w:r>
      <w:r>
        <w:rPr>
          <w:rFonts w:ascii="Times New Roman" w:eastAsia="Times New Roman" w:hAnsi="Times New Roman" w:cs="Times New Roman"/>
          <w:sz w:val="24"/>
          <w:szCs w:val="24"/>
          <w:vertAlign w:val="superscript"/>
        </w:rPr>
        <w:t>24</w:t>
      </w:r>
    </w:p>
    <w:p w14:paraId="5CD7E64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Nevertheless, there has been a significant heterogeneity among investigations, given the variations in cell sources, production processes, and literature dosing regimens, and outcomes of the studies. Absence of standardized procedures and patient population variability mingle the results interpretation and constrain the externalization of results.</w:t>
      </w:r>
      <w:r>
        <w:rPr>
          <w:rFonts w:ascii="Times New Roman" w:eastAsia="Times New Roman" w:hAnsi="Times New Roman" w:cs="Times New Roman"/>
          <w:sz w:val="24"/>
          <w:szCs w:val="24"/>
          <w:vertAlign w:val="superscript"/>
        </w:rPr>
        <w:t>25</w:t>
      </w:r>
    </w:p>
    <w:p w14:paraId="61A97EB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Safety Profile</w:t>
      </w:r>
    </w:p>
    <w:p w14:paraId="3E6E2AC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MSCs are regarded as poorly harmful, and the majority of clinical trials have few unwanted events. Three months of safety data report that intra-articular MSC injections are safe and that mild and short-term side effects like joint swelling or injection site pain are present.</w:t>
      </w:r>
      <w:r>
        <w:rPr>
          <w:rFonts w:ascii="Times New Roman" w:eastAsia="Times New Roman" w:hAnsi="Times New Roman" w:cs="Times New Roman"/>
          <w:sz w:val="24"/>
          <w:szCs w:val="24"/>
          <w:vertAlign w:val="superscript"/>
        </w:rPr>
        <w:t>26</w:t>
      </w:r>
    </w:p>
    <w:p w14:paraId="236C3CBC"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Tumorigenicity has been pivoted on the fact that stem cells are proliferative, but current studies propose that this is not a significant risk, especially in the case of autologous MSCs. Likewise, </w:t>
      </w:r>
      <w:r>
        <w:rPr>
          <w:rFonts w:ascii="Times New Roman" w:eastAsia="Times New Roman" w:hAnsi="Times New Roman" w:cs="Times New Roman"/>
          <w:sz w:val="24"/>
          <w:szCs w:val="24"/>
        </w:rPr>
        <w:lastRenderedPageBreak/>
        <w:t>the danger of developing ectopic tissues does not seem to be significant in clinical practice. However, there is a lack of long-term safety information, and it must be monitored over the long term.</w:t>
      </w:r>
      <w:r>
        <w:rPr>
          <w:rFonts w:ascii="Times New Roman" w:eastAsia="Times New Roman" w:hAnsi="Times New Roman" w:cs="Times New Roman"/>
          <w:sz w:val="24"/>
          <w:szCs w:val="24"/>
          <w:vertAlign w:val="superscript"/>
        </w:rPr>
        <w:t>27</w:t>
      </w:r>
    </w:p>
    <w:p w14:paraId="0A62B85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Manufacturing and Potency Assessment</w:t>
      </w:r>
    </w:p>
    <w:p w14:paraId="084786E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To ensure the clinical applications of MSC therapies, manufacturing and quality processes under the Good Manufacturing Practice (GMP) conditions are required. Such critical parameters as cell identity (surface marker expression CD73, CD90, CD105), viability, sterility, and lack of contaminants should be considered.</w:t>
      </w:r>
      <w:r>
        <w:rPr>
          <w:rFonts w:ascii="Times New Roman" w:eastAsia="Times New Roman" w:hAnsi="Times New Roman" w:cs="Times New Roman"/>
          <w:sz w:val="24"/>
          <w:szCs w:val="24"/>
          <w:vertAlign w:val="superscript"/>
        </w:rPr>
        <w:t>28</w:t>
      </w:r>
    </w:p>
    <w:p w14:paraId="134C8B57" w14:textId="72BAE2AC" w:rsidR="00ED21D7" w:rsidRPr="00D500F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Potency tests are highly imperative, though they are not well standardized. Immunomodulatory capacity functional assays determine the immunomodulatory capacity, which may include: the T cell proliferation or cytokine secretion profiles. Nevertheless, the absence of standardized measures of potency is one of the significant obstacles to standardizing and reproducibility of MSC-based treatments.</w:t>
      </w:r>
      <w:r w:rsidR="00F6087A">
        <w:rPr>
          <w:rFonts w:ascii="Times New Roman" w:eastAsia="Times New Roman" w:hAnsi="Times New Roman" w:cs="Times New Roman"/>
          <w:sz w:val="24"/>
          <w:szCs w:val="24"/>
          <w:vertAlign w:val="superscript"/>
        </w:rPr>
        <w:t>29</w:t>
      </w:r>
    </w:p>
    <w:p w14:paraId="7A8A4B9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Autologous Chondrocyte Implantation (ACI) and Matrix-Associated ACI (MACI)</w:t>
      </w:r>
    </w:p>
    <w:p w14:paraId="2682C88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Autologous chondrocyte implantation (ACI) is a long-established cell-based form of therapy applied primarily to treat focal chondral defects. This process consists of extracting chondrocytes from an area of the joint without weight support, growing the cells in vitro, and returning them to the defect site.</w:t>
      </w:r>
      <w:r>
        <w:rPr>
          <w:rFonts w:ascii="Times New Roman" w:eastAsia="Times New Roman" w:hAnsi="Times New Roman" w:cs="Times New Roman"/>
          <w:sz w:val="24"/>
          <w:szCs w:val="24"/>
          <w:vertAlign w:val="superscript"/>
        </w:rPr>
        <w:t>30</w:t>
      </w:r>
    </w:p>
    <w:p w14:paraId="0253D9C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Matrix-associated ACI (MACI) is a second-generation approach, whereby cultured chondrocytes are inoculated on a biodegradable scaffold before implantation. The technique enhances the distribution of cells, growth of cells within the host tissue, and minimizes issues that occurred with previous ACI methods.</w:t>
      </w:r>
      <w:r>
        <w:rPr>
          <w:rFonts w:ascii="Times New Roman" w:eastAsia="Times New Roman" w:hAnsi="Times New Roman" w:cs="Times New Roman"/>
          <w:sz w:val="24"/>
          <w:szCs w:val="24"/>
          <w:vertAlign w:val="superscript"/>
        </w:rPr>
        <w:t>31</w:t>
      </w:r>
    </w:p>
    <w:p w14:paraId="65D789DA"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ACI and MACI have reported positive results in patients with focal cartilage defects, such as functional outcome and structural repair. Nevertheless, they have a low efficacy on diffuse osteoarthritis because of the extensive cartilage degeneration and inflammatory backdrop of the joint.</w:t>
      </w:r>
      <w:r>
        <w:rPr>
          <w:rFonts w:ascii="Times New Roman" w:eastAsia="Times New Roman" w:hAnsi="Times New Roman" w:cs="Times New Roman"/>
          <w:sz w:val="24"/>
          <w:szCs w:val="24"/>
          <w:vertAlign w:val="superscript"/>
        </w:rPr>
        <w:t>32</w:t>
      </w:r>
    </w:p>
    <w:p w14:paraId="18D05E1F" w14:textId="7AE4A8BF"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Long-term research studies have shown that the ACI is used to repair a defect with a durable outcome in a limited number of patients with the same outcomes as microfracture, and better results in larger-sized defects. Nonetheless, the process is mechanically challenging, expensive, and involves the use of numerous surgical operations, restricting its application.</w:t>
      </w:r>
      <w:r w:rsidR="00F6087A">
        <w:rPr>
          <w:rFonts w:ascii="Times New Roman" w:eastAsia="Times New Roman" w:hAnsi="Times New Roman" w:cs="Times New Roman"/>
          <w:sz w:val="24"/>
          <w:szCs w:val="24"/>
          <w:vertAlign w:val="superscript"/>
        </w:rPr>
        <w:t>33</w:t>
      </w:r>
    </w:p>
    <w:p w14:paraId="0CB7814A"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3.3. iPSC-Derived Chondrocytes and Engineered Cell Therapies</w:t>
      </w:r>
    </w:p>
    <w:p w14:paraId="76E7A5E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Induced pluripotent stem cells (iPSCs) constitute a potential source of cells that may be used to repair cartilage because they have an unlimited potential to proliferate and form chondrocytes. In opposition to MSCs, iPSCs have the ability to supply cells in theoretically unlimited numbers, which allows the possibility of reproducing a large number of cells that can be used in clinical applications.</w:t>
      </w:r>
      <w:r>
        <w:rPr>
          <w:rFonts w:ascii="Times New Roman" w:eastAsia="Times New Roman" w:hAnsi="Times New Roman" w:cs="Times New Roman"/>
          <w:sz w:val="24"/>
          <w:szCs w:val="24"/>
          <w:vertAlign w:val="superscript"/>
        </w:rPr>
        <w:t>34</w:t>
      </w:r>
    </w:p>
    <w:p w14:paraId="2FD5A88D"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chondrocytes produced using iPSCs have the potential to provide patient-specific therapies, which lower the survival chances of immune rejection. Nevertheless, serious issues still exist, such as the threat of genomic instability, lack of full differentiation, and the possibility of the undifferentiated residual cells being tumorigenic.</w:t>
      </w:r>
      <w:r>
        <w:rPr>
          <w:rFonts w:ascii="Times New Roman" w:eastAsia="Times New Roman" w:hAnsi="Times New Roman" w:cs="Times New Roman"/>
          <w:sz w:val="24"/>
          <w:szCs w:val="24"/>
          <w:vertAlign w:val="superscript"/>
        </w:rPr>
        <w:t>35</w:t>
      </w:r>
    </w:p>
    <w:p w14:paraId="32B00443"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Most current studies are mainly restricted to preclinical studies, in which the iPSC-grown chondrocytes have been shown to produce cartilage-like tissue and enhance the functionality of joints in animal models. Gene editing and other differentiation procedures are under development to ensure the safety and efficacy of such treatments.</w:t>
      </w:r>
      <w:r>
        <w:rPr>
          <w:rFonts w:ascii="Times New Roman" w:eastAsia="Times New Roman" w:hAnsi="Times New Roman" w:cs="Times New Roman"/>
          <w:sz w:val="24"/>
          <w:szCs w:val="24"/>
          <w:vertAlign w:val="superscript"/>
        </w:rPr>
        <w:t>36</w:t>
      </w:r>
    </w:p>
    <w:p w14:paraId="25A04C6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was promised, considerable regulatory and technical obstacles are associated with the clinical translation of iPSC-based therapies. These involve stability of genetic stability, uniform differentiation, and scalable manufacturing. Consequently, the iPSC-derived therapies are still out-of-clinic and not popular yet as a source of clinical therapy.</w:t>
      </w:r>
    </w:p>
    <w:p w14:paraId="11A062B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Cell-Free and Biologic Adjuncts in Arthritis</w:t>
      </w:r>
    </w:p>
    <w:p w14:paraId="50F6CE28"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Platelet-Rich Plasma (PRP)</w:t>
      </w:r>
    </w:p>
    <w:p w14:paraId="274FB4AB" w14:textId="312AAB5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Platelet-rich plasma (PRP) is a product that is obtained from autologous blood, where the platelets are suspended in plasma. It is acquired by centrifugation of whole blood, and the fraction is enriched with platelets, growth factors, cytokines, and bioactive proteins. The main ingredients of PRP are platelet-derived growth factor (PDGF), transforming growth factor-β (TGF-β), vascular endothelial growth factor (VEGF), insulin-like growth factor- 1 (IGF- 1), and fibroblast growth factor (FGF), which are vital in tissue repair and regeneration.</w:t>
      </w:r>
      <w:r>
        <w:rPr>
          <w:rFonts w:ascii="Times New Roman" w:eastAsia="Times New Roman" w:hAnsi="Times New Roman" w:cs="Times New Roman"/>
          <w:sz w:val="24"/>
          <w:szCs w:val="24"/>
          <w:vertAlign w:val="superscript"/>
        </w:rPr>
        <w:t>37</w:t>
      </w:r>
    </w:p>
    <w:p w14:paraId="37D2B952" w14:textId="4CFBD72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PRP is involved in the treatment of arthritis by means of its potential to control inflammatory processes and </w:t>
      </w:r>
      <w:proofErr w:type="spellStart"/>
      <w:r>
        <w:rPr>
          <w:rFonts w:ascii="Times New Roman" w:eastAsia="Times New Roman" w:hAnsi="Times New Roman" w:cs="Times New Roman"/>
          <w:sz w:val="24"/>
          <w:szCs w:val="24"/>
        </w:rPr>
        <w:t>catalyze</w:t>
      </w:r>
      <w:proofErr w:type="spellEnd"/>
      <w:r>
        <w:rPr>
          <w:rFonts w:ascii="Times New Roman" w:eastAsia="Times New Roman" w:hAnsi="Times New Roman" w:cs="Times New Roman"/>
          <w:sz w:val="24"/>
          <w:szCs w:val="24"/>
        </w:rPr>
        <w:t xml:space="preserve"> anabolic joint events. PRP has been demonstrated to down-regulate pro-inflammatory cytokines, including IL-1β and TNF-α, and increase the production of extracellular matrix, including collagen type II and proteoglycans. Moreover, the PRP has the </w:t>
      </w:r>
      <w:r>
        <w:rPr>
          <w:rFonts w:ascii="Times New Roman" w:eastAsia="Times New Roman" w:hAnsi="Times New Roman" w:cs="Times New Roman"/>
          <w:sz w:val="24"/>
          <w:szCs w:val="24"/>
        </w:rPr>
        <w:lastRenderedPageBreak/>
        <w:t>potential to cause chondrocytes to multiply and inhibit the process of cell death or apoptosis, thus preserving cartilage.</w:t>
      </w:r>
      <w:r>
        <w:rPr>
          <w:rFonts w:ascii="Times New Roman" w:eastAsia="Times New Roman" w:hAnsi="Times New Roman" w:cs="Times New Roman"/>
          <w:sz w:val="24"/>
          <w:szCs w:val="24"/>
          <w:vertAlign w:val="superscript"/>
        </w:rPr>
        <w:t>38</w:t>
      </w:r>
    </w:p>
    <w:p w14:paraId="2A1C5748" w14:textId="74792BD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clinical trials comparing the PRP as a treatment option in osteoarthritis, specifically in knee OA, have shown a consistent reduction in pain and stimulated outcomes on a functional level. In randomized controlled trials, it has been reported that a decrease in pain scores (e.g., WOMAC, VAS) and joint functioning changes positively when compared to placebo or hyaluronic acid injections. The extent of these effects, however, does not have such durations, and as has been supported in studies by the majority of researchers, most effects that have been proven to be beneficial have a duration between 6 to 12 months.</w:t>
      </w:r>
      <w:r>
        <w:rPr>
          <w:rFonts w:ascii="Times New Roman" w:eastAsia="Times New Roman" w:hAnsi="Times New Roman" w:cs="Times New Roman"/>
          <w:sz w:val="24"/>
          <w:szCs w:val="24"/>
          <w:vertAlign w:val="superscript"/>
        </w:rPr>
        <w:t>39</w:t>
      </w:r>
    </w:p>
    <w:p w14:paraId="1C4D2C7E" w14:textId="6128F8B5" w:rsidR="00ED21D7" w:rsidRPr="00F6087A"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Regardless of the encouraging outcome, another significant drawback of PRP treatment is the high degree of discrepancy in the preparation regimes. Centrifugation techniques, platelet concentration, leukocyte content (leukocyte-rich and leukocyte-poor PRP), and activation methods have vast effects on the biological activity of PRP. This standardization non-conformity leads to differences in clinical outcomes and restricts the comparability of studies.</w:t>
      </w:r>
      <w:r w:rsidR="00F6087A">
        <w:rPr>
          <w:rFonts w:ascii="Times New Roman" w:eastAsia="Times New Roman" w:hAnsi="Times New Roman" w:cs="Times New Roman"/>
          <w:sz w:val="24"/>
          <w:szCs w:val="24"/>
          <w:vertAlign w:val="superscript"/>
        </w:rPr>
        <w:t>40</w:t>
      </w:r>
    </w:p>
    <w:p w14:paraId="57B08E4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Extracellular Vesicles and Exosomes</w:t>
      </w:r>
    </w:p>
    <w:p w14:paraId="2B4E1B19"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Exosomes are extracellular </w:t>
      </w:r>
      <w:proofErr w:type="spellStart"/>
      <w:r>
        <w:rPr>
          <w:rFonts w:ascii="Times New Roman" w:eastAsia="Times New Roman" w:hAnsi="Times New Roman" w:cs="Times New Roman"/>
          <w:sz w:val="24"/>
          <w:szCs w:val="24"/>
        </w:rPr>
        <w:t>vesicles</w:t>
      </w:r>
      <w:proofErr w:type="spellEnd"/>
      <w:r>
        <w:rPr>
          <w:rFonts w:ascii="Times New Roman" w:eastAsia="Times New Roman" w:hAnsi="Times New Roman" w:cs="Times New Roman"/>
          <w:sz w:val="24"/>
          <w:szCs w:val="24"/>
        </w:rPr>
        <w:t xml:space="preserve"> (EVs), membrane-bound vesicles of cellular origin that are nanoscale and which are important in intercellular communication. The use of MSC-derived EVs in cell-free therapy to provide comparable therapeutic outcomes of MSCs, but without the harms of live cell-transplantation, has attracted considerable interest as an alternative to stem cell therapy.</w:t>
      </w:r>
      <w:r>
        <w:rPr>
          <w:rFonts w:ascii="Times New Roman" w:eastAsia="Times New Roman" w:hAnsi="Times New Roman" w:cs="Times New Roman"/>
          <w:sz w:val="24"/>
          <w:szCs w:val="24"/>
          <w:vertAlign w:val="superscript"/>
        </w:rPr>
        <w:t>41</w:t>
      </w:r>
    </w:p>
    <w:p w14:paraId="6E724C7F"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EVs carry an elaborate cargo of bioactive molecules, such as proteins, lipids, and nucleic acids, such as microRNAs (miRNAs), which can tell recipient cells about what to do with their genes. Regarding arthritis, EVs were also found to control inflammatory signatures, stimulate chondrocyte growth and development, and improve the formation of the extracellular matrix. Certain miRNAs in EVs may block the catabolic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 and suppress the expression of enzymes that destroy the matrix, like MMPs and ADAMTS.</w:t>
      </w:r>
      <w:r>
        <w:rPr>
          <w:rFonts w:ascii="Times New Roman" w:eastAsia="Times New Roman" w:hAnsi="Times New Roman" w:cs="Times New Roman"/>
          <w:sz w:val="24"/>
          <w:szCs w:val="24"/>
          <w:vertAlign w:val="superscript"/>
        </w:rPr>
        <w:t>42</w:t>
      </w:r>
    </w:p>
    <w:p w14:paraId="31ED89B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Animal models of osteoarthritis have shown that EV administration is able to prevent cartilage degradation, synovial inflammation, and enhance joint function. EVs have a number of benefits over MSCs, such as reduced immunogenicity, a better safety record, storage ease, and potential to be mass-manufactured, among others.</w:t>
      </w:r>
      <w:r>
        <w:rPr>
          <w:rFonts w:ascii="Times New Roman" w:eastAsia="Times New Roman" w:hAnsi="Times New Roman" w:cs="Times New Roman"/>
          <w:sz w:val="24"/>
          <w:szCs w:val="24"/>
          <w:vertAlign w:val="superscript"/>
        </w:rPr>
        <w:t>43</w:t>
      </w:r>
    </w:p>
    <w:p w14:paraId="00C9FD3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Nevertheless, there are still serious challenges of translation. There is no commonly used standard isolation and purification procedure to produce EVs, and this results in yield and composition variability. Also, their clinical development would be complicated by the absence of effective characterization methods and potency tests. EV-based therapies remain under development in regulatory frameworks, thus further postponing their adoption into everyday clinical practice.</w:t>
      </w:r>
      <w:r>
        <w:rPr>
          <w:rFonts w:ascii="Times New Roman" w:eastAsia="Times New Roman" w:hAnsi="Times New Roman" w:cs="Times New Roman"/>
          <w:sz w:val="24"/>
          <w:szCs w:val="24"/>
          <w:vertAlign w:val="superscript"/>
        </w:rPr>
        <w:t>44</w:t>
      </w:r>
    </w:p>
    <w:p w14:paraId="6002F8F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Factor-Based Therapies</w:t>
      </w:r>
    </w:p>
    <w:p w14:paraId="6D173151"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Growth factors are involved in the central regulation of cartilage homeostasis and regeneration, and are involved in controlling proliferation, differentiation, and matrix synthesis of the cell. Various growth factors, such as transforming growth factor-β (TGF-β), bone morphogenetic proteins (BMPs), and fibroblast growth factors (FGFs) have been tested to have therapeutic value in arthritis.</w:t>
      </w:r>
      <w:r>
        <w:rPr>
          <w:rFonts w:ascii="Times New Roman" w:eastAsia="Times New Roman" w:hAnsi="Times New Roman" w:cs="Times New Roman"/>
          <w:sz w:val="24"/>
          <w:szCs w:val="24"/>
          <w:vertAlign w:val="superscript"/>
        </w:rPr>
        <w:t>45</w:t>
      </w:r>
    </w:p>
    <w:p w14:paraId="2DCBDE32"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TGF-β is a major mediator of chondrogenesis, and it enhances the production of extracellular matrix components. However, high or unimpeded TGF-β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has been linked to adverse effects such as osteophyte and synovial fibrosis formation. Equally, the BMPs, especially BMP-2 and BMP-7, have been shown to induce cartilage healing yet also cause ectopic bone growth unless carefully controlled.</w:t>
      </w:r>
      <w:r>
        <w:rPr>
          <w:rFonts w:ascii="Times New Roman" w:eastAsia="Times New Roman" w:hAnsi="Times New Roman" w:cs="Times New Roman"/>
          <w:sz w:val="24"/>
          <w:szCs w:val="24"/>
          <w:vertAlign w:val="superscript"/>
        </w:rPr>
        <w:t>46</w:t>
      </w:r>
    </w:p>
    <w:p w14:paraId="0118020E"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effects of FGFs differ dramatically in relation to the isoform and scenario. Some FGFs do induce cartilage repair; however, others can also mediate cartilage degradation, which underscores the intricacy of growth factor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in the biology of joints.</w:t>
      </w:r>
      <w:r>
        <w:rPr>
          <w:rFonts w:ascii="Times New Roman" w:eastAsia="Times New Roman" w:hAnsi="Times New Roman" w:cs="Times New Roman"/>
          <w:sz w:val="24"/>
          <w:szCs w:val="24"/>
          <w:vertAlign w:val="superscript"/>
        </w:rPr>
        <w:t>47</w:t>
      </w:r>
    </w:p>
    <w:p w14:paraId="1113770E" w14:textId="681E648E"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short half-lives of these molecules and the difficulty of achieving sustained, local delivery are major problems associated with growth factor therapy. To overcome this, biomaterial-based controlled-release systems, which include hydrogels and </w:t>
      </w:r>
      <w:r w:rsidRPr="000D0052">
        <w:rPr>
          <w:rFonts w:ascii="Times New Roman" w:eastAsia="Times New Roman" w:hAnsi="Times New Roman" w:cs="Times New Roman"/>
          <w:sz w:val="24"/>
          <w:szCs w:val="24"/>
          <w:highlight w:val="yellow"/>
        </w:rPr>
        <w:t>nanoparticles, have</w:t>
      </w:r>
      <w:r>
        <w:rPr>
          <w:rFonts w:ascii="Times New Roman" w:eastAsia="Times New Roman" w:hAnsi="Times New Roman" w:cs="Times New Roman"/>
          <w:sz w:val="24"/>
          <w:szCs w:val="24"/>
        </w:rPr>
        <w:t xml:space="preserve"> been established to effectively deliver drugs and improve the efficacy of the therapy, but with reduced side effects.</w:t>
      </w:r>
      <w:r>
        <w:rPr>
          <w:rFonts w:ascii="Times New Roman" w:eastAsia="Times New Roman" w:hAnsi="Times New Roman" w:cs="Times New Roman"/>
          <w:sz w:val="24"/>
          <w:szCs w:val="24"/>
          <w:vertAlign w:val="superscript"/>
        </w:rPr>
        <w:t>48</w:t>
      </w:r>
    </w:p>
    <w:p w14:paraId="32CB0EC2"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Combination Strategies</w:t>
      </w:r>
    </w:p>
    <w:p w14:paraId="3301F012"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complexity of the pathophysiology of arthritis, the combination of different regenerative approaches is becoming more and more widely discussed with the aim to increase the treatment outcomes. These approaches are intended to work jointly on various levels of degeneration of the joint, such as inflammation, cartilage regeneration, and tissue assimilation.</w:t>
      </w:r>
    </w:p>
    <w:p w14:paraId="6C63BE96"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Combining MSCs with MSCs has been reported to respond to PRP favourably because it has the capability to increase MSC proliferation, preservation, and differentiation, besides supplementing it with other growth factors that will promote tissue regeneration. Likewise, cell retention, mechanical stability, and cell-host tissue integration are enhanced by the use of the MSCs on the biomaterial scaffold.</w:t>
      </w:r>
      <w:r>
        <w:rPr>
          <w:rFonts w:ascii="Times New Roman" w:eastAsia="Times New Roman" w:hAnsi="Times New Roman" w:cs="Times New Roman"/>
          <w:sz w:val="24"/>
          <w:szCs w:val="24"/>
          <w:vertAlign w:val="superscript"/>
        </w:rPr>
        <w:t>49</w:t>
      </w:r>
    </w:p>
    <w:p w14:paraId="4993731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novel approach involves extracellular vesicles with the use of hydrogels, which can allow the release and local delivery of bioactive molecules in the joint on a sustained basis. These systems increase EV stability and therapeutic effectiveness as well as deliver a favourable microenvironment to support tissue repair.</w:t>
      </w:r>
      <w:r>
        <w:rPr>
          <w:rFonts w:ascii="Times New Roman" w:eastAsia="Times New Roman" w:hAnsi="Times New Roman" w:cs="Times New Roman"/>
          <w:sz w:val="24"/>
          <w:szCs w:val="24"/>
          <w:vertAlign w:val="superscript"/>
        </w:rPr>
        <w:t>50</w:t>
      </w:r>
    </w:p>
    <w:p w14:paraId="38B345D9"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 therapies have not been translationally approved into clinical practice, notwithstanding encouraging preclinical evidence. The problems are more complexity of manufacturing, approval of regulatory, and well-crafted clinical trials to determine safety and efficacy. The optimization of therapeutic combinations and standardization of protocols should be necessary to further develop such strategies to a clinical application level.</w:t>
      </w:r>
    </w:p>
    <w:p w14:paraId="508B5F6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Tissue Engineering and Scaffolds</w:t>
      </w:r>
    </w:p>
    <w:p w14:paraId="0DD82739"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Scaffold Materials: Natural, Synthetic, and Hybrid Systems</w:t>
      </w:r>
    </w:p>
    <w:p w14:paraId="386574A6" w14:textId="7BDA240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cartilage regenerative techniques in tissue engineering involve the application of scaffolds that offer mechanical backup, allow cell settlement, and resemble the native extracellular matrix (ECM). A perfect scaffold must be biocompatible, biodegradable, mechanically stable, and sustaining chondrogenesis as well as uniting well with host tissue.</w:t>
      </w:r>
      <w:r>
        <w:rPr>
          <w:rFonts w:ascii="Times New Roman" w:eastAsia="Times New Roman" w:hAnsi="Times New Roman" w:cs="Times New Roman"/>
          <w:sz w:val="24"/>
          <w:szCs w:val="24"/>
          <w:vertAlign w:val="superscript"/>
        </w:rPr>
        <w:t>51</w:t>
      </w:r>
    </w:p>
    <w:p w14:paraId="2738CDF6" w14:textId="58552C01"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collagen, hyaluronic acid, chitosan, and alginate are natural biomaterials used extensively as they possess an inherent biocompatibility and also resemble the native cartilage ECM structure. Collagen-based scaffolds enhance the cell arrest and chondrogenic differentiation, whereas hyaluronic acid aids the tissue hydration and organization of the matrix. Nevertheless, these materials are usually affected by low mechanical strength and a very high rate of degradation, making them inapplicable in load-bearing systems as joints.</w:t>
      </w:r>
      <w:r>
        <w:rPr>
          <w:rFonts w:ascii="Times New Roman" w:eastAsia="Times New Roman" w:hAnsi="Times New Roman" w:cs="Times New Roman"/>
          <w:sz w:val="24"/>
          <w:szCs w:val="24"/>
          <w:vertAlign w:val="superscript"/>
        </w:rPr>
        <w:t>52</w:t>
      </w:r>
    </w:p>
    <w:p w14:paraId="49421F0C" w14:textId="5685F981"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Synthetic polymers such as </w:t>
      </w:r>
      <w:r w:rsidRPr="000D0052">
        <w:rPr>
          <w:rFonts w:ascii="Times New Roman" w:eastAsia="Times New Roman" w:hAnsi="Times New Roman" w:cs="Times New Roman"/>
          <w:sz w:val="24"/>
          <w:szCs w:val="24"/>
          <w:highlight w:val="yellow"/>
        </w:rPr>
        <w:t>poly</w:t>
      </w:r>
      <w:r w:rsidR="000D0052" w:rsidRPr="000D0052">
        <w:rPr>
          <w:rFonts w:ascii="Times New Roman" w:eastAsia="Times New Roman" w:hAnsi="Times New Roman" w:cs="Times New Roman"/>
          <w:sz w:val="24"/>
          <w:szCs w:val="24"/>
          <w:highlight w:val="yellow"/>
        </w:rPr>
        <w:t xml:space="preserve"> </w:t>
      </w:r>
      <w:r w:rsidRPr="000D0052">
        <w:rPr>
          <w:rFonts w:ascii="Times New Roman" w:eastAsia="Times New Roman" w:hAnsi="Times New Roman" w:cs="Times New Roman"/>
          <w:sz w:val="24"/>
          <w:szCs w:val="24"/>
          <w:highlight w:val="yellow"/>
        </w:rPr>
        <w:t>(l</w:t>
      </w:r>
      <w:r>
        <w:rPr>
          <w:rFonts w:ascii="Times New Roman" w:eastAsia="Times New Roman" w:hAnsi="Times New Roman" w:cs="Times New Roman"/>
          <w:sz w:val="24"/>
          <w:szCs w:val="24"/>
        </w:rPr>
        <w:t xml:space="preserve">actic-co-glycolic acid) (PLGA) and polycaprolactone (PCL) give control over mechanical properties, degradation rate, and are reproducible in the production process. These properties render them appropriate in the preparation of scaffolds that would withstand mechanical tension. But synthetic materials are not inherently bioactive, </w:t>
      </w:r>
      <w:r>
        <w:rPr>
          <w:rFonts w:ascii="Times New Roman" w:eastAsia="Times New Roman" w:hAnsi="Times New Roman" w:cs="Times New Roman"/>
          <w:sz w:val="24"/>
          <w:szCs w:val="24"/>
        </w:rPr>
        <w:lastRenderedPageBreak/>
        <w:t>and in most cases, they need to be functionalized or incorporate biological cues in order to improve cellular responses.</w:t>
      </w:r>
      <w:r>
        <w:rPr>
          <w:rFonts w:ascii="Times New Roman" w:eastAsia="Times New Roman" w:hAnsi="Times New Roman" w:cs="Times New Roman"/>
          <w:sz w:val="24"/>
          <w:szCs w:val="24"/>
          <w:vertAlign w:val="superscript"/>
        </w:rPr>
        <w:t>53</w:t>
      </w:r>
    </w:p>
    <w:p w14:paraId="08ADF08C" w14:textId="6ACB6586"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Hybrid scaffolds are natural scaffolds that are mixed with a synthetic scaffold to take advantage of the strengths of the two systems. The improved mechanical stability and retained biological compatibility of these composites have made them even more interesting to cartilage tissue engineering processes.</w:t>
      </w:r>
      <w:r>
        <w:rPr>
          <w:rFonts w:ascii="Times New Roman" w:eastAsia="Times New Roman" w:hAnsi="Times New Roman" w:cs="Times New Roman"/>
          <w:sz w:val="24"/>
          <w:szCs w:val="24"/>
          <w:vertAlign w:val="superscript"/>
        </w:rPr>
        <w:t>54</w:t>
      </w:r>
    </w:p>
    <w:p w14:paraId="13F1CE87"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3D Bioprinting and Zonal Cartilage Engineering</w:t>
      </w:r>
    </w:p>
    <w:p w14:paraId="3E8CD634" w14:textId="1802A87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3D (or three dimensional-3D) bioprinting technology has become a disruptive technology in the field of cartilage tissue engineering, as it allows the creation of complex and biomimetic scaffold architecture. The technology can enable the exact spatial regulation of cell placement, of biomaterial composition, and structural design, which allows the production of constructs that are highly similar to native cartilage.</w:t>
      </w:r>
      <w:r>
        <w:rPr>
          <w:rFonts w:ascii="Times New Roman" w:eastAsia="Times New Roman" w:hAnsi="Times New Roman" w:cs="Times New Roman"/>
          <w:sz w:val="24"/>
          <w:szCs w:val="24"/>
          <w:vertAlign w:val="superscript"/>
        </w:rPr>
        <w:t>54</w:t>
      </w:r>
    </w:p>
    <w:p w14:paraId="3C025578" w14:textId="044AF034"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There is a recognizable zonal structure of articular cartilage, and both cell morphology, collagen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xml:space="preserve"> orientation, and biochemical composition differ between superficial, middle, and deep zones. This zonal architecture is vital to replicate and attain functional regeneration. The presence of advanced bioprinting allows the production of multilayered constructs with gradient characteristics, which resemble the cartilage nature and functioning of an organism.</w:t>
      </w:r>
      <w:r>
        <w:rPr>
          <w:rFonts w:ascii="Times New Roman" w:eastAsia="Times New Roman" w:hAnsi="Times New Roman" w:cs="Times New Roman"/>
          <w:sz w:val="24"/>
          <w:szCs w:val="24"/>
          <w:vertAlign w:val="superscript"/>
        </w:rPr>
        <w:t>57</w:t>
      </w:r>
    </w:p>
    <w:p w14:paraId="4095A87F" w14:textId="4130B2DF"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Although these have been developed, there are still major challenges, especially in attaining adequate mechanical strength and probable durability of </w:t>
      </w:r>
      <w:proofErr w:type="spellStart"/>
      <w:r>
        <w:rPr>
          <w:rFonts w:ascii="Times New Roman" w:eastAsia="Times New Roman" w:hAnsi="Times New Roman" w:cs="Times New Roman"/>
          <w:sz w:val="24"/>
          <w:szCs w:val="24"/>
        </w:rPr>
        <w:t>bioprinted</w:t>
      </w:r>
      <w:proofErr w:type="spellEnd"/>
      <w:r>
        <w:rPr>
          <w:rFonts w:ascii="Times New Roman" w:eastAsia="Times New Roman" w:hAnsi="Times New Roman" w:cs="Times New Roman"/>
          <w:sz w:val="24"/>
          <w:szCs w:val="24"/>
        </w:rPr>
        <w:t xml:space="preserve"> constructs under the conditions of physiological loading.</w:t>
      </w:r>
      <w:r>
        <w:rPr>
          <w:rFonts w:ascii="Times New Roman" w:eastAsia="Times New Roman" w:hAnsi="Times New Roman" w:cs="Times New Roman"/>
          <w:sz w:val="24"/>
          <w:szCs w:val="24"/>
          <w:vertAlign w:val="superscript"/>
        </w:rPr>
        <w:t>57</w:t>
      </w:r>
    </w:p>
    <w:p w14:paraId="486DEA0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Mechanical Considerations, Integration, and Nutrient Diffusion</w:t>
      </w:r>
    </w:p>
    <w:p w14:paraId="3BB8CD5D" w14:textId="49EDB08A"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the cartilage regeneration process, mechanical properties serve as an important indicator of scaffold functionality. To respond to movement of the joints, native cartilage has viscoelastic characteristics that enable force compression and shearing. These mechanical properties need to be reproduced using scaffolds, and they should provide sufficient support to withstand structural failure.</w:t>
      </w:r>
      <w:r>
        <w:rPr>
          <w:rFonts w:ascii="Times New Roman" w:eastAsia="Times New Roman" w:hAnsi="Times New Roman" w:cs="Times New Roman"/>
          <w:sz w:val="24"/>
          <w:szCs w:val="24"/>
          <w:vertAlign w:val="superscript"/>
        </w:rPr>
        <w:t>55</w:t>
      </w:r>
    </w:p>
    <w:p w14:paraId="3BAB3E0E" w14:textId="3E9A7A12"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Good incorporation into the host tissue is critical for long-term functionality. Lack of integration may lead to the delamination and mechanical instability of the final results of repair. Financial tactics of enhancing the integration involve bioactive coatings, gradient scaffolds, </w:t>
      </w:r>
      <w:r>
        <w:rPr>
          <w:rFonts w:ascii="Times New Roman" w:eastAsia="Times New Roman" w:hAnsi="Times New Roman" w:cs="Times New Roman"/>
          <w:sz w:val="24"/>
          <w:szCs w:val="24"/>
        </w:rPr>
        <w:lastRenderedPageBreak/>
        <w:t xml:space="preserve">and the implementation of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molecules that induce cell migration and continuum of the matrix.</w:t>
      </w:r>
      <w:r>
        <w:rPr>
          <w:rFonts w:ascii="Times New Roman" w:eastAsia="Times New Roman" w:hAnsi="Times New Roman" w:cs="Times New Roman"/>
          <w:sz w:val="24"/>
          <w:szCs w:val="24"/>
          <w:vertAlign w:val="superscript"/>
        </w:rPr>
        <w:t>56</w:t>
      </w:r>
    </w:p>
    <w:p w14:paraId="33786DB0" w14:textId="4749D982"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use of avascular cartilage structure makes the diffusion of nutrients vital to the survival of cells in engineered constructs. Porosity and interconnectivity of the scaffolds should be maximized so that oxygen and nutrients can move freely, and that the metabolic waste can move out, and structural integrity should be preserved.</w:t>
      </w:r>
      <w:r>
        <w:rPr>
          <w:rFonts w:ascii="Times New Roman" w:eastAsia="Times New Roman" w:hAnsi="Times New Roman" w:cs="Times New Roman"/>
          <w:sz w:val="24"/>
          <w:szCs w:val="24"/>
          <w:vertAlign w:val="superscript"/>
        </w:rPr>
        <w:t>51</w:t>
      </w:r>
    </w:p>
    <w:p w14:paraId="2E14C12B"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Clinical Translation and Limitations</w:t>
      </w:r>
    </w:p>
    <w:p w14:paraId="6D436C5B" w14:textId="772A295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number of scaffold systems have moved to clinical trials, most often with cell-based systems as matrix-associated autologous chondrocyte implantation (MACI). These treatments have shown better structural and functional correction of patients with focal cartilage defects.</w:t>
      </w:r>
      <w:r>
        <w:rPr>
          <w:rFonts w:ascii="Times New Roman" w:eastAsia="Times New Roman" w:hAnsi="Times New Roman" w:cs="Times New Roman"/>
          <w:sz w:val="24"/>
          <w:szCs w:val="24"/>
          <w:vertAlign w:val="superscript"/>
        </w:rPr>
        <w:t>56</w:t>
      </w:r>
    </w:p>
    <w:p w14:paraId="4EA0C1D0" w14:textId="277FE12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Clinical translation has, however, not been widely translated because of various factors. The influence of variance in the characteristics of patients, defect size, and joint environment adds to disparate clinical results. Also, there is difficulty in producing scaffolds, regulatory aspects, and high prices of advanced technology like 3D bioprinting create access barriers.</w:t>
      </w:r>
      <w:r>
        <w:rPr>
          <w:rFonts w:ascii="Times New Roman" w:eastAsia="Times New Roman" w:hAnsi="Times New Roman" w:cs="Times New Roman"/>
          <w:sz w:val="24"/>
          <w:szCs w:val="24"/>
          <w:vertAlign w:val="superscript"/>
        </w:rPr>
        <w:t>57</w:t>
      </w:r>
    </w:p>
    <w:p w14:paraId="083831FE"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no available long-term data on the durability and integration into the functioning of planned clinical trials with a long-term outcome. These concerns have to be addressed to ensure effective translation of the scaffold-based therapies into the routine clinical setting.</w:t>
      </w:r>
    </w:p>
    <w:p w14:paraId="6EE2803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Gene Therapy and Gene-Enhanced Cell Therapies</w:t>
      </w:r>
    </w:p>
    <w:p w14:paraId="025CA402" w14:textId="6FECFE5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Gene therapy is a high-tech regenerative approach to changing the functionality of cells in order to repair cartilage, prevent inflammation, and restore joint homeostasis. In contrast to traditional biologic therapies, which cannot be administered twice to achieve long-term effects, gene therapy allows long-term, local gene production in the joint, which can potentially increase efficacy and reduce systemic exposures.</w:t>
      </w:r>
      <w:r>
        <w:rPr>
          <w:rFonts w:ascii="Times New Roman" w:eastAsia="Times New Roman" w:hAnsi="Times New Roman" w:cs="Times New Roman"/>
          <w:sz w:val="24"/>
          <w:szCs w:val="24"/>
          <w:vertAlign w:val="superscript"/>
        </w:rPr>
        <w:t>57</w:t>
      </w:r>
    </w:p>
    <w:p w14:paraId="370C89DD"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Viral and Non-Viral Gene Delivery Approaches</w:t>
      </w:r>
    </w:p>
    <w:p w14:paraId="7711B269" w14:textId="71E533E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general, there are two basic types of gene delivery systems, viral and non-viral vectors, each of which has its own pros and cons. The use of viral vectors such as adenoviral, adeno-associated viral (AAV), and lentiviral systems is widespread due to their high levels of transduction and their capacity to obtain sustained gene expression. Of these, AAV vectors are especially useful in musculoskeletal systems due to their relative immunogenicity and their long-term expression in non-dividing cells like chondrocytes.</w:t>
      </w:r>
      <w:r>
        <w:rPr>
          <w:rFonts w:ascii="Times New Roman" w:eastAsia="Times New Roman" w:hAnsi="Times New Roman" w:cs="Times New Roman"/>
          <w:sz w:val="24"/>
          <w:szCs w:val="24"/>
          <w:vertAlign w:val="superscript"/>
        </w:rPr>
        <w:t>58</w:t>
      </w:r>
    </w:p>
    <w:p w14:paraId="7CF64FCA" w14:textId="0105140A"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of the genomic areas of therapeutic interest in genetic therapy of arthritis is the expression of anti-inflammatory genes. Interleukin-1 receptor antagonist (IL-1Ra) is a research topic that has been well researched on the basis of its ability to inhibit IL-1β signals, which are critical in cartilage destruction. Likewise, interleukin-10 (IL-10) has shown the capacity to restrain the inflammatory reaction and to mediate the immune reaction within the joint microenvironment.</w:t>
      </w:r>
      <w:r>
        <w:rPr>
          <w:rFonts w:ascii="Times New Roman" w:eastAsia="Times New Roman" w:hAnsi="Times New Roman" w:cs="Times New Roman"/>
          <w:sz w:val="24"/>
          <w:szCs w:val="24"/>
          <w:vertAlign w:val="superscript"/>
        </w:rPr>
        <w:t>57</w:t>
      </w:r>
    </w:p>
    <w:p w14:paraId="105FFD1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Anabolic gene delivery methods, in addition to anti-inflammatory strategies, are also aimed at improving cartilage regeneration. The induction of growth factors like bone morphogenetic proteins (BMPs), transforming growth factor- beta (TGF-β) plays a significant role in controlling the chondrogenesis process and production of extracellular matrix. Nevertheless, they may be negatively expressed in the absence of external regulation, resulting in manifestations of osteophyte or fibrosis, which is why closely regulated systems of gene expression are crucial.</w:t>
      </w:r>
      <w:r>
        <w:rPr>
          <w:rFonts w:ascii="Times New Roman" w:eastAsia="Times New Roman" w:hAnsi="Times New Roman" w:cs="Times New Roman"/>
          <w:sz w:val="24"/>
          <w:szCs w:val="24"/>
          <w:vertAlign w:val="superscript"/>
        </w:rPr>
        <w:t>44</w:t>
      </w:r>
    </w:p>
    <w:p w14:paraId="4D7CDC7B" w14:textId="35A9812A"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Non-viral delivery methods, such as plasmid DNA systems and nanoparticle-based delivery vehicles, provide enhanced safety because of the lack of risky factors of viral integration and immunological reactions. Nevertheless, they have a relatively low transfection efficiency and a short-lived gene expression, which are significant limitations, and their clinical usefulness is not yet complete.</w:t>
      </w:r>
      <w:r>
        <w:rPr>
          <w:rFonts w:ascii="Times New Roman" w:eastAsia="Times New Roman" w:hAnsi="Times New Roman" w:cs="Times New Roman"/>
          <w:sz w:val="24"/>
          <w:szCs w:val="24"/>
          <w:vertAlign w:val="superscript"/>
        </w:rPr>
        <w:t>58</w:t>
      </w:r>
      <w:r w:rsidR="00FD7F49">
        <w:rPr>
          <w:rFonts w:ascii="Times New Roman" w:eastAsia="Times New Roman" w:hAnsi="Times New Roman" w:cs="Times New Roman"/>
          <w:sz w:val="24"/>
          <w:szCs w:val="24"/>
          <w:vertAlign w:val="superscript"/>
        </w:rPr>
        <w:t>,59</w:t>
      </w:r>
    </w:p>
    <w:p w14:paraId="4A2329F5"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Gene-Enhanced Cell Therapies (Ex Vivo Approaches)</w:t>
      </w:r>
    </w:p>
    <w:p w14:paraId="420D7C96"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 vivo gene therapy includes the genetic engineering of cells in the extracorporeal system and then transplantation into the target organ. It is an approach that integrates the cell-based therapeutic potential of regeneration and prolonged delivery of therapeutic molecules.</w:t>
      </w:r>
    </w:p>
    <w:p w14:paraId="1A716581" w14:textId="05B42605"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Mesenchymal stem cells (MSCs) offer the most restricted opportunity of using gene-enhanced therapies because of their immunomodulatory, differentiation, and localized capacity to tissue injury locations. MSCs can also be modified to secrete anti-inflammatory cytokines like IL-1Ra or anabolic growth factors like BMPs to improve their therapeutic activity.</w:t>
      </w:r>
      <w:r>
        <w:rPr>
          <w:rFonts w:ascii="Times New Roman" w:eastAsia="Times New Roman" w:hAnsi="Times New Roman" w:cs="Times New Roman"/>
          <w:sz w:val="24"/>
          <w:szCs w:val="24"/>
          <w:vertAlign w:val="superscript"/>
        </w:rPr>
        <w:t>60</w:t>
      </w:r>
    </w:p>
    <w:p w14:paraId="0B4FC5A1" w14:textId="6B233454"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Preclinical research has also found that gene-modified MSCs are more effective than unmodified ones in terms of cartilage repair effects, inflammation, and long-term therapeutic effects. This is another method of overcoming the short half-life of the biologics that are directly supplied, as it allows the therapeutic proteins to be produced locally.</w:t>
      </w:r>
      <w:r>
        <w:rPr>
          <w:rFonts w:ascii="Times New Roman" w:eastAsia="Times New Roman" w:hAnsi="Times New Roman" w:cs="Times New Roman"/>
          <w:sz w:val="24"/>
          <w:szCs w:val="24"/>
          <w:vertAlign w:val="superscript"/>
        </w:rPr>
        <w:t>57</w:t>
      </w:r>
    </w:p>
    <w:p w14:paraId="0E5D7B12"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Nonetheless, the ex vivo gene therapy strategies are linked to a higher level of complexity, higher cost, and production. The quality of these therapies is important and should be controlled by rigorous assays, such as gene expression, cell viability, and safety before implantation, and this could be a limitation to scaling the therapy and making it a common clinical practice.</w:t>
      </w:r>
    </w:p>
    <w:p w14:paraId="3347234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Safety, Off-Target Effects, and Regulatory Considerations</w:t>
      </w:r>
    </w:p>
    <w:p w14:paraId="4B20338D" w14:textId="409B624B"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Gene therapies are also vital in terms of their potential in therapy, and cause serious safety concerns. There is a risk of insertional mutagenesis that can be caused by viral vectors, especially integrating viruses, like lentiviruses, and alter host gene activity and, thus, cause oncogenesis. Though this risk can be minimized by non-integrating vectors, e.g., AAV, immune reactions and toxicity to vectors are also significant factors to take into account.</w:t>
      </w:r>
      <w:r>
        <w:rPr>
          <w:rFonts w:ascii="Times New Roman" w:eastAsia="Times New Roman" w:hAnsi="Times New Roman" w:cs="Times New Roman"/>
          <w:sz w:val="24"/>
          <w:szCs w:val="24"/>
          <w:vertAlign w:val="superscript"/>
        </w:rPr>
        <w:t>61</w:t>
      </w:r>
    </w:p>
    <w:p w14:paraId="2D66983E" w14:textId="2416A0C1"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fate of off-targets and unregulated expression of the gene is also a critical issue. Overexpression and long-lasting hyperexpression of growth factors, including TGF-β or BMPs can lead to fibrosis, neoplastic formation of tissues or bone abnormal maturation. Consequently, it is vital to develop a set of controlled gene expression systems involving inducible promoters and tissue-directed targeting methods to enhance the system that will be safe and therapeutically precise.</w:t>
      </w:r>
      <w:r>
        <w:rPr>
          <w:rFonts w:ascii="Times New Roman" w:eastAsia="Times New Roman" w:hAnsi="Times New Roman" w:cs="Times New Roman"/>
          <w:sz w:val="24"/>
          <w:szCs w:val="24"/>
          <w:vertAlign w:val="superscript"/>
        </w:rPr>
        <w:t>44</w:t>
      </w:r>
    </w:p>
    <w:p w14:paraId="79C6466D" w14:textId="0696CCD6" w:rsidR="00847CE5" w:rsidRPr="00D500FE"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Regulatory To a regulatory level, gene therapies are considered advanced therapy medicinal products (ATMPs) and have high levels of assessment by regulatory bodies. These medicines have to undergo preclinical testing, batch production, and follow-up study over a long period to determine safety and effectiveness. The prohibitive development expenses and the complicated regulatory procedures are among the key impediments to clinical translation.</w:t>
      </w:r>
      <w:r>
        <w:rPr>
          <w:rFonts w:ascii="Times New Roman" w:eastAsia="Times New Roman" w:hAnsi="Times New Roman" w:cs="Times New Roman"/>
          <w:sz w:val="24"/>
          <w:szCs w:val="24"/>
          <w:vertAlign w:val="superscript"/>
        </w:rPr>
        <w:t>61</w:t>
      </w:r>
    </w:p>
    <w:p w14:paraId="049C05F4" w14:textId="77777777" w:rsidR="00847CE5" w:rsidRDefault="00847CE5">
      <w:pPr>
        <w:spacing w:line="360" w:lineRule="auto"/>
        <w:jc w:val="both"/>
        <w:rPr>
          <w:rFonts w:ascii="Times New Roman" w:eastAsia="Times New Roman" w:hAnsi="Times New Roman" w:cs="Times New Roman"/>
          <w:b/>
          <w:bCs/>
          <w:sz w:val="24"/>
          <w:szCs w:val="24"/>
        </w:rPr>
      </w:pPr>
    </w:p>
    <w:p w14:paraId="04B0EB14" w14:textId="4688AE85"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Clinical Evidence Summary and Trial Landscape</w:t>
      </w:r>
    </w:p>
    <w:p w14:paraId="123701E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Randomized Controlled Trials of MSCs in Knee Osteoarthritis</w:t>
      </w:r>
    </w:p>
    <w:tbl>
      <w:tblPr>
        <w:tblStyle w:val="a"/>
        <w:tblW w:w="91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
        <w:gridCol w:w="1193"/>
        <w:gridCol w:w="684"/>
        <w:gridCol w:w="787"/>
        <w:gridCol w:w="888"/>
        <w:gridCol w:w="947"/>
        <w:gridCol w:w="1360"/>
        <w:gridCol w:w="1360"/>
        <w:gridCol w:w="935"/>
      </w:tblGrid>
      <w:tr w:rsidR="00ED21D7" w14:paraId="268E8F8C" w14:textId="77777777">
        <w:trPr>
          <w:tblHeader/>
        </w:trPr>
        <w:tc>
          <w:tcPr>
            <w:tcW w:w="962" w:type="dxa"/>
            <w:vAlign w:val="center"/>
          </w:tcPr>
          <w:p w14:paraId="6351F2FB"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Author (Year)</w:t>
            </w:r>
          </w:p>
        </w:tc>
        <w:tc>
          <w:tcPr>
            <w:tcW w:w="1193" w:type="dxa"/>
            <w:vAlign w:val="center"/>
          </w:tcPr>
          <w:p w14:paraId="59E37A1F"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tc>
        <w:tc>
          <w:tcPr>
            <w:tcW w:w="684" w:type="dxa"/>
            <w:vAlign w:val="center"/>
          </w:tcPr>
          <w:p w14:paraId="06D0E988"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787" w:type="dxa"/>
            <w:vAlign w:val="center"/>
          </w:tcPr>
          <w:p w14:paraId="179BB9F6"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Cell Source</w:t>
            </w:r>
          </w:p>
        </w:tc>
        <w:tc>
          <w:tcPr>
            <w:tcW w:w="888" w:type="dxa"/>
            <w:vAlign w:val="center"/>
          </w:tcPr>
          <w:p w14:paraId="4C39C4A5"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Dose</w:t>
            </w:r>
          </w:p>
        </w:tc>
        <w:tc>
          <w:tcPr>
            <w:tcW w:w="947" w:type="dxa"/>
            <w:vAlign w:val="center"/>
          </w:tcPr>
          <w:p w14:paraId="5F39C335"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w:t>
            </w:r>
          </w:p>
        </w:tc>
        <w:tc>
          <w:tcPr>
            <w:tcW w:w="1360" w:type="dxa"/>
            <w:vAlign w:val="center"/>
          </w:tcPr>
          <w:p w14:paraId="4602BD38"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Outcomes</w:t>
            </w:r>
          </w:p>
        </w:tc>
        <w:tc>
          <w:tcPr>
            <w:tcW w:w="1360" w:type="dxa"/>
            <w:vAlign w:val="center"/>
          </w:tcPr>
          <w:p w14:paraId="7221D592"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Imaging Outcomes</w:t>
            </w:r>
          </w:p>
        </w:tc>
        <w:tc>
          <w:tcPr>
            <w:tcW w:w="935" w:type="dxa"/>
            <w:vAlign w:val="center"/>
          </w:tcPr>
          <w:p w14:paraId="170B4624" w14:textId="322E6FCF"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Adverse Event</w:t>
            </w:r>
            <w:r w:rsidR="000D0052">
              <w:rPr>
                <w:rFonts w:ascii="Times New Roman" w:eastAsia="Times New Roman" w:hAnsi="Times New Roman" w:cs="Times New Roman"/>
                <w:b/>
                <w:bCs/>
                <w:sz w:val="24"/>
                <w:szCs w:val="24"/>
              </w:rPr>
              <w:t xml:space="preserve">s </w:t>
            </w:r>
            <w:r w:rsidR="000D0052" w:rsidRPr="000D0052">
              <w:rPr>
                <w:rFonts w:ascii="Times New Roman" w:eastAsia="Times New Roman" w:hAnsi="Times New Roman" w:cs="Times New Roman"/>
                <w:b/>
                <w:bCs/>
                <w:sz w:val="24"/>
                <w:szCs w:val="24"/>
                <w:highlight w:val="yellow"/>
              </w:rPr>
              <w:t>(AE)</w:t>
            </w:r>
          </w:p>
        </w:tc>
      </w:tr>
      <w:tr w:rsidR="00ED21D7" w14:paraId="27018056" w14:textId="77777777">
        <w:tc>
          <w:tcPr>
            <w:tcW w:w="962" w:type="dxa"/>
            <w:vAlign w:val="center"/>
          </w:tcPr>
          <w:p w14:paraId="4625B7BD"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Vega et al. (2015)</w:t>
            </w:r>
            <w:r>
              <w:rPr>
                <w:rFonts w:ascii="Times New Roman" w:eastAsia="Times New Roman" w:hAnsi="Times New Roman" w:cs="Times New Roman"/>
                <w:sz w:val="24"/>
                <w:szCs w:val="24"/>
                <w:vertAlign w:val="superscript"/>
              </w:rPr>
              <w:t>22</w:t>
            </w:r>
          </w:p>
        </w:tc>
        <w:tc>
          <w:tcPr>
            <w:tcW w:w="1193" w:type="dxa"/>
            <w:vAlign w:val="center"/>
          </w:tcPr>
          <w:p w14:paraId="3006AB3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0AE464B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87" w:type="dxa"/>
            <w:vAlign w:val="center"/>
          </w:tcPr>
          <w:p w14:paraId="76F83EE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2C922B3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40×10⁶</w:t>
            </w:r>
          </w:p>
        </w:tc>
        <w:tc>
          <w:tcPr>
            <w:tcW w:w="947" w:type="dxa"/>
            <w:vAlign w:val="center"/>
          </w:tcPr>
          <w:p w14:paraId="7E919EC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3385D792"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WOMAC, pain</w:t>
            </w:r>
          </w:p>
        </w:tc>
        <w:tc>
          <w:tcPr>
            <w:tcW w:w="1360" w:type="dxa"/>
            <w:vAlign w:val="center"/>
          </w:tcPr>
          <w:p w14:paraId="30ABBF6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cartilage quality (MRI)</w:t>
            </w:r>
          </w:p>
        </w:tc>
        <w:tc>
          <w:tcPr>
            <w:tcW w:w="935" w:type="dxa"/>
            <w:vAlign w:val="center"/>
          </w:tcPr>
          <w:p w14:paraId="47DA913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Mild joint pain</w:t>
            </w:r>
          </w:p>
        </w:tc>
      </w:tr>
      <w:tr w:rsidR="00ED21D7" w14:paraId="55B1006F" w14:textId="77777777">
        <w:tc>
          <w:tcPr>
            <w:tcW w:w="962" w:type="dxa"/>
            <w:vAlign w:val="center"/>
          </w:tcPr>
          <w:p w14:paraId="7FA53429"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Jo et al. (2014)</w:t>
            </w:r>
            <w:r>
              <w:rPr>
                <w:rFonts w:ascii="Times New Roman" w:eastAsia="Times New Roman" w:hAnsi="Times New Roman" w:cs="Times New Roman"/>
                <w:sz w:val="24"/>
                <w:szCs w:val="24"/>
                <w:vertAlign w:val="superscript"/>
              </w:rPr>
              <w:t>60</w:t>
            </w:r>
          </w:p>
        </w:tc>
        <w:tc>
          <w:tcPr>
            <w:tcW w:w="1193" w:type="dxa"/>
            <w:vAlign w:val="center"/>
          </w:tcPr>
          <w:p w14:paraId="7FCF0FB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Dose-escalation RCT</w:t>
            </w:r>
          </w:p>
        </w:tc>
        <w:tc>
          <w:tcPr>
            <w:tcW w:w="684" w:type="dxa"/>
            <w:vAlign w:val="center"/>
          </w:tcPr>
          <w:p w14:paraId="4599CA7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87" w:type="dxa"/>
            <w:vAlign w:val="center"/>
          </w:tcPr>
          <w:p w14:paraId="37F86CD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AD-MSC</w:t>
            </w:r>
          </w:p>
        </w:tc>
        <w:tc>
          <w:tcPr>
            <w:tcW w:w="888" w:type="dxa"/>
            <w:vAlign w:val="center"/>
          </w:tcPr>
          <w:p w14:paraId="5073CCB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10–100×10⁶</w:t>
            </w:r>
          </w:p>
        </w:tc>
        <w:tc>
          <w:tcPr>
            <w:tcW w:w="947" w:type="dxa"/>
            <w:vAlign w:val="center"/>
          </w:tcPr>
          <w:p w14:paraId="05808DA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2FC7E47D"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pain, ↑ function</w:t>
            </w:r>
          </w:p>
        </w:tc>
        <w:tc>
          <w:tcPr>
            <w:tcW w:w="1360" w:type="dxa"/>
            <w:vAlign w:val="center"/>
          </w:tcPr>
          <w:p w14:paraId="2295638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cartilage volume</w:t>
            </w:r>
          </w:p>
        </w:tc>
        <w:tc>
          <w:tcPr>
            <w:tcW w:w="935" w:type="dxa"/>
            <w:vAlign w:val="center"/>
          </w:tcPr>
          <w:p w14:paraId="581917C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serious AEs</w:t>
            </w:r>
          </w:p>
        </w:tc>
      </w:tr>
      <w:tr w:rsidR="00ED21D7" w14:paraId="4646F5BE" w14:textId="77777777">
        <w:tc>
          <w:tcPr>
            <w:tcW w:w="962" w:type="dxa"/>
            <w:vAlign w:val="center"/>
          </w:tcPr>
          <w:p w14:paraId="026A7A72"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Lamo-Espinosa et al. (2016)</w:t>
            </w:r>
            <w:r>
              <w:rPr>
                <w:rFonts w:ascii="Times New Roman" w:eastAsia="Times New Roman" w:hAnsi="Times New Roman" w:cs="Times New Roman"/>
                <w:sz w:val="24"/>
                <w:szCs w:val="24"/>
                <w:vertAlign w:val="superscript"/>
              </w:rPr>
              <w:t>61</w:t>
            </w:r>
          </w:p>
        </w:tc>
        <w:tc>
          <w:tcPr>
            <w:tcW w:w="1193" w:type="dxa"/>
            <w:vAlign w:val="center"/>
          </w:tcPr>
          <w:p w14:paraId="49E80BE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661D885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87" w:type="dxa"/>
            <w:vAlign w:val="center"/>
          </w:tcPr>
          <w:p w14:paraId="16055AC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6677B1C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10–100×10⁶</w:t>
            </w:r>
          </w:p>
        </w:tc>
        <w:tc>
          <w:tcPr>
            <w:tcW w:w="947" w:type="dxa"/>
            <w:vAlign w:val="center"/>
          </w:tcPr>
          <w:p w14:paraId="18ECB97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4C94330B"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WOMAC</w:t>
            </w:r>
          </w:p>
        </w:tc>
        <w:tc>
          <w:tcPr>
            <w:tcW w:w="1360" w:type="dxa"/>
            <w:vAlign w:val="center"/>
          </w:tcPr>
          <w:p w14:paraId="6C770FE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MRI improvement (dose-dependent)</w:t>
            </w:r>
          </w:p>
        </w:tc>
        <w:tc>
          <w:tcPr>
            <w:tcW w:w="935" w:type="dxa"/>
            <w:vAlign w:val="center"/>
          </w:tcPr>
          <w:p w14:paraId="2EA9E1C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Mild swelling</w:t>
            </w:r>
          </w:p>
        </w:tc>
      </w:tr>
      <w:tr w:rsidR="00ED21D7" w14:paraId="65519299" w14:textId="77777777">
        <w:tc>
          <w:tcPr>
            <w:tcW w:w="962" w:type="dxa"/>
            <w:vAlign w:val="center"/>
          </w:tcPr>
          <w:p w14:paraId="2B4E5630"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Gupta et al. (2016)</w:t>
            </w:r>
            <w:r>
              <w:rPr>
                <w:rFonts w:ascii="Times New Roman" w:eastAsia="Times New Roman" w:hAnsi="Times New Roman" w:cs="Times New Roman"/>
                <w:sz w:val="24"/>
                <w:szCs w:val="24"/>
                <w:vertAlign w:val="superscript"/>
              </w:rPr>
              <w:t>62</w:t>
            </w:r>
          </w:p>
        </w:tc>
        <w:tc>
          <w:tcPr>
            <w:tcW w:w="1193" w:type="dxa"/>
            <w:vAlign w:val="center"/>
          </w:tcPr>
          <w:p w14:paraId="774D32F2"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67A8610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87" w:type="dxa"/>
            <w:vAlign w:val="center"/>
          </w:tcPr>
          <w:p w14:paraId="419E3D3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BM-MSC</w:t>
            </w:r>
          </w:p>
        </w:tc>
        <w:tc>
          <w:tcPr>
            <w:tcW w:w="888" w:type="dxa"/>
            <w:vAlign w:val="center"/>
          </w:tcPr>
          <w:p w14:paraId="6E9EC58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25×10⁶</w:t>
            </w:r>
          </w:p>
        </w:tc>
        <w:tc>
          <w:tcPr>
            <w:tcW w:w="947" w:type="dxa"/>
            <w:vAlign w:val="center"/>
          </w:tcPr>
          <w:p w14:paraId="5C0DFEB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w:t>
            </w:r>
          </w:p>
        </w:tc>
        <w:tc>
          <w:tcPr>
            <w:tcW w:w="1360" w:type="dxa"/>
            <w:vAlign w:val="center"/>
          </w:tcPr>
          <w:p w14:paraId="1FF10DB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pain/function</w:t>
            </w:r>
          </w:p>
        </w:tc>
        <w:tc>
          <w:tcPr>
            <w:tcW w:w="1360" w:type="dxa"/>
            <w:vAlign w:val="center"/>
          </w:tcPr>
          <w:p w14:paraId="7DA7120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major structural change</w:t>
            </w:r>
          </w:p>
        </w:tc>
        <w:tc>
          <w:tcPr>
            <w:tcW w:w="935" w:type="dxa"/>
            <w:vAlign w:val="center"/>
          </w:tcPr>
          <w:p w14:paraId="0D6B380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Well tolerated</w:t>
            </w:r>
          </w:p>
        </w:tc>
      </w:tr>
      <w:tr w:rsidR="00ED21D7" w14:paraId="30626C08" w14:textId="77777777">
        <w:tc>
          <w:tcPr>
            <w:tcW w:w="962" w:type="dxa"/>
            <w:vAlign w:val="center"/>
          </w:tcPr>
          <w:p w14:paraId="0571F5EA"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Freitag et al. (2019)</w:t>
            </w:r>
            <w:r>
              <w:rPr>
                <w:rFonts w:ascii="Times New Roman" w:eastAsia="Times New Roman" w:hAnsi="Times New Roman" w:cs="Times New Roman"/>
                <w:sz w:val="24"/>
                <w:szCs w:val="24"/>
                <w:vertAlign w:val="superscript"/>
              </w:rPr>
              <w:t>19</w:t>
            </w:r>
          </w:p>
        </w:tc>
        <w:tc>
          <w:tcPr>
            <w:tcW w:w="1193" w:type="dxa"/>
            <w:vAlign w:val="center"/>
          </w:tcPr>
          <w:p w14:paraId="7FF3CEE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684" w:type="dxa"/>
            <w:vAlign w:val="center"/>
          </w:tcPr>
          <w:p w14:paraId="4756276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87" w:type="dxa"/>
            <w:vAlign w:val="center"/>
          </w:tcPr>
          <w:p w14:paraId="4F33457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AD-MSC</w:t>
            </w:r>
          </w:p>
        </w:tc>
        <w:tc>
          <w:tcPr>
            <w:tcW w:w="888" w:type="dxa"/>
            <w:vAlign w:val="center"/>
          </w:tcPr>
          <w:p w14:paraId="7CFC709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100×10⁶</w:t>
            </w:r>
          </w:p>
        </w:tc>
        <w:tc>
          <w:tcPr>
            <w:tcW w:w="947" w:type="dxa"/>
            <w:vAlign w:val="center"/>
          </w:tcPr>
          <w:p w14:paraId="7B776D6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Intra-articular (single vs repeat)</w:t>
            </w:r>
          </w:p>
        </w:tc>
        <w:tc>
          <w:tcPr>
            <w:tcW w:w="1360" w:type="dxa"/>
            <w:vAlign w:val="center"/>
          </w:tcPr>
          <w:p w14:paraId="2FADC71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Better outcomes with repeat dosing</w:t>
            </w:r>
          </w:p>
        </w:tc>
        <w:tc>
          <w:tcPr>
            <w:tcW w:w="1360" w:type="dxa"/>
            <w:vAlign w:val="center"/>
          </w:tcPr>
          <w:p w14:paraId="38BB84C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MRI stabilization</w:t>
            </w:r>
          </w:p>
        </w:tc>
        <w:tc>
          <w:tcPr>
            <w:tcW w:w="935" w:type="dxa"/>
            <w:vAlign w:val="center"/>
          </w:tcPr>
          <w:p w14:paraId="0CE10AA7"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serious AEs</w:t>
            </w:r>
          </w:p>
        </w:tc>
      </w:tr>
    </w:tbl>
    <w:p w14:paraId="3C00E7BF" w14:textId="77777777" w:rsidR="00ED21D7" w:rsidRDefault="00ED21D7">
      <w:pPr>
        <w:spacing w:line="360" w:lineRule="auto"/>
        <w:jc w:val="both"/>
        <w:rPr>
          <w:rFonts w:ascii="Times New Roman" w:eastAsia="Times New Roman" w:hAnsi="Times New Roman" w:cs="Times New Roman"/>
          <w:sz w:val="24"/>
          <w:szCs w:val="24"/>
        </w:rPr>
      </w:pPr>
    </w:p>
    <w:p w14:paraId="09C75B5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Major Clinical Trials of Cell and Cell-Free Therapies</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1"/>
        <w:gridCol w:w="1588"/>
        <w:gridCol w:w="1003"/>
        <w:gridCol w:w="1471"/>
        <w:gridCol w:w="3083"/>
      </w:tblGrid>
      <w:tr w:rsidR="00ED21D7" w14:paraId="35379F88" w14:textId="77777777">
        <w:trPr>
          <w:tblHeader/>
        </w:trPr>
        <w:tc>
          <w:tcPr>
            <w:tcW w:w="1871" w:type="dxa"/>
            <w:vAlign w:val="center"/>
          </w:tcPr>
          <w:p w14:paraId="4006C622"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Therapy</w:t>
            </w:r>
          </w:p>
        </w:tc>
        <w:tc>
          <w:tcPr>
            <w:tcW w:w="1588" w:type="dxa"/>
            <w:vAlign w:val="center"/>
          </w:tcPr>
          <w:p w14:paraId="5EEBD76C"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Study/ID</w:t>
            </w:r>
          </w:p>
        </w:tc>
        <w:tc>
          <w:tcPr>
            <w:tcW w:w="1003" w:type="dxa"/>
            <w:vAlign w:val="center"/>
          </w:tcPr>
          <w:p w14:paraId="18B4389B"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w:t>
            </w:r>
          </w:p>
        </w:tc>
        <w:tc>
          <w:tcPr>
            <w:tcW w:w="1471" w:type="dxa"/>
            <w:vAlign w:val="center"/>
          </w:tcPr>
          <w:p w14:paraId="54EC5B23"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w:t>
            </w:r>
          </w:p>
        </w:tc>
        <w:tc>
          <w:tcPr>
            <w:tcW w:w="3083" w:type="dxa"/>
            <w:vAlign w:val="center"/>
          </w:tcPr>
          <w:p w14:paraId="0A713CD6" w14:textId="77777777" w:rsidR="00ED21D7" w:rsidRDefault="003F3C38">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Findings</w:t>
            </w:r>
          </w:p>
        </w:tc>
      </w:tr>
      <w:tr w:rsidR="00ED21D7" w14:paraId="6AD11437" w14:textId="77777777">
        <w:tc>
          <w:tcPr>
            <w:tcW w:w="1871" w:type="dxa"/>
            <w:vAlign w:val="center"/>
          </w:tcPr>
          <w:p w14:paraId="31EFEA51"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1588" w:type="dxa"/>
            <w:vAlign w:val="center"/>
          </w:tcPr>
          <w:p w14:paraId="5BFCEAF5" w14:textId="77777777" w:rsidR="00ED21D7" w:rsidRDefault="003F3C38">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Filardo et al.</w:t>
            </w:r>
            <w:r>
              <w:rPr>
                <w:rFonts w:ascii="Times New Roman" w:eastAsia="Times New Roman" w:hAnsi="Times New Roman" w:cs="Times New Roman"/>
                <w:sz w:val="24"/>
                <w:szCs w:val="24"/>
                <w:vertAlign w:val="superscript"/>
              </w:rPr>
              <w:t>38</w:t>
            </w:r>
          </w:p>
        </w:tc>
        <w:tc>
          <w:tcPr>
            <w:tcW w:w="1003" w:type="dxa"/>
            <w:vAlign w:val="center"/>
          </w:tcPr>
          <w:p w14:paraId="10CEA86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RCT</w:t>
            </w:r>
          </w:p>
        </w:tc>
        <w:tc>
          <w:tcPr>
            <w:tcW w:w="1471" w:type="dxa"/>
            <w:vAlign w:val="center"/>
          </w:tcPr>
          <w:p w14:paraId="632014E5"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60CE70FA" w14:textId="77777777" w:rsidR="00ED21D7" w:rsidRDefault="003F3C38">
            <w:pPr>
              <w:spacing w:line="360" w:lineRule="auto"/>
              <w:jc w:val="center"/>
              <w:rPr>
                <w:rFonts w:ascii="Times New Roman" w:eastAsia="Times New Roman" w:hAnsi="Times New Roman" w:cs="Times New Roman"/>
                <w:sz w:val="24"/>
                <w:szCs w:val="24"/>
              </w:rPr>
            </w:pPr>
            <w:r>
              <w:rPr>
                <w:rFonts w:ascii="Cardo" w:eastAsia="Cardo" w:hAnsi="Cardo" w:cs="Cardo"/>
                <w:sz w:val="24"/>
                <w:szCs w:val="24"/>
              </w:rPr>
              <w:t>↓ pain, ↑ function vs HA</w:t>
            </w:r>
          </w:p>
        </w:tc>
      </w:tr>
      <w:tr w:rsidR="00ED21D7" w14:paraId="74A778A2" w14:textId="77777777">
        <w:tc>
          <w:tcPr>
            <w:tcW w:w="1871" w:type="dxa"/>
            <w:vAlign w:val="center"/>
          </w:tcPr>
          <w:p w14:paraId="7201634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PRP</w:t>
            </w:r>
          </w:p>
        </w:tc>
        <w:tc>
          <w:tcPr>
            <w:tcW w:w="1588" w:type="dxa"/>
            <w:vAlign w:val="center"/>
          </w:tcPr>
          <w:p w14:paraId="3A4BCC1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NCT03345550</w:t>
            </w:r>
          </w:p>
        </w:tc>
        <w:tc>
          <w:tcPr>
            <w:tcW w:w="1003" w:type="dxa"/>
            <w:vAlign w:val="center"/>
          </w:tcPr>
          <w:p w14:paraId="08E1EBC6"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w:t>
            </w:r>
          </w:p>
        </w:tc>
        <w:tc>
          <w:tcPr>
            <w:tcW w:w="1471" w:type="dxa"/>
            <w:vAlign w:val="center"/>
          </w:tcPr>
          <w:p w14:paraId="5E1EB4B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5B089E2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WOMAC scores</w:t>
            </w:r>
          </w:p>
        </w:tc>
      </w:tr>
      <w:tr w:rsidR="00ED21D7" w14:paraId="1A042F27" w14:textId="77777777">
        <w:tc>
          <w:tcPr>
            <w:tcW w:w="1871" w:type="dxa"/>
            <w:vAlign w:val="center"/>
          </w:tcPr>
          <w:p w14:paraId="57CBC979"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ACI/MACI</w:t>
            </w:r>
          </w:p>
        </w:tc>
        <w:tc>
          <w:tcPr>
            <w:tcW w:w="1588" w:type="dxa"/>
            <w:vAlign w:val="center"/>
          </w:tcPr>
          <w:p w14:paraId="3FFD1314"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SUMMIT trial⁶⁶</w:t>
            </w:r>
          </w:p>
        </w:tc>
        <w:tc>
          <w:tcPr>
            <w:tcW w:w="1003" w:type="dxa"/>
            <w:vAlign w:val="center"/>
          </w:tcPr>
          <w:p w14:paraId="6AD1C439"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III</w:t>
            </w:r>
          </w:p>
        </w:tc>
        <w:tc>
          <w:tcPr>
            <w:tcW w:w="1471" w:type="dxa"/>
            <w:vAlign w:val="center"/>
          </w:tcPr>
          <w:p w14:paraId="0C61B65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Cartilage defects</w:t>
            </w:r>
          </w:p>
        </w:tc>
        <w:tc>
          <w:tcPr>
            <w:tcW w:w="3083" w:type="dxa"/>
            <w:vAlign w:val="center"/>
          </w:tcPr>
          <w:p w14:paraId="1B9E112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Superior structural repair vs microfracture</w:t>
            </w:r>
          </w:p>
        </w:tc>
      </w:tr>
      <w:tr w:rsidR="00ED21D7" w14:paraId="384AC4EE" w14:textId="77777777">
        <w:tc>
          <w:tcPr>
            <w:tcW w:w="1871" w:type="dxa"/>
            <w:vAlign w:val="center"/>
          </w:tcPr>
          <w:p w14:paraId="2D91B0E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EVs (MSC-derived)</w:t>
            </w:r>
          </w:p>
        </w:tc>
        <w:tc>
          <w:tcPr>
            <w:tcW w:w="1588" w:type="dxa"/>
            <w:vAlign w:val="center"/>
          </w:tcPr>
          <w:p w14:paraId="493D520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NCT05060107</w:t>
            </w:r>
          </w:p>
        </w:tc>
        <w:tc>
          <w:tcPr>
            <w:tcW w:w="1003" w:type="dxa"/>
            <w:vAlign w:val="center"/>
          </w:tcPr>
          <w:p w14:paraId="5081DAB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Early phase</w:t>
            </w:r>
          </w:p>
        </w:tc>
        <w:tc>
          <w:tcPr>
            <w:tcW w:w="1471" w:type="dxa"/>
            <w:vAlign w:val="center"/>
          </w:tcPr>
          <w:p w14:paraId="20B1AE4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5B787C7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Ongoing safety focus</w:t>
            </w:r>
          </w:p>
        </w:tc>
      </w:tr>
      <w:tr w:rsidR="00ED21D7" w14:paraId="5A4B319C" w14:textId="77777777">
        <w:tc>
          <w:tcPr>
            <w:tcW w:w="1871" w:type="dxa"/>
            <w:vAlign w:val="center"/>
          </w:tcPr>
          <w:p w14:paraId="2771BC0C"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 therapy (IL-1Ra)</w:t>
            </w:r>
          </w:p>
        </w:tc>
        <w:tc>
          <w:tcPr>
            <w:tcW w:w="1588" w:type="dxa"/>
            <w:vAlign w:val="center"/>
          </w:tcPr>
          <w:p w14:paraId="5147ED2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NCT04119687</w:t>
            </w:r>
          </w:p>
        </w:tc>
        <w:tc>
          <w:tcPr>
            <w:tcW w:w="1003" w:type="dxa"/>
            <w:vAlign w:val="center"/>
          </w:tcPr>
          <w:p w14:paraId="4F62C8DD"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w:t>
            </w:r>
          </w:p>
        </w:tc>
        <w:tc>
          <w:tcPr>
            <w:tcW w:w="1471" w:type="dxa"/>
            <w:vAlign w:val="center"/>
          </w:tcPr>
          <w:p w14:paraId="1BC0A73F"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48DCD103"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Safety demonstrated</w:t>
            </w:r>
          </w:p>
        </w:tc>
      </w:tr>
      <w:tr w:rsidR="00ED21D7" w14:paraId="7EE3BF57" w14:textId="77777777">
        <w:tc>
          <w:tcPr>
            <w:tcW w:w="1871" w:type="dxa"/>
            <w:vAlign w:val="center"/>
          </w:tcPr>
          <w:p w14:paraId="11BB1F7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MSCs</w:t>
            </w:r>
          </w:p>
        </w:tc>
        <w:tc>
          <w:tcPr>
            <w:tcW w:w="1588" w:type="dxa"/>
            <w:vAlign w:val="center"/>
          </w:tcPr>
          <w:p w14:paraId="52B3D4E0"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NCT02580695</w:t>
            </w:r>
          </w:p>
        </w:tc>
        <w:tc>
          <w:tcPr>
            <w:tcW w:w="1003" w:type="dxa"/>
            <w:vAlign w:val="center"/>
          </w:tcPr>
          <w:p w14:paraId="57FA86BE"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Phase II</w:t>
            </w:r>
          </w:p>
        </w:tc>
        <w:tc>
          <w:tcPr>
            <w:tcW w:w="1471" w:type="dxa"/>
            <w:vAlign w:val="center"/>
          </w:tcPr>
          <w:p w14:paraId="410FFA0B"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Knee OA</w:t>
            </w:r>
          </w:p>
        </w:tc>
        <w:tc>
          <w:tcPr>
            <w:tcW w:w="3083" w:type="dxa"/>
            <w:vAlign w:val="center"/>
          </w:tcPr>
          <w:p w14:paraId="1CF85BBA" w14:textId="77777777" w:rsidR="00ED21D7" w:rsidRDefault="003F3C38">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Symptom improvement</w:t>
            </w:r>
          </w:p>
        </w:tc>
      </w:tr>
    </w:tbl>
    <w:p w14:paraId="02306578" w14:textId="77777777" w:rsidR="00ED21D7" w:rsidRDefault="00ED21D7">
      <w:pPr>
        <w:spacing w:line="360" w:lineRule="auto"/>
        <w:jc w:val="both"/>
        <w:rPr>
          <w:rFonts w:ascii="Times New Roman" w:eastAsia="Times New Roman" w:hAnsi="Times New Roman" w:cs="Times New Roman"/>
          <w:sz w:val="24"/>
          <w:szCs w:val="24"/>
        </w:rPr>
      </w:pPr>
    </w:p>
    <w:p w14:paraId="15B15F9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Quality of Evidence and Heterogeneity</w:t>
      </w:r>
    </w:p>
    <w:p w14:paraId="50AE24FD"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increasing number of clinical trials, the quality of evidence on regenerative treatments in arthritis is still inconsistent. Several randomized controlled trials have provided evidence of better pain and functional outcomes after MSC treatment in knee osteoarthritis, but most of the studies are characterized by a small sample size and relatively short follow-up periods (several 6-24 months).</w:t>
      </w:r>
      <w:r>
        <w:rPr>
          <w:rFonts w:ascii="Times New Roman" w:eastAsia="Times New Roman" w:hAnsi="Times New Roman" w:cs="Times New Roman"/>
          <w:sz w:val="24"/>
          <w:szCs w:val="24"/>
          <w:vertAlign w:val="superscript"/>
        </w:rPr>
        <w:t>19,22,60-62</w:t>
      </w:r>
    </w:p>
    <w:p w14:paraId="43CDE0AA" w14:textId="47381033"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limitation in most studies is that the study design can vary widely. The source of MSC (bone marrow vs adipose), methods of cell processing, dosing, and modes of delivery are also sources of variability in MSC and, hence, irregularity in outcomes. Although trials have comparable designs, variations in manufacturing guidelines and cell characterization will lower comparability and reproducibility even between similar trials.</w:t>
      </w:r>
      <w:r>
        <w:rPr>
          <w:rFonts w:ascii="Times New Roman" w:eastAsia="Times New Roman" w:hAnsi="Times New Roman" w:cs="Times New Roman"/>
          <w:sz w:val="24"/>
          <w:szCs w:val="24"/>
          <w:vertAlign w:val="superscript"/>
        </w:rPr>
        <w:t>19,22,60-62</w:t>
      </w:r>
    </w:p>
    <w:p w14:paraId="4C30C308" w14:textId="7CDBB9E5"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PRP research has even more variability because of disparities in the ways in which it is prepared, the concentration of platelets, the presence of leucocytes in it, and varying activation procedures. Consequently, the consistency of clinical outcomes is poor, and the comparison of studies conducted directly is difficult.</w:t>
      </w:r>
      <w:r>
        <w:rPr>
          <w:rFonts w:ascii="Times New Roman" w:eastAsia="Times New Roman" w:hAnsi="Times New Roman" w:cs="Times New Roman"/>
          <w:sz w:val="24"/>
          <w:szCs w:val="24"/>
          <w:vertAlign w:val="superscript"/>
        </w:rPr>
        <w:t>38</w:t>
      </w:r>
    </w:p>
    <w:p w14:paraId="05B6EB9E"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Newer treatments like the use of extracellular vesicles and gene-based treatment are still in the initial stages of clinical trials, and most studies are mainly aimed at safety, as opposed to effectiveness. As a result, there is scanty evidence to support their clinical use of high quality.</w:t>
      </w:r>
    </w:p>
    <w:p w14:paraId="5579BA7A"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Outcome Measures and Evaluation Challenges</w:t>
      </w:r>
    </w:p>
    <w:p w14:paraId="39F3CF5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arthritis clinical trials, patient-reported outcome measures (PROM), such as WOMAC, VAS, and KOOS, are dependent mainly on patient-reported outcome measures (PROM), such as WOMAC, VAS, and KOOS, which are effective to determine symptomatic improvement, but do not always imply structural regeneration.</w:t>
      </w:r>
    </w:p>
    <w:p w14:paraId="5966CB9F" w14:textId="14777E6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ways to assess cartilage repair have been developed through imaging methods, especially magnetic resonance imaging (MRI), to assess cartilage thickness and cartilage composition. Nevertheless, there are usually discrepancies between the results of imaging and clinical outcomes, which restrict their interpretation.</w:t>
      </w:r>
      <w:r>
        <w:rPr>
          <w:rFonts w:ascii="Times New Roman" w:eastAsia="Times New Roman" w:hAnsi="Times New Roman" w:cs="Times New Roman"/>
          <w:sz w:val="24"/>
          <w:szCs w:val="24"/>
          <w:vertAlign w:val="superscript"/>
        </w:rPr>
        <w:t>19,22,60-62</w:t>
      </w:r>
    </w:p>
    <w:p w14:paraId="579E6C6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the exploration of biochemical biomarkers to serve as objective disease progression and treatment response biomarkers, such as cartilage degradation biomarkers like CTX-II and COMP. Nevertheless, their clinical use is not widespread because it has not been standardized.</w:t>
      </w:r>
    </w:p>
    <w:p w14:paraId="73B08201"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Duration of Follow-Up and Long-Term Outcomes</w:t>
      </w:r>
    </w:p>
    <w:p w14:paraId="5578461D"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studies on the effectiveness of regenerative therapies in arthritis have outcomes between 6-24 months, and this period is not sufficient to estimate the long-term structural repair and disease modification.</w:t>
      </w:r>
      <w:r>
        <w:rPr>
          <w:rFonts w:ascii="Times New Roman" w:eastAsia="Times New Roman" w:hAnsi="Times New Roman" w:cs="Times New Roman"/>
          <w:sz w:val="24"/>
          <w:szCs w:val="24"/>
          <w:vertAlign w:val="superscript"/>
        </w:rPr>
        <w:t>19,22,60-62</w:t>
      </w:r>
      <w:r>
        <w:rPr>
          <w:rFonts w:ascii="Times New Roman" w:eastAsia="Times New Roman" w:hAnsi="Times New Roman" w:cs="Times New Roman"/>
          <w:sz w:val="24"/>
          <w:szCs w:val="24"/>
        </w:rPr>
        <w:t xml:space="preserve"> Although short-term pain and functional improvement are repeatedly reported, the strong evidence of long-term cartilage regeneration is still limited.</w:t>
      </w:r>
    </w:p>
    <w:p w14:paraId="0226BA27" w14:textId="739DBE1D" w:rsidR="00ED21D7" w:rsidRPr="00FD7F49"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Since osteoarthritis is chronic and progressive, follow-up studies must be done over the years in order to determine durability and actual therapeutic benefit. This is a real weakness, as the current evidence base lacks the extended outcome data, and poses a formidable challenge to clinical translation.</w:t>
      </w:r>
      <w:r w:rsidR="00FD7F49">
        <w:rPr>
          <w:rFonts w:ascii="Times New Roman" w:eastAsia="Times New Roman" w:hAnsi="Times New Roman" w:cs="Times New Roman"/>
          <w:sz w:val="24"/>
          <w:szCs w:val="24"/>
          <w:vertAlign w:val="superscript"/>
        </w:rPr>
        <w:t>63,64</w:t>
      </w:r>
    </w:p>
    <w:p w14:paraId="22C02810"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Safety, Manufacturing, Regulatory, and Ethical Considerations</w:t>
      </w:r>
    </w:p>
    <w:p w14:paraId="40CDA2A4"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Manufacturing Challenges and Quality Control</w:t>
      </w:r>
    </w:p>
    <w:p w14:paraId="2BE53A3B" w14:textId="4CD260E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Clinical translation of regenerative therapies demands strong manufacturing procedures which assures of consistency of the products and their safety as well as efficacy. The majority of cell-based therapies, such as mesenchymal stem cells (MSCs), have to be manufactured under Good Manufacturing Practice (GMP) standards in order to satisfy regulatory requirements. This refers to rigorous figureheads of cell sourcing, development, processing, and storage.</w:t>
      </w:r>
      <w:r>
        <w:rPr>
          <w:rFonts w:ascii="Times New Roman" w:eastAsia="Times New Roman" w:hAnsi="Times New Roman" w:cs="Times New Roman"/>
          <w:sz w:val="24"/>
          <w:szCs w:val="24"/>
          <w:vertAlign w:val="superscript"/>
        </w:rPr>
        <w:t>65</w:t>
      </w:r>
    </w:p>
    <w:p w14:paraId="13F7BC4F" w14:textId="3DDB3DE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biggest dilemmas in manufacturing cell therapies is lot-to-lot variability, especially in the case of autologous products, where the age, health condition, and disease condition of a particular donor may have a significant impact on the quality of the cell and its therapeutic </w:t>
      </w:r>
      <w:r>
        <w:rPr>
          <w:rFonts w:ascii="Times New Roman" w:eastAsia="Times New Roman" w:hAnsi="Times New Roman" w:cs="Times New Roman"/>
          <w:sz w:val="24"/>
          <w:szCs w:val="24"/>
        </w:rPr>
        <w:lastRenderedPageBreak/>
        <w:t>benefit. In allogeneic products, a change in culture, passage number, and cryopreservation methods can alter the phenotype of the cell and its functionality.</w:t>
      </w:r>
      <w:r>
        <w:rPr>
          <w:rFonts w:ascii="Times New Roman" w:eastAsia="Times New Roman" w:hAnsi="Times New Roman" w:cs="Times New Roman"/>
          <w:sz w:val="24"/>
          <w:szCs w:val="24"/>
          <w:vertAlign w:val="superscript"/>
        </w:rPr>
        <w:t>66</w:t>
      </w:r>
    </w:p>
    <w:p w14:paraId="21FFD222" w14:textId="1EE1A5AD"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major limiting factor is potency assays. The effects of cell-based therapies are complex and multifactorial, unlike conventional drugs, for which the potency of a drug can be determined at a single molecular parameter. Consequently, potency assays of MSCs have not been clearly established, and existing methods tend to utilize surrogate functional assays, including immunomodulatory activity.</w:t>
      </w:r>
      <w:r>
        <w:rPr>
          <w:rFonts w:ascii="Times New Roman" w:eastAsia="Times New Roman" w:hAnsi="Times New Roman" w:cs="Times New Roman"/>
          <w:sz w:val="24"/>
          <w:szCs w:val="24"/>
          <w:vertAlign w:val="superscript"/>
        </w:rPr>
        <w:t>66</w:t>
      </w:r>
    </w:p>
    <w:p w14:paraId="6E2D150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manufacturing process must be controlled in the air with regard to sterility and contamination. Although a necessity of storage and transportation, cryopreservation can also affect the viability and functioning of cells, making the standardization and quality control more challenging.</w:t>
      </w:r>
    </w:p>
    <w:p w14:paraId="24FFB4D1" w14:textId="648C4C03" w:rsidR="00006496" w:rsidRPr="00006496" w:rsidRDefault="00006496" w:rsidP="00006496">
      <w:pPr>
        <w:pStyle w:val="NoSpacing"/>
        <w:jc w:val="center"/>
        <w:rPr>
          <w:rFonts w:ascii="Times New Roman" w:hAnsi="Times New Roman" w:cs="Times New Roman"/>
          <w:sz w:val="24"/>
          <w:szCs w:val="24"/>
        </w:rPr>
      </w:pPr>
      <w:r w:rsidRPr="00006496">
        <w:rPr>
          <w:rFonts w:ascii="Times New Roman" w:hAnsi="Times New Roman" w:cs="Times New Roman"/>
          <w:noProof/>
          <w:sz w:val="24"/>
          <w:szCs w:val="24"/>
        </w:rPr>
        <w:drawing>
          <wp:inline distT="0" distB="0" distL="0" distR="0" wp14:anchorId="754CEE78" wp14:editId="329F30AD">
            <wp:extent cx="6057900" cy="3421380"/>
            <wp:effectExtent l="19050" t="19050" r="1905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4109" r="10239" b="47340"/>
                    <a:stretch/>
                  </pic:blipFill>
                  <pic:spPr bwMode="auto">
                    <a:xfrm>
                      <a:off x="0" y="0"/>
                      <a:ext cx="6057900" cy="34213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790F747" w14:textId="761556B8" w:rsidR="00006496" w:rsidRDefault="00006496" w:rsidP="00006496">
      <w:pPr>
        <w:pStyle w:val="NoSpacing"/>
        <w:jc w:val="center"/>
        <w:rPr>
          <w:rFonts w:ascii="Times New Roman" w:hAnsi="Times New Roman" w:cs="Times New Roman"/>
          <w:sz w:val="24"/>
          <w:szCs w:val="24"/>
        </w:rPr>
      </w:pPr>
      <w:r w:rsidRPr="00006496">
        <w:rPr>
          <w:rFonts w:ascii="Times New Roman" w:hAnsi="Times New Roman" w:cs="Times New Roman"/>
          <w:sz w:val="24"/>
          <w:szCs w:val="24"/>
        </w:rPr>
        <w:t>Figure 2: Regenerative Therapy Pipeline: From Bench to Bedside.</w:t>
      </w:r>
    </w:p>
    <w:p w14:paraId="3ADC6354" w14:textId="77777777" w:rsidR="00006496" w:rsidRDefault="00006496" w:rsidP="00006496">
      <w:pPr>
        <w:pStyle w:val="NoSpacing"/>
        <w:jc w:val="center"/>
        <w:rPr>
          <w:rFonts w:ascii="Times New Roman" w:hAnsi="Times New Roman" w:cs="Times New Roman"/>
          <w:sz w:val="24"/>
          <w:szCs w:val="24"/>
        </w:rPr>
      </w:pPr>
    </w:p>
    <w:p w14:paraId="00D159FD" w14:textId="77777777" w:rsidR="00006496" w:rsidRDefault="00006496" w:rsidP="00006496">
      <w:pPr>
        <w:pStyle w:val="NoSpacing"/>
        <w:jc w:val="center"/>
        <w:rPr>
          <w:rFonts w:ascii="Times New Roman" w:hAnsi="Times New Roman" w:cs="Times New Roman"/>
          <w:sz w:val="24"/>
          <w:szCs w:val="24"/>
        </w:rPr>
      </w:pPr>
    </w:p>
    <w:p w14:paraId="257DE795" w14:textId="77777777" w:rsidR="00847CE5" w:rsidRPr="00006496" w:rsidRDefault="00847CE5" w:rsidP="00847CE5">
      <w:pPr>
        <w:pStyle w:val="NoSpacing"/>
        <w:rPr>
          <w:rFonts w:ascii="Times New Roman" w:hAnsi="Times New Roman" w:cs="Times New Roman"/>
          <w:sz w:val="24"/>
          <w:szCs w:val="24"/>
        </w:rPr>
      </w:pPr>
    </w:p>
    <w:p w14:paraId="528B991C"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Regulatory Frameworks</w:t>
      </w:r>
    </w:p>
    <w:p w14:paraId="507DA79B" w14:textId="6A2A17EB"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regenerative therapies fall under complicated regulatory mechanisms that differ depending on the region. Broadly speaking, there are cell-based therapies depending on the extent of manipulation and the intended application. Less characterized and less differentiated product </w:t>
      </w:r>
      <w:r>
        <w:rPr>
          <w:rFonts w:ascii="Times New Roman" w:eastAsia="Times New Roman" w:hAnsi="Times New Roman" w:cs="Times New Roman"/>
          <w:sz w:val="24"/>
          <w:szCs w:val="24"/>
        </w:rPr>
        <w:lastRenderedPageBreak/>
        <w:t>supports are generally regulated out of thin-skinned manipulated or non-homologous products, which are advanced therapies medicinal (ATMPs) and are subject to a stringent assessment.</w:t>
      </w:r>
      <w:r>
        <w:rPr>
          <w:rFonts w:ascii="Times New Roman" w:eastAsia="Times New Roman" w:hAnsi="Times New Roman" w:cs="Times New Roman"/>
          <w:sz w:val="24"/>
          <w:szCs w:val="24"/>
          <w:vertAlign w:val="superscript"/>
        </w:rPr>
        <w:t>65</w:t>
      </w:r>
    </w:p>
    <w:p w14:paraId="7F93B661" w14:textId="6BE47593"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Various governments, including the U.S Food and Drug Administration (FDA) and the European Medicines Agency (EMA), have developed guidelines on how cell and gene therapies should be developed and approved, which encompass comprehensive preclinical data, standard manufacturing operations, and competent clinical trials.</w:t>
      </w:r>
      <w:r>
        <w:rPr>
          <w:rFonts w:ascii="Times New Roman" w:eastAsia="Times New Roman" w:hAnsi="Times New Roman" w:cs="Times New Roman"/>
          <w:sz w:val="24"/>
          <w:szCs w:val="24"/>
          <w:vertAlign w:val="superscript"/>
        </w:rPr>
        <w:t>65</w:t>
      </w:r>
    </w:p>
    <w:p w14:paraId="60C8959B"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challenges to clinical translation pose a problem due to regulatory inconsistencies and changes in definitions. The fact that unregulated stem cell clinics have appeared that provide untested procedures further demonstrates the deficiencies in regulatory implementation and potential safety concerns for the patient.</w:t>
      </w:r>
      <w:r>
        <w:rPr>
          <w:rFonts w:ascii="Times New Roman" w:eastAsia="Times New Roman" w:hAnsi="Times New Roman" w:cs="Times New Roman"/>
          <w:sz w:val="24"/>
          <w:szCs w:val="24"/>
          <w:vertAlign w:val="superscript"/>
        </w:rPr>
        <w:t>67</w:t>
      </w:r>
    </w:p>
    <w:p w14:paraId="0A204A95"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Commercial, Cost, and Accessibility Issues</w:t>
      </w:r>
    </w:p>
    <w:p w14:paraId="13D9DF7E" w14:textId="367F7520"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are considerable economic problems that are associated with the commercialization of regenerative therapies. Cell and gene therapies manufacturing procedures are complicated and expensive, which leads to expensive treatment that reduces accessibility. Individualized treatments are especially costly since they involve individualized processing needs.</w:t>
      </w:r>
      <w:r>
        <w:rPr>
          <w:rFonts w:ascii="Times New Roman" w:eastAsia="Times New Roman" w:hAnsi="Times New Roman" w:cs="Times New Roman"/>
          <w:sz w:val="24"/>
          <w:szCs w:val="24"/>
          <w:vertAlign w:val="superscript"/>
        </w:rPr>
        <w:t>68</w:t>
      </w:r>
    </w:p>
    <w:p w14:paraId="285FA271"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Scalability is also a significant drawback, particularly to sophisticated therapeutic interventions like gene-modified cells and tissue-engineered constructs. Such obstacles question the provisions of equal accessibility and the possibility of clinical implementation at a massive scale.</w:t>
      </w:r>
    </w:p>
    <w:p w14:paraId="3A46ED16" w14:textId="77777777" w:rsidR="00D500FE" w:rsidRPr="00D3721B" w:rsidRDefault="00D500FE">
      <w:pPr>
        <w:spacing w:line="360" w:lineRule="auto"/>
        <w:jc w:val="both"/>
        <w:rPr>
          <w:rFonts w:ascii="Times New Roman" w:eastAsia="Times New Roman" w:hAnsi="Times New Roman" w:cs="Times New Roman"/>
          <w:sz w:val="24"/>
          <w:szCs w:val="24"/>
          <w:vertAlign w:val="superscript"/>
        </w:rPr>
      </w:pPr>
    </w:p>
    <w:p w14:paraId="11C4DD6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9. Challenges, Gaps, and Future Directions</w:t>
      </w:r>
    </w:p>
    <w:p w14:paraId="486F4BB4"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Standardization of Cell Characterization and Reporting</w:t>
      </w:r>
    </w:p>
    <w:p w14:paraId="70B81F90"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cell characterization and reporting are one of the most serious hindrances to the clinical translation of regenerative therapies. There is a broad set of varied studies in definitions, measurements, and reports of mesenchymal stem cells (MSCs), both in the dose units (cells per injection and cells per kilogram) and viability criteria and surface markers. Such variation restricts rejection, and comparison across studies is challenging.</w:t>
      </w:r>
    </w:p>
    <w:p w14:paraId="629FDC15" w14:textId="77777777" w:rsidR="00ED21D7" w:rsidRDefault="003F3C38">
      <w:pPr>
        <w:spacing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Superior conditions. Several of these would consist of standardized reporting protocols, with explicit descriptions of cell identity (to include CD73, CD90, or CD105 expression), cell </w:t>
      </w:r>
      <w:r>
        <w:rPr>
          <w:rFonts w:ascii="Times New Roman" w:eastAsia="Times New Roman" w:hAnsi="Times New Roman" w:cs="Times New Roman"/>
          <w:sz w:val="24"/>
          <w:szCs w:val="24"/>
        </w:rPr>
        <w:lastRenderedPageBreak/>
        <w:t>viability, and functional efficacy to provide stable solutions for concerted and enhanced representation.</w:t>
      </w:r>
      <w:r>
        <w:rPr>
          <w:rFonts w:ascii="Times New Roman" w:eastAsia="Times New Roman" w:hAnsi="Times New Roman" w:cs="Times New Roman"/>
          <w:sz w:val="24"/>
          <w:szCs w:val="24"/>
          <w:vertAlign w:val="superscript"/>
        </w:rPr>
        <w:t>27</w:t>
      </w:r>
    </w:p>
    <w:p w14:paraId="29CB0CB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Harmonization of Clinical Endpoints</w:t>
      </w:r>
    </w:p>
    <w:p w14:paraId="6DB472D8"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harmonized clinical endpoints is yet another huge shortcoming in present-day research. The patient-reported outcome measures most commonly used in trials (including WOMAC and VAS) are largely based on symptomatic improvement and not structural regeneration.</w:t>
      </w:r>
    </w:p>
    <w:p w14:paraId="3EA6AD8C"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sensitive and quantitative measurements of cartilage composition and repair have been presented using state of the art imaging methods, like magnetic resonance imaging (MRI) with cartilage-specific protocols, such as T2 mapping and delayed gadolinium-enhanced MRI of cartilage (</w:t>
      </w:r>
      <w:proofErr w:type="spellStart"/>
      <w:r>
        <w:rPr>
          <w:rFonts w:ascii="Times New Roman" w:eastAsia="Times New Roman" w:hAnsi="Times New Roman" w:cs="Times New Roman"/>
          <w:sz w:val="24"/>
          <w:szCs w:val="24"/>
        </w:rPr>
        <w:t>dGEMRIC</w:t>
      </w:r>
      <w:proofErr w:type="spellEnd"/>
      <w:r>
        <w:rPr>
          <w:rFonts w:ascii="Times New Roman" w:eastAsia="Times New Roman" w:hAnsi="Times New Roman" w:cs="Times New Roman"/>
          <w:sz w:val="24"/>
          <w:szCs w:val="24"/>
        </w:rPr>
        <w:t>). Moreover, objective indicators of treatment response could be synovial fluid and serum biomarkers, such as cartilage degeneration markers.</w:t>
      </w:r>
    </w:p>
    <w:p w14:paraId="1B5CAF0D" w14:textId="3AF591DF"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generation of trials should include multimodal endpoints, which also include clinical, imaging, and biochemical outcome measures to enable a more holistic examination of the treatment effect.</w:t>
      </w:r>
      <w:r>
        <w:rPr>
          <w:rFonts w:ascii="Times New Roman" w:eastAsia="Times New Roman" w:hAnsi="Times New Roman" w:cs="Times New Roman"/>
          <w:sz w:val="24"/>
          <w:szCs w:val="24"/>
          <w:vertAlign w:val="superscript"/>
        </w:rPr>
        <w:t>70</w:t>
      </w:r>
    </w:p>
    <w:p w14:paraId="4DB43B5F"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Scalable Manufacturing and Potency Assessment</w:t>
      </w:r>
    </w:p>
    <w:p w14:paraId="16568774" w14:textId="77777777"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regenerative therapies are limited by their scalability. The existing procedures of producing cell and gene therapies are complicated, expensive, and intra-</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in standardization. A weakness in quality control and regulatory approval is the unavailability of rigorous and universally recognized potency assays.</w:t>
      </w:r>
    </w:p>
    <w:p w14:paraId="10971BC0" w14:textId="2FD6AE3F" w:rsidR="00ED21D7" w:rsidRDefault="003F3C38">
      <w:pPr>
        <w:spacing w:line="360" w:lineRule="auto"/>
        <w:jc w:val="both"/>
        <w:rPr>
          <w:rFonts w:ascii="Times New Roman" w:eastAsia="Times New Roman" w:hAnsi="Times New Roman" w:cs="Times New Roman"/>
          <w:sz w:val="24"/>
          <w:szCs w:val="24"/>
          <w:highlight w:val="yellow"/>
          <w:vertAlign w:val="superscript"/>
        </w:rPr>
      </w:pPr>
      <w:r>
        <w:rPr>
          <w:rFonts w:ascii="Times New Roman" w:eastAsia="Times New Roman" w:hAnsi="Times New Roman" w:cs="Times New Roman"/>
          <w:sz w:val="24"/>
          <w:szCs w:val="24"/>
        </w:rPr>
        <w:t xml:space="preserve">The improvement of accessibility and cost reduction is being pursued through decentralized manufacturing models, among which is the point-of-care production system. These methods should, however, guarantee the same level of product quality and should meet the legal requirements. Improvement of automation and closed-system bioreactors, </w:t>
      </w:r>
      <w:r w:rsidR="00245A64">
        <w:rPr>
          <w:rFonts w:ascii="Times New Roman" w:eastAsia="Times New Roman" w:hAnsi="Times New Roman" w:cs="Times New Roman"/>
          <w:sz w:val="24"/>
          <w:szCs w:val="24"/>
        </w:rPr>
        <w:t xml:space="preserve">as well as </w:t>
      </w:r>
      <w:r>
        <w:rPr>
          <w:rFonts w:ascii="Times New Roman" w:eastAsia="Times New Roman" w:hAnsi="Times New Roman" w:cs="Times New Roman"/>
          <w:sz w:val="24"/>
          <w:szCs w:val="24"/>
        </w:rPr>
        <w:t>well-defined potency assays</w:t>
      </w:r>
      <w:r w:rsidR="00245A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will be critical to facilitating large-scale clinical application.</w:t>
      </w:r>
      <w:r>
        <w:rPr>
          <w:rFonts w:ascii="Times New Roman" w:eastAsia="Times New Roman" w:hAnsi="Times New Roman" w:cs="Times New Roman"/>
          <w:sz w:val="24"/>
          <w:szCs w:val="24"/>
          <w:vertAlign w:val="superscript"/>
        </w:rPr>
        <w:t>66</w:t>
      </w:r>
    </w:p>
    <w:p w14:paraId="1010477B"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Combination and Multimodal Therapies</w:t>
      </w:r>
    </w:p>
    <w:p w14:paraId="5B92EC09"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Cases Due to the complex nature of arthritis, monomodal treatments do not promise to regenerate the condition fully and permanently. The integration of many regenerative strategies, or combination approaches, is becoming an exciting avenue.</w:t>
      </w:r>
    </w:p>
    <w:p w14:paraId="2E75F182" w14:textId="48295B4B"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 xml:space="preserve">These encompass a mixture of cell therapies and gene delivery systems, bio-scaffolds, and biologic adjuncts like platelet-rich plasma or extracellular vesicles. The goal of such </w:t>
      </w:r>
      <w:r w:rsidRPr="00245A64">
        <w:rPr>
          <w:rFonts w:ascii="Times New Roman" w:eastAsia="Times New Roman" w:hAnsi="Times New Roman" w:cs="Times New Roman"/>
          <w:sz w:val="24"/>
          <w:szCs w:val="24"/>
        </w:rPr>
        <w:lastRenderedPageBreak/>
        <w:t>multimodal strategies is to treat inflammation, support tissue regeneration</w:t>
      </w:r>
      <w:r w:rsidR="00245A64" w:rsidRPr="00245A64">
        <w:rPr>
          <w:rFonts w:ascii="Times New Roman" w:eastAsia="Times New Roman" w:hAnsi="Times New Roman" w:cs="Times New Roman"/>
          <w:sz w:val="24"/>
          <w:szCs w:val="24"/>
        </w:rPr>
        <w:t>,</w:t>
      </w:r>
      <w:r w:rsidRPr="00245A64">
        <w:rPr>
          <w:rFonts w:ascii="Times New Roman" w:eastAsia="Times New Roman" w:hAnsi="Times New Roman" w:cs="Times New Roman"/>
          <w:sz w:val="24"/>
          <w:szCs w:val="24"/>
        </w:rPr>
        <w:t xml:space="preserve"> </w:t>
      </w:r>
      <w:r w:rsidR="00245A64" w:rsidRPr="00245A64">
        <w:rPr>
          <w:rFonts w:ascii="Times New Roman" w:eastAsia="Times New Roman" w:hAnsi="Times New Roman" w:cs="Times New Roman"/>
          <w:sz w:val="24"/>
          <w:szCs w:val="24"/>
        </w:rPr>
        <w:t>and</w:t>
      </w:r>
      <w:r w:rsidRPr="00245A64">
        <w:rPr>
          <w:rFonts w:ascii="Times New Roman" w:eastAsia="Times New Roman" w:hAnsi="Times New Roman" w:cs="Times New Roman"/>
          <w:sz w:val="24"/>
          <w:szCs w:val="24"/>
        </w:rPr>
        <w:t xml:space="preserve"> structural integration concurrently.</w:t>
      </w:r>
    </w:p>
    <w:p w14:paraId="7DBED2B4"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Nevertheless, these methods are associated with a greater level of complexity in manufacturing and regulatory approvals, as well as in clinical testing. It will need careful optimization and extensive testing to find effective and safe combinations.</w:t>
      </w:r>
      <w:r w:rsidRPr="00245A64">
        <w:rPr>
          <w:rFonts w:ascii="Times New Roman" w:eastAsia="Times New Roman" w:hAnsi="Times New Roman" w:cs="Times New Roman"/>
          <w:sz w:val="24"/>
          <w:szCs w:val="24"/>
          <w:vertAlign w:val="superscript"/>
        </w:rPr>
        <w:t>6</w:t>
      </w:r>
    </w:p>
    <w:p w14:paraId="1CA6325D" w14:textId="77777777" w:rsidR="00ED21D7" w:rsidRPr="00245A64" w:rsidRDefault="003F3C38">
      <w:pPr>
        <w:spacing w:line="360" w:lineRule="auto"/>
        <w:jc w:val="both"/>
        <w:rPr>
          <w:rFonts w:ascii="Times New Roman" w:eastAsia="Times New Roman" w:hAnsi="Times New Roman" w:cs="Times New Roman"/>
          <w:b/>
          <w:bCs/>
          <w:sz w:val="24"/>
          <w:szCs w:val="24"/>
        </w:rPr>
      </w:pPr>
      <w:r w:rsidRPr="00245A64">
        <w:rPr>
          <w:rFonts w:ascii="Times New Roman" w:eastAsia="Times New Roman" w:hAnsi="Times New Roman" w:cs="Times New Roman"/>
          <w:b/>
          <w:bCs/>
          <w:sz w:val="24"/>
          <w:szCs w:val="24"/>
        </w:rPr>
        <w:t>Recommendations for Future Clinical Trials</w:t>
      </w:r>
    </w:p>
    <w:p w14:paraId="2EE6CDB6"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The problematic aspects of the existing evidence should be overridden by future clinical trials designed to be more rigorous and standardized. All of this requires the long-term effectiveness and safety of regenerative therapies to be determined through large-scale randomized controlled trials with sufficient sample size and longer follow-up study periods.</w:t>
      </w:r>
    </w:p>
    <w:p w14:paraId="676E943C" w14:textId="6318C02D"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The integration of structural endpoints, including imaging-based measurement of cartilage, and functional and patient-reported outcomes</w:t>
      </w:r>
      <w:r w:rsidR="00245A64" w:rsidRPr="00245A64">
        <w:rPr>
          <w:rFonts w:ascii="Times New Roman" w:eastAsia="Times New Roman" w:hAnsi="Times New Roman" w:cs="Times New Roman"/>
          <w:sz w:val="24"/>
          <w:szCs w:val="24"/>
        </w:rPr>
        <w:t>,</w:t>
      </w:r>
      <w:r w:rsidRPr="00245A64">
        <w:rPr>
          <w:rFonts w:ascii="Times New Roman" w:eastAsia="Times New Roman" w:hAnsi="Times New Roman" w:cs="Times New Roman"/>
          <w:sz w:val="24"/>
          <w:szCs w:val="24"/>
        </w:rPr>
        <w:t xml:space="preserve"> will play a key role in proving any disease-modifying effect. Moreover, the standard reporting of cell characteristics, dosing protocol, and manufacturing procedures should be introduced to enhance reproducibility as well as comparability of the studies.</w:t>
      </w:r>
    </w:p>
    <w:p w14:paraId="1839A8D3" w14:textId="77777777" w:rsidR="00ED21D7" w:rsidRPr="00245A64" w:rsidRDefault="003F3C38">
      <w:pPr>
        <w:spacing w:line="360" w:lineRule="auto"/>
        <w:jc w:val="both"/>
        <w:rPr>
          <w:rFonts w:ascii="Times New Roman" w:eastAsia="Times New Roman" w:hAnsi="Times New Roman" w:cs="Times New Roman"/>
          <w:sz w:val="24"/>
          <w:szCs w:val="24"/>
        </w:rPr>
      </w:pPr>
      <w:r w:rsidRPr="00245A64">
        <w:rPr>
          <w:rFonts w:ascii="Times New Roman" w:eastAsia="Times New Roman" w:hAnsi="Times New Roman" w:cs="Times New Roman"/>
          <w:sz w:val="24"/>
          <w:szCs w:val="24"/>
        </w:rPr>
        <w:t>Academia, industry, and regulatory agencies are going to have to collaborate on formulating consensus as well as to speed up the translation of regenerative therapies into clinical practice.</w:t>
      </w:r>
      <w:r w:rsidRPr="00245A64">
        <w:rPr>
          <w:rFonts w:ascii="Times New Roman" w:eastAsia="Times New Roman" w:hAnsi="Times New Roman" w:cs="Times New Roman"/>
          <w:sz w:val="24"/>
          <w:szCs w:val="24"/>
          <w:vertAlign w:val="superscript"/>
        </w:rPr>
        <w:t>71</w:t>
      </w:r>
    </w:p>
    <w:p w14:paraId="770E771F" w14:textId="77777777"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Conclusion</w:t>
      </w:r>
    </w:p>
    <w:p w14:paraId="00FCE39D" w14:textId="7AE4EBFB"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Regenerative and cellular therapy is a major paradigm shift in the treatment of arthritis, which has not only shifted focus to controlling the symptoms but also allows structural healing and modification of the disease. The newest methods in mesenchymal stem cell therapies, biologic adjuncts including platelet-rich plasma, extracellular vesicles, as well as emerging and leading techniques, including Gene therapy and tissue engineering, have all shown positive and promising preclinical outcomes and early clinical trials. This set of strategies is expected to restore cartilage self-integrity, adjust the microenvironment of inflammation, and enhance efficient work in a joint.</w:t>
      </w:r>
    </w:p>
    <w:p w14:paraId="00B4C18D" w14:textId="6CF22341"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even with a positive development, there are still significant problems. Clinical evidence remains disadvantaged through heterogeneity in study design, variances in cell origins and manufacturing procedures, and standard outcome measure sentences. In addition, no long-term outcomes depicting long-term cartilage healing and actual disease-modifying impact are </w:t>
      </w:r>
      <w:r>
        <w:rPr>
          <w:rFonts w:ascii="Times New Roman" w:eastAsia="Times New Roman" w:hAnsi="Times New Roman" w:cs="Times New Roman"/>
          <w:sz w:val="24"/>
          <w:szCs w:val="24"/>
        </w:rPr>
        <w:lastRenderedPageBreak/>
        <w:t xml:space="preserve">available. Complexity of regulatory measures, mass production, and high treatment costs also limit </w:t>
      </w:r>
      <w:r w:rsidR="00245A64">
        <w:rPr>
          <w:rFonts w:ascii="Times New Roman" w:eastAsia="Times New Roman" w:hAnsi="Times New Roman" w:cs="Times New Roman"/>
          <w:sz w:val="24"/>
          <w:szCs w:val="24"/>
        </w:rPr>
        <w:t>the use</w:t>
      </w:r>
      <w:r>
        <w:rPr>
          <w:rFonts w:ascii="Times New Roman" w:eastAsia="Times New Roman" w:hAnsi="Times New Roman" w:cs="Times New Roman"/>
          <w:sz w:val="24"/>
          <w:szCs w:val="24"/>
        </w:rPr>
        <w:t xml:space="preserve"> in clinical settings.</w:t>
      </w:r>
    </w:p>
    <w:p w14:paraId="3171E497" w14:textId="4C8DCD3D"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challenges to overcome in making progress in this area in the future include the creation of standardized cell characterization and potency measurement systems, harmonized clinical endpoints incorporating structural and functional outcomes, and, most importantly, high-scale clinical trials with prolonged follow-up. Furthermore, a combination approach that ensures the combination of cells, biologics, scaffolds, and gene-based solutions can also be synergistically advantageous and potentially a future </w:t>
      </w:r>
      <w:proofErr w:type="spellStart"/>
      <w:r>
        <w:rPr>
          <w:rFonts w:ascii="Times New Roman" w:eastAsia="Times New Roman" w:hAnsi="Times New Roman" w:cs="Times New Roman"/>
          <w:sz w:val="24"/>
          <w:szCs w:val="24"/>
        </w:rPr>
        <w:t>recidi</w:t>
      </w:r>
      <w:proofErr w:type="spellEnd"/>
      <w:r w:rsidR="00D500F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vate</w:t>
      </w:r>
      <w:proofErr w:type="spellEnd"/>
      <w:r>
        <w:rPr>
          <w:rFonts w:ascii="Times New Roman" w:eastAsia="Times New Roman" w:hAnsi="Times New Roman" w:cs="Times New Roman"/>
          <w:sz w:val="24"/>
          <w:szCs w:val="24"/>
        </w:rPr>
        <w:t xml:space="preserve"> towards more effective and long-term regeneration.</w:t>
      </w:r>
    </w:p>
    <w:p w14:paraId="795B33D4" w14:textId="2DDE36DB" w:rsidR="00ED21D7" w:rsidRDefault="003F3C3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regenerative therapies will have to be translated into everyday clinical practice, and this process will have to involve scientific, clinical, regulatory, and industrial spheres. Although the existing data </w:t>
      </w:r>
      <w:r w:rsidR="00245A64">
        <w:rPr>
          <w:rFonts w:ascii="Times New Roman" w:eastAsia="Times New Roman" w:hAnsi="Times New Roman" w:cs="Times New Roman"/>
          <w:sz w:val="24"/>
          <w:szCs w:val="24"/>
        </w:rPr>
        <w:t>promise</w:t>
      </w:r>
      <w:r>
        <w:rPr>
          <w:rFonts w:ascii="Times New Roman" w:eastAsia="Times New Roman" w:hAnsi="Times New Roman" w:cs="Times New Roman"/>
          <w:sz w:val="24"/>
          <w:szCs w:val="24"/>
        </w:rPr>
        <w:t xml:space="preserve"> their possibilities, these therapies would require strict validation and standardization to become the subject of change by the means of transforming the experimental interventions into safety, efficiency, and affordability of the treatment to the patients with arthritis.</w:t>
      </w:r>
    </w:p>
    <w:p w14:paraId="1A80F2E7" w14:textId="549E9036" w:rsidR="003D2E5B" w:rsidRPr="003D2E5B" w:rsidRDefault="003D2E5B" w:rsidP="003D2E5B">
      <w:pPr>
        <w:spacing w:line="360" w:lineRule="auto"/>
        <w:jc w:val="both"/>
        <w:rPr>
          <w:rFonts w:ascii="Times New Roman" w:eastAsia="Times New Roman" w:hAnsi="Times New Roman" w:cs="Times New Roman"/>
          <w:b/>
          <w:bCs/>
          <w:sz w:val="24"/>
          <w:szCs w:val="24"/>
        </w:rPr>
      </w:pPr>
      <w:r w:rsidRPr="003D2E5B">
        <w:rPr>
          <w:rFonts w:ascii="Times New Roman" w:eastAsia="Times New Roman" w:hAnsi="Times New Roman" w:cs="Times New Roman"/>
          <w:b/>
          <w:bCs/>
          <w:sz w:val="24"/>
          <w:szCs w:val="24"/>
        </w:rPr>
        <w:t xml:space="preserve">Ethical </w:t>
      </w:r>
      <w:r>
        <w:rPr>
          <w:rFonts w:ascii="Times New Roman" w:eastAsia="Times New Roman" w:hAnsi="Times New Roman" w:cs="Times New Roman"/>
          <w:b/>
          <w:bCs/>
          <w:sz w:val="24"/>
          <w:szCs w:val="24"/>
        </w:rPr>
        <w:t>A</w:t>
      </w:r>
      <w:r w:rsidRPr="003D2E5B">
        <w:rPr>
          <w:rFonts w:ascii="Times New Roman" w:eastAsia="Times New Roman" w:hAnsi="Times New Roman" w:cs="Times New Roman"/>
          <w:b/>
          <w:bCs/>
          <w:sz w:val="24"/>
          <w:szCs w:val="24"/>
        </w:rPr>
        <w:t xml:space="preserve">pproval </w:t>
      </w:r>
      <w:r>
        <w:rPr>
          <w:rFonts w:ascii="Times New Roman" w:eastAsia="Times New Roman" w:hAnsi="Times New Roman" w:cs="Times New Roman"/>
          <w:b/>
          <w:bCs/>
          <w:sz w:val="24"/>
          <w:szCs w:val="24"/>
        </w:rPr>
        <w:t>and Consent</w:t>
      </w:r>
    </w:p>
    <w:p w14:paraId="5FF335D9" w14:textId="09EEE616" w:rsidR="003D2E5B" w:rsidRPr="003D2E5B" w:rsidRDefault="003D2E5B" w:rsidP="003D2E5B">
      <w:pPr>
        <w:spacing w:line="360" w:lineRule="auto"/>
        <w:jc w:val="both"/>
        <w:rPr>
          <w:rFonts w:ascii="Times New Roman" w:eastAsia="Times New Roman" w:hAnsi="Times New Roman" w:cs="Times New Roman"/>
          <w:sz w:val="24"/>
          <w:szCs w:val="24"/>
        </w:rPr>
      </w:pPr>
      <w:r w:rsidRPr="003D2E5B">
        <w:rPr>
          <w:rFonts w:ascii="Times New Roman" w:eastAsia="Times New Roman" w:hAnsi="Times New Roman" w:cs="Times New Roman"/>
          <w:sz w:val="24"/>
          <w:szCs w:val="24"/>
        </w:rPr>
        <w:t xml:space="preserve">The consideration of ethics is at the heart of the creation of regenerative therapies. There is a trade-off in the implementation of either autologous or allogeneic cell sources in regard to immune compatibility and scalability. Although more scalable, allogeneic therapies are associated with issues related to the safety of the donor, his/her </w:t>
      </w:r>
      <w:r>
        <w:rPr>
          <w:rFonts w:ascii="Times New Roman" w:eastAsia="Times New Roman" w:hAnsi="Times New Roman" w:cs="Times New Roman"/>
          <w:sz w:val="24"/>
          <w:szCs w:val="24"/>
        </w:rPr>
        <w:t xml:space="preserve">written </w:t>
      </w:r>
      <w:r w:rsidRPr="003D2E5B">
        <w:rPr>
          <w:rFonts w:ascii="Times New Roman" w:eastAsia="Times New Roman" w:hAnsi="Times New Roman" w:cs="Times New Roman"/>
          <w:sz w:val="24"/>
          <w:szCs w:val="24"/>
        </w:rPr>
        <w:t>consent, and immunogenicity.69</w:t>
      </w:r>
    </w:p>
    <w:p w14:paraId="1065ACF0" w14:textId="77777777" w:rsidR="003D2E5B" w:rsidRPr="003D2E5B" w:rsidRDefault="003D2E5B" w:rsidP="003D2E5B">
      <w:pPr>
        <w:spacing w:line="360" w:lineRule="auto"/>
        <w:jc w:val="both"/>
        <w:rPr>
          <w:rFonts w:ascii="Times New Roman" w:eastAsia="Times New Roman" w:hAnsi="Times New Roman" w:cs="Times New Roman"/>
          <w:sz w:val="24"/>
          <w:szCs w:val="24"/>
        </w:rPr>
      </w:pPr>
      <w:r w:rsidRPr="003D2E5B">
        <w:rPr>
          <w:rFonts w:ascii="Times New Roman" w:eastAsia="Times New Roman" w:hAnsi="Times New Roman" w:cs="Times New Roman"/>
          <w:sz w:val="24"/>
          <w:szCs w:val="24"/>
        </w:rPr>
        <w:t>Donor approval and moral acquisition of tissues is essential, especially in relation to perinatal ones and allogeneic sources. The monitoring of safety in the long-term is also necessary because of the risks that include tumorigenicity as well as unintended results on the tissues.</w:t>
      </w:r>
    </w:p>
    <w:p w14:paraId="3AE03BB2" w14:textId="27A82444" w:rsidR="00ED21D7" w:rsidRDefault="003D2E5B" w:rsidP="003D2E5B">
      <w:pPr>
        <w:spacing w:line="360" w:lineRule="auto"/>
        <w:jc w:val="both"/>
        <w:rPr>
          <w:rFonts w:ascii="Times New Roman" w:eastAsia="Times New Roman" w:hAnsi="Times New Roman" w:cs="Times New Roman"/>
          <w:sz w:val="24"/>
          <w:szCs w:val="24"/>
        </w:rPr>
      </w:pPr>
      <w:r w:rsidRPr="003D2E5B">
        <w:rPr>
          <w:rFonts w:ascii="Times New Roman" w:eastAsia="Times New Roman" w:hAnsi="Times New Roman" w:cs="Times New Roman"/>
          <w:sz w:val="24"/>
          <w:szCs w:val="24"/>
        </w:rPr>
        <w:t>Also, there is the possibility that the growth of unregulated stem cell clinics that provide untested treatments poses a severe ethical issue that could be a form of exploitation of patients, as well as the disregard of evidence-based guidelines. The measures required to solve these problems include strengthened regulatory control and the encouragement of transparency.67</w:t>
      </w:r>
    </w:p>
    <w:p w14:paraId="475EFEA5" w14:textId="77777777" w:rsidR="00ED21D7" w:rsidRDefault="00ED21D7">
      <w:pPr>
        <w:spacing w:line="360" w:lineRule="auto"/>
        <w:jc w:val="both"/>
        <w:rPr>
          <w:rFonts w:ascii="Times New Roman" w:eastAsia="Times New Roman" w:hAnsi="Times New Roman" w:cs="Times New Roman"/>
          <w:sz w:val="24"/>
          <w:szCs w:val="24"/>
        </w:rPr>
      </w:pPr>
    </w:p>
    <w:p w14:paraId="77BAF7B9" w14:textId="77777777" w:rsidR="007F280A" w:rsidRPr="007F280A" w:rsidRDefault="007F280A" w:rsidP="007F280A">
      <w:pPr>
        <w:spacing w:line="360" w:lineRule="auto"/>
        <w:jc w:val="both"/>
        <w:rPr>
          <w:rFonts w:ascii="Times New Roman" w:eastAsia="Times New Roman" w:hAnsi="Times New Roman" w:cs="Times New Roman"/>
          <w:sz w:val="24"/>
          <w:szCs w:val="24"/>
        </w:rPr>
      </w:pPr>
      <w:r w:rsidRPr="007F280A">
        <w:rPr>
          <w:rFonts w:ascii="Times New Roman" w:eastAsia="Times New Roman" w:hAnsi="Times New Roman" w:cs="Times New Roman"/>
          <w:sz w:val="24"/>
          <w:szCs w:val="24"/>
        </w:rPr>
        <w:t>COMPETING INTERESTS DISCLAIMER:</w:t>
      </w:r>
    </w:p>
    <w:p w14:paraId="225BD7C2" w14:textId="5ABE73CF" w:rsidR="00ED21D7" w:rsidRDefault="007F280A" w:rsidP="007F280A">
      <w:pPr>
        <w:spacing w:line="360" w:lineRule="auto"/>
        <w:jc w:val="both"/>
        <w:rPr>
          <w:rFonts w:ascii="Times New Roman" w:eastAsia="Times New Roman" w:hAnsi="Times New Roman" w:cs="Times New Roman"/>
          <w:sz w:val="24"/>
          <w:szCs w:val="24"/>
        </w:rPr>
      </w:pPr>
      <w:r w:rsidRPr="007F280A">
        <w:rPr>
          <w:rFonts w:ascii="Times New Roman" w:eastAsia="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48CFA3D7" w14:textId="77777777" w:rsidR="003F0265" w:rsidRPr="00CA3906" w:rsidRDefault="003F0265" w:rsidP="003F0265">
      <w:pPr>
        <w:rPr>
          <w:b/>
          <w:highlight w:val="yellow"/>
        </w:rPr>
      </w:pPr>
      <w:r w:rsidRPr="00CA3906">
        <w:rPr>
          <w:b/>
          <w:highlight w:val="yellow"/>
        </w:rPr>
        <w:t>Disclaimer (Artificial intelligence)</w:t>
      </w:r>
    </w:p>
    <w:p w14:paraId="60CD51C9" w14:textId="77777777" w:rsidR="003F0265" w:rsidRPr="00740879" w:rsidRDefault="003F0265" w:rsidP="003F0265">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387102D2" w14:textId="77777777" w:rsidR="00ED21D7" w:rsidRDefault="00ED21D7">
      <w:pPr>
        <w:spacing w:line="360" w:lineRule="auto"/>
        <w:jc w:val="both"/>
        <w:rPr>
          <w:rFonts w:ascii="Times New Roman" w:eastAsia="Times New Roman" w:hAnsi="Times New Roman" w:cs="Times New Roman"/>
          <w:sz w:val="24"/>
          <w:szCs w:val="24"/>
        </w:rPr>
      </w:pPr>
    </w:p>
    <w:p w14:paraId="628607DB" w14:textId="77777777" w:rsidR="00ED21D7" w:rsidRDefault="00ED21D7">
      <w:pPr>
        <w:spacing w:line="360" w:lineRule="auto"/>
        <w:jc w:val="both"/>
        <w:rPr>
          <w:rFonts w:ascii="Times New Roman" w:eastAsia="Times New Roman" w:hAnsi="Times New Roman" w:cs="Times New Roman"/>
          <w:sz w:val="24"/>
          <w:szCs w:val="24"/>
        </w:rPr>
      </w:pPr>
    </w:p>
    <w:p w14:paraId="2531DA6C" w14:textId="77777777" w:rsidR="00245A64" w:rsidRDefault="00245A64">
      <w:pPr>
        <w:spacing w:line="360" w:lineRule="auto"/>
        <w:jc w:val="both"/>
        <w:rPr>
          <w:rFonts w:ascii="Times New Roman" w:eastAsia="Times New Roman" w:hAnsi="Times New Roman" w:cs="Times New Roman"/>
          <w:sz w:val="24"/>
          <w:szCs w:val="24"/>
        </w:rPr>
      </w:pPr>
    </w:p>
    <w:p w14:paraId="01EE5BF0" w14:textId="6F623255" w:rsidR="00ED21D7" w:rsidRDefault="003F3C3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049BD4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Hunter DJ, Bierma-Zeinstra S. Osteoarthritis. </w:t>
      </w:r>
      <w:r>
        <w:rPr>
          <w:rFonts w:ascii="Times New Roman" w:eastAsia="Times New Roman" w:hAnsi="Times New Roman" w:cs="Times New Roman"/>
          <w:i/>
          <w:iCs/>
          <w:color w:val="000000"/>
          <w:sz w:val="24"/>
          <w:szCs w:val="24"/>
        </w:rPr>
        <w:t>Lancet</w:t>
      </w:r>
      <w:r>
        <w:rPr>
          <w:rFonts w:ascii="Times New Roman" w:eastAsia="Times New Roman" w:hAnsi="Times New Roman" w:cs="Times New Roman"/>
          <w:color w:val="000000"/>
          <w:sz w:val="24"/>
          <w:szCs w:val="24"/>
        </w:rPr>
        <w:t>. 2019;393(10182):1745–1759.</w:t>
      </w:r>
    </w:p>
    <w:p w14:paraId="17EE7A3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McInnes IB, </w:t>
      </w:r>
      <w:proofErr w:type="spellStart"/>
      <w:r>
        <w:rPr>
          <w:rFonts w:ascii="Times New Roman" w:eastAsia="Times New Roman" w:hAnsi="Times New Roman" w:cs="Times New Roman"/>
          <w:color w:val="000000"/>
          <w:sz w:val="24"/>
          <w:szCs w:val="24"/>
        </w:rPr>
        <w:t>Schett</w:t>
      </w:r>
      <w:proofErr w:type="spellEnd"/>
      <w:r>
        <w:rPr>
          <w:rFonts w:ascii="Times New Roman" w:eastAsia="Times New Roman" w:hAnsi="Times New Roman" w:cs="Times New Roman"/>
          <w:color w:val="000000"/>
          <w:sz w:val="24"/>
          <w:szCs w:val="24"/>
        </w:rPr>
        <w:t xml:space="preserve"> G. The pathogenesis of rheumatoid arthritis. </w:t>
      </w:r>
      <w:r>
        <w:rPr>
          <w:rFonts w:ascii="Times New Roman" w:eastAsia="Times New Roman" w:hAnsi="Times New Roman" w:cs="Times New Roman"/>
          <w:i/>
          <w:iCs/>
          <w:color w:val="000000"/>
          <w:sz w:val="24"/>
          <w:szCs w:val="24"/>
        </w:rPr>
        <w:t>N Engl J Med</w:t>
      </w:r>
      <w:r>
        <w:rPr>
          <w:rFonts w:ascii="Times New Roman" w:eastAsia="Times New Roman" w:hAnsi="Times New Roman" w:cs="Times New Roman"/>
          <w:color w:val="000000"/>
          <w:sz w:val="24"/>
          <w:szCs w:val="24"/>
        </w:rPr>
        <w:t>. 2011;365(23):2205–2219.</w:t>
      </w:r>
    </w:p>
    <w:p w14:paraId="32D3C71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Kolasinski SL, et al. 2020 American College of Rheumatology guideline for the management of osteoarthritis. </w:t>
      </w:r>
      <w:r>
        <w:rPr>
          <w:rFonts w:ascii="Times New Roman" w:eastAsia="Times New Roman" w:hAnsi="Times New Roman" w:cs="Times New Roman"/>
          <w:i/>
          <w:iCs/>
          <w:color w:val="000000"/>
          <w:sz w:val="24"/>
          <w:szCs w:val="24"/>
        </w:rPr>
        <w:t>Arthritis Care Res</w:t>
      </w:r>
      <w:r>
        <w:rPr>
          <w:rFonts w:ascii="Times New Roman" w:eastAsia="Times New Roman" w:hAnsi="Times New Roman" w:cs="Times New Roman"/>
          <w:color w:val="000000"/>
          <w:sz w:val="24"/>
          <w:szCs w:val="24"/>
        </w:rPr>
        <w:t>. 2020;72(2):149–162.</w:t>
      </w:r>
    </w:p>
    <w:p w14:paraId="018A2DF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 AJ, et al. Knee replacement. </w:t>
      </w:r>
      <w:r>
        <w:rPr>
          <w:rFonts w:ascii="Times New Roman" w:eastAsia="Times New Roman" w:hAnsi="Times New Roman" w:cs="Times New Roman"/>
          <w:i/>
          <w:iCs/>
          <w:color w:val="000000"/>
          <w:sz w:val="24"/>
          <w:szCs w:val="24"/>
        </w:rPr>
        <w:t>Lancet</w:t>
      </w:r>
      <w:r>
        <w:rPr>
          <w:rFonts w:ascii="Times New Roman" w:eastAsia="Times New Roman" w:hAnsi="Times New Roman" w:cs="Times New Roman"/>
          <w:color w:val="000000"/>
          <w:sz w:val="24"/>
          <w:szCs w:val="24"/>
        </w:rPr>
        <w:t>. 2012;379(9823):1331–1340.</w:t>
      </w:r>
    </w:p>
    <w:p w14:paraId="2D11A6A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Barry F, Murphy M. Mesenchymal stem cells in joint disease and repair. </w:t>
      </w:r>
      <w:r>
        <w:rPr>
          <w:rFonts w:ascii="Times New Roman" w:eastAsia="Times New Roman" w:hAnsi="Times New Roman" w:cs="Times New Roman"/>
          <w:i/>
          <w:iCs/>
          <w:color w:val="000000"/>
          <w:sz w:val="24"/>
          <w:szCs w:val="24"/>
        </w:rPr>
        <w:t xml:space="preserve">Nat Rev </w:t>
      </w:r>
      <w:proofErr w:type="spellStart"/>
      <w:r>
        <w:rPr>
          <w:rFonts w:ascii="Times New Roman" w:eastAsia="Times New Roman" w:hAnsi="Times New Roman" w:cs="Times New Roman"/>
          <w:i/>
          <w:iCs/>
          <w:color w:val="000000"/>
          <w:sz w:val="24"/>
          <w:szCs w:val="24"/>
        </w:rPr>
        <w:t>Rheumatol</w:t>
      </w:r>
      <w:proofErr w:type="spellEnd"/>
      <w:r>
        <w:rPr>
          <w:rFonts w:ascii="Times New Roman" w:eastAsia="Times New Roman" w:hAnsi="Times New Roman" w:cs="Times New Roman"/>
          <w:color w:val="000000"/>
          <w:sz w:val="24"/>
          <w:szCs w:val="24"/>
        </w:rPr>
        <w:t>. 2013;9(10):584–594.</w:t>
      </w:r>
    </w:p>
    <w:p w14:paraId="1932692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Makris EA, Gomoll AH, </w:t>
      </w:r>
      <w:proofErr w:type="spellStart"/>
      <w:r>
        <w:rPr>
          <w:rFonts w:ascii="Times New Roman" w:eastAsia="Times New Roman" w:hAnsi="Times New Roman" w:cs="Times New Roman"/>
          <w:color w:val="000000"/>
          <w:sz w:val="24"/>
          <w:szCs w:val="24"/>
        </w:rPr>
        <w:t>Malizos</w:t>
      </w:r>
      <w:proofErr w:type="spellEnd"/>
      <w:r>
        <w:rPr>
          <w:rFonts w:ascii="Times New Roman" w:eastAsia="Times New Roman" w:hAnsi="Times New Roman" w:cs="Times New Roman"/>
          <w:color w:val="000000"/>
          <w:sz w:val="24"/>
          <w:szCs w:val="24"/>
        </w:rPr>
        <w:t xml:space="preserve"> KN, Hu JC, Athanasiou KA. Repair and tissue engineering techniques for articular cartilage. </w:t>
      </w:r>
      <w:r>
        <w:rPr>
          <w:rFonts w:ascii="Times New Roman" w:eastAsia="Times New Roman" w:hAnsi="Times New Roman" w:cs="Times New Roman"/>
          <w:i/>
          <w:iCs/>
          <w:color w:val="000000"/>
          <w:sz w:val="24"/>
          <w:szCs w:val="24"/>
        </w:rPr>
        <w:t xml:space="preserve">Nat Rev </w:t>
      </w:r>
      <w:proofErr w:type="spellStart"/>
      <w:r>
        <w:rPr>
          <w:rFonts w:ascii="Times New Roman" w:eastAsia="Times New Roman" w:hAnsi="Times New Roman" w:cs="Times New Roman"/>
          <w:i/>
          <w:iCs/>
          <w:color w:val="000000"/>
          <w:sz w:val="24"/>
          <w:szCs w:val="24"/>
        </w:rPr>
        <w:t>Rheumatol</w:t>
      </w:r>
      <w:proofErr w:type="spellEnd"/>
      <w:r>
        <w:rPr>
          <w:rFonts w:ascii="Times New Roman" w:eastAsia="Times New Roman" w:hAnsi="Times New Roman" w:cs="Times New Roman"/>
          <w:color w:val="000000"/>
          <w:sz w:val="24"/>
          <w:szCs w:val="24"/>
        </w:rPr>
        <w:t>. 2015;11(1):21–34.</w:t>
      </w:r>
    </w:p>
    <w:p w14:paraId="3DF8A30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Caplan AI, Correa D. The MSC: an injury drugstore. </w:t>
      </w:r>
      <w:r>
        <w:rPr>
          <w:rFonts w:ascii="Times New Roman" w:eastAsia="Times New Roman" w:hAnsi="Times New Roman" w:cs="Times New Roman"/>
          <w:i/>
          <w:iCs/>
          <w:color w:val="000000"/>
          <w:sz w:val="24"/>
          <w:szCs w:val="24"/>
        </w:rPr>
        <w:t>Cell Stem Cell</w:t>
      </w:r>
      <w:r>
        <w:rPr>
          <w:rFonts w:ascii="Times New Roman" w:eastAsia="Times New Roman" w:hAnsi="Times New Roman" w:cs="Times New Roman"/>
          <w:color w:val="000000"/>
          <w:sz w:val="24"/>
          <w:szCs w:val="24"/>
        </w:rPr>
        <w:t>. 2011;9(1):11–15.</w:t>
      </w:r>
    </w:p>
    <w:p w14:paraId="0693C31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Loeser RF. Aging and osteoarthritis. </w:t>
      </w:r>
      <w:r>
        <w:rPr>
          <w:rFonts w:ascii="Times New Roman" w:eastAsia="Times New Roman" w:hAnsi="Times New Roman" w:cs="Times New Roman"/>
          <w:i/>
          <w:iCs/>
          <w:color w:val="000000"/>
          <w:sz w:val="24"/>
          <w:szCs w:val="24"/>
        </w:rPr>
        <w:t xml:space="preserve">Curr </w:t>
      </w:r>
      <w:proofErr w:type="spellStart"/>
      <w:r>
        <w:rPr>
          <w:rFonts w:ascii="Times New Roman" w:eastAsia="Times New Roman" w:hAnsi="Times New Roman" w:cs="Times New Roman"/>
          <w:i/>
          <w:iCs/>
          <w:color w:val="000000"/>
          <w:sz w:val="24"/>
          <w:szCs w:val="24"/>
        </w:rPr>
        <w:t>Opin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Rheumatol</w:t>
      </w:r>
      <w:proofErr w:type="spellEnd"/>
      <w:r>
        <w:rPr>
          <w:rFonts w:ascii="Times New Roman" w:eastAsia="Times New Roman" w:hAnsi="Times New Roman" w:cs="Times New Roman"/>
          <w:color w:val="000000"/>
          <w:sz w:val="24"/>
          <w:szCs w:val="24"/>
        </w:rPr>
        <w:t>. 2011;23(5):492–496.</w:t>
      </w:r>
    </w:p>
    <w:p w14:paraId="6DAFFC4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Henrotin</w:t>
      </w:r>
      <w:proofErr w:type="spellEnd"/>
      <w:r>
        <w:rPr>
          <w:rFonts w:ascii="Times New Roman" w:eastAsia="Times New Roman" w:hAnsi="Times New Roman" w:cs="Times New Roman"/>
          <w:color w:val="000000"/>
          <w:sz w:val="24"/>
          <w:szCs w:val="24"/>
        </w:rPr>
        <w:t xml:space="preserve"> Y, Kurz B, Aigner T. Oxygen and reactive oxygen species in cartilage degradation. </w:t>
      </w:r>
      <w:r>
        <w:rPr>
          <w:rFonts w:ascii="Times New Roman" w:eastAsia="Times New Roman" w:hAnsi="Times New Roman" w:cs="Times New Roman"/>
          <w:i/>
          <w:iCs/>
          <w:color w:val="000000"/>
          <w:sz w:val="24"/>
          <w:szCs w:val="24"/>
        </w:rPr>
        <w:t>Osteoarthritis Cartilage</w:t>
      </w:r>
      <w:r>
        <w:rPr>
          <w:rFonts w:ascii="Times New Roman" w:eastAsia="Times New Roman" w:hAnsi="Times New Roman" w:cs="Times New Roman"/>
          <w:color w:val="000000"/>
          <w:sz w:val="24"/>
          <w:szCs w:val="24"/>
        </w:rPr>
        <w:t>. 2005;13(8):643–654.</w:t>
      </w:r>
    </w:p>
    <w:p w14:paraId="136F29F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Rousseau JC, </w:t>
      </w:r>
      <w:proofErr w:type="spellStart"/>
      <w:r>
        <w:rPr>
          <w:rFonts w:ascii="Times New Roman" w:eastAsia="Times New Roman" w:hAnsi="Times New Roman" w:cs="Times New Roman"/>
          <w:color w:val="000000"/>
          <w:sz w:val="24"/>
          <w:szCs w:val="24"/>
        </w:rPr>
        <w:t>Garnero</w:t>
      </w:r>
      <w:proofErr w:type="spellEnd"/>
      <w:r>
        <w:rPr>
          <w:rFonts w:ascii="Times New Roman" w:eastAsia="Times New Roman" w:hAnsi="Times New Roman" w:cs="Times New Roman"/>
          <w:color w:val="000000"/>
          <w:sz w:val="24"/>
          <w:szCs w:val="24"/>
        </w:rPr>
        <w:t xml:space="preserve"> P. Biological markers in osteoarthritis. Bone. 2012 Aug 1;51(2):265-77.</w:t>
      </w:r>
    </w:p>
    <w:p w14:paraId="2AA96BF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Guermazi</w:t>
      </w:r>
      <w:proofErr w:type="spellEnd"/>
      <w:r>
        <w:rPr>
          <w:rFonts w:ascii="Times New Roman" w:eastAsia="Times New Roman" w:hAnsi="Times New Roman" w:cs="Times New Roman"/>
          <w:color w:val="000000"/>
          <w:sz w:val="24"/>
          <w:szCs w:val="24"/>
        </w:rPr>
        <w:t xml:space="preserve"> A, Hayashi D, Eckstein F, Hunter DJ, Duryea J, Roemer FW. Imaging of osteoarthritis. Rheumatic Disease Clinics. 2013 Feb 1;39(1):67-105.</w:t>
      </w:r>
    </w:p>
    <w:p w14:paraId="409F423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Pittenger MF, Mackay AM, Beck SC, Jaiswal RK, Douglas R, Mosca JD, Moorman MA, Simonetti DW, Craig S, Marshak DR. Multilineage potential of adult human mesenchymal stem cells. science. 1999 Apr 2;284(5411):143-7.</w:t>
      </w:r>
    </w:p>
    <w:p w14:paraId="38BBF1E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Hass R, Kasper C, Böhm S, Jacobs R. Different populations and sources of human mesenchymal stem cells (MSC): a comparison of adult and neonatal tissue-derived MSC. Cell Communication and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2011 May 14;9(1):12.</w:t>
      </w:r>
    </w:p>
    <w:p w14:paraId="1D3BEE0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Caplan AI. Mesenchymal stem cells: time to change the </w:t>
      </w:r>
      <w:proofErr w:type="gramStart"/>
      <w:r>
        <w:rPr>
          <w:rFonts w:ascii="Times New Roman" w:eastAsia="Times New Roman" w:hAnsi="Times New Roman" w:cs="Times New Roman"/>
          <w:color w:val="000000"/>
          <w:sz w:val="24"/>
          <w:szCs w:val="24"/>
        </w:rPr>
        <w:t>name!.</w:t>
      </w:r>
      <w:proofErr w:type="gramEnd"/>
      <w:r>
        <w:rPr>
          <w:rFonts w:ascii="Times New Roman" w:eastAsia="Times New Roman" w:hAnsi="Times New Roman" w:cs="Times New Roman"/>
          <w:color w:val="000000"/>
          <w:sz w:val="24"/>
          <w:szCs w:val="24"/>
        </w:rPr>
        <w:t xml:space="preserve"> Stem cells translational medicine. 2017 Jun 1;6(6):1445-51.</w:t>
      </w:r>
    </w:p>
    <w:p w14:paraId="1F285F5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Müller L, </w:t>
      </w:r>
      <w:proofErr w:type="spellStart"/>
      <w:r>
        <w:rPr>
          <w:rFonts w:ascii="Times New Roman" w:eastAsia="Times New Roman" w:hAnsi="Times New Roman" w:cs="Times New Roman"/>
          <w:color w:val="000000"/>
          <w:sz w:val="24"/>
          <w:szCs w:val="24"/>
        </w:rPr>
        <w:t>Tunger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Wobus</w:t>
      </w:r>
      <w:proofErr w:type="spellEnd"/>
      <w:r>
        <w:rPr>
          <w:rFonts w:ascii="Times New Roman" w:eastAsia="Times New Roman" w:hAnsi="Times New Roman" w:cs="Times New Roman"/>
          <w:color w:val="000000"/>
          <w:sz w:val="24"/>
          <w:szCs w:val="24"/>
        </w:rPr>
        <w:t xml:space="preserve"> M, von Bonin M, Towers R, Bornhäuser M, Dazzi F, Wehner R, Schmitz M. Immunomodulatory properties of mesenchymal stromal cells: an update. Frontiers in cell and developmental biology. 2021 Feb </w:t>
      </w:r>
      <w:proofErr w:type="gramStart"/>
      <w:r>
        <w:rPr>
          <w:rFonts w:ascii="Times New Roman" w:eastAsia="Times New Roman" w:hAnsi="Times New Roman" w:cs="Times New Roman"/>
          <w:color w:val="000000"/>
          <w:sz w:val="24"/>
          <w:szCs w:val="24"/>
        </w:rPr>
        <w:t>9;9:637725</w:t>
      </w:r>
      <w:proofErr w:type="gramEnd"/>
      <w:r>
        <w:rPr>
          <w:rFonts w:ascii="Times New Roman" w:eastAsia="Times New Roman" w:hAnsi="Times New Roman" w:cs="Times New Roman"/>
          <w:color w:val="000000"/>
          <w:sz w:val="24"/>
          <w:szCs w:val="24"/>
        </w:rPr>
        <w:t>.</w:t>
      </w:r>
    </w:p>
    <w:p w14:paraId="6ADE2E5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Toh WS, Lai RC, Hui JH, Lim SK. MSC exosome as a cell-free MSC therapy for cartilage regeneration: implications for osteoarthritis treatment. </w:t>
      </w:r>
      <w:proofErr w:type="spellStart"/>
      <w:r>
        <w:rPr>
          <w:rFonts w:ascii="Times New Roman" w:eastAsia="Times New Roman" w:hAnsi="Times New Roman" w:cs="Times New Roman"/>
          <w:color w:val="000000"/>
          <w:sz w:val="24"/>
          <w:szCs w:val="24"/>
        </w:rPr>
        <w:t>InSeminars</w:t>
      </w:r>
      <w:proofErr w:type="spellEnd"/>
      <w:r>
        <w:rPr>
          <w:rFonts w:ascii="Times New Roman" w:eastAsia="Times New Roman" w:hAnsi="Times New Roman" w:cs="Times New Roman"/>
          <w:color w:val="000000"/>
          <w:sz w:val="24"/>
          <w:szCs w:val="24"/>
        </w:rPr>
        <w:t xml:space="preserve"> in cell &amp; developmental biology 2017 Jul 1 (Vol. 67, pp. 56-64). Academic Press.</w:t>
      </w:r>
    </w:p>
    <w:p w14:paraId="68A3F5F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Eggenhofer E, Luk F, Dahlke MH, </w:t>
      </w:r>
      <w:proofErr w:type="spellStart"/>
      <w:r>
        <w:rPr>
          <w:rFonts w:ascii="Times New Roman" w:eastAsia="Times New Roman" w:hAnsi="Times New Roman" w:cs="Times New Roman"/>
          <w:color w:val="000000"/>
          <w:sz w:val="24"/>
          <w:szCs w:val="24"/>
        </w:rPr>
        <w:t>Hoogduijn</w:t>
      </w:r>
      <w:proofErr w:type="spellEnd"/>
      <w:r>
        <w:rPr>
          <w:rFonts w:ascii="Times New Roman" w:eastAsia="Times New Roman" w:hAnsi="Times New Roman" w:cs="Times New Roman"/>
          <w:color w:val="000000"/>
          <w:sz w:val="24"/>
          <w:szCs w:val="24"/>
        </w:rPr>
        <w:t xml:space="preserve"> MJ. The life and fate of mesenchymal stem cells. Frontiers in immunology. 2014 May </w:t>
      </w:r>
      <w:proofErr w:type="gramStart"/>
      <w:r>
        <w:rPr>
          <w:rFonts w:ascii="Times New Roman" w:eastAsia="Times New Roman" w:hAnsi="Times New Roman" w:cs="Times New Roman"/>
          <w:color w:val="000000"/>
          <w:sz w:val="24"/>
          <w:szCs w:val="24"/>
        </w:rPr>
        <w:t>19;5:148</w:t>
      </w:r>
      <w:proofErr w:type="gramEnd"/>
      <w:r>
        <w:rPr>
          <w:rFonts w:ascii="Times New Roman" w:eastAsia="Times New Roman" w:hAnsi="Times New Roman" w:cs="Times New Roman"/>
          <w:color w:val="000000"/>
          <w:sz w:val="24"/>
          <w:szCs w:val="24"/>
        </w:rPr>
        <w:t>.</w:t>
      </w:r>
    </w:p>
    <w:p w14:paraId="751F565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Xing D, Kwong J, Yang Z, Hou Y, Zhang W, Ma B, Lin J. Intra-articular injection of mesenchymal stem cells in treating knee osteoarthritis: a systematic review of animal studies. Osteoarthritis and cartilage. 2018 Apr 1;26(4):445-61.</w:t>
      </w:r>
    </w:p>
    <w:p w14:paraId="4E4083D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Freitag J, Bates D, Boyd R, Shah K, Barnard A, Huguenin L, Tenen A. Mesenchymal stem cell therapy in the treatment of osteoarthritis: reparative pathways, safety and efficacy–a review. BMC musculoskeletal disorders. 2016 May 26;17(1):230.</w:t>
      </w:r>
    </w:p>
    <w:p w14:paraId="1C0E1A4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Huurne</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Schelbergen</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Blattes</w:t>
      </w:r>
      <w:proofErr w:type="spellEnd"/>
      <w:r>
        <w:rPr>
          <w:rFonts w:ascii="Times New Roman" w:eastAsia="Times New Roman" w:hAnsi="Times New Roman" w:cs="Times New Roman"/>
          <w:color w:val="000000"/>
          <w:sz w:val="24"/>
          <w:szCs w:val="24"/>
        </w:rPr>
        <w:t xml:space="preserve"> R, Blom A, de Munter W, Grevers LC, Jeanson J, Noël D, </w:t>
      </w:r>
      <w:proofErr w:type="spellStart"/>
      <w:r>
        <w:rPr>
          <w:rFonts w:ascii="Times New Roman" w:eastAsia="Times New Roman" w:hAnsi="Times New Roman" w:cs="Times New Roman"/>
          <w:color w:val="000000"/>
          <w:sz w:val="24"/>
          <w:szCs w:val="24"/>
        </w:rPr>
        <w:t>Casteilla</w:t>
      </w:r>
      <w:proofErr w:type="spellEnd"/>
      <w:r>
        <w:rPr>
          <w:rFonts w:ascii="Times New Roman" w:eastAsia="Times New Roman" w:hAnsi="Times New Roman" w:cs="Times New Roman"/>
          <w:color w:val="000000"/>
          <w:sz w:val="24"/>
          <w:szCs w:val="24"/>
        </w:rPr>
        <w:t xml:space="preserve"> L, Jorgensen C, van den Berg W. </w:t>
      </w:r>
      <w:proofErr w:type="spellStart"/>
      <w:r>
        <w:rPr>
          <w:rFonts w:ascii="Times New Roman" w:eastAsia="Times New Roman" w:hAnsi="Times New Roman" w:cs="Times New Roman"/>
          <w:color w:val="000000"/>
          <w:sz w:val="24"/>
          <w:szCs w:val="24"/>
        </w:rPr>
        <w:t>Antiinflammatory</w:t>
      </w:r>
      <w:proofErr w:type="spellEnd"/>
      <w:r>
        <w:rPr>
          <w:rFonts w:ascii="Times New Roman" w:eastAsia="Times New Roman" w:hAnsi="Times New Roman" w:cs="Times New Roman"/>
          <w:color w:val="000000"/>
          <w:sz w:val="24"/>
          <w:szCs w:val="24"/>
        </w:rPr>
        <w:t xml:space="preserve"> and chondroprotective effects of intraarticular injection of adipose‐derived stem cells in experimental osteoarthritis. Arthritis &amp; Rheumatism. 2012 Nov;64(11):3604-13.</w:t>
      </w:r>
    </w:p>
    <w:p w14:paraId="641313D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Murphy JM, Fink DJ, Hunziker EB, Barry FP. Stem cell therapy in a caprine model of osteoarthritis. Arthritis &amp; Rheumatism: Official Journal of the American College of Rheumatology. 2003 Dec;48(12):3464-74.</w:t>
      </w:r>
    </w:p>
    <w:p w14:paraId="4AEC4D0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Vega A, Martín-Ferrero MA, Del Canto F, </w:t>
      </w:r>
      <w:proofErr w:type="spellStart"/>
      <w:r>
        <w:rPr>
          <w:rFonts w:ascii="Times New Roman" w:eastAsia="Times New Roman" w:hAnsi="Times New Roman" w:cs="Times New Roman"/>
          <w:color w:val="000000"/>
          <w:sz w:val="24"/>
          <w:szCs w:val="24"/>
        </w:rPr>
        <w:t>Alberca</w:t>
      </w:r>
      <w:proofErr w:type="spellEnd"/>
      <w:r>
        <w:rPr>
          <w:rFonts w:ascii="Times New Roman" w:eastAsia="Times New Roman" w:hAnsi="Times New Roman" w:cs="Times New Roman"/>
          <w:color w:val="000000"/>
          <w:sz w:val="24"/>
          <w:szCs w:val="24"/>
        </w:rPr>
        <w:t xml:space="preserve"> M, García V, Munar A, Orozco L, Soler R, Fuertes JJ, Huguet M, Sánchez A. Treatment of knee osteoarthritis with allogeneic bone marrow mesenchymal stem cells: a randomized controlled trial. Transplantation. 2015 Aug 1;99(8):1681-90.</w:t>
      </w:r>
    </w:p>
    <w:p w14:paraId="6655164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Wang L, Wang L, Cong X, Liu G, Zhou J, Bai B, Li Y, Bai W, Li M, Ji H, Zhu D. Human umbilical cord mesenchymal stem cell therapy for patients with active rheumatoid arthritis: safety and efficacy. Stem cells and development. 2013 Dec;22(24):3192-202.</w:t>
      </w:r>
    </w:p>
    <w:p w14:paraId="6943CBB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Zha K, Li X, Yang Z, Tian G, Sun Z, Sui X, Dai Y, Liu S, Guo Q. Heterogeneity of mesenchymal stem cells in cartilage regeneration: from characterization to application. NPJ Regenerative Medicine. 2021 Mar 19;6(1):14.</w:t>
      </w:r>
    </w:p>
    <w:p w14:paraId="68EA772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Lalu MM, McIntyre L, Pugliese C, Fergusson D, Winston BW, Marshall JC, </w:t>
      </w:r>
      <w:proofErr w:type="spellStart"/>
      <w:r>
        <w:rPr>
          <w:rFonts w:ascii="Times New Roman" w:eastAsia="Times New Roman" w:hAnsi="Times New Roman" w:cs="Times New Roman"/>
          <w:color w:val="000000"/>
          <w:sz w:val="24"/>
          <w:szCs w:val="24"/>
        </w:rPr>
        <w:t>Granton</w:t>
      </w:r>
      <w:proofErr w:type="spellEnd"/>
      <w:r>
        <w:rPr>
          <w:rFonts w:ascii="Times New Roman" w:eastAsia="Times New Roman" w:hAnsi="Times New Roman" w:cs="Times New Roman"/>
          <w:color w:val="000000"/>
          <w:sz w:val="24"/>
          <w:szCs w:val="24"/>
        </w:rPr>
        <w:t xml:space="preserve"> J, Stewart DJ, Canadian Critical Care Trials Group. Safe ty of cell therapy with mesenchymal stromal cells (</w:t>
      </w:r>
      <w:proofErr w:type="spellStart"/>
      <w:r>
        <w:rPr>
          <w:rFonts w:ascii="Times New Roman" w:eastAsia="Times New Roman" w:hAnsi="Times New Roman" w:cs="Times New Roman"/>
          <w:color w:val="000000"/>
          <w:sz w:val="24"/>
          <w:szCs w:val="24"/>
        </w:rPr>
        <w:t>safecell</w:t>
      </w:r>
      <w:proofErr w:type="spellEnd"/>
      <w:r>
        <w:rPr>
          <w:rFonts w:ascii="Times New Roman" w:eastAsia="Times New Roman" w:hAnsi="Times New Roman" w:cs="Times New Roman"/>
          <w:color w:val="000000"/>
          <w:sz w:val="24"/>
          <w:szCs w:val="24"/>
        </w:rPr>
        <w:t xml:space="preserve">): a systematic review and meta-analysis of clinical trials.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one. 2012 Oct 25;7(10</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47559.</w:t>
      </w:r>
    </w:p>
    <w:p w14:paraId="05EB01C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Moll G, </w:t>
      </w:r>
      <w:proofErr w:type="spellStart"/>
      <w:r>
        <w:rPr>
          <w:rFonts w:ascii="Times New Roman" w:eastAsia="Times New Roman" w:hAnsi="Times New Roman" w:cs="Times New Roman"/>
          <w:color w:val="000000"/>
          <w:sz w:val="24"/>
          <w:szCs w:val="24"/>
        </w:rPr>
        <w:t>Geißler</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Catar</w:t>
      </w:r>
      <w:proofErr w:type="spellEnd"/>
      <w:r>
        <w:rPr>
          <w:rFonts w:ascii="Times New Roman" w:eastAsia="Times New Roman" w:hAnsi="Times New Roman" w:cs="Times New Roman"/>
          <w:color w:val="000000"/>
          <w:sz w:val="24"/>
          <w:szCs w:val="24"/>
        </w:rPr>
        <w:t xml:space="preserve"> R, Ignatowicz L, </w:t>
      </w:r>
      <w:proofErr w:type="spellStart"/>
      <w:r>
        <w:rPr>
          <w:rFonts w:ascii="Times New Roman" w:eastAsia="Times New Roman" w:hAnsi="Times New Roman" w:cs="Times New Roman"/>
          <w:color w:val="000000"/>
          <w:sz w:val="24"/>
          <w:szCs w:val="24"/>
        </w:rPr>
        <w:t>Hoogduijn</w:t>
      </w:r>
      <w:proofErr w:type="spellEnd"/>
      <w:r>
        <w:rPr>
          <w:rFonts w:ascii="Times New Roman" w:eastAsia="Times New Roman" w:hAnsi="Times New Roman" w:cs="Times New Roman"/>
          <w:color w:val="000000"/>
          <w:sz w:val="24"/>
          <w:szCs w:val="24"/>
        </w:rPr>
        <w:t xml:space="preserve"> MJ, Strunk D, </w:t>
      </w:r>
      <w:proofErr w:type="spellStart"/>
      <w:r>
        <w:rPr>
          <w:rFonts w:ascii="Times New Roman" w:eastAsia="Times New Roman" w:hAnsi="Times New Roman" w:cs="Times New Roman"/>
          <w:color w:val="000000"/>
          <w:sz w:val="24"/>
          <w:szCs w:val="24"/>
        </w:rPr>
        <w:t>Bieback</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Ringdén</w:t>
      </w:r>
      <w:proofErr w:type="spellEnd"/>
      <w:r>
        <w:rPr>
          <w:rFonts w:ascii="Times New Roman" w:eastAsia="Times New Roman" w:hAnsi="Times New Roman" w:cs="Times New Roman"/>
          <w:color w:val="000000"/>
          <w:sz w:val="24"/>
          <w:szCs w:val="24"/>
        </w:rPr>
        <w:t xml:space="preserve"> O. Cryopreserved or fresh mesenchymal stromal cells: only a matter of taste or key to unleash the full clinical potential of MSC </w:t>
      </w:r>
      <w:proofErr w:type="gramStart"/>
      <w:r>
        <w:rPr>
          <w:rFonts w:ascii="Times New Roman" w:eastAsia="Times New Roman" w:hAnsi="Times New Roman" w:cs="Times New Roman"/>
          <w:color w:val="000000"/>
          <w:sz w:val="24"/>
          <w:szCs w:val="24"/>
        </w:rPr>
        <w:t>therapy?.</w:t>
      </w:r>
      <w:proofErr w:type="gramEnd"/>
      <w:r>
        <w:rPr>
          <w:rFonts w:ascii="Times New Roman" w:eastAsia="Times New Roman" w:hAnsi="Times New Roman" w:cs="Times New Roman"/>
          <w:color w:val="000000"/>
          <w:sz w:val="24"/>
          <w:szCs w:val="24"/>
        </w:rPr>
        <w:t xml:space="preserve"> Biobanking and cryopreservation of stem cells. 2016 Nov 12:77-98.</w:t>
      </w:r>
    </w:p>
    <w:p w14:paraId="23B099A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Dominici ML, Le Blanc K, Mueller I, </w:t>
      </w:r>
      <w:proofErr w:type="spellStart"/>
      <w:r>
        <w:rPr>
          <w:rFonts w:ascii="Times New Roman" w:eastAsia="Times New Roman" w:hAnsi="Times New Roman" w:cs="Times New Roman"/>
          <w:color w:val="000000"/>
          <w:sz w:val="24"/>
          <w:szCs w:val="24"/>
        </w:rPr>
        <w:t>Slaper-Cortenbach</w:t>
      </w:r>
      <w:proofErr w:type="spellEnd"/>
      <w:r>
        <w:rPr>
          <w:rFonts w:ascii="Times New Roman" w:eastAsia="Times New Roman" w:hAnsi="Times New Roman" w:cs="Times New Roman"/>
          <w:color w:val="000000"/>
          <w:sz w:val="24"/>
          <w:szCs w:val="24"/>
        </w:rPr>
        <w:t xml:space="preserve"> I, Marini FC, Krause DS, Deans RJ, Keating A, </w:t>
      </w:r>
      <w:proofErr w:type="spellStart"/>
      <w:r>
        <w:rPr>
          <w:rFonts w:ascii="Times New Roman" w:eastAsia="Times New Roman" w:hAnsi="Times New Roman" w:cs="Times New Roman"/>
          <w:color w:val="000000"/>
          <w:sz w:val="24"/>
          <w:szCs w:val="24"/>
        </w:rPr>
        <w:t>Prockop</w:t>
      </w:r>
      <w:proofErr w:type="spellEnd"/>
      <w:r>
        <w:rPr>
          <w:rFonts w:ascii="Times New Roman" w:eastAsia="Times New Roman" w:hAnsi="Times New Roman" w:cs="Times New Roman"/>
          <w:color w:val="000000"/>
          <w:sz w:val="24"/>
          <w:szCs w:val="24"/>
        </w:rPr>
        <w:t xml:space="preserve"> DJ, Horwitz EM. Minimal criteria for defining multipotent mesenchymal stromal cells. The International Society for Cellular Therapy position statement. </w:t>
      </w:r>
      <w:proofErr w:type="spellStart"/>
      <w:r>
        <w:rPr>
          <w:rFonts w:ascii="Times New Roman" w:eastAsia="Times New Roman" w:hAnsi="Times New Roman" w:cs="Times New Roman"/>
          <w:color w:val="000000"/>
          <w:sz w:val="24"/>
          <w:szCs w:val="24"/>
        </w:rPr>
        <w:t>Cytotherapy</w:t>
      </w:r>
      <w:proofErr w:type="spellEnd"/>
      <w:r>
        <w:rPr>
          <w:rFonts w:ascii="Times New Roman" w:eastAsia="Times New Roman" w:hAnsi="Times New Roman" w:cs="Times New Roman"/>
          <w:color w:val="000000"/>
          <w:sz w:val="24"/>
          <w:szCs w:val="24"/>
        </w:rPr>
        <w:t>. 2006 Jan 1;8(4):315-7.</w:t>
      </w:r>
    </w:p>
    <w:p w14:paraId="4904158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Galipeau J, </w:t>
      </w:r>
      <w:proofErr w:type="spellStart"/>
      <w:r>
        <w:rPr>
          <w:rFonts w:ascii="Times New Roman" w:eastAsia="Times New Roman" w:hAnsi="Times New Roman" w:cs="Times New Roman"/>
          <w:color w:val="000000"/>
          <w:sz w:val="24"/>
          <w:szCs w:val="24"/>
        </w:rPr>
        <w:t>Krampera</w:t>
      </w:r>
      <w:proofErr w:type="spellEnd"/>
      <w:r>
        <w:rPr>
          <w:rFonts w:ascii="Times New Roman" w:eastAsia="Times New Roman" w:hAnsi="Times New Roman" w:cs="Times New Roman"/>
          <w:color w:val="000000"/>
          <w:sz w:val="24"/>
          <w:szCs w:val="24"/>
        </w:rPr>
        <w:t xml:space="preserve"> M. The challenge of defining mesenchymal stromal cell potency assays and their potential use as release criteria. </w:t>
      </w:r>
      <w:proofErr w:type="spellStart"/>
      <w:r>
        <w:rPr>
          <w:rFonts w:ascii="Times New Roman" w:eastAsia="Times New Roman" w:hAnsi="Times New Roman" w:cs="Times New Roman"/>
          <w:color w:val="000000"/>
          <w:sz w:val="24"/>
          <w:szCs w:val="24"/>
        </w:rPr>
        <w:t>Cytotherapy</w:t>
      </w:r>
      <w:proofErr w:type="spellEnd"/>
      <w:r>
        <w:rPr>
          <w:rFonts w:ascii="Times New Roman" w:eastAsia="Times New Roman" w:hAnsi="Times New Roman" w:cs="Times New Roman"/>
          <w:color w:val="000000"/>
          <w:sz w:val="24"/>
          <w:szCs w:val="24"/>
        </w:rPr>
        <w:t>. 2015;17(2):125-7.</w:t>
      </w:r>
    </w:p>
    <w:p w14:paraId="3CBBB9A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Brittberg</w:t>
      </w:r>
      <w:proofErr w:type="spellEnd"/>
      <w:r>
        <w:rPr>
          <w:rFonts w:ascii="Times New Roman" w:eastAsia="Times New Roman" w:hAnsi="Times New Roman" w:cs="Times New Roman"/>
          <w:color w:val="000000"/>
          <w:sz w:val="24"/>
          <w:szCs w:val="24"/>
        </w:rPr>
        <w:t xml:space="preserve"> M. Autologous chondrocyte implantation—technique and long-term follow-up. Injury. 2008 Apr 1;39(1):40-9.</w:t>
      </w:r>
    </w:p>
    <w:p w14:paraId="08CE506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Bartlett W, Skinner JA, Gooding CR, Carrington RW, Flanagan AM, Briggs TW, Bentley G. Autologous chondrocyte implantation versus matrix-induced autologous chondrocyte implantation for osteochondral defects of the knee: a prospective, randomised study. The Journal of Bone &amp; Joint Surgery British Volume. 2005 May 1;87(5):640-5.</w:t>
      </w:r>
    </w:p>
    <w:p w14:paraId="6DEF483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Minas T, Gomoll AH, </w:t>
      </w:r>
      <w:proofErr w:type="spellStart"/>
      <w:r>
        <w:rPr>
          <w:rFonts w:ascii="Times New Roman" w:eastAsia="Times New Roman" w:hAnsi="Times New Roman" w:cs="Times New Roman"/>
          <w:color w:val="000000"/>
          <w:sz w:val="24"/>
          <w:szCs w:val="24"/>
        </w:rPr>
        <w:t>Solhpour</w:t>
      </w:r>
      <w:proofErr w:type="spellEnd"/>
      <w:r>
        <w:rPr>
          <w:rFonts w:ascii="Times New Roman" w:eastAsia="Times New Roman" w:hAnsi="Times New Roman" w:cs="Times New Roman"/>
          <w:color w:val="000000"/>
          <w:sz w:val="24"/>
          <w:szCs w:val="24"/>
        </w:rPr>
        <w:t xml:space="preserve"> S, Rosenberger R, Probst C, Bryant T. Autologous chondrocyte implantation for joint preservation in patients with early osteoarthritis. Clinical Orthopaedics and Related Research®. 2010 Jan;468(1):147-57.</w:t>
      </w:r>
    </w:p>
    <w:p w14:paraId="0FB3880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Knutsen G, Engebretsen L, Ludvigsen TC, </w:t>
      </w:r>
      <w:proofErr w:type="spellStart"/>
      <w:r>
        <w:rPr>
          <w:rFonts w:ascii="Times New Roman" w:eastAsia="Times New Roman" w:hAnsi="Times New Roman" w:cs="Times New Roman"/>
          <w:color w:val="000000"/>
          <w:sz w:val="24"/>
          <w:szCs w:val="24"/>
        </w:rPr>
        <w:t>Drogset</w:t>
      </w:r>
      <w:proofErr w:type="spellEnd"/>
      <w:r>
        <w:rPr>
          <w:rFonts w:ascii="Times New Roman" w:eastAsia="Times New Roman" w:hAnsi="Times New Roman" w:cs="Times New Roman"/>
          <w:color w:val="000000"/>
          <w:sz w:val="24"/>
          <w:szCs w:val="24"/>
        </w:rPr>
        <w:t xml:space="preserve"> JO, </w:t>
      </w:r>
      <w:proofErr w:type="spellStart"/>
      <w:r>
        <w:rPr>
          <w:rFonts w:ascii="Times New Roman" w:eastAsia="Times New Roman" w:hAnsi="Times New Roman" w:cs="Times New Roman"/>
          <w:color w:val="000000"/>
          <w:sz w:val="24"/>
          <w:szCs w:val="24"/>
        </w:rPr>
        <w:t>Grøntvedt</w:t>
      </w:r>
      <w:proofErr w:type="spellEnd"/>
      <w:r>
        <w:rPr>
          <w:rFonts w:ascii="Times New Roman" w:eastAsia="Times New Roman" w:hAnsi="Times New Roman" w:cs="Times New Roman"/>
          <w:color w:val="000000"/>
          <w:sz w:val="24"/>
          <w:szCs w:val="24"/>
        </w:rPr>
        <w:t xml:space="preserve"> T, Solheim E, Strand T, Roberts S, Isaksen V, Johansen O. Autologous chondrocyte implantation compared with microfracture in the knee: a randomized trial. JBJS. 2004 Mar 1;86(3):455-64.</w:t>
      </w:r>
    </w:p>
    <w:p w14:paraId="7575769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Takahashi K, Tanabe K, </w:t>
      </w:r>
      <w:proofErr w:type="spellStart"/>
      <w:r>
        <w:rPr>
          <w:rFonts w:ascii="Times New Roman" w:eastAsia="Times New Roman" w:hAnsi="Times New Roman" w:cs="Times New Roman"/>
          <w:color w:val="000000"/>
          <w:sz w:val="24"/>
          <w:szCs w:val="24"/>
        </w:rPr>
        <w:t>Ohnuki</w:t>
      </w:r>
      <w:proofErr w:type="spellEnd"/>
      <w:r>
        <w:rPr>
          <w:rFonts w:ascii="Times New Roman" w:eastAsia="Times New Roman" w:hAnsi="Times New Roman" w:cs="Times New Roman"/>
          <w:color w:val="000000"/>
          <w:sz w:val="24"/>
          <w:szCs w:val="24"/>
        </w:rPr>
        <w:t xml:space="preserve"> M, Narita M, </w:t>
      </w:r>
      <w:proofErr w:type="spellStart"/>
      <w:r>
        <w:rPr>
          <w:rFonts w:ascii="Times New Roman" w:eastAsia="Times New Roman" w:hAnsi="Times New Roman" w:cs="Times New Roman"/>
          <w:color w:val="000000"/>
          <w:sz w:val="24"/>
          <w:szCs w:val="24"/>
        </w:rPr>
        <w:t>Ichisaka</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Tomoda</w:t>
      </w:r>
      <w:proofErr w:type="spellEnd"/>
      <w:r>
        <w:rPr>
          <w:rFonts w:ascii="Times New Roman" w:eastAsia="Times New Roman" w:hAnsi="Times New Roman" w:cs="Times New Roman"/>
          <w:color w:val="000000"/>
          <w:sz w:val="24"/>
          <w:szCs w:val="24"/>
        </w:rPr>
        <w:t xml:space="preserve"> K, Yamanaka S. Induction of pluripotent stem cells from adult human fibroblasts by defined factors. cell. 2007 Nov 30;131(5):861-72.</w:t>
      </w:r>
    </w:p>
    <w:p w14:paraId="36534BB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Dorota A, Maryniak N, </w:t>
      </w:r>
      <w:proofErr w:type="spellStart"/>
      <w:r>
        <w:rPr>
          <w:rFonts w:ascii="Times New Roman" w:eastAsia="Times New Roman" w:hAnsi="Times New Roman" w:cs="Times New Roman"/>
          <w:color w:val="000000"/>
          <w:sz w:val="24"/>
          <w:szCs w:val="24"/>
        </w:rPr>
        <w:t>Mariankowska</w:t>
      </w:r>
      <w:proofErr w:type="spellEnd"/>
      <w:r>
        <w:rPr>
          <w:rFonts w:ascii="Times New Roman" w:eastAsia="Times New Roman" w:hAnsi="Times New Roman" w:cs="Times New Roman"/>
          <w:color w:val="000000"/>
          <w:sz w:val="24"/>
          <w:szCs w:val="24"/>
        </w:rPr>
        <w:t xml:space="preserve"> A, Milczarek C, Dorota M, Zywiec W, Kozlowski K, Koval I, Czyzewski B, </w:t>
      </w:r>
      <w:proofErr w:type="spellStart"/>
      <w:r>
        <w:rPr>
          <w:rFonts w:ascii="Times New Roman" w:eastAsia="Times New Roman" w:hAnsi="Times New Roman" w:cs="Times New Roman"/>
          <w:color w:val="000000"/>
          <w:sz w:val="24"/>
          <w:szCs w:val="24"/>
        </w:rPr>
        <w:t>Czyzewska</w:t>
      </w:r>
      <w:proofErr w:type="spellEnd"/>
      <w:r>
        <w:rPr>
          <w:rFonts w:ascii="Times New Roman" w:eastAsia="Times New Roman" w:hAnsi="Times New Roman" w:cs="Times New Roman"/>
          <w:color w:val="000000"/>
          <w:sz w:val="24"/>
          <w:szCs w:val="24"/>
        </w:rPr>
        <w:t xml:space="preserve"> J. Induced Pluripotent Stem Cells (iPSC) and Their Use in Disease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Cureus. 2025 Oct 7;17(10).</w:t>
      </w:r>
    </w:p>
    <w:p w14:paraId="348D2CD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Craft AM, Rockel JS, </w:t>
      </w:r>
      <w:proofErr w:type="spellStart"/>
      <w:r>
        <w:rPr>
          <w:rFonts w:ascii="Times New Roman" w:eastAsia="Times New Roman" w:hAnsi="Times New Roman" w:cs="Times New Roman"/>
          <w:color w:val="000000"/>
          <w:sz w:val="24"/>
          <w:szCs w:val="24"/>
        </w:rPr>
        <w:t>Nartiss</w:t>
      </w:r>
      <w:proofErr w:type="spellEnd"/>
      <w:r>
        <w:rPr>
          <w:rFonts w:ascii="Times New Roman" w:eastAsia="Times New Roman" w:hAnsi="Times New Roman" w:cs="Times New Roman"/>
          <w:color w:val="000000"/>
          <w:sz w:val="24"/>
          <w:szCs w:val="24"/>
        </w:rPr>
        <w:t xml:space="preserve"> Y, Kandel RA, Alman BA, Keller GM. Generation of articular chondrocytes from human pluripotent stem cells. Nature biotechnology. 2015 Jun;33(6):638-45.</w:t>
      </w:r>
    </w:p>
    <w:p w14:paraId="26FECB4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Marx RE. Platelet-rich plasma: evidence to support its use. Journal of oral and maxillofacial surgery. 2004 Apr 1;62(4):489-96.</w:t>
      </w:r>
    </w:p>
    <w:p w14:paraId="17C9A7C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Sundman EA, Cole BJ, Fortier LA. Growth factor and catabolic cytokine concentrations are influenced by the cellular composition of platelet-rich plasma. The American journal of sports medicine. 2011 Oct;39(10):2135-40.</w:t>
      </w:r>
    </w:p>
    <w:p w14:paraId="2E366B9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Intra-articular PR. Knee Injections Show No Superiority Versus </w:t>
      </w:r>
      <w:proofErr w:type="spellStart"/>
      <w:r>
        <w:rPr>
          <w:rFonts w:ascii="Times New Roman" w:eastAsia="Times New Roman" w:hAnsi="Times New Roman" w:cs="Times New Roman"/>
          <w:color w:val="000000"/>
          <w:sz w:val="24"/>
          <w:szCs w:val="24"/>
        </w:rPr>
        <w:t>Viscosupplementation</w:t>
      </w:r>
      <w:proofErr w:type="spellEnd"/>
      <w:r>
        <w:rPr>
          <w:rFonts w:ascii="Times New Roman" w:eastAsia="Times New Roman" w:hAnsi="Times New Roman" w:cs="Times New Roman"/>
          <w:color w:val="000000"/>
          <w:sz w:val="24"/>
          <w:szCs w:val="24"/>
        </w:rPr>
        <w:t>. The American Journal of Sports Medicine.;43(7).</w:t>
      </w:r>
    </w:p>
    <w:p w14:paraId="78CA41B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Fermín TM, Calcei JG, Della </w:t>
      </w:r>
      <w:proofErr w:type="spellStart"/>
      <w:r>
        <w:rPr>
          <w:rFonts w:ascii="Times New Roman" w:eastAsia="Times New Roman" w:hAnsi="Times New Roman" w:cs="Times New Roman"/>
          <w:color w:val="000000"/>
          <w:sz w:val="24"/>
          <w:szCs w:val="24"/>
        </w:rPr>
        <w:t>Vedova</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Cano</w:t>
      </w:r>
      <w:proofErr w:type="spellEnd"/>
      <w:r>
        <w:rPr>
          <w:rFonts w:ascii="Times New Roman" w:eastAsia="Times New Roman" w:hAnsi="Times New Roman" w:cs="Times New Roman"/>
          <w:color w:val="000000"/>
          <w:sz w:val="24"/>
          <w:szCs w:val="24"/>
        </w:rPr>
        <w:t xml:space="preserve"> JP, Calderon CA, Imam MA, Khoury M, </w:t>
      </w:r>
      <w:proofErr w:type="spellStart"/>
      <w:r>
        <w:rPr>
          <w:rFonts w:ascii="Times New Roman" w:eastAsia="Times New Roman" w:hAnsi="Times New Roman" w:cs="Times New Roman"/>
          <w:color w:val="000000"/>
          <w:sz w:val="24"/>
          <w:szCs w:val="24"/>
        </w:rPr>
        <w:t>Laupheimer</w:t>
      </w:r>
      <w:proofErr w:type="spellEnd"/>
      <w:r>
        <w:rPr>
          <w:rFonts w:ascii="Times New Roman" w:eastAsia="Times New Roman" w:hAnsi="Times New Roman" w:cs="Times New Roman"/>
          <w:color w:val="000000"/>
          <w:sz w:val="24"/>
          <w:szCs w:val="24"/>
        </w:rPr>
        <w:t xml:space="preserve"> MW, </w:t>
      </w:r>
      <w:proofErr w:type="spellStart"/>
      <w:r>
        <w:rPr>
          <w:rFonts w:ascii="Times New Roman" w:eastAsia="Times New Roman" w:hAnsi="Times New Roman" w:cs="Times New Roman"/>
          <w:color w:val="000000"/>
          <w:sz w:val="24"/>
          <w:szCs w:val="24"/>
        </w:rPr>
        <w:t>D'hooghe</w:t>
      </w:r>
      <w:proofErr w:type="spellEnd"/>
      <w:r>
        <w:rPr>
          <w:rFonts w:ascii="Times New Roman" w:eastAsia="Times New Roman" w:hAnsi="Times New Roman" w:cs="Times New Roman"/>
          <w:color w:val="000000"/>
          <w:sz w:val="24"/>
          <w:szCs w:val="24"/>
        </w:rPr>
        <w:t xml:space="preserve"> P. Review of Dohan </w:t>
      </w:r>
      <w:proofErr w:type="spellStart"/>
      <w:r>
        <w:rPr>
          <w:rFonts w:ascii="Times New Roman" w:eastAsia="Times New Roman" w:hAnsi="Times New Roman" w:cs="Times New Roman"/>
          <w:color w:val="000000"/>
          <w:sz w:val="24"/>
          <w:szCs w:val="24"/>
        </w:rPr>
        <w:t>Eherenfest</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et al.(</w:t>
      </w:r>
      <w:proofErr w:type="gramEnd"/>
      <w:r>
        <w:rPr>
          <w:rFonts w:ascii="Times New Roman" w:eastAsia="Times New Roman" w:hAnsi="Times New Roman" w:cs="Times New Roman"/>
          <w:color w:val="000000"/>
          <w:sz w:val="24"/>
          <w:szCs w:val="24"/>
        </w:rPr>
        <w:t>2009) on “Classification of platelet concentrates: From pure platelet-rich plasma (P-PRP) to leucocyte-and platelet-rich fibrin (L-PRF)”. Journal of ISAKOS. 2024 Apr 1;9(2):215-20.</w:t>
      </w:r>
    </w:p>
    <w:p w14:paraId="0247FCB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Chen TS, Yeo RW, Arslan F, Yin Y, Tan SS, Lai RC, Choo A, Padmanabhan J, Lee CN, de Kleijn DP, Tan KH. Efficiency of exosome production correlates inversely with the developmental maturity of MSC donor. J Stem Cell Res Ther. 2013;3(145):2.</w:t>
      </w:r>
    </w:p>
    <w:p w14:paraId="1EB706C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Mao G, Hu S, Zhang Z, Wu P, Zhao X, Lin R, Liao W, Kang Y. </w:t>
      </w:r>
      <w:proofErr w:type="spellStart"/>
      <w:r>
        <w:rPr>
          <w:rFonts w:ascii="Times New Roman" w:eastAsia="Times New Roman" w:hAnsi="Times New Roman" w:cs="Times New Roman"/>
          <w:color w:val="000000"/>
          <w:sz w:val="24"/>
          <w:szCs w:val="24"/>
        </w:rPr>
        <w:t>Exosomal</w:t>
      </w:r>
      <w:proofErr w:type="spellEnd"/>
      <w:r>
        <w:rPr>
          <w:rFonts w:ascii="Times New Roman" w:eastAsia="Times New Roman" w:hAnsi="Times New Roman" w:cs="Times New Roman"/>
          <w:color w:val="000000"/>
          <w:sz w:val="24"/>
          <w:szCs w:val="24"/>
        </w:rPr>
        <w:t xml:space="preserve"> miR‐95‐5p regulates chondrogenesis and cartilage degradation via histone deacetylase 2/8. Journal of cellular and molecular medicine. 2018 Nov;22(11):5354-66.</w:t>
      </w:r>
    </w:p>
    <w:p w14:paraId="6E8B8AE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Cosenza S, Ruiz M, </w:t>
      </w:r>
      <w:proofErr w:type="spellStart"/>
      <w:r>
        <w:rPr>
          <w:rFonts w:ascii="Times New Roman" w:eastAsia="Times New Roman" w:hAnsi="Times New Roman" w:cs="Times New Roman"/>
          <w:color w:val="000000"/>
          <w:sz w:val="24"/>
          <w:szCs w:val="24"/>
        </w:rPr>
        <w:t>Toupet</w:t>
      </w:r>
      <w:proofErr w:type="spellEnd"/>
      <w:r>
        <w:rPr>
          <w:rFonts w:ascii="Times New Roman" w:eastAsia="Times New Roman" w:hAnsi="Times New Roman" w:cs="Times New Roman"/>
          <w:color w:val="000000"/>
          <w:sz w:val="24"/>
          <w:szCs w:val="24"/>
        </w:rPr>
        <w:t xml:space="preserve"> K, Jorgensen C, Noël D. Mesenchymal stem cells derived exosomes and microparticles protect cartilage and bone from degradation in osteoarthritis. Scientific reports. 2017 Nov 24;7(1):16214.</w:t>
      </w:r>
    </w:p>
    <w:p w14:paraId="7A5DDBB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Witwer KW, Buzás EI, Bemis LT, Bora A, </w:t>
      </w:r>
      <w:proofErr w:type="spellStart"/>
      <w:r>
        <w:rPr>
          <w:rFonts w:ascii="Times New Roman" w:eastAsia="Times New Roman" w:hAnsi="Times New Roman" w:cs="Times New Roman"/>
          <w:color w:val="000000"/>
          <w:sz w:val="24"/>
          <w:szCs w:val="24"/>
        </w:rPr>
        <w:t>Lässer</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Lötvall</w:t>
      </w:r>
      <w:proofErr w:type="spellEnd"/>
      <w:r>
        <w:rPr>
          <w:rFonts w:ascii="Times New Roman" w:eastAsia="Times New Roman" w:hAnsi="Times New Roman" w:cs="Times New Roman"/>
          <w:color w:val="000000"/>
          <w:sz w:val="24"/>
          <w:szCs w:val="24"/>
        </w:rPr>
        <w:t xml:space="preserve"> J, Nolte</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t Hoen EN, Piper MG, Sivaraman S, Skog J, </w:t>
      </w:r>
      <w:proofErr w:type="spellStart"/>
      <w:r>
        <w:rPr>
          <w:rFonts w:ascii="Times New Roman" w:eastAsia="Times New Roman" w:hAnsi="Times New Roman" w:cs="Times New Roman"/>
          <w:color w:val="000000"/>
          <w:sz w:val="24"/>
          <w:szCs w:val="24"/>
        </w:rPr>
        <w:t>Théry</w:t>
      </w:r>
      <w:proofErr w:type="spellEnd"/>
      <w:r>
        <w:rPr>
          <w:rFonts w:ascii="Times New Roman" w:eastAsia="Times New Roman" w:hAnsi="Times New Roman" w:cs="Times New Roman"/>
          <w:color w:val="000000"/>
          <w:sz w:val="24"/>
          <w:szCs w:val="24"/>
        </w:rPr>
        <w:t xml:space="preserve"> C. Standardization of sample collection, isolation and analysis methods in extracellular vesicle research. Journal of extracellular vesicles. 2013 Jan 1;2(1):20360.</w:t>
      </w:r>
    </w:p>
    <w:p w14:paraId="7DC32D6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Fortier LA, Barker JU, Strauss EJ, McCarrel TM, Cole BJ. The role of growth factors in cartilage repair. Clinical Orthopaedics and Related Research®. 2011 Oct 1;469(10):2706-15.</w:t>
      </w:r>
    </w:p>
    <w:p w14:paraId="43B2E473"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van </w:t>
      </w:r>
      <w:proofErr w:type="spellStart"/>
      <w:r>
        <w:rPr>
          <w:rFonts w:ascii="Times New Roman" w:eastAsia="Times New Roman" w:hAnsi="Times New Roman" w:cs="Times New Roman"/>
          <w:color w:val="000000"/>
          <w:sz w:val="24"/>
          <w:szCs w:val="24"/>
        </w:rPr>
        <w:t>Beuningen</w:t>
      </w:r>
      <w:proofErr w:type="spellEnd"/>
      <w:r>
        <w:rPr>
          <w:rFonts w:ascii="Times New Roman" w:eastAsia="Times New Roman" w:hAnsi="Times New Roman" w:cs="Times New Roman"/>
          <w:color w:val="000000"/>
          <w:sz w:val="24"/>
          <w:szCs w:val="24"/>
        </w:rPr>
        <w:t xml:space="preserve"> HM, </w:t>
      </w:r>
      <w:proofErr w:type="spellStart"/>
      <w:r>
        <w:rPr>
          <w:rFonts w:ascii="Times New Roman" w:eastAsia="Times New Roman" w:hAnsi="Times New Roman" w:cs="Times New Roman"/>
          <w:color w:val="000000"/>
          <w:sz w:val="24"/>
          <w:szCs w:val="24"/>
        </w:rPr>
        <w:t>Glansbeek</w:t>
      </w:r>
      <w:proofErr w:type="spellEnd"/>
      <w:r>
        <w:rPr>
          <w:rFonts w:ascii="Times New Roman" w:eastAsia="Times New Roman" w:hAnsi="Times New Roman" w:cs="Times New Roman"/>
          <w:color w:val="000000"/>
          <w:sz w:val="24"/>
          <w:szCs w:val="24"/>
        </w:rPr>
        <w:t xml:space="preserve"> HL, van der Kraan PM, van den Berg WB. Differential effects of local application of BMP-2 or TGF-β1 on both articular cartilage composition and osteophyte formation. Osteoarthritis and Cartilage. 1998 Sep 1;6(5):306-17.</w:t>
      </w:r>
    </w:p>
    <w:p w14:paraId="40F2E39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Ornitz</w:t>
      </w:r>
      <w:proofErr w:type="spellEnd"/>
      <w:r>
        <w:rPr>
          <w:rFonts w:ascii="Times New Roman" w:eastAsia="Times New Roman" w:hAnsi="Times New Roman" w:cs="Times New Roman"/>
          <w:color w:val="000000"/>
          <w:sz w:val="24"/>
          <w:szCs w:val="24"/>
        </w:rPr>
        <w:t xml:space="preserve"> DM, Itoh N. The fibroblast growth factor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xml:space="preserve"> pathway. Wiley Interdisciplinary Reviews: Developmental Biology. 2015 May;4(3):215-66.</w:t>
      </w:r>
    </w:p>
    <w:p w14:paraId="41132E6B"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Richardson TP, Peters MC, Ennett AB, Mooney DJ. Polymeric system for dual growth factor delivery. Nature biotechnology. 2001 Nov 1;19(11):1029-34.</w:t>
      </w:r>
    </w:p>
    <w:p w14:paraId="17E888A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Lana JF, da Fonseca LF, da Rocha Macedo R, </w:t>
      </w:r>
      <w:proofErr w:type="spellStart"/>
      <w:r>
        <w:rPr>
          <w:rFonts w:ascii="Times New Roman" w:eastAsia="Times New Roman" w:hAnsi="Times New Roman" w:cs="Times New Roman"/>
          <w:color w:val="000000"/>
          <w:sz w:val="24"/>
          <w:szCs w:val="24"/>
        </w:rPr>
        <w:t>Mosaner</w:t>
      </w:r>
      <w:proofErr w:type="spellEnd"/>
      <w:r>
        <w:rPr>
          <w:rFonts w:ascii="Times New Roman" w:eastAsia="Times New Roman" w:hAnsi="Times New Roman" w:cs="Times New Roman"/>
          <w:color w:val="000000"/>
          <w:sz w:val="24"/>
          <w:szCs w:val="24"/>
        </w:rPr>
        <w:t xml:space="preserve"> T, Murrell W, Kumar A, Purita J, de Andrade MA. Platelet-rich plasma vs bone marrow aspirate concentrate: an overview of mechanisms of action and </w:t>
      </w:r>
      <w:proofErr w:type="spellStart"/>
      <w:r>
        <w:rPr>
          <w:rFonts w:ascii="Times New Roman" w:eastAsia="Times New Roman" w:hAnsi="Times New Roman" w:cs="Times New Roman"/>
          <w:color w:val="000000"/>
          <w:sz w:val="24"/>
          <w:szCs w:val="24"/>
        </w:rPr>
        <w:t>orthobiologic</w:t>
      </w:r>
      <w:proofErr w:type="spellEnd"/>
      <w:r>
        <w:rPr>
          <w:rFonts w:ascii="Times New Roman" w:eastAsia="Times New Roman" w:hAnsi="Times New Roman" w:cs="Times New Roman"/>
          <w:color w:val="000000"/>
          <w:sz w:val="24"/>
          <w:szCs w:val="24"/>
        </w:rPr>
        <w:t xml:space="preserve"> synergistic effects. World Journal of Stem Cells. 2021 Feb 26;13(2):155.</w:t>
      </w:r>
    </w:p>
    <w:p w14:paraId="4ED02B7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Y, Chen H, Li Y, Liang J, Huang F, Wang L, Miao H, Nanda HS, Wu J, Peng X, Zhou Y. Hydrogel loaded with extracellular vesicles: an emerging strategy for wound healing. Pharmaceuticals. 2024 Jul 10;17(7):923.</w:t>
      </w:r>
    </w:p>
    <w:p w14:paraId="23204D2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O'brien</w:t>
      </w:r>
      <w:proofErr w:type="spellEnd"/>
      <w:r>
        <w:rPr>
          <w:rFonts w:ascii="Times New Roman" w:eastAsia="Times New Roman" w:hAnsi="Times New Roman" w:cs="Times New Roman"/>
          <w:color w:val="000000"/>
          <w:sz w:val="24"/>
          <w:szCs w:val="24"/>
        </w:rPr>
        <w:t xml:space="preserve"> FJ. Biomaterials &amp; scaffolds for tissue engineering. Materials today. 2011 Mar 1;14(3):88-95.</w:t>
      </w:r>
    </w:p>
    <w:p w14:paraId="293D5BC4"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Huey DJ, Hu JC, Athanasiou KA. Unlike bone, cartilage regeneration remains elusive. Science. 2012 Nov 16;338(6109):917-21.</w:t>
      </w:r>
    </w:p>
    <w:p w14:paraId="31F62C5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Makadia HK, Siegel SJ. Poly lactic-co-glycolic acid (PLGA) as biodegradable controlled drug delivery carrier. Polymers. 2011 Sep;3(3):1377-97.</w:t>
      </w:r>
    </w:p>
    <w:p w14:paraId="4C0F0F85"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Murphy SV, Atala A. 3D bioprinting of tissues and organs. Nature biotechnology. 2014 Aug;32(8):773-85.</w:t>
      </w:r>
    </w:p>
    <w:p w14:paraId="78D330F6"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Abbot AE, Levine WN, Mow VC. Biomechanics of the Articular Cartilage. The adult knee. </w:t>
      </w:r>
      <w:proofErr w:type="gramStart"/>
      <w:r>
        <w:rPr>
          <w:rFonts w:ascii="Times New Roman" w:eastAsia="Times New Roman" w:hAnsi="Times New Roman" w:cs="Times New Roman"/>
          <w:color w:val="000000"/>
          <w:sz w:val="24"/>
          <w:szCs w:val="24"/>
        </w:rPr>
        <w:t>2003;1:81</w:t>
      </w:r>
      <w:proofErr w:type="gramEnd"/>
      <w:r>
        <w:rPr>
          <w:rFonts w:ascii="Times New Roman" w:eastAsia="Times New Roman" w:hAnsi="Times New Roman" w:cs="Times New Roman"/>
          <w:color w:val="000000"/>
          <w:sz w:val="24"/>
          <w:szCs w:val="24"/>
        </w:rPr>
        <w:t>.</w:t>
      </w:r>
    </w:p>
    <w:p w14:paraId="590A50C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Madry H, Grün UW, Knutsen G. Cartilage repair and joint preservation: medical and surgical treatment options. </w:t>
      </w:r>
      <w:proofErr w:type="spellStart"/>
      <w:r>
        <w:rPr>
          <w:rFonts w:ascii="Times New Roman" w:eastAsia="Times New Roman" w:hAnsi="Times New Roman" w:cs="Times New Roman"/>
          <w:color w:val="000000"/>
          <w:sz w:val="24"/>
          <w:szCs w:val="24"/>
        </w:rPr>
        <w:t>Deutsches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Ärzteblatt</w:t>
      </w:r>
      <w:proofErr w:type="spellEnd"/>
      <w:r>
        <w:rPr>
          <w:rFonts w:ascii="Times New Roman" w:eastAsia="Times New Roman" w:hAnsi="Times New Roman" w:cs="Times New Roman"/>
          <w:color w:val="000000"/>
          <w:sz w:val="24"/>
          <w:szCs w:val="24"/>
        </w:rPr>
        <w:t xml:space="preserve"> International. 2011 Oct 7;108(40):669.</w:t>
      </w:r>
    </w:p>
    <w:p w14:paraId="7BCA464C"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Gaddy DF, Robbins PD. Current status of gene therapy for rheumatoid arthritis. Current rheumatology reports. 2008 Oct;10(5):398-404.</w:t>
      </w:r>
    </w:p>
    <w:p w14:paraId="19F7C78D"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Ginn SL, </w:t>
      </w:r>
      <w:proofErr w:type="spellStart"/>
      <w:r>
        <w:rPr>
          <w:rFonts w:ascii="Times New Roman" w:eastAsia="Times New Roman" w:hAnsi="Times New Roman" w:cs="Times New Roman"/>
          <w:color w:val="000000"/>
          <w:sz w:val="24"/>
          <w:szCs w:val="24"/>
        </w:rPr>
        <w:t>Mandwie</w:t>
      </w:r>
      <w:proofErr w:type="spellEnd"/>
      <w:r>
        <w:rPr>
          <w:rFonts w:ascii="Times New Roman" w:eastAsia="Times New Roman" w:hAnsi="Times New Roman" w:cs="Times New Roman"/>
          <w:color w:val="000000"/>
          <w:sz w:val="24"/>
          <w:szCs w:val="24"/>
        </w:rPr>
        <w:t xml:space="preserve"> M, Alexander IE, Edelstein M, Abedi MR. Gene therapy clinical trials worldwide to 2023—an update. The journal of gene medicine. 2024 Aug;26(8</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3721.</w:t>
      </w:r>
    </w:p>
    <w:p w14:paraId="51AF1C1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w:t>
      </w:r>
      <w:proofErr w:type="spellStart"/>
      <w:r>
        <w:rPr>
          <w:rFonts w:ascii="Times New Roman" w:eastAsia="Times New Roman" w:hAnsi="Times New Roman" w:cs="Times New Roman"/>
          <w:color w:val="000000"/>
          <w:sz w:val="24"/>
          <w:szCs w:val="24"/>
        </w:rPr>
        <w:t>Buul</w:t>
      </w:r>
      <w:proofErr w:type="spellEnd"/>
      <w:r>
        <w:rPr>
          <w:rFonts w:ascii="Times New Roman" w:eastAsia="Times New Roman" w:hAnsi="Times New Roman" w:cs="Times New Roman"/>
          <w:color w:val="000000"/>
          <w:sz w:val="24"/>
          <w:szCs w:val="24"/>
        </w:rPr>
        <w:t xml:space="preserve"> GM, </w:t>
      </w:r>
      <w:proofErr w:type="spellStart"/>
      <w:r>
        <w:rPr>
          <w:rFonts w:ascii="Times New Roman" w:eastAsia="Times New Roman" w:hAnsi="Times New Roman" w:cs="Times New Roman"/>
          <w:color w:val="000000"/>
          <w:sz w:val="24"/>
          <w:szCs w:val="24"/>
        </w:rPr>
        <w:t>Villafuertes</w:t>
      </w:r>
      <w:proofErr w:type="spellEnd"/>
      <w:r>
        <w:rPr>
          <w:rFonts w:ascii="Times New Roman" w:eastAsia="Times New Roman" w:hAnsi="Times New Roman" w:cs="Times New Roman"/>
          <w:color w:val="000000"/>
          <w:sz w:val="24"/>
          <w:szCs w:val="24"/>
        </w:rPr>
        <w:t xml:space="preserve"> E, Bos PK, </w:t>
      </w:r>
      <w:proofErr w:type="spellStart"/>
      <w:r>
        <w:rPr>
          <w:rFonts w:ascii="Times New Roman" w:eastAsia="Times New Roman" w:hAnsi="Times New Roman" w:cs="Times New Roman"/>
          <w:color w:val="000000"/>
          <w:sz w:val="24"/>
          <w:szCs w:val="24"/>
        </w:rPr>
        <w:t>Waarsing</w:t>
      </w:r>
      <w:proofErr w:type="spellEnd"/>
      <w:r>
        <w:rPr>
          <w:rFonts w:ascii="Times New Roman" w:eastAsia="Times New Roman" w:hAnsi="Times New Roman" w:cs="Times New Roman"/>
          <w:color w:val="000000"/>
          <w:sz w:val="24"/>
          <w:szCs w:val="24"/>
        </w:rPr>
        <w:t xml:space="preserve"> JH, Kops N, Narcisi R, </w:t>
      </w:r>
      <w:proofErr w:type="spellStart"/>
      <w:r>
        <w:rPr>
          <w:rFonts w:ascii="Times New Roman" w:eastAsia="Times New Roman" w:hAnsi="Times New Roman" w:cs="Times New Roman"/>
          <w:color w:val="000000"/>
          <w:sz w:val="24"/>
          <w:szCs w:val="24"/>
        </w:rPr>
        <w:t>Weinans</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Verhaar</w:t>
      </w:r>
      <w:proofErr w:type="spellEnd"/>
      <w:r>
        <w:rPr>
          <w:rFonts w:ascii="Times New Roman" w:eastAsia="Times New Roman" w:hAnsi="Times New Roman" w:cs="Times New Roman"/>
          <w:color w:val="000000"/>
          <w:sz w:val="24"/>
          <w:szCs w:val="24"/>
        </w:rPr>
        <w:t xml:space="preserve"> JA, Bernsen MR, Van </w:t>
      </w:r>
      <w:proofErr w:type="spellStart"/>
      <w:r>
        <w:rPr>
          <w:rFonts w:ascii="Times New Roman" w:eastAsia="Times New Roman" w:hAnsi="Times New Roman" w:cs="Times New Roman"/>
          <w:color w:val="000000"/>
          <w:sz w:val="24"/>
          <w:szCs w:val="24"/>
        </w:rPr>
        <w:t>Osch</w:t>
      </w:r>
      <w:proofErr w:type="spellEnd"/>
      <w:r>
        <w:rPr>
          <w:rFonts w:ascii="Times New Roman" w:eastAsia="Times New Roman" w:hAnsi="Times New Roman" w:cs="Times New Roman"/>
          <w:color w:val="000000"/>
          <w:sz w:val="24"/>
          <w:szCs w:val="24"/>
        </w:rPr>
        <w:t xml:space="preserve"> GJ. Mesenchymal stem cells secrete factors that </w:t>
      </w:r>
      <w:r>
        <w:rPr>
          <w:rFonts w:ascii="Times New Roman" w:eastAsia="Times New Roman" w:hAnsi="Times New Roman" w:cs="Times New Roman"/>
          <w:color w:val="000000"/>
          <w:sz w:val="24"/>
          <w:szCs w:val="24"/>
        </w:rPr>
        <w:lastRenderedPageBreak/>
        <w:t>inhibit inflammatory processes in short-term osteoarthritic synovium and cartilage explant culture. Osteoarthritis and Cartilage. 2012 Oct 1;20(10):1186-96.</w:t>
      </w:r>
    </w:p>
    <w:p w14:paraId="45D5EDE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 KA, </w:t>
      </w:r>
      <w:proofErr w:type="spellStart"/>
      <w:r>
        <w:rPr>
          <w:rFonts w:ascii="Times New Roman" w:eastAsia="Times New Roman" w:hAnsi="Times New Roman" w:cs="Times New Roman"/>
          <w:color w:val="000000"/>
          <w:sz w:val="24"/>
          <w:szCs w:val="24"/>
        </w:rPr>
        <w:t>Roncarolo</w:t>
      </w:r>
      <w:proofErr w:type="spellEnd"/>
      <w:r>
        <w:rPr>
          <w:rFonts w:ascii="Times New Roman" w:eastAsia="Times New Roman" w:hAnsi="Times New Roman" w:cs="Times New Roman"/>
          <w:color w:val="000000"/>
          <w:sz w:val="24"/>
          <w:szCs w:val="24"/>
        </w:rPr>
        <w:t xml:space="preserve"> MG. Gene therapy. N Engl J Med. 2019 Aug 1;381(5):455-464.</w:t>
      </w:r>
    </w:p>
    <w:p w14:paraId="3B14BCAA"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 CH, Lee YG, Shin WH, Kim H, Chai JW, Jeong EC, Kim JE, Shim H, Shin JS, Shin IS, Ra JC. Intra‐articular injection of mesenchymal stem cells for the treatment of osteoarthritis of the knee: a proof‐of‐concept clinical trial. Stem cells. 2014 May 1;32(5):1254-66.</w:t>
      </w:r>
    </w:p>
    <w:p w14:paraId="2596A85E"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Lamo-Espinosa JM, Mora G, Blanco JF, Granero-</w:t>
      </w:r>
      <w:proofErr w:type="spellStart"/>
      <w:r>
        <w:rPr>
          <w:rFonts w:ascii="Times New Roman" w:eastAsia="Times New Roman" w:hAnsi="Times New Roman" w:cs="Times New Roman"/>
          <w:color w:val="000000"/>
          <w:sz w:val="24"/>
          <w:szCs w:val="24"/>
        </w:rPr>
        <w:t>Moltó</w:t>
      </w:r>
      <w:proofErr w:type="spellEnd"/>
      <w:r>
        <w:rPr>
          <w:rFonts w:ascii="Times New Roman" w:eastAsia="Times New Roman" w:hAnsi="Times New Roman" w:cs="Times New Roman"/>
          <w:color w:val="000000"/>
          <w:sz w:val="24"/>
          <w:szCs w:val="24"/>
        </w:rPr>
        <w:t xml:space="preserve"> F, Nuñez-Córdoba JM, Sánchez-Echenique C, </w:t>
      </w:r>
      <w:proofErr w:type="spellStart"/>
      <w:r>
        <w:rPr>
          <w:rFonts w:ascii="Times New Roman" w:eastAsia="Times New Roman" w:hAnsi="Times New Roman" w:cs="Times New Roman"/>
          <w:color w:val="000000"/>
          <w:sz w:val="24"/>
          <w:szCs w:val="24"/>
        </w:rPr>
        <w:t>Bondía</w:t>
      </w:r>
      <w:proofErr w:type="spellEnd"/>
      <w:r>
        <w:rPr>
          <w:rFonts w:ascii="Times New Roman" w:eastAsia="Times New Roman" w:hAnsi="Times New Roman" w:cs="Times New Roman"/>
          <w:color w:val="000000"/>
          <w:sz w:val="24"/>
          <w:szCs w:val="24"/>
        </w:rPr>
        <w:t xml:space="preserve"> JM, </w:t>
      </w:r>
      <w:proofErr w:type="spellStart"/>
      <w:r>
        <w:rPr>
          <w:rFonts w:ascii="Times New Roman" w:eastAsia="Times New Roman" w:hAnsi="Times New Roman" w:cs="Times New Roman"/>
          <w:color w:val="000000"/>
          <w:sz w:val="24"/>
          <w:szCs w:val="24"/>
        </w:rPr>
        <w:t>Aquerreta</w:t>
      </w:r>
      <w:proofErr w:type="spellEnd"/>
      <w:r>
        <w:rPr>
          <w:rFonts w:ascii="Times New Roman" w:eastAsia="Times New Roman" w:hAnsi="Times New Roman" w:cs="Times New Roman"/>
          <w:color w:val="000000"/>
          <w:sz w:val="24"/>
          <w:szCs w:val="24"/>
        </w:rPr>
        <w:t xml:space="preserve"> JD, Andreu EJ, </w:t>
      </w:r>
      <w:proofErr w:type="spellStart"/>
      <w:r>
        <w:rPr>
          <w:rFonts w:ascii="Times New Roman" w:eastAsia="Times New Roman" w:hAnsi="Times New Roman" w:cs="Times New Roman"/>
          <w:color w:val="000000"/>
          <w:sz w:val="24"/>
          <w:szCs w:val="24"/>
        </w:rPr>
        <w:t>Ornilla</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Villarón</w:t>
      </w:r>
      <w:proofErr w:type="spellEnd"/>
      <w:r>
        <w:rPr>
          <w:rFonts w:ascii="Times New Roman" w:eastAsia="Times New Roman" w:hAnsi="Times New Roman" w:cs="Times New Roman"/>
          <w:color w:val="000000"/>
          <w:sz w:val="24"/>
          <w:szCs w:val="24"/>
        </w:rPr>
        <w:t xml:space="preserve"> EM. Intra-articular injection of two different doses of autologous bone marrow mesenchymal stem cells versus hyaluronic acid in the treatment of knee osteoarthritis: </w:t>
      </w:r>
      <w:proofErr w:type="spellStart"/>
      <w:r>
        <w:rPr>
          <w:rFonts w:ascii="Times New Roman" w:eastAsia="Times New Roman" w:hAnsi="Times New Roman" w:cs="Times New Roman"/>
          <w:color w:val="000000"/>
          <w:sz w:val="24"/>
          <w:szCs w:val="24"/>
        </w:rPr>
        <w:t>multicenter</w:t>
      </w:r>
      <w:proofErr w:type="spellEnd"/>
      <w:r>
        <w:rPr>
          <w:rFonts w:ascii="Times New Roman" w:eastAsia="Times New Roman" w:hAnsi="Times New Roman" w:cs="Times New Roman"/>
          <w:color w:val="000000"/>
          <w:sz w:val="24"/>
          <w:szCs w:val="24"/>
        </w:rPr>
        <w:t xml:space="preserve"> randomized controlled clinical trial (phase I/II). Journal of translational medicine. 2016 Aug 26;14(1):246.</w:t>
      </w:r>
    </w:p>
    <w:p w14:paraId="1FC5D320"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Gupta PK, </w:t>
      </w:r>
      <w:proofErr w:type="spellStart"/>
      <w:r>
        <w:rPr>
          <w:rFonts w:ascii="Times New Roman" w:eastAsia="Times New Roman" w:hAnsi="Times New Roman" w:cs="Times New Roman"/>
          <w:color w:val="000000"/>
          <w:sz w:val="24"/>
          <w:szCs w:val="24"/>
        </w:rPr>
        <w:t>Chullikana</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Rengasamy</w:t>
      </w:r>
      <w:proofErr w:type="spellEnd"/>
      <w:r>
        <w:rPr>
          <w:rFonts w:ascii="Times New Roman" w:eastAsia="Times New Roman" w:hAnsi="Times New Roman" w:cs="Times New Roman"/>
          <w:color w:val="000000"/>
          <w:sz w:val="24"/>
          <w:szCs w:val="24"/>
        </w:rPr>
        <w:t xml:space="preserve"> M, Shetty N, Pandey V, Agarwal V, Wagh SY, </w:t>
      </w:r>
      <w:proofErr w:type="spellStart"/>
      <w:r>
        <w:rPr>
          <w:rFonts w:ascii="Times New Roman" w:eastAsia="Times New Roman" w:hAnsi="Times New Roman" w:cs="Times New Roman"/>
          <w:color w:val="000000"/>
          <w:sz w:val="24"/>
          <w:szCs w:val="24"/>
        </w:rPr>
        <w:t>Vellotare</w:t>
      </w:r>
      <w:proofErr w:type="spellEnd"/>
      <w:r>
        <w:rPr>
          <w:rFonts w:ascii="Times New Roman" w:eastAsia="Times New Roman" w:hAnsi="Times New Roman" w:cs="Times New Roman"/>
          <w:color w:val="000000"/>
          <w:sz w:val="24"/>
          <w:szCs w:val="24"/>
        </w:rPr>
        <w:t xml:space="preserve"> PK, Damodaran D, Viswanathan P, </w:t>
      </w:r>
      <w:proofErr w:type="spellStart"/>
      <w:r>
        <w:rPr>
          <w:rFonts w:ascii="Times New Roman" w:eastAsia="Times New Roman" w:hAnsi="Times New Roman" w:cs="Times New Roman"/>
          <w:color w:val="000000"/>
          <w:sz w:val="24"/>
          <w:szCs w:val="24"/>
        </w:rPr>
        <w:t>Thej</w:t>
      </w:r>
      <w:proofErr w:type="spellEnd"/>
      <w:r>
        <w:rPr>
          <w:rFonts w:ascii="Times New Roman" w:eastAsia="Times New Roman" w:hAnsi="Times New Roman" w:cs="Times New Roman"/>
          <w:color w:val="000000"/>
          <w:sz w:val="24"/>
          <w:szCs w:val="24"/>
        </w:rPr>
        <w:t xml:space="preserve"> C. Efficacy and safety of adult human bone marrow-derived, cultured, pooled, allogeneic mesenchymal stromal cells (</w:t>
      </w:r>
      <w:proofErr w:type="spellStart"/>
      <w:r>
        <w:rPr>
          <w:rFonts w:ascii="Times New Roman" w:eastAsia="Times New Roman" w:hAnsi="Times New Roman" w:cs="Times New Roman"/>
          <w:color w:val="000000"/>
          <w:sz w:val="24"/>
          <w:szCs w:val="24"/>
        </w:rPr>
        <w:t>Stempeucel</w:t>
      </w:r>
      <w:proofErr w:type="spellEnd"/>
      <w:r>
        <w:rPr>
          <w:rFonts w:ascii="Times New Roman" w:eastAsia="Times New Roman" w:hAnsi="Times New Roman" w:cs="Times New Roman"/>
          <w:color w:val="000000"/>
          <w:sz w:val="24"/>
          <w:szCs w:val="24"/>
        </w:rPr>
        <w:t>®): preclinical and clinical trial in osteoarthritis of the knee joint. Arthritis research &amp; therapy. 2016 Dec 20;18(1):301.</w:t>
      </w:r>
    </w:p>
    <w:p w14:paraId="0341363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Intra-articular PR. Knee Injections Show No Superiority Versus </w:t>
      </w:r>
      <w:proofErr w:type="spellStart"/>
      <w:r>
        <w:rPr>
          <w:rFonts w:ascii="Times New Roman" w:eastAsia="Times New Roman" w:hAnsi="Times New Roman" w:cs="Times New Roman"/>
          <w:color w:val="000000"/>
          <w:sz w:val="24"/>
          <w:szCs w:val="24"/>
        </w:rPr>
        <w:t>Viscosupplementation</w:t>
      </w:r>
      <w:proofErr w:type="spellEnd"/>
      <w:r>
        <w:rPr>
          <w:rFonts w:ascii="Times New Roman" w:eastAsia="Times New Roman" w:hAnsi="Times New Roman" w:cs="Times New Roman"/>
          <w:color w:val="000000"/>
          <w:sz w:val="24"/>
          <w:szCs w:val="24"/>
        </w:rPr>
        <w:t>. The American Journal of Sports Medicine.;43(7).</w:t>
      </w:r>
    </w:p>
    <w:p w14:paraId="77C9894F"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Saris DB, </w:t>
      </w:r>
      <w:proofErr w:type="spellStart"/>
      <w:r>
        <w:rPr>
          <w:rFonts w:ascii="Times New Roman" w:eastAsia="Times New Roman" w:hAnsi="Times New Roman" w:cs="Times New Roman"/>
          <w:color w:val="000000"/>
          <w:sz w:val="24"/>
          <w:szCs w:val="24"/>
        </w:rPr>
        <w:t>Vanlauwe</w:t>
      </w:r>
      <w:proofErr w:type="spellEnd"/>
      <w:r>
        <w:rPr>
          <w:rFonts w:ascii="Times New Roman" w:eastAsia="Times New Roman" w:hAnsi="Times New Roman" w:cs="Times New Roman"/>
          <w:color w:val="000000"/>
          <w:sz w:val="24"/>
          <w:szCs w:val="24"/>
        </w:rPr>
        <w:t xml:space="preserve"> J, Victor J, </w:t>
      </w:r>
      <w:proofErr w:type="spellStart"/>
      <w:r>
        <w:rPr>
          <w:rFonts w:ascii="Times New Roman" w:eastAsia="Times New Roman" w:hAnsi="Times New Roman" w:cs="Times New Roman"/>
          <w:color w:val="000000"/>
          <w:sz w:val="24"/>
          <w:szCs w:val="24"/>
        </w:rPr>
        <w:t>Haspl</w:t>
      </w:r>
      <w:proofErr w:type="spellEnd"/>
      <w:r>
        <w:rPr>
          <w:rFonts w:ascii="Times New Roman" w:eastAsia="Times New Roman" w:hAnsi="Times New Roman" w:cs="Times New Roman"/>
          <w:color w:val="000000"/>
          <w:sz w:val="24"/>
          <w:szCs w:val="24"/>
        </w:rPr>
        <w:t xml:space="preserve"> M, Bohnsack M, </w:t>
      </w:r>
      <w:proofErr w:type="spellStart"/>
      <w:r>
        <w:rPr>
          <w:rFonts w:ascii="Times New Roman" w:eastAsia="Times New Roman" w:hAnsi="Times New Roman" w:cs="Times New Roman"/>
          <w:color w:val="000000"/>
          <w:sz w:val="24"/>
          <w:szCs w:val="24"/>
        </w:rPr>
        <w:t>Fortems</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Vandekerckhove</w:t>
      </w:r>
      <w:proofErr w:type="spellEnd"/>
      <w:r>
        <w:rPr>
          <w:rFonts w:ascii="Times New Roman" w:eastAsia="Times New Roman" w:hAnsi="Times New Roman" w:cs="Times New Roman"/>
          <w:color w:val="000000"/>
          <w:sz w:val="24"/>
          <w:szCs w:val="24"/>
        </w:rPr>
        <w:t xml:space="preserve"> B, Almqvist KF, Claes T, </w:t>
      </w:r>
      <w:proofErr w:type="spellStart"/>
      <w:r>
        <w:rPr>
          <w:rFonts w:ascii="Times New Roman" w:eastAsia="Times New Roman" w:hAnsi="Times New Roman" w:cs="Times New Roman"/>
          <w:color w:val="000000"/>
          <w:sz w:val="24"/>
          <w:szCs w:val="24"/>
        </w:rPr>
        <w:t>Handelberg</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Lagae</w:t>
      </w:r>
      <w:proofErr w:type="spellEnd"/>
      <w:r>
        <w:rPr>
          <w:rFonts w:ascii="Times New Roman" w:eastAsia="Times New Roman" w:hAnsi="Times New Roman" w:cs="Times New Roman"/>
          <w:color w:val="000000"/>
          <w:sz w:val="24"/>
          <w:szCs w:val="24"/>
        </w:rPr>
        <w:t xml:space="preserve"> K. Characterized chondrocyte implantation results in better structural repair when treating symptomatic cartilage defects of the knee in a randomized controlled trial versus microfracture. The American journal of sports medicine. 2009 Mar;36(2):235-46.</w:t>
      </w:r>
    </w:p>
    <w:p w14:paraId="09A597C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and Drug Administration. Regulatory considerations for human cells, tissues, and cellular and tissue-based products: minimal manipulation and homologous use. Guidance for industry and Food and Drug Administration staff. Silver Spring (MD): FDA; 2020.</w:t>
      </w:r>
    </w:p>
    <w:p w14:paraId="30BCBCC8"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Galipeau J, </w:t>
      </w:r>
      <w:proofErr w:type="spellStart"/>
      <w:r>
        <w:rPr>
          <w:rFonts w:ascii="Times New Roman" w:eastAsia="Times New Roman" w:hAnsi="Times New Roman" w:cs="Times New Roman"/>
          <w:color w:val="000000"/>
          <w:sz w:val="24"/>
          <w:szCs w:val="24"/>
        </w:rPr>
        <w:t>Sensébé</w:t>
      </w:r>
      <w:proofErr w:type="spellEnd"/>
      <w:r>
        <w:rPr>
          <w:rFonts w:ascii="Times New Roman" w:eastAsia="Times New Roman" w:hAnsi="Times New Roman" w:cs="Times New Roman"/>
          <w:color w:val="000000"/>
          <w:sz w:val="24"/>
          <w:szCs w:val="24"/>
        </w:rPr>
        <w:t xml:space="preserve"> L. Mesenchymal stromal cells: clinical challenges and therapeutic opportunities. Cell stem cell. 2018 Jun 1;22(6):824-33.</w:t>
      </w:r>
    </w:p>
    <w:p w14:paraId="53A3186D"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Marks PW, Witten CM, Califf RM. Clarifying stem-cell therapy's benefits and risks. New England Journal of Medicine. 2017 Mar 16;376(11):1008-9.</w:t>
      </w:r>
    </w:p>
    <w:p w14:paraId="32ECEA49"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Turner E, White C, Thompson D. Commercialization Challenges in Regenerative Medicine.</w:t>
      </w:r>
    </w:p>
    <w:p w14:paraId="45E4C072"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Hyun I. The bioethics of stem cell research and therapy. The Journal of clinical investigation. 2010 Jan 4;120(1):71-5.</w:t>
      </w:r>
    </w:p>
    <w:p w14:paraId="73B7ABA7" w14:textId="77777777" w:rsidR="00ED21D7" w:rsidRDefault="003F3C3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Guermazi</w:t>
      </w:r>
      <w:proofErr w:type="spellEnd"/>
      <w:r>
        <w:rPr>
          <w:rFonts w:ascii="Times New Roman" w:eastAsia="Times New Roman" w:hAnsi="Times New Roman" w:cs="Times New Roman"/>
          <w:color w:val="000000"/>
          <w:sz w:val="24"/>
          <w:szCs w:val="24"/>
        </w:rPr>
        <w:t xml:space="preserve"> A, Roemer FW, Hayashi D. Imaging of osteoarthritis: update from a radiological perspective. Current opinion in rheumatology. 2011 Sep 1;23(5):484-91.</w:t>
      </w:r>
    </w:p>
    <w:p w14:paraId="6841287E" w14:textId="77777777" w:rsidR="00ED21D7" w:rsidRDefault="003F3C38">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Trounson A, McDonald C. Stem cell therapies in clinical trials: progress and challenges. Cell stem cell. 2015 Jul 2;17(1):11-22.</w:t>
      </w:r>
    </w:p>
    <w:p w14:paraId="36B38007" w14:textId="6D81CC1F" w:rsidR="00BE5252" w:rsidRPr="003A1A5C" w:rsidRDefault="00BE525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rPr>
      </w:pPr>
      <w:r w:rsidRPr="003A1A5C">
        <w:rPr>
          <w:rFonts w:ascii="Times New Roman" w:eastAsia="Times New Roman" w:hAnsi="Times New Roman" w:cs="Times New Roman"/>
          <w:color w:val="000000"/>
          <w:sz w:val="24"/>
          <w:szCs w:val="24"/>
          <w:highlight w:val="yellow"/>
        </w:rPr>
        <w:t>Sharma A, Kumar A, Pal RR, Patel P, Jain A, Kurmi BD. Regenerative and Stem Cell-Based Therapies for Arthritis: Harnessing Mesenchymal Stem Cells, Exosomes, and Bioengineered Scaffolds for Functional Joint Repair. Stem Cell Reviews and Reports. 2026 Feb 28:1-24.</w:t>
      </w:r>
    </w:p>
    <w:p w14:paraId="427CCDFB" w14:textId="55723F35" w:rsidR="00BE5252" w:rsidRPr="003A1A5C" w:rsidRDefault="00BE525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yellow"/>
        </w:rPr>
      </w:pPr>
      <w:proofErr w:type="spellStart"/>
      <w:r w:rsidRPr="003A1A5C">
        <w:rPr>
          <w:rFonts w:ascii="Times New Roman" w:eastAsia="Times New Roman" w:hAnsi="Times New Roman" w:cs="Times New Roman"/>
          <w:color w:val="000000"/>
          <w:sz w:val="24"/>
          <w:szCs w:val="24"/>
          <w:highlight w:val="yellow"/>
        </w:rPr>
        <w:t>Lv</w:t>
      </w:r>
      <w:proofErr w:type="spellEnd"/>
      <w:r w:rsidRPr="003A1A5C">
        <w:rPr>
          <w:rFonts w:ascii="Times New Roman" w:eastAsia="Times New Roman" w:hAnsi="Times New Roman" w:cs="Times New Roman"/>
          <w:color w:val="000000"/>
          <w:sz w:val="24"/>
          <w:szCs w:val="24"/>
          <w:highlight w:val="yellow"/>
        </w:rPr>
        <w:t xml:space="preserve"> X, Wang L, Zou X, Huang S. Umbilical cord mesenchymal stem cell therapy for regenerative treatment of rheumatoid arthritis: opportunities and challenges. Drug design, development and therapy. 2021 Sep 15:3927-36.</w:t>
      </w:r>
    </w:p>
    <w:sectPr w:rsidR="00BE5252" w:rsidRPr="003A1A5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BOLAS-1" w:date="2026-04-02T10:27:00Z" w:initials="G">
    <w:p w14:paraId="22B309A9" w14:textId="77777777" w:rsidR="000D0052" w:rsidRDefault="000D0052">
      <w:pPr>
        <w:pStyle w:val="CommentText"/>
      </w:pPr>
      <w:r>
        <w:rPr>
          <w:rStyle w:val="CommentReference"/>
        </w:rPr>
        <w:annotationRef/>
      </w:r>
      <w:r>
        <w:t>close the gap between 6 and the bracket</w:t>
      </w:r>
    </w:p>
  </w:comment>
  <w:comment w:id="1" w:author="Soham Bhattacharjee" w:date="2026-04-03T22:41:00Z" w:initials="SB">
    <w:p w14:paraId="498661F9" w14:textId="77777777" w:rsidR="000D0052" w:rsidRDefault="000D0052">
      <w:pPr>
        <w:pStyle w:val="CommentText"/>
      </w:pPr>
      <w:r>
        <w:rPr>
          <w:rStyle w:val="CommentReference"/>
        </w:rPr>
        <w:annotationRef/>
      </w:r>
      <w:r>
        <w:t>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309A9" w15:done="1"/>
  <w15:commentEx w15:paraId="498661F9" w15:paraIdParent="22B309A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12B37C" w16cex:dateUtc="2026-04-02T09:27:00Z"/>
  <w16cex:commentExtensible w16cex:durableId="3768664E" w16cex:dateUtc="2026-04-03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309A9" w16cid:durableId="6912B37C"/>
  <w16cid:commentId w16cid:paraId="498661F9" w16cid:durableId="376866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5E9A1" w14:textId="77777777" w:rsidR="008C2CD3" w:rsidRDefault="008C2CD3" w:rsidP="0056107D">
      <w:pPr>
        <w:spacing w:after="0" w:line="240" w:lineRule="auto"/>
      </w:pPr>
      <w:r>
        <w:separator/>
      </w:r>
    </w:p>
  </w:endnote>
  <w:endnote w:type="continuationSeparator" w:id="0">
    <w:p w14:paraId="006EDA91" w14:textId="77777777" w:rsidR="008C2CD3" w:rsidRDefault="008C2CD3" w:rsidP="0056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CAD32C0-D157-4839-8AE8-5DD43FC7F8B5}"/>
    <w:embedBold r:id="rId2" w:fontKey="{36D15219-E786-4447-B36F-B6F5500B35BE}"/>
    <w:embedItalic r:id="rId3" w:fontKey="{BFF7798E-B561-4933-BE7F-DF4156141254}"/>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4" w:fontKey="{7D0BF6BF-4F5D-435A-9467-8A747F529E41}"/>
  </w:font>
  <w:font w:name="Cardo">
    <w:charset w:val="00"/>
    <w:family w:val="auto"/>
    <w:pitch w:val="default"/>
    <w:embedRegular r:id="rId5" w:fontKey="{D7755931-3BED-4FF0-9FD6-60B28E1827A1}"/>
  </w:font>
  <w:font w:name="Cambria">
    <w:panose1 w:val="02040503050406030204"/>
    <w:charset w:val="00"/>
    <w:family w:val="roman"/>
    <w:pitch w:val="variable"/>
    <w:sig w:usb0="E00006FF" w:usb1="420024FF" w:usb2="02000000" w:usb3="00000000" w:csb0="0000019F" w:csb1="00000000"/>
    <w:embedRegular r:id="rId6" w:fontKey="{70CA2EE3-02C2-4B90-93F6-3B8065BA86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4679" w14:textId="77777777" w:rsidR="0056107D" w:rsidRDefault="00561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EF70" w14:textId="77777777" w:rsidR="0056107D" w:rsidRDefault="00561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EF087" w14:textId="77777777" w:rsidR="0056107D" w:rsidRDefault="00561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7B357" w14:textId="77777777" w:rsidR="008C2CD3" w:rsidRDefault="008C2CD3" w:rsidP="0056107D">
      <w:pPr>
        <w:spacing w:after="0" w:line="240" w:lineRule="auto"/>
      </w:pPr>
      <w:r>
        <w:separator/>
      </w:r>
    </w:p>
  </w:footnote>
  <w:footnote w:type="continuationSeparator" w:id="0">
    <w:p w14:paraId="4E803A03" w14:textId="77777777" w:rsidR="008C2CD3" w:rsidRDefault="008C2CD3" w:rsidP="00561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8929" w14:textId="617A4919" w:rsidR="0056107D" w:rsidRDefault="00000000">
    <w:pPr>
      <w:pStyle w:val="Header"/>
    </w:pPr>
    <w:r>
      <w:rPr>
        <w:noProof/>
      </w:rPr>
      <w:pict w14:anchorId="1F538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2CF7" w14:textId="4012D214" w:rsidR="0056107D" w:rsidRDefault="00000000">
    <w:pPr>
      <w:pStyle w:val="Header"/>
    </w:pPr>
    <w:r>
      <w:rPr>
        <w:noProof/>
      </w:rPr>
      <w:pict w14:anchorId="1F815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41454" w14:textId="7BDD4D43" w:rsidR="0056107D" w:rsidRDefault="00000000">
    <w:pPr>
      <w:pStyle w:val="Header"/>
    </w:pPr>
    <w:r>
      <w:rPr>
        <w:noProof/>
      </w:rPr>
      <w:pict w14:anchorId="0690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467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A1EAC"/>
    <w:multiLevelType w:val="multilevel"/>
    <w:tmpl w:val="AC9C4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965899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BOLAS-1">
    <w15:presenceInfo w15:providerId="None" w15:userId="GBOLAS-1"/>
  </w15:person>
  <w15:person w15:author="Soham Bhattacharjee">
    <w15:presenceInfo w15:providerId="Windows Live" w15:userId="5e1826a653d483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1D7"/>
    <w:rsid w:val="00006496"/>
    <w:rsid w:val="000D0052"/>
    <w:rsid w:val="001E1BEF"/>
    <w:rsid w:val="00245A64"/>
    <w:rsid w:val="002578CB"/>
    <w:rsid w:val="003A1A5C"/>
    <w:rsid w:val="003D2E5B"/>
    <w:rsid w:val="003F0265"/>
    <w:rsid w:val="003F3C38"/>
    <w:rsid w:val="0056107D"/>
    <w:rsid w:val="005E5713"/>
    <w:rsid w:val="007D58FE"/>
    <w:rsid w:val="007D7994"/>
    <w:rsid w:val="007F280A"/>
    <w:rsid w:val="00847CE5"/>
    <w:rsid w:val="00886AFE"/>
    <w:rsid w:val="008C2CD3"/>
    <w:rsid w:val="00974103"/>
    <w:rsid w:val="0098646D"/>
    <w:rsid w:val="009903DE"/>
    <w:rsid w:val="00B0391E"/>
    <w:rsid w:val="00B54F17"/>
    <w:rsid w:val="00B64422"/>
    <w:rsid w:val="00B82578"/>
    <w:rsid w:val="00BE5252"/>
    <w:rsid w:val="00C512CC"/>
    <w:rsid w:val="00C63075"/>
    <w:rsid w:val="00CF2345"/>
    <w:rsid w:val="00D3721B"/>
    <w:rsid w:val="00D500FE"/>
    <w:rsid w:val="00E37836"/>
    <w:rsid w:val="00E40363"/>
    <w:rsid w:val="00ED21D7"/>
    <w:rsid w:val="00F433DC"/>
    <w:rsid w:val="00F6087A"/>
    <w:rsid w:val="00FD7F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70526"/>
  <w15:docId w15:val="{AE9C61FB-BAB5-460B-8A39-33C0659C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NoSpacing">
    <w:name w:val="No Spacing"/>
    <w:uiPriority w:val="1"/>
    <w:qFormat/>
    <w:rsid w:val="009903DE"/>
    <w:pPr>
      <w:spacing w:after="0" w:line="240" w:lineRule="auto"/>
    </w:pPr>
  </w:style>
  <w:style w:type="character" w:styleId="Hyperlink">
    <w:name w:val="Hyperlink"/>
    <w:basedOn w:val="DefaultParagraphFont"/>
    <w:uiPriority w:val="99"/>
    <w:unhideWhenUsed/>
    <w:rsid w:val="00974103"/>
    <w:rPr>
      <w:color w:val="0000FF" w:themeColor="hyperlink"/>
      <w:u w:val="single"/>
    </w:rPr>
  </w:style>
  <w:style w:type="character" w:styleId="UnresolvedMention">
    <w:name w:val="Unresolved Mention"/>
    <w:basedOn w:val="DefaultParagraphFont"/>
    <w:uiPriority w:val="99"/>
    <w:semiHidden/>
    <w:unhideWhenUsed/>
    <w:rsid w:val="00974103"/>
    <w:rPr>
      <w:color w:val="605E5C"/>
      <w:shd w:val="clear" w:color="auto" w:fill="E1DFDD"/>
    </w:rPr>
  </w:style>
  <w:style w:type="table" w:customStyle="1" w:styleId="TableGrid1">
    <w:name w:val="Table Grid1"/>
    <w:basedOn w:val="TableNormal"/>
    <w:next w:val="TableGrid"/>
    <w:uiPriority w:val="39"/>
    <w:rsid w:val="00974103"/>
    <w:pPr>
      <w:spacing w:after="0" w:line="240" w:lineRule="auto"/>
    </w:pPr>
    <w:rPr>
      <w:rFonts w:cs="Vrinda"/>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74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07D"/>
  </w:style>
  <w:style w:type="paragraph" w:styleId="Footer">
    <w:name w:val="footer"/>
    <w:basedOn w:val="Normal"/>
    <w:link w:val="FooterChar"/>
    <w:uiPriority w:val="99"/>
    <w:unhideWhenUsed/>
    <w:rsid w:val="00561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07D"/>
  </w:style>
  <w:style w:type="character" w:styleId="CommentReference">
    <w:name w:val="annotation reference"/>
    <w:basedOn w:val="DefaultParagraphFont"/>
    <w:uiPriority w:val="99"/>
    <w:semiHidden/>
    <w:unhideWhenUsed/>
    <w:rsid w:val="000D0052"/>
    <w:rPr>
      <w:sz w:val="16"/>
      <w:szCs w:val="16"/>
    </w:rPr>
  </w:style>
  <w:style w:type="paragraph" w:styleId="CommentText">
    <w:name w:val="annotation text"/>
    <w:basedOn w:val="Normal"/>
    <w:link w:val="CommentTextChar"/>
    <w:uiPriority w:val="99"/>
    <w:semiHidden/>
    <w:unhideWhenUsed/>
    <w:rsid w:val="000D0052"/>
    <w:pPr>
      <w:spacing w:line="240" w:lineRule="auto"/>
    </w:pPr>
    <w:rPr>
      <w:sz w:val="20"/>
      <w:szCs w:val="20"/>
    </w:rPr>
  </w:style>
  <w:style w:type="character" w:customStyle="1" w:styleId="CommentTextChar">
    <w:name w:val="Comment Text Char"/>
    <w:basedOn w:val="DefaultParagraphFont"/>
    <w:link w:val="CommentText"/>
    <w:uiPriority w:val="99"/>
    <w:semiHidden/>
    <w:rsid w:val="000D005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03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34</Pages>
  <Words>11032</Words>
  <Characters>62885</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25</cp:revision>
  <dcterms:created xsi:type="dcterms:W3CDTF">2026-03-24T16:12:00Z</dcterms:created>
  <dcterms:modified xsi:type="dcterms:W3CDTF">2026-04-07T06:06:00Z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4a55b8f2-dcd4-426c-b681-9f49f29a7d9c</vt:lpwstr>
  </property>
</Properties>
</file>