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EB0F29" w14:textId="17939D14" w:rsidR="003E205E" w:rsidRDefault="003E205E" w:rsidP="001A3DFE">
      <w:pPr>
        <w:spacing w:line="240" w:lineRule="auto"/>
        <w:jc w:val="right"/>
        <w:rPr>
          <w:rFonts w:ascii="Arial" w:hAnsi="Arial" w:cs="Arial"/>
          <w:b/>
          <w:bCs/>
          <w:sz w:val="36"/>
          <w:szCs w:val="36"/>
          <w:lang w:val="en-GB"/>
        </w:rPr>
      </w:pPr>
      <w:r w:rsidRPr="00DE4451">
        <w:rPr>
          <w:rFonts w:ascii="Times New Roman" w:hAnsi="Times New Roman" w:cs="Times New Roman"/>
          <w:sz w:val="20"/>
          <w:szCs w:val="20"/>
        </w:rPr>
        <w:t>Original Research Article</w:t>
      </w:r>
    </w:p>
    <w:p w14:paraId="0F1B71A1" w14:textId="2A120232" w:rsidR="00686B6F" w:rsidRPr="009F1497" w:rsidRDefault="00686B6F" w:rsidP="001A3DFE">
      <w:pPr>
        <w:spacing w:line="240" w:lineRule="auto"/>
        <w:jc w:val="right"/>
        <w:rPr>
          <w:rFonts w:ascii="Arial" w:hAnsi="Arial" w:cs="Arial"/>
          <w:b/>
          <w:bCs/>
          <w:sz w:val="36"/>
          <w:szCs w:val="36"/>
          <w:lang w:val="en-GB"/>
        </w:rPr>
      </w:pPr>
      <w:r w:rsidRPr="009F1497">
        <w:rPr>
          <w:rFonts w:ascii="Arial" w:hAnsi="Arial" w:cs="Arial"/>
          <w:b/>
          <w:bCs/>
          <w:sz w:val="36"/>
          <w:szCs w:val="36"/>
          <w:lang w:val="en-GB"/>
        </w:rPr>
        <w:t>Irrigation suitability and ionic toxicity of Houet River water used at the Dogona market garden site in Bobo-Dioulasso, Burkina Faso</w:t>
      </w:r>
    </w:p>
    <w:p w14:paraId="695ED827" w14:textId="14218A86" w:rsidR="0087379F" w:rsidRDefault="0087379F" w:rsidP="004B2723">
      <w:pPr>
        <w:spacing w:line="240" w:lineRule="auto"/>
        <w:jc w:val="both"/>
        <w:rPr>
          <w:rFonts w:ascii="Arial" w:hAnsi="Arial" w:cs="Arial"/>
          <w:sz w:val="20"/>
          <w:szCs w:val="20"/>
        </w:rPr>
      </w:pPr>
    </w:p>
    <w:p w14:paraId="65CBF731" w14:textId="77777777" w:rsidR="00A423F4" w:rsidRPr="009F1497" w:rsidRDefault="00A423F4" w:rsidP="004B2723">
      <w:pPr>
        <w:spacing w:line="240" w:lineRule="auto"/>
        <w:jc w:val="both"/>
        <w:rPr>
          <w:rFonts w:ascii="Arial" w:hAnsi="Arial" w:cs="Arial"/>
          <w:sz w:val="20"/>
          <w:szCs w:val="20"/>
        </w:rPr>
      </w:pPr>
    </w:p>
    <w:p w14:paraId="144EC5CD" w14:textId="04B8DDD8" w:rsidR="00686B6F" w:rsidRPr="009F1497" w:rsidRDefault="004B2723" w:rsidP="004B2723">
      <w:pPr>
        <w:spacing w:line="240" w:lineRule="auto"/>
        <w:jc w:val="both"/>
        <w:rPr>
          <w:rFonts w:ascii="Arial" w:hAnsi="Arial" w:cs="Arial"/>
          <w:b/>
          <w:bCs/>
          <w:lang w:val="en-GB"/>
        </w:rPr>
      </w:pPr>
      <w:r w:rsidRPr="009F1497">
        <w:rPr>
          <w:rFonts w:ascii="Arial" w:hAnsi="Arial" w:cs="Arial"/>
          <w:b/>
          <w:bCs/>
          <w:lang w:val="en-GB"/>
        </w:rPr>
        <w:t>ABSTRACT</w:t>
      </w:r>
    </w:p>
    <w:p w14:paraId="2D070784" w14:textId="1E694E21" w:rsidR="00686B6F" w:rsidRPr="0040210F" w:rsidRDefault="009F1497" w:rsidP="004167F7">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jc w:val="both"/>
        <w:rPr>
          <w:rFonts w:ascii="Arial" w:hAnsi="Arial" w:cs="Arial"/>
          <w:sz w:val="20"/>
          <w:szCs w:val="20"/>
          <w:lang w:val="en-GB"/>
        </w:rPr>
      </w:pPr>
      <w:r w:rsidRPr="0040210F">
        <w:rPr>
          <w:rFonts w:ascii="Arial" w:hAnsi="Arial" w:cs="Arial"/>
          <w:b/>
          <w:bCs/>
          <w:sz w:val="20"/>
          <w:szCs w:val="20"/>
          <w:lang w:val="en-GB"/>
        </w:rPr>
        <w:t>A</w:t>
      </w:r>
      <w:r w:rsidR="00686B6F" w:rsidRPr="0040210F">
        <w:rPr>
          <w:rFonts w:ascii="Arial" w:hAnsi="Arial" w:cs="Arial"/>
          <w:b/>
          <w:bCs/>
          <w:sz w:val="20"/>
          <w:szCs w:val="20"/>
          <w:lang w:val="en-GB"/>
        </w:rPr>
        <w:t>im</w:t>
      </w:r>
      <w:r w:rsidRPr="0040210F">
        <w:rPr>
          <w:rFonts w:ascii="Arial" w:hAnsi="Arial" w:cs="Arial"/>
          <w:b/>
          <w:bCs/>
          <w:sz w:val="20"/>
          <w:szCs w:val="20"/>
          <w:lang w:val="en-GB"/>
        </w:rPr>
        <w:t>s:</w:t>
      </w:r>
      <w:r w:rsidR="00686B6F" w:rsidRPr="0040210F">
        <w:rPr>
          <w:rFonts w:ascii="Arial" w:hAnsi="Arial" w:cs="Arial"/>
          <w:sz w:val="20"/>
          <w:szCs w:val="20"/>
          <w:lang w:val="en-GB"/>
        </w:rPr>
        <w:t xml:space="preserve"> </w:t>
      </w:r>
      <w:r w:rsidR="00927570" w:rsidRPr="0040210F">
        <w:rPr>
          <w:rFonts w:ascii="Arial" w:hAnsi="Arial" w:cs="Arial"/>
          <w:sz w:val="20"/>
          <w:szCs w:val="20"/>
          <w:lang w:val="en-GB"/>
        </w:rPr>
        <w:t>To assess the irrigation suitability and ionic toxicity of Houet River water used at the Dogona market-gardening site in Bobo-Dioulasso.</w:t>
      </w:r>
    </w:p>
    <w:p w14:paraId="4E471627" w14:textId="785C005F" w:rsidR="00FC131D" w:rsidRPr="0040210F" w:rsidRDefault="001052E5" w:rsidP="004167F7">
      <w:pPr>
        <w:pBdr>
          <w:top w:val="single" w:sz="4" w:space="1" w:color="auto"/>
          <w:left w:val="single" w:sz="4" w:space="4" w:color="auto"/>
          <w:bottom w:val="single" w:sz="4" w:space="1" w:color="auto"/>
          <w:right w:val="single" w:sz="4" w:space="4" w:color="auto"/>
        </w:pBdr>
        <w:shd w:val="clear" w:color="auto" w:fill="F2F2F2" w:themeFill="background1" w:themeFillShade="F2"/>
        <w:spacing w:after="160" w:line="240" w:lineRule="auto"/>
        <w:jc w:val="both"/>
        <w:rPr>
          <w:rFonts w:ascii="Arial" w:hAnsi="Arial" w:cs="Arial"/>
          <w:sz w:val="20"/>
          <w:szCs w:val="20"/>
          <w:lang w:val="en-GB"/>
        </w:rPr>
      </w:pPr>
      <w:r w:rsidRPr="0040210F">
        <w:rPr>
          <w:rFonts w:ascii="Arial" w:hAnsi="Arial" w:cs="Arial"/>
          <w:b/>
          <w:bCs/>
          <w:sz w:val="20"/>
          <w:szCs w:val="20"/>
          <w:lang w:val="en-GB"/>
        </w:rPr>
        <w:t>Study design:</w:t>
      </w:r>
      <w:r w:rsidRPr="0040210F">
        <w:rPr>
          <w:rFonts w:ascii="Arial" w:hAnsi="Arial" w:cs="Arial"/>
          <w:sz w:val="20"/>
          <w:szCs w:val="20"/>
          <w:lang w:val="en-GB"/>
        </w:rPr>
        <w:t xml:space="preserve"> </w:t>
      </w:r>
      <w:r w:rsidR="00927570" w:rsidRPr="0040210F">
        <w:rPr>
          <w:rFonts w:ascii="Arial" w:hAnsi="Arial" w:cs="Arial"/>
          <w:sz w:val="20"/>
          <w:szCs w:val="20"/>
          <w:lang w:val="en-GB"/>
        </w:rPr>
        <w:t>This was a prospective longitudinal field study based on monthly sampling.</w:t>
      </w:r>
    </w:p>
    <w:p w14:paraId="01B815B8" w14:textId="3A3C7347" w:rsidR="00686B6F" w:rsidRPr="0040210F" w:rsidRDefault="00700CE8" w:rsidP="004167F7">
      <w:pPr>
        <w:pBdr>
          <w:top w:val="single" w:sz="4" w:space="1" w:color="auto"/>
          <w:left w:val="single" w:sz="4" w:space="4" w:color="auto"/>
          <w:bottom w:val="single" w:sz="4" w:space="1" w:color="auto"/>
          <w:right w:val="single" w:sz="4" w:space="4" w:color="auto"/>
        </w:pBdr>
        <w:shd w:val="clear" w:color="auto" w:fill="F2F2F2" w:themeFill="background1" w:themeFillShade="F2"/>
        <w:spacing w:after="160" w:line="240" w:lineRule="auto"/>
        <w:jc w:val="both"/>
        <w:rPr>
          <w:rFonts w:ascii="Arial" w:hAnsi="Arial" w:cs="Arial"/>
          <w:sz w:val="20"/>
          <w:szCs w:val="20"/>
          <w:lang w:val="en-GB"/>
        </w:rPr>
      </w:pPr>
      <w:r w:rsidRPr="0040210F">
        <w:rPr>
          <w:rFonts w:ascii="Arial" w:eastAsia="Calibri" w:hAnsi="Arial" w:cs="Arial"/>
          <w:b/>
          <w:sz w:val="20"/>
          <w:szCs w:val="20"/>
        </w:rPr>
        <w:t>Place and Duration of Study:</w:t>
      </w:r>
      <w:r w:rsidRPr="0040210F">
        <w:rPr>
          <w:rFonts w:ascii="Arial" w:eastAsia="Calibri" w:hAnsi="Arial" w:cs="Arial"/>
          <w:sz w:val="20"/>
          <w:szCs w:val="20"/>
        </w:rPr>
        <w:t xml:space="preserve"> </w:t>
      </w:r>
      <w:r w:rsidR="00927570" w:rsidRPr="0040210F">
        <w:rPr>
          <w:rStyle w:val="bzpyqfadein"/>
          <w:rFonts w:ascii="Arial" w:hAnsi="Arial" w:cs="Arial"/>
          <w:sz w:val="20"/>
          <w:szCs w:val="20"/>
        </w:rPr>
        <w:t>The study was conducted from March 2023 to February 2024 at four georeferenced sites located upstream (P1–P2) and downstream (P3–P4) of the Dogona wastewater treatment plant (WWTP) discharge point, across the dry, rainy, and cool seasons.</w:t>
      </w:r>
    </w:p>
    <w:p w14:paraId="47A2397A" w14:textId="72C93DA3" w:rsidR="001052E5" w:rsidRPr="0040210F" w:rsidRDefault="001052E5" w:rsidP="004167F7">
      <w:pPr>
        <w:pBdr>
          <w:top w:val="single" w:sz="4" w:space="1" w:color="auto"/>
          <w:left w:val="single" w:sz="4" w:space="4" w:color="auto"/>
          <w:bottom w:val="single" w:sz="4" w:space="1" w:color="auto"/>
          <w:right w:val="single" w:sz="4" w:space="4" w:color="auto"/>
        </w:pBdr>
        <w:shd w:val="clear" w:color="auto" w:fill="F2F2F2" w:themeFill="background1" w:themeFillShade="F2"/>
        <w:spacing w:after="160" w:line="240" w:lineRule="auto"/>
        <w:jc w:val="both"/>
        <w:rPr>
          <w:rFonts w:ascii="Arial" w:hAnsi="Arial" w:cs="Arial"/>
          <w:sz w:val="20"/>
          <w:szCs w:val="20"/>
          <w:lang w:val="en-GB"/>
        </w:rPr>
      </w:pPr>
      <w:r w:rsidRPr="0040210F">
        <w:rPr>
          <w:rFonts w:ascii="Arial" w:hAnsi="Arial" w:cs="Arial"/>
          <w:b/>
          <w:bCs/>
          <w:sz w:val="20"/>
          <w:szCs w:val="20"/>
          <w:lang w:val="en-GB"/>
        </w:rPr>
        <w:t>Methodology:</w:t>
      </w:r>
      <w:r w:rsidRPr="0040210F">
        <w:rPr>
          <w:rFonts w:ascii="Arial" w:hAnsi="Arial" w:cs="Arial"/>
          <w:sz w:val="20"/>
          <w:szCs w:val="20"/>
          <w:lang w:val="en-GB"/>
        </w:rPr>
        <w:t xml:space="preserve"> </w:t>
      </w:r>
      <w:r w:rsidR="00927570" w:rsidRPr="0040210F">
        <w:rPr>
          <w:rFonts w:ascii="Arial" w:hAnsi="Arial" w:cs="Arial"/>
          <w:sz w:val="20"/>
          <w:szCs w:val="20"/>
          <w:lang w:val="en-GB"/>
        </w:rPr>
        <w:t>Water samples were analysed for electrical conductivity (EC), total dissolved solids (TDS), and major ions, including Na</w:t>
      </w:r>
      <w:r w:rsidR="00927570" w:rsidRPr="0040210F">
        <w:rPr>
          <w:rFonts w:ascii="Cambria Math" w:hAnsi="Cambria Math" w:cs="Cambria Math"/>
          <w:sz w:val="20"/>
          <w:szCs w:val="20"/>
          <w:lang w:val="en-GB"/>
        </w:rPr>
        <w:t>⁺</w:t>
      </w:r>
      <w:r w:rsidR="00927570" w:rsidRPr="0040210F">
        <w:rPr>
          <w:rFonts w:ascii="Arial" w:hAnsi="Arial" w:cs="Arial"/>
          <w:sz w:val="20"/>
          <w:szCs w:val="20"/>
          <w:lang w:val="en-GB"/>
        </w:rPr>
        <w:t xml:space="preserve"> and Cl</w:t>
      </w:r>
      <w:r w:rsidR="00927570" w:rsidRPr="0040210F">
        <w:rPr>
          <w:rFonts w:ascii="Cambria Math" w:hAnsi="Cambria Math" w:cs="Cambria Math"/>
          <w:sz w:val="20"/>
          <w:szCs w:val="20"/>
          <w:lang w:val="en-GB"/>
        </w:rPr>
        <w:t>⁻</w:t>
      </w:r>
      <w:r w:rsidR="00927570" w:rsidRPr="0040210F">
        <w:rPr>
          <w:rFonts w:ascii="Arial" w:hAnsi="Arial" w:cs="Arial"/>
          <w:sz w:val="20"/>
          <w:szCs w:val="20"/>
          <w:lang w:val="en-GB"/>
        </w:rPr>
        <w:t>. Major-ion concentrations were converted to meq/L to calculate irrigation-suitability indices: SAR, %Na, PI, MAR, and Kelly’s ratio (KR). Water quality was classified using the Wilcox and USSL/Riverside diagrams.</w:t>
      </w:r>
    </w:p>
    <w:p w14:paraId="0E25E141" w14:textId="5B578AB8" w:rsidR="00686B6F" w:rsidRPr="0040210F" w:rsidRDefault="001052E5" w:rsidP="004167F7">
      <w:pPr>
        <w:pBdr>
          <w:top w:val="single" w:sz="4" w:space="1" w:color="auto"/>
          <w:left w:val="single" w:sz="4" w:space="4" w:color="auto"/>
          <w:bottom w:val="single" w:sz="4" w:space="1" w:color="auto"/>
          <w:right w:val="single" w:sz="4" w:space="4" w:color="auto"/>
        </w:pBdr>
        <w:shd w:val="clear" w:color="auto" w:fill="F2F2F2" w:themeFill="background1" w:themeFillShade="F2"/>
        <w:spacing w:after="160" w:line="240" w:lineRule="auto"/>
        <w:jc w:val="both"/>
        <w:rPr>
          <w:rFonts w:ascii="Arial" w:hAnsi="Arial" w:cs="Arial"/>
          <w:sz w:val="20"/>
          <w:szCs w:val="20"/>
          <w:lang w:val="en-GB"/>
        </w:rPr>
      </w:pPr>
      <w:r w:rsidRPr="0040210F">
        <w:rPr>
          <w:rFonts w:ascii="Arial" w:hAnsi="Arial" w:cs="Arial"/>
          <w:b/>
          <w:bCs/>
          <w:sz w:val="20"/>
          <w:szCs w:val="20"/>
          <w:lang w:val="en-GB"/>
        </w:rPr>
        <w:t>Results:</w:t>
      </w:r>
      <w:r w:rsidRPr="0040210F">
        <w:rPr>
          <w:rFonts w:ascii="Arial" w:hAnsi="Arial" w:cs="Arial"/>
          <w:sz w:val="20"/>
          <w:szCs w:val="20"/>
          <w:lang w:val="en-GB"/>
        </w:rPr>
        <w:t xml:space="preserve"> </w:t>
      </w:r>
      <w:r w:rsidR="00CF339A" w:rsidRPr="0040210F">
        <w:rPr>
          <w:rFonts w:ascii="Arial" w:hAnsi="Arial" w:cs="Arial"/>
          <w:sz w:val="20"/>
          <w:szCs w:val="20"/>
          <w:lang w:val="en-GB"/>
        </w:rPr>
        <w:t>EC ranged from 398.60 ± 59.55 to 1441.75 ± 458.79 µS/cm and TDS from 103.50 ± 19.53 to 392.50 ± 71.62 mg/L. SAR varied from 1.20 to 6.18, %Na from 37.40 to 85.09, PI from 7.17 to 18.50, MAR from 5.88 to 26.01, and KR from 0.43 to 3.86. Most parameters differed significantly among sampling points (p &lt; 0.05), except Na</w:t>
      </w:r>
      <w:r w:rsidR="00CF339A" w:rsidRPr="0040210F">
        <w:rPr>
          <w:rFonts w:ascii="Cambria Math" w:hAnsi="Cambria Math" w:cs="Cambria Math"/>
          <w:sz w:val="20"/>
          <w:szCs w:val="20"/>
          <w:lang w:val="en-GB"/>
        </w:rPr>
        <w:t>⁺</w:t>
      </w:r>
      <w:r w:rsidR="00CF339A" w:rsidRPr="0040210F">
        <w:rPr>
          <w:rFonts w:ascii="Arial" w:hAnsi="Arial" w:cs="Arial"/>
          <w:sz w:val="20"/>
          <w:szCs w:val="20"/>
          <w:lang w:val="en-GB"/>
        </w:rPr>
        <w:t>. According to the Wilcox diagram, water quality ranged from excellent to good, while the Riverside/USSL classification placed samples in classes C2S1 to C3S1, with the greatest deterioration at P3 and partial dilution at P4.</w:t>
      </w:r>
    </w:p>
    <w:p w14:paraId="5E3F30F0" w14:textId="75CD4A52" w:rsidR="00686B6F" w:rsidRPr="0040210F" w:rsidRDefault="001052E5" w:rsidP="004167F7">
      <w:pPr>
        <w:pBdr>
          <w:top w:val="single" w:sz="4" w:space="1" w:color="auto"/>
          <w:left w:val="single" w:sz="4" w:space="4" w:color="auto"/>
          <w:bottom w:val="single" w:sz="4" w:space="1" w:color="auto"/>
          <w:right w:val="single" w:sz="4" w:space="4" w:color="auto"/>
        </w:pBdr>
        <w:shd w:val="clear" w:color="auto" w:fill="F2F2F2" w:themeFill="background1" w:themeFillShade="F2"/>
        <w:spacing w:after="160" w:line="240" w:lineRule="auto"/>
        <w:jc w:val="both"/>
        <w:rPr>
          <w:rFonts w:ascii="Arial" w:hAnsi="Arial" w:cs="Arial"/>
          <w:sz w:val="20"/>
          <w:szCs w:val="20"/>
          <w:lang w:val="en-GB"/>
        </w:rPr>
      </w:pPr>
      <w:r w:rsidRPr="0040210F">
        <w:rPr>
          <w:rFonts w:ascii="Arial" w:hAnsi="Arial" w:cs="Arial"/>
          <w:b/>
          <w:bCs/>
          <w:sz w:val="20"/>
          <w:szCs w:val="20"/>
          <w:lang w:val="en-GB"/>
        </w:rPr>
        <w:t>Conclusion</w:t>
      </w:r>
      <w:r w:rsidRPr="0040210F">
        <w:rPr>
          <w:rFonts w:ascii="Arial" w:hAnsi="Arial" w:cs="Arial"/>
          <w:sz w:val="20"/>
          <w:szCs w:val="20"/>
          <w:lang w:val="en-GB"/>
        </w:rPr>
        <w:t xml:space="preserve">: </w:t>
      </w:r>
      <w:r w:rsidR="0005305B" w:rsidRPr="0040210F">
        <w:rPr>
          <w:rFonts w:ascii="Arial" w:hAnsi="Arial" w:cs="Arial"/>
          <w:sz w:val="20"/>
          <w:szCs w:val="20"/>
          <w:lang w:val="en-GB"/>
        </w:rPr>
        <w:t>Houet River water showed acceptable to moderate suitability for irrigation, but its use requires drainage, leaching, sodium control, and appropriate crop selection, especially immediately downstream of the WWTP discharge.</w:t>
      </w:r>
    </w:p>
    <w:p w14:paraId="39454C1E" w14:textId="77777777" w:rsidR="00686B6F" w:rsidRPr="008F1B37" w:rsidRDefault="00686B6F" w:rsidP="004B2723">
      <w:pPr>
        <w:spacing w:after="160" w:line="240" w:lineRule="auto"/>
        <w:jc w:val="both"/>
        <w:rPr>
          <w:rFonts w:ascii="Arial" w:hAnsi="Arial" w:cs="Arial"/>
          <w:i/>
          <w:iCs/>
          <w:sz w:val="20"/>
          <w:szCs w:val="20"/>
          <w:lang w:val="en-GB"/>
        </w:rPr>
      </w:pPr>
      <w:r w:rsidRPr="008F1B37">
        <w:rPr>
          <w:rFonts w:ascii="Arial" w:hAnsi="Arial" w:cs="Arial"/>
          <w:b/>
          <w:bCs/>
          <w:i/>
          <w:iCs/>
          <w:sz w:val="20"/>
          <w:szCs w:val="20"/>
          <w:lang w:val="en-GB"/>
        </w:rPr>
        <w:t>Keywords</w:t>
      </w:r>
      <w:r w:rsidRPr="008F1B37">
        <w:rPr>
          <w:rFonts w:ascii="Arial" w:hAnsi="Arial" w:cs="Arial"/>
          <w:i/>
          <w:iCs/>
          <w:sz w:val="20"/>
          <w:szCs w:val="20"/>
          <w:lang w:val="en-GB"/>
        </w:rPr>
        <w:t>: Irrigation suitability; Wilcox diagram; Riverside diagram (USSL); Houet River; Dogona.</w:t>
      </w:r>
    </w:p>
    <w:p w14:paraId="3285E813" w14:textId="3B87CB50" w:rsidR="00686B6F" w:rsidRPr="009F1497" w:rsidRDefault="00E36CBC" w:rsidP="004B2723">
      <w:pPr>
        <w:spacing w:after="160" w:line="240" w:lineRule="auto"/>
        <w:jc w:val="both"/>
        <w:rPr>
          <w:rFonts w:ascii="Arial" w:hAnsi="Arial" w:cs="Arial"/>
          <w:b/>
          <w:bCs/>
          <w:lang w:val="en-GB"/>
        </w:rPr>
      </w:pPr>
      <w:r w:rsidRPr="009F1497">
        <w:rPr>
          <w:rFonts w:ascii="Arial" w:hAnsi="Arial" w:cs="Arial"/>
          <w:b/>
          <w:bCs/>
          <w:lang w:val="en-GB"/>
        </w:rPr>
        <w:t xml:space="preserve">1. INTRODUCTION </w:t>
      </w:r>
    </w:p>
    <w:p w14:paraId="5624FE30" w14:textId="5CD95002" w:rsidR="00686B6F" w:rsidRPr="009F1497" w:rsidRDefault="00686B6F" w:rsidP="004B2723">
      <w:pPr>
        <w:spacing w:after="160" w:line="240" w:lineRule="auto"/>
        <w:jc w:val="both"/>
        <w:rPr>
          <w:rFonts w:ascii="Arial" w:hAnsi="Arial" w:cs="Arial"/>
          <w:sz w:val="20"/>
          <w:szCs w:val="20"/>
          <w:lang w:val="en-GB"/>
        </w:rPr>
      </w:pPr>
      <w:r w:rsidRPr="009F1497">
        <w:rPr>
          <w:rFonts w:ascii="Arial" w:hAnsi="Arial" w:cs="Arial"/>
          <w:sz w:val="20"/>
          <w:szCs w:val="20"/>
          <w:lang w:val="en-GB"/>
        </w:rPr>
        <w:t xml:space="preserve">Water scarcity and increasing rainfall variability in </w:t>
      </w:r>
      <w:r w:rsidR="001A185C" w:rsidRPr="001A185C">
        <w:rPr>
          <w:rFonts w:ascii="Arial" w:hAnsi="Arial" w:cs="Arial"/>
          <w:sz w:val="20"/>
          <w:szCs w:val="20"/>
          <w:lang w:val="en-GB"/>
        </w:rPr>
        <w:t>Sudano-Sahelian</w:t>
      </w:r>
      <w:r w:rsidR="001A185C" w:rsidRPr="001A185C">
        <w:rPr>
          <w:rFonts w:ascii="Arial" w:hAnsi="Arial" w:cs="Arial"/>
          <w:sz w:val="20"/>
          <w:szCs w:val="20"/>
          <w:lang w:val="en-GB"/>
        </w:rPr>
        <w:t xml:space="preserve"> </w:t>
      </w:r>
      <w:r w:rsidRPr="009F1497">
        <w:rPr>
          <w:rFonts w:ascii="Arial" w:hAnsi="Arial" w:cs="Arial"/>
          <w:sz w:val="20"/>
          <w:szCs w:val="20"/>
          <w:lang w:val="en-GB"/>
        </w:rPr>
        <w:t>tropical zones are intensifying pressure on dry-season irrigation. As a result, market-gardening farms are increasingly turning to non-conventional water resources such as urban surface waters and diluted or partially treated wastewater to secure production and maintain market supply (UN-W</w:t>
      </w:r>
      <w:r w:rsidR="00F82ED6">
        <w:rPr>
          <w:rFonts w:ascii="Arial" w:hAnsi="Arial" w:cs="Arial"/>
          <w:sz w:val="20"/>
          <w:szCs w:val="20"/>
          <w:lang w:val="en-GB"/>
        </w:rPr>
        <w:t>ATER</w:t>
      </w:r>
      <w:r w:rsidRPr="009F1497">
        <w:rPr>
          <w:rFonts w:ascii="Arial" w:hAnsi="Arial" w:cs="Arial"/>
          <w:sz w:val="20"/>
          <w:szCs w:val="20"/>
          <w:lang w:val="en-GB"/>
        </w:rPr>
        <w:t>, 2021). In sub-Saharan Africa, where urban growth often outpaces sanitation infrastructure, the agricultural reuse of waters influenced by urban discharges is an increasingly observed adaptation strategy, but one that needs to be supported by water-quality diagnostics and risk-management measures (Drechsel</w:t>
      </w:r>
      <w:r w:rsidR="00353C62">
        <w:rPr>
          <w:rFonts w:ascii="Arial" w:hAnsi="Arial" w:cs="Arial"/>
          <w:sz w:val="20"/>
          <w:szCs w:val="20"/>
          <w:lang w:val="en-GB"/>
        </w:rPr>
        <w:t xml:space="preserve"> et al.</w:t>
      </w:r>
      <w:r w:rsidRPr="009F1497">
        <w:rPr>
          <w:rFonts w:ascii="Arial" w:hAnsi="Arial" w:cs="Arial"/>
          <w:sz w:val="20"/>
          <w:szCs w:val="20"/>
          <w:lang w:val="en-GB"/>
        </w:rPr>
        <w:t>, 2022; FAO, 2023).</w:t>
      </w:r>
    </w:p>
    <w:p w14:paraId="643856BF" w14:textId="54B1BD0D" w:rsidR="00686B6F" w:rsidRPr="009F1497" w:rsidRDefault="00686B6F" w:rsidP="004B2723">
      <w:pPr>
        <w:spacing w:after="160" w:line="240" w:lineRule="auto"/>
        <w:jc w:val="both"/>
        <w:rPr>
          <w:rFonts w:ascii="Arial" w:hAnsi="Arial" w:cs="Arial"/>
          <w:sz w:val="20"/>
          <w:szCs w:val="20"/>
          <w:lang w:val="en-GB"/>
        </w:rPr>
      </w:pPr>
      <w:r w:rsidRPr="009F1497">
        <w:rPr>
          <w:rFonts w:ascii="Arial" w:hAnsi="Arial" w:cs="Arial"/>
          <w:sz w:val="20"/>
          <w:szCs w:val="20"/>
          <w:lang w:val="en-GB"/>
        </w:rPr>
        <w:t>While these urban waters can support incomes and stabilise the supply of fresh vegetables, they may also pose agronomic risks that are sometimes underestimated, in particular increased salinity, sodicity, and reduced infiltration. These processes can degrade soil structure, increase clay dispersion, reduce permeability</w:t>
      </w:r>
      <w:r w:rsidR="009B0088">
        <w:rPr>
          <w:rFonts w:ascii="Arial" w:hAnsi="Arial" w:cs="Arial"/>
          <w:sz w:val="20"/>
          <w:szCs w:val="20"/>
          <w:lang w:val="en-GB"/>
        </w:rPr>
        <w:t>,</w:t>
      </w:r>
      <w:r w:rsidRPr="009F1497">
        <w:rPr>
          <w:rFonts w:ascii="Arial" w:hAnsi="Arial" w:cs="Arial"/>
          <w:sz w:val="20"/>
          <w:szCs w:val="20"/>
          <w:lang w:val="en-GB"/>
        </w:rPr>
        <w:t xml:space="preserve"> and complicate crop choice, especially in sensitive soils (</w:t>
      </w:r>
      <w:r w:rsidR="00EB33D5" w:rsidRPr="009F1497">
        <w:rPr>
          <w:rFonts w:ascii="Arial" w:hAnsi="Arial" w:cs="Arial"/>
          <w:sz w:val="20"/>
          <w:szCs w:val="20"/>
          <w:lang w:val="en-GB"/>
        </w:rPr>
        <w:t>Obijianya</w:t>
      </w:r>
      <w:r w:rsidRPr="009F1497">
        <w:rPr>
          <w:rFonts w:ascii="Arial" w:hAnsi="Arial" w:cs="Arial"/>
          <w:sz w:val="20"/>
          <w:szCs w:val="20"/>
          <w:lang w:val="en-GB"/>
        </w:rPr>
        <w:t xml:space="preserve"> et al., 2025; A</w:t>
      </w:r>
      <w:r w:rsidR="00527651" w:rsidRPr="009F1497">
        <w:rPr>
          <w:rFonts w:ascii="Arial" w:hAnsi="Arial" w:cs="Arial"/>
          <w:sz w:val="20"/>
          <w:szCs w:val="20"/>
          <w:lang w:val="en-GB"/>
        </w:rPr>
        <w:t>ldughaishi</w:t>
      </w:r>
      <w:r w:rsidRPr="009F1497">
        <w:rPr>
          <w:rFonts w:ascii="Arial" w:hAnsi="Arial" w:cs="Arial"/>
          <w:sz w:val="20"/>
          <w:szCs w:val="20"/>
          <w:lang w:val="en-GB"/>
        </w:rPr>
        <w:t xml:space="preserve"> et al., 2024</w:t>
      </w:r>
      <w:r w:rsidR="00251455">
        <w:rPr>
          <w:rFonts w:ascii="Arial" w:hAnsi="Arial" w:cs="Arial"/>
          <w:sz w:val="20"/>
          <w:szCs w:val="20"/>
          <w:lang w:val="en-GB"/>
        </w:rPr>
        <w:t>;</w:t>
      </w:r>
      <w:r w:rsidRPr="009F1497">
        <w:rPr>
          <w:rFonts w:ascii="Arial" w:hAnsi="Arial" w:cs="Arial"/>
          <w:sz w:val="20"/>
          <w:szCs w:val="20"/>
          <w:lang w:val="en-GB"/>
        </w:rPr>
        <w:t xml:space="preserve"> H</w:t>
      </w:r>
      <w:r w:rsidR="00527651" w:rsidRPr="009F1497">
        <w:rPr>
          <w:rFonts w:ascii="Arial" w:hAnsi="Arial" w:cs="Arial"/>
          <w:sz w:val="20"/>
          <w:szCs w:val="20"/>
          <w:lang w:val="en-GB"/>
        </w:rPr>
        <w:t>elmecke</w:t>
      </w:r>
      <w:r w:rsidRPr="009F1497">
        <w:rPr>
          <w:rFonts w:ascii="Arial" w:hAnsi="Arial" w:cs="Arial"/>
          <w:sz w:val="20"/>
          <w:szCs w:val="20"/>
          <w:lang w:val="en-GB"/>
        </w:rPr>
        <w:t xml:space="preserve"> et al., 2020; J</w:t>
      </w:r>
      <w:r w:rsidR="00527651" w:rsidRPr="009F1497">
        <w:rPr>
          <w:rFonts w:ascii="Arial" w:hAnsi="Arial" w:cs="Arial"/>
          <w:sz w:val="20"/>
          <w:szCs w:val="20"/>
          <w:lang w:val="en-GB"/>
        </w:rPr>
        <w:t>ones</w:t>
      </w:r>
      <w:r w:rsidRPr="009F1497">
        <w:rPr>
          <w:rFonts w:ascii="Arial" w:hAnsi="Arial" w:cs="Arial"/>
          <w:sz w:val="20"/>
          <w:szCs w:val="20"/>
          <w:lang w:val="en-GB"/>
        </w:rPr>
        <w:t xml:space="preserve"> et al., 2021). </w:t>
      </w:r>
      <w:r w:rsidR="009B0088" w:rsidRPr="009B0088">
        <w:rPr>
          <w:rFonts w:ascii="Arial" w:hAnsi="Arial" w:cs="Arial"/>
          <w:sz w:val="20"/>
          <w:szCs w:val="20"/>
          <w:lang w:val="en-GB"/>
        </w:rPr>
        <w:t>Recent studies also suggest that indicators related to structural stability can usefully complement conventional SAR-based approaches</w:t>
      </w:r>
      <w:r w:rsidRPr="009F1497">
        <w:rPr>
          <w:rFonts w:ascii="Arial" w:hAnsi="Arial" w:cs="Arial"/>
          <w:sz w:val="20"/>
          <w:szCs w:val="20"/>
          <w:lang w:val="en-GB"/>
        </w:rPr>
        <w:t xml:space="preserve"> (A</w:t>
      </w:r>
      <w:r w:rsidR="00527651" w:rsidRPr="009F1497">
        <w:rPr>
          <w:rFonts w:ascii="Arial" w:hAnsi="Arial" w:cs="Arial"/>
          <w:sz w:val="20"/>
          <w:szCs w:val="20"/>
          <w:lang w:val="en-GB"/>
        </w:rPr>
        <w:t>ldughaishi</w:t>
      </w:r>
      <w:r w:rsidRPr="009F1497">
        <w:rPr>
          <w:rFonts w:ascii="Arial" w:hAnsi="Arial" w:cs="Arial"/>
          <w:sz w:val="20"/>
          <w:szCs w:val="20"/>
          <w:lang w:val="en-GB"/>
        </w:rPr>
        <w:t xml:space="preserve"> et al., 2024; K</w:t>
      </w:r>
      <w:r w:rsidR="00527651" w:rsidRPr="009F1497">
        <w:rPr>
          <w:rFonts w:ascii="Arial" w:hAnsi="Arial" w:cs="Arial"/>
          <w:sz w:val="20"/>
          <w:szCs w:val="20"/>
          <w:lang w:val="en-GB"/>
        </w:rPr>
        <w:t>ramer</w:t>
      </w:r>
      <w:r w:rsidRPr="009F1497">
        <w:rPr>
          <w:rFonts w:ascii="Arial" w:hAnsi="Arial" w:cs="Arial"/>
          <w:sz w:val="20"/>
          <w:szCs w:val="20"/>
          <w:lang w:val="en-GB"/>
        </w:rPr>
        <w:t xml:space="preserve"> </w:t>
      </w:r>
      <w:r w:rsidR="005B497B" w:rsidRPr="005B497B">
        <w:rPr>
          <w:rFonts w:ascii="Arial" w:hAnsi="Arial" w:cs="Arial"/>
          <w:sz w:val="20"/>
          <w:szCs w:val="20"/>
          <w:lang w:val="en-GB"/>
        </w:rPr>
        <w:t>&amp;</w:t>
      </w:r>
      <w:r w:rsidRPr="009F1497">
        <w:rPr>
          <w:rFonts w:ascii="Arial" w:hAnsi="Arial" w:cs="Arial"/>
          <w:sz w:val="20"/>
          <w:szCs w:val="20"/>
          <w:lang w:val="en-GB"/>
        </w:rPr>
        <w:t xml:space="preserve"> </w:t>
      </w:r>
      <w:r w:rsidR="005B497B" w:rsidRPr="005B497B">
        <w:rPr>
          <w:rFonts w:ascii="Arial" w:hAnsi="Arial" w:cs="Arial"/>
          <w:sz w:val="20"/>
          <w:szCs w:val="20"/>
          <w:lang w:val="en-GB"/>
        </w:rPr>
        <w:t>Mau</w:t>
      </w:r>
      <w:r w:rsidRPr="009F1497">
        <w:rPr>
          <w:rFonts w:ascii="Arial" w:hAnsi="Arial" w:cs="Arial"/>
          <w:sz w:val="20"/>
          <w:szCs w:val="20"/>
          <w:lang w:val="en-GB"/>
        </w:rPr>
        <w:t>, 2023).</w:t>
      </w:r>
    </w:p>
    <w:p w14:paraId="6064B906" w14:textId="67F43B7E" w:rsidR="00686B6F" w:rsidRPr="009F1497" w:rsidRDefault="00734AD9" w:rsidP="004B2723">
      <w:pPr>
        <w:spacing w:after="160" w:line="240" w:lineRule="auto"/>
        <w:jc w:val="both"/>
        <w:rPr>
          <w:rFonts w:ascii="Arial" w:hAnsi="Arial" w:cs="Arial"/>
          <w:sz w:val="20"/>
          <w:szCs w:val="20"/>
          <w:lang w:val="en-GB"/>
        </w:rPr>
      </w:pPr>
      <w:r w:rsidRPr="00734AD9">
        <w:rPr>
          <w:rFonts w:ascii="Arial" w:hAnsi="Arial" w:cs="Arial"/>
          <w:sz w:val="20"/>
          <w:szCs w:val="20"/>
          <w:lang w:val="en-GB"/>
        </w:rPr>
        <w:t xml:space="preserve">The evaluation of a water source for irrigation suitability is classically based on salinity, infiltration performance, and the toxicity of specific ions. Water classification is commonly performed using combined reference frameworks, notably the USSL/Riverside and Wilcox diagrams. Assessment is also supported by recent international guidance on agricultural water quality and salinity-related risks, </w:t>
      </w:r>
      <w:r w:rsidRPr="00734AD9">
        <w:rPr>
          <w:rFonts w:ascii="Arial" w:hAnsi="Arial" w:cs="Arial"/>
          <w:sz w:val="20"/>
          <w:szCs w:val="20"/>
          <w:lang w:val="en-GB"/>
        </w:rPr>
        <w:lastRenderedPageBreak/>
        <w:t>including FAO/IWMI references, while measured values are interpreted against internationally recognised irrigation-water benchmarks (Wilcox, 1955; Drechsel et al., 2023; Shokri et al., 2024).</w:t>
      </w:r>
    </w:p>
    <w:p w14:paraId="131AFAA4" w14:textId="0A0D7656" w:rsidR="00686B6F" w:rsidRPr="009F1497" w:rsidRDefault="00686B6F" w:rsidP="004B2723">
      <w:pPr>
        <w:spacing w:after="160" w:line="240" w:lineRule="auto"/>
        <w:jc w:val="both"/>
        <w:rPr>
          <w:rFonts w:ascii="Arial" w:hAnsi="Arial" w:cs="Arial"/>
          <w:sz w:val="20"/>
          <w:szCs w:val="20"/>
          <w:lang w:val="en-GB"/>
        </w:rPr>
      </w:pPr>
      <w:r w:rsidRPr="009F1497">
        <w:rPr>
          <w:rFonts w:ascii="Arial" w:hAnsi="Arial" w:cs="Arial"/>
          <w:sz w:val="20"/>
          <w:szCs w:val="20"/>
          <w:lang w:val="en-GB"/>
        </w:rPr>
        <w:t>However, two recurring limitations are found in studies on the agricultural use of urban waters in West Africa: first, a focus on contamination (microbiology, trace elements, nutrients) with an incomplete assessment of irrigation suitability using standardized indices and reference diagrams (</w:t>
      </w:r>
      <w:r w:rsidR="00F82ED6" w:rsidRPr="00F82ED6">
        <w:rPr>
          <w:rFonts w:ascii="Arial" w:hAnsi="Arial" w:cs="Arial"/>
          <w:sz w:val="20"/>
          <w:szCs w:val="20"/>
          <w:lang w:val="en-GB"/>
        </w:rPr>
        <w:t>Kpoda</w:t>
      </w:r>
      <w:r w:rsidR="00F82ED6" w:rsidRPr="00F82ED6" w:rsidDel="00F82ED6">
        <w:rPr>
          <w:rFonts w:ascii="Arial" w:hAnsi="Arial" w:cs="Arial"/>
          <w:sz w:val="20"/>
          <w:szCs w:val="20"/>
          <w:lang w:val="en-GB"/>
        </w:rPr>
        <w:t xml:space="preserve"> </w:t>
      </w:r>
      <w:r w:rsidRPr="009F1497">
        <w:rPr>
          <w:rFonts w:ascii="Arial" w:hAnsi="Arial" w:cs="Arial"/>
          <w:sz w:val="20"/>
          <w:szCs w:val="20"/>
          <w:lang w:val="en-GB"/>
        </w:rPr>
        <w:t>et al., 2015; Zongo et al., 2021); and second, an insufficient translation of water-quality classes into operational recommendations, even though these factors determine the long-term sustainability of irrigated soils (Drechsel</w:t>
      </w:r>
      <w:r w:rsidR="00EC75C3">
        <w:rPr>
          <w:rFonts w:ascii="Arial" w:hAnsi="Arial" w:cs="Arial"/>
          <w:sz w:val="20"/>
          <w:szCs w:val="20"/>
          <w:lang w:val="en-GB"/>
        </w:rPr>
        <w:t xml:space="preserve"> et al.</w:t>
      </w:r>
      <w:r w:rsidRPr="009F1497">
        <w:rPr>
          <w:rFonts w:ascii="Arial" w:hAnsi="Arial" w:cs="Arial"/>
          <w:sz w:val="20"/>
          <w:szCs w:val="20"/>
          <w:lang w:val="en-GB"/>
        </w:rPr>
        <w:t>, 2022; FAO, 2023; Obijianya et al., 2025; Purwar et al., 2020).</w:t>
      </w:r>
    </w:p>
    <w:p w14:paraId="0D0E28CB" w14:textId="51AFDC1A" w:rsidR="00686B6F" w:rsidRPr="009F1497" w:rsidRDefault="00686B6F" w:rsidP="004B2723">
      <w:pPr>
        <w:spacing w:after="160" w:line="240" w:lineRule="auto"/>
        <w:jc w:val="both"/>
        <w:rPr>
          <w:rFonts w:ascii="Arial" w:hAnsi="Arial" w:cs="Arial"/>
          <w:sz w:val="20"/>
          <w:szCs w:val="20"/>
          <w:lang w:val="en-GB"/>
        </w:rPr>
      </w:pPr>
      <w:r w:rsidRPr="009F1497">
        <w:rPr>
          <w:rFonts w:ascii="Arial" w:hAnsi="Arial" w:cs="Arial"/>
          <w:sz w:val="20"/>
          <w:szCs w:val="20"/>
          <w:lang w:val="en-GB"/>
        </w:rPr>
        <w:t>In Bobo-Dioulasso, Burkina Faso, the Dogona market-gardening site relies heavily on Houet River water in a context of urban discharges, including effluents from a wastewater treatment plant, with potentially stronger impacts during low-flow periods (Sauret et al., 2023; Dabré et al., 2025). Available assessments of the Houet River report a deterioration in water quality downstream of these inputs and highlight the need for targeted monitoring of the key parameters governing irrigation suitability</w:t>
      </w:r>
      <w:r w:rsidR="00251455" w:rsidRPr="00251455">
        <w:rPr>
          <w:rFonts w:ascii="Arial" w:hAnsi="Arial" w:cs="Arial"/>
          <w:sz w:val="20"/>
          <w:szCs w:val="20"/>
          <w:lang w:val="en-GB"/>
        </w:rPr>
        <w:t>—</w:t>
      </w:r>
      <w:r w:rsidRPr="009F1497">
        <w:rPr>
          <w:rFonts w:ascii="Arial" w:hAnsi="Arial" w:cs="Arial"/>
          <w:sz w:val="20"/>
          <w:szCs w:val="20"/>
          <w:lang w:val="en-GB"/>
        </w:rPr>
        <w:t>EC, sodium, major ions, and related indices</w:t>
      </w:r>
      <w:r w:rsidR="00251455" w:rsidRPr="00251455">
        <w:rPr>
          <w:rFonts w:ascii="Arial" w:hAnsi="Arial" w:cs="Arial"/>
          <w:sz w:val="20"/>
          <w:szCs w:val="20"/>
          <w:lang w:val="en-GB"/>
        </w:rPr>
        <w:t>—</w:t>
      </w:r>
      <w:r w:rsidR="001A3DFE" w:rsidRPr="009F1497">
        <w:rPr>
          <w:rFonts w:ascii="Arial" w:hAnsi="Arial" w:cs="Arial"/>
          <w:sz w:val="20"/>
          <w:szCs w:val="20"/>
          <w:lang w:val="en-GB"/>
        </w:rPr>
        <w:t>to</w:t>
      </w:r>
      <w:r w:rsidRPr="009F1497">
        <w:rPr>
          <w:rFonts w:ascii="Arial" w:hAnsi="Arial" w:cs="Arial"/>
          <w:sz w:val="20"/>
          <w:szCs w:val="20"/>
          <w:lang w:val="en-GB"/>
        </w:rPr>
        <w:t xml:space="preserve"> better characterize agronomic constraints at the level of market-gardening schemes (Sauret et al., 2023).</w:t>
      </w:r>
    </w:p>
    <w:p w14:paraId="733FA499" w14:textId="77777777" w:rsidR="00686B6F" w:rsidRPr="009F1497" w:rsidRDefault="00686B6F" w:rsidP="004B2723">
      <w:pPr>
        <w:spacing w:after="160" w:line="240" w:lineRule="auto"/>
        <w:jc w:val="both"/>
        <w:rPr>
          <w:rFonts w:ascii="Arial" w:hAnsi="Arial" w:cs="Arial"/>
          <w:sz w:val="20"/>
          <w:szCs w:val="20"/>
          <w:lang w:val="en-GB"/>
        </w:rPr>
      </w:pPr>
      <w:r w:rsidRPr="009F1497">
        <w:rPr>
          <w:rFonts w:ascii="Arial" w:hAnsi="Arial" w:cs="Arial"/>
          <w:sz w:val="20"/>
          <w:szCs w:val="20"/>
          <w:lang w:val="en-GB"/>
        </w:rPr>
        <w:t>Within this context, the present study aims to assess the irrigation suitability and ionic toxicity of Houet River water used at the Dogona market-gardening site in Bobo-Dioulasso, Burkina Faso.</w:t>
      </w:r>
    </w:p>
    <w:p w14:paraId="6B9A6BE7" w14:textId="78BE1263" w:rsidR="00686B6F" w:rsidRPr="009F1497" w:rsidRDefault="00E36CBC" w:rsidP="004B2723">
      <w:pPr>
        <w:spacing w:line="240" w:lineRule="auto"/>
        <w:jc w:val="both"/>
        <w:rPr>
          <w:rFonts w:ascii="Arial" w:hAnsi="Arial" w:cs="Arial"/>
          <w:b/>
          <w:bCs/>
          <w:lang w:val="en-GB"/>
        </w:rPr>
      </w:pPr>
      <w:r w:rsidRPr="009F1497">
        <w:rPr>
          <w:rFonts w:ascii="Arial" w:hAnsi="Arial" w:cs="Arial"/>
          <w:b/>
          <w:bCs/>
          <w:lang w:val="en-GB"/>
        </w:rPr>
        <w:t xml:space="preserve">2. </w:t>
      </w:r>
      <w:r w:rsidR="008F1B37">
        <w:rPr>
          <w:rFonts w:ascii="Arial" w:hAnsi="Arial" w:cs="Arial"/>
          <w:b/>
          <w:bCs/>
          <w:lang w:val="en-GB"/>
        </w:rPr>
        <w:t>METHODOLOGY</w:t>
      </w:r>
      <w:r w:rsidRPr="009F1497">
        <w:rPr>
          <w:rFonts w:ascii="Arial" w:hAnsi="Arial" w:cs="Arial"/>
          <w:b/>
          <w:bCs/>
          <w:lang w:val="en-GB"/>
        </w:rPr>
        <w:t xml:space="preserve"> </w:t>
      </w:r>
    </w:p>
    <w:p w14:paraId="1E2A7388" w14:textId="77777777" w:rsidR="00686B6F" w:rsidRPr="009F1497" w:rsidRDefault="00686B6F" w:rsidP="004B2723">
      <w:pPr>
        <w:spacing w:after="160" w:line="240" w:lineRule="auto"/>
        <w:jc w:val="both"/>
        <w:rPr>
          <w:rFonts w:ascii="Arial" w:hAnsi="Arial" w:cs="Arial"/>
          <w:b/>
          <w:bCs/>
          <w:lang w:val="en-GB"/>
        </w:rPr>
      </w:pPr>
      <w:r w:rsidRPr="009F1497">
        <w:rPr>
          <w:rFonts w:ascii="Arial" w:hAnsi="Arial" w:cs="Arial"/>
          <w:b/>
          <w:bCs/>
          <w:lang w:val="en-GB"/>
        </w:rPr>
        <w:t>2.1 Study Area</w:t>
      </w:r>
    </w:p>
    <w:p w14:paraId="5D9EF090" w14:textId="03254264" w:rsidR="00686B6F" w:rsidRPr="009F1497" w:rsidRDefault="00686B6F" w:rsidP="004B2723">
      <w:pPr>
        <w:spacing w:after="160" w:line="240" w:lineRule="auto"/>
        <w:jc w:val="both"/>
        <w:rPr>
          <w:rFonts w:ascii="Arial" w:hAnsi="Arial" w:cs="Arial"/>
          <w:sz w:val="20"/>
          <w:szCs w:val="20"/>
          <w:lang w:val="en-GB"/>
        </w:rPr>
      </w:pPr>
      <w:r w:rsidRPr="009F1497">
        <w:rPr>
          <w:rFonts w:ascii="Arial" w:hAnsi="Arial" w:cs="Arial"/>
          <w:sz w:val="20"/>
          <w:szCs w:val="20"/>
          <w:lang w:val="en-GB"/>
        </w:rPr>
        <w:t xml:space="preserve">The study was conducted in the Dogona market-gardening area in Bobo-Dioulasso, Burkina Faso, along the banks of the Houet River, whose waters are widely used for irrigation. The site </w:t>
      </w:r>
      <w:r w:rsidR="005A00DE" w:rsidRPr="009F1497">
        <w:rPr>
          <w:rFonts w:ascii="Arial" w:hAnsi="Arial" w:cs="Arial"/>
          <w:sz w:val="20"/>
          <w:szCs w:val="20"/>
          <w:lang w:val="en-GB"/>
        </w:rPr>
        <w:t>is in</w:t>
      </w:r>
      <w:r w:rsidRPr="009F1497">
        <w:rPr>
          <w:rFonts w:ascii="Arial" w:hAnsi="Arial" w:cs="Arial"/>
          <w:sz w:val="20"/>
          <w:szCs w:val="20"/>
          <w:lang w:val="en-GB"/>
        </w:rPr>
        <w:t xml:space="preserve"> the north-eastern part of the city (Sector 13), at 11°12′6″ N and 4°27′25″ W (Ouédraogo et al., 202</w:t>
      </w:r>
      <w:r w:rsidR="00A57773">
        <w:rPr>
          <w:rFonts w:ascii="Arial" w:hAnsi="Arial" w:cs="Arial"/>
          <w:sz w:val="20"/>
          <w:szCs w:val="20"/>
          <w:lang w:val="en-GB"/>
        </w:rPr>
        <w:t>0</w:t>
      </w:r>
      <w:r w:rsidRPr="009F1497">
        <w:rPr>
          <w:rFonts w:ascii="Arial" w:hAnsi="Arial" w:cs="Arial"/>
          <w:sz w:val="20"/>
          <w:szCs w:val="20"/>
          <w:lang w:val="en-GB"/>
        </w:rPr>
        <w:t>). To characterize the influence of the Dogona wastewater treatment plant (WWTP) discharge on the quality of irrigation water and the downstream dilution dynamics, four georeferenced sampling points were selected along the river: P1J1 (upstream, before the confluence), P2J1 (upstream, near the discharge point), P3J2 (immediately downstream, after mixing with the WWTP effluent), and P4J2 (further downstream).</w:t>
      </w:r>
    </w:p>
    <w:p w14:paraId="357F9B15" w14:textId="1F9B45E3" w:rsidR="00686B6F" w:rsidRPr="009F1497" w:rsidRDefault="00686B6F" w:rsidP="004B2723">
      <w:pPr>
        <w:spacing w:after="160" w:line="240" w:lineRule="auto"/>
        <w:jc w:val="both"/>
        <w:rPr>
          <w:rFonts w:ascii="Arial" w:hAnsi="Arial" w:cs="Arial"/>
          <w:sz w:val="20"/>
          <w:szCs w:val="20"/>
          <w:lang w:val="en-GB"/>
        </w:rPr>
      </w:pPr>
      <w:r w:rsidRPr="009F1497">
        <w:rPr>
          <w:rFonts w:ascii="Arial" w:hAnsi="Arial" w:cs="Arial"/>
          <w:sz w:val="20"/>
          <w:szCs w:val="20"/>
          <w:lang w:val="en-GB"/>
        </w:rPr>
        <w:t xml:space="preserve">The observation period covered March 2023 to February 2024 and included three seasons: dry (S1), rainy (S2), and cool (S3), </w:t>
      </w:r>
      <w:r w:rsidR="005A00DE" w:rsidRPr="009F1497">
        <w:rPr>
          <w:rFonts w:ascii="Arial" w:hAnsi="Arial" w:cs="Arial"/>
          <w:sz w:val="20"/>
          <w:szCs w:val="20"/>
          <w:lang w:val="en-GB"/>
        </w:rPr>
        <w:t>to</w:t>
      </w:r>
      <w:r w:rsidRPr="009F1497">
        <w:rPr>
          <w:rFonts w:ascii="Arial" w:hAnsi="Arial" w:cs="Arial"/>
          <w:sz w:val="20"/>
          <w:szCs w:val="20"/>
          <w:lang w:val="en-GB"/>
        </w:rPr>
        <w:t xml:space="preserve"> account for hydrological variability and seasonal fluctuations in pollutant loads. </w:t>
      </w:r>
      <w:r w:rsidR="00251455" w:rsidRPr="00251455">
        <w:rPr>
          <w:rFonts w:ascii="Arial" w:hAnsi="Arial" w:cs="Arial"/>
          <w:sz w:val="20"/>
          <w:szCs w:val="20"/>
          <w:lang w:val="en-GB"/>
        </w:rPr>
        <w:t>The location of the study area and the sampling points is shown in Fig. 1.</w:t>
      </w:r>
    </w:p>
    <w:p w14:paraId="3E1286AA" w14:textId="34CEC673" w:rsidR="00951E6A" w:rsidRPr="00951E6A" w:rsidRDefault="008C7F9C" w:rsidP="00951E6A">
      <w:pPr>
        <w:spacing w:after="160" w:line="240" w:lineRule="auto"/>
        <w:jc w:val="both"/>
        <w:rPr>
          <w:rFonts w:ascii="Arial" w:hAnsi="Arial" w:cs="Arial"/>
          <w:lang w:val="fr-FR"/>
        </w:rPr>
      </w:pPr>
      <w:r>
        <w:rPr>
          <w:rFonts w:ascii="Arial" w:hAnsi="Arial" w:cs="Arial"/>
          <w:noProof/>
          <w:lang w:val="fr-FR"/>
        </w:rPr>
        <w:lastRenderedPageBreak/>
        <mc:AlternateContent>
          <mc:Choice Requires="wps">
            <w:drawing>
              <wp:anchor distT="0" distB="0" distL="114300" distR="114300" simplePos="0" relativeHeight="251665408" behindDoc="0" locked="0" layoutInCell="1" allowOverlap="1" wp14:anchorId="489B419A" wp14:editId="3576EC32">
                <wp:simplePos x="0" y="0"/>
                <wp:positionH relativeFrom="margin">
                  <wp:posOffset>2427605</wp:posOffset>
                </wp:positionH>
                <wp:positionV relativeFrom="paragraph">
                  <wp:posOffset>4078605</wp:posOffset>
                </wp:positionV>
                <wp:extent cx="1847850" cy="469900"/>
                <wp:effectExtent l="0" t="0" r="19050" b="25400"/>
                <wp:wrapNone/>
                <wp:docPr id="3" name="Zone de texte 3"/>
                <wp:cNvGraphicFramePr/>
                <a:graphic xmlns:a="http://schemas.openxmlformats.org/drawingml/2006/main">
                  <a:graphicData uri="http://schemas.microsoft.com/office/word/2010/wordprocessingShape">
                    <wps:wsp>
                      <wps:cNvSpPr txBox="1"/>
                      <wps:spPr>
                        <a:xfrm>
                          <a:off x="0" y="0"/>
                          <a:ext cx="1847850" cy="4699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3BBB10F6" w14:textId="77777777" w:rsidR="00B23716" w:rsidRPr="008C7F9C" w:rsidRDefault="00B23716" w:rsidP="008C7F9C">
                            <w:pPr>
                              <w:spacing w:line="240" w:lineRule="auto"/>
                              <w:rPr>
                                <w:rFonts w:ascii="Arial" w:hAnsi="Arial" w:cs="Arial"/>
                                <w:sz w:val="12"/>
                                <w:szCs w:val="12"/>
                              </w:rPr>
                            </w:pPr>
                            <w:r w:rsidRPr="008C7F9C">
                              <w:rPr>
                                <w:rStyle w:val="lev"/>
                                <w:rFonts w:ascii="Arial" w:hAnsi="Arial" w:cs="Arial"/>
                                <w:sz w:val="12"/>
                                <w:szCs w:val="12"/>
                              </w:rPr>
                              <w:t>P1:</w:t>
                            </w:r>
                            <w:r w:rsidRPr="008C7F9C">
                              <w:rPr>
                                <w:rFonts w:ascii="Arial" w:hAnsi="Arial" w:cs="Arial"/>
                                <w:sz w:val="12"/>
                                <w:szCs w:val="12"/>
                              </w:rPr>
                              <w:t xml:space="preserve"> upstream before the discharge point</w:t>
                            </w:r>
                            <w:r w:rsidRPr="008C7F9C">
                              <w:rPr>
                                <w:rFonts w:ascii="Arial" w:hAnsi="Arial" w:cs="Arial"/>
                                <w:sz w:val="12"/>
                                <w:szCs w:val="12"/>
                              </w:rPr>
                              <w:br/>
                            </w:r>
                            <w:r w:rsidRPr="008C7F9C">
                              <w:rPr>
                                <w:rStyle w:val="lev"/>
                                <w:rFonts w:ascii="Arial" w:hAnsi="Arial" w:cs="Arial"/>
                                <w:sz w:val="12"/>
                                <w:szCs w:val="12"/>
                              </w:rPr>
                              <w:t>P2:</w:t>
                            </w:r>
                            <w:r w:rsidRPr="008C7F9C">
                              <w:rPr>
                                <w:rFonts w:ascii="Arial" w:hAnsi="Arial" w:cs="Arial"/>
                                <w:sz w:val="12"/>
                                <w:szCs w:val="12"/>
                              </w:rPr>
                              <w:t xml:space="preserve"> upstream, near the discharge</w:t>
                            </w:r>
                            <w:r w:rsidRPr="008C7F9C">
                              <w:rPr>
                                <w:rFonts w:ascii="Arial" w:hAnsi="Arial" w:cs="Arial"/>
                                <w:sz w:val="12"/>
                                <w:szCs w:val="12"/>
                              </w:rPr>
                              <w:br/>
                            </w:r>
                            <w:r w:rsidRPr="008C7F9C">
                              <w:rPr>
                                <w:rStyle w:val="lev"/>
                                <w:rFonts w:ascii="Arial" w:hAnsi="Arial" w:cs="Arial"/>
                                <w:sz w:val="12"/>
                                <w:szCs w:val="12"/>
                              </w:rPr>
                              <w:t>P3:</w:t>
                            </w:r>
                            <w:r w:rsidRPr="008C7F9C">
                              <w:rPr>
                                <w:rFonts w:ascii="Arial" w:hAnsi="Arial" w:cs="Arial"/>
                                <w:sz w:val="12"/>
                                <w:szCs w:val="12"/>
                              </w:rPr>
                              <w:t xml:space="preserve"> immediately after the discharge</w:t>
                            </w:r>
                            <w:r w:rsidRPr="008C7F9C">
                              <w:rPr>
                                <w:rFonts w:ascii="Arial" w:hAnsi="Arial" w:cs="Arial"/>
                                <w:sz w:val="12"/>
                                <w:szCs w:val="12"/>
                              </w:rPr>
                              <w:br/>
                            </w:r>
                            <w:r w:rsidRPr="008C7F9C">
                              <w:rPr>
                                <w:rStyle w:val="lev"/>
                                <w:rFonts w:ascii="Arial" w:hAnsi="Arial" w:cs="Arial"/>
                                <w:sz w:val="12"/>
                                <w:szCs w:val="12"/>
                              </w:rPr>
                              <w:t>P4:</w:t>
                            </w:r>
                            <w:r w:rsidRPr="008C7F9C">
                              <w:rPr>
                                <w:rFonts w:ascii="Arial" w:hAnsi="Arial" w:cs="Arial"/>
                                <w:sz w:val="12"/>
                                <w:szCs w:val="12"/>
                              </w:rPr>
                              <w:t xml:space="preserve"> far downstream from the discharge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9B419A" id="_x0000_t202" coordsize="21600,21600" o:spt="202" path="m,l,21600r21600,l21600,xe">
                <v:stroke joinstyle="miter"/>
                <v:path gradientshapeok="t" o:connecttype="rect"/>
              </v:shapetype>
              <v:shape id="Zone de texte 3" o:spid="_x0000_s1026" type="#_x0000_t202" style="position:absolute;left:0;text-align:left;margin-left:191.15pt;margin-top:321.15pt;width:145.5pt;height:37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gFu1QIAACIGAAAOAAAAZHJzL2Uyb0RvYy54bWysVE1PGzEQvVfqf7B8L5uEBEjEBqVQqkoI&#10;UKFC6s3x2tlV/VXbSTb8+j57k0Aph1L1sjv2vJnxvPk4PWu1IivhQ2NNSfsHPUqE4bZqzKKk3+4v&#10;P5xQEiIzFVPWiJJuRKBn0/fvTtduIga2tqoSnsCJCZO1K2kdo5sUReC10CwcWCcMlNJ6zSKOflFU&#10;nq3hXati0OsdFWvrK+ctFyHg9qJT0mn2L6Xg8UbKICJRJcXbYv76/J2nbzE9ZZOFZ65u+PYZ7B9e&#10;oVljEHTv6oJFRpa++cOVbri3wcp4wK0urJQNFzkHZNPvvcjmrmZO5FxATnB7msL/c8uvV7eeNFVJ&#10;DykxTKNE31EoUgkSRRsFOUwUrV2YAHnngI3tR9ui1Lv7gMuUeSu9Tn/kRKAH2Zs9wfBEeDI6GR6f&#10;jKDi0A2PxuNerkDxZO18iJ+F1SQJJfUoYOaVra5CxEsA3UFSMGMvG6VyEZUh65KOR4MR3DO0klQs&#10;QtQOyQWzoISpBXqUR589BquaKlknP7nfxLnyZMXQKdWPnB6C/YZKkS9YqDtQVnUN5O3SVPkVtWDV&#10;J1ORuHGg0oBKmp6lRUWJEgifpIyMrFF/g8QjlEHiqQYd11mKGyXSy5X5KiQKmCnvUvGLecqk63KM&#10;Ifje9Xp2BoMElMj9jbZbk2Qt8nC90X5vlONbE/f2ujF2W5c0+q+VQnb4HRUdAYmL2M5bUJrEua02&#10;6FFvu0EPjl82KNoVC/GWeUw2uMC2ijf4SGVRGbuVKKmtf3ztPuExcNCilNgU6KafS+ZRWPXFYBTH&#10;/eEQbmM+DEfHAxz8c838ucYs9blFi/WxFx3PYsJHtROlt/oBS22WokLFDEfskqKXO/E8dpXFUuRi&#10;NssgLBPH4pW5czy5TvSmZr1vH5h321lK83xtdzuFTV6MVIdNlsbOltHKJs/bE6tb4rGI8hhul2ba&#10;dM/PGfW02qe/AAAA//8DAFBLAwQUAAYACAAAACEAz5SyEeAAAAALAQAADwAAAGRycy9kb3ducmV2&#10;LnhtbEyPTUvDQBCG74L/YRnBi9hNk5LWmE0RQS9CoVEK3qbZaRLM7obsJk3/vdOT3t5hHt6PfDub&#10;Tkw0+NZZBctFBIJs5XRrawVfn2+PGxA+oNXYOUsKLuRhW9ze5Jhpd7Z7mspQCzaxPkMFTQh9JqWv&#10;GjLoF64ny7+TGwwGPoda6gHPbG46GUdRKg22lhMa7Om1oeqnHA2HxOX79HGhfXXoHp6+V+PuhIed&#10;Uvd388sziEBz+IPhWp+rQ8Gdjm602otOQbKJE0YVpKurYCJdJyyOCtbLNAFZ5PL/huIXAAD//wMA&#10;UEsBAi0AFAAGAAgAAAAhALaDOJL+AAAA4QEAABMAAAAAAAAAAAAAAAAAAAAAAFtDb250ZW50X1R5&#10;cGVzXS54bWxQSwECLQAUAAYACAAAACEAOP0h/9YAAACUAQAACwAAAAAAAAAAAAAAAAAvAQAAX3Jl&#10;bHMvLnJlbHNQSwECLQAUAAYACAAAACEAqyIBbtUCAAAiBgAADgAAAAAAAAAAAAAAAAAuAgAAZHJz&#10;L2Uyb0RvYy54bWxQSwECLQAUAAYACAAAACEAz5SyEeAAAAALAQAADwAAAAAAAAAAAAAAAAAvBQAA&#10;ZHJzL2Rvd25yZXYueG1sUEsFBgAAAAAEAAQA8wAAADwGAAAAAA==&#10;" filled="f" strokecolor="black [3200]">
                <v:stroke joinstyle="round"/>
                <v:textbox>
                  <w:txbxContent>
                    <w:p w14:paraId="3BBB10F6" w14:textId="77777777" w:rsidR="00B23716" w:rsidRPr="008C7F9C" w:rsidRDefault="00B23716" w:rsidP="008C7F9C">
                      <w:pPr>
                        <w:spacing w:line="240" w:lineRule="auto"/>
                        <w:rPr>
                          <w:rFonts w:ascii="Arial" w:hAnsi="Arial" w:cs="Arial"/>
                          <w:sz w:val="12"/>
                          <w:szCs w:val="12"/>
                        </w:rPr>
                      </w:pPr>
                      <w:r w:rsidRPr="008C7F9C">
                        <w:rPr>
                          <w:rStyle w:val="lev"/>
                          <w:rFonts w:ascii="Arial" w:hAnsi="Arial" w:cs="Arial"/>
                          <w:sz w:val="12"/>
                          <w:szCs w:val="12"/>
                        </w:rPr>
                        <w:t>P1:</w:t>
                      </w:r>
                      <w:r w:rsidRPr="008C7F9C">
                        <w:rPr>
                          <w:rFonts w:ascii="Arial" w:hAnsi="Arial" w:cs="Arial"/>
                          <w:sz w:val="12"/>
                          <w:szCs w:val="12"/>
                        </w:rPr>
                        <w:t xml:space="preserve"> upstream before the discharge point</w:t>
                      </w:r>
                      <w:r w:rsidRPr="008C7F9C">
                        <w:rPr>
                          <w:rFonts w:ascii="Arial" w:hAnsi="Arial" w:cs="Arial"/>
                          <w:sz w:val="12"/>
                          <w:szCs w:val="12"/>
                        </w:rPr>
                        <w:br/>
                      </w:r>
                      <w:r w:rsidRPr="008C7F9C">
                        <w:rPr>
                          <w:rStyle w:val="lev"/>
                          <w:rFonts w:ascii="Arial" w:hAnsi="Arial" w:cs="Arial"/>
                          <w:sz w:val="12"/>
                          <w:szCs w:val="12"/>
                        </w:rPr>
                        <w:t>P2:</w:t>
                      </w:r>
                      <w:r w:rsidRPr="008C7F9C">
                        <w:rPr>
                          <w:rFonts w:ascii="Arial" w:hAnsi="Arial" w:cs="Arial"/>
                          <w:sz w:val="12"/>
                          <w:szCs w:val="12"/>
                        </w:rPr>
                        <w:t xml:space="preserve"> upstream, near the discharge</w:t>
                      </w:r>
                      <w:r w:rsidRPr="008C7F9C">
                        <w:rPr>
                          <w:rFonts w:ascii="Arial" w:hAnsi="Arial" w:cs="Arial"/>
                          <w:sz w:val="12"/>
                          <w:szCs w:val="12"/>
                        </w:rPr>
                        <w:br/>
                      </w:r>
                      <w:r w:rsidRPr="008C7F9C">
                        <w:rPr>
                          <w:rStyle w:val="lev"/>
                          <w:rFonts w:ascii="Arial" w:hAnsi="Arial" w:cs="Arial"/>
                          <w:sz w:val="12"/>
                          <w:szCs w:val="12"/>
                        </w:rPr>
                        <w:t>P3:</w:t>
                      </w:r>
                      <w:r w:rsidRPr="008C7F9C">
                        <w:rPr>
                          <w:rFonts w:ascii="Arial" w:hAnsi="Arial" w:cs="Arial"/>
                          <w:sz w:val="12"/>
                          <w:szCs w:val="12"/>
                        </w:rPr>
                        <w:t xml:space="preserve"> immediately after the discharge</w:t>
                      </w:r>
                      <w:r w:rsidRPr="008C7F9C">
                        <w:rPr>
                          <w:rFonts w:ascii="Arial" w:hAnsi="Arial" w:cs="Arial"/>
                          <w:sz w:val="12"/>
                          <w:szCs w:val="12"/>
                        </w:rPr>
                        <w:br/>
                      </w:r>
                      <w:r w:rsidRPr="008C7F9C">
                        <w:rPr>
                          <w:rStyle w:val="lev"/>
                          <w:rFonts w:ascii="Arial" w:hAnsi="Arial" w:cs="Arial"/>
                          <w:sz w:val="12"/>
                          <w:szCs w:val="12"/>
                        </w:rPr>
                        <w:t>P4:</w:t>
                      </w:r>
                      <w:r w:rsidRPr="008C7F9C">
                        <w:rPr>
                          <w:rFonts w:ascii="Arial" w:hAnsi="Arial" w:cs="Arial"/>
                          <w:sz w:val="12"/>
                          <w:szCs w:val="12"/>
                        </w:rPr>
                        <w:t xml:space="preserve"> far downstream from the discharge point</w:t>
                      </w:r>
                    </w:p>
                  </w:txbxContent>
                </v:textbox>
                <w10:wrap anchorx="margin"/>
              </v:shape>
            </w:pict>
          </mc:Fallback>
        </mc:AlternateContent>
      </w:r>
      <w:r w:rsidR="009C6909">
        <w:rPr>
          <w:rFonts w:ascii="Arial" w:hAnsi="Arial" w:cs="Arial"/>
          <w:noProof/>
          <w:lang w:val="fr-FR"/>
        </w:rPr>
        <mc:AlternateContent>
          <mc:Choice Requires="wpg">
            <w:drawing>
              <wp:anchor distT="0" distB="0" distL="114300" distR="114300" simplePos="0" relativeHeight="251661312" behindDoc="0" locked="0" layoutInCell="1" allowOverlap="1" wp14:anchorId="4D560403" wp14:editId="7A351862">
                <wp:simplePos x="0" y="0"/>
                <wp:positionH relativeFrom="column">
                  <wp:posOffset>3284855</wp:posOffset>
                </wp:positionH>
                <wp:positionV relativeFrom="paragraph">
                  <wp:posOffset>546100</wp:posOffset>
                </wp:positionV>
                <wp:extent cx="549698" cy="2621632"/>
                <wp:effectExtent l="0" t="0" r="22225" b="26670"/>
                <wp:wrapNone/>
                <wp:docPr id="10" name="Groupe 10"/>
                <wp:cNvGraphicFramePr/>
                <a:graphic xmlns:a="http://schemas.openxmlformats.org/drawingml/2006/main">
                  <a:graphicData uri="http://schemas.microsoft.com/office/word/2010/wordprocessingGroup">
                    <wpg:wgp>
                      <wpg:cNvGrpSpPr/>
                      <wpg:grpSpPr>
                        <a:xfrm>
                          <a:off x="0" y="0"/>
                          <a:ext cx="549698" cy="2621632"/>
                          <a:chOff x="0" y="0"/>
                          <a:chExt cx="549698" cy="2621632"/>
                        </a:xfrm>
                      </wpg:grpSpPr>
                      <wps:wsp>
                        <wps:cNvPr id="4" name="Zone de texte 4"/>
                        <wps:cNvSpPr txBox="1"/>
                        <wps:spPr>
                          <a:xfrm>
                            <a:off x="0" y="2447209"/>
                            <a:ext cx="322562" cy="174423"/>
                          </a:xfrm>
                          <a:prstGeom prst="rect">
                            <a:avLst/>
                          </a:prstGeom>
                          <a:solidFill>
                            <a:schemeClr val="lt1"/>
                          </a:solidFill>
                          <a:ln w="6350">
                            <a:solidFill>
                              <a:prstClr val="black"/>
                            </a:solidFill>
                          </a:ln>
                        </wps:spPr>
                        <wps:txbx>
                          <w:txbxContent>
                            <w:p w14:paraId="62F98881" w14:textId="0FBF3B66" w:rsidR="007A3F75" w:rsidRPr="00111FC3" w:rsidRDefault="007A3F75">
                              <w:pPr>
                                <w:rPr>
                                  <w:b/>
                                  <w:bCs/>
                                  <w:sz w:val="12"/>
                                  <w:szCs w:val="12"/>
                                </w:rPr>
                              </w:pPr>
                              <w:r w:rsidRPr="00111FC3">
                                <w:rPr>
                                  <w:b/>
                                  <w:bCs/>
                                  <w:sz w:val="12"/>
                                  <w:szCs w:val="12"/>
                                </w:rPr>
                                <w:t>P1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Zone de texte 7"/>
                        <wps:cNvSpPr txBox="1"/>
                        <wps:spPr>
                          <a:xfrm>
                            <a:off x="100426" y="0"/>
                            <a:ext cx="306729" cy="184640"/>
                          </a:xfrm>
                          <a:prstGeom prst="rect">
                            <a:avLst/>
                          </a:prstGeom>
                          <a:solidFill>
                            <a:schemeClr val="lt1"/>
                          </a:solidFill>
                          <a:ln w="6350">
                            <a:solidFill>
                              <a:prstClr val="black"/>
                            </a:solidFill>
                          </a:ln>
                        </wps:spPr>
                        <wps:txbx>
                          <w:txbxContent>
                            <w:p w14:paraId="3BB09CED" w14:textId="45CC5606" w:rsidR="007A3F75" w:rsidRPr="00111FC3" w:rsidRDefault="007A3F75">
                              <w:pPr>
                                <w:rPr>
                                  <w:b/>
                                  <w:bCs/>
                                  <w:sz w:val="12"/>
                                  <w:szCs w:val="12"/>
                                </w:rPr>
                              </w:pPr>
                              <w:r w:rsidRPr="00111FC3">
                                <w:rPr>
                                  <w:b/>
                                  <w:bCs/>
                                  <w:sz w:val="12"/>
                                  <w:szCs w:val="12"/>
                                </w:rPr>
                                <w:t>P4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Zone de texte 8"/>
                        <wps:cNvSpPr txBox="1"/>
                        <wps:spPr>
                          <a:xfrm>
                            <a:off x="274849" y="824545"/>
                            <a:ext cx="274849" cy="179709"/>
                          </a:xfrm>
                          <a:prstGeom prst="rect">
                            <a:avLst/>
                          </a:prstGeom>
                          <a:solidFill>
                            <a:schemeClr val="lt1"/>
                          </a:solidFill>
                          <a:ln w="6350">
                            <a:solidFill>
                              <a:prstClr val="black"/>
                            </a:solidFill>
                          </a:ln>
                        </wps:spPr>
                        <wps:txbx>
                          <w:txbxContent>
                            <w:p w14:paraId="64D557D6" w14:textId="417C8511" w:rsidR="00C943A6" w:rsidRPr="00111FC3" w:rsidRDefault="00C943A6">
                              <w:pPr>
                                <w:rPr>
                                  <w:rFonts w:ascii="Times New Roman" w:hAnsi="Times New Roman" w:cs="Times New Roman"/>
                                  <w:b/>
                                  <w:bCs/>
                                  <w:sz w:val="12"/>
                                  <w:szCs w:val="12"/>
                                </w:rPr>
                              </w:pPr>
                              <w:r w:rsidRPr="00111FC3">
                                <w:rPr>
                                  <w:rFonts w:ascii="Times New Roman" w:hAnsi="Times New Roman" w:cs="Times New Roman"/>
                                  <w:b/>
                                  <w:bCs/>
                                  <w:sz w:val="12"/>
                                  <w:szCs w:val="12"/>
                                </w:rPr>
                                <w:t>P3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D560403" id="Groupe 10" o:spid="_x0000_s1027" style="position:absolute;left:0;text-align:left;margin-left:258.65pt;margin-top:43pt;width:43.3pt;height:206.45pt;z-index:251661312" coordsize="5496,26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eV4JAMAACoMAAAOAAAAZHJzL2Uyb0RvYy54bWzsVt1P2zAQf5+0/8Hy+8hH06SNSFEHA01C&#10;gAQT0t5cx2miObFnu03YX7+zk5TysUljEg+Il8T2nc/n393vzodHXc3RlildiSbDwYGPEWuoyKtm&#10;neFvN6efZhhpQ5qccNGwDN8xjY8WHz8ctjJloSgFz5lCYKTRaSszXBojU8/TtGQ10QdCsgaEhVA1&#10;MTBVay9XpAXrNfdC34+9VqhcKkGZ1rB60gvxwtkvCkbNZVFoZhDPMPhm3Fe578p+vcUhSdeKyLKi&#10;gxvkBV7UpGrg0J2pE2II2qjqiam6okpoUZgDKmpPFEVFmbsD3CbwH93mTImNdHdZp+1a7mACaB/h&#10;9GKz9GJ7pVCVQ+wAnobUECN3LEOwAOi0cp2C0pmS1/JKDQvrfmYv3BWqtn+4Cuocrnc7XFlnEIXF&#10;aTSP55AIFERhHAbxJOyBpyVE58k2Wn75+0ZvPNaz3u2caSXkkL6HSf8fTNclkcyhry0CA0zRiNJ3&#10;yGeUM2TglgxFPVZO0wKFTPdZwNWDcV3D4h/xCqMoCf15D8qI2iQMp3HYoxYkURROrHx3d5JKpc0Z&#10;EzWygwwrSHaXg2R7rk2vOqrYk7XgVX5ace4mlmDsmCu0JUANbpyjYPyBFm9Qm+F4MvWd4Qcya3q3&#10;f8UJ/TG4t6cF9ngDPtvI9ADYkelWXZ9yIzgrkd8BZkr0/NSSnlZg/pxoc0UUEBJyE4qMuYRPwQX4&#10;JIYRRqVQv55bt/qQACDFqAWCZ1j/3BDFMOJfG0iNeRBFtiK4STQF/DFS+5LVvqTZ1McCgAqgnEnq&#10;hlbf8HFYKFHfQi1a2lNBRBoKZ2fYjMNj05cdqGWULZdOCWqAJOa8uZbUmraBsbDedLdEySGsNr8u&#10;xJiMJH0U3V7X7mzEcmNEUbnQW5x7VAf4gRiWzK/AkOR5hiRjsIFL/8KQwPejMMboaVmZ+HESzgeC&#10;zKIYwvnGCOLK5H0o3wnyJggCnbBvtA9byOyFBAmTaBYBDYAgszCaRlNrh6RjGxnFtvkGyTzp28xb&#10;aiOuL76z5PXaiHt2wYPUvUaGx7N98e7PXdu5f+IvfgMAAP//AwBQSwMEFAAGAAgAAAAhAO9E4/Ph&#10;AAAACgEAAA8AAABkcnMvZG93bnJldi54bWxMj0FPg0AQhe8m/ofNmHizC2IRkKVpGvXUNLE1Md6m&#10;MAVSdpawW6D/3vWkx8l8ee97+WrWnRhpsK1hBeEiAEFcmqrlWsHn4e0hAWEdcoWdYVJwJQur4vYm&#10;x6wyE3/QuHe18CFsM1TQONdnUtqyIY12YXpi/zuZQaPz51DLasDJh+tOPgZBLDW27Bsa7GnTUHne&#10;X7SC9wmndRS+jtvzaXP9Pix3X9uQlLq/m9cvIBzN7g+GX32vDoV3OpoLV1Z0Cpbhc+RRBUnsN3kg&#10;DqIUxFHBU5qkIItc/p9Q/AAAAP//AwBQSwECLQAUAAYACAAAACEAtoM4kv4AAADhAQAAEwAAAAAA&#10;AAAAAAAAAAAAAAAAW0NvbnRlbnRfVHlwZXNdLnhtbFBLAQItABQABgAIAAAAIQA4/SH/1gAAAJQB&#10;AAALAAAAAAAAAAAAAAAAAC8BAABfcmVscy8ucmVsc1BLAQItABQABgAIAAAAIQCQmeV4JAMAACoM&#10;AAAOAAAAAAAAAAAAAAAAAC4CAABkcnMvZTJvRG9jLnhtbFBLAQItABQABgAIAAAAIQDvROPz4QAA&#10;AAoBAAAPAAAAAAAAAAAAAAAAAH4FAABkcnMvZG93bnJldi54bWxQSwUGAAAAAAQABADzAAAAjAYA&#10;AAAA&#10;">
                <v:shape id="Zone de texte 4" o:spid="_x0000_s1028" type="#_x0000_t202" style="position:absolute;top:24472;width:3225;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YUdwQAAANoAAAAPAAAAZHJzL2Rvd25yZXYueG1sRI9BawIx&#10;FITvhf6H8Aq91WxLkX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Bq9hR3BAAAA2gAAAA8AAAAA&#10;AAAAAAAAAAAABwIAAGRycy9kb3ducmV2LnhtbFBLBQYAAAAAAwADALcAAAD1AgAAAAA=&#10;" fillcolor="white [3201]" strokeweight=".5pt">
                  <v:textbox>
                    <w:txbxContent>
                      <w:p w14:paraId="62F98881" w14:textId="0FBF3B66" w:rsidR="007A3F75" w:rsidRPr="00111FC3" w:rsidRDefault="007A3F75">
                        <w:pPr>
                          <w:rPr>
                            <w:b/>
                            <w:bCs/>
                            <w:sz w:val="12"/>
                            <w:szCs w:val="12"/>
                          </w:rPr>
                        </w:pPr>
                        <w:r w:rsidRPr="00111FC3">
                          <w:rPr>
                            <w:b/>
                            <w:bCs/>
                            <w:sz w:val="12"/>
                            <w:szCs w:val="12"/>
                          </w:rPr>
                          <w:t>P1</w:t>
                        </w:r>
                      </w:p>
                    </w:txbxContent>
                  </v:textbox>
                </v:shape>
                <v:shape id="Zone de texte 7" o:spid="_x0000_s1029" type="#_x0000_t202" style="position:absolute;left:1004;width:3067;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tqwQAAANoAAAAPAAAAZHJzL2Rvd25yZXYueG1sRI9BawIx&#10;FITvhf6H8Aq91Wx7qOtqFFtsKXiqiufH5pkENy9Lkq7bf98IQo/DzHzDLFaj78RAMbnACp4nFQji&#10;NmjHRsFh//FUg0gZWWMXmBT8UoLV8v5ugY0OF/6mYZeNKBBODSqwOfeNlKm15DFNQk9cvFOIHnOR&#10;0Ugd8VLgvpMvVfUqPTouCxZ7erfUnnc/XsHmzcxMW2O0m1o7N4zH09Z8KvX4MK7nIDKN+T98a39p&#10;BVO4Xik3QC7/AAAA//8DAFBLAQItABQABgAIAAAAIQDb4fbL7gAAAIUBAAATAAAAAAAAAAAAAAAA&#10;AAAAAABbQ29udGVudF9UeXBlc10ueG1sUEsBAi0AFAAGAAgAAAAhAFr0LFu/AAAAFQEAAAsAAAAA&#10;AAAAAAAAAAAAHwEAAF9yZWxzLy5yZWxzUEsBAi0AFAAGAAgAAAAhAOpvG2rBAAAA2gAAAA8AAAAA&#10;AAAAAAAAAAAABwIAAGRycy9kb3ducmV2LnhtbFBLBQYAAAAAAwADALcAAAD1AgAAAAA=&#10;" fillcolor="white [3201]" strokeweight=".5pt">
                  <v:textbox>
                    <w:txbxContent>
                      <w:p w14:paraId="3BB09CED" w14:textId="45CC5606" w:rsidR="007A3F75" w:rsidRPr="00111FC3" w:rsidRDefault="007A3F75">
                        <w:pPr>
                          <w:rPr>
                            <w:b/>
                            <w:bCs/>
                            <w:sz w:val="12"/>
                            <w:szCs w:val="12"/>
                          </w:rPr>
                        </w:pPr>
                        <w:r w:rsidRPr="00111FC3">
                          <w:rPr>
                            <w:b/>
                            <w:bCs/>
                            <w:sz w:val="12"/>
                            <w:szCs w:val="12"/>
                          </w:rPr>
                          <w:t>P4</w:t>
                        </w:r>
                      </w:p>
                    </w:txbxContent>
                  </v:textbox>
                </v:shape>
                <v:shape id="Zone de texte 8" o:spid="_x0000_s1030" type="#_x0000_t202" style="position:absolute;left:2748;top:8245;width:2748;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I8YvgAAANoAAAAPAAAAZHJzL2Rvd25yZXYueG1sRE/LagIx&#10;FN0X/Idwhe5qxi7KODVKKyoFVz5wfZlck9DJzZCk4/Tvm0XB5eG8l+vRd2KgmFxgBfNZBYK4Ddqx&#10;UXA5715qECkja+wCk4JfSrBeTZ6W2Ohw5yMNp2xECeHUoAKbc99ImVpLHtMs9MSFu4XoMRcYjdQR&#10;7yXcd/K1qt6kR8elwWJPG0vt9+nHK9h+moVpa4x2W2vnhvF6O5i9Us/T8eMdRKYxP8T/7i+toGwt&#10;V8oNkKs/AAAA//8DAFBLAQItABQABgAIAAAAIQDb4fbL7gAAAIUBAAATAAAAAAAAAAAAAAAAAAAA&#10;AABbQ29udGVudF9UeXBlc10ueG1sUEsBAi0AFAAGAAgAAAAhAFr0LFu/AAAAFQEAAAsAAAAAAAAA&#10;AAAAAAAAHwEAAF9yZWxzLy5yZWxzUEsBAi0AFAAGAAgAAAAhAJvwjxi+AAAA2gAAAA8AAAAAAAAA&#10;AAAAAAAABwIAAGRycy9kb3ducmV2LnhtbFBLBQYAAAAAAwADALcAAADyAgAAAAA=&#10;" fillcolor="white [3201]" strokeweight=".5pt">
                  <v:textbox>
                    <w:txbxContent>
                      <w:p w14:paraId="64D557D6" w14:textId="417C8511" w:rsidR="00C943A6" w:rsidRPr="00111FC3" w:rsidRDefault="00C943A6">
                        <w:pPr>
                          <w:rPr>
                            <w:rFonts w:ascii="Times New Roman" w:hAnsi="Times New Roman" w:cs="Times New Roman"/>
                            <w:b/>
                            <w:bCs/>
                            <w:sz w:val="12"/>
                            <w:szCs w:val="12"/>
                          </w:rPr>
                        </w:pPr>
                        <w:r w:rsidRPr="00111FC3">
                          <w:rPr>
                            <w:rFonts w:ascii="Times New Roman" w:hAnsi="Times New Roman" w:cs="Times New Roman"/>
                            <w:b/>
                            <w:bCs/>
                            <w:sz w:val="12"/>
                            <w:szCs w:val="12"/>
                          </w:rPr>
                          <w:t>P3</w:t>
                        </w:r>
                      </w:p>
                    </w:txbxContent>
                  </v:textbox>
                </v:shape>
              </v:group>
            </w:pict>
          </mc:Fallback>
        </mc:AlternateContent>
      </w:r>
      <w:r w:rsidR="007A3F75">
        <w:rPr>
          <w:rFonts w:ascii="Arial" w:hAnsi="Arial" w:cs="Arial"/>
          <w:noProof/>
          <w:lang w:val="fr-FR"/>
        </w:rPr>
        <w:drawing>
          <wp:inline distT="0" distB="0" distL="0" distR="0" wp14:anchorId="3600CDA5" wp14:editId="608CBF33">
            <wp:extent cx="5942385" cy="4610100"/>
            <wp:effectExtent l="0" t="0" r="127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098" cy="4611429"/>
                    </a:xfrm>
                    <a:prstGeom prst="rect">
                      <a:avLst/>
                    </a:prstGeom>
                    <a:noFill/>
                  </pic:spPr>
                </pic:pic>
              </a:graphicData>
            </a:graphic>
          </wp:inline>
        </w:drawing>
      </w:r>
    </w:p>
    <w:p w14:paraId="279C8EFB" w14:textId="280269ED" w:rsidR="00686B6F" w:rsidRPr="00951E6A" w:rsidRDefault="00686B6F" w:rsidP="00951E6A">
      <w:pPr>
        <w:spacing w:after="160" w:line="240" w:lineRule="auto"/>
        <w:jc w:val="center"/>
        <w:rPr>
          <w:rFonts w:ascii="Arial" w:hAnsi="Arial" w:cs="Arial"/>
          <w:lang w:val="en-GB"/>
        </w:rPr>
      </w:pPr>
      <w:r w:rsidRPr="009F1497">
        <w:rPr>
          <w:rFonts w:ascii="Arial" w:hAnsi="Arial" w:cs="Arial"/>
          <w:sz w:val="20"/>
          <w:szCs w:val="20"/>
          <w:lang w:val="en-GB"/>
        </w:rPr>
        <w:t>Fi</w:t>
      </w:r>
      <w:r w:rsidR="00E36CBC" w:rsidRPr="009F1497">
        <w:rPr>
          <w:rFonts w:ascii="Arial" w:hAnsi="Arial" w:cs="Arial"/>
          <w:sz w:val="20"/>
          <w:szCs w:val="20"/>
          <w:lang w:val="en-GB"/>
        </w:rPr>
        <w:t>g</w:t>
      </w:r>
      <w:r w:rsidR="00B92B45">
        <w:rPr>
          <w:rFonts w:ascii="Arial" w:hAnsi="Arial" w:cs="Arial"/>
          <w:sz w:val="20"/>
          <w:szCs w:val="20"/>
          <w:lang w:val="en-GB"/>
        </w:rPr>
        <w:t>.</w:t>
      </w:r>
      <w:r w:rsidRPr="009F1497">
        <w:rPr>
          <w:rFonts w:ascii="Arial" w:hAnsi="Arial" w:cs="Arial"/>
          <w:sz w:val="20"/>
          <w:szCs w:val="20"/>
          <w:lang w:val="en-GB"/>
        </w:rPr>
        <w:t xml:space="preserve"> 1. Geographic location of the city of Bobo-Dioulasso and the Dogona market-gardening area (Dabré et al., 2025).</w:t>
      </w:r>
    </w:p>
    <w:p w14:paraId="3C25F20D" w14:textId="77777777" w:rsidR="00686B6F" w:rsidRPr="009F1497" w:rsidRDefault="00686B6F" w:rsidP="004B2723">
      <w:pPr>
        <w:spacing w:after="160" w:line="240" w:lineRule="auto"/>
        <w:jc w:val="both"/>
        <w:rPr>
          <w:rFonts w:ascii="Arial" w:hAnsi="Arial" w:cs="Arial"/>
          <w:b/>
          <w:bCs/>
          <w:lang w:val="en-GB"/>
        </w:rPr>
      </w:pPr>
      <w:r w:rsidRPr="009F1497">
        <w:rPr>
          <w:rFonts w:ascii="Arial" w:hAnsi="Arial" w:cs="Arial"/>
          <w:b/>
          <w:bCs/>
          <w:lang w:val="en-GB"/>
        </w:rPr>
        <w:t>2.2 Water sampling and in situ measurements</w:t>
      </w:r>
    </w:p>
    <w:p w14:paraId="16C39F69" w14:textId="77777777" w:rsidR="00686B6F" w:rsidRPr="009F1497" w:rsidRDefault="00686B6F" w:rsidP="004B2723">
      <w:pPr>
        <w:spacing w:after="160" w:line="240" w:lineRule="auto"/>
        <w:jc w:val="both"/>
        <w:rPr>
          <w:rFonts w:ascii="Arial" w:hAnsi="Arial" w:cs="Arial"/>
          <w:sz w:val="20"/>
          <w:szCs w:val="20"/>
          <w:lang w:val="en-GB"/>
        </w:rPr>
      </w:pPr>
      <w:r w:rsidRPr="009F1497">
        <w:rPr>
          <w:rFonts w:ascii="Arial" w:hAnsi="Arial" w:cs="Arial"/>
          <w:sz w:val="20"/>
          <w:szCs w:val="20"/>
          <w:lang w:val="en-GB"/>
        </w:rPr>
        <w:t xml:space="preserve">Water samples were collected monthly from March 2023 to February 2024, covering the three seasons (S1, S2, S3), at four sites located upstream (J1) and downstream (J2) of the Dogona wastewater treatment plant (WWTP) discharge. Samples intended for physico-chemical analyses were collected in polyethylene bottles pre-rinsed with site water, </w:t>
      </w:r>
      <w:r w:rsidRPr="00700C16">
        <w:rPr>
          <w:rFonts w:ascii="Arial" w:hAnsi="Arial" w:cs="Arial"/>
          <w:sz w:val="20"/>
          <w:szCs w:val="20"/>
          <w:lang w:val="en-GB"/>
        </w:rPr>
        <w:t>then kept refrigerated (−4 °C)</w:t>
      </w:r>
      <w:r w:rsidRPr="009F1497">
        <w:rPr>
          <w:rFonts w:ascii="Arial" w:hAnsi="Arial" w:cs="Arial"/>
          <w:sz w:val="20"/>
          <w:szCs w:val="20"/>
          <w:lang w:val="en-GB"/>
        </w:rPr>
        <w:t xml:space="preserve"> and transported to the laboratory as quickly as possible. In situ measurements included electrical conductivity (EC) and total dissolved solids (TDS), determined using a multiparameter probe previously calibrated in accordance with the laboratory’s internal procedures.</w:t>
      </w:r>
    </w:p>
    <w:p w14:paraId="072F1AA2" w14:textId="76225C67" w:rsidR="00686B6F" w:rsidRPr="009F1497" w:rsidRDefault="00686B6F" w:rsidP="004B2723">
      <w:pPr>
        <w:spacing w:after="160" w:line="240" w:lineRule="auto"/>
        <w:jc w:val="both"/>
        <w:rPr>
          <w:rFonts w:ascii="Arial" w:hAnsi="Arial" w:cs="Arial"/>
          <w:b/>
          <w:bCs/>
          <w:lang w:val="en-GB"/>
        </w:rPr>
      </w:pPr>
      <w:r w:rsidRPr="009F1497">
        <w:rPr>
          <w:rFonts w:ascii="Arial" w:hAnsi="Arial" w:cs="Arial"/>
          <w:b/>
          <w:bCs/>
          <w:lang w:val="en-GB"/>
        </w:rPr>
        <w:t>2.3 Laboratory measurement of parameters</w:t>
      </w:r>
    </w:p>
    <w:p w14:paraId="351D7B77" w14:textId="77777777" w:rsidR="00686B6F" w:rsidRPr="009F1497" w:rsidRDefault="00686B6F" w:rsidP="004B2723">
      <w:pPr>
        <w:spacing w:after="160" w:line="240" w:lineRule="auto"/>
        <w:jc w:val="both"/>
        <w:rPr>
          <w:rFonts w:ascii="Arial" w:hAnsi="Arial" w:cs="Arial"/>
          <w:sz w:val="20"/>
          <w:szCs w:val="20"/>
          <w:lang w:val="en-GB"/>
        </w:rPr>
      </w:pPr>
      <w:r w:rsidRPr="009F1497">
        <w:rPr>
          <w:rFonts w:ascii="Arial" w:hAnsi="Arial" w:cs="Arial"/>
          <w:sz w:val="20"/>
          <w:szCs w:val="20"/>
          <w:lang w:val="en-GB"/>
        </w:rPr>
        <w:t>Analyses were performed in the laboratory in accordance with traceable internal standard operating procedures, using standardized reagents (HACH/AFNOR), within a quality-control framework consistent with the requirements of ISO 17025. Na</w:t>
      </w:r>
      <w:r w:rsidRPr="009F1497">
        <w:rPr>
          <w:rFonts w:ascii="Cambria Math" w:hAnsi="Cambria Math" w:cs="Cambria Math"/>
          <w:sz w:val="20"/>
          <w:szCs w:val="20"/>
          <w:lang w:val="en-GB"/>
        </w:rPr>
        <w:t>⁺</w:t>
      </w:r>
      <w:r w:rsidRPr="009F1497">
        <w:rPr>
          <w:rFonts w:ascii="Arial" w:hAnsi="Arial" w:cs="Arial"/>
          <w:sz w:val="20"/>
          <w:szCs w:val="20"/>
          <w:lang w:val="en-GB"/>
        </w:rPr>
        <w:t xml:space="preserve"> and K</w:t>
      </w:r>
      <w:r w:rsidRPr="009F1497">
        <w:rPr>
          <w:rFonts w:ascii="Cambria Math" w:hAnsi="Cambria Math" w:cs="Cambria Math"/>
          <w:sz w:val="20"/>
          <w:szCs w:val="20"/>
          <w:lang w:val="en-GB"/>
        </w:rPr>
        <w:t>⁺</w:t>
      </w:r>
      <w:r w:rsidRPr="009F1497">
        <w:rPr>
          <w:rFonts w:ascii="Arial" w:hAnsi="Arial" w:cs="Arial"/>
          <w:sz w:val="20"/>
          <w:szCs w:val="20"/>
          <w:lang w:val="en-GB"/>
        </w:rPr>
        <w:t xml:space="preserve"> ions were determined by flame photometry after sample nebulization, based on the characteristic emission of excited atoms at specific wavelengths. Cl</w:t>
      </w:r>
      <w:r w:rsidRPr="009F1497">
        <w:rPr>
          <w:rFonts w:ascii="Cambria Math" w:hAnsi="Cambria Math" w:cs="Cambria Math"/>
          <w:sz w:val="20"/>
          <w:szCs w:val="20"/>
          <w:lang w:val="en-GB"/>
        </w:rPr>
        <w:t>⁻</w:t>
      </w:r>
      <w:r w:rsidRPr="009F1497">
        <w:rPr>
          <w:rFonts w:ascii="Arial" w:hAnsi="Arial" w:cs="Arial"/>
          <w:sz w:val="20"/>
          <w:szCs w:val="20"/>
          <w:lang w:val="en-GB"/>
        </w:rPr>
        <w:t>, HCO</w:t>
      </w:r>
      <w:r w:rsidRPr="009F1497">
        <w:rPr>
          <w:rFonts w:ascii="Cambria Math" w:hAnsi="Cambria Math" w:cs="Cambria Math"/>
          <w:sz w:val="20"/>
          <w:szCs w:val="20"/>
          <w:lang w:val="en-GB"/>
        </w:rPr>
        <w:t>₃⁻</w:t>
      </w:r>
      <w:r w:rsidRPr="009F1497">
        <w:rPr>
          <w:rFonts w:ascii="Arial" w:hAnsi="Arial" w:cs="Arial"/>
          <w:sz w:val="20"/>
          <w:szCs w:val="20"/>
          <w:lang w:val="en-GB"/>
        </w:rPr>
        <w:t>, Ca²</w:t>
      </w:r>
      <w:r w:rsidRPr="009F1497">
        <w:rPr>
          <w:rFonts w:ascii="Cambria Math" w:hAnsi="Cambria Math" w:cs="Cambria Math"/>
          <w:sz w:val="20"/>
          <w:szCs w:val="20"/>
          <w:lang w:val="en-GB"/>
        </w:rPr>
        <w:t>⁺</w:t>
      </w:r>
      <w:r w:rsidRPr="009F1497">
        <w:rPr>
          <w:rFonts w:ascii="Arial" w:hAnsi="Arial" w:cs="Arial"/>
          <w:sz w:val="20"/>
          <w:szCs w:val="20"/>
          <w:lang w:val="en-GB"/>
        </w:rPr>
        <w:t>, and Mg²</w:t>
      </w:r>
      <w:r w:rsidRPr="009F1497">
        <w:rPr>
          <w:rFonts w:ascii="Cambria Math" w:hAnsi="Cambria Math" w:cs="Cambria Math"/>
          <w:sz w:val="20"/>
          <w:szCs w:val="20"/>
          <w:lang w:val="en-GB"/>
        </w:rPr>
        <w:t>⁺</w:t>
      </w:r>
      <w:r w:rsidRPr="009F1497">
        <w:rPr>
          <w:rFonts w:ascii="Arial" w:hAnsi="Arial" w:cs="Arial"/>
          <w:sz w:val="20"/>
          <w:szCs w:val="20"/>
          <w:lang w:val="en-GB"/>
        </w:rPr>
        <w:t xml:space="preserve"> ions were quantified by titrimetry according to the laboratory’s reference procedures.</w:t>
      </w:r>
    </w:p>
    <w:p w14:paraId="69C74BF2" w14:textId="6D834F68" w:rsidR="00686B6F" w:rsidRPr="009F1497" w:rsidRDefault="00686B6F" w:rsidP="004B2723">
      <w:pPr>
        <w:spacing w:after="160" w:line="240" w:lineRule="auto"/>
        <w:jc w:val="both"/>
        <w:rPr>
          <w:rFonts w:ascii="Arial" w:hAnsi="Arial" w:cs="Arial"/>
          <w:b/>
          <w:bCs/>
          <w:lang w:val="en-GB"/>
        </w:rPr>
      </w:pPr>
      <w:r w:rsidRPr="009F1497">
        <w:rPr>
          <w:rFonts w:ascii="Arial" w:hAnsi="Arial" w:cs="Arial"/>
          <w:b/>
          <w:bCs/>
          <w:lang w:val="en-GB"/>
        </w:rPr>
        <w:t>2.4 Assessment of irrigation suitability</w:t>
      </w:r>
    </w:p>
    <w:p w14:paraId="1DB963B9" w14:textId="77777777" w:rsidR="00686B6F" w:rsidRPr="009F1497" w:rsidRDefault="00686B6F" w:rsidP="004B2723">
      <w:pPr>
        <w:spacing w:after="160" w:line="240" w:lineRule="auto"/>
        <w:jc w:val="both"/>
        <w:rPr>
          <w:rFonts w:ascii="Arial" w:hAnsi="Arial" w:cs="Arial"/>
          <w:sz w:val="20"/>
          <w:szCs w:val="20"/>
          <w:lang w:val="en-GB"/>
        </w:rPr>
      </w:pPr>
      <w:r w:rsidRPr="009F1497">
        <w:rPr>
          <w:rFonts w:ascii="Arial" w:hAnsi="Arial" w:cs="Arial"/>
          <w:sz w:val="20"/>
          <w:szCs w:val="20"/>
          <w:lang w:val="en-GB"/>
        </w:rPr>
        <w:t>Irrigation suitability was evaluated considering three complementary dimensions: (i) salinity hazard, (ii) specific ion toxicity, and (iii) the risk of infiltration/permeability deterioration related to sodicity. Salinity was assessed using electrical conductivity (EC) and total dissolved solids (TDS). Specific ionic toxicity was evaluated based on Na</w:t>
      </w:r>
      <w:r w:rsidRPr="009F1497">
        <w:rPr>
          <w:rFonts w:ascii="Cambria Math" w:hAnsi="Cambria Math" w:cs="Cambria Math"/>
          <w:sz w:val="20"/>
          <w:szCs w:val="20"/>
          <w:lang w:val="en-GB"/>
        </w:rPr>
        <w:t>⁺</w:t>
      </w:r>
      <w:r w:rsidRPr="009F1497">
        <w:rPr>
          <w:rFonts w:ascii="Arial" w:hAnsi="Arial" w:cs="Arial"/>
          <w:sz w:val="20"/>
          <w:szCs w:val="20"/>
          <w:lang w:val="en-GB"/>
        </w:rPr>
        <w:t xml:space="preserve"> and Cl</w:t>
      </w:r>
      <w:r w:rsidRPr="009F1497">
        <w:rPr>
          <w:rFonts w:ascii="Cambria Math" w:hAnsi="Cambria Math" w:cs="Cambria Math"/>
          <w:sz w:val="20"/>
          <w:szCs w:val="20"/>
          <w:lang w:val="en-GB"/>
        </w:rPr>
        <w:t>⁻</w:t>
      </w:r>
      <w:r w:rsidRPr="009F1497">
        <w:rPr>
          <w:rFonts w:ascii="Arial" w:hAnsi="Arial" w:cs="Arial"/>
          <w:sz w:val="20"/>
          <w:szCs w:val="20"/>
          <w:lang w:val="en-GB"/>
        </w:rPr>
        <w:t xml:space="preserve"> concentrations. Finally, infiltration/sodicity risk was assessed using the following indices: SAR, %Na, PI, MAR, and KR. These indices were calculated from major ions expressed in meq/L (after converting concentrations) and then used for water-quality classification. The calculations were performed using the following index equations (meq/L):</w:t>
      </w:r>
    </w:p>
    <w:p w14:paraId="6C337DC1" w14:textId="77777777" w:rsidR="00686B6F" w:rsidRPr="009F1497" w:rsidRDefault="00686B6F" w:rsidP="004B2723">
      <w:pPr>
        <w:pStyle w:val="Paragraphedeliste"/>
        <w:numPr>
          <w:ilvl w:val="0"/>
          <w:numId w:val="12"/>
        </w:numPr>
        <w:spacing w:after="160" w:line="240" w:lineRule="auto"/>
        <w:jc w:val="both"/>
        <w:rPr>
          <w:rFonts w:ascii="Arial" w:hAnsi="Arial" w:cs="Arial"/>
          <w:sz w:val="20"/>
          <w:szCs w:val="20"/>
          <w:lang w:val="en-GB"/>
        </w:rPr>
      </w:pPr>
      <w:r w:rsidRPr="009F1497">
        <w:rPr>
          <w:rFonts w:ascii="Arial" w:hAnsi="Arial" w:cs="Arial"/>
          <w:sz w:val="20"/>
          <w:szCs w:val="20"/>
          <w:lang w:val="en-GB"/>
        </w:rPr>
        <w:lastRenderedPageBreak/>
        <w:t>SAR (sodium adsorption ratio) = Na</w:t>
      </w:r>
      <w:r w:rsidRPr="009F1497">
        <w:rPr>
          <w:rFonts w:ascii="Cambria Math" w:hAnsi="Cambria Math" w:cs="Cambria Math"/>
          <w:sz w:val="20"/>
          <w:szCs w:val="20"/>
          <w:lang w:val="en-GB"/>
        </w:rPr>
        <w:t>⁺</w:t>
      </w:r>
      <w:r w:rsidRPr="009F1497">
        <w:rPr>
          <w:rFonts w:ascii="Arial" w:hAnsi="Arial" w:cs="Arial"/>
          <w:sz w:val="20"/>
          <w:szCs w:val="20"/>
          <w:lang w:val="en-GB"/>
        </w:rPr>
        <w:t xml:space="preserve"> / √[(Ca²</w:t>
      </w:r>
      <w:r w:rsidRPr="009F1497">
        <w:rPr>
          <w:rFonts w:ascii="Cambria Math" w:hAnsi="Cambria Math" w:cs="Cambria Math"/>
          <w:sz w:val="20"/>
          <w:szCs w:val="20"/>
          <w:lang w:val="en-GB"/>
        </w:rPr>
        <w:t>⁺</w:t>
      </w:r>
      <w:r w:rsidRPr="009F1497">
        <w:rPr>
          <w:rFonts w:ascii="Arial" w:hAnsi="Arial" w:cs="Arial"/>
          <w:sz w:val="20"/>
          <w:szCs w:val="20"/>
          <w:lang w:val="en-GB"/>
        </w:rPr>
        <w:t xml:space="preserve"> + Mg²</w:t>
      </w:r>
      <w:r w:rsidRPr="009F1497">
        <w:rPr>
          <w:rFonts w:ascii="Cambria Math" w:hAnsi="Cambria Math" w:cs="Cambria Math"/>
          <w:sz w:val="20"/>
          <w:szCs w:val="20"/>
          <w:lang w:val="en-GB"/>
        </w:rPr>
        <w:t>⁺</w:t>
      </w:r>
      <w:r w:rsidRPr="009F1497">
        <w:rPr>
          <w:rFonts w:ascii="Arial" w:hAnsi="Arial" w:cs="Arial"/>
          <w:sz w:val="20"/>
          <w:szCs w:val="20"/>
          <w:lang w:val="en-GB"/>
        </w:rPr>
        <w:t>)/2]</w:t>
      </w:r>
    </w:p>
    <w:p w14:paraId="0E6C553E" w14:textId="77777777" w:rsidR="00686B6F" w:rsidRPr="009F1497" w:rsidRDefault="00686B6F" w:rsidP="004B2723">
      <w:pPr>
        <w:pStyle w:val="Paragraphedeliste"/>
        <w:numPr>
          <w:ilvl w:val="0"/>
          <w:numId w:val="12"/>
        </w:numPr>
        <w:spacing w:after="160" w:line="240" w:lineRule="auto"/>
        <w:jc w:val="both"/>
        <w:rPr>
          <w:rFonts w:ascii="Arial" w:hAnsi="Arial" w:cs="Arial"/>
          <w:sz w:val="20"/>
          <w:szCs w:val="20"/>
          <w:lang w:val="en-GB"/>
        </w:rPr>
      </w:pPr>
      <w:r w:rsidRPr="009F1497">
        <w:rPr>
          <w:rFonts w:ascii="Arial" w:hAnsi="Arial" w:cs="Arial"/>
          <w:sz w:val="20"/>
          <w:szCs w:val="20"/>
          <w:lang w:val="en-GB"/>
        </w:rPr>
        <w:t>%Na (soluble sodium percentage) = [(Na</w:t>
      </w:r>
      <w:r w:rsidRPr="009F1497">
        <w:rPr>
          <w:rFonts w:ascii="Cambria Math" w:hAnsi="Cambria Math" w:cs="Cambria Math"/>
          <w:sz w:val="20"/>
          <w:szCs w:val="20"/>
          <w:lang w:val="en-GB"/>
        </w:rPr>
        <w:t>⁺</w:t>
      </w:r>
      <w:r w:rsidRPr="009F1497">
        <w:rPr>
          <w:rFonts w:ascii="Arial" w:hAnsi="Arial" w:cs="Arial"/>
          <w:sz w:val="20"/>
          <w:szCs w:val="20"/>
          <w:lang w:val="en-GB"/>
        </w:rPr>
        <w:t xml:space="preserve"> + K</w:t>
      </w:r>
      <w:r w:rsidRPr="009F1497">
        <w:rPr>
          <w:rFonts w:ascii="Cambria Math" w:hAnsi="Cambria Math" w:cs="Cambria Math"/>
          <w:sz w:val="20"/>
          <w:szCs w:val="20"/>
          <w:lang w:val="en-GB"/>
        </w:rPr>
        <w:t>⁺</w:t>
      </w:r>
      <w:r w:rsidRPr="009F1497">
        <w:rPr>
          <w:rFonts w:ascii="Arial" w:hAnsi="Arial" w:cs="Arial"/>
          <w:sz w:val="20"/>
          <w:szCs w:val="20"/>
          <w:lang w:val="en-GB"/>
        </w:rPr>
        <w:t>) / (Ca²</w:t>
      </w:r>
      <w:r w:rsidRPr="009F1497">
        <w:rPr>
          <w:rFonts w:ascii="Cambria Math" w:hAnsi="Cambria Math" w:cs="Cambria Math"/>
          <w:sz w:val="20"/>
          <w:szCs w:val="20"/>
          <w:lang w:val="en-GB"/>
        </w:rPr>
        <w:t>⁺</w:t>
      </w:r>
      <w:r w:rsidRPr="009F1497">
        <w:rPr>
          <w:rFonts w:ascii="Arial" w:hAnsi="Arial" w:cs="Arial"/>
          <w:sz w:val="20"/>
          <w:szCs w:val="20"/>
          <w:lang w:val="en-GB"/>
        </w:rPr>
        <w:t xml:space="preserve"> + Mg²</w:t>
      </w:r>
      <w:r w:rsidRPr="009F1497">
        <w:rPr>
          <w:rFonts w:ascii="Cambria Math" w:hAnsi="Cambria Math" w:cs="Cambria Math"/>
          <w:sz w:val="20"/>
          <w:szCs w:val="20"/>
          <w:lang w:val="en-GB"/>
        </w:rPr>
        <w:t>⁺</w:t>
      </w:r>
      <w:r w:rsidRPr="009F1497">
        <w:rPr>
          <w:rFonts w:ascii="Arial" w:hAnsi="Arial" w:cs="Arial"/>
          <w:sz w:val="20"/>
          <w:szCs w:val="20"/>
          <w:lang w:val="en-GB"/>
        </w:rPr>
        <w:t xml:space="preserve"> + Na</w:t>
      </w:r>
      <w:r w:rsidRPr="009F1497">
        <w:rPr>
          <w:rFonts w:ascii="Cambria Math" w:hAnsi="Cambria Math" w:cs="Cambria Math"/>
          <w:sz w:val="20"/>
          <w:szCs w:val="20"/>
          <w:lang w:val="en-GB"/>
        </w:rPr>
        <w:t>⁺</w:t>
      </w:r>
      <w:r w:rsidRPr="009F1497">
        <w:rPr>
          <w:rFonts w:ascii="Arial" w:hAnsi="Arial" w:cs="Arial"/>
          <w:sz w:val="20"/>
          <w:szCs w:val="20"/>
          <w:lang w:val="en-GB"/>
        </w:rPr>
        <w:t xml:space="preserve"> + K</w:t>
      </w:r>
      <w:r w:rsidRPr="009F1497">
        <w:rPr>
          <w:rFonts w:ascii="Cambria Math" w:hAnsi="Cambria Math" w:cs="Cambria Math"/>
          <w:sz w:val="20"/>
          <w:szCs w:val="20"/>
          <w:lang w:val="en-GB"/>
        </w:rPr>
        <w:t>⁺</w:t>
      </w:r>
      <w:r w:rsidRPr="009F1497">
        <w:rPr>
          <w:rFonts w:ascii="Arial" w:hAnsi="Arial" w:cs="Arial"/>
          <w:sz w:val="20"/>
          <w:szCs w:val="20"/>
          <w:lang w:val="en-GB"/>
        </w:rPr>
        <w:t>)] × 100</w:t>
      </w:r>
    </w:p>
    <w:p w14:paraId="6D0EF660" w14:textId="77777777" w:rsidR="00686B6F" w:rsidRPr="009F1497" w:rsidRDefault="00686B6F" w:rsidP="004B2723">
      <w:pPr>
        <w:pStyle w:val="Paragraphedeliste"/>
        <w:numPr>
          <w:ilvl w:val="0"/>
          <w:numId w:val="12"/>
        </w:numPr>
        <w:spacing w:after="160" w:line="240" w:lineRule="auto"/>
        <w:jc w:val="both"/>
        <w:rPr>
          <w:rFonts w:ascii="Arial" w:hAnsi="Arial" w:cs="Arial"/>
          <w:sz w:val="20"/>
          <w:szCs w:val="20"/>
          <w:lang w:val="en-GB"/>
        </w:rPr>
      </w:pPr>
      <w:r w:rsidRPr="009F1497">
        <w:rPr>
          <w:rFonts w:ascii="Arial" w:hAnsi="Arial" w:cs="Arial"/>
          <w:sz w:val="20"/>
          <w:szCs w:val="20"/>
          <w:lang w:val="en-GB"/>
        </w:rPr>
        <w:t>PI (permeability index) = [(Na</w:t>
      </w:r>
      <w:r w:rsidRPr="009F1497">
        <w:rPr>
          <w:rFonts w:ascii="Cambria Math" w:hAnsi="Cambria Math" w:cs="Cambria Math"/>
          <w:sz w:val="20"/>
          <w:szCs w:val="20"/>
          <w:lang w:val="en-GB"/>
        </w:rPr>
        <w:t>⁺</w:t>
      </w:r>
      <w:r w:rsidRPr="009F1497">
        <w:rPr>
          <w:rFonts w:ascii="Arial" w:hAnsi="Arial" w:cs="Arial"/>
          <w:sz w:val="20"/>
          <w:szCs w:val="20"/>
          <w:lang w:val="en-GB"/>
        </w:rPr>
        <w:t xml:space="preserve"> + √HCO</w:t>
      </w:r>
      <w:r w:rsidRPr="009F1497">
        <w:rPr>
          <w:rFonts w:ascii="Cambria Math" w:hAnsi="Cambria Math" w:cs="Cambria Math"/>
          <w:sz w:val="20"/>
          <w:szCs w:val="20"/>
          <w:lang w:val="en-GB"/>
        </w:rPr>
        <w:t>₃⁻</w:t>
      </w:r>
      <w:r w:rsidRPr="009F1497">
        <w:rPr>
          <w:rFonts w:ascii="Arial" w:hAnsi="Arial" w:cs="Arial"/>
          <w:sz w:val="20"/>
          <w:szCs w:val="20"/>
          <w:lang w:val="en-GB"/>
        </w:rPr>
        <w:t>) / (Ca²</w:t>
      </w:r>
      <w:r w:rsidRPr="009F1497">
        <w:rPr>
          <w:rFonts w:ascii="Cambria Math" w:hAnsi="Cambria Math" w:cs="Cambria Math"/>
          <w:sz w:val="20"/>
          <w:szCs w:val="20"/>
          <w:lang w:val="en-GB"/>
        </w:rPr>
        <w:t>⁺</w:t>
      </w:r>
      <w:r w:rsidRPr="009F1497">
        <w:rPr>
          <w:rFonts w:ascii="Arial" w:hAnsi="Arial" w:cs="Arial"/>
          <w:sz w:val="20"/>
          <w:szCs w:val="20"/>
          <w:lang w:val="en-GB"/>
        </w:rPr>
        <w:t xml:space="preserve"> + Mg²</w:t>
      </w:r>
      <w:r w:rsidRPr="009F1497">
        <w:rPr>
          <w:rFonts w:ascii="Cambria Math" w:hAnsi="Cambria Math" w:cs="Cambria Math"/>
          <w:sz w:val="20"/>
          <w:szCs w:val="20"/>
          <w:lang w:val="en-GB"/>
        </w:rPr>
        <w:t>⁺</w:t>
      </w:r>
      <w:r w:rsidRPr="009F1497">
        <w:rPr>
          <w:rFonts w:ascii="Arial" w:hAnsi="Arial" w:cs="Arial"/>
          <w:sz w:val="20"/>
          <w:szCs w:val="20"/>
          <w:lang w:val="en-GB"/>
        </w:rPr>
        <w:t xml:space="preserve"> + Na</w:t>
      </w:r>
      <w:r w:rsidRPr="009F1497">
        <w:rPr>
          <w:rFonts w:ascii="Cambria Math" w:hAnsi="Cambria Math" w:cs="Cambria Math"/>
          <w:sz w:val="20"/>
          <w:szCs w:val="20"/>
          <w:lang w:val="en-GB"/>
        </w:rPr>
        <w:t>⁺</w:t>
      </w:r>
      <w:r w:rsidRPr="009F1497">
        <w:rPr>
          <w:rFonts w:ascii="Arial" w:hAnsi="Arial" w:cs="Arial"/>
          <w:sz w:val="20"/>
          <w:szCs w:val="20"/>
          <w:lang w:val="en-GB"/>
        </w:rPr>
        <w:t>)] × 100</w:t>
      </w:r>
    </w:p>
    <w:p w14:paraId="720EAC52" w14:textId="4835A93D" w:rsidR="00686B6F" w:rsidRPr="009F1497" w:rsidRDefault="00686B6F" w:rsidP="004B2723">
      <w:pPr>
        <w:pStyle w:val="Paragraphedeliste"/>
        <w:numPr>
          <w:ilvl w:val="0"/>
          <w:numId w:val="12"/>
        </w:numPr>
        <w:spacing w:after="160" w:line="240" w:lineRule="auto"/>
        <w:jc w:val="both"/>
        <w:rPr>
          <w:rFonts w:ascii="Arial" w:hAnsi="Arial" w:cs="Arial"/>
          <w:sz w:val="20"/>
          <w:szCs w:val="20"/>
          <w:lang w:val="en-GB"/>
        </w:rPr>
      </w:pPr>
      <w:r w:rsidRPr="009F1497">
        <w:rPr>
          <w:rFonts w:ascii="Arial" w:hAnsi="Arial" w:cs="Arial"/>
          <w:sz w:val="20"/>
          <w:szCs w:val="20"/>
          <w:lang w:val="en-GB"/>
        </w:rPr>
        <w:t>MAR (magnesium adsorption ratio) = [Mg²</w:t>
      </w:r>
      <w:r w:rsidRPr="009F1497">
        <w:rPr>
          <w:rFonts w:ascii="Cambria Math" w:hAnsi="Cambria Math" w:cs="Cambria Math"/>
          <w:sz w:val="20"/>
          <w:szCs w:val="20"/>
          <w:lang w:val="en-GB"/>
        </w:rPr>
        <w:t>⁺</w:t>
      </w:r>
      <w:r w:rsidRPr="009F1497">
        <w:rPr>
          <w:rFonts w:ascii="Arial" w:hAnsi="Arial" w:cs="Arial"/>
          <w:sz w:val="20"/>
          <w:szCs w:val="20"/>
          <w:lang w:val="en-GB"/>
        </w:rPr>
        <w:t xml:space="preserve"> / (Ca²</w:t>
      </w:r>
      <w:r w:rsidRPr="009F1497">
        <w:rPr>
          <w:rFonts w:ascii="Cambria Math" w:hAnsi="Cambria Math" w:cs="Cambria Math"/>
          <w:sz w:val="20"/>
          <w:szCs w:val="20"/>
          <w:lang w:val="en-GB"/>
        </w:rPr>
        <w:t>⁺</w:t>
      </w:r>
      <w:r w:rsidRPr="009F1497">
        <w:rPr>
          <w:rFonts w:ascii="Arial" w:hAnsi="Arial" w:cs="Arial"/>
          <w:sz w:val="20"/>
          <w:szCs w:val="20"/>
          <w:lang w:val="en-GB"/>
        </w:rPr>
        <w:t xml:space="preserve"> + Mg²</w:t>
      </w:r>
      <w:r w:rsidRPr="009F1497">
        <w:rPr>
          <w:rFonts w:ascii="Cambria Math" w:hAnsi="Cambria Math" w:cs="Cambria Math"/>
          <w:sz w:val="20"/>
          <w:szCs w:val="20"/>
          <w:lang w:val="en-GB"/>
        </w:rPr>
        <w:t>⁺</w:t>
      </w:r>
      <w:r w:rsidRPr="009F1497">
        <w:rPr>
          <w:rFonts w:ascii="Arial" w:hAnsi="Arial" w:cs="Arial"/>
          <w:sz w:val="20"/>
          <w:szCs w:val="20"/>
          <w:lang w:val="en-GB"/>
        </w:rPr>
        <w:t>)] × 100</w:t>
      </w:r>
    </w:p>
    <w:p w14:paraId="37F5B1E9" w14:textId="7FAFED88" w:rsidR="00686B6F" w:rsidRPr="009F1497" w:rsidRDefault="00686B6F" w:rsidP="004B2723">
      <w:pPr>
        <w:pStyle w:val="Paragraphedeliste"/>
        <w:numPr>
          <w:ilvl w:val="0"/>
          <w:numId w:val="12"/>
        </w:numPr>
        <w:spacing w:after="160" w:line="240" w:lineRule="auto"/>
        <w:jc w:val="both"/>
        <w:rPr>
          <w:rFonts w:ascii="Arial" w:hAnsi="Arial" w:cs="Arial"/>
          <w:sz w:val="20"/>
          <w:szCs w:val="20"/>
          <w:lang w:val="en-GB"/>
        </w:rPr>
      </w:pPr>
      <w:r w:rsidRPr="009F1497">
        <w:rPr>
          <w:rFonts w:ascii="Arial" w:hAnsi="Arial" w:cs="Arial"/>
          <w:sz w:val="20"/>
          <w:szCs w:val="20"/>
          <w:lang w:val="en-GB"/>
        </w:rPr>
        <w:t>KR (Kelly’s ratio) = Na</w:t>
      </w:r>
      <w:r w:rsidRPr="009F1497">
        <w:rPr>
          <w:rFonts w:ascii="Cambria Math" w:hAnsi="Cambria Math" w:cs="Cambria Math"/>
          <w:sz w:val="20"/>
          <w:szCs w:val="20"/>
          <w:lang w:val="en-GB"/>
        </w:rPr>
        <w:t>⁺</w:t>
      </w:r>
      <w:r w:rsidRPr="009F1497">
        <w:rPr>
          <w:rFonts w:ascii="Arial" w:hAnsi="Arial" w:cs="Arial"/>
          <w:sz w:val="20"/>
          <w:szCs w:val="20"/>
          <w:lang w:val="en-GB"/>
        </w:rPr>
        <w:t xml:space="preserve"> / (Ca²</w:t>
      </w:r>
      <w:r w:rsidRPr="009F1497">
        <w:rPr>
          <w:rFonts w:ascii="Cambria Math" w:hAnsi="Cambria Math" w:cs="Cambria Math"/>
          <w:sz w:val="20"/>
          <w:szCs w:val="20"/>
          <w:lang w:val="en-GB"/>
        </w:rPr>
        <w:t>⁺</w:t>
      </w:r>
      <w:r w:rsidRPr="009F1497">
        <w:rPr>
          <w:rFonts w:ascii="Arial" w:hAnsi="Arial" w:cs="Arial"/>
          <w:sz w:val="20"/>
          <w:szCs w:val="20"/>
          <w:lang w:val="en-GB"/>
        </w:rPr>
        <w:t xml:space="preserve"> + Mg²</w:t>
      </w:r>
      <w:r w:rsidRPr="009F1497">
        <w:rPr>
          <w:rFonts w:ascii="Cambria Math" w:hAnsi="Cambria Math" w:cs="Cambria Math"/>
          <w:sz w:val="20"/>
          <w:szCs w:val="20"/>
          <w:lang w:val="en-GB"/>
        </w:rPr>
        <w:t>⁺</w:t>
      </w:r>
      <w:r w:rsidRPr="009F1497">
        <w:rPr>
          <w:rFonts w:ascii="Arial" w:hAnsi="Arial" w:cs="Arial"/>
          <w:sz w:val="20"/>
          <w:szCs w:val="20"/>
          <w:lang w:val="en-GB"/>
        </w:rPr>
        <w:t>)</w:t>
      </w:r>
    </w:p>
    <w:p w14:paraId="48BA92B8" w14:textId="3E490F51" w:rsidR="007C3B6A" w:rsidRDefault="00686B6F" w:rsidP="007C3B6A">
      <w:pPr>
        <w:spacing w:after="160" w:line="240" w:lineRule="auto"/>
        <w:jc w:val="both"/>
        <w:rPr>
          <w:rFonts w:ascii="Arial" w:hAnsi="Arial" w:cs="Arial"/>
          <w:sz w:val="20"/>
          <w:szCs w:val="20"/>
          <w:lang w:val="en-GB"/>
        </w:rPr>
      </w:pPr>
      <w:r w:rsidRPr="009F1497">
        <w:rPr>
          <w:rFonts w:ascii="Arial" w:hAnsi="Arial" w:cs="Arial"/>
          <w:sz w:val="20"/>
          <w:szCs w:val="20"/>
          <w:lang w:val="en-GB"/>
        </w:rPr>
        <w:t xml:space="preserve">Overall water classification was performed using the Wilcox diagram (%Na versus EC) to evaluate irrigation-water quality and the USSL/Riverside diagram (SAR versus EC) to characterize the combined salinity–sodicity hazard. </w:t>
      </w:r>
      <w:r w:rsidR="00ED64B5" w:rsidRPr="00ED64B5">
        <w:rPr>
          <w:rFonts w:ascii="Arial" w:hAnsi="Arial" w:cs="Arial"/>
          <w:sz w:val="20"/>
          <w:szCs w:val="20"/>
          <w:lang w:val="en-GB"/>
        </w:rPr>
        <w:t>The resulting values were interpreted by comparison with recent irrigation-water suitability studies and internationally recognised benchmarks for agricultural reuse, with particular attention to EC, TDS, Na</w:t>
      </w:r>
      <w:r w:rsidR="00ED64B5" w:rsidRPr="00ED64B5">
        <w:rPr>
          <w:rFonts w:ascii="Cambria Math" w:hAnsi="Cambria Math" w:cs="Cambria Math"/>
          <w:sz w:val="20"/>
          <w:szCs w:val="20"/>
          <w:lang w:val="en-GB"/>
        </w:rPr>
        <w:t>⁺</w:t>
      </w:r>
      <w:r w:rsidR="00ED64B5" w:rsidRPr="00ED64B5">
        <w:rPr>
          <w:rFonts w:ascii="Arial" w:hAnsi="Arial" w:cs="Arial"/>
          <w:sz w:val="20"/>
          <w:szCs w:val="20"/>
          <w:lang w:val="en-GB"/>
        </w:rPr>
        <w:t>, Cl</w:t>
      </w:r>
      <w:r w:rsidR="00ED64B5" w:rsidRPr="00ED64B5">
        <w:rPr>
          <w:rFonts w:ascii="Cambria Math" w:hAnsi="Cambria Math" w:cs="Cambria Math"/>
          <w:sz w:val="20"/>
          <w:szCs w:val="20"/>
          <w:lang w:val="en-GB"/>
        </w:rPr>
        <w:t>⁻</w:t>
      </w:r>
      <w:r w:rsidR="00ED64B5" w:rsidRPr="00ED64B5">
        <w:rPr>
          <w:rFonts w:ascii="Arial" w:hAnsi="Arial" w:cs="Arial"/>
          <w:sz w:val="20"/>
          <w:szCs w:val="20"/>
          <w:lang w:val="en-GB"/>
        </w:rPr>
        <w:t>, SAR, %Na, PI, MAR and Kelly’s ratio (Vranešević et al., 2024; Ben Driss et al., 2024).</w:t>
      </w:r>
      <w:r w:rsidRPr="009F1497">
        <w:rPr>
          <w:rFonts w:ascii="Arial" w:hAnsi="Arial" w:cs="Arial"/>
          <w:sz w:val="20"/>
          <w:szCs w:val="20"/>
          <w:lang w:val="en-GB"/>
        </w:rPr>
        <w:t xml:space="preserve"> </w:t>
      </w:r>
      <w:r w:rsidR="00F8619C" w:rsidRPr="00F8619C">
        <w:rPr>
          <w:rFonts w:ascii="Arial" w:hAnsi="Arial" w:cs="Arial"/>
          <w:sz w:val="20"/>
          <w:szCs w:val="20"/>
          <w:lang w:val="en-GB"/>
        </w:rPr>
        <w:t>The irrigation-water classification framework was interpreted in light of recent reviews on irrigation water quality indicators and management tools, including the Wilcox and U.S. Salinity Laboratory diagrams (Anyango et al., 2024)</w:t>
      </w:r>
      <w:r w:rsidR="00F8619C">
        <w:rPr>
          <w:rFonts w:ascii="Arial" w:hAnsi="Arial" w:cs="Arial"/>
          <w:sz w:val="20"/>
          <w:szCs w:val="20"/>
          <w:lang w:val="en-GB"/>
        </w:rPr>
        <w:t xml:space="preserve"> (</w:t>
      </w:r>
      <w:r w:rsidR="00251455" w:rsidRPr="00251455">
        <w:rPr>
          <w:rFonts w:ascii="Arial" w:hAnsi="Arial" w:cs="Arial"/>
          <w:sz w:val="20"/>
          <w:szCs w:val="20"/>
          <w:lang w:val="en-GB"/>
        </w:rPr>
        <w:t>Fig. 2</w:t>
      </w:r>
      <w:r w:rsidR="00F8619C">
        <w:rPr>
          <w:rFonts w:ascii="Arial" w:hAnsi="Arial" w:cs="Arial"/>
          <w:sz w:val="20"/>
          <w:szCs w:val="20"/>
          <w:lang w:val="en-GB"/>
        </w:rPr>
        <w:t>)</w:t>
      </w:r>
      <w:r w:rsidR="00251455" w:rsidRPr="00251455">
        <w:rPr>
          <w:rFonts w:ascii="Arial" w:hAnsi="Arial" w:cs="Arial"/>
          <w:sz w:val="20"/>
          <w:szCs w:val="20"/>
          <w:lang w:val="en-GB"/>
        </w:rPr>
        <w:t>.</w:t>
      </w:r>
      <w:r w:rsidRPr="009F1497">
        <w:rPr>
          <w:rFonts w:ascii="Arial" w:hAnsi="Arial" w:cs="Arial"/>
          <w:sz w:val="20"/>
          <w:szCs w:val="20"/>
          <w:lang w:val="en-GB"/>
        </w:rPr>
        <w:t>)</w:t>
      </w:r>
      <w:r w:rsidR="005A00DE" w:rsidRPr="005A00DE">
        <w:rPr>
          <w:rFonts w:ascii="Arial" w:hAnsi="Arial" w:cs="Arial"/>
          <w:sz w:val="20"/>
          <w:szCs w:val="20"/>
          <w:lang w:val="en-GB"/>
        </w:rPr>
        <w:t xml:space="preserve"> </w:t>
      </w:r>
    </w:p>
    <w:p w14:paraId="4530269F" w14:textId="45D030E2" w:rsidR="007C3B6A" w:rsidRDefault="007C3B6A" w:rsidP="007C3B6A">
      <w:pPr>
        <w:spacing w:after="160" w:line="240" w:lineRule="auto"/>
        <w:jc w:val="both"/>
        <w:rPr>
          <w:rFonts w:ascii="Arial" w:hAnsi="Arial" w:cs="Arial"/>
          <w:sz w:val="20"/>
          <w:szCs w:val="20"/>
          <w:lang w:val="en-GB"/>
        </w:rPr>
      </w:pPr>
      <w:r>
        <w:rPr>
          <w:rFonts w:ascii="Arial" w:hAnsi="Arial" w:cs="Arial"/>
          <w:noProof/>
          <w:sz w:val="20"/>
          <w:szCs w:val="20"/>
          <w:lang w:val="en-GB"/>
        </w:rPr>
        <w:drawing>
          <wp:inline distT="0" distB="0" distL="0" distR="0" wp14:anchorId="4A9A0542" wp14:editId="528AB5E9">
            <wp:extent cx="5613400" cy="4324350"/>
            <wp:effectExtent l="0" t="0" r="635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3400" cy="4324350"/>
                    </a:xfrm>
                    <a:prstGeom prst="rect">
                      <a:avLst/>
                    </a:prstGeom>
                    <a:noFill/>
                  </pic:spPr>
                </pic:pic>
              </a:graphicData>
            </a:graphic>
          </wp:inline>
        </w:drawing>
      </w:r>
    </w:p>
    <w:p w14:paraId="0364FD1D" w14:textId="310CCDF8" w:rsidR="00686B6F" w:rsidRPr="009F1497" w:rsidRDefault="00B63E57" w:rsidP="00D62D3D">
      <w:pPr>
        <w:tabs>
          <w:tab w:val="center" w:pos="4536"/>
        </w:tabs>
        <w:spacing w:line="240" w:lineRule="auto"/>
        <w:rPr>
          <w:rFonts w:ascii="Arial" w:hAnsi="Arial" w:cs="Arial"/>
          <w:noProof/>
          <w:sz w:val="20"/>
          <w:szCs w:val="20"/>
          <w:lang w:val="en-GB"/>
        </w:rPr>
      </w:pPr>
      <w:r>
        <w:rPr>
          <w:rFonts w:ascii="Arial" w:hAnsi="Arial" w:cs="Arial"/>
          <w:noProof/>
          <w:sz w:val="20"/>
          <w:szCs w:val="20"/>
          <w:lang w:val="en-GB"/>
        </w:rPr>
        <mc:AlternateContent>
          <mc:Choice Requires="wps">
            <w:drawing>
              <wp:anchor distT="0" distB="0" distL="114300" distR="114300" simplePos="0" relativeHeight="251653120" behindDoc="0" locked="0" layoutInCell="1" allowOverlap="1" wp14:anchorId="3EE8683C" wp14:editId="2E7191B3">
                <wp:simplePos x="0" y="0"/>
                <wp:positionH relativeFrom="column">
                  <wp:posOffset>504976</wp:posOffset>
                </wp:positionH>
                <wp:positionV relativeFrom="paragraph">
                  <wp:posOffset>4487695</wp:posOffset>
                </wp:positionV>
                <wp:extent cx="1696661" cy="232469"/>
                <wp:effectExtent l="0" t="0" r="18415" b="15240"/>
                <wp:wrapNone/>
                <wp:docPr id="20" name="Zone de texte 20"/>
                <wp:cNvGraphicFramePr/>
                <a:graphic xmlns:a="http://schemas.openxmlformats.org/drawingml/2006/main">
                  <a:graphicData uri="http://schemas.microsoft.com/office/word/2010/wordprocessingShape">
                    <wps:wsp>
                      <wps:cNvSpPr txBox="1"/>
                      <wps:spPr>
                        <a:xfrm>
                          <a:off x="0" y="0"/>
                          <a:ext cx="1696661" cy="232469"/>
                        </a:xfrm>
                        <a:prstGeom prst="rect">
                          <a:avLst/>
                        </a:prstGeom>
                        <a:solidFill>
                          <a:schemeClr val="lt1"/>
                        </a:solidFill>
                        <a:ln w="6350">
                          <a:solidFill>
                            <a:schemeClr val="bg1"/>
                          </a:solidFill>
                        </a:ln>
                      </wps:spPr>
                      <wps:txbx>
                        <w:txbxContent>
                          <w:p w14:paraId="3FA4F461" w14:textId="7B720CFA" w:rsidR="00B63E57" w:rsidRPr="00D42DFB" w:rsidRDefault="00B63E57">
                            <w:pPr>
                              <w:rPr>
                                <w:sz w:val="20"/>
                                <w:szCs w:val="20"/>
                              </w:rPr>
                            </w:pPr>
                            <w:r w:rsidRPr="00D42DFB">
                              <w:rPr>
                                <w:rFonts w:ascii="Times New Roman" w:hAnsi="Times New Roman" w:cs="Times New Roman"/>
                                <w:sz w:val="20"/>
                                <w:szCs w:val="20"/>
                              </w:rPr>
                              <w:t xml:space="preserve">   Salinity hazard</w:t>
                            </w:r>
                            <w:r w:rsidR="00D42DFB">
                              <w:rPr>
                                <w:rFonts w:ascii="Times New Roman" w:hAnsi="Times New Roman" w:cs="Times New Roman"/>
                                <w:sz w:val="20"/>
                                <w:szCs w:val="20"/>
                              </w:rPr>
                              <w:t xml:space="preserve"> CE (µS/cm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8683C" id="Zone de texte 20" o:spid="_x0000_s1031" type="#_x0000_t202" style="position:absolute;margin-left:39.75pt;margin-top:353.35pt;width:133.6pt;height:18.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P86UAIAAK8EAAAOAAAAZHJzL2Uyb0RvYy54bWysVFFv2jAQfp+0/2D5fQQozUZEqBgV0yTU&#10;VqJTpb0ZxyaRHJ9nGxL263d2CNCuT9NenLPv/Pnu++4yu2trRQ7Cugp0TkeDISVCcygqvcvpj+fV&#10;py+UOM90wRRokdOjcPRu/vHDrDGZGEMJqhCWIIh2WWNyWnpvsiRxvBQ1cwMwQqNTgq2Zx63dJYVl&#10;DaLXKhkPh2nSgC2MBS6cw9P7zknnEV9Kwf2jlE54onKKufm42rhuw5rMZyzbWWbKip/SYP+QRc0q&#10;jY+eoe6ZZ2Rvq7+g6opbcCD9gEOdgJQVF7EGrGY0fFPNpmRGxFqQHGfONLn/B8sfDk+WVEVOx0iP&#10;ZjVq9BOVIoUgXrReEDxHkhrjMozdGIz27VdoUez+3OFhqL2Vtg5frIqgH/GOZ4oRivBwKZ2maTqi&#10;hKNvfDOepNMAk1xuG+v8NwE1CUZOLUoYmWWHtfNdaB8SHnOgqmJVKRU3oW3EUllyYCi48jFHBH8V&#10;pTRpcpre3A4j8CtfbLwLwnb3DgLiKY05B0662oPl220biZz0vGyhOCJdFrquc4avKqxpzZx/Yhbb&#10;DBnC0fGPuEgFmBOcLEpKsL/fOw/xqD56KWmwbXPqfu2ZFZSo7xr7YjqaTEKfx83k9nNQ1V57ttce&#10;va+XgEShHphdNEO8V70pLdQvOGGL8Cq6mOb4dk59by59N0w4oVwsFjEIO9swv9YbwwN0ECYo9ty+&#10;MGtOsobeeoC+wVn2Rt0uNtzUsNh7kFWUPvDcsXqiH6ciNs9pgsPYXe9j1OU/M/8DAAD//wMAUEsD&#10;BBQABgAIAAAAIQBZYio53gAAAAoBAAAPAAAAZHJzL2Rvd25yZXYueG1sTI9PS8NAEMXvgt9hGcGb&#10;3WhiW2M2JSgiWEGsXrxNs2MSzM6G7LZNv73Tk57m3+O93xSryfVqT2PoPBu4niWgiGtvO24MfH48&#10;XS1BhYhssfdMBo4UYFWenxWYW3/gd9pvYqPEhEOOBtoYh1zrULfkMMz8QCy3bz86jDKOjbYjHsTc&#10;9fomSebaYceS0OJADy3VP5udM/CSfeFjGtd0jDy9VdXzcsjCqzGXF1N1DyrSFP/EcMIXdCiFaet3&#10;bIPqDSzubkUpNZkvQIkgzU7NVjZZmoIuC/3/hfIXAAD//wMAUEsBAi0AFAAGAAgAAAAhALaDOJL+&#10;AAAA4QEAABMAAAAAAAAAAAAAAAAAAAAAAFtDb250ZW50X1R5cGVzXS54bWxQSwECLQAUAAYACAAA&#10;ACEAOP0h/9YAAACUAQAACwAAAAAAAAAAAAAAAAAvAQAAX3JlbHMvLnJlbHNQSwECLQAUAAYACAAA&#10;ACEAB7D/OlACAACvBAAADgAAAAAAAAAAAAAAAAAuAgAAZHJzL2Uyb0RvYy54bWxQSwECLQAUAAYA&#10;CAAAACEAWWIqOd4AAAAKAQAADwAAAAAAAAAAAAAAAACqBAAAZHJzL2Rvd25yZXYueG1sUEsFBgAA&#10;AAAEAAQA8wAAALUFAAAAAA==&#10;" fillcolor="white [3201]" strokecolor="white [3212]" strokeweight=".5pt">
                <v:textbox>
                  <w:txbxContent>
                    <w:p w14:paraId="3FA4F461" w14:textId="7B720CFA" w:rsidR="00B63E57" w:rsidRPr="00D42DFB" w:rsidRDefault="00B63E57">
                      <w:pPr>
                        <w:rPr>
                          <w:sz w:val="20"/>
                          <w:szCs w:val="20"/>
                        </w:rPr>
                      </w:pPr>
                      <w:r w:rsidRPr="00D42DFB">
                        <w:rPr>
                          <w:rFonts w:ascii="Times New Roman" w:hAnsi="Times New Roman" w:cs="Times New Roman"/>
                          <w:sz w:val="20"/>
                          <w:szCs w:val="20"/>
                        </w:rPr>
                        <w:t xml:space="preserve">   Salinity hazard</w:t>
                      </w:r>
                      <w:r w:rsidR="00D42DFB">
                        <w:rPr>
                          <w:rFonts w:ascii="Times New Roman" w:hAnsi="Times New Roman" w:cs="Times New Roman"/>
                          <w:sz w:val="20"/>
                          <w:szCs w:val="20"/>
                        </w:rPr>
                        <w:t xml:space="preserve"> CE (µS/cm</w:t>
                      </w:r>
                    </w:p>
                  </w:txbxContent>
                </v:textbox>
              </v:shape>
            </w:pict>
          </mc:Fallback>
        </mc:AlternateContent>
      </w:r>
      <w:r w:rsidR="00686B6F" w:rsidRPr="009F1497">
        <w:rPr>
          <w:rFonts w:ascii="Arial" w:hAnsi="Arial" w:cs="Arial"/>
          <w:sz w:val="20"/>
          <w:szCs w:val="20"/>
          <w:lang w:val="en-GB"/>
        </w:rPr>
        <w:t>Fig</w:t>
      </w:r>
      <w:r w:rsidR="009602D4">
        <w:rPr>
          <w:rFonts w:ascii="Arial" w:hAnsi="Arial" w:cs="Arial"/>
          <w:sz w:val="20"/>
          <w:szCs w:val="20"/>
          <w:lang w:val="en-GB"/>
        </w:rPr>
        <w:t>.</w:t>
      </w:r>
      <w:r w:rsidR="00477B39">
        <w:rPr>
          <w:rFonts w:ascii="Arial" w:hAnsi="Arial" w:cs="Arial"/>
          <w:sz w:val="20"/>
          <w:szCs w:val="20"/>
          <w:lang w:val="en-GB"/>
        </w:rPr>
        <w:t xml:space="preserve"> </w:t>
      </w:r>
      <w:r w:rsidR="00686B6F" w:rsidRPr="009F1497">
        <w:rPr>
          <w:rFonts w:ascii="Arial" w:hAnsi="Arial" w:cs="Arial"/>
          <w:sz w:val="20"/>
          <w:szCs w:val="20"/>
          <w:lang w:val="en-GB"/>
        </w:rPr>
        <w:t>2</w:t>
      </w:r>
      <w:r w:rsidR="00477B39">
        <w:rPr>
          <w:rFonts w:ascii="Arial" w:hAnsi="Arial" w:cs="Arial"/>
          <w:sz w:val="20"/>
          <w:szCs w:val="20"/>
          <w:lang w:val="en-GB"/>
        </w:rPr>
        <w:t>.</w:t>
      </w:r>
      <w:r w:rsidR="00686B6F" w:rsidRPr="009F1497">
        <w:rPr>
          <w:rFonts w:ascii="Arial" w:hAnsi="Arial" w:cs="Arial"/>
          <w:sz w:val="20"/>
          <w:szCs w:val="20"/>
          <w:lang w:val="en-GB"/>
        </w:rPr>
        <w:t xml:space="preserve"> Classification of irrigation suitability in the USA</w:t>
      </w:r>
    </w:p>
    <w:p w14:paraId="544EFE73" w14:textId="3F7E2FAB" w:rsidR="00686B6F" w:rsidRPr="009F1497" w:rsidRDefault="00686B6F" w:rsidP="004B2723">
      <w:pPr>
        <w:spacing w:line="240" w:lineRule="auto"/>
        <w:jc w:val="both"/>
        <w:rPr>
          <w:rFonts w:ascii="Arial" w:hAnsi="Arial" w:cs="Arial"/>
          <w:b/>
          <w:bCs/>
          <w:lang w:val="en-GB"/>
        </w:rPr>
      </w:pPr>
      <w:r w:rsidRPr="009F1497">
        <w:rPr>
          <w:rFonts w:ascii="Arial" w:hAnsi="Arial" w:cs="Arial"/>
          <w:b/>
          <w:bCs/>
          <w:lang w:val="en-GB"/>
        </w:rPr>
        <w:t>2.5 Data processing and analysis</w:t>
      </w:r>
    </w:p>
    <w:p w14:paraId="75847577" w14:textId="77777777" w:rsidR="00686B6F" w:rsidRPr="009F1497" w:rsidRDefault="00686B6F" w:rsidP="004B2723">
      <w:pPr>
        <w:spacing w:after="160" w:line="240" w:lineRule="auto"/>
        <w:jc w:val="both"/>
        <w:rPr>
          <w:rFonts w:ascii="Arial" w:hAnsi="Arial" w:cs="Arial"/>
          <w:sz w:val="20"/>
          <w:szCs w:val="20"/>
          <w:lang w:val="en-GB"/>
        </w:rPr>
      </w:pPr>
      <w:r w:rsidRPr="009F1497">
        <w:rPr>
          <w:rFonts w:ascii="Arial" w:hAnsi="Arial" w:cs="Arial"/>
          <w:sz w:val="20"/>
          <w:szCs w:val="20"/>
          <w:lang w:val="en-GB"/>
        </w:rPr>
        <w:t>Physico-chemical data were entered using Excel 2016 and summarized using descriptive statistics (mean ± standard deviation). Irrigation-suitability indices were computed from major ions after converting concentrations to meq/L based on chemical equivalents. Water classification was performed using the Riverside/USSL and Wilcox diagrams, produced with Diagramme software (v8.6, 2019). R software (version 4.5.2) was used for statistical analysis of the physico-chemical data. A one-way ANOVA, followed by a multiple mean-comparison test, at a significance level of α = 0.05 (95% confidence level), was performed to assess the significance of differences observed between sampling points.</w:t>
      </w:r>
    </w:p>
    <w:p w14:paraId="759B4173" w14:textId="3FAC31AD" w:rsidR="00686B6F" w:rsidRPr="009F1497" w:rsidRDefault="00E36CBC" w:rsidP="004B2723">
      <w:pPr>
        <w:spacing w:after="160" w:line="240" w:lineRule="auto"/>
        <w:jc w:val="both"/>
        <w:rPr>
          <w:rFonts w:ascii="Arial" w:hAnsi="Arial" w:cs="Arial"/>
          <w:b/>
          <w:bCs/>
          <w:lang w:val="en-GB"/>
        </w:rPr>
      </w:pPr>
      <w:r w:rsidRPr="009F1497">
        <w:rPr>
          <w:rFonts w:ascii="Arial" w:hAnsi="Arial" w:cs="Arial"/>
          <w:b/>
          <w:bCs/>
          <w:lang w:val="en-GB"/>
        </w:rPr>
        <w:t>3. RESULTS</w:t>
      </w:r>
    </w:p>
    <w:p w14:paraId="602AD648" w14:textId="77777777" w:rsidR="00686B6F" w:rsidRPr="009F1497" w:rsidRDefault="00686B6F" w:rsidP="004B2723">
      <w:pPr>
        <w:spacing w:after="160" w:line="240" w:lineRule="auto"/>
        <w:jc w:val="both"/>
        <w:rPr>
          <w:rFonts w:ascii="Arial" w:hAnsi="Arial" w:cs="Arial"/>
          <w:lang w:val="en-GB"/>
        </w:rPr>
      </w:pPr>
      <w:r w:rsidRPr="009F1497">
        <w:rPr>
          <w:rFonts w:ascii="Arial" w:hAnsi="Arial" w:cs="Arial"/>
          <w:b/>
          <w:bCs/>
          <w:lang w:val="en-GB"/>
        </w:rPr>
        <w:t>3.1 Salinity and ionic toxicity</w:t>
      </w:r>
    </w:p>
    <w:p w14:paraId="666B6B96" w14:textId="7B827F14" w:rsidR="00686B6F" w:rsidRPr="009F1497" w:rsidRDefault="005A00DE" w:rsidP="004B2723">
      <w:pPr>
        <w:spacing w:after="160" w:line="240" w:lineRule="auto"/>
        <w:jc w:val="both"/>
        <w:rPr>
          <w:rFonts w:ascii="Arial" w:hAnsi="Arial" w:cs="Arial"/>
          <w:sz w:val="20"/>
          <w:szCs w:val="20"/>
          <w:lang w:val="en-GB"/>
        </w:rPr>
      </w:pPr>
      <w:r>
        <w:rPr>
          <w:rFonts w:ascii="Arial" w:hAnsi="Arial" w:cs="Arial"/>
          <w:sz w:val="20"/>
          <w:szCs w:val="20"/>
          <w:lang w:val="en-GB"/>
        </w:rPr>
        <w:lastRenderedPageBreak/>
        <w:t>T</w:t>
      </w:r>
      <w:r w:rsidR="00686B6F" w:rsidRPr="009F1497">
        <w:rPr>
          <w:rFonts w:ascii="Arial" w:hAnsi="Arial" w:cs="Arial"/>
          <w:sz w:val="20"/>
          <w:szCs w:val="20"/>
          <w:lang w:val="en-GB"/>
        </w:rPr>
        <w:t>he results for salinity- and toxicity-related parameters and their variability</w:t>
      </w:r>
      <w:r>
        <w:rPr>
          <w:rFonts w:ascii="Arial" w:hAnsi="Arial" w:cs="Arial"/>
          <w:sz w:val="20"/>
          <w:szCs w:val="20"/>
          <w:lang w:val="en-GB"/>
        </w:rPr>
        <w:t xml:space="preserve"> are presented (</w:t>
      </w:r>
      <w:r w:rsidRPr="009F1497">
        <w:rPr>
          <w:rFonts w:ascii="Arial" w:hAnsi="Arial" w:cs="Arial"/>
          <w:sz w:val="20"/>
          <w:szCs w:val="20"/>
          <w:lang w:val="en-GB"/>
        </w:rPr>
        <w:t xml:space="preserve">Table </w:t>
      </w:r>
      <w:r>
        <w:rPr>
          <w:rFonts w:ascii="Arial" w:hAnsi="Arial" w:cs="Arial"/>
          <w:sz w:val="20"/>
          <w:szCs w:val="20"/>
          <w:lang w:val="en-GB"/>
        </w:rPr>
        <w:t>1)</w:t>
      </w:r>
      <w:r w:rsidR="00686B6F" w:rsidRPr="009F1497">
        <w:rPr>
          <w:rFonts w:ascii="Arial" w:hAnsi="Arial" w:cs="Arial"/>
          <w:sz w:val="20"/>
          <w:szCs w:val="20"/>
          <w:lang w:val="en-GB"/>
        </w:rPr>
        <w:t>. Electrical conductivity (EC) ranged from 398.60 ± 59.55 µS/cm (P2J1S3) to 1441.75 ± 458.79 µS/cm (P3J2S1), with a significant difference (Pr&gt;(F) = 0.00004; p &lt; 0.05). Total dissolved solids (TDS) ranged from 103.50 ± 19.53 mg/L (P1J1S3) to 392.50 ± 71.62 mg/L (P3J2S2), with a highly significant difference (Pr&gt;(F) = 0.0000003).</w:t>
      </w:r>
    </w:p>
    <w:p w14:paraId="420B34C1" w14:textId="77777777" w:rsidR="00686B6F" w:rsidRPr="009F1497" w:rsidRDefault="00686B6F" w:rsidP="004B2723">
      <w:pPr>
        <w:spacing w:after="160" w:line="240" w:lineRule="auto"/>
        <w:jc w:val="both"/>
        <w:rPr>
          <w:rFonts w:ascii="Arial" w:hAnsi="Arial" w:cs="Arial"/>
          <w:sz w:val="20"/>
          <w:szCs w:val="20"/>
          <w:lang w:val="en-GB"/>
        </w:rPr>
      </w:pPr>
      <w:r w:rsidRPr="009F1497">
        <w:rPr>
          <w:rFonts w:ascii="Arial" w:hAnsi="Arial" w:cs="Arial"/>
          <w:sz w:val="20"/>
          <w:szCs w:val="20"/>
          <w:lang w:val="en-GB"/>
        </w:rPr>
        <w:t>Regarding specific ionic toxicity, chloride (Cl</w:t>
      </w:r>
      <w:r w:rsidRPr="009F1497">
        <w:rPr>
          <w:rFonts w:ascii="Cambria Math" w:hAnsi="Cambria Math" w:cs="Cambria Math"/>
          <w:sz w:val="20"/>
          <w:szCs w:val="20"/>
          <w:lang w:val="en-GB"/>
        </w:rPr>
        <w:t>⁻</w:t>
      </w:r>
      <w:r w:rsidRPr="009F1497">
        <w:rPr>
          <w:rFonts w:ascii="Arial" w:hAnsi="Arial" w:cs="Arial"/>
          <w:sz w:val="20"/>
          <w:szCs w:val="20"/>
          <w:lang w:val="en-GB"/>
        </w:rPr>
        <w:t>) concentrations varied from 27.25 ± 5.85 mg/L (P1J1S3) to 62.00 ± 7.83 mg/L (P3J2S3), with a significant difference (Pr&gt;(F) = 0.003; p &lt; 0.05). In contrast, sodium (Na</w:t>
      </w:r>
      <w:r w:rsidRPr="009F1497">
        <w:rPr>
          <w:rFonts w:ascii="Cambria Math" w:hAnsi="Cambria Math" w:cs="Cambria Math"/>
          <w:sz w:val="20"/>
          <w:szCs w:val="20"/>
          <w:lang w:val="en-GB"/>
        </w:rPr>
        <w:t>⁺</w:t>
      </w:r>
      <w:r w:rsidRPr="009F1497">
        <w:rPr>
          <w:rFonts w:ascii="Arial" w:hAnsi="Arial" w:cs="Arial"/>
          <w:sz w:val="20"/>
          <w:szCs w:val="20"/>
          <w:lang w:val="en-GB"/>
        </w:rPr>
        <w:t>) concentrations, ranging from 35.66 ± 3.73 mg/L (P1J1S3) to 120.36 ± 102.03 mg/L (P2J1S2), did not show a statistically significant difference (Pr&gt;(F) = 0.118).</w:t>
      </w:r>
    </w:p>
    <w:p w14:paraId="42F3B318" w14:textId="77777777" w:rsidR="00686B6F" w:rsidRPr="009F1497" w:rsidRDefault="00686B6F" w:rsidP="004B2723">
      <w:pPr>
        <w:spacing w:after="160" w:line="240" w:lineRule="auto"/>
        <w:jc w:val="both"/>
        <w:rPr>
          <w:rFonts w:ascii="Arial" w:hAnsi="Arial" w:cs="Arial"/>
          <w:b/>
          <w:bCs/>
          <w:lang w:val="en-GB"/>
        </w:rPr>
      </w:pPr>
      <w:r w:rsidRPr="009F1497">
        <w:rPr>
          <w:rFonts w:ascii="Arial" w:hAnsi="Arial" w:cs="Arial"/>
          <w:b/>
          <w:bCs/>
          <w:lang w:val="en-GB"/>
        </w:rPr>
        <w:t>3.2 Infiltration rate</w:t>
      </w:r>
    </w:p>
    <w:p w14:paraId="1A2A778A" w14:textId="7CC845E1" w:rsidR="00686B6F" w:rsidRPr="009F1497" w:rsidRDefault="00686B6F" w:rsidP="004B2723">
      <w:pPr>
        <w:spacing w:after="160" w:line="240" w:lineRule="auto"/>
        <w:jc w:val="both"/>
        <w:rPr>
          <w:rFonts w:ascii="Arial" w:hAnsi="Arial" w:cs="Arial"/>
          <w:sz w:val="20"/>
          <w:szCs w:val="20"/>
          <w:lang w:val="en-GB"/>
        </w:rPr>
      </w:pPr>
      <w:r w:rsidRPr="009F1497">
        <w:rPr>
          <w:rFonts w:ascii="Arial" w:hAnsi="Arial" w:cs="Arial"/>
          <w:sz w:val="20"/>
          <w:szCs w:val="20"/>
          <w:lang w:val="en-GB"/>
        </w:rPr>
        <w:t>The ions K</w:t>
      </w:r>
      <w:r w:rsidRPr="009F1497">
        <w:rPr>
          <w:rFonts w:ascii="Cambria Math" w:hAnsi="Cambria Math" w:cs="Cambria Math"/>
          <w:sz w:val="20"/>
          <w:szCs w:val="20"/>
          <w:lang w:val="en-GB"/>
        </w:rPr>
        <w:t>⁺</w:t>
      </w:r>
      <w:r w:rsidRPr="009F1497">
        <w:rPr>
          <w:rFonts w:ascii="Arial" w:hAnsi="Arial" w:cs="Arial"/>
          <w:sz w:val="20"/>
          <w:szCs w:val="20"/>
          <w:lang w:val="en-GB"/>
        </w:rPr>
        <w:t>, HCO</w:t>
      </w:r>
      <w:r w:rsidRPr="009F1497">
        <w:rPr>
          <w:rFonts w:ascii="Cambria Math" w:hAnsi="Cambria Math" w:cs="Cambria Math"/>
          <w:sz w:val="20"/>
          <w:szCs w:val="20"/>
          <w:lang w:val="en-GB"/>
        </w:rPr>
        <w:t>₃⁻</w:t>
      </w:r>
      <w:r w:rsidRPr="009F1497">
        <w:rPr>
          <w:rFonts w:ascii="Arial" w:hAnsi="Arial" w:cs="Arial"/>
          <w:sz w:val="20"/>
          <w:szCs w:val="20"/>
          <w:lang w:val="en-GB"/>
        </w:rPr>
        <w:t>, Ca²</w:t>
      </w:r>
      <w:r w:rsidRPr="009F1497">
        <w:rPr>
          <w:rFonts w:ascii="Cambria Math" w:hAnsi="Cambria Math" w:cs="Cambria Math"/>
          <w:sz w:val="20"/>
          <w:szCs w:val="20"/>
          <w:lang w:val="en-GB"/>
        </w:rPr>
        <w:t>⁺</w:t>
      </w:r>
      <w:r w:rsidRPr="009F1497">
        <w:rPr>
          <w:rFonts w:ascii="Arial" w:hAnsi="Arial" w:cs="Arial"/>
          <w:sz w:val="20"/>
          <w:szCs w:val="20"/>
          <w:lang w:val="en-GB"/>
        </w:rPr>
        <w:t>, and Mg²</w:t>
      </w:r>
      <w:r w:rsidRPr="009F1497">
        <w:rPr>
          <w:rFonts w:ascii="Cambria Math" w:hAnsi="Cambria Math" w:cs="Cambria Math"/>
          <w:sz w:val="20"/>
          <w:szCs w:val="20"/>
          <w:lang w:val="en-GB"/>
        </w:rPr>
        <w:t>⁺</w:t>
      </w:r>
      <w:r w:rsidRPr="009F1497">
        <w:rPr>
          <w:rFonts w:ascii="Arial" w:hAnsi="Arial" w:cs="Arial"/>
          <w:sz w:val="20"/>
          <w:szCs w:val="20"/>
          <w:lang w:val="en-GB"/>
        </w:rPr>
        <w:t xml:space="preserve">, which are involved in assessing infiltration/permeability behavior and sodicity, showed significant spatial variability among sampling points (Table </w:t>
      </w:r>
      <w:r w:rsidR="00353C62">
        <w:rPr>
          <w:rFonts w:ascii="Arial" w:hAnsi="Arial" w:cs="Arial"/>
          <w:sz w:val="20"/>
          <w:szCs w:val="20"/>
          <w:lang w:val="en-GB"/>
        </w:rPr>
        <w:t>2</w:t>
      </w:r>
      <w:r w:rsidRPr="009F1497">
        <w:rPr>
          <w:rFonts w:ascii="Arial" w:hAnsi="Arial" w:cs="Arial"/>
          <w:sz w:val="20"/>
          <w:szCs w:val="20"/>
          <w:lang w:val="en-GB"/>
        </w:rPr>
        <w:t>). Potassium (K</w:t>
      </w:r>
      <w:r w:rsidRPr="009F1497">
        <w:rPr>
          <w:rFonts w:ascii="Cambria Math" w:hAnsi="Cambria Math" w:cs="Cambria Math"/>
          <w:sz w:val="20"/>
          <w:szCs w:val="20"/>
          <w:lang w:val="en-GB"/>
        </w:rPr>
        <w:t>⁺</w:t>
      </w:r>
      <w:r w:rsidRPr="009F1497">
        <w:rPr>
          <w:rFonts w:ascii="Arial" w:hAnsi="Arial" w:cs="Arial"/>
          <w:sz w:val="20"/>
          <w:szCs w:val="20"/>
          <w:lang w:val="en-GB"/>
        </w:rPr>
        <w:t>) ranged from 9.44 ± 10.26 to 85.63 ± 40.49 mg/L and differed significantly (Pr&gt;(F) = 0.000005). Bicarbonate (HCO</w:t>
      </w:r>
      <w:r w:rsidRPr="009F1497">
        <w:rPr>
          <w:rFonts w:ascii="Cambria Math" w:hAnsi="Cambria Math" w:cs="Cambria Math"/>
          <w:sz w:val="20"/>
          <w:szCs w:val="20"/>
          <w:lang w:val="en-GB"/>
        </w:rPr>
        <w:t>₃⁻</w:t>
      </w:r>
      <w:r w:rsidRPr="009F1497">
        <w:rPr>
          <w:rFonts w:ascii="Arial" w:hAnsi="Arial" w:cs="Arial"/>
          <w:sz w:val="20"/>
          <w:szCs w:val="20"/>
          <w:lang w:val="en-GB"/>
        </w:rPr>
        <w:t>), calcium (Ca²</w:t>
      </w:r>
      <w:r w:rsidRPr="009F1497">
        <w:rPr>
          <w:rFonts w:ascii="Cambria Math" w:hAnsi="Cambria Math" w:cs="Cambria Math"/>
          <w:sz w:val="20"/>
          <w:szCs w:val="20"/>
          <w:lang w:val="en-GB"/>
        </w:rPr>
        <w:t>⁺</w:t>
      </w:r>
      <w:r w:rsidRPr="009F1497">
        <w:rPr>
          <w:rFonts w:ascii="Arial" w:hAnsi="Arial" w:cs="Arial"/>
          <w:sz w:val="20"/>
          <w:szCs w:val="20"/>
          <w:lang w:val="en-GB"/>
        </w:rPr>
        <w:t>), and magnesium (Mg²</w:t>
      </w:r>
      <w:r w:rsidRPr="009F1497">
        <w:rPr>
          <w:rFonts w:ascii="Cambria Math" w:hAnsi="Cambria Math" w:cs="Cambria Math"/>
          <w:sz w:val="20"/>
          <w:szCs w:val="20"/>
          <w:lang w:val="en-GB"/>
        </w:rPr>
        <w:t>⁺</w:t>
      </w:r>
      <w:r w:rsidRPr="009F1497">
        <w:rPr>
          <w:rFonts w:ascii="Arial" w:hAnsi="Arial" w:cs="Arial"/>
          <w:sz w:val="20"/>
          <w:szCs w:val="20"/>
          <w:lang w:val="en-GB"/>
        </w:rPr>
        <w:t>) concentrations also differed highly significantly among stations. HCO</w:t>
      </w:r>
      <w:r w:rsidRPr="009F1497">
        <w:rPr>
          <w:rFonts w:ascii="Cambria Math" w:hAnsi="Cambria Math" w:cs="Cambria Math"/>
          <w:sz w:val="20"/>
          <w:szCs w:val="20"/>
          <w:lang w:val="en-GB"/>
        </w:rPr>
        <w:t>₃⁻</w:t>
      </w:r>
      <w:r w:rsidRPr="009F1497">
        <w:rPr>
          <w:rFonts w:ascii="Arial" w:hAnsi="Arial" w:cs="Arial"/>
          <w:sz w:val="20"/>
          <w:szCs w:val="20"/>
          <w:lang w:val="en-GB"/>
        </w:rPr>
        <w:t xml:space="preserve"> values ranged from 1.735 ± 0.06 to 15.175 ± 4.30 mg/L (Pr&gt;(F) = 2.54 × 10</w:t>
      </w:r>
      <w:r w:rsidRPr="009F1497">
        <w:rPr>
          <w:rFonts w:ascii="Cambria Math" w:hAnsi="Cambria Math" w:cs="Cambria Math"/>
          <w:sz w:val="20"/>
          <w:szCs w:val="20"/>
          <w:lang w:val="en-GB"/>
        </w:rPr>
        <w:t>⁻</w:t>
      </w:r>
      <w:r w:rsidRPr="009F1497">
        <w:rPr>
          <w:rFonts w:ascii="Arial" w:hAnsi="Arial" w:cs="Arial"/>
          <w:sz w:val="20"/>
          <w:szCs w:val="20"/>
          <w:lang w:val="en-GB"/>
        </w:rPr>
        <w:t>¹²), whereas Ca²</w:t>
      </w:r>
      <w:r w:rsidRPr="009F1497">
        <w:rPr>
          <w:rFonts w:ascii="Cambria Math" w:hAnsi="Cambria Math" w:cs="Cambria Math"/>
          <w:sz w:val="20"/>
          <w:szCs w:val="20"/>
          <w:lang w:val="en-GB"/>
        </w:rPr>
        <w:t>⁺</w:t>
      </w:r>
      <w:r w:rsidRPr="009F1497">
        <w:rPr>
          <w:rFonts w:ascii="Arial" w:hAnsi="Arial" w:cs="Arial"/>
          <w:sz w:val="20"/>
          <w:szCs w:val="20"/>
          <w:lang w:val="en-GB"/>
        </w:rPr>
        <w:t xml:space="preserve"> ranged from 0.6050 ± 0.17 to 1.2800 ± 0.22 mg/L (Pr&gt;(F) = 0.01) and Mg²</w:t>
      </w:r>
      <w:r w:rsidRPr="009F1497">
        <w:rPr>
          <w:rFonts w:ascii="Cambria Math" w:hAnsi="Cambria Math" w:cs="Cambria Math"/>
          <w:sz w:val="20"/>
          <w:szCs w:val="20"/>
          <w:lang w:val="en-GB"/>
        </w:rPr>
        <w:t>⁺</w:t>
      </w:r>
      <w:r w:rsidRPr="009F1497">
        <w:rPr>
          <w:rFonts w:ascii="Arial" w:hAnsi="Arial" w:cs="Arial"/>
          <w:sz w:val="20"/>
          <w:szCs w:val="20"/>
          <w:lang w:val="en-GB"/>
        </w:rPr>
        <w:t xml:space="preserve"> from 0.3200 ± 0.32 to 0.9275 ± 0.26 mg/L (Pr&gt;(F) = 0.007).</w:t>
      </w:r>
    </w:p>
    <w:p w14:paraId="6A38981C" w14:textId="217A024B" w:rsidR="00686B6F" w:rsidRPr="009F1497" w:rsidRDefault="00686B6F" w:rsidP="004B2723">
      <w:pPr>
        <w:spacing w:after="160" w:line="240" w:lineRule="auto"/>
        <w:jc w:val="both"/>
        <w:rPr>
          <w:rFonts w:ascii="Arial" w:hAnsi="Arial" w:cs="Arial"/>
          <w:sz w:val="20"/>
          <w:szCs w:val="20"/>
          <w:lang w:val="en-GB"/>
        </w:rPr>
      </w:pPr>
      <w:r w:rsidRPr="009F1497">
        <w:rPr>
          <w:rFonts w:ascii="Arial" w:hAnsi="Arial" w:cs="Arial"/>
          <w:sz w:val="20"/>
          <w:szCs w:val="20"/>
          <w:lang w:val="en-GB"/>
        </w:rPr>
        <w:t xml:space="preserve">The agronomic indices used to assess infiltration risk and sodicity are presented </w:t>
      </w:r>
      <w:r w:rsidR="005A00DE">
        <w:rPr>
          <w:rFonts w:ascii="Arial" w:hAnsi="Arial" w:cs="Arial"/>
          <w:sz w:val="20"/>
          <w:szCs w:val="20"/>
          <w:lang w:val="en-GB"/>
        </w:rPr>
        <w:t>(</w:t>
      </w:r>
      <w:r w:rsidRPr="009F1497">
        <w:rPr>
          <w:rFonts w:ascii="Arial" w:hAnsi="Arial" w:cs="Arial"/>
          <w:sz w:val="20"/>
          <w:szCs w:val="20"/>
          <w:lang w:val="en-GB"/>
        </w:rPr>
        <w:t xml:space="preserve">Table </w:t>
      </w:r>
      <w:r w:rsidR="005A00DE">
        <w:rPr>
          <w:rFonts w:ascii="Arial" w:hAnsi="Arial" w:cs="Arial"/>
          <w:sz w:val="20"/>
          <w:szCs w:val="20"/>
          <w:lang w:val="en-GB"/>
        </w:rPr>
        <w:t>3)</w:t>
      </w:r>
      <w:r w:rsidRPr="009F1497">
        <w:rPr>
          <w:rFonts w:ascii="Arial" w:hAnsi="Arial" w:cs="Arial"/>
          <w:sz w:val="20"/>
          <w:szCs w:val="20"/>
          <w:lang w:val="en-GB"/>
        </w:rPr>
        <w:t>. Mean SAR values ranged from 1.20 to 6.18. %Na varied from 37.40% to 85.09%. The permeability index (PI) ranged from 7.17 to 18.50, while MAR ranged from 5.88 to 26.01 and Kelly’s ratio (KR) from 0.43 to 3.86.</w:t>
      </w:r>
    </w:p>
    <w:p w14:paraId="1830661B" w14:textId="77777777" w:rsidR="00686B6F" w:rsidRPr="009F1497" w:rsidRDefault="00686B6F" w:rsidP="004B2723">
      <w:pPr>
        <w:spacing w:line="240" w:lineRule="auto"/>
        <w:jc w:val="both"/>
        <w:rPr>
          <w:rFonts w:ascii="Arial" w:hAnsi="Arial" w:cs="Arial"/>
          <w:sz w:val="20"/>
          <w:szCs w:val="20"/>
          <w:lang w:val="en-GB"/>
        </w:rPr>
        <w:sectPr w:rsidR="00686B6F" w:rsidRPr="009F1497" w:rsidSect="00A423F4">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cols w:space="708"/>
          <w:docGrid w:linePitch="360"/>
        </w:sectPr>
      </w:pPr>
    </w:p>
    <w:p w14:paraId="13C9DDEC" w14:textId="5B236771" w:rsidR="00686B6F" w:rsidRPr="009F1497" w:rsidRDefault="00686B6F" w:rsidP="004B2723">
      <w:pPr>
        <w:spacing w:line="240" w:lineRule="auto"/>
        <w:jc w:val="both"/>
        <w:rPr>
          <w:rFonts w:ascii="Arial" w:hAnsi="Arial" w:cs="Arial"/>
          <w:sz w:val="20"/>
          <w:szCs w:val="20"/>
          <w:lang w:val="en-GB"/>
        </w:rPr>
      </w:pPr>
      <w:r w:rsidRPr="009F1497">
        <w:rPr>
          <w:rFonts w:ascii="Arial" w:hAnsi="Arial" w:cs="Arial"/>
          <w:sz w:val="20"/>
          <w:szCs w:val="20"/>
          <w:lang w:val="en-GB"/>
        </w:rPr>
        <w:lastRenderedPageBreak/>
        <w:t xml:space="preserve">Table </w:t>
      </w:r>
      <w:r w:rsidR="00E36CBC" w:rsidRPr="009F1497">
        <w:rPr>
          <w:rFonts w:ascii="Arial" w:hAnsi="Arial" w:cs="Arial"/>
          <w:sz w:val="20"/>
          <w:szCs w:val="20"/>
          <w:lang w:val="en-GB"/>
        </w:rPr>
        <w:t>1</w:t>
      </w:r>
      <w:r w:rsidRPr="009F1497">
        <w:rPr>
          <w:rFonts w:ascii="Arial" w:hAnsi="Arial" w:cs="Arial"/>
          <w:sz w:val="20"/>
          <w:szCs w:val="20"/>
          <w:lang w:val="en-GB"/>
        </w:rPr>
        <w:t>. Values of salinity- and toxicity-related water parameters and their variability.</w:t>
      </w:r>
    </w:p>
    <w:tbl>
      <w:tblPr>
        <w:tblW w:w="5000" w:type="pct"/>
        <w:tblCellMar>
          <w:left w:w="70" w:type="dxa"/>
          <w:right w:w="70" w:type="dxa"/>
        </w:tblCellMar>
        <w:tblLook w:val="04A0" w:firstRow="1" w:lastRow="0" w:firstColumn="1" w:lastColumn="0" w:noHBand="0" w:noVBand="1"/>
      </w:tblPr>
      <w:tblGrid>
        <w:gridCol w:w="3096"/>
        <w:gridCol w:w="2987"/>
        <w:gridCol w:w="2855"/>
        <w:gridCol w:w="2655"/>
        <w:gridCol w:w="2411"/>
      </w:tblGrid>
      <w:tr w:rsidR="00686B6F" w:rsidRPr="009F1497" w14:paraId="203F06AB" w14:textId="77777777" w:rsidTr="00AC26D8">
        <w:trPr>
          <w:trHeight w:val="340"/>
        </w:trPr>
        <w:tc>
          <w:tcPr>
            <w:tcW w:w="1105" w:type="pct"/>
            <w:tcBorders>
              <w:top w:val="single" w:sz="8" w:space="0" w:color="000000"/>
              <w:left w:val="nil"/>
              <w:bottom w:val="single" w:sz="8" w:space="0" w:color="000000"/>
              <w:right w:val="nil"/>
            </w:tcBorders>
            <w:noWrap/>
            <w:vAlign w:val="center"/>
            <w:hideMark/>
          </w:tcPr>
          <w:p w14:paraId="42535E7B"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Sampling points</w:t>
            </w:r>
          </w:p>
        </w:tc>
        <w:tc>
          <w:tcPr>
            <w:tcW w:w="1066" w:type="pct"/>
            <w:tcBorders>
              <w:top w:val="single" w:sz="8" w:space="0" w:color="000000"/>
              <w:left w:val="nil"/>
              <w:bottom w:val="single" w:sz="8" w:space="0" w:color="000000"/>
              <w:right w:val="nil"/>
            </w:tcBorders>
            <w:vAlign w:val="center"/>
            <w:hideMark/>
          </w:tcPr>
          <w:p w14:paraId="135C73EC" w14:textId="77777777" w:rsidR="00686B6F" w:rsidRPr="009F1497" w:rsidRDefault="00686B6F" w:rsidP="004B2723">
            <w:pPr>
              <w:spacing w:after="0" w:line="240" w:lineRule="auto"/>
              <w:jc w:val="both"/>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EC</w:t>
            </w:r>
          </w:p>
        </w:tc>
        <w:tc>
          <w:tcPr>
            <w:tcW w:w="1019" w:type="pct"/>
            <w:tcBorders>
              <w:top w:val="single" w:sz="8" w:space="0" w:color="000000"/>
              <w:left w:val="nil"/>
              <w:bottom w:val="single" w:sz="8" w:space="0" w:color="000000"/>
              <w:right w:val="nil"/>
            </w:tcBorders>
            <w:noWrap/>
            <w:vAlign w:val="center"/>
            <w:hideMark/>
          </w:tcPr>
          <w:p w14:paraId="5CD7D30A" w14:textId="3A5D0D78" w:rsidR="00686B6F" w:rsidRPr="009F1497" w:rsidRDefault="006776B3" w:rsidP="004B2723">
            <w:pPr>
              <w:spacing w:after="0" w:line="240" w:lineRule="auto"/>
              <w:rPr>
                <w:rFonts w:ascii="Arial" w:eastAsia="Times New Roman" w:hAnsi="Arial" w:cs="Arial"/>
                <w:b/>
                <w:bCs/>
                <w:color w:val="000000"/>
                <w:sz w:val="20"/>
                <w:szCs w:val="20"/>
                <w:lang w:val="en-GB" w:eastAsia="fr-FR"/>
              </w:rPr>
            </w:pPr>
            <w:r>
              <w:rPr>
                <w:rFonts w:ascii="Arial" w:eastAsia="Times New Roman" w:hAnsi="Arial" w:cs="Arial"/>
                <w:b/>
                <w:bCs/>
                <w:color w:val="000000"/>
                <w:sz w:val="20"/>
                <w:szCs w:val="20"/>
                <w:lang w:val="en-GB" w:eastAsia="fr-FR"/>
              </w:rPr>
              <w:t>TDS</w:t>
            </w:r>
          </w:p>
        </w:tc>
        <w:tc>
          <w:tcPr>
            <w:tcW w:w="948" w:type="pct"/>
            <w:tcBorders>
              <w:top w:val="single" w:sz="8" w:space="0" w:color="000000"/>
              <w:left w:val="nil"/>
              <w:bottom w:val="single" w:sz="8" w:space="0" w:color="000000"/>
              <w:right w:val="nil"/>
            </w:tcBorders>
            <w:noWrap/>
            <w:vAlign w:val="center"/>
            <w:hideMark/>
          </w:tcPr>
          <w:p w14:paraId="5EC80A36"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Na+</w:t>
            </w:r>
          </w:p>
        </w:tc>
        <w:tc>
          <w:tcPr>
            <w:tcW w:w="861" w:type="pct"/>
            <w:tcBorders>
              <w:top w:val="single" w:sz="8" w:space="0" w:color="000000"/>
              <w:left w:val="nil"/>
              <w:bottom w:val="single" w:sz="8" w:space="0" w:color="000000"/>
              <w:right w:val="nil"/>
            </w:tcBorders>
            <w:noWrap/>
            <w:vAlign w:val="center"/>
            <w:hideMark/>
          </w:tcPr>
          <w:p w14:paraId="3B3CA2D1"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Cl</w:t>
            </w:r>
            <w:r w:rsidRPr="009F1497">
              <w:rPr>
                <w:rFonts w:ascii="Arial" w:eastAsia="Times New Roman" w:hAnsi="Arial" w:cs="Arial"/>
                <w:b/>
                <w:bCs/>
                <w:color w:val="000000"/>
                <w:sz w:val="20"/>
                <w:szCs w:val="20"/>
                <w:vertAlign w:val="superscript"/>
                <w:lang w:val="en-GB" w:eastAsia="fr-FR"/>
              </w:rPr>
              <w:t>-</w:t>
            </w:r>
          </w:p>
        </w:tc>
      </w:tr>
      <w:tr w:rsidR="00686B6F" w:rsidRPr="009F1497" w14:paraId="7A76DA3D" w14:textId="77777777" w:rsidTr="00AC26D8">
        <w:trPr>
          <w:trHeight w:val="320"/>
        </w:trPr>
        <w:tc>
          <w:tcPr>
            <w:tcW w:w="1105" w:type="pct"/>
            <w:tcBorders>
              <w:top w:val="nil"/>
              <w:left w:val="nil"/>
              <w:bottom w:val="nil"/>
              <w:right w:val="nil"/>
            </w:tcBorders>
            <w:noWrap/>
            <w:vAlign w:val="center"/>
            <w:hideMark/>
          </w:tcPr>
          <w:p w14:paraId="2CEF8053"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P1J1S1</w:t>
            </w:r>
          </w:p>
        </w:tc>
        <w:tc>
          <w:tcPr>
            <w:tcW w:w="1066" w:type="pct"/>
            <w:tcBorders>
              <w:top w:val="nil"/>
              <w:left w:val="nil"/>
              <w:bottom w:val="nil"/>
              <w:right w:val="nil"/>
            </w:tcBorders>
            <w:noWrap/>
            <w:vAlign w:val="center"/>
            <w:hideMark/>
          </w:tcPr>
          <w:p w14:paraId="7B1ABE73" w14:textId="77777777" w:rsidR="00686B6F" w:rsidRPr="009F1497" w:rsidRDefault="00686B6F" w:rsidP="004B2723">
            <w:pPr>
              <w:spacing w:after="0" w:line="240" w:lineRule="auto"/>
              <w:jc w:val="both"/>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531± 31.50</w:t>
            </w:r>
            <w:r w:rsidRPr="009F1497">
              <w:rPr>
                <w:rFonts w:ascii="Arial" w:eastAsia="Times New Roman" w:hAnsi="Arial" w:cs="Arial"/>
                <w:color w:val="000000"/>
                <w:sz w:val="20"/>
                <w:szCs w:val="20"/>
                <w:vertAlign w:val="superscript"/>
                <w:lang w:val="en-GB" w:eastAsia="fr-FR"/>
              </w:rPr>
              <w:t>ab</w:t>
            </w:r>
          </w:p>
        </w:tc>
        <w:tc>
          <w:tcPr>
            <w:tcW w:w="1019" w:type="pct"/>
            <w:tcBorders>
              <w:top w:val="nil"/>
              <w:left w:val="nil"/>
              <w:bottom w:val="nil"/>
              <w:right w:val="nil"/>
            </w:tcBorders>
            <w:noWrap/>
            <w:vAlign w:val="center"/>
            <w:hideMark/>
          </w:tcPr>
          <w:p w14:paraId="4C093ADC"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156.25±81.23</w:t>
            </w:r>
            <w:r w:rsidRPr="009F1497">
              <w:rPr>
                <w:rFonts w:ascii="Arial" w:eastAsia="Times New Roman" w:hAnsi="Arial" w:cs="Arial"/>
                <w:color w:val="000000"/>
                <w:sz w:val="20"/>
                <w:szCs w:val="20"/>
                <w:vertAlign w:val="superscript"/>
                <w:lang w:val="en-GB" w:eastAsia="fr-FR"/>
              </w:rPr>
              <w:t>a</w:t>
            </w:r>
          </w:p>
        </w:tc>
        <w:tc>
          <w:tcPr>
            <w:tcW w:w="948" w:type="pct"/>
            <w:tcBorders>
              <w:top w:val="nil"/>
              <w:left w:val="nil"/>
              <w:bottom w:val="nil"/>
              <w:right w:val="nil"/>
            </w:tcBorders>
            <w:noWrap/>
            <w:vAlign w:val="center"/>
            <w:hideMark/>
          </w:tcPr>
          <w:p w14:paraId="1923F825"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53.1225±7,13</w:t>
            </w:r>
            <w:r w:rsidRPr="009F1497">
              <w:rPr>
                <w:rFonts w:ascii="Arial" w:eastAsia="Times New Roman" w:hAnsi="Arial" w:cs="Arial"/>
                <w:color w:val="000000"/>
                <w:sz w:val="20"/>
                <w:szCs w:val="20"/>
                <w:vertAlign w:val="superscript"/>
                <w:lang w:val="en-GB" w:eastAsia="fr-FR"/>
              </w:rPr>
              <w:t xml:space="preserve">a </w:t>
            </w:r>
          </w:p>
        </w:tc>
        <w:tc>
          <w:tcPr>
            <w:tcW w:w="861" w:type="pct"/>
            <w:tcBorders>
              <w:top w:val="nil"/>
              <w:left w:val="nil"/>
              <w:bottom w:val="nil"/>
              <w:right w:val="nil"/>
            </w:tcBorders>
            <w:noWrap/>
            <w:vAlign w:val="center"/>
            <w:hideMark/>
          </w:tcPr>
          <w:p w14:paraId="13F35E57"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30.50±8.06</w:t>
            </w:r>
            <w:r w:rsidRPr="009F1497">
              <w:rPr>
                <w:rFonts w:ascii="Arial" w:eastAsia="Times New Roman" w:hAnsi="Arial" w:cs="Arial"/>
                <w:color w:val="000000"/>
                <w:sz w:val="20"/>
                <w:szCs w:val="20"/>
                <w:vertAlign w:val="superscript"/>
                <w:lang w:val="en-GB" w:eastAsia="fr-FR"/>
              </w:rPr>
              <w:t>ab</w:t>
            </w:r>
          </w:p>
        </w:tc>
      </w:tr>
      <w:tr w:rsidR="00686B6F" w:rsidRPr="009F1497" w14:paraId="3448B312" w14:textId="77777777" w:rsidTr="00AC26D8">
        <w:trPr>
          <w:trHeight w:val="320"/>
        </w:trPr>
        <w:tc>
          <w:tcPr>
            <w:tcW w:w="1105" w:type="pct"/>
            <w:tcBorders>
              <w:top w:val="nil"/>
              <w:left w:val="nil"/>
              <w:bottom w:val="nil"/>
              <w:right w:val="nil"/>
            </w:tcBorders>
            <w:noWrap/>
            <w:vAlign w:val="center"/>
            <w:hideMark/>
          </w:tcPr>
          <w:p w14:paraId="3C9F3D90"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P1J1S2</w:t>
            </w:r>
          </w:p>
        </w:tc>
        <w:tc>
          <w:tcPr>
            <w:tcW w:w="1066" w:type="pct"/>
            <w:tcBorders>
              <w:top w:val="nil"/>
              <w:left w:val="nil"/>
              <w:bottom w:val="nil"/>
              <w:right w:val="nil"/>
            </w:tcBorders>
            <w:noWrap/>
            <w:vAlign w:val="center"/>
            <w:hideMark/>
          </w:tcPr>
          <w:p w14:paraId="44098A44" w14:textId="77777777" w:rsidR="00686B6F" w:rsidRPr="009F1497" w:rsidRDefault="00686B6F" w:rsidP="004B2723">
            <w:pPr>
              <w:spacing w:after="0" w:line="240" w:lineRule="auto"/>
              <w:jc w:val="both"/>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522.75±22.33</w:t>
            </w:r>
            <w:r w:rsidRPr="009F1497">
              <w:rPr>
                <w:rFonts w:ascii="Arial" w:eastAsia="Times New Roman" w:hAnsi="Arial" w:cs="Arial"/>
                <w:color w:val="000000"/>
                <w:sz w:val="20"/>
                <w:szCs w:val="20"/>
                <w:vertAlign w:val="superscript"/>
                <w:lang w:val="en-GB" w:eastAsia="fr-FR"/>
              </w:rPr>
              <w:t>b</w:t>
            </w:r>
          </w:p>
        </w:tc>
        <w:tc>
          <w:tcPr>
            <w:tcW w:w="1019" w:type="pct"/>
            <w:tcBorders>
              <w:top w:val="nil"/>
              <w:left w:val="nil"/>
              <w:bottom w:val="nil"/>
              <w:right w:val="nil"/>
            </w:tcBorders>
            <w:noWrap/>
            <w:vAlign w:val="center"/>
            <w:hideMark/>
          </w:tcPr>
          <w:p w14:paraId="3D0A1B16"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147.75±28.66</w:t>
            </w:r>
            <w:r w:rsidRPr="009F1497">
              <w:rPr>
                <w:rFonts w:ascii="Arial" w:eastAsia="Times New Roman" w:hAnsi="Arial" w:cs="Arial"/>
                <w:color w:val="000000"/>
                <w:sz w:val="20"/>
                <w:szCs w:val="20"/>
                <w:vertAlign w:val="superscript"/>
                <w:lang w:val="en-GB" w:eastAsia="fr-FR"/>
              </w:rPr>
              <w:t>a</w:t>
            </w:r>
          </w:p>
        </w:tc>
        <w:tc>
          <w:tcPr>
            <w:tcW w:w="948" w:type="pct"/>
            <w:tcBorders>
              <w:top w:val="nil"/>
              <w:left w:val="nil"/>
              <w:bottom w:val="nil"/>
              <w:right w:val="nil"/>
            </w:tcBorders>
            <w:noWrap/>
            <w:vAlign w:val="center"/>
            <w:hideMark/>
          </w:tcPr>
          <w:p w14:paraId="47BDE04D"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58.575±82,476</w:t>
            </w:r>
            <w:r w:rsidRPr="009F1497">
              <w:rPr>
                <w:rFonts w:ascii="Arial" w:eastAsia="Times New Roman" w:hAnsi="Arial" w:cs="Arial"/>
                <w:color w:val="000000"/>
                <w:sz w:val="20"/>
                <w:szCs w:val="20"/>
                <w:vertAlign w:val="superscript"/>
                <w:lang w:val="en-GB" w:eastAsia="fr-FR"/>
              </w:rPr>
              <w:t>a</w:t>
            </w:r>
          </w:p>
        </w:tc>
        <w:tc>
          <w:tcPr>
            <w:tcW w:w="861" w:type="pct"/>
            <w:tcBorders>
              <w:top w:val="nil"/>
              <w:left w:val="nil"/>
              <w:bottom w:val="nil"/>
              <w:right w:val="nil"/>
            </w:tcBorders>
            <w:noWrap/>
            <w:vAlign w:val="center"/>
            <w:hideMark/>
          </w:tcPr>
          <w:p w14:paraId="5A52C47C"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29.00±4.96</w:t>
            </w:r>
            <w:r w:rsidRPr="009F1497">
              <w:rPr>
                <w:rFonts w:ascii="Arial" w:eastAsia="Times New Roman" w:hAnsi="Arial" w:cs="Arial"/>
                <w:color w:val="000000"/>
                <w:sz w:val="20"/>
                <w:szCs w:val="20"/>
                <w:vertAlign w:val="superscript"/>
                <w:lang w:val="en-GB" w:eastAsia="fr-FR"/>
              </w:rPr>
              <w:t>b</w:t>
            </w:r>
          </w:p>
        </w:tc>
      </w:tr>
      <w:tr w:rsidR="00686B6F" w:rsidRPr="009F1497" w14:paraId="28B481C7" w14:textId="77777777" w:rsidTr="00AC26D8">
        <w:trPr>
          <w:trHeight w:val="320"/>
        </w:trPr>
        <w:tc>
          <w:tcPr>
            <w:tcW w:w="1105" w:type="pct"/>
            <w:tcBorders>
              <w:top w:val="nil"/>
              <w:left w:val="nil"/>
              <w:bottom w:val="nil"/>
              <w:right w:val="nil"/>
            </w:tcBorders>
            <w:noWrap/>
            <w:vAlign w:val="center"/>
            <w:hideMark/>
          </w:tcPr>
          <w:p w14:paraId="640A9433"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P1J1S3</w:t>
            </w:r>
          </w:p>
        </w:tc>
        <w:tc>
          <w:tcPr>
            <w:tcW w:w="1066" w:type="pct"/>
            <w:tcBorders>
              <w:top w:val="nil"/>
              <w:left w:val="nil"/>
              <w:bottom w:val="nil"/>
              <w:right w:val="nil"/>
            </w:tcBorders>
            <w:noWrap/>
            <w:vAlign w:val="center"/>
            <w:hideMark/>
          </w:tcPr>
          <w:p w14:paraId="04E4607E" w14:textId="77777777" w:rsidR="00686B6F" w:rsidRPr="009F1497" w:rsidRDefault="00686B6F" w:rsidP="004B2723">
            <w:pPr>
              <w:spacing w:after="0" w:line="240" w:lineRule="auto"/>
              <w:jc w:val="both"/>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562.10±165.03</w:t>
            </w:r>
            <w:r w:rsidRPr="009F1497">
              <w:rPr>
                <w:rFonts w:ascii="Arial" w:eastAsia="Times New Roman" w:hAnsi="Arial" w:cs="Arial"/>
                <w:color w:val="000000"/>
                <w:sz w:val="20"/>
                <w:szCs w:val="20"/>
                <w:vertAlign w:val="superscript"/>
                <w:lang w:val="en-GB" w:eastAsia="fr-FR"/>
              </w:rPr>
              <w:t>ab</w:t>
            </w:r>
          </w:p>
        </w:tc>
        <w:tc>
          <w:tcPr>
            <w:tcW w:w="1019" w:type="pct"/>
            <w:tcBorders>
              <w:top w:val="nil"/>
              <w:left w:val="nil"/>
              <w:bottom w:val="nil"/>
              <w:right w:val="nil"/>
            </w:tcBorders>
            <w:noWrap/>
            <w:vAlign w:val="center"/>
            <w:hideMark/>
          </w:tcPr>
          <w:p w14:paraId="48566DD5"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103.50±19.53</w:t>
            </w:r>
            <w:r w:rsidRPr="009F1497">
              <w:rPr>
                <w:rFonts w:ascii="Arial" w:eastAsia="Times New Roman" w:hAnsi="Arial" w:cs="Arial"/>
                <w:color w:val="000000"/>
                <w:sz w:val="20"/>
                <w:szCs w:val="20"/>
                <w:vertAlign w:val="superscript"/>
                <w:lang w:val="en-GB" w:eastAsia="fr-FR"/>
              </w:rPr>
              <w:t>a</w:t>
            </w:r>
          </w:p>
        </w:tc>
        <w:tc>
          <w:tcPr>
            <w:tcW w:w="948" w:type="pct"/>
            <w:tcBorders>
              <w:top w:val="nil"/>
              <w:left w:val="nil"/>
              <w:bottom w:val="nil"/>
              <w:right w:val="nil"/>
            </w:tcBorders>
            <w:noWrap/>
            <w:vAlign w:val="center"/>
            <w:hideMark/>
          </w:tcPr>
          <w:p w14:paraId="36C056BA"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35.6550±3,73</w:t>
            </w:r>
            <w:r w:rsidRPr="009F1497">
              <w:rPr>
                <w:rFonts w:ascii="Arial" w:eastAsia="Times New Roman" w:hAnsi="Arial" w:cs="Arial"/>
                <w:color w:val="000000"/>
                <w:sz w:val="20"/>
                <w:szCs w:val="20"/>
                <w:vertAlign w:val="superscript"/>
                <w:lang w:val="en-GB" w:eastAsia="fr-FR"/>
              </w:rPr>
              <w:t>a</w:t>
            </w:r>
          </w:p>
        </w:tc>
        <w:tc>
          <w:tcPr>
            <w:tcW w:w="861" w:type="pct"/>
            <w:tcBorders>
              <w:top w:val="nil"/>
              <w:left w:val="nil"/>
              <w:bottom w:val="nil"/>
              <w:right w:val="nil"/>
            </w:tcBorders>
            <w:noWrap/>
            <w:vAlign w:val="center"/>
            <w:hideMark/>
          </w:tcPr>
          <w:p w14:paraId="0BCBE8F4"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27.25±5.85</w:t>
            </w:r>
            <w:r w:rsidRPr="009F1497">
              <w:rPr>
                <w:rFonts w:ascii="Arial" w:eastAsia="Times New Roman" w:hAnsi="Arial" w:cs="Arial"/>
                <w:color w:val="000000"/>
                <w:sz w:val="20"/>
                <w:szCs w:val="20"/>
                <w:vertAlign w:val="superscript"/>
                <w:lang w:val="en-GB" w:eastAsia="fr-FR"/>
              </w:rPr>
              <w:t>b</w:t>
            </w:r>
          </w:p>
        </w:tc>
      </w:tr>
      <w:tr w:rsidR="00686B6F" w:rsidRPr="009F1497" w14:paraId="31B381DD" w14:textId="77777777" w:rsidTr="00AC26D8">
        <w:trPr>
          <w:trHeight w:val="320"/>
        </w:trPr>
        <w:tc>
          <w:tcPr>
            <w:tcW w:w="1105" w:type="pct"/>
            <w:tcBorders>
              <w:top w:val="nil"/>
              <w:left w:val="nil"/>
              <w:bottom w:val="nil"/>
              <w:right w:val="nil"/>
            </w:tcBorders>
            <w:noWrap/>
            <w:vAlign w:val="center"/>
            <w:hideMark/>
          </w:tcPr>
          <w:p w14:paraId="2FE37E6B"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P2J1S1</w:t>
            </w:r>
          </w:p>
        </w:tc>
        <w:tc>
          <w:tcPr>
            <w:tcW w:w="1066" w:type="pct"/>
            <w:tcBorders>
              <w:top w:val="nil"/>
              <w:left w:val="nil"/>
              <w:bottom w:val="nil"/>
              <w:right w:val="nil"/>
            </w:tcBorders>
            <w:noWrap/>
            <w:vAlign w:val="center"/>
            <w:hideMark/>
          </w:tcPr>
          <w:p w14:paraId="4575A184" w14:textId="77777777" w:rsidR="00686B6F" w:rsidRPr="009F1497" w:rsidRDefault="00686B6F" w:rsidP="004B2723">
            <w:pPr>
              <w:spacing w:after="0" w:line="240" w:lineRule="auto"/>
              <w:jc w:val="both"/>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449.25±44.69</w:t>
            </w:r>
            <w:r w:rsidRPr="009F1497">
              <w:rPr>
                <w:rFonts w:ascii="Arial" w:eastAsia="Times New Roman" w:hAnsi="Arial" w:cs="Arial"/>
                <w:color w:val="000000"/>
                <w:sz w:val="20"/>
                <w:szCs w:val="20"/>
                <w:vertAlign w:val="superscript"/>
                <w:lang w:val="en-GB" w:eastAsia="fr-FR"/>
              </w:rPr>
              <w:t>b</w:t>
            </w:r>
          </w:p>
        </w:tc>
        <w:tc>
          <w:tcPr>
            <w:tcW w:w="1019" w:type="pct"/>
            <w:tcBorders>
              <w:top w:val="nil"/>
              <w:left w:val="nil"/>
              <w:bottom w:val="nil"/>
              <w:right w:val="nil"/>
            </w:tcBorders>
            <w:noWrap/>
            <w:vAlign w:val="center"/>
            <w:hideMark/>
          </w:tcPr>
          <w:p w14:paraId="4CC22C34"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144.50±52.77</w:t>
            </w:r>
            <w:r w:rsidRPr="009F1497">
              <w:rPr>
                <w:rFonts w:ascii="Arial" w:eastAsia="Times New Roman" w:hAnsi="Arial" w:cs="Arial"/>
                <w:color w:val="000000"/>
                <w:sz w:val="20"/>
                <w:szCs w:val="20"/>
                <w:vertAlign w:val="superscript"/>
                <w:lang w:val="en-GB" w:eastAsia="fr-FR"/>
              </w:rPr>
              <w:t>a</w:t>
            </w:r>
          </w:p>
        </w:tc>
        <w:tc>
          <w:tcPr>
            <w:tcW w:w="948" w:type="pct"/>
            <w:tcBorders>
              <w:top w:val="nil"/>
              <w:left w:val="nil"/>
              <w:bottom w:val="nil"/>
              <w:right w:val="nil"/>
            </w:tcBorders>
            <w:noWrap/>
            <w:vAlign w:val="center"/>
            <w:hideMark/>
          </w:tcPr>
          <w:p w14:paraId="5026AC45"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49.0950±7,19</w:t>
            </w:r>
            <w:r w:rsidRPr="009F1497">
              <w:rPr>
                <w:rFonts w:ascii="Arial" w:eastAsia="Times New Roman" w:hAnsi="Arial" w:cs="Arial"/>
                <w:color w:val="000000"/>
                <w:sz w:val="20"/>
                <w:szCs w:val="20"/>
                <w:vertAlign w:val="superscript"/>
                <w:lang w:val="en-GB" w:eastAsia="fr-FR"/>
              </w:rPr>
              <w:t>a</w:t>
            </w:r>
          </w:p>
        </w:tc>
        <w:tc>
          <w:tcPr>
            <w:tcW w:w="861" w:type="pct"/>
            <w:tcBorders>
              <w:top w:val="nil"/>
              <w:left w:val="nil"/>
              <w:bottom w:val="nil"/>
              <w:right w:val="nil"/>
            </w:tcBorders>
            <w:noWrap/>
            <w:vAlign w:val="center"/>
            <w:hideMark/>
          </w:tcPr>
          <w:p w14:paraId="76ABA3B0"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36.75±15.77</w:t>
            </w:r>
            <w:r w:rsidRPr="009F1497">
              <w:rPr>
                <w:rFonts w:ascii="Arial" w:eastAsia="Times New Roman" w:hAnsi="Arial" w:cs="Arial"/>
                <w:color w:val="000000"/>
                <w:sz w:val="20"/>
                <w:szCs w:val="20"/>
                <w:vertAlign w:val="superscript"/>
                <w:lang w:val="en-GB" w:eastAsia="fr-FR"/>
              </w:rPr>
              <w:t>ab</w:t>
            </w:r>
          </w:p>
        </w:tc>
      </w:tr>
      <w:tr w:rsidR="00686B6F" w:rsidRPr="009F1497" w14:paraId="643F21E0" w14:textId="77777777" w:rsidTr="00AC26D8">
        <w:trPr>
          <w:trHeight w:val="320"/>
        </w:trPr>
        <w:tc>
          <w:tcPr>
            <w:tcW w:w="1105" w:type="pct"/>
            <w:tcBorders>
              <w:top w:val="nil"/>
              <w:left w:val="nil"/>
              <w:bottom w:val="nil"/>
              <w:right w:val="nil"/>
            </w:tcBorders>
            <w:noWrap/>
            <w:vAlign w:val="center"/>
            <w:hideMark/>
          </w:tcPr>
          <w:p w14:paraId="4E89B68E"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P2J1S2</w:t>
            </w:r>
          </w:p>
        </w:tc>
        <w:tc>
          <w:tcPr>
            <w:tcW w:w="1066" w:type="pct"/>
            <w:tcBorders>
              <w:top w:val="nil"/>
              <w:left w:val="nil"/>
              <w:bottom w:val="nil"/>
              <w:right w:val="nil"/>
            </w:tcBorders>
            <w:noWrap/>
            <w:vAlign w:val="center"/>
            <w:hideMark/>
          </w:tcPr>
          <w:p w14:paraId="142D3311" w14:textId="77777777" w:rsidR="00686B6F" w:rsidRPr="009F1497" w:rsidRDefault="00686B6F" w:rsidP="004B2723">
            <w:pPr>
              <w:spacing w:after="0" w:line="240" w:lineRule="auto"/>
              <w:jc w:val="both"/>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434.75±25.39</w:t>
            </w:r>
            <w:r w:rsidRPr="009F1497">
              <w:rPr>
                <w:rFonts w:ascii="Arial" w:eastAsia="Times New Roman" w:hAnsi="Arial" w:cs="Arial"/>
                <w:color w:val="000000"/>
                <w:sz w:val="20"/>
                <w:szCs w:val="20"/>
                <w:vertAlign w:val="superscript"/>
                <w:lang w:val="en-GB" w:eastAsia="fr-FR"/>
              </w:rPr>
              <w:t>b</w:t>
            </w:r>
          </w:p>
        </w:tc>
        <w:tc>
          <w:tcPr>
            <w:tcW w:w="1019" w:type="pct"/>
            <w:tcBorders>
              <w:top w:val="nil"/>
              <w:left w:val="nil"/>
              <w:bottom w:val="nil"/>
              <w:right w:val="nil"/>
            </w:tcBorders>
            <w:noWrap/>
            <w:vAlign w:val="center"/>
            <w:hideMark/>
          </w:tcPr>
          <w:p w14:paraId="250CBF9C"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128.00±52.16a</w:t>
            </w:r>
          </w:p>
        </w:tc>
        <w:tc>
          <w:tcPr>
            <w:tcW w:w="948" w:type="pct"/>
            <w:tcBorders>
              <w:top w:val="nil"/>
              <w:left w:val="nil"/>
              <w:bottom w:val="nil"/>
              <w:right w:val="nil"/>
            </w:tcBorders>
            <w:noWrap/>
            <w:vAlign w:val="center"/>
            <w:hideMark/>
          </w:tcPr>
          <w:p w14:paraId="751F927E"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120.3600±102,03</w:t>
            </w:r>
            <w:r w:rsidRPr="009F1497">
              <w:rPr>
                <w:rFonts w:ascii="Arial" w:eastAsia="Times New Roman" w:hAnsi="Arial" w:cs="Arial"/>
                <w:color w:val="000000"/>
                <w:sz w:val="20"/>
                <w:szCs w:val="20"/>
                <w:vertAlign w:val="superscript"/>
                <w:lang w:val="en-GB" w:eastAsia="fr-FR"/>
              </w:rPr>
              <w:t>a</w:t>
            </w:r>
          </w:p>
        </w:tc>
        <w:tc>
          <w:tcPr>
            <w:tcW w:w="861" w:type="pct"/>
            <w:tcBorders>
              <w:top w:val="nil"/>
              <w:left w:val="nil"/>
              <w:bottom w:val="nil"/>
              <w:right w:val="nil"/>
            </w:tcBorders>
            <w:noWrap/>
            <w:vAlign w:val="center"/>
            <w:hideMark/>
          </w:tcPr>
          <w:p w14:paraId="5743EF46"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31.50±6.81</w:t>
            </w:r>
            <w:r w:rsidRPr="009F1497">
              <w:rPr>
                <w:rFonts w:ascii="Arial" w:eastAsia="Times New Roman" w:hAnsi="Arial" w:cs="Arial"/>
                <w:color w:val="000000"/>
                <w:sz w:val="20"/>
                <w:szCs w:val="20"/>
                <w:vertAlign w:val="superscript"/>
                <w:lang w:val="en-GB" w:eastAsia="fr-FR"/>
              </w:rPr>
              <w:t>ab</w:t>
            </w:r>
          </w:p>
        </w:tc>
      </w:tr>
      <w:tr w:rsidR="00686B6F" w:rsidRPr="009F1497" w14:paraId="611B27AF" w14:textId="77777777" w:rsidTr="00AC26D8">
        <w:trPr>
          <w:trHeight w:val="320"/>
        </w:trPr>
        <w:tc>
          <w:tcPr>
            <w:tcW w:w="1105" w:type="pct"/>
            <w:tcBorders>
              <w:top w:val="nil"/>
              <w:left w:val="nil"/>
              <w:bottom w:val="nil"/>
              <w:right w:val="nil"/>
            </w:tcBorders>
            <w:noWrap/>
            <w:vAlign w:val="center"/>
            <w:hideMark/>
          </w:tcPr>
          <w:p w14:paraId="65037939"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P2J1S3</w:t>
            </w:r>
          </w:p>
        </w:tc>
        <w:tc>
          <w:tcPr>
            <w:tcW w:w="1066" w:type="pct"/>
            <w:tcBorders>
              <w:top w:val="nil"/>
              <w:left w:val="nil"/>
              <w:bottom w:val="nil"/>
              <w:right w:val="nil"/>
            </w:tcBorders>
            <w:noWrap/>
            <w:vAlign w:val="center"/>
            <w:hideMark/>
          </w:tcPr>
          <w:p w14:paraId="514E5A4B" w14:textId="77777777" w:rsidR="00686B6F" w:rsidRPr="009F1497" w:rsidRDefault="00686B6F" w:rsidP="004B2723">
            <w:pPr>
              <w:spacing w:after="0" w:line="240" w:lineRule="auto"/>
              <w:jc w:val="both"/>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398.60±59.55</w:t>
            </w:r>
            <w:r w:rsidRPr="009F1497">
              <w:rPr>
                <w:rFonts w:ascii="Arial" w:eastAsia="Times New Roman" w:hAnsi="Arial" w:cs="Arial"/>
                <w:color w:val="000000"/>
                <w:sz w:val="20"/>
                <w:szCs w:val="20"/>
                <w:vertAlign w:val="superscript"/>
                <w:lang w:val="en-GB" w:eastAsia="fr-FR"/>
              </w:rPr>
              <w:t>b</w:t>
            </w:r>
          </w:p>
        </w:tc>
        <w:tc>
          <w:tcPr>
            <w:tcW w:w="1019" w:type="pct"/>
            <w:tcBorders>
              <w:top w:val="nil"/>
              <w:left w:val="nil"/>
              <w:bottom w:val="nil"/>
              <w:right w:val="nil"/>
            </w:tcBorders>
            <w:noWrap/>
            <w:vAlign w:val="center"/>
            <w:hideMark/>
          </w:tcPr>
          <w:p w14:paraId="45EAE03D"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162.25±66.12</w:t>
            </w:r>
            <w:r w:rsidRPr="009F1497">
              <w:rPr>
                <w:rFonts w:ascii="Arial" w:eastAsia="Times New Roman" w:hAnsi="Arial" w:cs="Arial"/>
                <w:color w:val="000000"/>
                <w:sz w:val="20"/>
                <w:szCs w:val="20"/>
                <w:vertAlign w:val="superscript"/>
                <w:lang w:val="en-GB" w:eastAsia="fr-FR"/>
              </w:rPr>
              <w:t>a</w:t>
            </w:r>
          </w:p>
        </w:tc>
        <w:tc>
          <w:tcPr>
            <w:tcW w:w="948" w:type="pct"/>
            <w:tcBorders>
              <w:top w:val="nil"/>
              <w:left w:val="nil"/>
              <w:bottom w:val="nil"/>
              <w:right w:val="nil"/>
            </w:tcBorders>
            <w:noWrap/>
            <w:vAlign w:val="center"/>
            <w:hideMark/>
          </w:tcPr>
          <w:p w14:paraId="5EA95AB3"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53.0650±30,21</w:t>
            </w:r>
            <w:r w:rsidRPr="009F1497">
              <w:rPr>
                <w:rFonts w:ascii="Arial" w:eastAsia="Times New Roman" w:hAnsi="Arial" w:cs="Arial"/>
                <w:color w:val="000000"/>
                <w:sz w:val="20"/>
                <w:szCs w:val="20"/>
                <w:vertAlign w:val="superscript"/>
                <w:lang w:val="en-GB" w:eastAsia="fr-FR"/>
              </w:rPr>
              <w:t>a</w:t>
            </w:r>
          </w:p>
        </w:tc>
        <w:tc>
          <w:tcPr>
            <w:tcW w:w="861" w:type="pct"/>
            <w:tcBorders>
              <w:top w:val="nil"/>
              <w:left w:val="nil"/>
              <w:bottom w:val="nil"/>
              <w:right w:val="nil"/>
            </w:tcBorders>
            <w:noWrap/>
            <w:vAlign w:val="center"/>
            <w:hideMark/>
          </w:tcPr>
          <w:p w14:paraId="22097D5D"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33.75±11.73</w:t>
            </w:r>
            <w:r w:rsidRPr="009F1497">
              <w:rPr>
                <w:rFonts w:ascii="Arial" w:eastAsia="Times New Roman" w:hAnsi="Arial" w:cs="Arial"/>
                <w:color w:val="000000"/>
                <w:sz w:val="20"/>
                <w:szCs w:val="20"/>
                <w:vertAlign w:val="superscript"/>
                <w:lang w:val="en-GB" w:eastAsia="fr-FR"/>
              </w:rPr>
              <w:t>ab</w:t>
            </w:r>
          </w:p>
        </w:tc>
      </w:tr>
      <w:tr w:rsidR="00686B6F" w:rsidRPr="009F1497" w14:paraId="5BE76352" w14:textId="77777777" w:rsidTr="00AC26D8">
        <w:trPr>
          <w:trHeight w:val="320"/>
        </w:trPr>
        <w:tc>
          <w:tcPr>
            <w:tcW w:w="1105" w:type="pct"/>
            <w:tcBorders>
              <w:top w:val="nil"/>
              <w:left w:val="nil"/>
              <w:bottom w:val="nil"/>
              <w:right w:val="nil"/>
            </w:tcBorders>
            <w:noWrap/>
            <w:vAlign w:val="center"/>
            <w:hideMark/>
          </w:tcPr>
          <w:p w14:paraId="69CE48AD"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P3J2S1</w:t>
            </w:r>
          </w:p>
        </w:tc>
        <w:tc>
          <w:tcPr>
            <w:tcW w:w="1066" w:type="pct"/>
            <w:tcBorders>
              <w:top w:val="nil"/>
              <w:left w:val="nil"/>
              <w:bottom w:val="nil"/>
              <w:right w:val="nil"/>
            </w:tcBorders>
            <w:noWrap/>
            <w:vAlign w:val="center"/>
            <w:hideMark/>
          </w:tcPr>
          <w:p w14:paraId="29C70877" w14:textId="77777777" w:rsidR="00686B6F" w:rsidRPr="009F1497" w:rsidRDefault="00686B6F" w:rsidP="004B2723">
            <w:pPr>
              <w:spacing w:after="0" w:line="240" w:lineRule="auto"/>
              <w:jc w:val="both"/>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1441.75±458.79</w:t>
            </w:r>
            <w:r w:rsidRPr="009F1497">
              <w:rPr>
                <w:rFonts w:ascii="Arial" w:eastAsia="Times New Roman" w:hAnsi="Arial" w:cs="Arial"/>
                <w:color w:val="000000"/>
                <w:sz w:val="20"/>
                <w:szCs w:val="20"/>
                <w:vertAlign w:val="superscript"/>
                <w:lang w:val="en-GB" w:eastAsia="fr-FR"/>
              </w:rPr>
              <w:t>c</w:t>
            </w:r>
          </w:p>
        </w:tc>
        <w:tc>
          <w:tcPr>
            <w:tcW w:w="1019" w:type="pct"/>
            <w:tcBorders>
              <w:top w:val="nil"/>
              <w:left w:val="nil"/>
              <w:bottom w:val="nil"/>
              <w:right w:val="nil"/>
            </w:tcBorders>
            <w:noWrap/>
            <w:vAlign w:val="center"/>
            <w:hideMark/>
          </w:tcPr>
          <w:p w14:paraId="539C7B1F"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351.25±46.42</w:t>
            </w:r>
            <w:r w:rsidRPr="009F1497">
              <w:rPr>
                <w:rFonts w:ascii="Arial" w:eastAsia="Times New Roman" w:hAnsi="Arial" w:cs="Arial"/>
                <w:color w:val="000000"/>
                <w:sz w:val="20"/>
                <w:szCs w:val="20"/>
                <w:vertAlign w:val="superscript"/>
                <w:lang w:val="en-GB" w:eastAsia="fr-FR"/>
              </w:rPr>
              <w:t>bc</w:t>
            </w:r>
          </w:p>
        </w:tc>
        <w:tc>
          <w:tcPr>
            <w:tcW w:w="948" w:type="pct"/>
            <w:tcBorders>
              <w:top w:val="nil"/>
              <w:left w:val="nil"/>
              <w:bottom w:val="nil"/>
              <w:right w:val="nil"/>
            </w:tcBorders>
            <w:noWrap/>
            <w:vAlign w:val="center"/>
            <w:hideMark/>
          </w:tcPr>
          <w:p w14:paraId="352C2F73"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38.2875±4,62</w:t>
            </w:r>
            <w:r w:rsidRPr="009F1497">
              <w:rPr>
                <w:rFonts w:ascii="Arial" w:eastAsia="Times New Roman" w:hAnsi="Arial" w:cs="Arial"/>
                <w:color w:val="000000"/>
                <w:sz w:val="20"/>
                <w:szCs w:val="20"/>
                <w:vertAlign w:val="superscript"/>
                <w:lang w:val="en-GB" w:eastAsia="fr-FR"/>
              </w:rPr>
              <w:t>a</w:t>
            </w:r>
          </w:p>
        </w:tc>
        <w:tc>
          <w:tcPr>
            <w:tcW w:w="861" w:type="pct"/>
            <w:tcBorders>
              <w:top w:val="nil"/>
              <w:left w:val="nil"/>
              <w:bottom w:val="nil"/>
              <w:right w:val="nil"/>
            </w:tcBorders>
            <w:noWrap/>
            <w:vAlign w:val="center"/>
            <w:hideMark/>
          </w:tcPr>
          <w:p w14:paraId="7B252AC9"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51.50±21.99</w:t>
            </w:r>
            <w:r w:rsidRPr="009F1497">
              <w:rPr>
                <w:rFonts w:ascii="Arial" w:eastAsia="Times New Roman" w:hAnsi="Arial" w:cs="Arial"/>
                <w:color w:val="000000"/>
                <w:sz w:val="20"/>
                <w:szCs w:val="20"/>
                <w:vertAlign w:val="superscript"/>
                <w:lang w:val="en-GB" w:eastAsia="fr-FR"/>
              </w:rPr>
              <w:t>ab</w:t>
            </w:r>
          </w:p>
        </w:tc>
      </w:tr>
      <w:tr w:rsidR="00686B6F" w:rsidRPr="009F1497" w14:paraId="51B21E0B" w14:textId="77777777" w:rsidTr="00AC26D8">
        <w:trPr>
          <w:trHeight w:val="320"/>
        </w:trPr>
        <w:tc>
          <w:tcPr>
            <w:tcW w:w="1105" w:type="pct"/>
            <w:tcBorders>
              <w:top w:val="nil"/>
              <w:left w:val="nil"/>
              <w:bottom w:val="nil"/>
              <w:right w:val="nil"/>
            </w:tcBorders>
            <w:noWrap/>
            <w:vAlign w:val="center"/>
            <w:hideMark/>
          </w:tcPr>
          <w:p w14:paraId="56DA15D5"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P3J2S2</w:t>
            </w:r>
          </w:p>
        </w:tc>
        <w:tc>
          <w:tcPr>
            <w:tcW w:w="1066" w:type="pct"/>
            <w:tcBorders>
              <w:top w:val="nil"/>
              <w:left w:val="nil"/>
              <w:bottom w:val="nil"/>
              <w:right w:val="nil"/>
            </w:tcBorders>
            <w:noWrap/>
            <w:vAlign w:val="center"/>
            <w:hideMark/>
          </w:tcPr>
          <w:p w14:paraId="07846C71" w14:textId="77777777" w:rsidR="00686B6F" w:rsidRPr="009F1497" w:rsidRDefault="00686B6F" w:rsidP="004B2723">
            <w:pPr>
              <w:spacing w:after="0" w:line="240" w:lineRule="auto"/>
              <w:jc w:val="both"/>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788.25±159.96</w:t>
            </w:r>
            <w:r w:rsidRPr="009F1497">
              <w:rPr>
                <w:rFonts w:ascii="Arial" w:eastAsia="Times New Roman" w:hAnsi="Arial" w:cs="Arial"/>
                <w:color w:val="000000"/>
                <w:sz w:val="20"/>
                <w:szCs w:val="20"/>
                <w:vertAlign w:val="superscript"/>
                <w:lang w:val="en-GB" w:eastAsia="fr-FR"/>
              </w:rPr>
              <w:t>bc</w:t>
            </w:r>
          </w:p>
        </w:tc>
        <w:tc>
          <w:tcPr>
            <w:tcW w:w="1019" w:type="pct"/>
            <w:tcBorders>
              <w:top w:val="nil"/>
              <w:left w:val="nil"/>
              <w:bottom w:val="nil"/>
              <w:right w:val="nil"/>
            </w:tcBorders>
            <w:noWrap/>
            <w:vAlign w:val="center"/>
            <w:hideMark/>
          </w:tcPr>
          <w:p w14:paraId="7E40D947"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392.50±71.62</w:t>
            </w:r>
            <w:r w:rsidRPr="009F1497">
              <w:rPr>
                <w:rFonts w:ascii="Arial" w:eastAsia="Times New Roman" w:hAnsi="Arial" w:cs="Arial"/>
                <w:color w:val="000000"/>
                <w:sz w:val="20"/>
                <w:szCs w:val="20"/>
                <w:vertAlign w:val="superscript"/>
                <w:lang w:val="en-GB" w:eastAsia="fr-FR"/>
              </w:rPr>
              <w:t>c</w:t>
            </w:r>
          </w:p>
        </w:tc>
        <w:tc>
          <w:tcPr>
            <w:tcW w:w="948" w:type="pct"/>
            <w:tcBorders>
              <w:top w:val="nil"/>
              <w:left w:val="nil"/>
              <w:bottom w:val="nil"/>
              <w:right w:val="nil"/>
            </w:tcBorders>
            <w:noWrap/>
            <w:vAlign w:val="center"/>
            <w:hideMark/>
          </w:tcPr>
          <w:p w14:paraId="18DC7BC5"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60.6700±21,68</w:t>
            </w:r>
            <w:r w:rsidRPr="009F1497">
              <w:rPr>
                <w:rFonts w:ascii="Arial" w:eastAsia="Times New Roman" w:hAnsi="Arial" w:cs="Arial"/>
                <w:color w:val="000000"/>
                <w:sz w:val="20"/>
                <w:szCs w:val="20"/>
                <w:vertAlign w:val="superscript"/>
                <w:lang w:val="en-GB" w:eastAsia="fr-FR"/>
              </w:rPr>
              <w:t>a</w:t>
            </w:r>
          </w:p>
        </w:tc>
        <w:tc>
          <w:tcPr>
            <w:tcW w:w="861" w:type="pct"/>
            <w:tcBorders>
              <w:top w:val="nil"/>
              <w:left w:val="nil"/>
              <w:bottom w:val="nil"/>
              <w:right w:val="nil"/>
            </w:tcBorders>
            <w:noWrap/>
            <w:vAlign w:val="center"/>
            <w:hideMark/>
          </w:tcPr>
          <w:p w14:paraId="5D84FB86"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59.00±9.89</w:t>
            </w:r>
            <w:r w:rsidRPr="009F1497">
              <w:rPr>
                <w:rFonts w:ascii="Arial" w:eastAsia="Times New Roman" w:hAnsi="Arial" w:cs="Arial"/>
                <w:color w:val="000000"/>
                <w:sz w:val="20"/>
                <w:szCs w:val="20"/>
                <w:vertAlign w:val="superscript"/>
                <w:lang w:val="en-GB" w:eastAsia="fr-FR"/>
              </w:rPr>
              <w:t>ab</w:t>
            </w:r>
          </w:p>
        </w:tc>
      </w:tr>
      <w:tr w:rsidR="00686B6F" w:rsidRPr="009F1497" w14:paraId="0DDE3B52" w14:textId="77777777" w:rsidTr="00AC26D8">
        <w:trPr>
          <w:trHeight w:val="320"/>
        </w:trPr>
        <w:tc>
          <w:tcPr>
            <w:tcW w:w="1105" w:type="pct"/>
            <w:tcBorders>
              <w:top w:val="nil"/>
              <w:left w:val="nil"/>
              <w:bottom w:val="nil"/>
              <w:right w:val="nil"/>
            </w:tcBorders>
            <w:noWrap/>
            <w:vAlign w:val="center"/>
            <w:hideMark/>
          </w:tcPr>
          <w:p w14:paraId="39376815"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P3J2S3</w:t>
            </w:r>
          </w:p>
        </w:tc>
        <w:tc>
          <w:tcPr>
            <w:tcW w:w="1066" w:type="pct"/>
            <w:tcBorders>
              <w:top w:val="nil"/>
              <w:left w:val="nil"/>
              <w:bottom w:val="nil"/>
              <w:right w:val="nil"/>
            </w:tcBorders>
            <w:noWrap/>
            <w:vAlign w:val="center"/>
            <w:hideMark/>
          </w:tcPr>
          <w:p w14:paraId="1DA0D089" w14:textId="77777777" w:rsidR="00686B6F" w:rsidRPr="009F1497" w:rsidRDefault="00686B6F" w:rsidP="004B2723">
            <w:pPr>
              <w:spacing w:after="0" w:line="240" w:lineRule="auto"/>
              <w:jc w:val="both"/>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1117.25±687.71</w:t>
            </w:r>
            <w:r w:rsidRPr="009F1497">
              <w:rPr>
                <w:rFonts w:ascii="Arial" w:eastAsia="Times New Roman" w:hAnsi="Arial" w:cs="Arial"/>
                <w:color w:val="000000"/>
                <w:sz w:val="20"/>
                <w:szCs w:val="20"/>
                <w:vertAlign w:val="superscript"/>
                <w:lang w:val="en-GB" w:eastAsia="fr-FR"/>
              </w:rPr>
              <w:t>bc</w:t>
            </w:r>
          </w:p>
        </w:tc>
        <w:tc>
          <w:tcPr>
            <w:tcW w:w="1019" w:type="pct"/>
            <w:tcBorders>
              <w:top w:val="nil"/>
              <w:left w:val="nil"/>
              <w:bottom w:val="nil"/>
              <w:right w:val="nil"/>
            </w:tcBorders>
            <w:noWrap/>
            <w:vAlign w:val="center"/>
            <w:hideMark/>
          </w:tcPr>
          <w:p w14:paraId="3D6CE89E"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336.00±68.87</w:t>
            </w:r>
            <w:r w:rsidRPr="009F1497">
              <w:rPr>
                <w:rFonts w:ascii="Arial" w:eastAsia="Times New Roman" w:hAnsi="Arial" w:cs="Arial"/>
                <w:color w:val="000000"/>
                <w:sz w:val="20"/>
                <w:szCs w:val="20"/>
                <w:vertAlign w:val="superscript"/>
                <w:lang w:val="en-GB" w:eastAsia="fr-FR"/>
              </w:rPr>
              <w:t>bc</w:t>
            </w:r>
          </w:p>
        </w:tc>
        <w:tc>
          <w:tcPr>
            <w:tcW w:w="948" w:type="pct"/>
            <w:tcBorders>
              <w:top w:val="nil"/>
              <w:left w:val="nil"/>
              <w:bottom w:val="nil"/>
              <w:right w:val="nil"/>
            </w:tcBorders>
            <w:noWrap/>
            <w:vAlign w:val="center"/>
            <w:hideMark/>
          </w:tcPr>
          <w:p w14:paraId="1624CEDE"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43.6150±19,77</w:t>
            </w:r>
            <w:r w:rsidRPr="009F1497">
              <w:rPr>
                <w:rFonts w:ascii="Arial" w:eastAsia="Times New Roman" w:hAnsi="Arial" w:cs="Arial"/>
                <w:color w:val="000000"/>
                <w:sz w:val="20"/>
                <w:szCs w:val="20"/>
                <w:vertAlign w:val="superscript"/>
                <w:lang w:val="en-GB" w:eastAsia="fr-FR"/>
              </w:rPr>
              <w:t>a</w:t>
            </w:r>
          </w:p>
        </w:tc>
        <w:tc>
          <w:tcPr>
            <w:tcW w:w="861" w:type="pct"/>
            <w:tcBorders>
              <w:top w:val="nil"/>
              <w:left w:val="nil"/>
              <w:bottom w:val="nil"/>
              <w:right w:val="nil"/>
            </w:tcBorders>
            <w:noWrap/>
            <w:vAlign w:val="center"/>
            <w:hideMark/>
          </w:tcPr>
          <w:p w14:paraId="1D20C97B"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62.00±7.83</w:t>
            </w:r>
            <w:r w:rsidRPr="009F1497">
              <w:rPr>
                <w:rFonts w:ascii="Arial" w:eastAsia="Times New Roman" w:hAnsi="Arial" w:cs="Arial"/>
                <w:color w:val="000000"/>
                <w:sz w:val="20"/>
                <w:szCs w:val="20"/>
                <w:vertAlign w:val="superscript"/>
                <w:lang w:val="en-GB" w:eastAsia="fr-FR"/>
              </w:rPr>
              <w:t>a</w:t>
            </w:r>
          </w:p>
        </w:tc>
      </w:tr>
      <w:tr w:rsidR="00686B6F" w:rsidRPr="009F1497" w14:paraId="5F7114CC" w14:textId="77777777" w:rsidTr="00AC26D8">
        <w:trPr>
          <w:trHeight w:val="320"/>
        </w:trPr>
        <w:tc>
          <w:tcPr>
            <w:tcW w:w="1105" w:type="pct"/>
            <w:tcBorders>
              <w:top w:val="nil"/>
              <w:left w:val="nil"/>
              <w:bottom w:val="nil"/>
              <w:right w:val="nil"/>
            </w:tcBorders>
            <w:noWrap/>
            <w:vAlign w:val="center"/>
            <w:hideMark/>
          </w:tcPr>
          <w:p w14:paraId="21965EC8"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P4J2S1</w:t>
            </w:r>
          </w:p>
        </w:tc>
        <w:tc>
          <w:tcPr>
            <w:tcW w:w="1066" w:type="pct"/>
            <w:tcBorders>
              <w:top w:val="nil"/>
              <w:left w:val="nil"/>
              <w:bottom w:val="nil"/>
              <w:right w:val="nil"/>
            </w:tcBorders>
            <w:noWrap/>
            <w:vAlign w:val="center"/>
            <w:hideMark/>
          </w:tcPr>
          <w:p w14:paraId="20BED5A8" w14:textId="77777777" w:rsidR="00686B6F" w:rsidRPr="009F1497" w:rsidRDefault="00686B6F" w:rsidP="004B2723">
            <w:pPr>
              <w:spacing w:after="0" w:line="240" w:lineRule="auto"/>
              <w:jc w:val="both"/>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1289.50±502.21</w:t>
            </w:r>
            <w:r w:rsidRPr="009F1497">
              <w:rPr>
                <w:rFonts w:ascii="Arial" w:eastAsia="Times New Roman" w:hAnsi="Arial" w:cs="Arial"/>
                <w:color w:val="000000"/>
                <w:sz w:val="20"/>
                <w:szCs w:val="20"/>
                <w:vertAlign w:val="superscript"/>
                <w:lang w:val="en-GB" w:eastAsia="fr-FR"/>
              </w:rPr>
              <w:t>ac</w:t>
            </w:r>
          </w:p>
        </w:tc>
        <w:tc>
          <w:tcPr>
            <w:tcW w:w="1019" w:type="pct"/>
            <w:tcBorders>
              <w:top w:val="nil"/>
              <w:left w:val="nil"/>
              <w:bottom w:val="nil"/>
              <w:right w:val="nil"/>
            </w:tcBorders>
            <w:noWrap/>
            <w:vAlign w:val="center"/>
            <w:hideMark/>
          </w:tcPr>
          <w:p w14:paraId="54174DF2"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202.50±82.21</w:t>
            </w:r>
            <w:r w:rsidRPr="009F1497">
              <w:rPr>
                <w:rFonts w:ascii="Arial" w:eastAsia="Times New Roman" w:hAnsi="Arial" w:cs="Arial"/>
                <w:color w:val="000000"/>
                <w:sz w:val="20"/>
                <w:szCs w:val="20"/>
                <w:vertAlign w:val="superscript"/>
                <w:lang w:val="en-GB" w:eastAsia="fr-FR"/>
              </w:rPr>
              <w:t>ab</w:t>
            </w:r>
          </w:p>
        </w:tc>
        <w:tc>
          <w:tcPr>
            <w:tcW w:w="948" w:type="pct"/>
            <w:tcBorders>
              <w:top w:val="nil"/>
              <w:left w:val="nil"/>
              <w:bottom w:val="nil"/>
              <w:right w:val="nil"/>
            </w:tcBorders>
            <w:noWrap/>
            <w:vAlign w:val="center"/>
            <w:hideMark/>
          </w:tcPr>
          <w:p w14:paraId="1D16146F"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84.8750±14,78</w:t>
            </w:r>
            <w:r w:rsidRPr="009F1497">
              <w:rPr>
                <w:rFonts w:ascii="Arial" w:eastAsia="Times New Roman" w:hAnsi="Arial" w:cs="Arial"/>
                <w:color w:val="000000"/>
                <w:sz w:val="20"/>
                <w:szCs w:val="20"/>
                <w:vertAlign w:val="superscript"/>
                <w:lang w:val="en-GB" w:eastAsia="fr-FR"/>
              </w:rPr>
              <w:t>a</w:t>
            </w:r>
          </w:p>
        </w:tc>
        <w:tc>
          <w:tcPr>
            <w:tcW w:w="861" w:type="pct"/>
            <w:tcBorders>
              <w:top w:val="nil"/>
              <w:left w:val="nil"/>
              <w:bottom w:val="nil"/>
              <w:right w:val="nil"/>
            </w:tcBorders>
            <w:noWrap/>
            <w:vAlign w:val="center"/>
            <w:hideMark/>
          </w:tcPr>
          <w:p w14:paraId="731A9FCB"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42.50±11.59</w:t>
            </w:r>
            <w:r w:rsidRPr="009F1497">
              <w:rPr>
                <w:rFonts w:ascii="Arial" w:eastAsia="Times New Roman" w:hAnsi="Arial" w:cs="Arial"/>
                <w:color w:val="000000"/>
                <w:sz w:val="20"/>
                <w:szCs w:val="20"/>
                <w:vertAlign w:val="superscript"/>
                <w:lang w:val="en-GB" w:eastAsia="fr-FR"/>
              </w:rPr>
              <w:t>ab</w:t>
            </w:r>
          </w:p>
        </w:tc>
      </w:tr>
      <w:tr w:rsidR="00686B6F" w:rsidRPr="009F1497" w14:paraId="41C79DE2" w14:textId="77777777" w:rsidTr="00AC26D8">
        <w:trPr>
          <w:trHeight w:val="320"/>
        </w:trPr>
        <w:tc>
          <w:tcPr>
            <w:tcW w:w="1105" w:type="pct"/>
            <w:tcBorders>
              <w:top w:val="nil"/>
              <w:left w:val="nil"/>
              <w:bottom w:val="nil"/>
              <w:right w:val="nil"/>
            </w:tcBorders>
            <w:noWrap/>
            <w:vAlign w:val="center"/>
            <w:hideMark/>
          </w:tcPr>
          <w:p w14:paraId="1037BF3D"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P4J2S2</w:t>
            </w:r>
          </w:p>
        </w:tc>
        <w:tc>
          <w:tcPr>
            <w:tcW w:w="1066" w:type="pct"/>
            <w:tcBorders>
              <w:top w:val="nil"/>
              <w:left w:val="nil"/>
              <w:bottom w:val="nil"/>
              <w:right w:val="nil"/>
            </w:tcBorders>
            <w:noWrap/>
            <w:vAlign w:val="center"/>
            <w:hideMark/>
          </w:tcPr>
          <w:p w14:paraId="45B03491" w14:textId="77777777" w:rsidR="00686B6F" w:rsidRPr="009F1497" w:rsidRDefault="00686B6F" w:rsidP="004B2723">
            <w:pPr>
              <w:spacing w:after="0" w:line="240" w:lineRule="auto"/>
              <w:jc w:val="both"/>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701.50±244.031</w:t>
            </w:r>
            <w:r w:rsidRPr="009F1497">
              <w:rPr>
                <w:rFonts w:ascii="Arial" w:eastAsia="Times New Roman" w:hAnsi="Arial" w:cs="Arial"/>
                <w:color w:val="000000"/>
                <w:sz w:val="20"/>
                <w:szCs w:val="20"/>
                <w:vertAlign w:val="superscript"/>
                <w:lang w:val="en-GB" w:eastAsia="fr-FR"/>
              </w:rPr>
              <w:t>bc</w:t>
            </w:r>
          </w:p>
        </w:tc>
        <w:tc>
          <w:tcPr>
            <w:tcW w:w="1019" w:type="pct"/>
            <w:tcBorders>
              <w:top w:val="nil"/>
              <w:left w:val="nil"/>
              <w:bottom w:val="nil"/>
              <w:right w:val="nil"/>
            </w:tcBorders>
            <w:noWrap/>
            <w:vAlign w:val="center"/>
            <w:hideMark/>
          </w:tcPr>
          <w:p w14:paraId="13DD7B5D"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162.75±98.59</w:t>
            </w:r>
            <w:r w:rsidRPr="009F1497">
              <w:rPr>
                <w:rFonts w:ascii="Arial" w:eastAsia="Times New Roman" w:hAnsi="Arial" w:cs="Arial"/>
                <w:color w:val="000000"/>
                <w:sz w:val="20"/>
                <w:szCs w:val="20"/>
                <w:vertAlign w:val="superscript"/>
                <w:lang w:val="en-GB" w:eastAsia="fr-FR"/>
              </w:rPr>
              <w:t>a</w:t>
            </w:r>
          </w:p>
        </w:tc>
        <w:tc>
          <w:tcPr>
            <w:tcW w:w="948" w:type="pct"/>
            <w:tcBorders>
              <w:top w:val="nil"/>
              <w:left w:val="nil"/>
              <w:bottom w:val="nil"/>
              <w:right w:val="nil"/>
            </w:tcBorders>
            <w:noWrap/>
            <w:vAlign w:val="center"/>
            <w:hideMark/>
          </w:tcPr>
          <w:p w14:paraId="32D26CB6"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63.0575±32,0</w:t>
            </w:r>
            <w:r w:rsidRPr="009F1497">
              <w:rPr>
                <w:rFonts w:ascii="Arial" w:eastAsia="Times New Roman" w:hAnsi="Arial" w:cs="Arial"/>
                <w:color w:val="000000"/>
                <w:sz w:val="20"/>
                <w:szCs w:val="20"/>
                <w:vertAlign w:val="superscript"/>
                <w:lang w:val="en-GB" w:eastAsia="fr-FR"/>
              </w:rPr>
              <w:t xml:space="preserve">a   </w:t>
            </w:r>
            <w:r w:rsidRPr="009F1497">
              <w:rPr>
                <w:rFonts w:ascii="Arial" w:eastAsia="Times New Roman" w:hAnsi="Arial" w:cs="Arial"/>
                <w:color w:val="000000"/>
                <w:sz w:val="20"/>
                <w:szCs w:val="20"/>
                <w:lang w:val="en-GB" w:eastAsia="fr-FR"/>
              </w:rPr>
              <w:t xml:space="preserve"> </w:t>
            </w:r>
          </w:p>
        </w:tc>
        <w:tc>
          <w:tcPr>
            <w:tcW w:w="861" w:type="pct"/>
            <w:tcBorders>
              <w:top w:val="nil"/>
              <w:left w:val="nil"/>
              <w:bottom w:val="nil"/>
              <w:right w:val="nil"/>
            </w:tcBorders>
            <w:noWrap/>
            <w:vAlign w:val="center"/>
            <w:hideMark/>
          </w:tcPr>
          <w:p w14:paraId="4DA1585C"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39.50±10.25</w:t>
            </w:r>
            <w:r w:rsidRPr="009F1497">
              <w:rPr>
                <w:rFonts w:ascii="Arial" w:eastAsia="Times New Roman" w:hAnsi="Arial" w:cs="Arial"/>
                <w:color w:val="000000"/>
                <w:sz w:val="20"/>
                <w:szCs w:val="20"/>
                <w:vertAlign w:val="superscript"/>
                <w:lang w:val="en-GB" w:eastAsia="fr-FR"/>
              </w:rPr>
              <w:t>ab</w:t>
            </w:r>
          </w:p>
        </w:tc>
      </w:tr>
      <w:tr w:rsidR="00686B6F" w:rsidRPr="009F1497" w14:paraId="281CE732" w14:textId="77777777" w:rsidTr="00AC26D8">
        <w:trPr>
          <w:trHeight w:val="330"/>
        </w:trPr>
        <w:tc>
          <w:tcPr>
            <w:tcW w:w="1105" w:type="pct"/>
            <w:tcBorders>
              <w:top w:val="nil"/>
              <w:left w:val="nil"/>
              <w:bottom w:val="single" w:sz="8" w:space="0" w:color="000000"/>
              <w:right w:val="nil"/>
            </w:tcBorders>
            <w:noWrap/>
            <w:vAlign w:val="center"/>
            <w:hideMark/>
          </w:tcPr>
          <w:p w14:paraId="2200C67D"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P4J2S3</w:t>
            </w:r>
          </w:p>
        </w:tc>
        <w:tc>
          <w:tcPr>
            <w:tcW w:w="1066" w:type="pct"/>
            <w:tcBorders>
              <w:top w:val="nil"/>
              <w:left w:val="nil"/>
              <w:bottom w:val="single" w:sz="8" w:space="0" w:color="000000"/>
              <w:right w:val="nil"/>
            </w:tcBorders>
            <w:noWrap/>
            <w:vAlign w:val="center"/>
            <w:hideMark/>
          </w:tcPr>
          <w:p w14:paraId="12CB65A8" w14:textId="77777777" w:rsidR="00686B6F" w:rsidRPr="009F1497" w:rsidRDefault="00686B6F" w:rsidP="004B2723">
            <w:pPr>
              <w:spacing w:after="0" w:line="240" w:lineRule="auto"/>
              <w:jc w:val="both"/>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1053.25±304.00</w:t>
            </w:r>
            <w:r w:rsidRPr="009F1497">
              <w:rPr>
                <w:rFonts w:ascii="Arial" w:eastAsia="Times New Roman" w:hAnsi="Arial" w:cs="Arial"/>
                <w:color w:val="000000"/>
                <w:sz w:val="20"/>
                <w:szCs w:val="20"/>
                <w:vertAlign w:val="superscript"/>
                <w:lang w:val="en-GB" w:eastAsia="fr-FR"/>
              </w:rPr>
              <w:t>bc</w:t>
            </w:r>
          </w:p>
        </w:tc>
        <w:tc>
          <w:tcPr>
            <w:tcW w:w="1019" w:type="pct"/>
            <w:tcBorders>
              <w:top w:val="nil"/>
              <w:left w:val="nil"/>
              <w:bottom w:val="single" w:sz="8" w:space="0" w:color="000000"/>
              <w:right w:val="nil"/>
            </w:tcBorders>
            <w:noWrap/>
            <w:vAlign w:val="center"/>
            <w:hideMark/>
          </w:tcPr>
          <w:p w14:paraId="20079302"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249.75±82.17</w:t>
            </w:r>
            <w:r w:rsidRPr="009F1497">
              <w:rPr>
                <w:rFonts w:ascii="Arial" w:eastAsia="Times New Roman" w:hAnsi="Arial" w:cs="Arial"/>
                <w:color w:val="000000"/>
                <w:sz w:val="20"/>
                <w:szCs w:val="20"/>
                <w:vertAlign w:val="superscript"/>
                <w:lang w:val="en-GB" w:eastAsia="fr-FR"/>
              </w:rPr>
              <w:t>ac</w:t>
            </w:r>
          </w:p>
        </w:tc>
        <w:tc>
          <w:tcPr>
            <w:tcW w:w="948" w:type="pct"/>
            <w:tcBorders>
              <w:top w:val="nil"/>
              <w:left w:val="nil"/>
              <w:bottom w:val="single" w:sz="8" w:space="0" w:color="000000"/>
              <w:right w:val="nil"/>
            </w:tcBorders>
            <w:noWrap/>
            <w:vAlign w:val="center"/>
            <w:hideMark/>
          </w:tcPr>
          <w:p w14:paraId="5D9F774F"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46.4125±20,09</w:t>
            </w:r>
            <w:r w:rsidRPr="009F1497">
              <w:rPr>
                <w:rFonts w:ascii="Arial" w:eastAsia="Times New Roman" w:hAnsi="Arial" w:cs="Arial"/>
                <w:color w:val="000000"/>
                <w:sz w:val="20"/>
                <w:szCs w:val="20"/>
                <w:vertAlign w:val="superscript"/>
                <w:lang w:val="en-GB" w:eastAsia="fr-FR"/>
              </w:rPr>
              <w:t xml:space="preserve">a </w:t>
            </w:r>
          </w:p>
        </w:tc>
        <w:tc>
          <w:tcPr>
            <w:tcW w:w="861" w:type="pct"/>
            <w:tcBorders>
              <w:top w:val="nil"/>
              <w:left w:val="nil"/>
              <w:bottom w:val="single" w:sz="8" w:space="0" w:color="000000"/>
              <w:right w:val="nil"/>
            </w:tcBorders>
            <w:noWrap/>
            <w:vAlign w:val="center"/>
            <w:hideMark/>
          </w:tcPr>
          <w:p w14:paraId="49B10BC2"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50.50±25.94</w:t>
            </w:r>
            <w:r w:rsidRPr="009F1497">
              <w:rPr>
                <w:rFonts w:ascii="Arial" w:eastAsia="Times New Roman" w:hAnsi="Arial" w:cs="Arial"/>
                <w:color w:val="000000"/>
                <w:sz w:val="20"/>
                <w:szCs w:val="20"/>
                <w:vertAlign w:val="superscript"/>
                <w:lang w:val="en-GB" w:eastAsia="fr-FR"/>
              </w:rPr>
              <w:t>ab</w:t>
            </w:r>
          </w:p>
        </w:tc>
      </w:tr>
      <w:tr w:rsidR="00686B6F" w:rsidRPr="009F1497" w14:paraId="78102B10" w14:textId="77777777" w:rsidTr="00AC26D8">
        <w:trPr>
          <w:trHeight w:val="300"/>
        </w:trPr>
        <w:tc>
          <w:tcPr>
            <w:tcW w:w="1105" w:type="pct"/>
            <w:tcBorders>
              <w:top w:val="nil"/>
              <w:left w:val="nil"/>
              <w:bottom w:val="nil"/>
              <w:right w:val="nil"/>
            </w:tcBorders>
            <w:noWrap/>
            <w:vAlign w:val="center"/>
            <w:hideMark/>
          </w:tcPr>
          <w:p w14:paraId="77DE3B35"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Pr&gt;(F)</w:t>
            </w:r>
          </w:p>
        </w:tc>
        <w:tc>
          <w:tcPr>
            <w:tcW w:w="1066" w:type="pct"/>
            <w:tcBorders>
              <w:top w:val="nil"/>
              <w:left w:val="nil"/>
              <w:bottom w:val="nil"/>
              <w:right w:val="nil"/>
            </w:tcBorders>
            <w:noWrap/>
            <w:vAlign w:val="center"/>
            <w:hideMark/>
          </w:tcPr>
          <w:p w14:paraId="23925C7D" w14:textId="77777777" w:rsidR="00686B6F" w:rsidRPr="009F1497" w:rsidRDefault="00686B6F" w:rsidP="004B2723">
            <w:pPr>
              <w:spacing w:after="0" w:line="240" w:lineRule="auto"/>
              <w:jc w:val="both"/>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0.00004</w:t>
            </w:r>
          </w:p>
        </w:tc>
        <w:tc>
          <w:tcPr>
            <w:tcW w:w="1019" w:type="pct"/>
            <w:tcBorders>
              <w:top w:val="nil"/>
              <w:left w:val="nil"/>
              <w:bottom w:val="nil"/>
              <w:right w:val="nil"/>
            </w:tcBorders>
            <w:noWrap/>
            <w:vAlign w:val="center"/>
            <w:hideMark/>
          </w:tcPr>
          <w:p w14:paraId="40F2E12E"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0.0000003</w:t>
            </w:r>
          </w:p>
        </w:tc>
        <w:tc>
          <w:tcPr>
            <w:tcW w:w="948" w:type="pct"/>
            <w:tcBorders>
              <w:top w:val="nil"/>
              <w:left w:val="nil"/>
              <w:bottom w:val="nil"/>
              <w:right w:val="nil"/>
            </w:tcBorders>
            <w:noWrap/>
            <w:vAlign w:val="center"/>
            <w:hideMark/>
          </w:tcPr>
          <w:p w14:paraId="40B57D46"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0.118</w:t>
            </w:r>
          </w:p>
        </w:tc>
        <w:tc>
          <w:tcPr>
            <w:tcW w:w="861" w:type="pct"/>
            <w:tcBorders>
              <w:top w:val="nil"/>
              <w:left w:val="nil"/>
              <w:bottom w:val="nil"/>
              <w:right w:val="nil"/>
            </w:tcBorders>
            <w:noWrap/>
            <w:vAlign w:val="center"/>
            <w:hideMark/>
          </w:tcPr>
          <w:p w14:paraId="0D93BEEC"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0.003</w:t>
            </w:r>
          </w:p>
        </w:tc>
      </w:tr>
      <w:tr w:rsidR="00686B6F" w:rsidRPr="009F1497" w14:paraId="01DD6532" w14:textId="77777777" w:rsidTr="00AC26D8">
        <w:trPr>
          <w:trHeight w:val="310"/>
        </w:trPr>
        <w:tc>
          <w:tcPr>
            <w:tcW w:w="1105" w:type="pct"/>
            <w:tcBorders>
              <w:top w:val="nil"/>
              <w:left w:val="nil"/>
              <w:bottom w:val="single" w:sz="8" w:space="0" w:color="auto"/>
              <w:right w:val="nil"/>
            </w:tcBorders>
            <w:noWrap/>
            <w:vAlign w:val="center"/>
            <w:hideMark/>
          </w:tcPr>
          <w:p w14:paraId="1F510205"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Significance</w:t>
            </w:r>
          </w:p>
        </w:tc>
        <w:tc>
          <w:tcPr>
            <w:tcW w:w="1066" w:type="pct"/>
            <w:tcBorders>
              <w:top w:val="nil"/>
              <w:left w:val="nil"/>
              <w:bottom w:val="single" w:sz="8" w:space="0" w:color="auto"/>
              <w:right w:val="nil"/>
            </w:tcBorders>
            <w:noWrap/>
            <w:vAlign w:val="center"/>
            <w:hideMark/>
          </w:tcPr>
          <w:p w14:paraId="01C74161" w14:textId="77777777" w:rsidR="00686B6F" w:rsidRPr="009F1497" w:rsidRDefault="00686B6F" w:rsidP="004B2723">
            <w:pPr>
              <w:spacing w:after="0" w:line="240" w:lineRule="auto"/>
              <w:jc w:val="both"/>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S</w:t>
            </w:r>
          </w:p>
        </w:tc>
        <w:tc>
          <w:tcPr>
            <w:tcW w:w="1019" w:type="pct"/>
            <w:tcBorders>
              <w:top w:val="nil"/>
              <w:left w:val="nil"/>
              <w:bottom w:val="single" w:sz="8" w:space="0" w:color="auto"/>
              <w:right w:val="nil"/>
            </w:tcBorders>
            <w:noWrap/>
            <w:vAlign w:val="center"/>
            <w:hideMark/>
          </w:tcPr>
          <w:p w14:paraId="5423C542"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S</w:t>
            </w:r>
          </w:p>
        </w:tc>
        <w:tc>
          <w:tcPr>
            <w:tcW w:w="948" w:type="pct"/>
            <w:tcBorders>
              <w:top w:val="nil"/>
              <w:left w:val="nil"/>
              <w:bottom w:val="single" w:sz="8" w:space="0" w:color="auto"/>
              <w:right w:val="nil"/>
            </w:tcBorders>
            <w:noWrap/>
            <w:vAlign w:val="center"/>
            <w:hideMark/>
          </w:tcPr>
          <w:p w14:paraId="7B535675"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NS</w:t>
            </w:r>
          </w:p>
        </w:tc>
        <w:tc>
          <w:tcPr>
            <w:tcW w:w="861" w:type="pct"/>
            <w:tcBorders>
              <w:top w:val="nil"/>
              <w:left w:val="nil"/>
              <w:bottom w:val="single" w:sz="8" w:space="0" w:color="auto"/>
              <w:right w:val="nil"/>
            </w:tcBorders>
            <w:noWrap/>
            <w:vAlign w:val="center"/>
            <w:hideMark/>
          </w:tcPr>
          <w:p w14:paraId="4728C369"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S</w:t>
            </w:r>
          </w:p>
        </w:tc>
      </w:tr>
    </w:tbl>
    <w:p w14:paraId="7874F2C6" w14:textId="77777777" w:rsidR="00B34C2C" w:rsidRPr="005B3365" w:rsidRDefault="00686B6F" w:rsidP="00B34C2C">
      <w:pPr>
        <w:spacing w:line="240" w:lineRule="auto"/>
        <w:jc w:val="both"/>
        <w:rPr>
          <w:rFonts w:ascii="Arial" w:hAnsi="Arial" w:cs="Arial"/>
          <w:sz w:val="18"/>
          <w:szCs w:val="18"/>
          <w:lang w:val="en-GB"/>
        </w:rPr>
      </w:pPr>
      <w:r w:rsidRPr="009F1497">
        <w:rPr>
          <w:rFonts w:ascii="Arial" w:hAnsi="Arial" w:cs="Arial"/>
          <w:sz w:val="18"/>
          <w:szCs w:val="18"/>
          <w:lang w:val="en-GB"/>
        </w:rPr>
        <w:t>Legend: P1: first sampling point; P2: second sampling point; P3: third sampling point; P4: fourth sampling point. J1: confluence point upstream of the WWTP treated wastewater discharge; J2: confluence point downstream of the WWTP treated wastewater discharge. S1: dry season; S2: cool season; S3: hot season. NS: not significant; S: significant</w:t>
      </w:r>
      <w:r w:rsidR="00B34C2C">
        <w:rPr>
          <w:rFonts w:ascii="Arial" w:hAnsi="Arial" w:cs="Arial"/>
          <w:sz w:val="18"/>
          <w:szCs w:val="18"/>
          <w:lang w:val="en-GB"/>
        </w:rPr>
        <w:t xml:space="preserve">; </w:t>
      </w:r>
      <w:r w:rsidR="00B34C2C" w:rsidRPr="005B3365">
        <w:rPr>
          <w:rFonts w:ascii="Arial" w:hAnsi="Arial" w:cs="Arial"/>
          <w:sz w:val="18"/>
          <w:szCs w:val="18"/>
          <w:lang w:val="en-GB"/>
        </w:rPr>
        <w:t xml:space="preserve">EC: </w:t>
      </w:r>
      <w:r w:rsidR="00B34C2C" w:rsidRPr="00287E7C">
        <w:rPr>
          <w:rFonts w:ascii="Arial" w:hAnsi="Arial" w:cs="Arial"/>
          <w:sz w:val="18"/>
          <w:szCs w:val="18"/>
        </w:rPr>
        <w:t xml:space="preserve">Electrical conductivity; TDS: </w:t>
      </w:r>
      <w:r w:rsidR="00B34C2C" w:rsidRPr="00287E7C">
        <w:rPr>
          <w:rFonts w:ascii="Arial" w:hAnsi="Arial" w:cs="Arial"/>
          <w:sz w:val="18"/>
          <w:szCs w:val="18"/>
          <w:lang w:val="en-GB"/>
        </w:rPr>
        <w:t>Total dissolved solids</w:t>
      </w:r>
      <w:r w:rsidR="00B34C2C" w:rsidRPr="005B3365">
        <w:rPr>
          <w:rFonts w:ascii="Arial" w:hAnsi="Arial" w:cs="Arial"/>
          <w:sz w:val="18"/>
          <w:szCs w:val="18"/>
          <w:lang w:val="en-GB"/>
        </w:rPr>
        <w:t xml:space="preserve">; </w:t>
      </w:r>
      <w:r w:rsidR="00B34C2C" w:rsidRPr="00287E7C">
        <w:rPr>
          <w:rFonts w:ascii="Arial" w:hAnsi="Arial" w:cs="Arial"/>
          <w:sz w:val="18"/>
          <w:szCs w:val="18"/>
        </w:rPr>
        <w:t xml:space="preserve">a: group 1 (different from b and c); b: group 2 (different from a); c: group 3 (different from a and b); ab: belongs to groups a and b; bc: not significantly different from b or c; ac: not significantly different from a or c. </w:t>
      </w:r>
    </w:p>
    <w:p w14:paraId="257FDEAC" w14:textId="1EDA8EA9" w:rsidR="00686B6F" w:rsidRPr="009F1497" w:rsidRDefault="00686B6F" w:rsidP="004B2723">
      <w:pPr>
        <w:spacing w:line="240" w:lineRule="auto"/>
        <w:jc w:val="both"/>
        <w:rPr>
          <w:rFonts w:ascii="Arial" w:hAnsi="Arial" w:cs="Arial"/>
          <w:sz w:val="18"/>
          <w:szCs w:val="18"/>
          <w:lang w:val="en-GB"/>
        </w:rPr>
      </w:pPr>
    </w:p>
    <w:p w14:paraId="20CFACA3" w14:textId="77777777" w:rsidR="00A65DA4" w:rsidRDefault="00A65DA4" w:rsidP="004B2723">
      <w:pPr>
        <w:spacing w:after="160" w:line="240" w:lineRule="auto"/>
        <w:jc w:val="both"/>
        <w:rPr>
          <w:rFonts w:ascii="Arial" w:hAnsi="Arial" w:cs="Arial"/>
          <w:sz w:val="20"/>
          <w:szCs w:val="20"/>
          <w:lang w:val="en-GB"/>
        </w:rPr>
      </w:pPr>
    </w:p>
    <w:p w14:paraId="478325E5" w14:textId="77777777" w:rsidR="00A65DA4" w:rsidRDefault="00A65DA4" w:rsidP="004B2723">
      <w:pPr>
        <w:spacing w:after="160" w:line="240" w:lineRule="auto"/>
        <w:jc w:val="both"/>
        <w:rPr>
          <w:rFonts w:ascii="Arial" w:hAnsi="Arial" w:cs="Arial"/>
          <w:sz w:val="20"/>
          <w:szCs w:val="20"/>
          <w:lang w:val="en-GB"/>
        </w:rPr>
      </w:pPr>
    </w:p>
    <w:p w14:paraId="519845CC" w14:textId="77777777" w:rsidR="00A65DA4" w:rsidRDefault="00A65DA4" w:rsidP="004B2723">
      <w:pPr>
        <w:spacing w:after="160" w:line="240" w:lineRule="auto"/>
        <w:jc w:val="both"/>
        <w:rPr>
          <w:rFonts w:ascii="Arial" w:hAnsi="Arial" w:cs="Arial"/>
          <w:sz w:val="20"/>
          <w:szCs w:val="20"/>
          <w:lang w:val="en-GB"/>
        </w:rPr>
      </w:pPr>
    </w:p>
    <w:p w14:paraId="4A98764A" w14:textId="77777777" w:rsidR="00A65DA4" w:rsidRDefault="00A65DA4" w:rsidP="004B2723">
      <w:pPr>
        <w:spacing w:after="160" w:line="240" w:lineRule="auto"/>
        <w:jc w:val="both"/>
        <w:rPr>
          <w:rFonts w:ascii="Arial" w:hAnsi="Arial" w:cs="Arial"/>
          <w:sz w:val="20"/>
          <w:szCs w:val="20"/>
          <w:lang w:val="en-GB"/>
        </w:rPr>
      </w:pPr>
    </w:p>
    <w:p w14:paraId="75220C14" w14:textId="77777777" w:rsidR="00A65DA4" w:rsidRDefault="00A65DA4" w:rsidP="004B2723">
      <w:pPr>
        <w:spacing w:after="160" w:line="240" w:lineRule="auto"/>
        <w:jc w:val="both"/>
        <w:rPr>
          <w:rFonts w:ascii="Arial" w:hAnsi="Arial" w:cs="Arial"/>
          <w:sz w:val="20"/>
          <w:szCs w:val="20"/>
          <w:lang w:val="en-GB"/>
        </w:rPr>
      </w:pPr>
    </w:p>
    <w:p w14:paraId="0FA79791" w14:textId="77777777" w:rsidR="00A65DA4" w:rsidRDefault="00A65DA4" w:rsidP="004B2723">
      <w:pPr>
        <w:spacing w:after="160" w:line="240" w:lineRule="auto"/>
        <w:jc w:val="both"/>
        <w:rPr>
          <w:rFonts w:ascii="Arial" w:hAnsi="Arial" w:cs="Arial"/>
          <w:sz w:val="20"/>
          <w:szCs w:val="20"/>
          <w:lang w:val="en-GB"/>
        </w:rPr>
      </w:pPr>
    </w:p>
    <w:p w14:paraId="628A03CF" w14:textId="77777777" w:rsidR="00A65DA4" w:rsidRDefault="00A65DA4" w:rsidP="004B2723">
      <w:pPr>
        <w:spacing w:after="160" w:line="240" w:lineRule="auto"/>
        <w:jc w:val="both"/>
        <w:rPr>
          <w:rFonts w:ascii="Arial" w:hAnsi="Arial" w:cs="Arial"/>
          <w:sz w:val="20"/>
          <w:szCs w:val="20"/>
          <w:lang w:val="en-GB"/>
        </w:rPr>
      </w:pPr>
    </w:p>
    <w:p w14:paraId="51B4332B" w14:textId="77777777" w:rsidR="00A65DA4" w:rsidRDefault="00A65DA4" w:rsidP="004B2723">
      <w:pPr>
        <w:spacing w:after="160" w:line="240" w:lineRule="auto"/>
        <w:jc w:val="both"/>
        <w:rPr>
          <w:rFonts w:ascii="Arial" w:hAnsi="Arial" w:cs="Arial"/>
          <w:sz w:val="20"/>
          <w:szCs w:val="20"/>
          <w:lang w:val="en-GB"/>
        </w:rPr>
      </w:pPr>
    </w:p>
    <w:p w14:paraId="358E261C" w14:textId="7814D173" w:rsidR="00686B6F" w:rsidRPr="009F1497" w:rsidRDefault="00686B6F" w:rsidP="004B2723">
      <w:pPr>
        <w:spacing w:after="160" w:line="240" w:lineRule="auto"/>
        <w:jc w:val="both"/>
        <w:rPr>
          <w:rFonts w:ascii="Arial" w:hAnsi="Arial" w:cs="Arial"/>
          <w:sz w:val="20"/>
          <w:szCs w:val="20"/>
          <w:lang w:val="en-GB"/>
        </w:rPr>
      </w:pPr>
      <w:r w:rsidRPr="009F1497">
        <w:rPr>
          <w:rFonts w:ascii="Arial" w:hAnsi="Arial" w:cs="Arial"/>
          <w:sz w:val="20"/>
          <w:szCs w:val="20"/>
          <w:lang w:val="en-GB"/>
        </w:rPr>
        <w:t xml:space="preserve">Table </w:t>
      </w:r>
      <w:r w:rsidR="00056D94" w:rsidRPr="009F1497">
        <w:rPr>
          <w:rFonts w:ascii="Arial" w:hAnsi="Arial" w:cs="Arial"/>
          <w:sz w:val="20"/>
          <w:szCs w:val="20"/>
          <w:lang w:val="en-GB"/>
        </w:rPr>
        <w:t>2</w:t>
      </w:r>
      <w:r w:rsidRPr="009F1497">
        <w:rPr>
          <w:rFonts w:ascii="Arial" w:hAnsi="Arial" w:cs="Arial"/>
          <w:sz w:val="20"/>
          <w:szCs w:val="20"/>
          <w:lang w:val="en-GB"/>
        </w:rPr>
        <w:t>. Values of the parameters used to calculate the infiltration-related indices of the water.</w:t>
      </w:r>
    </w:p>
    <w:tbl>
      <w:tblPr>
        <w:tblW w:w="5000" w:type="pct"/>
        <w:tblCellMar>
          <w:left w:w="70" w:type="dxa"/>
          <w:right w:w="70" w:type="dxa"/>
        </w:tblCellMar>
        <w:tblLook w:val="04A0" w:firstRow="1" w:lastRow="0" w:firstColumn="1" w:lastColumn="0" w:noHBand="0" w:noVBand="1"/>
      </w:tblPr>
      <w:tblGrid>
        <w:gridCol w:w="3019"/>
        <w:gridCol w:w="2510"/>
        <w:gridCol w:w="2728"/>
        <w:gridCol w:w="2801"/>
        <w:gridCol w:w="2946"/>
      </w:tblGrid>
      <w:tr w:rsidR="00686B6F" w:rsidRPr="009F1497" w14:paraId="42C1D036" w14:textId="77777777" w:rsidTr="00AC26D8">
        <w:trPr>
          <w:trHeight w:val="340"/>
        </w:trPr>
        <w:tc>
          <w:tcPr>
            <w:tcW w:w="1078" w:type="pct"/>
            <w:tcBorders>
              <w:top w:val="single" w:sz="8" w:space="0" w:color="000000"/>
              <w:left w:val="nil"/>
              <w:bottom w:val="single" w:sz="8" w:space="0" w:color="000000"/>
              <w:right w:val="nil"/>
            </w:tcBorders>
            <w:noWrap/>
            <w:vAlign w:val="center"/>
            <w:hideMark/>
          </w:tcPr>
          <w:p w14:paraId="2958BE70"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Sampling points</w:t>
            </w:r>
          </w:p>
        </w:tc>
        <w:tc>
          <w:tcPr>
            <w:tcW w:w="896" w:type="pct"/>
            <w:tcBorders>
              <w:top w:val="single" w:sz="8" w:space="0" w:color="000000"/>
              <w:left w:val="nil"/>
              <w:bottom w:val="single" w:sz="8" w:space="0" w:color="000000"/>
              <w:right w:val="nil"/>
            </w:tcBorders>
            <w:noWrap/>
            <w:vAlign w:val="center"/>
            <w:hideMark/>
          </w:tcPr>
          <w:p w14:paraId="4C8EA65A"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K+</w:t>
            </w:r>
          </w:p>
        </w:tc>
        <w:tc>
          <w:tcPr>
            <w:tcW w:w="974" w:type="pct"/>
            <w:tcBorders>
              <w:top w:val="single" w:sz="8" w:space="0" w:color="000000"/>
              <w:left w:val="nil"/>
              <w:bottom w:val="single" w:sz="8" w:space="0" w:color="000000"/>
              <w:right w:val="nil"/>
            </w:tcBorders>
            <w:noWrap/>
            <w:vAlign w:val="center"/>
            <w:hideMark/>
          </w:tcPr>
          <w:p w14:paraId="1790B878"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HCO</w:t>
            </w:r>
            <w:r w:rsidRPr="009F1497">
              <w:rPr>
                <w:rFonts w:ascii="Arial" w:eastAsia="Times New Roman" w:hAnsi="Arial" w:cs="Arial"/>
                <w:b/>
                <w:bCs/>
                <w:color w:val="000000"/>
                <w:sz w:val="20"/>
                <w:szCs w:val="20"/>
                <w:vertAlign w:val="subscript"/>
                <w:lang w:val="en-GB" w:eastAsia="fr-FR"/>
              </w:rPr>
              <w:t>3</w:t>
            </w:r>
            <w:r w:rsidRPr="009F1497">
              <w:rPr>
                <w:rFonts w:ascii="Arial" w:eastAsia="Times New Roman" w:hAnsi="Arial" w:cs="Arial"/>
                <w:b/>
                <w:bCs/>
                <w:color w:val="000000"/>
                <w:sz w:val="20"/>
                <w:szCs w:val="20"/>
                <w:vertAlign w:val="superscript"/>
                <w:lang w:val="en-GB" w:eastAsia="fr-FR"/>
              </w:rPr>
              <w:t>-</w:t>
            </w:r>
          </w:p>
        </w:tc>
        <w:tc>
          <w:tcPr>
            <w:tcW w:w="1000" w:type="pct"/>
            <w:tcBorders>
              <w:top w:val="single" w:sz="8" w:space="0" w:color="000000"/>
              <w:left w:val="nil"/>
              <w:bottom w:val="single" w:sz="8" w:space="0" w:color="000000"/>
              <w:right w:val="nil"/>
            </w:tcBorders>
            <w:noWrap/>
            <w:vAlign w:val="center"/>
            <w:hideMark/>
          </w:tcPr>
          <w:p w14:paraId="26018B0B"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Ca</w:t>
            </w:r>
            <w:r w:rsidRPr="009F1497">
              <w:rPr>
                <w:rFonts w:ascii="Arial" w:eastAsia="Times New Roman" w:hAnsi="Arial" w:cs="Arial"/>
                <w:b/>
                <w:bCs/>
                <w:color w:val="000000"/>
                <w:sz w:val="20"/>
                <w:szCs w:val="20"/>
                <w:vertAlign w:val="superscript"/>
                <w:lang w:val="en-GB" w:eastAsia="fr-FR"/>
              </w:rPr>
              <w:t>2+</w:t>
            </w:r>
          </w:p>
        </w:tc>
        <w:tc>
          <w:tcPr>
            <w:tcW w:w="1052" w:type="pct"/>
            <w:tcBorders>
              <w:top w:val="single" w:sz="8" w:space="0" w:color="000000"/>
              <w:left w:val="nil"/>
              <w:bottom w:val="single" w:sz="8" w:space="0" w:color="000000"/>
              <w:right w:val="nil"/>
            </w:tcBorders>
            <w:noWrap/>
            <w:vAlign w:val="center"/>
            <w:hideMark/>
          </w:tcPr>
          <w:p w14:paraId="243FE85C"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Mg</w:t>
            </w:r>
            <w:r w:rsidRPr="009F1497">
              <w:rPr>
                <w:rFonts w:ascii="Arial" w:eastAsia="Times New Roman" w:hAnsi="Arial" w:cs="Arial"/>
                <w:b/>
                <w:bCs/>
                <w:color w:val="000000"/>
                <w:sz w:val="20"/>
                <w:szCs w:val="20"/>
                <w:vertAlign w:val="superscript"/>
                <w:lang w:val="en-GB" w:eastAsia="fr-FR"/>
              </w:rPr>
              <w:t>2+</w:t>
            </w:r>
          </w:p>
        </w:tc>
      </w:tr>
      <w:tr w:rsidR="00686B6F" w:rsidRPr="009F1497" w14:paraId="4D757A07" w14:textId="77777777" w:rsidTr="00AC26D8">
        <w:trPr>
          <w:trHeight w:val="320"/>
        </w:trPr>
        <w:tc>
          <w:tcPr>
            <w:tcW w:w="1078" w:type="pct"/>
            <w:tcBorders>
              <w:top w:val="nil"/>
              <w:left w:val="nil"/>
              <w:bottom w:val="nil"/>
              <w:right w:val="nil"/>
            </w:tcBorders>
            <w:noWrap/>
            <w:vAlign w:val="center"/>
            <w:hideMark/>
          </w:tcPr>
          <w:p w14:paraId="205D89B3"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P1J1S1</w:t>
            </w:r>
          </w:p>
        </w:tc>
        <w:tc>
          <w:tcPr>
            <w:tcW w:w="896" w:type="pct"/>
            <w:tcBorders>
              <w:top w:val="nil"/>
              <w:left w:val="nil"/>
              <w:bottom w:val="nil"/>
              <w:right w:val="nil"/>
            </w:tcBorders>
            <w:noWrap/>
            <w:vAlign w:val="center"/>
            <w:hideMark/>
          </w:tcPr>
          <w:p w14:paraId="3F7868F3"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27.9900±11.63</w:t>
            </w:r>
            <w:r w:rsidRPr="009F1497">
              <w:rPr>
                <w:rFonts w:ascii="Arial" w:eastAsia="Times New Roman" w:hAnsi="Arial" w:cs="Arial"/>
                <w:color w:val="000000"/>
                <w:sz w:val="20"/>
                <w:szCs w:val="20"/>
                <w:vertAlign w:val="superscript"/>
                <w:lang w:val="en-GB" w:eastAsia="fr-FR"/>
              </w:rPr>
              <w:t>a</w:t>
            </w:r>
          </w:p>
        </w:tc>
        <w:tc>
          <w:tcPr>
            <w:tcW w:w="974" w:type="pct"/>
            <w:tcBorders>
              <w:top w:val="nil"/>
              <w:left w:val="nil"/>
              <w:bottom w:val="nil"/>
              <w:right w:val="nil"/>
            </w:tcBorders>
            <w:noWrap/>
            <w:vAlign w:val="center"/>
            <w:hideMark/>
          </w:tcPr>
          <w:p w14:paraId="095F12B7"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1.735±0.06</w:t>
            </w:r>
            <w:r w:rsidRPr="009F1497">
              <w:rPr>
                <w:rFonts w:ascii="Arial" w:eastAsia="Times New Roman" w:hAnsi="Arial" w:cs="Arial"/>
                <w:color w:val="000000"/>
                <w:sz w:val="20"/>
                <w:szCs w:val="20"/>
                <w:vertAlign w:val="superscript"/>
                <w:lang w:val="en-GB" w:eastAsia="fr-FR"/>
              </w:rPr>
              <w:t>a</w:t>
            </w:r>
          </w:p>
        </w:tc>
        <w:tc>
          <w:tcPr>
            <w:tcW w:w="1000" w:type="pct"/>
            <w:tcBorders>
              <w:top w:val="nil"/>
              <w:left w:val="nil"/>
              <w:bottom w:val="nil"/>
              <w:right w:val="nil"/>
            </w:tcBorders>
            <w:noWrap/>
            <w:vAlign w:val="center"/>
            <w:hideMark/>
          </w:tcPr>
          <w:p w14:paraId="1F5DA131"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0.6575±0.29</w:t>
            </w:r>
            <w:r w:rsidRPr="009F1497">
              <w:rPr>
                <w:rFonts w:ascii="Arial" w:eastAsia="Times New Roman" w:hAnsi="Arial" w:cs="Arial"/>
                <w:color w:val="000000"/>
                <w:sz w:val="20"/>
                <w:szCs w:val="20"/>
                <w:vertAlign w:val="superscript"/>
                <w:lang w:val="en-GB" w:eastAsia="fr-FR"/>
              </w:rPr>
              <w:t>a</w:t>
            </w:r>
          </w:p>
        </w:tc>
        <w:tc>
          <w:tcPr>
            <w:tcW w:w="1052" w:type="pct"/>
            <w:tcBorders>
              <w:top w:val="nil"/>
              <w:left w:val="nil"/>
              <w:bottom w:val="nil"/>
              <w:right w:val="nil"/>
            </w:tcBorders>
            <w:noWrap/>
            <w:vAlign w:val="center"/>
            <w:hideMark/>
          </w:tcPr>
          <w:p w14:paraId="65FD9CCE"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0.5875 0.10</w:t>
            </w:r>
            <w:r w:rsidRPr="009F1497">
              <w:rPr>
                <w:rFonts w:ascii="Arial" w:eastAsia="Times New Roman" w:hAnsi="Arial" w:cs="Arial"/>
                <w:color w:val="000000"/>
                <w:sz w:val="20"/>
                <w:szCs w:val="20"/>
                <w:vertAlign w:val="superscript"/>
                <w:lang w:val="en-GB" w:eastAsia="fr-FR"/>
              </w:rPr>
              <w:t>ab</w:t>
            </w:r>
          </w:p>
        </w:tc>
      </w:tr>
      <w:tr w:rsidR="00686B6F" w:rsidRPr="009F1497" w14:paraId="4E115929" w14:textId="77777777" w:rsidTr="00AC26D8">
        <w:trPr>
          <w:trHeight w:val="320"/>
        </w:trPr>
        <w:tc>
          <w:tcPr>
            <w:tcW w:w="1078" w:type="pct"/>
            <w:tcBorders>
              <w:top w:val="nil"/>
              <w:left w:val="nil"/>
              <w:bottom w:val="nil"/>
              <w:right w:val="nil"/>
            </w:tcBorders>
            <w:noWrap/>
            <w:vAlign w:val="center"/>
            <w:hideMark/>
          </w:tcPr>
          <w:p w14:paraId="2ED74DAA"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P1J1S2</w:t>
            </w:r>
          </w:p>
        </w:tc>
        <w:tc>
          <w:tcPr>
            <w:tcW w:w="896" w:type="pct"/>
            <w:tcBorders>
              <w:top w:val="nil"/>
              <w:left w:val="nil"/>
              <w:bottom w:val="nil"/>
              <w:right w:val="nil"/>
            </w:tcBorders>
            <w:noWrap/>
            <w:vAlign w:val="center"/>
            <w:hideMark/>
          </w:tcPr>
          <w:p w14:paraId="14CB348C"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85.6325±40.49</w:t>
            </w:r>
            <w:r w:rsidRPr="009F1497">
              <w:rPr>
                <w:rFonts w:ascii="Arial" w:eastAsia="Times New Roman" w:hAnsi="Arial" w:cs="Arial"/>
                <w:color w:val="000000"/>
                <w:sz w:val="20"/>
                <w:szCs w:val="20"/>
                <w:vertAlign w:val="superscript"/>
                <w:lang w:val="en-GB" w:eastAsia="fr-FR"/>
              </w:rPr>
              <w:t>b</w:t>
            </w:r>
          </w:p>
        </w:tc>
        <w:tc>
          <w:tcPr>
            <w:tcW w:w="974" w:type="pct"/>
            <w:tcBorders>
              <w:top w:val="nil"/>
              <w:left w:val="nil"/>
              <w:bottom w:val="nil"/>
              <w:right w:val="nil"/>
            </w:tcBorders>
            <w:noWrap/>
            <w:vAlign w:val="center"/>
            <w:hideMark/>
          </w:tcPr>
          <w:p w14:paraId="52ABA4C4"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3.840±0.59</w:t>
            </w:r>
            <w:r w:rsidRPr="009F1497">
              <w:rPr>
                <w:rFonts w:ascii="Arial" w:eastAsia="Times New Roman" w:hAnsi="Arial" w:cs="Arial"/>
                <w:color w:val="000000"/>
                <w:sz w:val="20"/>
                <w:szCs w:val="20"/>
                <w:vertAlign w:val="superscript"/>
                <w:lang w:val="en-GB" w:eastAsia="fr-FR"/>
              </w:rPr>
              <w:t>ab</w:t>
            </w:r>
          </w:p>
        </w:tc>
        <w:tc>
          <w:tcPr>
            <w:tcW w:w="1000" w:type="pct"/>
            <w:tcBorders>
              <w:top w:val="nil"/>
              <w:left w:val="nil"/>
              <w:bottom w:val="nil"/>
              <w:right w:val="nil"/>
            </w:tcBorders>
            <w:noWrap/>
            <w:vAlign w:val="center"/>
            <w:hideMark/>
          </w:tcPr>
          <w:p w14:paraId="1DDCDF1A"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1.1850±0.27</w:t>
            </w:r>
            <w:r w:rsidRPr="009F1497">
              <w:rPr>
                <w:rFonts w:ascii="Arial" w:eastAsia="Times New Roman" w:hAnsi="Arial" w:cs="Arial"/>
                <w:color w:val="000000"/>
                <w:sz w:val="20"/>
                <w:szCs w:val="20"/>
                <w:vertAlign w:val="superscript"/>
                <w:lang w:val="en-GB" w:eastAsia="fr-FR"/>
              </w:rPr>
              <w:t>ab</w:t>
            </w:r>
          </w:p>
        </w:tc>
        <w:tc>
          <w:tcPr>
            <w:tcW w:w="1052" w:type="pct"/>
            <w:tcBorders>
              <w:top w:val="nil"/>
              <w:left w:val="nil"/>
              <w:bottom w:val="nil"/>
              <w:right w:val="nil"/>
            </w:tcBorders>
            <w:noWrap/>
            <w:vAlign w:val="center"/>
            <w:hideMark/>
          </w:tcPr>
          <w:p w14:paraId="3D67B180"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0.3200 0.32</w:t>
            </w:r>
            <w:r w:rsidRPr="009F1497">
              <w:rPr>
                <w:rFonts w:ascii="Arial" w:eastAsia="Times New Roman" w:hAnsi="Arial" w:cs="Arial"/>
                <w:color w:val="000000"/>
                <w:sz w:val="20"/>
                <w:szCs w:val="20"/>
                <w:vertAlign w:val="superscript"/>
                <w:lang w:val="en-GB" w:eastAsia="fr-FR"/>
              </w:rPr>
              <w:t>a</w:t>
            </w:r>
          </w:p>
        </w:tc>
      </w:tr>
      <w:tr w:rsidR="00686B6F" w:rsidRPr="009F1497" w14:paraId="1036155D" w14:textId="77777777" w:rsidTr="00AC26D8">
        <w:trPr>
          <w:trHeight w:val="320"/>
        </w:trPr>
        <w:tc>
          <w:tcPr>
            <w:tcW w:w="1078" w:type="pct"/>
            <w:tcBorders>
              <w:top w:val="nil"/>
              <w:left w:val="nil"/>
              <w:bottom w:val="nil"/>
              <w:right w:val="nil"/>
            </w:tcBorders>
            <w:noWrap/>
            <w:vAlign w:val="center"/>
            <w:hideMark/>
          </w:tcPr>
          <w:p w14:paraId="0A9655AF"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P1J1S3</w:t>
            </w:r>
          </w:p>
        </w:tc>
        <w:tc>
          <w:tcPr>
            <w:tcW w:w="896" w:type="pct"/>
            <w:tcBorders>
              <w:top w:val="nil"/>
              <w:left w:val="nil"/>
              <w:bottom w:val="nil"/>
              <w:right w:val="nil"/>
            </w:tcBorders>
            <w:noWrap/>
            <w:vAlign w:val="center"/>
            <w:hideMark/>
          </w:tcPr>
          <w:p w14:paraId="4461E19B"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26.2675±3.20</w:t>
            </w:r>
            <w:r w:rsidRPr="009F1497">
              <w:rPr>
                <w:rFonts w:ascii="Arial" w:eastAsia="Times New Roman" w:hAnsi="Arial" w:cs="Arial"/>
                <w:color w:val="000000"/>
                <w:sz w:val="20"/>
                <w:szCs w:val="20"/>
                <w:vertAlign w:val="superscript"/>
                <w:lang w:val="en-GB" w:eastAsia="fr-FR"/>
              </w:rPr>
              <w:t>a</w:t>
            </w:r>
          </w:p>
        </w:tc>
        <w:tc>
          <w:tcPr>
            <w:tcW w:w="974" w:type="pct"/>
            <w:tcBorders>
              <w:top w:val="nil"/>
              <w:left w:val="nil"/>
              <w:bottom w:val="nil"/>
              <w:right w:val="nil"/>
            </w:tcBorders>
            <w:noWrap/>
            <w:vAlign w:val="center"/>
            <w:hideMark/>
          </w:tcPr>
          <w:p w14:paraId="7A18D8A3"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3.825±0.77</w:t>
            </w:r>
            <w:r w:rsidRPr="009F1497">
              <w:rPr>
                <w:rFonts w:ascii="Arial" w:eastAsia="Times New Roman" w:hAnsi="Arial" w:cs="Arial"/>
                <w:color w:val="000000"/>
                <w:sz w:val="20"/>
                <w:szCs w:val="20"/>
                <w:vertAlign w:val="superscript"/>
                <w:lang w:val="en-GB" w:eastAsia="fr-FR"/>
              </w:rPr>
              <w:t>ab</w:t>
            </w:r>
          </w:p>
        </w:tc>
        <w:tc>
          <w:tcPr>
            <w:tcW w:w="1000" w:type="pct"/>
            <w:tcBorders>
              <w:top w:val="nil"/>
              <w:left w:val="nil"/>
              <w:bottom w:val="nil"/>
              <w:right w:val="nil"/>
            </w:tcBorders>
            <w:noWrap/>
            <w:vAlign w:val="center"/>
            <w:hideMark/>
          </w:tcPr>
          <w:p w14:paraId="263BE38C"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1.2800±0.22</w:t>
            </w:r>
            <w:r w:rsidRPr="009F1497">
              <w:rPr>
                <w:rFonts w:ascii="Arial" w:eastAsia="Times New Roman" w:hAnsi="Arial" w:cs="Arial"/>
                <w:color w:val="000000"/>
                <w:sz w:val="20"/>
                <w:szCs w:val="20"/>
                <w:vertAlign w:val="superscript"/>
                <w:lang w:val="en-GB" w:eastAsia="fr-FR"/>
              </w:rPr>
              <w:t>b</w:t>
            </w:r>
          </w:p>
        </w:tc>
        <w:tc>
          <w:tcPr>
            <w:tcW w:w="1052" w:type="pct"/>
            <w:tcBorders>
              <w:top w:val="nil"/>
              <w:left w:val="nil"/>
              <w:bottom w:val="nil"/>
              <w:right w:val="nil"/>
            </w:tcBorders>
            <w:noWrap/>
            <w:vAlign w:val="center"/>
            <w:hideMark/>
          </w:tcPr>
          <w:p w14:paraId="62952EED"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0.5650 0.14</w:t>
            </w:r>
            <w:r w:rsidRPr="009F1497">
              <w:rPr>
                <w:rFonts w:ascii="Arial" w:eastAsia="Times New Roman" w:hAnsi="Arial" w:cs="Arial"/>
                <w:color w:val="000000"/>
                <w:sz w:val="20"/>
                <w:szCs w:val="20"/>
                <w:vertAlign w:val="superscript"/>
                <w:lang w:val="en-GB" w:eastAsia="fr-FR"/>
              </w:rPr>
              <w:t>ab</w:t>
            </w:r>
          </w:p>
        </w:tc>
      </w:tr>
      <w:tr w:rsidR="00686B6F" w:rsidRPr="009F1497" w14:paraId="6F883D9D" w14:textId="77777777" w:rsidTr="00AC26D8">
        <w:trPr>
          <w:trHeight w:val="320"/>
        </w:trPr>
        <w:tc>
          <w:tcPr>
            <w:tcW w:w="1078" w:type="pct"/>
            <w:tcBorders>
              <w:top w:val="nil"/>
              <w:left w:val="nil"/>
              <w:bottom w:val="nil"/>
              <w:right w:val="nil"/>
            </w:tcBorders>
            <w:noWrap/>
            <w:vAlign w:val="center"/>
            <w:hideMark/>
          </w:tcPr>
          <w:p w14:paraId="05DE4D68"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P2J1S1</w:t>
            </w:r>
          </w:p>
        </w:tc>
        <w:tc>
          <w:tcPr>
            <w:tcW w:w="896" w:type="pct"/>
            <w:tcBorders>
              <w:top w:val="nil"/>
              <w:left w:val="nil"/>
              <w:bottom w:val="nil"/>
              <w:right w:val="nil"/>
            </w:tcBorders>
            <w:noWrap/>
            <w:vAlign w:val="center"/>
            <w:hideMark/>
          </w:tcPr>
          <w:p w14:paraId="3C4C403C"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17.9925±11.65</w:t>
            </w:r>
            <w:r w:rsidRPr="009F1497">
              <w:rPr>
                <w:rFonts w:ascii="Arial" w:eastAsia="Times New Roman" w:hAnsi="Arial" w:cs="Arial"/>
                <w:color w:val="000000"/>
                <w:sz w:val="20"/>
                <w:szCs w:val="20"/>
                <w:vertAlign w:val="superscript"/>
                <w:lang w:val="en-GB" w:eastAsia="fr-FR"/>
              </w:rPr>
              <w:t>a</w:t>
            </w:r>
          </w:p>
        </w:tc>
        <w:tc>
          <w:tcPr>
            <w:tcW w:w="974" w:type="pct"/>
            <w:tcBorders>
              <w:top w:val="nil"/>
              <w:left w:val="nil"/>
              <w:bottom w:val="nil"/>
              <w:right w:val="nil"/>
            </w:tcBorders>
            <w:noWrap/>
            <w:vAlign w:val="center"/>
            <w:hideMark/>
          </w:tcPr>
          <w:p w14:paraId="54491324"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15.175±4.30</w:t>
            </w:r>
            <w:r w:rsidRPr="009F1497">
              <w:rPr>
                <w:rFonts w:ascii="Arial" w:eastAsia="Times New Roman" w:hAnsi="Arial" w:cs="Arial"/>
                <w:color w:val="000000"/>
                <w:sz w:val="20"/>
                <w:szCs w:val="20"/>
                <w:vertAlign w:val="superscript"/>
                <w:lang w:val="en-GB" w:eastAsia="fr-FR"/>
              </w:rPr>
              <w:t>c</w:t>
            </w:r>
          </w:p>
        </w:tc>
        <w:tc>
          <w:tcPr>
            <w:tcW w:w="1000" w:type="pct"/>
            <w:tcBorders>
              <w:top w:val="nil"/>
              <w:left w:val="nil"/>
              <w:bottom w:val="nil"/>
              <w:right w:val="nil"/>
            </w:tcBorders>
            <w:noWrap/>
            <w:vAlign w:val="center"/>
            <w:hideMark/>
          </w:tcPr>
          <w:p w14:paraId="127021A6"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1.0400±0.23</w:t>
            </w:r>
            <w:r w:rsidRPr="009F1497">
              <w:rPr>
                <w:rFonts w:ascii="Arial" w:eastAsia="Times New Roman" w:hAnsi="Arial" w:cs="Arial"/>
                <w:color w:val="000000"/>
                <w:sz w:val="20"/>
                <w:szCs w:val="20"/>
                <w:vertAlign w:val="superscript"/>
                <w:lang w:val="en-GB" w:eastAsia="fr-FR"/>
              </w:rPr>
              <w:t>ab</w:t>
            </w:r>
          </w:p>
        </w:tc>
        <w:tc>
          <w:tcPr>
            <w:tcW w:w="1052" w:type="pct"/>
            <w:tcBorders>
              <w:top w:val="nil"/>
              <w:left w:val="nil"/>
              <w:bottom w:val="nil"/>
              <w:right w:val="nil"/>
            </w:tcBorders>
            <w:noWrap/>
            <w:vAlign w:val="center"/>
            <w:hideMark/>
          </w:tcPr>
          <w:p w14:paraId="72C7A169"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0.4175 0.22</w:t>
            </w:r>
            <w:r w:rsidRPr="009F1497">
              <w:rPr>
                <w:rFonts w:ascii="Arial" w:eastAsia="Times New Roman" w:hAnsi="Arial" w:cs="Arial"/>
                <w:color w:val="000000"/>
                <w:sz w:val="20"/>
                <w:szCs w:val="20"/>
                <w:vertAlign w:val="superscript"/>
                <w:lang w:val="en-GB" w:eastAsia="fr-FR"/>
              </w:rPr>
              <w:t>ab</w:t>
            </w:r>
          </w:p>
        </w:tc>
      </w:tr>
      <w:tr w:rsidR="00686B6F" w:rsidRPr="009F1497" w14:paraId="6435921C" w14:textId="77777777" w:rsidTr="00AC26D8">
        <w:trPr>
          <w:trHeight w:val="320"/>
        </w:trPr>
        <w:tc>
          <w:tcPr>
            <w:tcW w:w="1078" w:type="pct"/>
            <w:tcBorders>
              <w:top w:val="nil"/>
              <w:left w:val="nil"/>
              <w:bottom w:val="nil"/>
              <w:right w:val="nil"/>
            </w:tcBorders>
            <w:noWrap/>
            <w:vAlign w:val="center"/>
            <w:hideMark/>
          </w:tcPr>
          <w:p w14:paraId="58B0B5A2"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P2J1S2</w:t>
            </w:r>
          </w:p>
        </w:tc>
        <w:tc>
          <w:tcPr>
            <w:tcW w:w="896" w:type="pct"/>
            <w:tcBorders>
              <w:top w:val="nil"/>
              <w:left w:val="nil"/>
              <w:bottom w:val="nil"/>
              <w:right w:val="nil"/>
            </w:tcBorders>
            <w:noWrap/>
            <w:vAlign w:val="center"/>
            <w:hideMark/>
          </w:tcPr>
          <w:p w14:paraId="0E34DC99"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9.4350±10.26</w:t>
            </w:r>
            <w:r w:rsidRPr="009F1497">
              <w:rPr>
                <w:rFonts w:ascii="Arial" w:eastAsia="Times New Roman" w:hAnsi="Arial" w:cs="Arial"/>
                <w:color w:val="000000"/>
                <w:sz w:val="20"/>
                <w:szCs w:val="20"/>
                <w:vertAlign w:val="superscript"/>
                <w:lang w:val="en-GB" w:eastAsia="fr-FR"/>
              </w:rPr>
              <w:t>a</w:t>
            </w:r>
          </w:p>
        </w:tc>
        <w:tc>
          <w:tcPr>
            <w:tcW w:w="974" w:type="pct"/>
            <w:tcBorders>
              <w:top w:val="nil"/>
              <w:left w:val="nil"/>
              <w:bottom w:val="nil"/>
              <w:right w:val="nil"/>
            </w:tcBorders>
            <w:noWrap/>
            <w:vAlign w:val="center"/>
            <w:hideMark/>
          </w:tcPr>
          <w:p w14:paraId="1CFF9DC5"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3.665±0.23</w:t>
            </w:r>
            <w:r w:rsidRPr="009F1497">
              <w:rPr>
                <w:rFonts w:ascii="Arial" w:eastAsia="Times New Roman" w:hAnsi="Arial" w:cs="Arial"/>
                <w:color w:val="000000"/>
                <w:sz w:val="20"/>
                <w:szCs w:val="20"/>
                <w:vertAlign w:val="superscript"/>
                <w:lang w:val="en-GB" w:eastAsia="fr-FR"/>
              </w:rPr>
              <w:t>ab</w:t>
            </w:r>
          </w:p>
        </w:tc>
        <w:tc>
          <w:tcPr>
            <w:tcW w:w="1000" w:type="pct"/>
            <w:tcBorders>
              <w:top w:val="nil"/>
              <w:left w:val="nil"/>
              <w:bottom w:val="nil"/>
              <w:right w:val="nil"/>
            </w:tcBorders>
            <w:noWrap/>
            <w:vAlign w:val="center"/>
            <w:hideMark/>
          </w:tcPr>
          <w:p w14:paraId="15544D49"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0.7250±0.27</w:t>
            </w:r>
            <w:r w:rsidRPr="009F1497">
              <w:rPr>
                <w:rFonts w:ascii="Arial" w:eastAsia="Times New Roman" w:hAnsi="Arial" w:cs="Arial"/>
                <w:color w:val="000000"/>
                <w:sz w:val="20"/>
                <w:szCs w:val="20"/>
                <w:vertAlign w:val="superscript"/>
                <w:lang w:val="en-GB" w:eastAsia="fr-FR"/>
              </w:rPr>
              <w:t>ab</w:t>
            </w:r>
          </w:p>
        </w:tc>
        <w:tc>
          <w:tcPr>
            <w:tcW w:w="1052" w:type="pct"/>
            <w:tcBorders>
              <w:top w:val="nil"/>
              <w:left w:val="nil"/>
              <w:bottom w:val="nil"/>
              <w:right w:val="nil"/>
            </w:tcBorders>
            <w:noWrap/>
            <w:vAlign w:val="center"/>
            <w:hideMark/>
          </w:tcPr>
          <w:p w14:paraId="5E259E44"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0.6700 0.38</w:t>
            </w:r>
            <w:r w:rsidRPr="009F1497">
              <w:rPr>
                <w:rFonts w:ascii="Arial" w:eastAsia="Times New Roman" w:hAnsi="Arial" w:cs="Arial"/>
                <w:color w:val="000000"/>
                <w:sz w:val="20"/>
                <w:szCs w:val="20"/>
                <w:vertAlign w:val="superscript"/>
                <w:lang w:val="en-GB" w:eastAsia="fr-FR"/>
              </w:rPr>
              <w:t>ab</w:t>
            </w:r>
          </w:p>
        </w:tc>
      </w:tr>
      <w:tr w:rsidR="00686B6F" w:rsidRPr="009F1497" w14:paraId="044F8B39" w14:textId="77777777" w:rsidTr="00AC26D8">
        <w:trPr>
          <w:trHeight w:val="320"/>
        </w:trPr>
        <w:tc>
          <w:tcPr>
            <w:tcW w:w="1078" w:type="pct"/>
            <w:tcBorders>
              <w:top w:val="nil"/>
              <w:left w:val="nil"/>
              <w:bottom w:val="nil"/>
              <w:right w:val="nil"/>
            </w:tcBorders>
            <w:noWrap/>
            <w:vAlign w:val="center"/>
            <w:hideMark/>
          </w:tcPr>
          <w:p w14:paraId="76331C3A"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P2J1S3</w:t>
            </w:r>
          </w:p>
        </w:tc>
        <w:tc>
          <w:tcPr>
            <w:tcW w:w="896" w:type="pct"/>
            <w:tcBorders>
              <w:top w:val="nil"/>
              <w:left w:val="nil"/>
              <w:bottom w:val="nil"/>
              <w:right w:val="nil"/>
            </w:tcBorders>
            <w:noWrap/>
            <w:vAlign w:val="center"/>
            <w:hideMark/>
          </w:tcPr>
          <w:p w14:paraId="21CED808"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24.2125±6.67</w:t>
            </w:r>
            <w:r w:rsidRPr="009F1497">
              <w:rPr>
                <w:rFonts w:ascii="Arial" w:eastAsia="Times New Roman" w:hAnsi="Arial" w:cs="Arial"/>
                <w:color w:val="000000"/>
                <w:sz w:val="20"/>
                <w:szCs w:val="20"/>
                <w:vertAlign w:val="superscript"/>
                <w:lang w:val="en-GB" w:eastAsia="fr-FR"/>
              </w:rPr>
              <w:t>a</w:t>
            </w:r>
          </w:p>
        </w:tc>
        <w:tc>
          <w:tcPr>
            <w:tcW w:w="974" w:type="pct"/>
            <w:tcBorders>
              <w:top w:val="nil"/>
              <w:left w:val="nil"/>
              <w:bottom w:val="nil"/>
              <w:right w:val="nil"/>
            </w:tcBorders>
            <w:noWrap/>
            <w:vAlign w:val="center"/>
            <w:hideMark/>
          </w:tcPr>
          <w:p w14:paraId="1742613B"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2.910±0.35</w:t>
            </w:r>
            <w:r w:rsidRPr="009F1497">
              <w:rPr>
                <w:rFonts w:ascii="Arial" w:eastAsia="Times New Roman" w:hAnsi="Arial" w:cs="Arial"/>
                <w:color w:val="000000"/>
                <w:sz w:val="20"/>
                <w:szCs w:val="20"/>
                <w:vertAlign w:val="superscript"/>
                <w:lang w:val="en-GB" w:eastAsia="fr-FR"/>
              </w:rPr>
              <w:t>ad</w:t>
            </w:r>
          </w:p>
        </w:tc>
        <w:tc>
          <w:tcPr>
            <w:tcW w:w="1000" w:type="pct"/>
            <w:tcBorders>
              <w:top w:val="nil"/>
              <w:left w:val="nil"/>
              <w:bottom w:val="nil"/>
              <w:right w:val="nil"/>
            </w:tcBorders>
            <w:noWrap/>
            <w:vAlign w:val="center"/>
            <w:hideMark/>
          </w:tcPr>
          <w:p w14:paraId="6898E25B"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0.8900±0.19</w:t>
            </w:r>
            <w:r w:rsidRPr="009F1497">
              <w:rPr>
                <w:rFonts w:ascii="Arial" w:eastAsia="Times New Roman" w:hAnsi="Arial" w:cs="Arial"/>
                <w:color w:val="000000"/>
                <w:sz w:val="20"/>
                <w:szCs w:val="20"/>
                <w:vertAlign w:val="superscript"/>
                <w:lang w:val="en-GB" w:eastAsia="fr-FR"/>
              </w:rPr>
              <w:t>ab</w:t>
            </w:r>
          </w:p>
        </w:tc>
        <w:tc>
          <w:tcPr>
            <w:tcW w:w="1052" w:type="pct"/>
            <w:tcBorders>
              <w:top w:val="nil"/>
              <w:left w:val="nil"/>
              <w:bottom w:val="nil"/>
              <w:right w:val="nil"/>
            </w:tcBorders>
            <w:noWrap/>
            <w:vAlign w:val="center"/>
            <w:hideMark/>
          </w:tcPr>
          <w:p w14:paraId="4C30B9AA"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0.8550 0.31</w:t>
            </w:r>
            <w:r w:rsidRPr="009F1497">
              <w:rPr>
                <w:rFonts w:ascii="Arial" w:eastAsia="Times New Roman" w:hAnsi="Arial" w:cs="Arial"/>
                <w:color w:val="000000"/>
                <w:sz w:val="20"/>
                <w:szCs w:val="20"/>
                <w:vertAlign w:val="superscript"/>
                <w:lang w:val="en-GB" w:eastAsia="fr-FR"/>
              </w:rPr>
              <w:t>ab</w:t>
            </w:r>
          </w:p>
        </w:tc>
      </w:tr>
      <w:tr w:rsidR="00686B6F" w:rsidRPr="009F1497" w14:paraId="5C2D5E7B" w14:textId="77777777" w:rsidTr="00AC26D8">
        <w:trPr>
          <w:trHeight w:val="320"/>
        </w:trPr>
        <w:tc>
          <w:tcPr>
            <w:tcW w:w="1078" w:type="pct"/>
            <w:tcBorders>
              <w:top w:val="nil"/>
              <w:left w:val="nil"/>
              <w:bottom w:val="nil"/>
              <w:right w:val="nil"/>
            </w:tcBorders>
            <w:noWrap/>
            <w:vAlign w:val="center"/>
            <w:hideMark/>
          </w:tcPr>
          <w:p w14:paraId="7A9CC2B9"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P3J2S1</w:t>
            </w:r>
          </w:p>
        </w:tc>
        <w:tc>
          <w:tcPr>
            <w:tcW w:w="896" w:type="pct"/>
            <w:tcBorders>
              <w:top w:val="nil"/>
              <w:left w:val="nil"/>
              <w:bottom w:val="nil"/>
              <w:right w:val="nil"/>
            </w:tcBorders>
            <w:noWrap/>
            <w:vAlign w:val="center"/>
            <w:hideMark/>
          </w:tcPr>
          <w:p w14:paraId="6AE73C2C"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24.7325±5.46</w:t>
            </w:r>
            <w:r w:rsidRPr="009F1497">
              <w:rPr>
                <w:rFonts w:ascii="Arial" w:eastAsia="Times New Roman" w:hAnsi="Arial" w:cs="Arial"/>
                <w:color w:val="000000"/>
                <w:sz w:val="20"/>
                <w:szCs w:val="20"/>
                <w:vertAlign w:val="superscript"/>
                <w:lang w:val="en-GB" w:eastAsia="fr-FR"/>
              </w:rPr>
              <w:t>a</w:t>
            </w:r>
          </w:p>
        </w:tc>
        <w:tc>
          <w:tcPr>
            <w:tcW w:w="974" w:type="pct"/>
            <w:tcBorders>
              <w:top w:val="nil"/>
              <w:left w:val="nil"/>
              <w:bottom w:val="nil"/>
              <w:right w:val="nil"/>
            </w:tcBorders>
            <w:noWrap/>
            <w:vAlign w:val="center"/>
            <w:hideMark/>
          </w:tcPr>
          <w:p w14:paraId="43FC65AF"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5.805±1.07</w:t>
            </w:r>
            <w:r w:rsidRPr="009F1497">
              <w:rPr>
                <w:rFonts w:ascii="Arial" w:eastAsia="Times New Roman" w:hAnsi="Arial" w:cs="Arial"/>
                <w:color w:val="000000"/>
                <w:sz w:val="20"/>
                <w:szCs w:val="20"/>
                <w:vertAlign w:val="superscript"/>
                <w:lang w:val="en-GB" w:eastAsia="fr-FR"/>
              </w:rPr>
              <w:t>bd</w:t>
            </w:r>
          </w:p>
        </w:tc>
        <w:tc>
          <w:tcPr>
            <w:tcW w:w="1000" w:type="pct"/>
            <w:tcBorders>
              <w:top w:val="nil"/>
              <w:left w:val="nil"/>
              <w:bottom w:val="nil"/>
              <w:right w:val="nil"/>
            </w:tcBorders>
            <w:noWrap/>
            <w:vAlign w:val="center"/>
            <w:hideMark/>
          </w:tcPr>
          <w:p w14:paraId="44D5D499"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0.9950±0.36</w:t>
            </w:r>
            <w:r w:rsidRPr="009F1497">
              <w:rPr>
                <w:rFonts w:ascii="Arial" w:eastAsia="Times New Roman" w:hAnsi="Arial" w:cs="Arial"/>
                <w:color w:val="000000"/>
                <w:sz w:val="20"/>
                <w:szCs w:val="20"/>
                <w:vertAlign w:val="superscript"/>
                <w:lang w:val="en-GB" w:eastAsia="fr-FR"/>
              </w:rPr>
              <w:t>ab</w:t>
            </w:r>
          </w:p>
        </w:tc>
        <w:tc>
          <w:tcPr>
            <w:tcW w:w="1052" w:type="pct"/>
            <w:tcBorders>
              <w:top w:val="nil"/>
              <w:left w:val="nil"/>
              <w:bottom w:val="nil"/>
              <w:right w:val="nil"/>
            </w:tcBorders>
            <w:noWrap/>
            <w:vAlign w:val="center"/>
            <w:hideMark/>
          </w:tcPr>
          <w:p w14:paraId="5A49CC3E"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0.3800 0.09</w:t>
            </w:r>
            <w:r w:rsidRPr="009F1497">
              <w:rPr>
                <w:rFonts w:ascii="Arial" w:eastAsia="Times New Roman" w:hAnsi="Arial" w:cs="Arial"/>
                <w:color w:val="000000"/>
                <w:sz w:val="20"/>
                <w:szCs w:val="20"/>
                <w:vertAlign w:val="superscript"/>
                <w:lang w:val="en-GB" w:eastAsia="fr-FR"/>
              </w:rPr>
              <w:t>ab</w:t>
            </w:r>
          </w:p>
        </w:tc>
      </w:tr>
      <w:tr w:rsidR="00686B6F" w:rsidRPr="009F1497" w14:paraId="43709F6B" w14:textId="77777777" w:rsidTr="00AC26D8">
        <w:trPr>
          <w:trHeight w:val="320"/>
        </w:trPr>
        <w:tc>
          <w:tcPr>
            <w:tcW w:w="1078" w:type="pct"/>
            <w:tcBorders>
              <w:top w:val="nil"/>
              <w:left w:val="nil"/>
              <w:bottom w:val="nil"/>
              <w:right w:val="nil"/>
            </w:tcBorders>
            <w:noWrap/>
            <w:vAlign w:val="center"/>
            <w:hideMark/>
          </w:tcPr>
          <w:p w14:paraId="538E8D78"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P3J2S2</w:t>
            </w:r>
          </w:p>
        </w:tc>
        <w:tc>
          <w:tcPr>
            <w:tcW w:w="896" w:type="pct"/>
            <w:tcBorders>
              <w:top w:val="nil"/>
              <w:left w:val="nil"/>
              <w:bottom w:val="nil"/>
              <w:right w:val="nil"/>
            </w:tcBorders>
            <w:noWrap/>
            <w:vAlign w:val="center"/>
            <w:hideMark/>
          </w:tcPr>
          <w:p w14:paraId="1ED606F1"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29.3525±4.46</w:t>
            </w:r>
            <w:r w:rsidRPr="009F1497">
              <w:rPr>
                <w:rFonts w:ascii="Arial" w:eastAsia="Times New Roman" w:hAnsi="Arial" w:cs="Arial"/>
                <w:color w:val="000000"/>
                <w:sz w:val="20"/>
                <w:szCs w:val="20"/>
                <w:vertAlign w:val="superscript"/>
                <w:lang w:val="en-GB" w:eastAsia="fr-FR"/>
              </w:rPr>
              <w:t>a</w:t>
            </w:r>
          </w:p>
        </w:tc>
        <w:tc>
          <w:tcPr>
            <w:tcW w:w="974" w:type="pct"/>
            <w:tcBorders>
              <w:top w:val="nil"/>
              <w:left w:val="nil"/>
              <w:bottom w:val="nil"/>
              <w:right w:val="nil"/>
            </w:tcBorders>
            <w:noWrap/>
            <w:vAlign w:val="center"/>
            <w:hideMark/>
          </w:tcPr>
          <w:p w14:paraId="13D516EF"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6.625±0.99</w:t>
            </w:r>
            <w:r w:rsidRPr="009F1497">
              <w:rPr>
                <w:rFonts w:ascii="Arial" w:eastAsia="Times New Roman" w:hAnsi="Arial" w:cs="Arial"/>
                <w:color w:val="000000"/>
                <w:sz w:val="20"/>
                <w:szCs w:val="20"/>
                <w:vertAlign w:val="superscript"/>
                <w:lang w:val="en-GB" w:eastAsia="fr-FR"/>
              </w:rPr>
              <w:t>b</w:t>
            </w:r>
          </w:p>
        </w:tc>
        <w:tc>
          <w:tcPr>
            <w:tcW w:w="1000" w:type="pct"/>
            <w:tcBorders>
              <w:top w:val="nil"/>
              <w:left w:val="nil"/>
              <w:bottom w:val="nil"/>
              <w:right w:val="nil"/>
            </w:tcBorders>
            <w:noWrap/>
            <w:vAlign w:val="center"/>
            <w:hideMark/>
          </w:tcPr>
          <w:p w14:paraId="70DD77F5"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0.6050±0.17</w:t>
            </w:r>
            <w:r w:rsidRPr="009F1497">
              <w:rPr>
                <w:rFonts w:ascii="Arial" w:eastAsia="Times New Roman" w:hAnsi="Arial" w:cs="Arial"/>
                <w:color w:val="000000"/>
                <w:sz w:val="20"/>
                <w:szCs w:val="20"/>
                <w:vertAlign w:val="superscript"/>
                <w:lang w:val="en-GB" w:eastAsia="fr-FR"/>
              </w:rPr>
              <w:t>a</w:t>
            </w:r>
          </w:p>
        </w:tc>
        <w:tc>
          <w:tcPr>
            <w:tcW w:w="1052" w:type="pct"/>
            <w:tcBorders>
              <w:top w:val="nil"/>
              <w:left w:val="nil"/>
              <w:bottom w:val="nil"/>
              <w:right w:val="nil"/>
            </w:tcBorders>
            <w:noWrap/>
            <w:vAlign w:val="center"/>
            <w:hideMark/>
          </w:tcPr>
          <w:p w14:paraId="7B4FE77D"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0.9275 0.26</w:t>
            </w:r>
            <w:r w:rsidRPr="009F1497">
              <w:rPr>
                <w:rFonts w:ascii="Arial" w:eastAsia="Times New Roman" w:hAnsi="Arial" w:cs="Arial"/>
                <w:color w:val="000000"/>
                <w:sz w:val="20"/>
                <w:szCs w:val="20"/>
                <w:vertAlign w:val="superscript"/>
                <w:lang w:val="en-GB" w:eastAsia="fr-FR"/>
              </w:rPr>
              <w:t>b</w:t>
            </w:r>
          </w:p>
        </w:tc>
      </w:tr>
      <w:tr w:rsidR="00686B6F" w:rsidRPr="009F1497" w14:paraId="03A87B8D" w14:textId="77777777" w:rsidTr="00AC26D8">
        <w:trPr>
          <w:trHeight w:val="320"/>
        </w:trPr>
        <w:tc>
          <w:tcPr>
            <w:tcW w:w="1078" w:type="pct"/>
            <w:tcBorders>
              <w:top w:val="nil"/>
              <w:left w:val="nil"/>
              <w:bottom w:val="nil"/>
              <w:right w:val="nil"/>
            </w:tcBorders>
            <w:noWrap/>
            <w:vAlign w:val="center"/>
            <w:hideMark/>
          </w:tcPr>
          <w:p w14:paraId="52A0B332"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P3J2S3</w:t>
            </w:r>
          </w:p>
        </w:tc>
        <w:tc>
          <w:tcPr>
            <w:tcW w:w="896" w:type="pct"/>
            <w:tcBorders>
              <w:top w:val="nil"/>
              <w:left w:val="nil"/>
              <w:bottom w:val="nil"/>
              <w:right w:val="nil"/>
            </w:tcBorders>
            <w:noWrap/>
            <w:vAlign w:val="center"/>
            <w:hideMark/>
          </w:tcPr>
          <w:p w14:paraId="7A077182"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28.4100±9.20</w:t>
            </w:r>
            <w:r w:rsidRPr="009F1497">
              <w:rPr>
                <w:rFonts w:ascii="Arial" w:eastAsia="Times New Roman" w:hAnsi="Arial" w:cs="Arial"/>
                <w:color w:val="000000"/>
                <w:sz w:val="20"/>
                <w:szCs w:val="20"/>
                <w:vertAlign w:val="superscript"/>
                <w:lang w:val="en-GB" w:eastAsia="fr-FR"/>
              </w:rPr>
              <w:t>a</w:t>
            </w:r>
          </w:p>
        </w:tc>
        <w:tc>
          <w:tcPr>
            <w:tcW w:w="974" w:type="pct"/>
            <w:tcBorders>
              <w:top w:val="nil"/>
              <w:left w:val="nil"/>
              <w:bottom w:val="nil"/>
              <w:right w:val="nil"/>
            </w:tcBorders>
            <w:noWrap/>
            <w:vAlign w:val="center"/>
            <w:hideMark/>
          </w:tcPr>
          <w:p w14:paraId="0A9A7B18"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6.6551±0.28</w:t>
            </w:r>
            <w:r w:rsidRPr="009F1497">
              <w:rPr>
                <w:rFonts w:ascii="Arial" w:eastAsia="Times New Roman" w:hAnsi="Arial" w:cs="Arial"/>
                <w:color w:val="000000"/>
                <w:sz w:val="20"/>
                <w:szCs w:val="20"/>
                <w:vertAlign w:val="superscript"/>
                <w:lang w:val="en-GB" w:eastAsia="fr-FR"/>
              </w:rPr>
              <w:t>b</w:t>
            </w:r>
          </w:p>
        </w:tc>
        <w:tc>
          <w:tcPr>
            <w:tcW w:w="1000" w:type="pct"/>
            <w:tcBorders>
              <w:top w:val="nil"/>
              <w:left w:val="nil"/>
              <w:bottom w:val="nil"/>
              <w:right w:val="nil"/>
            </w:tcBorders>
            <w:noWrap/>
            <w:vAlign w:val="center"/>
            <w:hideMark/>
          </w:tcPr>
          <w:p w14:paraId="63710CBA"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0.9250±0.22</w:t>
            </w:r>
            <w:r w:rsidRPr="009F1497">
              <w:rPr>
                <w:rFonts w:ascii="Arial" w:eastAsia="Times New Roman" w:hAnsi="Arial" w:cs="Arial"/>
                <w:color w:val="000000"/>
                <w:sz w:val="20"/>
                <w:szCs w:val="20"/>
                <w:vertAlign w:val="superscript"/>
                <w:lang w:val="en-GB" w:eastAsia="fr-FR"/>
              </w:rPr>
              <w:t>ab</w:t>
            </w:r>
          </w:p>
        </w:tc>
        <w:tc>
          <w:tcPr>
            <w:tcW w:w="1052" w:type="pct"/>
            <w:tcBorders>
              <w:top w:val="nil"/>
              <w:left w:val="nil"/>
              <w:bottom w:val="nil"/>
              <w:right w:val="nil"/>
            </w:tcBorders>
            <w:noWrap/>
            <w:vAlign w:val="center"/>
            <w:hideMark/>
          </w:tcPr>
          <w:p w14:paraId="03022094"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0.7650 0.17</w:t>
            </w:r>
            <w:r w:rsidRPr="009F1497">
              <w:rPr>
                <w:rFonts w:ascii="Arial" w:eastAsia="Times New Roman" w:hAnsi="Arial" w:cs="Arial"/>
                <w:color w:val="000000"/>
                <w:sz w:val="20"/>
                <w:szCs w:val="20"/>
                <w:vertAlign w:val="superscript"/>
                <w:lang w:val="en-GB" w:eastAsia="fr-FR"/>
              </w:rPr>
              <w:t>ab</w:t>
            </w:r>
          </w:p>
        </w:tc>
      </w:tr>
      <w:tr w:rsidR="00686B6F" w:rsidRPr="009F1497" w14:paraId="1E33458A" w14:textId="77777777" w:rsidTr="00AC26D8">
        <w:trPr>
          <w:trHeight w:val="320"/>
        </w:trPr>
        <w:tc>
          <w:tcPr>
            <w:tcW w:w="1078" w:type="pct"/>
            <w:tcBorders>
              <w:top w:val="nil"/>
              <w:left w:val="nil"/>
              <w:bottom w:val="nil"/>
              <w:right w:val="nil"/>
            </w:tcBorders>
            <w:noWrap/>
            <w:vAlign w:val="center"/>
            <w:hideMark/>
          </w:tcPr>
          <w:p w14:paraId="71988306"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P4J2S1</w:t>
            </w:r>
          </w:p>
        </w:tc>
        <w:tc>
          <w:tcPr>
            <w:tcW w:w="896" w:type="pct"/>
            <w:tcBorders>
              <w:top w:val="nil"/>
              <w:left w:val="nil"/>
              <w:bottom w:val="nil"/>
              <w:right w:val="nil"/>
            </w:tcBorders>
            <w:noWrap/>
            <w:vAlign w:val="center"/>
            <w:hideMark/>
          </w:tcPr>
          <w:p w14:paraId="02E773DC"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27.6650±8.96</w:t>
            </w:r>
            <w:r w:rsidRPr="009F1497">
              <w:rPr>
                <w:rFonts w:ascii="Arial" w:eastAsia="Times New Roman" w:hAnsi="Arial" w:cs="Arial"/>
                <w:color w:val="000000"/>
                <w:sz w:val="20"/>
                <w:szCs w:val="20"/>
                <w:vertAlign w:val="superscript"/>
                <w:lang w:val="en-GB" w:eastAsia="fr-FR"/>
              </w:rPr>
              <w:t>a</w:t>
            </w:r>
          </w:p>
        </w:tc>
        <w:tc>
          <w:tcPr>
            <w:tcW w:w="974" w:type="pct"/>
            <w:tcBorders>
              <w:top w:val="nil"/>
              <w:left w:val="nil"/>
              <w:bottom w:val="nil"/>
              <w:right w:val="nil"/>
            </w:tcBorders>
            <w:noWrap/>
            <w:vAlign w:val="center"/>
            <w:hideMark/>
          </w:tcPr>
          <w:p w14:paraId="04547ED7"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5.175±0.84</w:t>
            </w:r>
            <w:r w:rsidRPr="009F1497">
              <w:rPr>
                <w:rFonts w:ascii="Arial" w:eastAsia="Times New Roman" w:hAnsi="Arial" w:cs="Arial"/>
                <w:color w:val="000000"/>
                <w:sz w:val="20"/>
                <w:szCs w:val="20"/>
                <w:vertAlign w:val="superscript"/>
                <w:lang w:val="en-GB" w:eastAsia="fr-FR"/>
              </w:rPr>
              <w:t>ab</w:t>
            </w:r>
          </w:p>
        </w:tc>
        <w:tc>
          <w:tcPr>
            <w:tcW w:w="1000" w:type="pct"/>
            <w:tcBorders>
              <w:top w:val="nil"/>
              <w:left w:val="nil"/>
              <w:bottom w:val="nil"/>
              <w:right w:val="nil"/>
            </w:tcBorders>
            <w:noWrap/>
            <w:vAlign w:val="center"/>
            <w:hideMark/>
          </w:tcPr>
          <w:p w14:paraId="3892AF43"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0.8900±0.17</w:t>
            </w:r>
            <w:r w:rsidRPr="009F1497">
              <w:rPr>
                <w:rFonts w:ascii="Arial" w:eastAsia="Times New Roman" w:hAnsi="Arial" w:cs="Arial"/>
                <w:color w:val="000000"/>
                <w:sz w:val="20"/>
                <w:szCs w:val="20"/>
                <w:vertAlign w:val="superscript"/>
                <w:lang w:val="en-GB" w:eastAsia="fr-FR"/>
              </w:rPr>
              <w:t>ab</w:t>
            </w:r>
          </w:p>
        </w:tc>
        <w:tc>
          <w:tcPr>
            <w:tcW w:w="1052" w:type="pct"/>
            <w:tcBorders>
              <w:top w:val="nil"/>
              <w:left w:val="nil"/>
              <w:bottom w:val="nil"/>
              <w:right w:val="nil"/>
            </w:tcBorders>
            <w:noWrap/>
            <w:vAlign w:val="center"/>
            <w:hideMark/>
          </w:tcPr>
          <w:p w14:paraId="6E5A6DCD"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0.4600 0.05</w:t>
            </w:r>
            <w:r w:rsidRPr="009F1497">
              <w:rPr>
                <w:rFonts w:ascii="Arial" w:eastAsia="Times New Roman" w:hAnsi="Arial" w:cs="Arial"/>
                <w:color w:val="000000"/>
                <w:sz w:val="20"/>
                <w:szCs w:val="20"/>
                <w:vertAlign w:val="superscript"/>
                <w:lang w:val="en-GB" w:eastAsia="fr-FR"/>
              </w:rPr>
              <w:t>ab</w:t>
            </w:r>
          </w:p>
        </w:tc>
      </w:tr>
      <w:tr w:rsidR="00686B6F" w:rsidRPr="009F1497" w14:paraId="6F9EA5EA" w14:textId="77777777" w:rsidTr="00AC26D8">
        <w:trPr>
          <w:trHeight w:val="320"/>
        </w:trPr>
        <w:tc>
          <w:tcPr>
            <w:tcW w:w="1078" w:type="pct"/>
            <w:tcBorders>
              <w:top w:val="nil"/>
              <w:left w:val="nil"/>
              <w:bottom w:val="nil"/>
              <w:right w:val="nil"/>
            </w:tcBorders>
            <w:noWrap/>
            <w:vAlign w:val="center"/>
            <w:hideMark/>
          </w:tcPr>
          <w:p w14:paraId="2FFF808C"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P4J2S2</w:t>
            </w:r>
          </w:p>
        </w:tc>
        <w:tc>
          <w:tcPr>
            <w:tcW w:w="896" w:type="pct"/>
            <w:tcBorders>
              <w:top w:val="nil"/>
              <w:left w:val="nil"/>
              <w:bottom w:val="nil"/>
              <w:right w:val="nil"/>
            </w:tcBorders>
            <w:noWrap/>
            <w:vAlign w:val="center"/>
            <w:hideMark/>
          </w:tcPr>
          <w:p w14:paraId="77F34449"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27.9250±4.28</w:t>
            </w:r>
            <w:r w:rsidRPr="009F1497">
              <w:rPr>
                <w:rFonts w:ascii="Arial" w:eastAsia="Times New Roman" w:hAnsi="Arial" w:cs="Arial"/>
                <w:color w:val="000000"/>
                <w:sz w:val="20"/>
                <w:szCs w:val="20"/>
                <w:vertAlign w:val="superscript"/>
                <w:lang w:val="en-GB" w:eastAsia="fr-FR"/>
              </w:rPr>
              <w:t>a</w:t>
            </w:r>
          </w:p>
        </w:tc>
        <w:tc>
          <w:tcPr>
            <w:tcW w:w="974" w:type="pct"/>
            <w:tcBorders>
              <w:top w:val="nil"/>
              <w:left w:val="nil"/>
              <w:bottom w:val="nil"/>
              <w:right w:val="nil"/>
            </w:tcBorders>
            <w:noWrap/>
            <w:vAlign w:val="center"/>
            <w:hideMark/>
          </w:tcPr>
          <w:p w14:paraId="4A8FA505"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6.700±1.67</w:t>
            </w:r>
            <w:r w:rsidRPr="009F1497">
              <w:rPr>
                <w:rFonts w:ascii="Arial" w:eastAsia="Times New Roman" w:hAnsi="Arial" w:cs="Arial"/>
                <w:color w:val="000000"/>
                <w:sz w:val="20"/>
                <w:szCs w:val="20"/>
                <w:vertAlign w:val="superscript"/>
                <w:lang w:val="en-GB" w:eastAsia="fr-FR"/>
              </w:rPr>
              <w:t>b</w:t>
            </w:r>
          </w:p>
        </w:tc>
        <w:tc>
          <w:tcPr>
            <w:tcW w:w="1000" w:type="pct"/>
            <w:tcBorders>
              <w:top w:val="nil"/>
              <w:left w:val="nil"/>
              <w:bottom w:val="nil"/>
              <w:right w:val="nil"/>
            </w:tcBorders>
            <w:noWrap/>
            <w:vAlign w:val="center"/>
            <w:hideMark/>
          </w:tcPr>
          <w:p w14:paraId="03BA9E71"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0.7400±0.31</w:t>
            </w:r>
            <w:r w:rsidRPr="009F1497">
              <w:rPr>
                <w:rFonts w:ascii="Arial" w:eastAsia="Times New Roman" w:hAnsi="Arial" w:cs="Arial"/>
                <w:color w:val="000000"/>
                <w:sz w:val="20"/>
                <w:szCs w:val="20"/>
                <w:vertAlign w:val="superscript"/>
                <w:lang w:val="en-GB" w:eastAsia="fr-FR"/>
              </w:rPr>
              <w:t>ab</w:t>
            </w:r>
          </w:p>
        </w:tc>
        <w:tc>
          <w:tcPr>
            <w:tcW w:w="1052" w:type="pct"/>
            <w:tcBorders>
              <w:top w:val="nil"/>
              <w:left w:val="nil"/>
              <w:bottom w:val="nil"/>
              <w:right w:val="nil"/>
            </w:tcBorders>
            <w:noWrap/>
            <w:vAlign w:val="center"/>
            <w:hideMark/>
          </w:tcPr>
          <w:p w14:paraId="295CFE90"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0.8500 0.27</w:t>
            </w:r>
            <w:r w:rsidRPr="009F1497">
              <w:rPr>
                <w:rFonts w:ascii="Arial" w:eastAsia="Times New Roman" w:hAnsi="Arial" w:cs="Arial"/>
                <w:color w:val="000000"/>
                <w:sz w:val="20"/>
                <w:szCs w:val="20"/>
                <w:vertAlign w:val="superscript"/>
                <w:lang w:val="en-GB" w:eastAsia="fr-FR"/>
              </w:rPr>
              <w:t>ab</w:t>
            </w:r>
          </w:p>
        </w:tc>
      </w:tr>
      <w:tr w:rsidR="00686B6F" w:rsidRPr="009F1497" w14:paraId="341B86A4" w14:textId="77777777" w:rsidTr="00AC26D8">
        <w:trPr>
          <w:trHeight w:val="330"/>
        </w:trPr>
        <w:tc>
          <w:tcPr>
            <w:tcW w:w="1078" w:type="pct"/>
            <w:tcBorders>
              <w:top w:val="nil"/>
              <w:left w:val="nil"/>
              <w:bottom w:val="single" w:sz="8" w:space="0" w:color="000000"/>
              <w:right w:val="nil"/>
            </w:tcBorders>
            <w:noWrap/>
            <w:vAlign w:val="center"/>
            <w:hideMark/>
          </w:tcPr>
          <w:p w14:paraId="344FE66A"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P4J2S3</w:t>
            </w:r>
          </w:p>
        </w:tc>
        <w:tc>
          <w:tcPr>
            <w:tcW w:w="896" w:type="pct"/>
            <w:tcBorders>
              <w:top w:val="nil"/>
              <w:left w:val="nil"/>
              <w:bottom w:val="single" w:sz="8" w:space="0" w:color="000000"/>
              <w:right w:val="nil"/>
            </w:tcBorders>
            <w:noWrap/>
            <w:vAlign w:val="center"/>
            <w:hideMark/>
          </w:tcPr>
          <w:p w14:paraId="78473344"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26.4600±3.59</w:t>
            </w:r>
            <w:r w:rsidRPr="009F1497">
              <w:rPr>
                <w:rFonts w:ascii="Arial" w:eastAsia="Times New Roman" w:hAnsi="Arial" w:cs="Arial"/>
                <w:color w:val="000000"/>
                <w:sz w:val="20"/>
                <w:szCs w:val="20"/>
                <w:vertAlign w:val="superscript"/>
                <w:lang w:val="en-GB" w:eastAsia="fr-FR"/>
              </w:rPr>
              <w:t>a</w:t>
            </w:r>
          </w:p>
        </w:tc>
        <w:tc>
          <w:tcPr>
            <w:tcW w:w="974" w:type="pct"/>
            <w:tcBorders>
              <w:top w:val="nil"/>
              <w:left w:val="nil"/>
              <w:bottom w:val="single" w:sz="8" w:space="0" w:color="000000"/>
              <w:right w:val="nil"/>
            </w:tcBorders>
            <w:noWrap/>
            <w:vAlign w:val="center"/>
            <w:hideMark/>
          </w:tcPr>
          <w:p w14:paraId="5E86B1D6"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4.680±0.53</w:t>
            </w:r>
            <w:r w:rsidRPr="009F1497">
              <w:rPr>
                <w:rFonts w:ascii="Arial" w:eastAsia="Times New Roman" w:hAnsi="Arial" w:cs="Arial"/>
                <w:color w:val="000000"/>
                <w:sz w:val="20"/>
                <w:szCs w:val="20"/>
                <w:vertAlign w:val="superscript"/>
                <w:lang w:val="en-GB" w:eastAsia="fr-FR"/>
              </w:rPr>
              <w:t>ab</w:t>
            </w:r>
          </w:p>
        </w:tc>
        <w:tc>
          <w:tcPr>
            <w:tcW w:w="1000" w:type="pct"/>
            <w:tcBorders>
              <w:top w:val="nil"/>
              <w:left w:val="nil"/>
              <w:bottom w:val="single" w:sz="8" w:space="0" w:color="000000"/>
              <w:right w:val="nil"/>
            </w:tcBorders>
            <w:noWrap/>
            <w:vAlign w:val="center"/>
            <w:hideMark/>
          </w:tcPr>
          <w:p w14:paraId="70613B93"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1.0450±0.18</w:t>
            </w:r>
            <w:r w:rsidRPr="009F1497">
              <w:rPr>
                <w:rFonts w:ascii="Arial" w:eastAsia="Times New Roman" w:hAnsi="Arial" w:cs="Arial"/>
                <w:color w:val="000000"/>
                <w:sz w:val="20"/>
                <w:szCs w:val="20"/>
                <w:vertAlign w:val="superscript"/>
                <w:lang w:val="en-GB" w:eastAsia="fr-FR"/>
              </w:rPr>
              <w:t>ab</w:t>
            </w:r>
          </w:p>
        </w:tc>
        <w:tc>
          <w:tcPr>
            <w:tcW w:w="1052" w:type="pct"/>
            <w:tcBorders>
              <w:top w:val="nil"/>
              <w:left w:val="nil"/>
              <w:bottom w:val="single" w:sz="8" w:space="0" w:color="000000"/>
              <w:right w:val="nil"/>
            </w:tcBorders>
            <w:noWrap/>
            <w:vAlign w:val="center"/>
            <w:hideMark/>
          </w:tcPr>
          <w:p w14:paraId="5D3778A0"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0.5750 0.24</w:t>
            </w:r>
            <w:r w:rsidRPr="009F1497">
              <w:rPr>
                <w:rFonts w:ascii="Arial" w:eastAsia="Times New Roman" w:hAnsi="Arial" w:cs="Arial"/>
                <w:color w:val="000000"/>
                <w:sz w:val="20"/>
                <w:szCs w:val="20"/>
                <w:vertAlign w:val="superscript"/>
                <w:lang w:val="en-GB" w:eastAsia="fr-FR"/>
              </w:rPr>
              <w:t>ab</w:t>
            </w:r>
          </w:p>
        </w:tc>
      </w:tr>
      <w:tr w:rsidR="00686B6F" w:rsidRPr="009F1497" w14:paraId="1E6A5A3A" w14:textId="77777777" w:rsidTr="00AC26D8">
        <w:trPr>
          <w:trHeight w:val="300"/>
        </w:trPr>
        <w:tc>
          <w:tcPr>
            <w:tcW w:w="1078" w:type="pct"/>
            <w:tcBorders>
              <w:top w:val="nil"/>
              <w:left w:val="nil"/>
              <w:bottom w:val="nil"/>
              <w:right w:val="nil"/>
            </w:tcBorders>
            <w:noWrap/>
            <w:vAlign w:val="center"/>
            <w:hideMark/>
          </w:tcPr>
          <w:p w14:paraId="1F09065D"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Pr&gt;(F)</w:t>
            </w:r>
          </w:p>
        </w:tc>
        <w:tc>
          <w:tcPr>
            <w:tcW w:w="896" w:type="pct"/>
            <w:tcBorders>
              <w:top w:val="nil"/>
              <w:left w:val="nil"/>
              <w:bottom w:val="nil"/>
              <w:right w:val="nil"/>
            </w:tcBorders>
            <w:noWrap/>
            <w:vAlign w:val="center"/>
            <w:hideMark/>
          </w:tcPr>
          <w:p w14:paraId="3845EDE2"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0.000005</w:t>
            </w:r>
          </w:p>
        </w:tc>
        <w:tc>
          <w:tcPr>
            <w:tcW w:w="974" w:type="pct"/>
            <w:tcBorders>
              <w:top w:val="nil"/>
              <w:left w:val="nil"/>
              <w:bottom w:val="nil"/>
              <w:right w:val="nil"/>
            </w:tcBorders>
            <w:noWrap/>
            <w:vAlign w:val="center"/>
            <w:hideMark/>
          </w:tcPr>
          <w:p w14:paraId="6DC3D79B"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2.54E-12</w:t>
            </w:r>
          </w:p>
        </w:tc>
        <w:tc>
          <w:tcPr>
            <w:tcW w:w="1000" w:type="pct"/>
            <w:tcBorders>
              <w:top w:val="nil"/>
              <w:left w:val="nil"/>
              <w:bottom w:val="nil"/>
              <w:right w:val="nil"/>
            </w:tcBorders>
            <w:noWrap/>
            <w:vAlign w:val="center"/>
            <w:hideMark/>
          </w:tcPr>
          <w:p w14:paraId="0D3353B7"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0.01</w:t>
            </w:r>
          </w:p>
        </w:tc>
        <w:tc>
          <w:tcPr>
            <w:tcW w:w="1052" w:type="pct"/>
            <w:tcBorders>
              <w:top w:val="nil"/>
              <w:left w:val="nil"/>
              <w:bottom w:val="nil"/>
              <w:right w:val="nil"/>
            </w:tcBorders>
            <w:noWrap/>
            <w:vAlign w:val="center"/>
            <w:hideMark/>
          </w:tcPr>
          <w:p w14:paraId="051F5772"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0.007</w:t>
            </w:r>
          </w:p>
        </w:tc>
      </w:tr>
      <w:tr w:rsidR="00686B6F" w:rsidRPr="009F1497" w14:paraId="255F3597" w14:textId="77777777" w:rsidTr="00AC26D8">
        <w:trPr>
          <w:trHeight w:val="320"/>
        </w:trPr>
        <w:tc>
          <w:tcPr>
            <w:tcW w:w="1078" w:type="pct"/>
            <w:tcBorders>
              <w:top w:val="nil"/>
              <w:left w:val="nil"/>
              <w:bottom w:val="single" w:sz="8" w:space="0" w:color="auto"/>
              <w:right w:val="nil"/>
            </w:tcBorders>
            <w:noWrap/>
            <w:vAlign w:val="center"/>
            <w:hideMark/>
          </w:tcPr>
          <w:p w14:paraId="7114242E"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Significance</w:t>
            </w:r>
          </w:p>
        </w:tc>
        <w:tc>
          <w:tcPr>
            <w:tcW w:w="896" w:type="pct"/>
            <w:tcBorders>
              <w:top w:val="nil"/>
              <w:left w:val="nil"/>
              <w:bottom w:val="single" w:sz="8" w:space="0" w:color="auto"/>
              <w:right w:val="nil"/>
            </w:tcBorders>
            <w:noWrap/>
            <w:vAlign w:val="center"/>
            <w:hideMark/>
          </w:tcPr>
          <w:p w14:paraId="2CBCF2FF"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S</w:t>
            </w:r>
          </w:p>
        </w:tc>
        <w:tc>
          <w:tcPr>
            <w:tcW w:w="974" w:type="pct"/>
            <w:tcBorders>
              <w:top w:val="nil"/>
              <w:left w:val="nil"/>
              <w:bottom w:val="single" w:sz="8" w:space="0" w:color="auto"/>
              <w:right w:val="nil"/>
            </w:tcBorders>
            <w:noWrap/>
            <w:vAlign w:val="center"/>
            <w:hideMark/>
          </w:tcPr>
          <w:p w14:paraId="67C2E4E5"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S</w:t>
            </w:r>
          </w:p>
        </w:tc>
        <w:tc>
          <w:tcPr>
            <w:tcW w:w="1000" w:type="pct"/>
            <w:tcBorders>
              <w:top w:val="nil"/>
              <w:left w:val="nil"/>
              <w:bottom w:val="single" w:sz="8" w:space="0" w:color="auto"/>
              <w:right w:val="nil"/>
            </w:tcBorders>
            <w:noWrap/>
            <w:vAlign w:val="center"/>
            <w:hideMark/>
          </w:tcPr>
          <w:p w14:paraId="3AD4113D"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S</w:t>
            </w:r>
          </w:p>
        </w:tc>
        <w:tc>
          <w:tcPr>
            <w:tcW w:w="1052" w:type="pct"/>
            <w:tcBorders>
              <w:top w:val="nil"/>
              <w:left w:val="nil"/>
              <w:bottom w:val="single" w:sz="8" w:space="0" w:color="auto"/>
              <w:right w:val="nil"/>
            </w:tcBorders>
            <w:noWrap/>
            <w:vAlign w:val="center"/>
            <w:hideMark/>
          </w:tcPr>
          <w:p w14:paraId="74A62826"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S</w:t>
            </w:r>
          </w:p>
        </w:tc>
      </w:tr>
    </w:tbl>
    <w:p w14:paraId="36FA56DF" w14:textId="77777777" w:rsidR="005460DB" w:rsidRPr="0042389E" w:rsidRDefault="00686B6F" w:rsidP="005460DB">
      <w:pPr>
        <w:spacing w:line="240" w:lineRule="auto"/>
        <w:jc w:val="both"/>
        <w:rPr>
          <w:rFonts w:ascii="Arial" w:hAnsi="Arial" w:cs="Arial"/>
          <w:sz w:val="18"/>
          <w:szCs w:val="18"/>
          <w:lang w:val="en-GB"/>
        </w:rPr>
      </w:pPr>
      <w:r w:rsidRPr="009F1497">
        <w:rPr>
          <w:rFonts w:ascii="Arial" w:hAnsi="Arial" w:cs="Arial"/>
          <w:sz w:val="18"/>
          <w:szCs w:val="18"/>
          <w:lang w:val="en-GB"/>
        </w:rPr>
        <w:t>Legend: P1: first sampling point; P2: second sampling point; P3: third sampling point; P4: fourth sampling point. J1: confluence point upstream of the WWTP treated wastewater discharge; J2: confluence point downstream of the WWTP treated wastewater discharge. S1: dry season; S2: cool season; S3: hot season. S: significant</w:t>
      </w:r>
      <w:r w:rsidR="00B34C2C">
        <w:rPr>
          <w:rFonts w:ascii="Arial" w:hAnsi="Arial" w:cs="Arial"/>
          <w:sz w:val="18"/>
          <w:szCs w:val="18"/>
          <w:lang w:val="en-GB"/>
        </w:rPr>
        <w:t xml:space="preserve">; </w:t>
      </w:r>
      <w:r w:rsidR="005460DB" w:rsidRPr="0042389E">
        <w:rPr>
          <w:rFonts w:ascii="Arial" w:hAnsi="Arial" w:cs="Arial"/>
          <w:sz w:val="18"/>
          <w:szCs w:val="18"/>
        </w:rPr>
        <w:t xml:space="preserve">a: group 1 (different from b and c); b: group 2 (different from a); c: group 3 (different from a and b); ab: belongs to groups a and b; bc: not significantly different from b or c; ac: not significantly different from a or c. </w:t>
      </w:r>
    </w:p>
    <w:p w14:paraId="50979807" w14:textId="3CE38420" w:rsidR="00686B6F" w:rsidRPr="009F1497" w:rsidRDefault="00686B6F" w:rsidP="004B2723">
      <w:pPr>
        <w:spacing w:line="240" w:lineRule="auto"/>
        <w:jc w:val="both"/>
        <w:rPr>
          <w:rFonts w:ascii="Arial" w:hAnsi="Arial" w:cs="Arial"/>
          <w:sz w:val="18"/>
          <w:szCs w:val="18"/>
          <w:lang w:val="en-GB"/>
        </w:rPr>
      </w:pPr>
    </w:p>
    <w:p w14:paraId="62B02AE5" w14:textId="77777777" w:rsidR="00686B6F" w:rsidRPr="009F1497" w:rsidRDefault="00686B6F" w:rsidP="004B2723">
      <w:pPr>
        <w:spacing w:after="160" w:line="240" w:lineRule="auto"/>
        <w:jc w:val="both"/>
        <w:rPr>
          <w:rFonts w:ascii="Arial" w:hAnsi="Arial" w:cs="Arial"/>
          <w:sz w:val="20"/>
          <w:szCs w:val="20"/>
          <w:lang w:val="en-GB"/>
        </w:rPr>
      </w:pPr>
    </w:p>
    <w:p w14:paraId="1B6A71AE" w14:textId="77777777" w:rsidR="00686B6F" w:rsidRPr="009F1497" w:rsidRDefault="00686B6F" w:rsidP="004B2723">
      <w:pPr>
        <w:spacing w:line="240" w:lineRule="auto"/>
        <w:jc w:val="both"/>
        <w:rPr>
          <w:rFonts w:ascii="Arial" w:hAnsi="Arial" w:cs="Arial"/>
          <w:sz w:val="20"/>
          <w:szCs w:val="20"/>
          <w:lang w:val="en-GB"/>
        </w:rPr>
        <w:sectPr w:rsidR="00686B6F" w:rsidRPr="009F1497" w:rsidSect="00A423F4">
          <w:pgSz w:w="16838" w:h="11906" w:orient="landscape"/>
          <w:pgMar w:top="1417" w:right="1417" w:bottom="1417" w:left="1417" w:header="708" w:footer="708" w:gutter="0"/>
          <w:cols w:space="708"/>
          <w:docGrid w:linePitch="360"/>
        </w:sectPr>
      </w:pPr>
    </w:p>
    <w:p w14:paraId="5D97D58F" w14:textId="0BE09E79" w:rsidR="00686B6F" w:rsidRPr="009F1497" w:rsidRDefault="00686B6F" w:rsidP="004B2723">
      <w:pPr>
        <w:spacing w:after="160" w:line="240" w:lineRule="auto"/>
        <w:jc w:val="both"/>
        <w:rPr>
          <w:rFonts w:ascii="Arial" w:hAnsi="Arial" w:cs="Arial"/>
          <w:sz w:val="20"/>
          <w:szCs w:val="20"/>
          <w:lang w:val="en-GB"/>
        </w:rPr>
      </w:pPr>
      <w:r w:rsidRPr="009F1497">
        <w:rPr>
          <w:rFonts w:ascii="Arial" w:hAnsi="Arial" w:cs="Arial"/>
          <w:sz w:val="20"/>
          <w:szCs w:val="20"/>
          <w:lang w:val="en-GB"/>
        </w:rPr>
        <w:lastRenderedPageBreak/>
        <w:t xml:space="preserve">Table </w:t>
      </w:r>
      <w:r w:rsidR="00056D94" w:rsidRPr="009F1497">
        <w:rPr>
          <w:rFonts w:ascii="Arial" w:hAnsi="Arial" w:cs="Arial"/>
          <w:sz w:val="20"/>
          <w:szCs w:val="20"/>
          <w:lang w:val="en-GB"/>
        </w:rPr>
        <w:t>3</w:t>
      </w:r>
      <w:r w:rsidRPr="009F1497">
        <w:rPr>
          <w:rFonts w:ascii="Arial" w:hAnsi="Arial" w:cs="Arial"/>
          <w:sz w:val="20"/>
          <w:szCs w:val="20"/>
          <w:lang w:val="en-GB"/>
        </w:rPr>
        <w:t>. Mean values of infiltration-related indices and irrigation suitability indices of the water.</w:t>
      </w:r>
    </w:p>
    <w:tbl>
      <w:tblPr>
        <w:tblStyle w:val="Ombrageclair"/>
        <w:tblW w:w="5000" w:type="pct"/>
        <w:tblLook w:val="06A0" w:firstRow="1" w:lastRow="0" w:firstColumn="1" w:lastColumn="0" w:noHBand="1" w:noVBand="1"/>
      </w:tblPr>
      <w:tblGrid>
        <w:gridCol w:w="1837"/>
        <w:gridCol w:w="1312"/>
        <w:gridCol w:w="1573"/>
        <w:gridCol w:w="1704"/>
        <w:gridCol w:w="1537"/>
        <w:gridCol w:w="1443"/>
      </w:tblGrid>
      <w:tr w:rsidR="00686B6F" w:rsidRPr="009F1497" w14:paraId="3E3FBDEC" w14:textId="77777777" w:rsidTr="00AC26D8">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76" w:type="pct"/>
            <w:noWrap/>
            <w:hideMark/>
          </w:tcPr>
          <w:p w14:paraId="24E8B561" w14:textId="77777777" w:rsidR="00686B6F" w:rsidRPr="009F1497" w:rsidRDefault="00686B6F" w:rsidP="004B2723">
            <w:pPr>
              <w:rPr>
                <w:rFonts w:ascii="Arial" w:eastAsia="Times New Roman" w:hAnsi="Arial" w:cs="Arial"/>
                <w:bCs w:val="0"/>
                <w:color w:val="000000"/>
                <w:sz w:val="20"/>
                <w:szCs w:val="20"/>
                <w:lang w:val="en-GB" w:eastAsia="fr-FR"/>
              </w:rPr>
            </w:pPr>
            <w:r w:rsidRPr="009F1497">
              <w:rPr>
                <w:rFonts w:ascii="Arial" w:eastAsia="Times New Roman" w:hAnsi="Arial" w:cs="Arial"/>
                <w:bCs w:val="0"/>
                <w:color w:val="000000"/>
                <w:sz w:val="20"/>
                <w:szCs w:val="20"/>
                <w:lang w:val="en-GB" w:eastAsia="fr-FR"/>
              </w:rPr>
              <w:t>Sampling points</w:t>
            </w:r>
          </w:p>
        </w:tc>
        <w:tc>
          <w:tcPr>
            <w:tcW w:w="697" w:type="pct"/>
            <w:noWrap/>
            <w:hideMark/>
          </w:tcPr>
          <w:p w14:paraId="0E830955" w14:textId="77777777" w:rsidR="00686B6F" w:rsidRPr="009F1497" w:rsidRDefault="00686B6F" w:rsidP="004B2723">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20"/>
                <w:szCs w:val="20"/>
                <w:lang w:val="en-GB" w:eastAsia="fr-FR"/>
              </w:rPr>
            </w:pPr>
            <w:r w:rsidRPr="009F1497">
              <w:rPr>
                <w:rFonts w:ascii="Arial" w:eastAsia="Times New Roman" w:hAnsi="Arial" w:cs="Arial"/>
                <w:bCs w:val="0"/>
                <w:color w:val="000000"/>
                <w:sz w:val="20"/>
                <w:szCs w:val="20"/>
                <w:lang w:val="en-GB" w:eastAsia="fr-FR"/>
              </w:rPr>
              <w:t>SAR</w:t>
            </w:r>
          </w:p>
        </w:tc>
        <w:tc>
          <w:tcPr>
            <w:tcW w:w="836" w:type="pct"/>
            <w:noWrap/>
            <w:hideMark/>
          </w:tcPr>
          <w:p w14:paraId="5409B31B" w14:textId="77777777" w:rsidR="00686B6F" w:rsidRPr="009F1497" w:rsidRDefault="00686B6F" w:rsidP="004B2723">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20"/>
                <w:szCs w:val="20"/>
                <w:lang w:val="en-GB" w:eastAsia="fr-FR"/>
              </w:rPr>
            </w:pPr>
            <w:r w:rsidRPr="009F1497">
              <w:rPr>
                <w:rFonts w:ascii="Arial" w:eastAsia="Times New Roman" w:hAnsi="Arial" w:cs="Arial"/>
                <w:bCs w:val="0"/>
                <w:color w:val="000000"/>
                <w:sz w:val="20"/>
                <w:szCs w:val="20"/>
                <w:lang w:val="en-GB" w:eastAsia="fr-FR"/>
              </w:rPr>
              <w:t>%Na</w:t>
            </w:r>
          </w:p>
        </w:tc>
        <w:tc>
          <w:tcPr>
            <w:tcW w:w="906" w:type="pct"/>
            <w:noWrap/>
            <w:hideMark/>
          </w:tcPr>
          <w:p w14:paraId="1328F99D" w14:textId="77777777" w:rsidR="00686B6F" w:rsidRPr="009F1497" w:rsidRDefault="00686B6F" w:rsidP="004B2723">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20"/>
                <w:szCs w:val="20"/>
                <w:lang w:val="en-GB" w:eastAsia="fr-FR"/>
              </w:rPr>
            </w:pPr>
            <w:r w:rsidRPr="009F1497">
              <w:rPr>
                <w:rFonts w:ascii="Arial" w:eastAsia="Times New Roman" w:hAnsi="Arial" w:cs="Arial"/>
                <w:bCs w:val="0"/>
                <w:color w:val="000000"/>
                <w:sz w:val="20"/>
                <w:szCs w:val="20"/>
                <w:lang w:val="en-GB" w:eastAsia="fr-FR"/>
              </w:rPr>
              <w:t>PI</w:t>
            </w:r>
          </w:p>
        </w:tc>
        <w:tc>
          <w:tcPr>
            <w:tcW w:w="817" w:type="pct"/>
            <w:noWrap/>
            <w:hideMark/>
          </w:tcPr>
          <w:p w14:paraId="25FCB79B" w14:textId="77777777" w:rsidR="00686B6F" w:rsidRPr="009F1497" w:rsidRDefault="00686B6F" w:rsidP="004B2723">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20"/>
                <w:szCs w:val="20"/>
                <w:lang w:val="en-GB" w:eastAsia="fr-FR"/>
              </w:rPr>
            </w:pPr>
            <w:r w:rsidRPr="009F1497">
              <w:rPr>
                <w:rFonts w:ascii="Arial" w:eastAsia="Times New Roman" w:hAnsi="Arial" w:cs="Arial"/>
                <w:bCs w:val="0"/>
                <w:color w:val="000000"/>
                <w:sz w:val="20"/>
                <w:szCs w:val="20"/>
                <w:lang w:val="en-GB" w:eastAsia="fr-FR"/>
              </w:rPr>
              <w:t>MAR (%)</w:t>
            </w:r>
          </w:p>
        </w:tc>
        <w:tc>
          <w:tcPr>
            <w:tcW w:w="767" w:type="pct"/>
            <w:noWrap/>
            <w:hideMark/>
          </w:tcPr>
          <w:p w14:paraId="6B1C784B" w14:textId="77777777" w:rsidR="00686B6F" w:rsidRPr="009F1497" w:rsidRDefault="00686B6F" w:rsidP="004B2723">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20"/>
                <w:szCs w:val="20"/>
                <w:lang w:val="en-GB" w:eastAsia="fr-FR"/>
              </w:rPr>
            </w:pPr>
            <w:r w:rsidRPr="009F1497">
              <w:rPr>
                <w:rFonts w:ascii="Arial" w:eastAsia="Times New Roman" w:hAnsi="Arial" w:cs="Arial"/>
                <w:bCs w:val="0"/>
                <w:color w:val="000000"/>
                <w:sz w:val="20"/>
                <w:szCs w:val="20"/>
                <w:lang w:val="en-GB" w:eastAsia="fr-FR"/>
              </w:rPr>
              <w:t>KR</w:t>
            </w:r>
          </w:p>
        </w:tc>
      </w:tr>
      <w:tr w:rsidR="00686B6F" w:rsidRPr="009F1497" w14:paraId="3665D324" w14:textId="77777777" w:rsidTr="00AC26D8">
        <w:trPr>
          <w:trHeight w:val="310"/>
        </w:trPr>
        <w:tc>
          <w:tcPr>
            <w:cnfStyle w:val="001000000000" w:firstRow="0" w:lastRow="0" w:firstColumn="1" w:lastColumn="0" w:oddVBand="0" w:evenVBand="0" w:oddHBand="0" w:evenHBand="0" w:firstRowFirstColumn="0" w:firstRowLastColumn="0" w:lastRowFirstColumn="0" w:lastRowLastColumn="0"/>
            <w:tcW w:w="976" w:type="pct"/>
            <w:noWrap/>
            <w:hideMark/>
          </w:tcPr>
          <w:p w14:paraId="2E65D722" w14:textId="77777777" w:rsidR="00686B6F" w:rsidRPr="009F1497" w:rsidRDefault="00686B6F" w:rsidP="004B2723">
            <w:pPr>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P1J1S1</w:t>
            </w:r>
          </w:p>
        </w:tc>
        <w:tc>
          <w:tcPr>
            <w:tcW w:w="697" w:type="pct"/>
            <w:noWrap/>
            <w:hideMark/>
          </w:tcPr>
          <w:p w14:paraId="13FB095F"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2,08</w:t>
            </w:r>
          </w:p>
        </w:tc>
        <w:tc>
          <w:tcPr>
            <w:tcW w:w="836" w:type="pct"/>
            <w:noWrap/>
            <w:hideMark/>
          </w:tcPr>
          <w:p w14:paraId="20A34912"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55,21</w:t>
            </w:r>
          </w:p>
        </w:tc>
        <w:tc>
          <w:tcPr>
            <w:tcW w:w="906" w:type="pct"/>
            <w:noWrap/>
            <w:hideMark/>
          </w:tcPr>
          <w:p w14:paraId="3336FCEC"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11,50</w:t>
            </w:r>
          </w:p>
        </w:tc>
        <w:tc>
          <w:tcPr>
            <w:tcW w:w="817" w:type="pct"/>
            <w:noWrap/>
            <w:hideMark/>
          </w:tcPr>
          <w:p w14:paraId="5F91CB37"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20,36</w:t>
            </w:r>
          </w:p>
        </w:tc>
        <w:tc>
          <w:tcPr>
            <w:tcW w:w="767" w:type="pct"/>
            <w:noWrap/>
            <w:hideMark/>
          </w:tcPr>
          <w:p w14:paraId="772DE2E1"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0,94</w:t>
            </w:r>
          </w:p>
        </w:tc>
      </w:tr>
      <w:tr w:rsidR="00686B6F" w:rsidRPr="009F1497" w14:paraId="7877BCEE" w14:textId="77777777" w:rsidTr="00AC26D8">
        <w:trPr>
          <w:trHeight w:val="310"/>
        </w:trPr>
        <w:tc>
          <w:tcPr>
            <w:cnfStyle w:val="001000000000" w:firstRow="0" w:lastRow="0" w:firstColumn="1" w:lastColumn="0" w:oddVBand="0" w:evenVBand="0" w:oddHBand="0" w:evenHBand="0" w:firstRowFirstColumn="0" w:firstRowLastColumn="0" w:lastRowFirstColumn="0" w:lastRowLastColumn="0"/>
            <w:tcW w:w="976" w:type="pct"/>
            <w:noWrap/>
            <w:hideMark/>
          </w:tcPr>
          <w:p w14:paraId="7B61DA3A" w14:textId="77777777" w:rsidR="00686B6F" w:rsidRPr="009F1497" w:rsidRDefault="00686B6F" w:rsidP="004B2723">
            <w:pPr>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P1J1S2</w:t>
            </w:r>
          </w:p>
        </w:tc>
        <w:tc>
          <w:tcPr>
            <w:tcW w:w="697" w:type="pct"/>
            <w:noWrap/>
            <w:hideMark/>
          </w:tcPr>
          <w:p w14:paraId="73FDCE37"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1,95</w:t>
            </w:r>
          </w:p>
        </w:tc>
        <w:tc>
          <w:tcPr>
            <w:tcW w:w="836" w:type="pct"/>
            <w:noWrap/>
            <w:hideMark/>
          </w:tcPr>
          <w:p w14:paraId="6ADD0A97"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51,93</w:t>
            </w:r>
          </w:p>
        </w:tc>
        <w:tc>
          <w:tcPr>
            <w:tcW w:w="906" w:type="pct"/>
            <w:noWrap/>
            <w:hideMark/>
          </w:tcPr>
          <w:p w14:paraId="3CEC3160"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11,17</w:t>
            </w:r>
          </w:p>
        </w:tc>
        <w:tc>
          <w:tcPr>
            <w:tcW w:w="817" w:type="pct"/>
            <w:noWrap/>
            <w:hideMark/>
          </w:tcPr>
          <w:p w14:paraId="4C2F06B7"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11,97</w:t>
            </w:r>
          </w:p>
        </w:tc>
        <w:tc>
          <w:tcPr>
            <w:tcW w:w="767" w:type="pct"/>
            <w:noWrap/>
            <w:hideMark/>
          </w:tcPr>
          <w:p w14:paraId="43218853"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0,89</w:t>
            </w:r>
          </w:p>
        </w:tc>
      </w:tr>
      <w:tr w:rsidR="00686B6F" w:rsidRPr="009F1497" w14:paraId="2E3E282A" w14:textId="77777777" w:rsidTr="00AC26D8">
        <w:trPr>
          <w:trHeight w:val="310"/>
        </w:trPr>
        <w:tc>
          <w:tcPr>
            <w:cnfStyle w:val="001000000000" w:firstRow="0" w:lastRow="0" w:firstColumn="1" w:lastColumn="0" w:oddVBand="0" w:evenVBand="0" w:oddHBand="0" w:evenHBand="0" w:firstRowFirstColumn="0" w:firstRowLastColumn="0" w:lastRowFirstColumn="0" w:lastRowLastColumn="0"/>
            <w:tcW w:w="976" w:type="pct"/>
            <w:noWrap/>
            <w:hideMark/>
          </w:tcPr>
          <w:p w14:paraId="2497DC11" w14:textId="77777777" w:rsidR="00686B6F" w:rsidRPr="009F1497" w:rsidRDefault="00686B6F" w:rsidP="004B2723">
            <w:pPr>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P1J1S3</w:t>
            </w:r>
          </w:p>
        </w:tc>
        <w:tc>
          <w:tcPr>
            <w:tcW w:w="697" w:type="pct"/>
            <w:noWrap/>
            <w:hideMark/>
          </w:tcPr>
          <w:p w14:paraId="70E23756"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1,20</w:t>
            </w:r>
          </w:p>
        </w:tc>
        <w:tc>
          <w:tcPr>
            <w:tcW w:w="836" w:type="pct"/>
            <w:noWrap/>
            <w:hideMark/>
          </w:tcPr>
          <w:p w14:paraId="3171E32B"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37,40</w:t>
            </w:r>
          </w:p>
        </w:tc>
        <w:tc>
          <w:tcPr>
            <w:tcW w:w="906" w:type="pct"/>
            <w:noWrap/>
            <w:hideMark/>
          </w:tcPr>
          <w:p w14:paraId="7924A516"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7,17</w:t>
            </w:r>
          </w:p>
        </w:tc>
        <w:tc>
          <w:tcPr>
            <w:tcW w:w="817" w:type="pct"/>
            <w:noWrap/>
            <w:hideMark/>
          </w:tcPr>
          <w:p w14:paraId="0DDE2D3D"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5,91</w:t>
            </w:r>
          </w:p>
        </w:tc>
        <w:tc>
          <w:tcPr>
            <w:tcW w:w="767" w:type="pct"/>
            <w:noWrap/>
            <w:hideMark/>
          </w:tcPr>
          <w:p w14:paraId="1F7A3489"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0,43</w:t>
            </w:r>
          </w:p>
        </w:tc>
      </w:tr>
      <w:tr w:rsidR="00686B6F" w:rsidRPr="009F1497" w14:paraId="6EE908B8" w14:textId="77777777" w:rsidTr="00AC26D8">
        <w:trPr>
          <w:trHeight w:val="310"/>
        </w:trPr>
        <w:tc>
          <w:tcPr>
            <w:cnfStyle w:val="001000000000" w:firstRow="0" w:lastRow="0" w:firstColumn="1" w:lastColumn="0" w:oddVBand="0" w:evenVBand="0" w:oddHBand="0" w:evenHBand="0" w:firstRowFirstColumn="0" w:firstRowLastColumn="0" w:lastRowFirstColumn="0" w:lastRowLastColumn="0"/>
            <w:tcW w:w="976" w:type="pct"/>
            <w:noWrap/>
            <w:hideMark/>
          </w:tcPr>
          <w:p w14:paraId="2197962C" w14:textId="77777777" w:rsidR="00686B6F" w:rsidRPr="009F1497" w:rsidRDefault="00686B6F" w:rsidP="004B2723">
            <w:pPr>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P2J1S1</w:t>
            </w:r>
          </w:p>
        </w:tc>
        <w:tc>
          <w:tcPr>
            <w:tcW w:w="697" w:type="pct"/>
            <w:noWrap/>
            <w:hideMark/>
          </w:tcPr>
          <w:p w14:paraId="4F68D154"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2,85</w:t>
            </w:r>
          </w:p>
        </w:tc>
        <w:tc>
          <w:tcPr>
            <w:tcW w:w="836" w:type="pct"/>
            <w:noWrap/>
            <w:hideMark/>
          </w:tcPr>
          <w:p w14:paraId="033357F7"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56,77</w:t>
            </w:r>
          </w:p>
        </w:tc>
        <w:tc>
          <w:tcPr>
            <w:tcW w:w="906" w:type="pct"/>
            <w:noWrap/>
            <w:hideMark/>
          </w:tcPr>
          <w:p w14:paraId="63C2470A"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12,26</w:t>
            </w:r>
          </w:p>
        </w:tc>
        <w:tc>
          <w:tcPr>
            <w:tcW w:w="817" w:type="pct"/>
            <w:noWrap/>
            <w:hideMark/>
          </w:tcPr>
          <w:p w14:paraId="2F2C4033"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7,46</w:t>
            </w:r>
          </w:p>
        </w:tc>
        <w:tc>
          <w:tcPr>
            <w:tcW w:w="767" w:type="pct"/>
            <w:noWrap/>
            <w:hideMark/>
          </w:tcPr>
          <w:p w14:paraId="4FA7AEC8"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1,10</w:t>
            </w:r>
          </w:p>
        </w:tc>
      </w:tr>
      <w:tr w:rsidR="00686B6F" w:rsidRPr="009F1497" w14:paraId="23633205" w14:textId="77777777" w:rsidTr="00AC26D8">
        <w:trPr>
          <w:trHeight w:val="310"/>
        </w:trPr>
        <w:tc>
          <w:tcPr>
            <w:cnfStyle w:val="001000000000" w:firstRow="0" w:lastRow="0" w:firstColumn="1" w:lastColumn="0" w:oddVBand="0" w:evenVBand="0" w:oddHBand="0" w:evenHBand="0" w:firstRowFirstColumn="0" w:firstRowLastColumn="0" w:lastRowFirstColumn="0" w:lastRowLastColumn="0"/>
            <w:tcW w:w="976" w:type="pct"/>
            <w:noWrap/>
            <w:hideMark/>
          </w:tcPr>
          <w:p w14:paraId="7D00616B" w14:textId="77777777" w:rsidR="00686B6F" w:rsidRPr="009F1497" w:rsidRDefault="00686B6F" w:rsidP="004B2723">
            <w:pPr>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P2J1S2</w:t>
            </w:r>
          </w:p>
        </w:tc>
        <w:tc>
          <w:tcPr>
            <w:tcW w:w="697" w:type="pct"/>
            <w:noWrap/>
            <w:hideMark/>
          </w:tcPr>
          <w:p w14:paraId="12A63957"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5,96</w:t>
            </w:r>
          </w:p>
        </w:tc>
        <w:tc>
          <w:tcPr>
            <w:tcW w:w="836" w:type="pct"/>
            <w:noWrap/>
            <w:hideMark/>
          </w:tcPr>
          <w:p w14:paraId="0DF26EA3"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85,09</w:t>
            </w:r>
          </w:p>
        </w:tc>
        <w:tc>
          <w:tcPr>
            <w:tcW w:w="906" w:type="pct"/>
            <w:noWrap/>
            <w:hideMark/>
          </w:tcPr>
          <w:p w14:paraId="288B2740"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18,50</w:t>
            </w:r>
          </w:p>
        </w:tc>
        <w:tc>
          <w:tcPr>
            <w:tcW w:w="817" w:type="pct"/>
            <w:noWrap/>
            <w:hideMark/>
          </w:tcPr>
          <w:p w14:paraId="7D6D9963"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22,38</w:t>
            </w:r>
          </w:p>
        </w:tc>
        <w:tc>
          <w:tcPr>
            <w:tcW w:w="767" w:type="pct"/>
            <w:noWrap/>
            <w:hideMark/>
          </w:tcPr>
          <w:p w14:paraId="70A274AE"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3,86</w:t>
            </w:r>
          </w:p>
        </w:tc>
      </w:tr>
      <w:tr w:rsidR="00686B6F" w:rsidRPr="009F1497" w14:paraId="6CD98CCA" w14:textId="77777777" w:rsidTr="00AC26D8">
        <w:trPr>
          <w:trHeight w:val="310"/>
        </w:trPr>
        <w:tc>
          <w:tcPr>
            <w:cnfStyle w:val="001000000000" w:firstRow="0" w:lastRow="0" w:firstColumn="1" w:lastColumn="0" w:oddVBand="0" w:evenVBand="0" w:oddHBand="0" w:evenHBand="0" w:firstRowFirstColumn="0" w:firstRowLastColumn="0" w:lastRowFirstColumn="0" w:lastRowLastColumn="0"/>
            <w:tcW w:w="976" w:type="pct"/>
            <w:noWrap/>
            <w:hideMark/>
          </w:tcPr>
          <w:p w14:paraId="2F82B891" w14:textId="77777777" w:rsidR="00686B6F" w:rsidRPr="009F1497" w:rsidRDefault="00686B6F" w:rsidP="004B2723">
            <w:pPr>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P2J1S3</w:t>
            </w:r>
          </w:p>
        </w:tc>
        <w:tc>
          <w:tcPr>
            <w:tcW w:w="697" w:type="pct"/>
            <w:noWrap/>
            <w:hideMark/>
          </w:tcPr>
          <w:p w14:paraId="44EF68D8"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6,18</w:t>
            </w:r>
          </w:p>
        </w:tc>
        <w:tc>
          <w:tcPr>
            <w:tcW w:w="836" w:type="pct"/>
            <w:noWrap/>
            <w:hideMark/>
          </w:tcPr>
          <w:p w14:paraId="2F95FBF7"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81,92</w:t>
            </w:r>
          </w:p>
        </w:tc>
        <w:tc>
          <w:tcPr>
            <w:tcW w:w="906" w:type="pct"/>
            <w:noWrap/>
            <w:hideMark/>
          </w:tcPr>
          <w:p w14:paraId="27EFEFE0"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18,25</w:t>
            </w:r>
          </w:p>
        </w:tc>
        <w:tc>
          <w:tcPr>
            <w:tcW w:w="817" w:type="pct"/>
            <w:noWrap/>
            <w:hideMark/>
          </w:tcPr>
          <w:p w14:paraId="3AD2203E"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10,45</w:t>
            </w:r>
          </w:p>
        </w:tc>
        <w:tc>
          <w:tcPr>
            <w:tcW w:w="767" w:type="pct"/>
            <w:noWrap/>
            <w:hideMark/>
          </w:tcPr>
          <w:p w14:paraId="2A2BC962"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3,65</w:t>
            </w:r>
          </w:p>
        </w:tc>
      </w:tr>
      <w:tr w:rsidR="00686B6F" w:rsidRPr="009F1497" w14:paraId="52D206F0" w14:textId="77777777" w:rsidTr="00AC26D8">
        <w:trPr>
          <w:trHeight w:val="310"/>
        </w:trPr>
        <w:tc>
          <w:tcPr>
            <w:cnfStyle w:val="001000000000" w:firstRow="0" w:lastRow="0" w:firstColumn="1" w:lastColumn="0" w:oddVBand="0" w:evenVBand="0" w:oddHBand="0" w:evenHBand="0" w:firstRowFirstColumn="0" w:firstRowLastColumn="0" w:lastRowFirstColumn="0" w:lastRowLastColumn="0"/>
            <w:tcW w:w="976" w:type="pct"/>
            <w:noWrap/>
            <w:hideMark/>
          </w:tcPr>
          <w:p w14:paraId="70FB1991" w14:textId="77777777" w:rsidR="00686B6F" w:rsidRPr="009F1497" w:rsidRDefault="00686B6F" w:rsidP="004B2723">
            <w:pPr>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P3J2S1</w:t>
            </w:r>
          </w:p>
        </w:tc>
        <w:tc>
          <w:tcPr>
            <w:tcW w:w="697" w:type="pct"/>
            <w:noWrap/>
            <w:hideMark/>
          </w:tcPr>
          <w:p w14:paraId="6C10B700"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2,17</w:t>
            </w:r>
          </w:p>
        </w:tc>
        <w:tc>
          <w:tcPr>
            <w:tcW w:w="836" w:type="pct"/>
            <w:noWrap/>
            <w:hideMark/>
          </w:tcPr>
          <w:p w14:paraId="5849676C"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53,43</w:t>
            </w:r>
          </w:p>
        </w:tc>
        <w:tc>
          <w:tcPr>
            <w:tcW w:w="906" w:type="pct"/>
            <w:noWrap/>
            <w:hideMark/>
          </w:tcPr>
          <w:p w14:paraId="13116DC8"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11,09</w:t>
            </w:r>
          </w:p>
        </w:tc>
        <w:tc>
          <w:tcPr>
            <w:tcW w:w="817" w:type="pct"/>
            <w:noWrap/>
            <w:hideMark/>
          </w:tcPr>
          <w:p w14:paraId="1EAD5971"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14,38</w:t>
            </w:r>
          </w:p>
        </w:tc>
        <w:tc>
          <w:tcPr>
            <w:tcW w:w="767" w:type="pct"/>
            <w:noWrap/>
            <w:hideMark/>
          </w:tcPr>
          <w:p w14:paraId="7B4CF7F9"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0,89</w:t>
            </w:r>
          </w:p>
        </w:tc>
      </w:tr>
      <w:tr w:rsidR="00686B6F" w:rsidRPr="009F1497" w14:paraId="6368BB1D" w14:textId="77777777" w:rsidTr="00AC26D8">
        <w:trPr>
          <w:trHeight w:val="310"/>
        </w:trPr>
        <w:tc>
          <w:tcPr>
            <w:cnfStyle w:val="001000000000" w:firstRow="0" w:lastRow="0" w:firstColumn="1" w:lastColumn="0" w:oddVBand="0" w:evenVBand="0" w:oddHBand="0" w:evenHBand="0" w:firstRowFirstColumn="0" w:firstRowLastColumn="0" w:lastRowFirstColumn="0" w:lastRowLastColumn="0"/>
            <w:tcW w:w="976" w:type="pct"/>
            <w:noWrap/>
            <w:hideMark/>
          </w:tcPr>
          <w:p w14:paraId="5E610C36" w14:textId="77777777" w:rsidR="00686B6F" w:rsidRPr="009F1497" w:rsidRDefault="00686B6F" w:rsidP="004B2723">
            <w:pPr>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P3J2S2</w:t>
            </w:r>
          </w:p>
        </w:tc>
        <w:tc>
          <w:tcPr>
            <w:tcW w:w="697" w:type="pct"/>
            <w:noWrap/>
            <w:hideMark/>
          </w:tcPr>
          <w:p w14:paraId="4C1E6A74"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2,10</w:t>
            </w:r>
          </w:p>
        </w:tc>
        <w:tc>
          <w:tcPr>
            <w:tcW w:w="836" w:type="pct"/>
            <w:noWrap/>
            <w:hideMark/>
          </w:tcPr>
          <w:p w14:paraId="45E6C120"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50,42</w:t>
            </w:r>
          </w:p>
        </w:tc>
        <w:tc>
          <w:tcPr>
            <w:tcW w:w="906" w:type="pct"/>
            <w:noWrap/>
            <w:hideMark/>
          </w:tcPr>
          <w:p w14:paraId="408BD26D"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10,47</w:t>
            </w:r>
          </w:p>
        </w:tc>
        <w:tc>
          <w:tcPr>
            <w:tcW w:w="817" w:type="pct"/>
            <w:noWrap/>
            <w:hideMark/>
          </w:tcPr>
          <w:p w14:paraId="4F14655B"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5,88</w:t>
            </w:r>
          </w:p>
        </w:tc>
        <w:tc>
          <w:tcPr>
            <w:tcW w:w="767" w:type="pct"/>
            <w:noWrap/>
            <w:hideMark/>
          </w:tcPr>
          <w:p w14:paraId="5C813204"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0,81</w:t>
            </w:r>
          </w:p>
        </w:tc>
      </w:tr>
      <w:tr w:rsidR="00686B6F" w:rsidRPr="009F1497" w14:paraId="24EE10F5" w14:textId="77777777" w:rsidTr="00AC26D8">
        <w:trPr>
          <w:trHeight w:val="310"/>
        </w:trPr>
        <w:tc>
          <w:tcPr>
            <w:cnfStyle w:val="001000000000" w:firstRow="0" w:lastRow="0" w:firstColumn="1" w:lastColumn="0" w:oddVBand="0" w:evenVBand="0" w:oddHBand="0" w:evenHBand="0" w:firstRowFirstColumn="0" w:firstRowLastColumn="0" w:lastRowFirstColumn="0" w:lastRowLastColumn="0"/>
            <w:tcW w:w="976" w:type="pct"/>
            <w:noWrap/>
            <w:hideMark/>
          </w:tcPr>
          <w:p w14:paraId="43DF2472" w14:textId="77777777" w:rsidR="00686B6F" w:rsidRPr="009F1497" w:rsidRDefault="00686B6F" w:rsidP="004B2723">
            <w:pPr>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P3J2S3</w:t>
            </w:r>
          </w:p>
        </w:tc>
        <w:tc>
          <w:tcPr>
            <w:tcW w:w="697" w:type="pct"/>
            <w:noWrap/>
            <w:hideMark/>
          </w:tcPr>
          <w:p w14:paraId="62860C3E"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2,36</w:t>
            </w:r>
          </w:p>
        </w:tc>
        <w:tc>
          <w:tcPr>
            <w:tcW w:w="836" w:type="pct"/>
            <w:noWrap/>
            <w:hideMark/>
          </w:tcPr>
          <w:p w14:paraId="4B9096C4"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72,00</w:t>
            </w:r>
          </w:p>
        </w:tc>
        <w:tc>
          <w:tcPr>
            <w:tcW w:w="906" w:type="pct"/>
            <w:noWrap/>
            <w:hideMark/>
          </w:tcPr>
          <w:p w14:paraId="04F4BACB"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15,30</w:t>
            </w:r>
          </w:p>
        </w:tc>
        <w:tc>
          <w:tcPr>
            <w:tcW w:w="817" w:type="pct"/>
            <w:noWrap/>
            <w:hideMark/>
          </w:tcPr>
          <w:p w14:paraId="3BAEAC34"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26,01</w:t>
            </w:r>
          </w:p>
        </w:tc>
        <w:tc>
          <w:tcPr>
            <w:tcW w:w="767" w:type="pct"/>
            <w:noWrap/>
            <w:hideMark/>
          </w:tcPr>
          <w:p w14:paraId="3711120B"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1,79</w:t>
            </w:r>
          </w:p>
        </w:tc>
      </w:tr>
      <w:tr w:rsidR="00686B6F" w:rsidRPr="009F1497" w14:paraId="20C22E17" w14:textId="77777777" w:rsidTr="00AC26D8">
        <w:trPr>
          <w:trHeight w:val="310"/>
        </w:trPr>
        <w:tc>
          <w:tcPr>
            <w:cnfStyle w:val="001000000000" w:firstRow="0" w:lastRow="0" w:firstColumn="1" w:lastColumn="0" w:oddVBand="0" w:evenVBand="0" w:oddHBand="0" w:evenHBand="0" w:firstRowFirstColumn="0" w:firstRowLastColumn="0" w:lastRowFirstColumn="0" w:lastRowLastColumn="0"/>
            <w:tcW w:w="976" w:type="pct"/>
            <w:noWrap/>
            <w:hideMark/>
          </w:tcPr>
          <w:p w14:paraId="5C0D3C20" w14:textId="77777777" w:rsidR="00686B6F" w:rsidRPr="009F1497" w:rsidRDefault="00686B6F" w:rsidP="004B2723">
            <w:pPr>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P4J2S1</w:t>
            </w:r>
          </w:p>
        </w:tc>
        <w:tc>
          <w:tcPr>
            <w:tcW w:w="697" w:type="pct"/>
            <w:noWrap/>
            <w:hideMark/>
          </w:tcPr>
          <w:p w14:paraId="02C88F84"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2,76</w:t>
            </w:r>
          </w:p>
        </w:tc>
        <w:tc>
          <w:tcPr>
            <w:tcW w:w="836" w:type="pct"/>
            <w:noWrap/>
            <w:hideMark/>
          </w:tcPr>
          <w:p w14:paraId="6336600A"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67,73</w:t>
            </w:r>
          </w:p>
        </w:tc>
        <w:tc>
          <w:tcPr>
            <w:tcW w:w="906" w:type="pct"/>
            <w:noWrap/>
            <w:hideMark/>
          </w:tcPr>
          <w:p w14:paraId="380F5C77"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14,70</w:t>
            </w:r>
          </w:p>
        </w:tc>
        <w:tc>
          <w:tcPr>
            <w:tcW w:w="817" w:type="pct"/>
            <w:noWrap/>
            <w:hideMark/>
          </w:tcPr>
          <w:p w14:paraId="405B233D"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25,09</w:t>
            </w:r>
          </w:p>
        </w:tc>
        <w:tc>
          <w:tcPr>
            <w:tcW w:w="767" w:type="pct"/>
            <w:noWrap/>
            <w:hideMark/>
          </w:tcPr>
          <w:p w14:paraId="0363A51E"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1,65</w:t>
            </w:r>
          </w:p>
        </w:tc>
      </w:tr>
      <w:tr w:rsidR="00686B6F" w:rsidRPr="009F1497" w14:paraId="70894C48" w14:textId="77777777" w:rsidTr="00AC26D8">
        <w:trPr>
          <w:trHeight w:val="310"/>
        </w:trPr>
        <w:tc>
          <w:tcPr>
            <w:cnfStyle w:val="001000000000" w:firstRow="0" w:lastRow="0" w:firstColumn="1" w:lastColumn="0" w:oddVBand="0" w:evenVBand="0" w:oddHBand="0" w:evenHBand="0" w:firstRowFirstColumn="0" w:firstRowLastColumn="0" w:lastRowFirstColumn="0" w:lastRowLastColumn="0"/>
            <w:tcW w:w="976" w:type="pct"/>
            <w:noWrap/>
            <w:hideMark/>
          </w:tcPr>
          <w:p w14:paraId="546EF90D" w14:textId="77777777" w:rsidR="00686B6F" w:rsidRPr="009F1497" w:rsidRDefault="00686B6F" w:rsidP="004B2723">
            <w:pPr>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P4J2S2</w:t>
            </w:r>
          </w:p>
        </w:tc>
        <w:tc>
          <w:tcPr>
            <w:tcW w:w="697" w:type="pct"/>
            <w:noWrap/>
            <w:hideMark/>
          </w:tcPr>
          <w:p w14:paraId="4055599D"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2,22</w:t>
            </w:r>
          </w:p>
        </w:tc>
        <w:tc>
          <w:tcPr>
            <w:tcW w:w="836" w:type="pct"/>
            <w:noWrap/>
            <w:hideMark/>
          </w:tcPr>
          <w:p w14:paraId="255BB979"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64,28</w:t>
            </w:r>
          </w:p>
        </w:tc>
        <w:tc>
          <w:tcPr>
            <w:tcW w:w="906" w:type="pct"/>
            <w:noWrap/>
            <w:hideMark/>
          </w:tcPr>
          <w:p w14:paraId="4AE71DD7"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13,38</w:t>
            </w:r>
          </w:p>
        </w:tc>
        <w:tc>
          <w:tcPr>
            <w:tcW w:w="817" w:type="pct"/>
            <w:noWrap/>
            <w:hideMark/>
          </w:tcPr>
          <w:p w14:paraId="1F709481"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14,29</w:t>
            </w:r>
          </w:p>
        </w:tc>
        <w:tc>
          <w:tcPr>
            <w:tcW w:w="767" w:type="pct"/>
            <w:noWrap/>
            <w:hideMark/>
          </w:tcPr>
          <w:p w14:paraId="3CFDD2B5"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1,30</w:t>
            </w:r>
          </w:p>
        </w:tc>
      </w:tr>
      <w:tr w:rsidR="00686B6F" w:rsidRPr="009F1497" w14:paraId="28F581C5" w14:textId="77777777" w:rsidTr="00AC26D8">
        <w:trPr>
          <w:trHeight w:val="310"/>
        </w:trPr>
        <w:tc>
          <w:tcPr>
            <w:cnfStyle w:val="001000000000" w:firstRow="0" w:lastRow="0" w:firstColumn="1" w:lastColumn="0" w:oddVBand="0" w:evenVBand="0" w:oddHBand="0" w:evenHBand="0" w:firstRowFirstColumn="0" w:firstRowLastColumn="0" w:lastRowFirstColumn="0" w:lastRowLastColumn="0"/>
            <w:tcW w:w="976" w:type="pct"/>
            <w:noWrap/>
            <w:hideMark/>
          </w:tcPr>
          <w:p w14:paraId="5E4060E3" w14:textId="77777777" w:rsidR="00686B6F" w:rsidRPr="009F1497" w:rsidRDefault="00686B6F" w:rsidP="004B2723">
            <w:pPr>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P4J2S3</w:t>
            </w:r>
          </w:p>
        </w:tc>
        <w:tc>
          <w:tcPr>
            <w:tcW w:w="697" w:type="pct"/>
            <w:noWrap/>
            <w:hideMark/>
          </w:tcPr>
          <w:p w14:paraId="66D1D2AF"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1,92</w:t>
            </w:r>
          </w:p>
        </w:tc>
        <w:tc>
          <w:tcPr>
            <w:tcW w:w="836" w:type="pct"/>
            <w:noWrap/>
            <w:hideMark/>
          </w:tcPr>
          <w:p w14:paraId="1A8C64D5"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55,07</w:t>
            </w:r>
          </w:p>
        </w:tc>
        <w:tc>
          <w:tcPr>
            <w:tcW w:w="906" w:type="pct"/>
            <w:noWrap/>
            <w:hideMark/>
          </w:tcPr>
          <w:p w14:paraId="17051061"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11,33</w:t>
            </w:r>
          </w:p>
        </w:tc>
        <w:tc>
          <w:tcPr>
            <w:tcW w:w="817" w:type="pct"/>
            <w:noWrap/>
            <w:hideMark/>
          </w:tcPr>
          <w:p w14:paraId="38521A47"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21,59</w:t>
            </w:r>
          </w:p>
        </w:tc>
        <w:tc>
          <w:tcPr>
            <w:tcW w:w="767" w:type="pct"/>
            <w:noWrap/>
            <w:hideMark/>
          </w:tcPr>
          <w:p w14:paraId="40C6E2BF"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0,92</w:t>
            </w:r>
          </w:p>
        </w:tc>
      </w:tr>
    </w:tbl>
    <w:p w14:paraId="6D8027DF" w14:textId="77777777" w:rsidR="00686B6F" w:rsidRPr="009F1497" w:rsidRDefault="00686B6F" w:rsidP="004B2723">
      <w:pPr>
        <w:spacing w:line="240" w:lineRule="auto"/>
        <w:jc w:val="both"/>
        <w:rPr>
          <w:rFonts w:ascii="Arial" w:hAnsi="Arial" w:cs="Arial"/>
          <w:sz w:val="18"/>
          <w:szCs w:val="18"/>
          <w:lang w:val="en-GB"/>
        </w:rPr>
      </w:pPr>
      <w:r w:rsidRPr="009F1497">
        <w:rPr>
          <w:rFonts w:ascii="Arial" w:hAnsi="Arial" w:cs="Arial"/>
          <w:sz w:val="18"/>
          <w:szCs w:val="18"/>
          <w:lang w:val="en-GB"/>
        </w:rPr>
        <w:t>Legend: P1: first sampling point; P2: second sampling point; P3: third sampling point; P4: fourth sampling point. J1: confluence point upstream of the WWTP treated wastewater discharge; J2: confluence point downstream of the WWTP treated wastewater discharge. S1: dry season; S2: cool season; S3: hot season; SAR: sodium adsorption ratio; PI: permeability index; MAR: magnesium adsorption ratio; KR: Kelly’s ratio</w:t>
      </w:r>
    </w:p>
    <w:p w14:paraId="688696E3" w14:textId="77777777" w:rsidR="00686B6F" w:rsidRPr="009F1497" w:rsidRDefault="00686B6F" w:rsidP="004B2723">
      <w:pPr>
        <w:spacing w:after="160" w:line="240" w:lineRule="auto"/>
        <w:jc w:val="both"/>
        <w:rPr>
          <w:rFonts w:ascii="Arial" w:hAnsi="Arial" w:cs="Arial"/>
          <w:b/>
          <w:bCs/>
          <w:lang w:val="en-GB"/>
        </w:rPr>
      </w:pPr>
      <w:r w:rsidRPr="009F1497">
        <w:rPr>
          <w:rFonts w:ascii="Arial" w:hAnsi="Arial" w:cs="Arial"/>
          <w:b/>
          <w:bCs/>
          <w:lang w:val="en-GB"/>
        </w:rPr>
        <w:t>3.3 Water classification using the Wilcox and Riverside diagrams</w:t>
      </w:r>
    </w:p>
    <w:p w14:paraId="0E576C7E" w14:textId="0AEED7D4" w:rsidR="00686B6F" w:rsidRPr="009F1497" w:rsidRDefault="00686B6F" w:rsidP="004B2723">
      <w:pPr>
        <w:spacing w:after="160" w:line="240" w:lineRule="auto"/>
        <w:jc w:val="both"/>
        <w:rPr>
          <w:rFonts w:ascii="Arial" w:hAnsi="Arial" w:cs="Arial"/>
          <w:sz w:val="20"/>
          <w:szCs w:val="20"/>
          <w:lang w:val="en-GB"/>
        </w:rPr>
      </w:pPr>
      <w:r w:rsidRPr="009F1497">
        <w:rPr>
          <w:rFonts w:ascii="Arial" w:hAnsi="Arial" w:cs="Arial"/>
          <w:sz w:val="20"/>
          <w:szCs w:val="20"/>
          <w:lang w:val="en-GB"/>
        </w:rPr>
        <w:t>The irrigation-water quality of the Houet River was summarized using the Wilcox and Riverside/USSL diagrams, which combine salinity (EC) with the sodium fraction (%Na) and sodicity (SAR), respectively. According to the Wilcox diagram (Fig 3), water from stations P1, P2, and P4 was classified as “excellent”, whereas station P3 (immediately downstream of the discharge) was classified as “good.” According to the Riverside/USSL diagram (Fig 4), the waters fell into two classes: C2S1, indicating medium salinity and low sodicity, corresponding to an EC between 250 and 750 µS/cm; and C3S1, indicating high salinity and low sodicity, corresponding to an EC between 750 and 2250 µS/cm. All sampling points remained within class S1 (low sodicity).</w:t>
      </w:r>
    </w:p>
    <w:p w14:paraId="4AE9D213" w14:textId="6B77F8E6" w:rsidR="00686B6F" w:rsidRDefault="00686B6F" w:rsidP="004A3D29">
      <w:pPr>
        <w:spacing w:line="240" w:lineRule="auto"/>
        <w:jc w:val="center"/>
        <w:rPr>
          <w:rFonts w:ascii="Arial" w:eastAsia="Times New Roman" w:hAnsi="Arial" w:cs="Arial"/>
          <w:noProof/>
          <w:sz w:val="20"/>
          <w:szCs w:val="20"/>
          <w:lang w:val="en-GB" w:eastAsia="fr-FR"/>
        </w:rPr>
      </w:pPr>
    </w:p>
    <w:p w14:paraId="749477A1" w14:textId="6587DD86" w:rsidR="003C2346" w:rsidRDefault="003C2346" w:rsidP="004A3D29">
      <w:pPr>
        <w:spacing w:line="240" w:lineRule="auto"/>
        <w:jc w:val="center"/>
        <w:rPr>
          <w:rFonts w:ascii="Arial" w:eastAsia="Times New Roman" w:hAnsi="Arial" w:cs="Arial"/>
          <w:noProof/>
          <w:sz w:val="20"/>
          <w:szCs w:val="20"/>
          <w:lang w:val="en-GB" w:eastAsia="fr-FR"/>
        </w:rPr>
      </w:pPr>
    </w:p>
    <w:p w14:paraId="284A53FE" w14:textId="7833DEFC" w:rsidR="003C2346" w:rsidRDefault="003C2346" w:rsidP="004A3D29">
      <w:pPr>
        <w:spacing w:line="240" w:lineRule="auto"/>
        <w:jc w:val="center"/>
        <w:rPr>
          <w:rFonts w:ascii="Arial" w:eastAsia="Times New Roman" w:hAnsi="Arial" w:cs="Arial"/>
          <w:noProof/>
          <w:sz w:val="20"/>
          <w:szCs w:val="20"/>
          <w:lang w:val="en-GB" w:eastAsia="fr-FR"/>
        </w:rPr>
      </w:pPr>
    </w:p>
    <w:p w14:paraId="78FE5285" w14:textId="19A86490" w:rsidR="003C2346" w:rsidRDefault="003C2346" w:rsidP="004A3D29">
      <w:pPr>
        <w:spacing w:line="240" w:lineRule="auto"/>
        <w:jc w:val="center"/>
        <w:rPr>
          <w:rFonts w:ascii="Arial" w:eastAsia="Times New Roman" w:hAnsi="Arial" w:cs="Arial"/>
          <w:noProof/>
          <w:sz w:val="20"/>
          <w:szCs w:val="20"/>
          <w:lang w:val="en-GB" w:eastAsia="fr-FR"/>
        </w:rPr>
      </w:pPr>
    </w:p>
    <w:p w14:paraId="6C26A8E6" w14:textId="7A4BC36C" w:rsidR="003C2346" w:rsidRDefault="003C2346" w:rsidP="004A3D29">
      <w:pPr>
        <w:spacing w:line="240" w:lineRule="auto"/>
        <w:jc w:val="center"/>
        <w:rPr>
          <w:rFonts w:ascii="Arial" w:eastAsia="Times New Roman" w:hAnsi="Arial" w:cs="Arial"/>
          <w:noProof/>
          <w:sz w:val="20"/>
          <w:szCs w:val="20"/>
          <w:lang w:val="en-GB" w:eastAsia="fr-FR"/>
        </w:rPr>
      </w:pPr>
    </w:p>
    <w:p w14:paraId="4795053D" w14:textId="284035FB" w:rsidR="003C2346" w:rsidRDefault="003C2346" w:rsidP="004A3D29">
      <w:pPr>
        <w:spacing w:line="240" w:lineRule="auto"/>
        <w:jc w:val="center"/>
        <w:rPr>
          <w:rFonts w:ascii="Arial" w:eastAsia="Times New Roman" w:hAnsi="Arial" w:cs="Arial"/>
          <w:noProof/>
          <w:sz w:val="20"/>
          <w:szCs w:val="20"/>
          <w:lang w:val="en-GB" w:eastAsia="fr-FR"/>
        </w:rPr>
      </w:pPr>
    </w:p>
    <w:p w14:paraId="4263A118" w14:textId="46AF9BAD" w:rsidR="003C2346" w:rsidRDefault="003C2346" w:rsidP="004A3D29">
      <w:pPr>
        <w:spacing w:line="240" w:lineRule="auto"/>
        <w:jc w:val="center"/>
        <w:rPr>
          <w:rFonts w:ascii="Arial" w:eastAsia="Times New Roman" w:hAnsi="Arial" w:cs="Arial"/>
          <w:noProof/>
          <w:sz w:val="20"/>
          <w:szCs w:val="20"/>
          <w:lang w:val="en-GB" w:eastAsia="fr-FR"/>
        </w:rPr>
      </w:pPr>
    </w:p>
    <w:p w14:paraId="59F42858" w14:textId="17E676B3" w:rsidR="003C2346" w:rsidRDefault="003C2346" w:rsidP="004A3D29">
      <w:pPr>
        <w:spacing w:line="240" w:lineRule="auto"/>
        <w:jc w:val="center"/>
        <w:rPr>
          <w:rFonts w:ascii="Arial" w:eastAsia="Times New Roman" w:hAnsi="Arial" w:cs="Arial"/>
          <w:noProof/>
          <w:sz w:val="20"/>
          <w:szCs w:val="20"/>
          <w:lang w:val="en-GB" w:eastAsia="fr-FR"/>
        </w:rPr>
      </w:pPr>
    </w:p>
    <w:p w14:paraId="7F646BC5" w14:textId="4D4FB5C3" w:rsidR="003C2346" w:rsidRDefault="003C2346" w:rsidP="004A3D29">
      <w:pPr>
        <w:spacing w:line="240" w:lineRule="auto"/>
        <w:jc w:val="center"/>
        <w:rPr>
          <w:rFonts w:ascii="Arial" w:eastAsia="Times New Roman" w:hAnsi="Arial" w:cs="Arial"/>
          <w:noProof/>
          <w:sz w:val="20"/>
          <w:szCs w:val="20"/>
          <w:lang w:val="en-GB" w:eastAsia="fr-FR"/>
        </w:rPr>
      </w:pPr>
    </w:p>
    <w:p w14:paraId="05FCD179" w14:textId="6E276F5E" w:rsidR="003C2346" w:rsidRDefault="003C2346" w:rsidP="004A3D29">
      <w:pPr>
        <w:spacing w:line="240" w:lineRule="auto"/>
        <w:jc w:val="center"/>
        <w:rPr>
          <w:rFonts w:ascii="Arial" w:eastAsia="Times New Roman" w:hAnsi="Arial" w:cs="Arial"/>
          <w:noProof/>
          <w:sz w:val="20"/>
          <w:szCs w:val="20"/>
          <w:lang w:val="en-GB" w:eastAsia="fr-FR"/>
        </w:rPr>
      </w:pPr>
    </w:p>
    <w:p w14:paraId="79E8635A" w14:textId="78189100" w:rsidR="003C2346" w:rsidRDefault="003C2346" w:rsidP="004A3D29">
      <w:pPr>
        <w:spacing w:line="240" w:lineRule="auto"/>
        <w:jc w:val="center"/>
        <w:rPr>
          <w:rFonts w:ascii="Arial" w:eastAsia="Times New Roman" w:hAnsi="Arial" w:cs="Arial"/>
          <w:noProof/>
          <w:sz w:val="20"/>
          <w:szCs w:val="20"/>
          <w:lang w:val="en-GB" w:eastAsia="fr-FR"/>
        </w:rPr>
      </w:pPr>
    </w:p>
    <w:p w14:paraId="617F9347" w14:textId="35C1776F" w:rsidR="003C2346" w:rsidRDefault="003C2346" w:rsidP="004A3D29">
      <w:pPr>
        <w:spacing w:line="240" w:lineRule="auto"/>
        <w:jc w:val="center"/>
        <w:rPr>
          <w:rFonts w:ascii="Arial" w:eastAsia="Times New Roman" w:hAnsi="Arial" w:cs="Arial"/>
          <w:noProof/>
          <w:sz w:val="20"/>
          <w:szCs w:val="20"/>
          <w:lang w:val="en-GB" w:eastAsia="fr-FR"/>
        </w:rPr>
      </w:pPr>
    </w:p>
    <w:p w14:paraId="5A0FA900" w14:textId="330A3020" w:rsidR="003C2346" w:rsidRDefault="003C2346" w:rsidP="004A3D29">
      <w:pPr>
        <w:spacing w:line="240" w:lineRule="auto"/>
        <w:jc w:val="center"/>
        <w:rPr>
          <w:rFonts w:ascii="Arial" w:eastAsia="Times New Roman" w:hAnsi="Arial" w:cs="Arial"/>
          <w:noProof/>
          <w:sz w:val="20"/>
          <w:szCs w:val="20"/>
          <w:lang w:val="en-GB" w:eastAsia="fr-FR"/>
        </w:rPr>
      </w:pPr>
      <w:r w:rsidRPr="003C2346">
        <w:rPr>
          <w:rFonts w:ascii="Times New Roman" w:eastAsia="Times New Roman" w:hAnsi="Times New Roman" w:cs="Times New Roman"/>
          <w:noProof/>
          <w:sz w:val="24"/>
          <w:szCs w:val="24"/>
          <w:lang w:val="fr-FR" w:eastAsia="fr-FR"/>
        </w:rPr>
        <w:lastRenderedPageBreak/>
        <w:drawing>
          <wp:inline distT="0" distB="0" distL="0" distR="0" wp14:anchorId="28E4F95E" wp14:editId="1377AA42">
            <wp:extent cx="4148122" cy="3819379"/>
            <wp:effectExtent l="0" t="0" r="508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69432" cy="3839001"/>
                    </a:xfrm>
                    <a:prstGeom prst="rect">
                      <a:avLst/>
                    </a:prstGeom>
                    <a:noFill/>
                    <a:ln>
                      <a:noFill/>
                    </a:ln>
                  </pic:spPr>
                </pic:pic>
              </a:graphicData>
            </a:graphic>
          </wp:inline>
        </w:drawing>
      </w:r>
    </w:p>
    <w:p w14:paraId="072CF481" w14:textId="5786D575" w:rsidR="00686B6F" w:rsidRPr="009F1497" w:rsidRDefault="003C2346" w:rsidP="003C2346">
      <w:pPr>
        <w:spacing w:after="160" w:line="240" w:lineRule="auto"/>
        <w:rPr>
          <w:rFonts w:ascii="Arial" w:hAnsi="Arial" w:cs="Arial"/>
          <w:sz w:val="20"/>
          <w:szCs w:val="20"/>
          <w:lang w:val="en-GB"/>
        </w:rPr>
      </w:pPr>
      <w:r>
        <w:rPr>
          <w:rFonts w:ascii="Arial" w:hAnsi="Arial" w:cs="Arial"/>
          <w:sz w:val="20"/>
          <w:szCs w:val="20"/>
          <w:lang w:val="en-GB"/>
        </w:rPr>
        <w:t xml:space="preserve"> </w:t>
      </w:r>
      <w:r w:rsidR="00F63EC7">
        <w:rPr>
          <w:rFonts w:ascii="Arial" w:hAnsi="Arial" w:cs="Arial"/>
          <w:sz w:val="20"/>
          <w:szCs w:val="20"/>
          <w:lang w:val="en-GB"/>
        </w:rPr>
        <w:t xml:space="preserve">                </w:t>
      </w:r>
      <w:r>
        <w:rPr>
          <w:rFonts w:ascii="Arial" w:hAnsi="Arial" w:cs="Arial"/>
          <w:sz w:val="20"/>
          <w:szCs w:val="20"/>
          <w:lang w:val="en-GB"/>
        </w:rPr>
        <w:t xml:space="preserve"> </w:t>
      </w:r>
      <w:r w:rsidR="00686B6F" w:rsidRPr="009F1497">
        <w:rPr>
          <w:rFonts w:ascii="Arial" w:hAnsi="Arial" w:cs="Arial"/>
          <w:sz w:val="20"/>
          <w:szCs w:val="20"/>
          <w:lang w:val="en-GB"/>
        </w:rPr>
        <w:t>Fig</w:t>
      </w:r>
      <w:r w:rsidR="00477B39">
        <w:rPr>
          <w:rFonts w:ascii="Arial" w:hAnsi="Arial" w:cs="Arial"/>
          <w:sz w:val="20"/>
          <w:szCs w:val="20"/>
          <w:lang w:val="en-GB"/>
        </w:rPr>
        <w:t xml:space="preserve"> </w:t>
      </w:r>
      <w:r w:rsidR="00686B6F" w:rsidRPr="009F1497">
        <w:rPr>
          <w:rFonts w:ascii="Arial" w:hAnsi="Arial" w:cs="Arial"/>
          <w:sz w:val="20"/>
          <w:szCs w:val="20"/>
          <w:lang w:val="en-GB"/>
        </w:rPr>
        <w:t>3. Classification of Houet River water according to the Wilcox diagram.</w:t>
      </w:r>
    </w:p>
    <w:p w14:paraId="65EDA906" w14:textId="352D76CA" w:rsidR="00B32050" w:rsidRPr="00B32050" w:rsidRDefault="00B32050" w:rsidP="00B32050">
      <w:pPr>
        <w:spacing w:before="100" w:beforeAutospacing="1" w:after="100" w:afterAutospacing="1" w:line="240" w:lineRule="auto"/>
        <w:rPr>
          <w:rFonts w:ascii="Times New Roman" w:eastAsia="Times New Roman" w:hAnsi="Times New Roman" w:cs="Times New Roman"/>
          <w:sz w:val="24"/>
          <w:szCs w:val="24"/>
          <w:lang w:val="fr-FR" w:eastAsia="fr-FR"/>
        </w:rPr>
      </w:pPr>
      <w:r w:rsidRPr="00700C16">
        <w:rPr>
          <w:rFonts w:ascii="Times New Roman" w:eastAsia="Times New Roman" w:hAnsi="Times New Roman" w:cs="Times New Roman"/>
          <w:sz w:val="24"/>
          <w:szCs w:val="24"/>
          <w:lang w:eastAsia="fr-FR"/>
        </w:rPr>
        <w:t xml:space="preserve">                         </w:t>
      </w:r>
      <w:r w:rsidRPr="00B32050">
        <w:rPr>
          <w:rFonts w:ascii="Times New Roman" w:eastAsia="Times New Roman" w:hAnsi="Times New Roman" w:cs="Times New Roman"/>
          <w:noProof/>
          <w:sz w:val="24"/>
          <w:szCs w:val="24"/>
          <w:lang w:val="fr-FR" w:eastAsia="fr-FR"/>
        </w:rPr>
        <w:drawing>
          <wp:inline distT="0" distB="0" distL="0" distR="0" wp14:anchorId="18007DFA" wp14:editId="26598D32">
            <wp:extent cx="4142105" cy="3643532"/>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11736" cy="3704782"/>
                    </a:xfrm>
                    <a:prstGeom prst="rect">
                      <a:avLst/>
                    </a:prstGeom>
                    <a:noFill/>
                    <a:ln>
                      <a:noFill/>
                    </a:ln>
                  </pic:spPr>
                </pic:pic>
              </a:graphicData>
            </a:graphic>
          </wp:inline>
        </w:drawing>
      </w:r>
    </w:p>
    <w:p w14:paraId="143FC415" w14:textId="06689EB9" w:rsidR="00686B6F" w:rsidRPr="009F1497" w:rsidRDefault="00B32050" w:rsidP="00B32050">
      <w:pPr>
        <w:tabs>
          <w:tab w:val="left" w:pos="2592"/>
        </w:tabs>
        <w:spacing w:line="240" w:lineRule="auto"/>
        <w:rPr>
          <w:rFonts w:ascii="Arial" w:hAnsi="Arial" w:cs="Arial"/>
          <w:sz w:val="20"/>
          <w:szCs w:val="20"/>
          <w:lang w:val="en-GB"/>
        </w:rPr>
      </w:pPr>
      <w:r>
        <w:rPr>
          <w:rFonts w:ascii="Arial" w:hAnsi="Arial" w:cs="Arial"/>
          <w:sz w:val="20"/>
          <w:szCs w:val="20"/>
          <w:lang w:val="en-GB"/>
        </w:rPr>
        <w:t xml:space="preserve">                </w:t>
      </w:r>
      <w:r w:rsidR="00686B6F" w:rsidRPr="009F1497">
        <w:rPr>
          <w:rFonts w:ascii="Arial" w:hAnsi="Arial" w:cs="Arial"/>
          <w:sz w:val="20"/>
          <w:szCs w:val="20"/>
          <w:lang w:val="en-GB"/>
        </w:rPr>
        <w:t>Fig 4. Classification of Houet River water according to the Riverside/USSL diagram.</w:t>
      </w:r>
    </w:p>
    <w:p w14:paraId="6D522501" w14:textId="1FFD30FE" w:rsidR="00686B6F" w:rsidRPr="009F1497" w:rsidRDefault="00056D94" w:rsidP="004B2723">
      <w:pPr>
        <w:spacing w:after="160" w:line="240" w:lineRule="auto"/>
        <w:jc w:val="both"/>
        <w:rPr>
          <w:rFonts w:ascii="Arial" w:hAnsi="Arial" w:cs="Arial"/>
          <w:b/>
          <w:bCs/>
          <w:lang w:val="en-GB"/>
        </w:rPr>
      </w:pPr>
      <w:r w:rsidRPr="009F1497">
        <w:rPr>
          <w:rFonts w:ascii="Arial" w:hAnsi="Arial" w:cs="Arial"/>
          <w:b/>
          <w:bCs/>
          <w:lang w:val="en-GB"/>
        </w:rPr>
        <w:lastRenderedPageBreak/>
        <w:t xml:space="preserve">4. DISCUSSION </w:t>
      </w:r>
    </w:p>
    <w:p w14:paraId="03628D3B" w14:textId="27CE618D" w:rsidR="00686B6F" w:rsidRPr="009F1497" w:rsidRDefault="00686B6F" w:rsidP="004B2723">
      <w:pPr>
        <w:spacing w:after="160" w:line="240" w:lineRule="auto"/>
        <w:jc w:val="both"/>
        <w:rPr>
          <w:rFonts w:ascii="Arial" w:hAnsi="Arial" w:cs="Arial"/>
          <w:sz w:val="20"/>
          <w:szCs w:val="20"/>
          <w:lang w:val="en-GB"/>
        </w:rPr>
      </w:pPr>
      <w:r w:rsidRPr="009F1497">
        <w:rPr>
          <w:rFonts w:ascii="Arial" w:hAnsi="Arial" w:cs="Arial"/>
          <w:sz w:val="20"/>
          <w:szCs w:val="20"/>
          <w:lang w:val="en-GB"/>
        </w:rPr>
        <w:t xml:space="preserve">The results show marked spatial and seasonal variability in the mineralization of Houet River water. Electrical conductivity (EC) ranged from 398.60 ± 59.55 µS/cm (P2, upstream of the confluence, cool season) to 1441.75 ± 458.79 µS/cm (P3, downstream of the confluence, dry season), and total dissolved solids (TDS) ranged from 103.50 ± 19.53 mg/L (P1) to 392.50 ± 71.62 mg/L (P3), with significant to highly significant differences. This pattern indicates overall low to moderate mineralization, with a clear increase at P3 immediately downstream of the wastewater treatment plant discharge, followed by a relative decrease at P4, consistent with a mixing–dilution effect. This dynamic confirms the influence of wastewater treatment plant discharges on the physico-chemical quality of the Houet River, as previously reported locally by Dende (2022), and consistent with the observations of Soumbougma et al. (2020) regarding variability in WWTP effluents. </w:t>
      </w:r>
      <w:r w:rsidR="0019101C" w:rsidRPr="0019101C">
        <w:rPr>
          <w:rFonts w:ascii="Arial" w:hAnsi="Arial" w:cs="Arial"/>
          <w:sz w:val="20"/>
          <w:szCs w:val="20"/>
          <w:lang w:val="en-GB"/>
        </w:rPr>
        <w:t>According to recent guidance on agricultural water quality and salinity management, these EC/TDS levels correspond to low-to-moderate salinity conditions that generally remain compatible with irrigation, but require adapted management depending on crop sensitivity, soil properties and drainage conditions (Drechsel et al., 2023; Kramer &amp; Mau, 2023; Shokri et al., 2024). Even moderate salinity may become constraining under repeated irrigation, especially in poorly drained soils or systems exposed to cumulative salt inputs (Kramer &amp; Mau, 2023)</w:t>
      </w:r>
      <w:r w:rsidR="0019101C">
        <w:rPr>
          <w:rFonts w:ascii="Arial" w:hAnsi="Arial" w:cs="Arial"/>
          <w:sz w:val="20"/>
          <w:szCs w:val="20"/>
          <w:lang w:val="en-GB"/>
        </w:rPr>
        <w:t>.</w:t>
      </w:r>
    </w:p>
    <w:p w14:paraId="76D0B944" w14:textId="77777777" w:rsidR="00686B6F" w:rsidRPr="009F1497" w:rsidRDefault="00686B6F" w:rsidP="004B2723">
      <w:pPr>
        <w:spacing w:after="160" w:line="240" w:lineRule="auto"/>
        <w:jc w:val="both"/>
        <w:rPr>
          <w:rFonts w:ascii="Arial" w:hAnsi="Arial" w:cs="Arial"/>
          <w:sz w:val="20"/>
          <w:szCs w:val="20"/>
          <w:lang w:val="en-GB"/>
        </w:rPr>
      </w:pPr>
      <w:r w:rsidRPr="009F1497">
        <w:rPr>
          <w:rFonts w:ascii="Arial" w:hAnsi="Arial" w:cs="Arial"/>
          <w:sz w:val="20"/>
          <w:szCs w:val="20"/>
          <w:lang w:val="en-GB"/>
        </w:rPr>
        <w:t>Regarding specific ionic toxicity, chloride (Cl</w:t>
      </w:r>
      <w:r w:rsidRPr="009F1497">
        <w:rPr>
          <w:rFonts w:ascii="Cambria Math" w:hAnsi="Cambria Math" w:cs="Cambria Math"/>
          <w:sz w:val="20"/>
          <w:szCs w:val="20"/>
          <w:lang w:val="en-GB"/>
        </w:rPr>
        <w:t>⁻</w:t>
      </w:r>
      <w:r w:rsidRPr="009F1497">
        <w:rPr>
          <w:rFonts w:ascii="Arial" w:hAnsi="Arial" w:cs="Arial"/>
          <w:sz w:val="20"/>
          <w:szCs w:val="20"/>
          <w:lang w:val="en-GB"/>
        </w:rPr>
        <w:t>) concentrations showed a significant increase downstream of the discharge, whereas sodium (Na</w:t>
      </w:r>
      <w:r w:rsidRPr="009F1497">
        <w:rPr>
          <w:rFonts w:ascii="Cambria Math" w:hAnsi="Cambria Math" w:cs="Cambria Math"/>
          <w:sz w:val="20"/>
          <w:szCs w:val="20"/>
          <w:lang w:val="en-GB"/>
        </w:rPr>
        <w:t>⁺</w:t>
      </w:r>
      <w:r w:rsidRPr="009F1497">
        <w:rPr>
          <w:rFonts w:ascii="Arial" w:hAnsi="Arial" w:cs="Arial"/>
          <w:sz w:val="20"/>
          <w:szCs w:val="20"/>
          <w:lang w:val="en-GB"/>
        </w:rPr>
        <w:t>) levels were less statistically consistent. This pattern suggests that the discharge footprint is expressed mainly through an increase in dissolved load and chlorides, with local sodium peaks, rather than through a uniform rise in Na</w:t>
      </w:r>
      <w:r w:rsidRPr="009F1497">
        <w:rPr>
          <w:rFonts w:ascii="Cambria Math" w:hAnsi="Cambria Math" w:cs="Cambria Math"/>
          <w:sz w:val="20"/>
          <w:szCs w:val="20"/>
          <w:lang w:val="en-GB"/>
        </w:rPr>
        <w:t>⁺</w:t>
      </w:r>
      <w:r w:rsidRPr="009F1497">
        <w:rPr>
          <w:rFonts w:ascii="Arial" w:hAnsi="Arial" w:cs="Arial"/>
          <w:sz w:val="20"/>
          <w:szCs w:val="20"/>
          <w:lang w:val="en-GB"/>
        </w:rPr>
        <w:t>. Overall, the observed Cl</w:t>
      </w:r>
      <w:r w:rsidRPr="009F1497">
        <w:rPr>
          <w:rFonts w:ascii="Cambria Math" w:hAnsi="Cambria Math" w:cs="Cambria Math"/>
          <w:sz w:val="20"/>
          <w:szCs w:val="20"/>
          <w:lang w:val="en-GB"/>
        </w:rPr>
        <w:t>⁻</w:t>
      </w:r>
      <w:r w:rsidRPr="009F1497">
        <w:rPr>
          <w:rFonts w:ascii="Arial" w:hAnsi="Arial" w:cs="Arial"/>
          <w:sz w:val="20"/>
          <w:szCs w:val="20"/>
          <w:lang w:val="en-GB"/>
        </w:rPr>
        <w:t xml:space="preserve"> concentrations remained within a no-to-low toxicity range, while sodium indicated moderate toxicity in some cases, in line with the interpretation of the U.S. Salinity Laboratory and the caution thresholds reported by FAO (2003). These findings are consistent with Dende (2022), who also concluded that Houet River water showed no major toxicity for these ions. From an agronomic perspective, this situation does not preclude the use of this water for irrigation, but it calls for increased vigilance for salt-sensitive vegetable crops (e.g., lettuce, mint), particularly when sprinkler irrigation is used, as it is more conducive to foliar toxicity than localized irrigation (Ayers &amp; Westcot, 1985).</w:t>
      </w:r>
    </w:p>
    <w:p w14:paraId="406065AE" w14:textId="2734A93C" w:rsidR="00686B6F" w:rsidRPr="009F1497" w:rsidRDefault="00686B6F" w:rsidP="004B2723">
      <w:pPr>
        <w:spacing w:after="160" w:line="240" w:lineRule="auto"/>
        <w:jc w:val="both"/>
        <w:rPr>
          <w:rFonts w:ascii="Arial" w:hAnsi="Arial" w:cs="Arial"/>
          <w:sz w:val="20"/>
          <w:szCs w:val="20"/>
          <w:lang w:val="en-GB"/>
        </w:rPr>
      </w:pPr>
      <w:r w:rsidRPr="009F1497">
        <w:rPr>
          <w:rFonts w:ascii="Arial" w:hAnsi="Arial" w:cs="Arial"/>
          <w:sz w:val="20"/>
          <w:szCs w:val="20"/>
          <w:lang w:val="en-GB"/>
        </w:rPr>
        <w:t>The analysis of infiltration risk and structural degradation confirms that interpretation cannot rely on a single indicator. SAR values (1.20–6.18) generally indicate low to moderate sodicity, consistent with the S1 classes of the USSL/Riverside diagram. However, the %Na (37.40–85.09) and KR (0.43–3.86) values, together with the deterioration observed for some indices (PI, MAR) after the confluence, show that at P3–P4 sodium becomes relatively more dominant compared with Ca²</w:t>
      </w:r>
      <w:r w:rsidRPr="009F1497">
        <w:rPr>
          <w:rFonts w:ascii="Cambria Math" w:hAnsi="Cambria Math" w:cs="Cambria Math"/>
          <w:sz w:val="20"/>
          <w:szCs w:val="20"/>
          <w:lang w:val="en-GB"/>
        </w:rPr>
        <w:t>⁺</w:t>
      </w:r>
      <w:r w:rsidRPr="009F1497">
        <w:rPr>
          <w:rFonts w:ascii="Arial" w:hAnsi="Arial" w:cs="Arial"/>
          <w:sz w:val="20"/>
          <w:szCs w:val="20"/>
          <w:lang w:val="en-GB"/>
        </w:rPr>
        <w:t xml:space="preserve"> and Mg²</w:t>
      </w:r>
      <w:r w:rsidRPr="009F1497">
        <w:rPr>
          <w:rFonts w:ascii="Cambria Math" w:hAnsi="Cambria Math" w:cs="Cambria Math"/>
          <w:sz w:val="20"/>
          <w:szCs w:val="20"/>
          <w:lang w:val="en-GB"/>
        </w:rPr>
        <w:t>⁺</w:t>
      </w:r>
      <w:r w:rsidRPr="009F1497">
        <w:rPr>
          <w:rFonts w:ascii="Arial" w:hAnsi="Arial" w:cs="Arial"/>
          <w:sz w:val="20"/>
          <w:szCs w:val="20"/>
          <w:lang w:val="en-GB"/>
        </w:rPr>
        <w:t xml:space="preserve">. This may affect soil structural stability over the medium term, especially under repeated irrigation on heavy, poorly drained soils. </w:t>
      </w:r>
      <w:r w:rsidR="00BD21AC" w:rsidRPr="00BD21AC">
        <w:rPr>
          <w:rFonts w:ascii="Arial" w:hAnsi="Arial" w:cs="Arial"/>
          <w:sz w:val="20"/>
          <w:szCs w:val="20"/>
          <w:lang w:val="en-GB"/>
        </w:rPr>
        <w:t>This pattern confirms that infiltration hazard cannot be interpreted from a single indicator alone, but rather from the combined behaviour of salinity and sodicity-related indices. This interpretation is consistent with the historical USSL and Kelly frameworks used in irrigation-water evaluation, and is further supported by recent reviews emphasizing the need to jointly assess EC, SAR, %Na and related indices when predicting structural instability and infiltration decline (US Salinity Laboratory Staff, 1954; Kelly, 1940; Kramer &amp; Mau, 2023; Anyango et al., 2024).</w:t>
      </w:r>
    </w:p>
    <w:p w14:paraId="4D29A757" w14:textId="77777777" w:rsidR="00686B6F" w:rsidRPr="009F1497" w:rsidRDefault="00686B6F" w:rsidP="004B2723">
      <w:pPr>
        <w:spacing w:after="160" w:line="240" w:lineRule="auto"/>
        <w:jc w:val="both"/>
        <w:rPr>
          <w:rFonts w:ascii="Arial" w:hAnsi="Arial" w:cs="Arial"/>
          <w:sz w:val="20"/>
          <w:szCs w:val="20"/>
          <w:lang w:val="en-GB"/>
        </w:rPr>
      </w:pPr>
      <w:r w:rsidRPr="009F1497">
        <w:rPr>
          <w:rFonts w:ascii="Arial" w:hAnsi="Arial" w:cs="Arial"/>
          <w:sz w:val="20"/>
          <w:szCs w:val="20"/>
          <w:lang w:val="en-GB"/>
        </w:rPr>
        <w:t>This nuanced interpretation is supported by the Wilcox diagram, which classifies waters from P1, P2, and P4 as excellent and those from P3 as good. This indicates overall suitability for irrigation, with a more pronounced constraint in the immediate vicinity of the discharge. The shift back to a better class at P4 suggests a downstream dilution and relative self-purification effect. This observation is consistent with Dende (2022) but differs from the conclusions of Senou et al. (2023), who reported a more general unsuitability of Houet River water for irrigation at the same site. This discrepancy may be explained, at least in part, by differences in the sampling period: in the present study, the inclusion of the rainy season likely enhanced dilution, temporarily lowering salinity and some dissolved ions, whereas monitoring focused on the low-flow period would highlight salinity constraints more strongly. This hypothesis is consistent with the seasonal dynamics of tropical urban rivers receiving point-source discharges (Dende, 2022; Soumbougma et al., 2020).</w:t>
      </w:r>
    </w:p>
    <w:p w14:paraId="52059A5B" w14:textId="11BC2D32" w:rsidR="00686B6F" w:rsidRPr="009F1497" w:rsidRDefault="00686B6F" w:rsidP="004B2723">
      <w:pPr>
        <w:spacing w:after="160" w:line="240" w:lineRule="auto"/>
        <w:jc w:val="both"/>
        <w:rPr>
          <w:rFonts w:ascii="Arial" w:hAnsi="Arial" w:cs="Arial"/>
          <w:sz w:val="20"/>
          <w:szCs w:val="20"/>
          <w:lang w:val="en-GB"/>
        </w:rPr>
      </w:pPr>
      <w:r w:rsidRPr="009F1497">
        <w:rPr>
          <w:rFonts w:ascii="Arial" w:hAnsi="Arial" w:cs="Arial"/>
          <w:sz w:val="20"/>
          <w:szCs w:val="20"/>
          <w:lang w:val="en-GB"/>
        </w:rPr>
        <w:t xml:space="preserve">The USSL/Riverside diagram further refines the diagnosis by distinguishing waters in classes C2S1 to C3S1: P1, P2, and P4 fall within a medium-quality category (moderate salinity), whereas P3 reaches a more </w:t>
      </w:r>
      <w:r w:rsidRPr="009F1497">
        <w:rPr>
          <w:rFonts w:ascii="Arial" w:hAnsi="Arial" w:cs="Arial"/>
          <w:sz w:val="20"/>
          <w:szCs w:val="20"/>
          <w:lang w:val="en-GB"/>
        </w:rPr>
        <w:lastRenderedPageBreak/>
        <w:t xml:space="preserve">restrictive quality class (higher salinity), requiring cautious management. In practical terms, these classes indicate that the water remains usable for irrigation, but under specific conditions, including functional drainage, appropriate leaching, and the selection of more salt-tolerant crops in the most exposed areas. </w:t>
      </w:r>
      <w:r w:rsidR="00BD21AC" w:rsidRPr="00BD21AC">
        <w:rPr>
          <w:rFonts w:ascii="Arial" w:hAnsi="Arial" w:cs="Arial"/>
          <w:sz w:val="20"/>
          <w:szCs w:val="20"/>
          <w:lang w:val="en-GB"/>
        </w:rPr>
        <w:t>This interpretation is also consistent with recent work on treated wastewater reuse in agriculture, which shows that irrigation suitability can be maintained when salinity, sodicity and soil-response indicators are regularly monitored and matched with adapted management practices such as drainage, leaching and crop selection (Ofori et al., 2024; Obijianya et al., 2025)</w:t>
      </w:r>
      <w:r w:rsidRPr="009F1497">
        <w:rPr>
          <w:rFonts w:ascii="Arial" w:hAnsi="Arial" w:cs="Arial"/>
          <w:sz w:val="20"/>
          <w:szCs w:val="20"/>
          <w:lang w:val="en-GB"/>
        </w:rPr>
        <w:t xml:space="preserve">. It is also in line with recent studies on the agricultural reuse of treated wastewater, which emphasize that agronomic suitability can be maintained </w:t>
      </w:r>
      <w:r w:rsidR="00BB542F" w:rsidRPr="009F1497">
        <w:rPr>
          <w:rFonts w:ascii="Arial" w:hAnsi="Arial" w:cs="Arial"/>
          <w:sz w:val="20"/>
          <w:szCs w:val="20"/>
          <w:lang w:val="en-GB"/>
        </w:rPr>
        <w:t>if</w:t>
      </w:r>
      <w:r w:rsidRPr="009F1497">
        <w:rPr>
          <w:rFonts w:ascii="Arial" w:hAnsi="Arial" w:cs="Arial"/>
          <w:sz w:val="20"/>
          <w:szCs w:val="20"/>
          <w:lang w:val="en-GB"/>
        </w:rPr>
        <w:t xml:space="preserve"> salinity and sodicity parameters are closely monitored and practices are adapted accordingly (Ebissa et al., 202</w:t>
      </w:r>
      <w:r w:rsidR="004A51DB">
        <w:rPr>
          <w:rFonts w:ascii="Arial" w:hAnsi="Arial" w:cs="Arial"/>
          <w:sz w:val="20"/>
          <w:szCs w:val="20"/>
          <w:lang w:val="en-GB"/>
        </w:rPr>
        <w:t>3</w:t>
      </w:r>
      <w:r w:rsidRPr="009F1497">
        <w:rPr>
          <w:rFonts w:ascii="Arial" w:hAnsi="Arial" w:cs="Arial"/>
          <w:sz w:val="20"/>
          <w:szCs w:val="20"/>
          <w:lang w:val="en-GB"/>
        </w:rPr>
        <w:t>; Darko et al., 2025).</w:t>
      </w:r>
    </w:p>
    <w:p w14:paraId="3BFF8886" w14:textId="463CEBCF" w:rsidR="00686B6F" w:rsidRPr="009F1497" w:rsidRDefault="00056D94" w:rsidP="004B2723">
      <w:pPr>
        <w:spacing w:line="240" w:lineRule="auto"/>
        <w:jc w:val="both"/>
        <w:rPr>
          <w:rFonts w:ascii="Arial" w:hAnsi="Arial" w:cs="Arial"/>
          <w:b/>
          <w:bCs/>
          <w:lang w:val="en-GB"/>
        </w:rPr>
      </w:pPr>
      <w:r w:rsidRPr="009F1497">
        <w:rPr>
          <w:rFonts w:ascii="Arial" w:hAnsi="Arial" w:cs="Arial"/>
          <w:b/>
          <w:bCs/>
          <w:lang w:val="en-GB"/>
        </w:rPr>
        <w:t xml:space="preserve">5. CONCLUSION </w:t>
      </w:r>
    </w:p>
    <w:p w14:paraId="552552FF" w14:textId="4B795E9B" w:rsidR="00686B6F" w:rsidRPr="009F1497" w:rsidRDefault="00353C62" w:rsidP="004B2723">
      <w:pPr>
        <w:spacing w:after="160" w:line="240" w:lineRule="auto"/>
        <w:jc w:val="both"/>
        <w:rPr>
          <w:rFonts w:ascii="Arial" w:hAnsi="Arial" w:cs="Arial"/>
          <w:sz w:val="20"/>
          <w:szCs w:val="20"/>
          <w:lang w:val="en-GB"/>
        </w:rPr>
      </w:pPr>
      <w:r w:rsidRPr="00353C62">
        <w:rPr>
          <w:rFonts w:ascii="Arial" w:hAnsi="Arial" w:cs="Arial"/>
          <w:sz w:val="20"/>
          <w:szCs w:val="20"/>
          <w:lang w:val="en-GB"/>
        </w:rPr>
        <w:t>The integrated assessment of irrigation suitability and ionic toxicity of Houet River water used at the Dogona market-gardening site</w:t>
      </w:r>
      <w:r w:rsidR="00686B6F" w:rsidRPr="009F1497">
        <w:rPr>
          <w:rFonts w:ascii="Arial" w:hAnsi="Arial" w:cs="Arial"/>
          <w:sz w:val="20"/>
          <w:szCs w:val="20"/>
          <w:lang w:val="en-GB"/>
        </w:rPr>
        <w:t xml:space="preserve"> indicates overall low to moderate salinity and ionic toxicity compatible with agricultural use but conditioned by sodicity and its potential effects on soil infiltrability. The observed SAR levels place the perimeter in a vigilance zone regarding permeability and structural stability, particularly immediately downstream of the discharge point (P3), where constraints were most pronounced. The Wilcox and USSL/Riverside diagrams confirm this diagnosis, showing excellent-quality water at points farther from the discharge and a local deterioration toward class C3S1 near the impact point (P3). Overall, Houet River water shows acceptable suitability for irrigation, but only under precautionary conditions. For operational implementation, it is necessary to maintain functional drainage, adjust the cropping pattern by selecting more salt-tolerant crops near P3, and prioritize surface (non-sprinkler) irrigation to limit foliar toxicity, while ensuring seasonal monitoring of key indicators to support the safe and sustainable reuse of river water.</w:t>
      </w:r>
    </w:p>
    <w:p w14:paraId="13EDE412" w14:textId="652E04E3" w:rsidR="00686B6F" w:rsidRPr="009F1497" w:rsidRDefault="00056D94" w:rsidP="004B2723">
      <w:pPr>
        <w:spacing w:line="240" w:lineRule="auto"/>
        <w:jc w:val="both"/>
        <w:rPr>
          <w:rFonts w:ascii="Arial" w:hAnsi="Arial" w:cs="Arial"/>
          <w:b/>
          <w:bCs/>
          <w:lang w:val="en-GB"/>
        </w:rPr>
      </w:pPr>
      <w:r w:rsidRPr="009F1497">
        <w:rPr>
          <w:rFonts w:ascii="Arial" w:hAnsi="Arial" w:cs="Arial"/>
          <w:b/>
          <w:bCs/>
          <w:lang w:val="en-GB"/>
        </w:rPr>
        <w:t>DISCLAIMER (ARTIFICIAL INTELLIGENCE)</w:t>
      </w:r>
    </w:p>
    <w:p w14:paraId="28533B71" w14:textId="77777777" w:rsidR="00686B6F" w:rsidRPr="009F1497" w:rsidRDefault="00686B6F" w:rsidP="004B2723">
      <w:pPr>
        <w:spacing w:after="160" w:line="240" w:lineRule="auto"/>
        <w:jc w:val="both"/>
        <w:rPr>
          <w:rFonts w:ascii="Arial" w:hAnsi="Arial" w:cs="Arial"/>
          <w:lang w:val="en-GB"/>
        </w:rPr>
      </w:pPr>
      <w:r w:rsidRPr="009F1497">
        <w:rPr>
          <w:rFonts w:ascii="Arial" w:hAnsi="Arial" w:cs="Arial"/>
          <w:lang w:val="en-GB"/>
        </w:rPr>
        <w:t xml:space="preserve">The authors hereby declare that NO generative AI technology such as large language models (ChatGPT, COPILOT, etc.) and text-to-image generators were used in the writing or editing of this manuscript. </w:t>
      </w:r>
    </w:p>
    <w:p w14:paraId="65167187" w14:textId="645A2522" w:rsidR="00686B6F" w:rsidRPr="009F1497" w:rsidRDefault="00056D94" w:rsidP="004B2723">
      <w:pPr>
        <w:spacing w:line="240" w:lineRule="auto"/>
        <w:jc w:val="both"/>
        <w:rPr>
          <w:rFonts w:ascii="Arial" w:hAnsi="Arial" w:cs="Arial"/>
          <w:b/>
          <w:bCs/>
          <w:lang w:val="en-GB"/>
        </w:rPr>
      </w:pPr>
      <w:r w:rsidRPr="009F1497">
        <w:rPr>
          <w:rFonts w:ascii="Arial" w:hAnsi="Arial" w:cs="Arial"/>
          <w:b/>
          <w:bCs/>
          <w:lang w:val="en-GB"/>
        </w:rPr>
        <w:t>COMPETING INTERESTS</w:t>
      </w:r>
    </w:p>
    <w:p w14:paraId="290E440D" w14:textId="77777777" w:rsidR="00686B6F" w:rsidRPr="009F1497" w:rsidRDefault="00686B6F" w:rsidP="004B2723">
      <w:pPr>
        <w:spacing w:line="240" w:lineRule="auto"/>
        <w:jc w:val="both"/>
        <w:rPr>
          <w:rFonts w:ascii="Arial" w:hAnsi="Arial" w:cs="Arial"/>
          <w:lang w:val="en-GB"/>
        </w:rPr>
      </w:pPr>
      <w:r w:rsidRPr="009F1497">
        <w:rPr>
          <w:rFonts w:ascii="Arial" w:hAnsi="Arial" w:cs="Arial"/>
          <w:lang w:val="en-GB"/>
        </w:rPr>
        <w:t>The authors declare that they have no known competing financial interests or personal relationships that could have appeared to influence the work reported in this paper.</w:t>
      </w:r>
    </w:p>
    <w:p w14:paraId="1E7AA2C2" w14:textId="3874DC36" w:rsidR="00EA3334" w:rsidRPr="006A0D9A" w:rsidRDefault="00056D94" w:rsidP="004B2723">
      <w:pPr>
        <w:pStyle w:val="Titre1"/>
        <w:spacing w:before="120" w:line="240" w:lineRule="auto"/>
        <w:jc w:val="both"/>
        <w:rPr>
          <w:rFonts w:ascii="Arial" w:hAnsi="Arial" w:cs="Arial"/>
          <w:color w:val="auto"/>
          <w:sz w:val="20"/>
          <w:szCs w:val="20"/>
          <w:lang w:val="fr-FR"/>
        </w:rPr>
      </w:pPr>
      <w:r w:rsidRPr="00C65253">
        <w:rPr>
          <w:rFonts w:ascii="Arial" w:hAnsi="Arial" w:cs="Arial"/>
          <w:color w:val="auto"/>
          <w:sz w:val="22"/>
          <w:szCs w:val="22"/>
          <w:lang w:val="fr-FR"/>
        </w:rPr>
        <w:t>R</w:t>
      </w:r>
      <w:r w:rsidR="00BB542F" w:rsidRPr="00C65253">
        <w:rPr>
          <w:rFonts w:ascii="Arial" w:hAnsi="Arial" w:cs="Arial"/>
          <w:color w:val="auto"/>
          <w:sz w:val="22"/>
          <w:szCs w:val="22"/>
          <w:lang w:val="fr-FR"/>
        </w:rPr>
        <w:t>E</w:t>
      </w:r>
      <w:r w:rsidRPr="00C65253">
        <w:rPr>
          <w:rFonts w:ascii="Arial" w:hAnsi="Arial" w:cs="Arial"/>
          <w:color w:val="auto"/>
          <w:sz w:val="22"/>
          <w:szCs w:val="22"/>
          <w:lang w:val="fr-FR"/>
        </w:rPr>
        <w:t>F</w:t>
      </w:r>
      <w:r w:rsidR="00BB542F" w:rsidRPr="00C65253">
        <w:rPr>
          <w:rFonts w:ascii="Arial" w:hAnsi="Arial" w:cs="Arial"/>
          <w:color w:val="auto"/>
          <w:sz w:val="22"/>
          <w:szCs w:val="22"/>
          <w:lang w:val="fr-FR"/>
        </w:rPr>
        <w:t>E</w:t>
      </w:r>
      <w:r w:rsidRPr="00C65253">
        <w:rPr>
          <w:rFonts w:ascii="Arial" w:hAnsi="Arial" w:cs="Arial"/>
          <w:color w:val="auto"/>
          <w:sz w:val="22"/>
          <w:szCs w:val="22"/>
          <w:lang w:val="fr-FR"/>
        </w:rPr>
        <w:t>RENCES</w:t>
      </w:r>
      <w:r w:rsidR="00EA3334" w:rsidRPr="009F1497">
        <w:rPr>
          <w:rFonts w:ascii="Arial" w:hAnsi="Arial" w:cs="Arial"/>
          <w:sz w:val="20"/>
          <w:szCs w:val="20"/>
        </w:rPr>
        <w:fldChar w:fldCharType="begin" w:fldLock="1"/>
      </w:r>
      <w:r w:rsidR="00EA3334" w:rsidRPr="00C65253">
        <w:rPr>
          <w:rFonts w:ascii="Arial" w:hAnsi="Arial" w:cs="Arial"/>
          <w:sz w:val="20"/>
          <w:szCs w:val="20"/>
          <w:lang w:val="fr-FR"/>
        </w:rPr>
        <w:instrText xml:space="preserve">ADDIN Mendeley Bibliography CSL_BIBLIOGRAPHY </w:instrText>
      </w:r>
      <w:r w:rsidR="00EA3334" w:rsidRPr="009F1497">
        <w:rPr>
          <w:rFonts w:ascii="Arial" w:hAnsi="Arial" w:cs="Arial"/>
          <w:sz w:val="20"/>
          <w:szCs w:val="20"/>
        </w:rPr>
        <w:fldChar w:fldCharType="separate"/>
      </w:r>
    </w:p>
    <w:p w14:paraId="00CA81DC" w14:textId="77777777" w:rsidR="006A0D9A" w:rsidRPr="006A0D9A" w:rsidRDefault="006A0D9A" w:rsidP="006A0D9A">
      <w:pPr>
        <w:widowControl w:val="0"/>
        <w:autoSpaceDE w:val="0"/>
        <w:autoSpaceDN w:val="0"/>
        <w:adjustRightInd w:val="0"/>
        <w:spacing w:before="120" w:line="240" w:lineRule="auto"/>
        <w:ind w:left="567" w:hanging="567"/>
        <w:jc w:val="both"/>
        <w:rPr>
          <w:rFonts w:ascii="Arial" w:hAnsi="Arial" w:cs="Arial"/>
          <w:sz w:val="20"/>
          <w:szCs w:val="20"/>
        </w:rPr>
      </w:pPr>
      <w:r w:rsidRPr="006A0D9A">
        <w:rPr>
          <w:rFonts w:ascii="Arial" w:hAnsi="Arial" w:cs="Arial"/>
          <w:sz w:val="20"/>
          <w:szCs w:val="20"/>
        </w:rPr>
        <w:t>Anyango, G. W., Bhowmick, G. D., &amp; Bhattacharya, N. S. (2024). A critical review of irrigation water quality index and water quality management practices in micro-irrigation for efficient policy making. Desalination and Water Treatment, Article 100304. https://doi.org/10.1016/j.dwt.2024.100304</w:t>
      </w:r>
    </w:p>
    <w:p w14:paraId="76D016E4" w14:textId="73F457AE" w:rsidR="0007465D" w:rsidRPr="006A0D9A" w:rsidRDefault="00007E6D" w:rsidP="00056D94">
      <w:pPr>
        <w:widowControl w:val="0"/>
        <w:autoSpaceDE w:val="0"/>
        <w:autoSpaceDN w:val="0"/>
        <w:adjustRightInd w:val="0"/>
        <w:spacing w:before="120" w:line="240" w:lineRule="auto"/>
        <w:ind w:left="567" w:hanging="567"/>
        <w:jc w:val="both"/>
        <w:rPr>
          <w:rFonts w:ascii="Arial" w:hAnsi="Arial" w:cs="Arial"/>
          <w:sz w:val="20"/>
          <w:szCs w:val="20"/>
        </w:rPr>
      </w:pPr>
      <w:r w:rsidRPr="006A0D9A">
        <w:rPr>
          <w:rFonts w:ascii="Arial" w:hAnsi="Arial" w:cs="Arial"/>
          <w:sz w:val="20"/>
          <w:szCs w:val="20"/>
          <w:lang w:val="fr-FR"/>
        </w:rPr>
        <w:t>Aldughaishi, U., Grattan, S. R., Nicolas, F., Peddinti, S. R., Bonfil, C., Ogunmokun, F.,</w:t>
      </w:r>
      <w:r w:rsidR="004E7202" w:rsidRPr="006A0D9A">
        <w:rPr>
          <w:rFonts w:ascii="Arial" w:hAnsi="Arial" w:cs="Arial"/>
          <w:sz w:val="20"/>
          <w:szCs w:val="20"/>
          <w:lang w:val="fr-FR"/>
        </w:rPr>
        <w:t xml:space="preserve"> et al. </w:t>
      </w:r>
      <w:r w:rsidR="0007465D" w:rsidRPr="006A0D9A">
        <w:rPr>
          <w:rFonts w:ascii="Arial" w:hAnsi="Arial" w:cs="Arial"/>
          <w:sz w:val="20"/>
          <w:szCs w:val="20"/>
          <w:lang w:val="en-GB"/>
        </w:rPr>
        <w:t xml:space="preserve">(2024). </w:t>
      </w:r>
      <w:r w:rsidR="0007465D" w:rsidRPr="006A0D9A">
        <w:rPr>
          <w:rFonts w:ascii="Arial" w:hAnsi="Arial" w:cs="Arial"/>
          <w:sz w:val="20"/>
          <w:szCs w:val="20"/>
        </w:rPr>
        <w:t xml:space="preserve">Assessing the impact of recycled water reuse on infiltration and soil structure. </w:t>
      </w:r>
      <w:r w:rsidR="0007465D" w:rsidRPr="006A0D9A">
        <w:rPr>
          <w:rFonts w:ascii="Arial" w:hAnsi="Arial" w:cs="Arial"/>
          <w:i/>
          <w:iCs/>
          <w:sz w:val="20"/>
          <w:szCs w:val="20"/>
        </w:rPr>
        <w:t>Geoderma</w:t>
      </w:r>
      <w:r w:rsidR="0007465D" w:rsidRPr="006A0D9A">
        <w:rPr>
          <w:rFonts w:ascii="Arial" w:hAnsi="Arial" w:cs="Arial"/>
          <w:sz w:val="20"/>
          <w:szCs w:val="20"/>
        </w:rPr>
        <w:t xml:space="preserve">, 452, 117103. https://doi.org/10.1016/j.geoderma.2024.117103. </w:t>
      </w:r>
    </w:p>
    <w:p w14:paraId="0DC6D614" w14:textId="77777777" w:rsidR="00A53AC3" w:rsidRPr="006A0D9A" w:rsidRDefault="00A53AC3" w:rsidP="00A53AC3">
      <w:pPr>
        <w:widowControl w:val="0"/>
        <w:autoSpaceDE w:val="0"/>
        <w:autoSpaceDN w:val="0"/>
        <w:adjustRightInd w:val="0"/>
        <w:spacing w:before="120" w:line="240" w:lineRule="auto"/>
        <w:ind w:left="567" w:hanging="567"/>
        <w:jc w:val="both"/>
        <w:rPr>
          <w:rFonts w:ascii="Arial" w:hAnsi="Arial" w:cs="Arial"/>
          <w:noProof/>
          <w:sz w:val="20"/>
          <w:szCs w:val="20"/>
        </w:rPr>
      </w:pPr>
      <w:r w:rsidRPr="006A0D9A">
        <w:rPr>
          <w:rFonts w:ascii="Arial" w:hAnsi="Arial" w:cs="Arial"/>
          <w:noProof/>
          <w:sz w:val="20"/>
          <w:szCs w:val="20"/>
        </w:rPr>
        <w:t>Ayers, R. S., &amp; Westcot, D. W. (1985). Water quality for agriculture (FAO Irrigation and Drainage Paper No. 29, Rev. 1). Food and Agriculture Organization of the United Nations (FAO).</w:t>
      </w:r>
    </w:p>
    <w:p w14:paraId="00D1E757" w14:textId="77777777" w:rsidR="006A0D9A" w:rsidRPr="006A0D9A" w:rsidRDefault="006A0D9A" w:rsidP="006A0D9A">
      <w:pPr>
        <w:widowControl w:val="0"/>
        <w:autoSpaceDE w:val="0"/>
        <w:autoSpaceDN w:val="0"/>
        <w:adjustRightInd w:val="0"/>
        <w:spacing w:before="120" w:line="240" w:lineRule="auto"/>
        <w:ind w:left="567" w:hanging="567"/>
        <w:jc w:val="both"/>
        <w:rPr>
          <w:rFonts w:ascii="Arial" w:hAnsi="Arial" w:cs="Arial"/>
          <w:sz w:val="20"/>
          <w:szCs w:val="20"/>
        </w:rPr>
      </w:pPr>
      <w:r w:rsidRPr="00F504AF">
        <w:rPr>
          <w:rFonts w:ascii="Arial" w:hAnsi="Arial" w:cs="Arial"/>
          <w:sz w:val="20"/>
          <w:szCs w:val="20"/>
        </w:rPr>
        <w:t xml:space="preserve">Ben Driss, M. A. M. A., Ifliliss, A., Ettazarini, S., Hahou, Y., Boudad, L., El Amrani, M. E., et al. </w:t>
      </w:r>
      <w:r w:rsidRPr="006A0D9A">
        <w:rPr>
          <w:rFonts w:ascii="Arial" w:hAnsi="Arial" w:cs="Arial"/>
          <w:sz w:val="20"/>
          <w:szCs w:val="20"/>
        </w:rPr>
        <w:t xml:space="preserve">(2024). Assessment of groundwater suitability for irrigation purposes in the Fritissa region, Moulouya, Morocco. </w:t>
      </w:r>
      <w:r w:rsidRPr="00F504AF">
        <w:rPr>
          <w:rFonts w:ascii="Arial" w:hAnsi="Arial" w:cs="Arial"/>
          <w:sz w:val="20"/>
          <w:szCs w:val="20"/>
        </w:rPr>
        <w:t>Frontiers in Geochemistry.</w:t>
      </w:r>
      <w:r w:rsidRPr="00FB361A">
        <w:rPr>
          <w:rFonts w:ascii="Arial" w:hAnsi="Arial" w:cs="Arial"/>
          <w:color w:val="000000" w:themeColor="text1"/>
          <w:sz w:val="20"/>
          <w:szCs w:val="20"/>
        </w:rPr>
        <w:t xml:space="preserve"> </w:t>
      </w:r>
      <w:hyperlink r:id="rId18" w:history="1">
        <w:r w:rsidRPr="00FB361A">
          <w:rPr>
            <w:rStyle w:val="Lienhypertexte"/>
            <w:rFonts w:ascii="Arial" w:hAnsi="Arial" w:cs="Arial"/>
            <w:color w:val="000000" w:themeColor="text1"/>
            <w:sz w:val="20"/>
            <w:szCs w:val="20"/>
            <w:u w:val="none"/>
          </w:rPr>
          <w:t>https://doi.org/10.3389/fgeoc.2024.1307252</w:t>
        </w:r>
      </w:hyperlink>
    </w:p>
    <w:p w14:paraId="4577ADE3" w14:textId="77777777" w:rsidR="00A53AC3" w:rsidRPr="006A0D9A" w:rsidRDefault="00A53AC3" w:rsidP="00A53AC3">
      <w:pPr>
        <w:widowControl w:val="0"/>
        <w:autoSpaceDE w:val="0"/>
        <w:autoSpaceDN w:val="0"/>
        <w:adjustRightInd w:val="0"/>
        <w:spacing w:before="120" w:line="240" w:lineRule="auto"/>
        <w:ind w:left="567" w:hanging="567"/>
        <w:jc w:val="both"/>
        <w:rPr>
          <w:rFonts w:ascii="Arial" w:hAnsi="Arial" w:cs="Arial"/>
          <w:noProof/>
          <w:sz w:val="20"/>
          <w:szCs w:val="20"/>
        </w:rPr>
      </w:pPr>
      <w:r w:rsidRPr="006A0D9A">
        <w:rPr>
          <w:rFonts w:ascii="Arial" w:hAnsi="Arial" w:cs="Arial"/>
          <w:noProof/>
          <w:sz w:val="20"/>
          <w:szCs w:val="20"/>
          <w:lang w:val="fr-FR"/>
        </w:rPr>
        <w:t xml:space="preserve">Dabré, H., Gomgnimbou, A. P. K., Sanon, A. D., Sigué, H., &amp; Gomgnimbou, M. K. (2025). Analyse des sources de risques environnementaux et sanitaires sur le périmètre maraîcher de Dogona dans la ville de Bobo-Dioulasso, à l’ouest du Burkina Faso. </w:t>
      </w:r>
      <w:r w:rsidRPr="006A0D9A">
        <w:rPr>
          <w:rFonts w:ascii="Arial" w:hAnsi="Arial" w:cs="Arial"/>
          <w:i/>
          <w:iCs/>
          <w:noProof/>
          <w:sz w:val="20"/>
          <w:szCs w:val="20"/>
        </w:rPr>
        <w:t>Asian Journal of Science and Technolog</w:t>
      </w:r>
      <w:r w:rsidRPr="006A0D9A">
        <w:rPr>
          <w:rFonts w:ascii="Arial" w:hAnsi="Arial" w:cs="Arial"/>
          <w:noProof/>
          <w:sz w:val="20"/>
          <w:szCs w:val="20"/>
        </w:rPr>
        <w:t>y, 16(1), 13335–13342</w:t>
      </w:r>
    </w:p>
    <w:p w14:paraId="689EE690" w14:textId="50D6F74B" w:rsidR="008F3D76" w:rsidRPr="006A0D9A" w:rsidRDefault="008F3D76" w:rsidP="00056D94">
      <w:pPr>
        <w:widowControl w:val="0"/>
        <w:autoSpaceDE w:val="0"/>
        <w:autoSpaceDN w:val="0"/>
        <w:adjustRightInd w:val="0"/>
        <w:spacing w:before="120" w:line="240" w:lineRule="auto"/>
        <w:ind w:left="567" w:hanging="567"/>
        <w:jc w:val="both"/>
        <w:rPr>
          <w:rFonts w:ascii="Arial" w:hAnsi="Arial" w:cs="Arial"/>
          <w:noProof/>
          <w:sz w:val="20"/>
          <w:szCs w:val="20"/>
        </w:rPr>
      </w:pPr>
      <w:r w:rsidRPr="006A0D9A">
        <w:rPr>
          <w:rFonts w:ascii="Arial" w:hAnsi="Arial" w:cs="Arial"/>
          <w:sz w:val="20"/>
          <w:szCs w:val="20"/>
        </w:rPr>
        <w:lastRenderedPageBreak/>
        <w:fldChar w:fldCharType="begin" w:fldLock="1"/>
      </w:r>
      <w:r w:rsidRPr="006A0D9A">
        <w:rPr>
          <w:rFonts w:ascii="Arial" w:hAnsi="Arial" w:cs="Arial"/>
          <w:sz w:val="20"/>
          <w:szCs w:val="20"/>
        </w:rPr>
        <w:instrText xml:space="preserve">ADDIN Mendeley Bibliography CSL_BIBLIOGRAPHY </w:instrText>
      </w:r>
      <w:r w:rsidRPr="006A0D9A">
        <w:rPr>
          <w:rFonts w:ascii="Arial" w:hAnsi="Arial" w:cs="Arial"/>
          <w:sz w:val="20"/>
          <w:szCs w:val="20"/>
        </w:rPr>
        <w:fldChar w:fldCharType="separate"/>
      </w:r>
      <w:r w:rsidRPr="006A0D9A">
        <w:rPr>
          <w:rFonts w:ascii="Arial" w:hAnsi="Arial" w:cs="Arial"/>
          <w:noProof/>
          <w:sz w:val="20"/>
          <w:szCs w:val="20"/>
        </w:rPr>
        <w:t>D</w:t>
      </w:r>
      <w:r w:rsidR="00007E6D" w:rsidRPr="006A0D9A">
        <w:rPr>
          <w:rFonts w:ascii="Arial" w:hAnsi="Arial" w:cs="Arial"/>
          <w:noProof/>
          <w:sz w:val="20"/>
          <w:szCs w:val="20"/>
        </w:rPr>
        <w:t>arko</w:t>
      </w:r>
      <w:r w:rsidR="00BE0A6E" w:rsidRPr="006A0D9A">
        <w:rPr>
          <w:rFonts w:ascii="Arial" w:hAnsi="Arial" w:cs="Arial"/>
          <w:noProof/>
          <w:sz w:val="20"/>
          <w:szCs w:val="20"/>
        </w:rPr>
        <w:t>,</w:t>
      </w:r>
      <w:r w:rsidRPr="006A0D9A">
        <w:rPr>
          <w:rFonts w:ascii="Arial" w:hAnsi="Arial" w:cs="Arial"/>
          <w:noProof/>
          <w:sz w:val="20"/>
          <w:szCs w:val="20"/>
        </w:rPr>
        <w:t xml:space="preserve"> R. O.,</w:t>
      </w:r>
      <w:r w:rsidR="00BE0A6E" w:rsidRPr="006A0D9A">
        <w:rPr>
          <w:rFonts w:ascii="Arial" w:hAnsi="Arial" w:cs="Arial"/>
          <w:noProof/>
          <w:sz w:val="20"/>
          <w:szCs w:val="20"/>
        </w:rPr>
        <w:t xml:space="preserve"> </w:t>
      </w:r>
      <w:r w:rsidR="00007E6D" w:rsidRPr="006A0D9A">
        <w:rPr>
          <w:rFonts w:ascii="Arial" w:hAnsi="Arial" w:cs="Arial"/>
          <w:noProof/>
          <w:sz w:val="20"/>
          <w:szCs w:val="20"/>
        </w:rPr>
        <w:t>Odoi-Yorke</w:t>
      </w:r>
      <w:r w:rsidRPr="006A0D9A">
        <w:rPr>
          <w:rFonts w:ascii="Arial" w:hAnsi="Arial" w:cs="Arial"/>
          <w:noProof/>
          <w:sz w:val="20"/>
          <w:szCs w:val="20"/>
        </w:rPr>
        <w:t xml:space="preserve">, F., </w:t>
      </w:r>
      <w:r w:rsidR="00007E6D" w:rsidRPr="006A0D9A">
        <w:rPr>
          <w:rFonts w:ascii="Arial" w:hAnsi="Arial" w:cs="Arial"/>
          <w:noProof/>
          <w:sz w:val="20"/>
          <w:szCs w:val="20"/>
        </w:rPr>
        <w:t>Abbey, A. A., Afutu, E., Owusu</w:t>
      </w:r>
      <w:r w:rsidR="00BE0A6E" w:rsidRPr="006A0D9A">
        <w:rPr>
          <w:rFonts w:ascii="Arial" w:hAnsi="Arial" w:cs="Arial"/>
          <w:noProof/>
          <w:sz w:val="20"/>
          <w:szCs w:val="20"/>
        </w:rPr>
        <w:t>-</w:t>
      </w:r>
      <w:r w:rsidR="00007E6D" w:rsidRPr="006A0D9A">
        <w:rPr>
          <w:rFonts w:ascii="Arial" w:hAnsi="Arial" w:cs="Arial"/>
          <w:noProof/>
          <w:sz w:val="20"/>
          <w:szCs w:val="20"/>
        </w:rPr>
        <w:t xml:space="preserve">Sekyere, J. D., Sam-Amoah, L. K., </w:t>
      </w:r>
      <w:r w:rsidR="00710DF5" w:rsidRPr="006A0D9A">
        <w:rPr>
          <w:rFonts w:ascii="Arial" w:hAnsi="Arial" w:cs="Arial"/>
          <w:noProof/>
          <w:sz w:val="20"/>
          <w:szCs w:val="20"/>
        </w:rPr>
        <w:t>et al.</w:t>
      </w:r>
      <w:r w:rsidRPr="006A0D9A">
        <w:rPr>
          <w:rFonts w:ascii="Arial" w:hAnsi="Arial" w:cs="Arial"/>
          <w:noProof/>
          <w:sz w:val="20"/>
          <w:szCs w:val="20"/>
        </w:rPr>
        <w:t xml:space="preserve"> (2025). A Review of Climate Change Impacts on Irrigation Water Demand and Supply - A Detailed Analysis of Trends, Evolution, and Future Research</w:t>
      </w:r>
      <w:r w:rsidR="00DD4A2B" w:rsidRPr="006A0D9A">
        <w:rPr>
          <w:rFonts w:ascii="Arial" w:hAnsi="Arial" w:cs="Arial"/>
          <w:noProof/>
          <w:sz w:val="20"/>
          <w:szCs w:val="20"/>
        </w:rPr>
        <w:t xml:space="preserve"> </w:t>
      </w:r>
      <w:r w:rsidRPr="006A0D9A">
        <w:rPr>
          <w:rFonts w:ascii="Arial" w:hAnsi="Arial" w:cs="Arial"/>
          <w:noProof/>
          <w:sz w:val="20"/>
          <w:szCs w:val="20"/>
        </w:rPr>
        <w:t xml:space="preserve">Directions. </w:t>
      </w:r>
      <w:r w:rsidRPr="006A0D9A">
        <w:rPr>
          <w:rFonts w:ascii="Arial" w:hAnsi="Arial" w:cs="Arial"/>
          <w:i/>
          <w:iCs/>
          <w:noProof/>
          <w:sz w:val="20"/>
          <w:szCs w:val="20"/>
        </w:rPr>
        <w:t>Water Resources Management</w:t>
      </w:r>
      <w:r w:rsidRPr="006A0D9A">
        <w:rPr>
          <w:rFonts w:ascii="Arial" w:hAnsi="Arial" w:cs="Arial"/>
          <w:noProof/>
          <w:sz w:val="20"/>
          <w:szCs w:val="20"/>
        </w:rPr>
        <w:t xml:space="preserve">, </w:t>
      </w:r>
      <w:r w:rsidRPr="006A0D9A">
        <w:rPr>
          <w:rFonts w:ascii="Arial" w:hAnsi="Arial" w:cs="Arial"/>
          <w:i/>
          <w:iCs/>
          <w:noProof/>
          <w:sz w:val="20"/>
          <w:szCs w:val="20"/>
        </w:rPr>
        <w:t>39</w:t>
      </w:r>
      <w:r w:rsidRPr="006A0D9A">
        <w:rPr>
          <w:rFonts w:ascii="Arial" w:hAnsi="Arial" w:cs="Arial"/>
          <w:noProof/>
          <w:sz w:val="20"/>
          <w:szCs w:val="20"/>
        </w:rPr>
        <w:t>(1), 17–45. https://doi.org/10.1007/s11269-024-03964-z</w:t>
      </w:r>
    </w:p>
    <w:p w14:paraId="736AAF4C" w14:textId="2AFB3670" w:rsidR="000E76B1" w:rsidRPr="006A0D9A" w:rsidRDefault="008F3D76" w:rsidP="00056D94">
      <w:pPr>
        <w:widowControl w:val="0"/>
        <w:autoSpaceDE w:val="0"/>
        <w:autoSpaceDN w:val="0"/>
        <w:adjustRightInd w:val="0"/>
        <w:spacing w:before="120" w:line="240" w:lineRule="auto"/>
        <w:ind w:left="567" w:hanging="567"/>
        <w:jc w:val="both"/>
        <w:rPr>
          <w:rFonts w:ascii="Arial" w:hAnsi="Arial" w:cs="Arial"/>
          <w:sz w:val="20"/>
          <w:szCs w:val="20"/>
          <w:lang w:val="fr-FR"/>
        </w:rPr>
      </w:pPr>
      <w:r w:rsidRPr="006A0D9A">
        <w:rPr>
          <w:rFonts w:ascii="Arial" w:hAnsi="Arial" w:cs="Arial"/>
          <w:sz w:val="20"/>
          <w:szCs w:val="20"/>
        </w:rPr>
        <w:fldChar w:fldCharType="end"/>
      </w:r>
      <w:r w:rsidR="000E76B1" w:rsidRPr="006A0D9A">
        <w:rPr>
          <w:rFonts w:ascii="Arial" w:hAnsi="Arial" w:cs="Arial"/>
          <w:sz w:val="20"/>
          <w:szCs w:val="20"/>
          <w:lang w:val="fr-FR"/>
        </w:rPr>
        <w:t>Dende, Z. L. (2022). Évaluation de la qualité physico-chimique et microbiologique des eaux de la rivière Houet recevant les eaux de la STEP et leur aptitude d’usage à l’irrigation d’appoint en saison pluvieuse : Cas du site maraîcher de Dogona à Bobo-Dioulasso. Mémoire de fin d’études (texte imprimé), Institut International d’Ingénierie de l’Eau et de l’Environnement (2iE), Ouagadougou, Burkina Faso. 98 p.</w:t>
      </w:r>
    </w:p>
    <w:p w14:paraId="2E35097D" w14:textId="33A04310" w:rsidR="000E76B1" w:rsidRPr="006A0D9A" w:rsidRDefault="000E76B1" w:rsidP="00056D94">
      <w:pPr>
        <w:widowControl w:val="0"/>
        <w:autoSpaceDE w:val="0"/>
        <w:autoSpaceDN w:val="0"/>
        <w:adjustRightInd w:val="0"/>
        <w:spacing w:before="120" w:line="240" w:lineRule="auto"/>
        <w:ind w:left="567" w:hanging="567"/>
        <w:jc w:val="both"/>
        <w:rPr>
          <w:rFonts w:ascii="Arial" w:hAnsi="Arial" w:cs="Arial"/>
          <w:noProof/>
          <w:sz w:val="20"/>
          <w:szCs w:val="20"/>
        </w:rPr>
      </w:pPr>
      <w:r w:rsidRPr="006A0D9A">
        <w:rPr>
          <w:rFonts w:ascii="Arial" w:hAnsi="Arial" w:cs="Arial"/>
          <w:noProof/>
          <w:sz w:val="20"/>
          <w:szCs w:val="20"/>
          <w:lang w:val="de-DE"/>
        </w:rPr>
        <w:t xml:space="preserve">Drechsel, P., Marjani Zadeh, S., &amp; Salcedo, F. P. (2023). </w:t>
      </w:r>
      <w:r w:rsidRPr="006A0D9A">
        <w:rPr>
          <w:rFonts w:ascii="Arial" w:hAnsi="Arial" w:cs="Arial"/>
          <w:noProof/>
          <w:sz w:val="20"/>
          <w:szCs w:val="20"/>
        </w:rPr>
        <w:t>Water quality in agriculture: Risks and risk mitigation (192 pp.). Food and Agriculture Organization of the United Nations (FAO); International Water Management Institute (IWMI), 192 pp. https://doi.org/10.4060/cc7340en</w:t>
      </w:r>
    </w:p>
    <w:p w14:paraId="4C67AEFD" w14:textId="20E4D2FE" w:rsidR="003E2473" w:rsidRPr="006A0D9A" w:rsidRDefault="00007E6D" w:rsidP="00BB542F">
      <w:pPr>
        <w:widowControl w:val="0"/>
        <w:autoSpaceDE w:val="0"/>
        <w:autoSpaceDN w:val="0"/>
        <w:adjustRightInd w:val="0"/>
        <w:spacing w:before="120" w:line="240" w:lineRule="auto"/>
        <w:ind w:left="567" w:hanging="567"/>
        <w:jc w:val="both"/>
        <w:rPr>
          <w:rFonts w:ascii="Arial" w:hAnsi="Arial" w:cs="Arial"/>
          <w:sz w:val="20"/>
          <w:szCs w:val="20"/>
          <w:lang w:val="fr-FR"/>
        </w:rPr>
      </w:pPr>
      <w:r w:rsidRPr="006A0D9A">
        <w:rPr>
          <w:rFonts w:ascii="Arial" w:hAnsi="Arial" w:cs="Arial"/>
          <w:sz w:val="20"/>
          <w:szCs w:val="20"/>
          <w:lang w:val="de-DE"/>
        </w:rPr>
        <w:t>Drechsel, P., Qadir, M., &amp; Galibourg</w:t>
      </w:r>
      <w:r w:rsidR="0029230C" w:rsidRPr="006A0D9A">
        <w:rPr>
          <w:rFonts w:ascii="Arial" w:hAnsi="Arial" w:cs="Arial"/>
          <w:sz w:val="20"/>
          <w:szCs w:val="20"/>
          <w:lang w:val="de-DE"/>
        </w:rPr>
        <w:t>,</w:t>
      </w:r>
      <w:r w:rsidR="003E2473" w:rsidRPr="006A0D9A">
        <w:rPr>
          <w:rFonts w:ascii="Arial" w:hAnsi="Arial" w:cs="Arial"/>
          <w:sz w:val="20"/>
          <w:szCs w:val="20"/>
          <w:lang w:val="de-DE"/>
        </w:rPr>
        <w:t xml:space="preserve"> D. (2022). </w:t>
      </w:r>
      <w:r w:rsidR="003E2473" w:rsidRPr="006A0D9A">
        <w:rPr>
          <w:rFonts w:ascii="Arial" w:hAnsi="Arial" w:cs="Arial"/>
          <w:sz w:val="20"/>
          <w:szCs w:val="20"/>
        </w:rPr>
        <w:t xml:space="preserve">The WHO guidelines for safe wastewater use in agriculture: A review of implementation challenges and possible solutions in the Global South. </w:t>
      </w:r>
      <w:r w:rsidR="003E2473" w:rsidRPr="006A0D9A">
        <w:rPr>
          <w:rFonts w:ascii="Arial" w:hAnsi="Arial" w:cs="Arial"/>
          <w:i/>
          <w:iCs/>
          <w:sz w:val="20"/>
          <w:szCs w:val="20"/>
          <w:lang w:val="fr-FR"/>
        </w:rPr>
        <w:t>Water</w:t>
      </w:r>
      <w:r w:rsidR="003E2473" w:rsidRPr="006A0D9A">
        <w:rPr>
          <w:rFonts w:ascii="Arial" w:hAnsi="Arial" w:cs="Arial"/>
          <w:sz w:val="20"/>
          <w:szCs w:val="20"/>
          <w:lang w:val="fr-FR"/>
        </w:rPr>
        <w:t xml:space="preserve">, 14(6), 864. https://doi.org/10.3390/w14060864 </w:t>
      </w:r>
    </w:p>
    <w:p w14:paraId="6252C93C" w14:textId="77777777" w:rsidR="0011707A" w:rsidRPr="006A0D9A" w:rsidRDefault="0011707A" w:rsidP="007D0BD7">
      <w:pPr>
        <w:widowControl w:val="0"/>
        <w:autoSpaceDE w:val="0"/>
        <w:autoSpaceDN w:val="0"/>
        <w:adjustRightInd w:val="0"/>
        <w:spacing w:before="120" w:line="240" w:lineRule="auto"/>
        <w:ind w:left="567" w:hanging="567"/>
        <w:jc w:val="both"/>
        <w:rPr>
          <w:rFonts w:ascii="Arial" w:hAnsi="Arial" w:cs="Arial"/>
          <w:sz w:val="20"/>
          <w:szCs w:val="20"/>
          <w:lang w:val="de-DE"/>
        </w:rPr>
      </w:pPr>
      <w:r w:rsidRPr="006A0D9A">
        <w:rPr>
          <w:rFonts w:ascii="Arial" w:hAnsi="Arial" w:cs="Arial"/>
          <w:sz w:val="20"/>
          <w:szCs w:val="20"/>
          <w:lang w:val="de-DE"/>
        </w:rPr>
        <w:fldChar w:fldCharType="begin"/>
      </w:r>
      <w:r w:rsidRPr="006A0D9A">
        <w:rPr>
          <w:rFonts w:ascii="Arial" w:hAnsi="Arial" w:cs="Arial"/>
          <w:sz w:val="20"/>
          <w:szCs w:val="20"/>
          <w:lang w:val="de-DE"/>
        </w:rPr>
        <w:instrText xml:space="preserve"> ADDIN ZOTERO_BIBL {"uncited":[],"omitted":[],"custom":[]} CSL_BIBLIOGRAPHY </w:instrText>
      </w:r>
      <w:r w:rsidRPr="006A0D9A">
        <w:rPr>
          <w:rFonts w:ascii="Arial" w:hAnsi="Arial" w:cs="Arial"/>
          <w:sz w:val="20"/>
          <w:szCs w:val="20"/>
          <w:lang w:val="de-DE"/>
        </w:rPr>
        <w:fldChar w:fldCharType="separate"/>
      </w:r>
      <w:r w:rsidRPr="006A0D9A">
        <w:rPr>
          <w:rFonts w:ascii="Arial" w:hAnsi="Arial" w:cs="Arial"/>
          <w:sz w:val="20"/>
          <w:szCs w:val="20"/>
          <w:lang w:val="de-DE"/>
        </w:rPr>
        <w:t xml:space="preserve">Ebissa, G., Yeshitela, K., Desta, H., &amp; Fetene, A. (2023). Urban Agriculture And Environmental Sustainability. </w:t>
      </w:r>
      <w:r w:rsidRPr="006A0D9A">
        <w:rPr>
          <w:rFonts w:ascii="Arial" w:hAnsi="Arial" w:cs="Arial"/>
          <w:i/>
          <w:iCs/>
          <w:sz w:val="20"/>
          <w:szCs w:val="20"/>
          <w:lang w:val="de-DE"/>
        </w:rPr>
        <w:t>Environment, Development And Sustainability</w:t>
      </w:r>
      <w:r w:rsidRPr="006A0D9A">
        <w:rPr>
          <w:rFonts w:ascii="Arial" w:hAnsi="Arial" w:cs="Arial"/>
          <w:sz w:val="20"/>
          <w:szCs w:val="20"/>
          <w:lang w:val="de-DE"/>
        </w:rPr>
        <w:t>, 26(6), 14583</w:t>
      </w:r>
      <w:r w:rsidRPr="006A0D9A">
        <w:rPr>
          <w:rFonts w:ascii="Cambria Math" w:hAnsi="Cambria Math" w:cs="Cambria Math"/>
          <w:sz w:val="20"/>
          <w:szCs w:val="20"/>
          <w:lang w:val="de-DE"/>
        </w:rPr>
        <w:t>‑</w:t>
      </w:r>
      <w:r w:rsidRPr="006A0D9A">
        <w:rPr>
          <w:rFonts w:ascii="Arial" w:hAnsi="Arial" w:cs="Arial"/>
          <w:sz w:val="20"/>
          <w:szCs w:val="20"/>
          <w:lang w:val="de-DE"/>
        </w:rPr>
        <w:t>14599. Https://Doi.Org/10.1007/S10668-023-03208-X</w:t>
      </w:r>
    </w:p>
    <w:p w14:paraId="1C01A78B" w14:textId="640161C5" w:rsidR="00A53AC3" w:rsidRPr="006A0D9A" w:rsidRDefault="0011707A" w:rsidP="00A53AC3">
      <w:pPr>
        <w:widowControl w:val="0"/>
        <w:autoSpaceDE w:val="0"/>
        <w:autoSpaceDN w:val="0"/>
        <w:adjustRightInd w:val="0"/>
        <w:spacing w:before="120" w:line="240" w:lineRule="auto"/>
        <w:ind w:left="567" w:hanging="567"/>
        <w:jc w:val="both"/>
        <w:rPr>
          <w:rFonts w:ascii="Arial" w:hAnsi="Arial" w:cs="Arial"/>
          <w:noProof/>
          <w:sz w:val="20"/>
          <w:szCs w:val="20"/>
          <w:lang w:val="fr-FR"/>
        </w:rPr>
      </w:pPr>
      <w:r w:rsidRPr="006A0D9A">
        <w:rPr>
          <w:rFonts w:ascii="Arial" w:eastAsiaTheme="minorHAnsi" w:hAnsi="Arial" w:cs="Arial"/>
          <w:sz w:val="20"/>
          <w:szCs w:val="20"/>
          <w:lang w:val="de-DE"/>
        </w:rPr>
        <w:fldChar w:fldCharType="end"/>
      </w:r>
      <w:r w:rsidR="00A53AC3" w:rsidRPr="006A0D9A">
        <w:rPr>
          <w:rFonts w:ascii="Arial" w:hAnsi="Arial" w:cs="Arial"/>
          <w:noProof/>
          <w:sz w:val="20"/>
          <w:szCs w:val="20"/>
          <w:lang w:val="fr-FR"/>
        </w:rPr>
        <w:t>FAO. (2003). L’irrigation avec des eaux usées traitées : Manuel d’utilisation FAO, Bureau régional pour le Proche-Orient; FAO, Bureau sous-régional pour l’Afrique du Nord, 73 p.</w:t>
      </w:r>
    </w:p>
    <w:p w14:paraId="1072AC37" w14:textId="618795F8" w:rsidR="007A488D" w:rsidRPr="006A0D9A" w:rsidRDefault="007A488D" w:rsidP="007D0BD7">
      <w:pPr>
        <w:widowControl w:val="0"/>
        <w:autoSpaceDE w:val="0"/>
        <w:autoSpaceDN w:val="0"/>
        <w:adjustRightInd w:val="0"/>
        <w:spacing w:after="160" w:line="240" w:lineRule="auto"/>
        <w:ind w:left="480" w:hanging="480"/>
        <w:jc w:val="both"/>
        <w:rPr>
          <w:rFonts w:ascii="Arial" w:hAnsi="Arial" w:cs="Arial"/>
          <w:noProof/>
          <w:sz w:val="20"/>
          <w:szCs w:val="20"/>
          <w:lang w:val="fr-FR"/>
        </w:rPr>
      </w:pPr>
      <w:r w:rsidRPr="006A0D9A">
        <w:rPr>
          <w:rFonts w:ascii="Arial" w:hAnsi="Arial" w:cs="Arial"/>
          <w:noProof/>
          <w:sz w:val="20"/>
          <w:szCs w:val="20"/>
          <w:lang w:val="fr-FR"/>
        </w:rPr>
        <w:t>FAO. (2023). Les eaux non conventionnelles pour le développement agricole dans les pays de l’Afrique du Nord : Vers le déblocage du potentiel des eaux usées traitées et des eaux de drainage agricole</w:t>
      </w:r>
      <w:r w:rsidR="00717FA6" w:rsidRPr="006A0D9A">
        <w:rPr>
          <w:rFonts w:ascii="Arial" w:hAnsi="Arial" w:cs="Arial"/>
          <w:noProof/>
          <w:sz w:val="20"/>
          <w:szCs w:val="20"/>
          <w:lang w:val="fr-FR"/>
        </w:rPr>
        <w:t>.</w:t>
      </w:r>
      <w:r w:rsidRPr="006A0D9A">
        <w:rPr>
          <w:rFonts w:ascii="Arial" w:hAnsi="Arial" w:cs="Arial"/>
          <w:noProof/>
          <w:sz w:val="20"/>
          <w:szCs w:val="20"/>
          <w:lang w:val="fr-FR"/>
        </w:rPr>
        <w:t xml:space="preserve"> Rapport technique. FAO. </w:t>
      </w:r>
      <w:r w:rsidR="00717FA6" w:rsidRPr="006A0D9A">
        <w:rPr>
          <w:rFonts w:ascii="Arial" w:hAnsi="Arial" w:cs="Arial"/>
          <w:noProof/>
          <w:sz w:val="20"/>
          <w:szCs w:val="20"/>
          <w:lang w:val="fr-FR"/>
        </w:rPr>
        <w:t xml:space="preserve">183 p. </w:t>
      </w:r>
      <w:r w:rsidRPr="006A0D9A">
        <w:rPr>
          <w:rFonts w:ascii="Arial" w:hAnsi="Arial" w:cs="Arial"/>
          <w:noProof/>
          <w:sz w:val="20"/>
          <w:szCs w:val="20"/>
          <w:lang w:val="fr-FR"/>
        </w:rPr>
        <w:t>https://doi.org/10.4060/cc7422fr</w:t>
      </w:r>
    </w:p>
    <w:p w14:paraId="354E4E9F" w14:textId="7766BFC0" w:rsidR="00A53AC3" w:rsidRPr="006A0D9A" w:rsidRDefault="00A53AC3" w:rsidP="00BB542F">
      <w:pPr>
        <w:widowControl w:val="0"/>
        <w:autoSpaceDE w:val="0"/>
        <w:autoSpaceDN w:val="0"/>
        <w:adjustRightInd w:val="0"/>
        <w:spacing w:before="120" w:line="240" w:lineRule="auto"/>
        <w:ind w:left="567" w:hanging="567"/>
        <w:jc w:val="both"/>
        <w:rPr>
          <w:rFonts w:ascii="Arial" w:hAnsi="Arial" w:cs="Arial"/>
          <w:noProof/>
          <w:sz w:val="20"/>
          <w:szCs w:val="20"/>
          <w:lang w:val="fr-FR"/>
        </w:rPr>
      </w:pPr>
      <w:r w:rsidRPr="006A0D9A">
        <w:rPr>
          <w:rFonts w:ascii="Arial" w:hAnsi="Arial" w:cs="Arial"/>
          <w:noProof/>
          <w:sz w:val="20"/>
          <w:szCs w:val="20"/>
          <w:lang w:val="fr-FR"/>
        </w:rPr>
        <w:t xml:space="preserve">Helmecke, M., Fries, E., &amp; Schulte, C. (2020). </w:t>
      </w:r>
      <w:r w:rsidRPr="006A0D9A">
        <w:rPr>
          <w:rFonts w:ascii="Arial" w:hAnsi="Arial" w:cs="Arial"/>
          <w:noProof/>
          <w:sz w:val="20"/>
          <w:szCs w:val="20"/>
        </w:rPr>
        <w:t xml:space="preserve">Regulating water reuse for agricultural irrigation: risks related to organic micro-contaminants. </w:t>
      </w:r>
      <w:r w:rsidRPr="006A0D9A">
        <w:rPr>
          <w:rFonts w:ascii="Arial" w:hAnsi="Arial" w:cs="Arial"/>
          <w:i/>
          <w:iCs/>
          <w:noProof/>
          <w:sz w:val="20"/>
          <w:szCs w:val="20"/>
          <w:lang w:val="fr-FR"/>
        </w:rPr>
        <w:t>Environmental Sciences Europe</w:t>
      </w:r>
      <w:r w:rsidRPr="006A0D9A">
        <w:rPr>
          <w:rFonts w:ascii="Arial" w:hAnsi="Arial" w:cs="Arial"/>
          <w:noProof/>
          <w:sz w:val="20"/>
          <w:szCs w:val="20"/>
          <w:lang w:val="fr-FR"/>
        </w:rPr>
        <w:t xml:space="preserve">, ISSN: 21904715,  </w:t>
      </w:r>
      <w:r w:rsidRPr="006A0D9A">
        <w:rPr>
          <w:rFonts w:ascii="Arial" w:hAnsi="Arial" w:cs="Arial"/>
          <w:i/>
          <w:iCs/>
          <w:noProof/>
          <w:sz w:val="20"/>
          <w:szCs w:val="20"/>
          <w:lang w:val="fr-FR"/>
        </w:rPr>
        <w:t>32</w:t>
      </w:r>
      <w:r w:rsidRPr="006A0D9A">
        <w:rPr>
          <w:rFonts w:ascii="Arial" w:hAnsi="Arial" w:cs="Arial"/>
          <w:noProof/>
          <w:sz w:val="20"/>
          <w:szCs w:val="20"/>
          <w:lang w:val="fr-FR"/>
        </w:rPr>
        <w:t>(1), 2–10. https://doi.org/10.1186/s12302-019-0283-0</w:t>
      </w:r>
    </w:p>
    <w:p w14:paraId="67BA04B3" w14:textId="28F7FC14" w:rsidR="00A53AC3" w:rsidRPr="006A0D9A" w:rsidRDefault="00A53AC3" w:rsidP="00BB542F">
      <w:pPr>
        <w:widowControl w:val="0"/>
        <w:autoSpaceDE w:val="0"/>
        <w:autoSpaceDN w:val="0"/>
        <w:adjustRightInd w:val="0"/>
        <w:spacing w:before="120" w:line="240" w:lineRule="auto"/>
        <w:ind w:left="567" w:hanging="567"/>
        <w:jc w:val="both"/>
        <w:rPr>
          <w:rFonts w:ascii="Arial" w:hAnsi="Arial" w:cs="Arial"/>
          <w:noProof/>
          <w:sz w:val="20"/>
          <w:szCs w:val="20"/>
        </w:rPr>
      </w:pPr>
      <w:r w:rsidRPr="006A0D9A">
        <w:rPr>
          <w:rFonts w:ascii="Arial" w:hAnsi="Arial" w:cs="Arial"/>
          <w:noProof/>
          <w:sz w:val="20"/>
          <w:szCs w:val="20"/>
          <w:lang w:val="fr-FR"/>
        </w:rPr>
        <w:t xml:space="preserve">Jones, E. R., Van Vliet, M. T. H., Qadir, M., &amp; Bierkens, M. F. P. (2021). </w:t>
      </w:r>
      <w:r w:rsidRPr="006A0D9A">
        <w:rPr>
          <w:rFonts w:ascii="Arial" w:hAnsi="Arial" w:cs="Arial"/>
          <w:noProof/>
          <w:sz w:val="20"/>
          <w:szCs w:val="20"/>
        </w:rPr>
        <w:t xml:space="preserve">Country-level and gridded estimates of wastewater production, collection, treatment and reuse. </w:t>
      </w:r>
      <w:r w:rsidRPr="006A0D9A">
        <w:rPr>
          <w:rFonts w:ascii="Arial" w:hAnsi="Arial" w:cs="Arial"/>
          <w:i/>
          <w:iCs/>
          <w:noProof/>
          <w:sz w:val="20"/>
          <w:szCs w:val="20"/>
        </w:rPr>
        <w:t>Earth System Science Data</w:t>
      </w:r>
      <w:r w:rsidRPr="006A0D9A">
        <w:rPr>
          <w:rFonts w:ascii="Arial" w:hAnsi="Arial" w:cs="Arial"/>
          <w:noProof/>
          <w:sz w:val="20"/>
          <w:szCs w:val="20"/>
        </w:rPr>
        <w:t xml:space="preserve">, </w:t>
      </w:r>
      <w:r w:rsidRPr="006A0D9A">
        <w:rPr>
          <w:rFonts w:ascii="Arial" w:hAnsi="Arial" w:cs="Arial"/>
          <w:i/>
          <w:iCs/>
          <w:noProof/>
          <w:sz w:val="20"/>
          <w:szCs w:val="20"/>
        </w:rPr>
        <w:t>13</w:t>
      </w:r>
      <w:r w:rsidRPr="006A0D9A">
        <w:rPr>
          <w:rFonts w:ascii="Arial" w:hAnsi="Arial" w:cs="Arial"/>
          <w:noProof/>
          <w:sz w:val="20"/>
          <w:szCs w:val="20"/>
        </w:rPr>
        <w:t>(2), 237–254. https://doi.org/10.5194/essd-13-237-2021</w:t>
      </w:r>
    </w:p>
    <w:p w14:paraId="2CC63EF4" w14:textId="0E54C587" w:rsidR="00072A04" w:rsidRPr="006A0D9A" w:rsidRDefault="00072A04" w:rsidP="00BB542F">
      <w:pPr>
        <w:widowControl w:val="0"/>
        <w:autoSpaceDE w:val="0"/>
        <w:autoSpaceDN w:val="0"/>
        <w:adjustRightInd w:val="0"/>
        <w:spacing w:before="120" w:line="240" w:lineRule="auto"/>
        <w:ind w:left="567" w:hanging="567"/>
        <w:jc w:val="both"/>
        <w:rPr>
          <w:rFonts w:ascii="Arial" w:hAnsi="Arial" w:cs="Arial"/>
          <w:noProof/>
          <w:sz w:val="20"/>
          <w:szCs w:val="20"/>
        </w:rPr>
      </w:pPr>
      <w:r w:rsidRPr="006A0D9A">
        <w:rPr>
          <w:rFonts w:ascii="Arial" w:hAnsi="Arial" w:cs="Arial"/>
          <w:color w:val="232323"/>
          <w:sz w:val="20"/>
          <w:szCs w:val="20"/>
          <w:shd w:val="clear" w:color="auto" w:fill="FFFFFF"/>
        </w:rPr>
        <w:t>Kelly, W.P. (1940) Permissible Composition and Concentration of Irrigated Waters. Proceedings of the ASCF, Vol.66,607. https://doi.org/10.1055/s-0028-1121592.</w:t>
      </w:r>
    </w:p>
    <w:p w14:paraId="59D2ACC4" w14:textId="1B11DA47" w:rsidR="008C33A7" w:rsidRPr="006A0D9A" w:rsidRDefault="00833E12" w:rsidP="00BB542F">
      <w:pPr>
        <w:widowControl w:val="0"/>
        <w:autoSpaceDE w:val="0"/>
        <w:autoSpaceDN w:val="0"/>
        <w:adjustRightInd w:val="0"/>
        <w:spacing w:before="120" w:line="240" w:lineRule="auto"/>
        <w:ind w:left="567" w:hanging="567"/>
        <w:jc w:val="both"/>
        <w:rPr>
          <w:rFonts w:ascii="Arial" w:hAnsi="Arial" w:cs="Arial"/>
          <w:sz w:val="20"/>
          <w:szCs w:val="20"/>
        </w:rPr>
      </w:pPr>
      <w:r w:rsidRPr="006A0D9A">
        <w:rPr>
          <w:rFonts w:ascii="Arial" w:hAnsi="Arial" w:cs="Arial"/>
          <w:sz w:val="20"/>
          <w:szCs w:val="20"/>
        </w:rPr>
        <w:t>Kramer, I., &amp; Mau</w:t>
      </w:r>
      <w:r w:rsidR="008C33A7" w:rsidRPr="006A0D9A">
        <w:rPr>
          <w:rFonts w:ascii="Arial" w:hAnsi="Arial" w:cs="Arial"/>
          <w:sz w:val="20"/>
          <w:szCs w:val="20"/>
        </w:rPr>
        <w:t xml:space="preserve">, Y. (2023). Review: Modeling the effects of salinity and sodicity in agricultural systems. </w:t>
      </w:r>
      <w:r w:rsidR="008C33A7" w:rsidRPr="006A0D9A">
        <w:rPr>
          <w:rFonts w:ascii="Arial" w:hAnsi="Arial" w:cs="Arial"/>
          <w:i/>
          <w:iCs/>
          <w:sz w:val="20"/>
          <w:szCs w:val="20"/>
        </w:rPr>
        <w:t>Water Resources Research</w:t>
      </w:r>
      <w:r w:rsidR="008C33A7" w:rsidRPr="006A0D9A">
        <w:rPr>
          <w:rFonts w:ascii="Arial" w:hAnsi="Arial" w:cs="Arial"/>
          <w:sz w:val="20"/>
          <w:szCs w:val="20"/>
        </w:rPr>
        <w:t xml:space="preserve">, 59(6), e2023WR034750. https://doi.org/10.1029/2023WR034750 </w:t>
      </w:r>
    </w:p>
    <w:p w14:paraId="2AAF6D66" w14:textId="77777777" w:rsidR="0011707A" w:rsidRPr="006A0D9A" w:rsidRDefault="0011707A" w:rsidP="0011707A">
      <w:pPr>
        <w:widowControl w:val="0"/>
        <w:autoSpaceDE w:val="0"/>
        <w:autoSpaceDN w:val="0"/>
        <w:adjustRightInd w:val="0"/>
        <w:spacing w:before="120" w:line="240" w:lineRule="auto"/>
        <w:ind w:left="567" w:hanging="567"/>
        <w:jc w:val="both"/>
        <w:rPr>
          <w:rFonts w:ascii="Arial" w:hAnsi="Arial" w:cs="Arial"/>
          <w:sz w:val="20"/>
          <w:szCs w:val="20"/>
        </w:rPr>
      </w:pPr>
      <w:r w:rsidRPr="006A0D9A">
        <w:rPr>
          <w:rFonts w:ascii="Arial" w:hAnsi="Arial" w:cs="Arial"/>
          <w:sz w:val="20"/>
          <w:szCs w:val="20"/>
        </w:rPr>
        <w:t xml:space="preserve">Obijianya, C. C., Yakamercan, E., Karimi, M., Veluru, S., Simko, I., Eshkabilov, S., et al. (2025). Agricultural irrigation using treated wastewater: Challenges and opportunities. </w:t>
      </w:r>
      <w:r w:rsidRPr="006A0D9A">
        <w:rPr>
          <w:rFonts w:ascii="Arial" w:hAnsi="Arial" w:cs="Arial"/>
          <w:i/>
          <w:iCs/>
          <w:sz w:val="20"/>
          <w:szCs w:val="20"/>
        </w:rPr>
        <w:t>Water</w:t>
      </w:r>
      <w:r w:rsidRPr="006A0D9A">
        <w:rPr>
          <w:rFonts w:ascii="Arial" w:hAnsi="Arial" w:cs="Arial"/>
          <w:sz w:val="20"/>
          <w:szCs w:val="20"/>
        </w:rPr>
        <w:t xml:space="preserve">, 17(14), 2083. https://doi.org/10.3390/w17142083 </w:t>
      </w:r>
    </w:p>
    <w:p w14:paraId="67B7A896" w14:textId="77777777" w:rsidR="006A0D9A" w:rsidRPr="00F504AF" w:rsidRDefault="006A0D9A" w:rsidP="006A0D9A">
      <w:pPr>
        <w:widowControl w:val="0"/>
        <w:autoSpaceDE w:val="0"/>
        <w:autoSpaceDN w:val="0"/>
        <w:adjustRightInd w:val="0"/>
        <w:spacing w:before="120" w:line="240" w:lineRule="auto"/>
        <w:ind w:left="567" w:hanging="567"/>
        <w:jc w:val="both"/>
        <w:rPr>
          <w:rFonts w:ascii="Arial" w:hAnsi="Arial" w:cs="Arial"/>
          <w:sz w:val="20"/>
          <w:szCs w:val="20"/>
          <w:lang w:val="fr-FR"/>
        </w:rPr>
      </w:pPr>
      <w:r w:rsidRPr="00F504AF">
        <w:rPr>
          <w:rFonts w:ascii="Arial" w:hAnsi="Arial" w:cs="Arial"/>
          <w:sz w:val="20"/>
          <w:szCs w:val="20"/>
        </w:rPr>
        <w:t xml:space="preserve">Ofori, S., Abebrese, D. K., Růžičková, I., &amp; Wanner, J. (2024). </w:t>
      </w:r>
      <w:r w:rsidRPr="006A0D9A">
        <w:rPr>
          <w:rFonts w:ascii="Arial" w:hAnsi="Arial" w:cs="Arial"/>
          <w:sz w:val="20"/>
          <w:szCs w:val="20"/>
        </w:rPr>
        <w:t xml:space="preserve">Reuse of Treated Wastewater for Crop Irrigation: Water Suitability, Fertilization Potential, and Impact on Selected Soil Physicochemical Properties. </w:t>
      </w:r>
      <w:r w:rsidRPr="00F504AF">
        <w:rPr>
          <w:rFonts w:ascii="Arial" w:hAnsi="Arial" w:cs="Arial"/>
          <w:sz w:val="20"/>
          <w:szCs w:val="20"/>
          <w:lang w:val="fr-FR"/>
        </w:rPr>
        <w:t>Water, 16(3), 484.</w:t>
      </w:r>
    </w:p>
    <w:p w14:paraId="33E9FAEC" w14:textId="10A14858" w:rsidR="00C73FD3" w:rsidRPr="006A0D9A" w:rsidRDefault="00C73FD3" w:rsidP="00BB542F">
      <w:pPr>
        <w:widowControl w:val="0"/>
        <w:autoSpaceDE w:val="0"/>
        <w:autoSpaceDN w:val="0"/>
        <w:adjustRightInd w:val="0"/>
        <w:spacing w:before="120" w:line="240" w:lineRule="auto"/>
        <w:ind w:left="567" w:hanging="567"/>
        <w:jc w:val="both"/>
        <w:rPr>
          <w:rFonts w:ascii="Arial" w:hAnsi="Arial" w:cs="Arial"/>
          <w:noProof/>
          <w:sz w:val="20"/>
          <w:szCs w:val="20"/>
          <w:lang w:val="fr-FR"/>
        </w:rPr>
      </w:pPr>
      <w:r w:rsidRPr="006A0D9A">
        <w:rPr>
          <w:rFonts w:ascii="Arial" w:hAnsi="Arial" w:cs="Arial"/>
          <w:noProof/>
          <w:sz w:val="20"/>
          <w:szCs w:val="20"/>
          <w:lang w:val="fr-FR"/>
        </w:rPr>
        <w:t xml:space="preserve">Ouédraogo, R. A., Rayangnéwendé, A., Pooda, L., Kambiré, F. C., &amp; Koné, M. (2020). Risques de pollution environnementale par l’utilisation des pesticides en maraîchage : cas des exploitations de Sakaby et de Dogona à Bobo-Dioulasso. </w:t>
      </w:r>
      <w:r w:rsidRPr="006A0D9A">
        <w:rPr>
          <w:rFonts w:ascii="Arial" w:hAnsi="Arial" w:cs="Arial"/>
          <w:i/>
          <w:iCs/>
          <w:noProof/>
          <w:sz w:val="20"/>
          <w:szCs w:val="20"/>
          <w:lang w:val="fr-FR"/>
        </w:rPr>
        <w:t>Sciences naturelles et appliquées</w:t>
      </w:r>
      <w:r w:rsidRPr="006A0D9A">
        <w:rPr>
          <w:rFonts w:ascii="Arial" w:hAnsi="Arial" w:cs="Arial"/>
          <w:noProof/>
          <w:sz w:val="20"/>
          <w:szCs w:val="20"/>
          <w:lang w:val="fr-FR"/>
        </w:rPr>
        <w:t xml:space="preserve">, </w:t>
      </w:r>
      <w:r w:rsidRPr="006A0D9A">
        <w:rPr>
          <w:rFonts w:ascii="Arial" w:hAnsi="Arial" w:cs="Arial"/>
          <w:i/>
          <w:iCs/>
          <w:noProof/>
          <w:sz w:val="20"/>
          <w:szCs w:val="20"/>
          <w:lang w:val="fr-FR"/>
        </w:rPr>
        <w:t>39</w:t>
      </w:r>
      <w:r w:rsidRPr="006A0D9A">
        <w:rPr>
          <w:rFonts w:ascii="Arial" w:hAnsi="Arial" w:cs="Arial"/>
          <w:noProof/>
          <w:sz w:val="20"/>
          <w:szCs w:val="20"/>
          <w:lang w:val="fr-FR"/>
        </w:rPr>
        <w:t>(2-1), 131–147.</w:t>
      </w:r>
    </w:p>
    <w:p w14:paraId="5F43B771" w14:textId="462B6188" w:rsidR="00F2390B" w:rsidRPr="006A0D9A" w:rsidRDefault="00833E12" w:rsidP="00BB542F">
      <w:pPr>
        <w:widowControl w:val="0"/>
        <w:autoSpaceDE w:val="0"/>
        <w:autoSpaceDN w:val="0"/>
        <w:adjustRightInd w:val="0"/>
        <w:spacing w:before="120" w:line="240" w:lineRule="auto"/>
        <w:ind w:left="567" w:hanging="567"/>
        <w:jc w:val="both"/>
        <w:rPr>
          <w:rFonts w:ascii="Arial" w:hAnsi="Arial" w:cs="Arial"/>
          <w:noProof/>
          <w:sz w:val="20"/>
          <w:szCs w:val="20"/>
        </w:rPr>
      </w:pPr>
      <w:r w:rsidRPr="006A0D9A">
        <w:rPr>
          <w:rFonts w:ascii="Arial" w:hAnsi="Arial" w:cs="Arial"/>
          <w:noProof/>
          <w:sz w:val="20"/>
          <w:szCs w:val="20"/>
          <w:lang w:val="fr-FR"/>
        </w:rPr>
        <w:t>Purwar, D., Sliuzas, R., &amp; Flacke</w:t>
      </w:r>
      <w:r w:rsidR="00EA3334" w:rsidRPr="006A0D9A">
        <w:rPr>
          <w:rFonts w:ascii="Arial" w:hAnsi="Arial" w:cs="Arial"/>
          <w:noProof/>
          <w:sz w:val="20"/>
          <w:szCs w:val="20"/>
          <w:lang w:val="fr-FR"/>
        </w:rPr>
        <w:t xml:space="preserve">, J. (2020). </w:t>
      </w:r>
      <w:r w:rsidR="00EA3334" w:rsidRPr="006A0D9A">
        <w:rPr>
          <w:rFonts w:ascii="Arial" w:hAnsi="Arial" w:cs="Arial"/>
          <w:noProof/>
          <w:sz w:val="20"/>
          <w:szCs w:val="20"/>
        </w:rPr>
        <w:t xml:space="preserve">Assessment of cascading effects of typhoons on water and sanitation services: A case study of informal settlements in Malabon, Philippines. </w:t>
      </w:r>
      <w:r w:rsidR="00EA3334" w:rsidRPr="006A0D9A">
        <w:rPr>
          <w:rFonts w:ascii="Arial" w:hAnsi="Arial" w:cs="Arial"/>
          <w:i/>
          <w:iCs/>
          <w:noProof/>
          <w:sz w:val="20"/>
          <w:szCs w:val="20"/>
        </w:rPr>
        <w:t xml:space="preserve">International Journal </w:t>
      </w:r>
      <w:r w:rsidR="00EA3334" w:rsidRPr="006A0D9A">
        <w:rPr>
          <w:rFonts w:ascii="Arial" w:hAnsi="Arial" w:cs="Arial"/>
          <w:i/>
          <w:iCs/>
          <w:noProof/>
          <w:sz w:val="20"/>
          <w:szCs w:val="20"/>
        </w:rPr>
        <w:lastRenderedPageBreak/>
        <w:t>of Disaster Risk Reduction</w:t>
      </w:r>
      <w:r w:rsidR="00EA3334" w:rsidRPr="006A0D9A">
        <w:rPr>
          <w:rFonts w:ascii="Arial" w:hAnsi="Arial" w:cs="Arial"/>
          <w:noProof/>
          <w:sz w:val="20"/>
          <w:szCs w:val="20"/>
        </w:rPr>
        <w:t xml:space="preserve">, </w:t>
      </w:r>
      <w:r w:rsidR="00EA3334" w:rsidRPr="006A0D9A">
        <w:rPr>
          <w:rFonts w:ascii="Arial" w:hAnsi="Arial" w:cs="Arial"/>
          <w:i/>
          <w:iCs/>
          <w:noProof/>
          <w:sz w:val="20"/>
          <w:szCs w:val="20"/>
        </w:rPr>
        <w:t>51</w:t>
      </w:r>
      <w:r w:rsidR="00EA3334" w:rsidRPr="006A0D9A">
        <w:rPr>
          <w:rFonts w:ascii="Arial" w:hAnsi="Arial" w:cs="Arial"/>
          <w:noProof/>
          <w:sz w:val="20"/>
          <w:szCs w:val="20"/>
        </w:rPr>
        <w:t>. https://doi.org/10.1016/j.ijdrr.2020.101755</w:t>
      </w:r>
      <w:r w:rsidR="00F2390B" w:rsidRPr="006A0D9A">
        <w:rPr>
          <w:rFonts w:ascii="Arial" w:hAnsi="Arial" w:cs="Arial"/>
          <w:sz w:val="20"/>
          <w:szCs w:val="20"/>
        </w:rPr>
        <w:fldChar w:fldCharType="begin" w:fldLock="1"/>
      </w:r>
      <w:r w:rsidR="00F2390B" w:rsidRPr="006A0D9A">
        <w:rPr>
          <w:rFonts w:ascii="Arial" w:hAnsi="Arial" w:cs="Arial"/>
          <w:sz w:val="20"/>
          <w:szCs w:val="20"/>
        </w:rPr>
        <w:instrText xml:space="preserve">ADDIN Mendeley Bibliography CSL_BIBLIOGRAPHY </w:instrText>
      </w:r>
      <w:r w:rsidR="00F2390B" w:rsidRPr="006A0D9A">
        <w:rPr>
          <w:rFonts w:ascii="Arial" w:hAnsi="Arial" w:cs="Arial"/>
          <w:sz w:val="20"/>
          <w:szCs w:val="20"/>
        </w:rPr>
        <w:fldChar w:fldCharType="separate"/>
      </w:r>
    </w:p>
    <w:p w14:paraId="4782EA7F" w14:textId="77777777" w:rsidR="0011707A" w:rsidRPr="006A0D9A" w:rsidRDefault="0011707A" w:rsidP="0011707A">
      <w:pPr>
        <w:widowControl w:val="0"/>
        <w:autoSpaceDE w:val="0"/>
        <w:autoSpaceDN w:val="0"/>
        <w:adjustRightInd w:val="0"/>
        <w:spacing w:before="120" w:line="240" w:lineRule="auto"/>
        <w:ind w:left="567" w:hanging="567"/>
        <w:jc w:val="both"/>
        <w:rPr>
          <w:rFonts w:ascii="Arial" w:hAnsi="Arial" w:cs="Arial"/>
          <w:sz w:val="20"/>
          <w:szCs w:val="20"/>
        </w:rPr>
      </w:pPr>
      <w:r w:rsidRPr="006A0D9A">
        <w:rPr>
          <w:rFonts w:ascii="Arial" w:hAnsi="Arial" w:cs="Arial"/>
          <w:sz w:val="20"/>
          <w:szCs w:val="20"/>
        </w:rPr>
        <w:t xml:space="preserve">Kpoda, N. W., Oueda, A., Somé, Y. S. C., Cissé, G., Maïga, A. H., &amp; Kabré, G. B. (2015). Physicochemical and parasitological quality of vegetables irrigation water in Ouagadougou city, Burkina-Faso. </w:t>
      </w:r>
      <w:r w:rsidRPr="006A0D9A">
        <w:rPr>
          <w:rFonts w:ascii="Arial" w:hAnsi="Arial" w:cs="Arial"/>
          <w:i/>
          <w:iCs/>
          <w:sz w:val="20"/>
          <w:szCs w:val="20"/>
        </w:rPr>
        <w:t>African Journal of Microbiology Research</w:t>
      </w:r>
      <w:r w:rsidRPr="006A0D9A">
        <w:rPr>
          <w:rFonts w:ascii="Arial" w:hAnsi="Arial" w:cs="Arial"/>
          <w:sz w:val="20"/>
          <w:szCs w:val="20"/>
        </w:rPr>
        <w:t>, 9(5), 307–317. https://doi.org/10.5897/AJMR2014.7295</w:t>
      </w:r>
    </w:p>
    <w:p w14:paraId="370F3340" w14:textId="23F100E7" w:rsidR="00EA3334" w:rsidRPr="006A0D9A" w:rsidRDefault="000D28E0" w:rsidP="00BB542F">
      <w:pPr>
        <w:widowControl w:val="0"/>
        <w:autoSpaceDE w:val="0"/>
        <w:autoSpaceDN w:val="0"/>
        <w:adjustRightInd w:val="0"/>
        <w:spacing w:before="120" w:line="240" w:lineRule="auto"/>
        <w:ind w:left="567" w:hanging="567"/>
        <w:jc w:val="both"/>
        <w:rPr>
          <w:rFonts w:ascii="Arial" w:hAnsi="Arial" w:cs="Arial"/>
          <w:noProof/>
          <w:sz w:val="20"/>
          <w:szCs w:val="20"/>
        </w:rPr>
      </w:pPr>
      <w:r w:rsidRPr="006A0D9A">
        <w:rPr>
          <w:rFonts w:ascii="Arial" w:hAnsi="Arial" w:cs="Arial"/>
          <w:noProof/>
          <w:sz w:val="20"/>
          <w:szCs w:val="20"/>
        </w:rPr>
        <w:t xml:space="preserve">Sauret, E. G., Dende, L. Z., Compaoré, H. M., Augustin, M. A. K., Sadraki, Y., Koné, M., et al. (2023). Contribution of end-member mixing analysis model to characterize the sources responsible for urban river water quality: Case of Houet River in Burkina Faso. </w:t>
      </w:r>
      <w:r w:rsidRPr="006A0D9A">
        <w:rPr>
          <w:rFonts w:ascii="Arial" w:hAnsi="Arial" w:cs="Arial"/>
          <w:i/>
          <w:iCs/>
          <w:noProof/>
          <w:sz w:val="20"/>
          <w:szCs w:val="20"/>
        </w:rPr>
        <w:t>American Journal of Water Resources, 11</w:t>
      </w:r>
      <w:r w:rsidRPr="006A0D9A">
        <w:rPr>
          <w:rFonts w:ascii="Arial" w:hAnsi="Arial" w:cs="Arial"/>
          <w:noProof/>
          <w:sz w:val="20"/>
          <w:szCs w:val="20"/>
        </w:rPr>
        <w:t xml:space="preserve">(1), 1–10. </w:t>
      </w:r>
      <w:hyperlink r:id="rId19" w:tgtFrame="_new" w:history="1">
        <w:r w:rsidRPr="006A0D9A">
          <w:rPr>
            <w:rStyle w:val="Lienhypertexte"/>
            <w:rFonts w:ascii="Arial" w:hAnsi="Arial" w:cs="Arial"/>
            <w:noProof/>
            <w:color w:val="auto"/>
            <w:sz w:val="20"/>
            <w:szCs w:val="20"/>
            <w:u w:val="none"/>
          </w:rPr>
          <w:t>https://doi.org/10.12691/ajwr-11-1-1</w:t>
        </w:r>
      </w:hyperlink>
      <w:r w:rsidR="00F2390B" w:rsidRPr="006A0D9A">
        <w:rPr>
          <w:rFonts w:ascii="Arial" w:hAnsi="Arial" w:cs="Arial"/>
          <w:sz w:val="20"/>
          <w:szCs w:val="20"/>
        </w:rPr>
        <w:fldChar w:fldCharType="end"/>
      </w:r>
    </w:p>
    <w:p w14:paraId="47821CCE" w14:textId="008E3604" w:rsidR="00EA3334" w:rsidRPr="006A0D9A" w:rsidRDefault="00833E12" w:rsidP="00BB542F">
      <w:pPr>
        <w:widowControl w:val="0"/>
        <w:autoSpaceDE w:val="0"/>
        <w:autoSpaceDN w:val="0"/>
        <w:adjustRightInd w:val="0"/>
        <w:spacing w:before="120" w:line="240" w:lineRule="auto"/>
        <w:ind w:left="567" w:hanging="567"/>
        <w:jc w:val="both"/>
        <w:rPr>
          <w:rFonts w:ascii="Arial" w:hAnsi="Arial" w:cs="Arial"/>
          <w:noProof/>
          <w:sz w:val="20"/>
          <w:szCs w:val="20"/>
        </w:rPr>
      </w:pPr>
      <w:r w:rsidRPr="006A0D9A">
        <w:rPr>
          <w:rFonts w:ascii="Arial" w:hAnsi="Arial" w:cs="Arial"/>
          <w:noProof/>
          <w:sz w:val="20"/>
          <w:szCs w:val="20"/>
        </w:rPr>
        <w:t>Senou, I., Nacanabo, B., &amp; Nacro</w:t>
      </w:r>
      <w:r w:rsidR="004434D9" w:rsidRPr="006A0D9A">
        <w:rPr>
          <w:rFonts w:ascii="Arial" w:hAnsi="Arial" w:cs="Arial"/>
          <w:noProof/>
          <w:sz w:val="20"/>
          <w:szCs w:val="20"/>
        </w:rPr>
        <w:t>,</w:t>
      </w:r>
      <w:r w:rsidR="00EA3334" w:rsidRPr="006A0D9A">
        <w:rPr>
          <w:rFonts w:ascii="Arial" w:hAnsi="Arial" w:cs="Arial"/>
          <w:noProof/>
          <w:sz w:val="20"/>
          <w:szCs w:val="20"/>
        </w:rPr>
        <w:t xml:space="preserve"> H. B. (2023). </w:t>
      </w:r>
      <w:r w:rsidR="00EA3334" w:rsidRPr="006A0D9A">
        <w:rPr>
          <w:rFonts w:ascii="Arial" w:hAnsi="Arial" w:cs="Arial"/>
          <w:noProof/>
          <w:sz w:val="20"/>
          <w:szCs w:val="20"/>
          <w:lang w:val="fr-FR"/>
        </w:rPr>
        <w:t xml:space="preserve">Évaluation et risque sanitaire de la bioaccumulation de métaux lourds (cadmium, cuivre, plomb et le zinc) chez le chou (Brassica Oleracea L.) produit en agriculture urbaine : Cas du périmètre maraicher de Dogona (Bobo-Dioulasso). </w:t>
      </w:r>
      <w:r w:rsidR="00522161" w:rsidRPr="006A0D9A">
        <w:rPr>
          <w:rFonts w:ascii="Arial" w:hAnsi="Arial" w:cs="Arial"/>
          <w:noProof/>
          <w:sz w:val="20"/>
          <w:szCs w:val="20"/>
          <w:lang w:val="fr-FR"/>
        </w:rPr>
        <w:t xml:space="preserve"> </w:t>
      </w:r>
      <w:r w:rsidR="00522161" w:rsidRPr="006A0D9A">
        <w:rPr>
          <w:rFonts w:ascii="Arial" w:hAnsi="Arial" w:cs="Arial"/>
          <w:noProof/>
          <w:sz w:val="20"/>
          <w:szCs w:val="20"/>
        </w:rPr>
        <w:t xml:space="preserve">Journal of </w:t>
      </w:r>
      <w:r w:rsidR="00EA3334" w:rsidRPr="006A0D9A">
        <w:rPr>
          <w:rFonts w:ascii="Arial" w:hAnsi="Arial" w:cs="Arial"/>
          <w:i/>
          <w:iCs/>
          <w:noProof/>
          <w:sz w:val="20"/>
          <w:szCs w:val="20"/>
        </w:rPr>
        <w:t>Applied Biosciences</w:t>
      </w:r>
      <w:r w:rsidR="00522161" w:rsidRPr="006A0D9A">
        <w:rPr>
          <w:rFonts w:ascii="Arial" w:hAnsi="Arial" w:cs="Arial"/>
          <w:i/>
          <w:iCs/>
          <w:noProof/>
          <w:sz w:val="20"/>
          <w:szCs w:val="20"/>
        </w:rPr>
        <w:t>. ISSN: 1997-5902.</w:t>
      </w:r>
      <w:r w:rsidR="00EA3334" w:rsidRPr="006A0D9A">
        <w:rPr>
          <w:rFonts w:ascii="Arial" w:hAnsi="Arial" w:cs="Arial"/>
          <w:i/>
          <w:iCs/>
          <w:noProof/>
          <w:sz w:val="20"/>
          <w:szCs w:val="20"/>
        </w:rPr>
        <w:t>188</w:t>
      </w:r>
      <w:r w:rsidR="00EA3334" w:rsidRPr="006A0D9A">
        <w:rPr>
          <w:rFonts w:ascii="Arial" w:hAnsi="Arial" w:cs="Arial"/>
          <w:noProof/>
          <w:sz w:val="20"/>
          <w:szCs w:val="20"/>
        </w:rPr>
        <w:t>, 19783–19798.</w:t>
      </w:r>
      <w:r w:rsidR="00F50EE4" w:rsidRPr="006A0D9A">
        <w:rPr>
          <w:rFonts w:ascii="Arial" w:hAnsi="Arial" w:cs="Arial"/>
          <w:noProof/>
          <w:sz w:val="20"/>
          <w:szCs w:val="20"/>
        </w:rPr>
        <w:t xml:space="preserve"> https://doi.org/10.35759/JABs.188.1</w:t>
      </w:r>
      <w:r w:rsidR="00722C34" w:rsidRPr="006A0D9A">
        <w:rPr>
          <w:rFonts w:ascii="Arial" w:hAnsi="Arial" w:cs="Arial"/>
          <w:noProof/>
          <w:sz w:val="20"/>
          <w:szCs w:val="20"/>
        </w:rPr>
        <w:t>.</w:t>
      </w:r>
      <w:r w:rsidR="00F50EE4" w:rsidRPr="006A0D9A">
        <w:rPr>
          <w:rFonts w:ascii="Arial" w:hAnsi="Arial" w:cs="Arial"/>
          <w:noProof/>
          <w:sz w:val="20"/>
          <w:szCs w:val="20"/>
        </w:rPr>
        <w:t xml:space="preserve"> </w:t>
      </w:r>
    </w:p>
    <w:p w14:paraId="6597D696" w14:textId="168515D4" w:rsidR="00EA3334" w:rsidRPr="006A0D9A" w:rsidRDefault="00833E12" w:rsidP="00BB542F">
      <w:pPr>
        <w:widowControl w:val="0"/>
        <w:autoSpaceDE w:val="0"/>
        <w:autoSpaceDN w:val="0"/>
        <w:adjustRightInd w:val="0"/>
        <w:spacing w:before="120" w:line="240" w:lineRule="auto"/>
        <w:ind w:left="567" w:hanging="567"/>
        <w:jc w:val="both"/>
        <w:rPr>
          <w:rFonts w:ascii="Arial" w:hAnsi="Arial" w:cs="Arial"/>
          <w:noProof/>
          <w:sz w:val="20"/>
          <w:szCs w:val="20"/>
        </w:rPr>
      </w:pPr>
      <w:r w:rsidRPr="006A0D9A">
        <w:rPr>
          <w:rFonts w:ascii="Arial" w:hAnsi="Arial" w:cs="Arial"/>
          <w:noProof/>
          <w:sz w:val="20"/>
          <w:szCs w:val="20"/>
        </w:rPr>
        <w:t>Shokri, N., Hassani, A., &amp; Sahimi</w:t>
      </w:r>
      <w:r w:rsidR="00EA3334" w:rsidRPr="006A0D9A">
        <w:rPr>
          <w:rFonts w:ascii="Arial" w:hAnsi="Arial" w:cs="Arial"/>
          <w:noProof/>
          <w:sz w:val="20"/>
          <w:szCs w:val="20"/>
        </w:rPr>
        <w:t xml:space="preserve">, M. (2024). Multi-Scale Soil Salinization Dynamics From Global to Pore Scale: A Review. </w:t>
      </w:r>
      <w:r w:rsidR="00EA3334" w:rsidRPr="006A0D9A">
        <w:rPr>
          <w:rFonts w:ascii="Arial" w:hAnsi="Arial" w:cs="Arial"/>
          <w:i/>
          <w:iCs/>
          <w:noProof/>
          <w:sz w:val="20"/>
          <w:szCs w:val="20"/>
        </w:rPr>
        <w:t>Reviews of Geophysics</w:t>
      </w:r>
      <w:r w:rsidR="00EA3334" w:rsidRPr="006A0D9A">
        <w:rPr>
          <w:rFonts w:ascii="Arial" w:hAnsi="Arial" w:cs="Arial"/>
          <w:noProof/>
          <w:sz w:val="20"/>
          <w:szCs w:val="20"/>
        </w:rPr>
        <w:t xml:space="preserve">, </w:t>
      </w:r>
      <w:r w:rsidR="00EA3334" w:rsidRPr="006A0D9A">
        <w:rPr>
          <w:rFonts w:ascii="Arial" w:hAnsi="Arial" w:cs="Arial"/>
          <w:i/>
          <w:iCs/>
          <w:noProof/>
          <w:sz w:val="20"/>
          <w:szCs w:val="20"/>
        </w:rPr>
        <w:t>62</w:t>
      </w:r>
      <w:r w:rsidR="00EA3334" w:rsidRPr="006A0D9A">
        <w:rPr>
          <w:rFonts w:ascii="Arial" w:hAnsi="Arial" w:cs="Arial"/>
          <w:noProof/>
          <w:sz w:val="20"/>
          <w:szCs w:val="20"/>
        </w:rPr>
        <w:t>(4), 1–80. https://doi.org/10.1029/2023RG000804</w:t>
      </w:r>
    </w:p>
    <w:p w14:paraId="546F6FE1" w14:textId="77777777" w:rsidR="0011707A" w:rsidRPr="006A0D9A" w:rsidRDefault="0011707A" w:rsidP="0011707A">
      <w:pPr>
        <w:widowControl w:val="0"/>
        <w:autoSpaceDE w:val="0"/>
        <w:autoSpaceDN w:val="0"/>
        <w:adjustRightInd w:val="0"/>
        <w:spacing w:before="120" w:line="240" w:lineRule="auto"/>
        <w:ind w:left="567" w:hanging="567"/>
        <w:jc w:val="both"/>
        <w:rPr>
          <w:rFonts w:ascii="Arial" w:hAnsi="Arial" w:cs="Arial"/>
          <w:noProof/>
          <w:sz w:val="20"/>
          <w:szCs w:val="20"/>
          <w:lang w:val="fr-FR"/>
        </w:rPr>
      </w:pPr>
      <w:r w:rsidRPr="006A0D9A">
        <w:rPr>
          <w:rFonts w:ascii="Arial" w:hAnsi="Arial" w:cs="Arial"/>
          <w:noProof/>
          <w:sz w:val="20"/>
          <w:szCs w:val="20"/>
        </w:rPr>
        <w:t xml:space="preserve">Soumbougma, A., Kadeba, A., Compaoré, N. F., &amp; Boussim, J. I. (2020). </w:t>
      </w:r>
      <w:r w:rsidRPr="006A0D9A">
        <w:rPr>
          <w:rFonts w:ascii="Arial" w:hAnsi="Arial" w:cs="Arial"/>
          <w:noProof/>
          <w:sz w:val="20"/>
          <w:szCs w:val="20"/>
          <w:lang w:val="fr-FR"/>
        </w:rPr>
        <w:t xml:space="preserve">Caractérisation des effluents industriels et effets de leur utilisation agricole sur la santé des populations : Cas de la commune de Bobo-Dioulasso. </w:t>
      </w:r>
      <w:r w:rsidRPr="006A0D9A">
        <w:rPr>
          <w:rFonts w:ascii="Arial" w:hAnsi="Arial" w:cs="Arial"/>
          <w:i/>
          <w:iCs/>
          <w:noProof/>
          <w:sz w:val="20"/>
          <w:szCs w:val="20"/>
          <w:lang w:val="fr-FR"/>
        </w:rPr>
        <w:t>Revue Ivoirienne des Sciences et Technologie</w:t>
      </w:r>
      <w:r w:rsidRPr="006A0D9A">
        <w:rPr>
          <w:rFonts w:ascii="Arial" w:hAnsi="Arial" w:cs="Arial"/>
          <w:noProof/>
          <w:sz w:val="20"/>
          <w:szCs w:val="20"/>
          <w:lang w:val="fr-FR"/>
        </w:rPr>
        <w:t>, 36, 52–68.</w:t>
      </w:r>
    </w:p>
    <w:p w14:paraId="693DE328" w14:textId="0EB3C5C3" w:rsidR="00780B83" w:rsidRPr="006A0D9A" w:rsidRDefault="00780B83" w:rsidP="00BB542F">
      <w:pPr>
        <w:widowControl w:val="0"/>
        <w:autoSpaceDE w:val="0"/>
        <w:autoSpaceDN w:val="0"/>
        <w:adjustRightInd w:val="0"/>
        <w:spacing w:before="120" w:line="240" w:lineRule="auto"/>
        <w:ind w:left="567" w:hanging="567"/>
        <w:jc w:val="both"/>
        <w:rPr>
          <w:rFonts w:ascii="Arial" w:hAnsi="Arial" w:cs="Arial"/>
          <w:sz w:val="20"/>
          <w:szCs w:val="20"/>
          <w:lang w:val="fr-FR"/>
        </w:rPr>
      </w:pPr>
      <w:r w:rsidRPr="006A0D9A">
        <w:rPr>
          <w:rFonts w:ascii="Arial" w:hAnsi="Arial" w:cs="Arial"/>
          <w:sz w:val="20"/>
          <w:szCs w:val="20"/>
          <w:lang w:val="fr-FR"/>
        </w:rPr>
        <w:t xml:space="preserve">UN-WATER. (2021). </w:t>
      </w:r>
      <w:r w:rsidRPr="006A0D9A">
        <w:rPr>
          <w:rFonts w:ascii="Arial" w:hAnsi="Arial" w:cs="Arial"/>
          <w:i/>
          <w:iCs/>
          <w:sz w:val="20"/>
          <w:szCs w:val="20"/>
          <w:lang w:val="fr-FR"/>
        </w:rPr>
        <w:t>Summary progress update 2021: SDG 6—Water and sanitation for all</w:t>
      </w:r>
      <w:r w:rsidRPr="006A0D9A">
        <w:rPr>
          <w:rFonts w:ascii="Arial" w:hAnsi="Arial" w:cs="Arial"/>
          <w:sz w:val="20"/>
          <w:szCs w:val="20"/>
          <w:lang w:val="fr-FR"/>
        </w:rPr>
        <w:t xml:space="preserve"> (Version July 2021). UN-Water. </w:t>
      </w:r>
    </w:p>
    <w:p w14:paraId="21B68662" w14:textId="5CF547DF" w:rsidR="00443EC2" w:rsidRPr="006A0D9A" w:rsidRDefault="00443EC2" w:rsidP="007D0BD7">
      <w:pPr>
        <w:widowControl w:val="0"/>
        <w:autoSpaceDE w:val="0"/>
        <w:autoSpaceDN w:val="0"/>
        <w:adjustRightInd w:val="0"/>
        <w:spacing w:after="160" w:line="240" w:lineRule="auto"/>
        <w:ind w:left="480" w:hanging="480"/>
        <w:jc w:val="both"/>
        <w:rPr>
          <w:rFonts w:ascii="Arial" w:hAnsi="Arial" w:cs="Arial"/>
          <w:noProof/>
          <w:sz w:val="20"/>
          <w:szCs w:val="20"/>
        </w:rPr>
      </w:pPr>
      <w:r w:rsidRPr="006A0D9A">
        <w:rPr>
          <w:rFonts w:ascii="Arial" w:hAnsi="Arial" w:cs="Arial"/>
          <w:sz w:val="20"/>
          <w:szCs w:val="20"/>
          <w:lang w:val="en-GB"/>
        </w:rPr>
        <w:t>US Salinity Laboratory Staff</w:t>
      </w:r>
      <w:r w:rsidRPr="006A0D9A">
        <w:rPr>
          <w:rFonts w:ascii="Arial" w:hAnsi="Arial" w:cs="Arial"/>
          <w:noProof/>
          <w:sz w:val="20"/>
          <w:szCs w:val="20"/>
        </w:rPr>
        <w:t xml:space="preserve">. (1954). The United States Weather Bureau. </w:t>
      </w:r>
      <w:r w:rsidRPr="006A0D9A">
        <w:rPr>
          <w:rFonts w:ascii="Arial" w:hAnsi="Arial" w:cs="Arial"/>
          <w:i/>
          <w:iCs/>
          <w:noProof/>
          <w:sz w:val="20"/>
          <w:szCs w:val="20"/>
        </w:rPr>
        <w:t>Science</w:t>
      </w:r>
      <w:r w:rsidRPr="006A0D9A">
        <w:rPr>
          <w:rFonts w:ascii="Arial" w:hAnsi="Arial" w:cs="Arial"/>
          <w:noProof/>
          <w:sz w:val="20"/>
          <w:szCs w:val="20"/>
        </w:rPr>
        <w:t xml:space="preserve">, </w:t>
      </w:r>
      <w:r w:rsidRPr="006A0D9A">
        <w:rPr>
          <w:rFonts w:ascii="Arial" w:hAnsi="Arial" w:cs="Arial"/>
          <w:i/>
          <w:iCs/>
          <w:noProof/>
          <w:sz w:val="20"/>
          <w:szCs w:val="20"/>
        </w:rPr>
        <w:t>120</w:t>
      </w:r>
      <w:r w:rsidRPr="006A0D9A">
        <w:rPr>
          <w:rFonts w:ascii="Arial" w:hAnsi="Arial" w:cs="Arial"/>
          <w:noProof/>
          <w:sz w:val="20"/>
          <w:szCs w:val="20"/>
        </w:rPr>
        <w:t xml:space="preserve">(3124). </w:t>
      </w:r>
      <w:r w:rsidRPr="006A0D9A">
        <w:rPr>
          <w:rFonts w:ascii="Arial" w:hAnsi="Arial" w:cs="Arial"/>
          <w:sz w:val="20"/>
          <w:szCs w:val="20"/>
        </w:rPr>
        <w:t>ISSN 1095-9203. is published by the American Association for the Advancement of Science. 1200 New York Avenue NW, Washington, DC 20005. The title Science is a registered trademark of AAAS.</w:t>
      </w:r>
      <w:r w:rsidRPr="006A0D9A">
        <w:rPr>
          <w:rFonts w:ascii="Arial" w:hAnsi="Arial" w:cs="Arial"/>
          <w:noProof/>
          <w:sz w:val="20"/>
          <w:szCs w:val="20"/>
        </w:rPr>
        <w:t xml:space="preserve"> https://doi.org/10.1126/science.120.3124.7a.</w:t>
      </w:r>
    </w:p>
    <w:p w14:paraId="12880754" w14:textId="1A006806" w:rsidR="006A0D9A" w:rsidRPr="00F504AF" w:rsidRDefault="006A0D9A" w:rsidP="006A0D9A">
      <w:pPr>
        <w:widowControl w:val="0"/>
        <w:autoSpaceDE w:val="0"/>
        <w:autoSpaceDN w:val="0"/>
        <w:adjustRightInd w:val="0"/>
        <w:spacing w:before="120" w:line="240" w:lineRule="auto"/>
        <w:ind w:left="567" w:hanging="567"/>
        <w:jc w:val="both"/>
        <w:rPr>
          <w:rFonts w:ascii="Arial" w:hAnsi="Arial" w:cs="Arial"/>
          <w:sz w:val="20"/>
          <w:szCs w:val="20"/>
          <w:lang w:val="fr-FR"/>
        </w:rPr>
      </w:pPr>
      <w:r w:rsidRPr="00F504AF">
        <w:rPr>
          <w:rFonts w:ascii="Arial" w:hAnsi="Arial" w:cs="Arial"/>
          <w:sz w:val="20"/>
          <w:szCs w:val="20"/>
        </w:rPr>
        <w:t xml:space="preserve">Vranešević, M., Zemunac, R., Grabić, J., &amp; Salvai, A. (2024). Hydrochemical Characteristics and Suitability Assessment of Groundwater Quality for Irrigation. </w:t>
      </w:r>
      <w:r w:rsidRPr="00F504AF">
        <w:rPr>
          <w:rFonts w:ascii="Arial" w:hAnsi="Arial" w:cs="Arial"/>
          <w:sz w:val="20"/>
          <w:szCs w:val="20"/>
          <w:lang w:val="fr-FR"/>
        </w:rPr>
        <w:t xml:space="preserve">Applied Sciences, 14(2), 615. </w:t>
      </w:r>
      <w:hyperlink r:id="rId20" w:history="1">
        <w:r w:rsidRPr="006F4032">
          <w:rPr>
            <w:rStyle w:val="Lienhypertexte"/>
            <w:rFonts w:ascii="Arial" w:hAnsi="Arial" w:cs="Arial"/>
            <w:color w:val="000000" w:themeColor="text1"/>
            <w:sz w:val="20"/>
            <w:szCs w:val="20"/>
            <w:u w:val="none"/>
            <w:lang w:val="fr-FR"/>
          </w:rPr>
          <w:t>https://doi.org/10.3390/app14020615</w:t>
        </w:r>
      </w:hyperlink>
      <w:r w:rsidRPr="006F4032">
        <w:rPr>
          <w:rFonts w:ascii="Arial" w:hAnsi="Arial" w:cs="Arial"/>
          <w:color w:val="000000" w:themeColor="text1"/>
          <w:sz w:val="20"/>
          <w:szCs w:val="20"/>
          <w:lang w:val="fr-FR"/>
        </w:rPr>
        <w:t>.</w:t>
      </w:r>
    </w:p>
    <w:p w14:paraId="17752569" w14:textId="468D90CD" w:rsidR="004874DC" w:rsidRDefault="00E14D4F" w:rsidP="001C56FF">
      <w:pPr>
        <w:widowControl w:val="0"/>
        <w:autoSpaceDE w:val="0"/>
        <w:autoSpaceDN w:val="0"/>
        <w:adjustRightInd w:val="0"/>
        <w:spacing w:before="120" w:line="240" w:lineRule="auto"/>
        <w:ind w:left="567" w:hanging="567"/>
        <w:jc w:val="both"/>
        <w:rPr>
          <w:rFonts w:ascii="Arial" w:hAnsi="Arial" w:cs="Arial"/>
          <w:sz w:val="20"/>
          <w:szCs w:val="20"/>
        </w:rPr>
      </w:pPr>
      <w:r w:rsidRPr="00E14D4F">
        <w:rPr>
          <w:rFonts w:ascii="Arial" w:hAnsi="Arial" w:cs="Arial"/>
          <w:sz w:val="20"/>
          <w:szCs w:val="20"/>
        </w:rPr>
        <w:t xml:space="preserve">Wilcox, L. V. (1955). </w:t>
      </w:r>
      <w:r w:rsidRPr="00E14D4F">
        <w:rPr>
          <w:rFonts w:ascii="Arial" w:hAnsi="Arial" w:cs="Arial"/>
          <w:i/>
          <w:iCs/>
          <w:sz w:val="20"/>
          <w:szCs w:val="20"/>
        </w:rPr>
        <w:t>Classification and use of irrigation waters</w:t>
      </w:r>
      <w:r w:rsidRPr="00E14D4F">
        <w:rPr>
          <w:rFonts w:ascii="Arial" w:hAnsi="Arial" w:cs="Arial"/>
          <w:sz w:val="20"/>
          <w:szCs w:val="20"/>
        </w:rPr>
        <w:t xml:space="preserve"> (U.S. Department of Agriculture Circular No. 969, 19 pp.). U.S. Department of Agriculture</w:t>
      </w:r>
      <w:r w:rsidR="00377818" w:rsidRPr="009F1497">
        <w:rPr>
          <w:rFonts w:ascii="Arial" w:hAnsi="Arial" w:cs="Arial"/>
          <w:noProof/>
          <w:sz w:val="20"/>
          <w:szCs w:val="20"/>
        </w:rPr>
        <w:t>.</w:t>
      </w:r>
      <w:r w:rsidR="00EA3334" w:rsidRPr="009F1497">
        <w:rPr>
          <w:rFonts w:ascii="Arial" w:hAnsi="Arial" w:cs="Arial"/>
          <w:sz w:val="20"/>
          <w:szCs w:val="20"/>
        </w:rPr>
        <w:fldChar w:fldCharType="end"/>
      </w:r>
    </w:p>
    <w:p w14:paraId="4B9E76C2" w14:textId="3CBCCA02" w:rsidR="00A378C0" w:rsidRPr="007D0BD7" w:rsidRDefault="00A378C0" w:rsidP="00A378C0">
      <w:pPr>
        <w:widowControl w:val="0"/>
        <w:autoSpaceDE w:val="0"/>
        <w:autoSpaceDN w:val="0"/>
        <w:adjustRightInd w:val="0"/>
        <w:spacing w:after="160" w:line="240" w:lineRule="auto"/>
        <w:ind w:left="480" w:hanging="480"/>
        <w:jc w:val="both"/>
        <w:rPr>
          <w:rFonts w:ascii="Arial" w:hAnsi="Arial" w:cs="Arial"/>
          <w:noProof/>
          <w:sz w:val="20"/>
          <w:szCs w:val="20"/>
        </w:rPr>
      </w:pPr>
      <w:r>
        <w:fldChar w:fldCharType="begin" w:fldLock="1"/>
      </w:r>
      <w:r>
        <w:instrText xml:space="preserve">ADDIN Mendeley Bibliography CSL_BIBLIOGRAPHY </w:instrText>
      </w:r>
      <w:r>
        <w:fldChar w:fldCharType="separate"/>
      </w:r>
      <w:r w:rsidRPr="00B20E32">
        <w:rPr>
          <w:rFonts w:ascii="Calibri" w:hAnsi="Calibri" w:cs="Calibri"/>
          <w:noProof/>
          <w:szCs w:val="24"/>
        </w:rPr>
        <w:t>Z</w:t>
      </w:r>
      <w:r w:rsidRPr="007D0BD7">
        <w:rPr>
          <w:rFonts w:ascii="Arial" w:hAnsi="Arial" w:cs="Arial"/>
          <w:noProof/>
          <w:sz w:val="20"/>
          <w:szCs w:val="20"/>
        </w:rPr>
        <w:t xml:space="preserve">ongo, N., Jean, D., Lompo, P., Dao, J., &amp; Sedogo, M. P. (2021). </w:t>
      </w:r>
      <w:r w:rsidRPr="007D0BD7">
        <w:rPr>
          <w:rFonts w:ascii="Arial" w:hAnsi="Arial" w:cs="Arial"/>
          <w:noProof/>
          <w:sz w:val="20"/>
          <w:szCs w:val="20"/>
          <w:lang w:val="fr-FR"/>
        </w:rPr>
        <w:t xml:space="preserve">L’amendement en gypse améliore les rendements du maïs sur un Lixisol affecté par la pollution saline-sodique Gypsum improves maize productivity of a saline-sodic affected Lixisol. </w:t>
      </w:r>
      <w:r w:rsidRPr="007D0BD7">
        <w:rPr>
          <w:rFonts w:ascii="Arial" w:hAnsi="Arial" w:cs="Arial"/>
          <w:noProof/>
          <w:sz w:val="20"/>
          <w:szCs w:val="20"/>
        </w:rPr>
        <w:t>Revue</w:t>
      </w:r>
      <w:r>
        <w:rPr>
          <w:rFonts w:ascii="Arial" w:hAnsi="Arial" w:cs="Arial"/>
          <w:noProof/>
          <w:sz w:val="20"/>
          <w:szCs w:val="20"/>
        </w:rPr>
        <w:t xml:space="preserve"> </w:t>
      </w:r>
      <w:r w:rsidRPr="007D0BD7">
        <w:rPr>
          <w:rFonts w:ascii="Arial" w:hAnsi="Arial" w:cs="Arial"/>
          <w:i/>
          <w:iCs/>
          <w:noProof/>
          <w:sz w:val="20"/>
          <w:szCs w:val="20"/>
        </w:rPr>
        <w:t>Science et Technique, Sciences Naturelles et Appliquées</w:t>
      </w:r>
      <w:r w:rsidRPr="007D0BD7">
        <w:rPr>
          <w:rFonts w:ascii="Arial" w:hAnsi="Arial" w:cs="Arial"/>
          <w:noProof/>
          <w:sz w:val="20"/>
          <w:szCs w:val="20"/>
        </w:rPr>
        <w:t xml:space="preserve">, </w:t>
      </w:r>
      <w:r w:rsidRPr="007D0BD7">
        <w:rPr>
          <w:rFonts w:ascii="Arial" w:hAnsi="Arial" w:cs="Arial"/>
          <w:i/>
          <w:iCs/>
          <w:noProof/>
          <w:sz w:val="20"/>
          <w:szCs w:val="20"/>
        </w:rPr>
        <w:t>40</w:t>
      </w:r>
      <w:r w:rsidRPr="007D0BD7">
        <w:rPr>
          <w:rFonts w:ascii="Arial" w:hAnsi="Arial" w:cs="Arial"/>
          <w:noProof/>
          <w:sz w:val="20"/>
          <w:szCs w:val="20"/>
        </w:rPr>
        <w:t>(2), 39–53.</w:t>
      </w:r>
    </w:p>
    <w:p w14:paraId="3FF8ECBA" w14:textId="193ECC7E" w:rsidR="00A378C0" w:rsidRDefault="00A378C0" w:rsidP="00A378C0">
      <w:pPr>
        <w:widowControl w:val="0"/>
        <w:autoSpaceDE w:val="0"/>
        <w:autoSpaceDN w:val="0"/>
        <w:adjustRightInd w:val="0"/>
        <w:spacing w:before="120" w:line="240" w:lineRule="auto"/>
        <w:ind w:left="567" w:hanging="567"/>
        <w:jc w:val="both"/>
        <w:rPr>
          <w:rFonts w:ascii="Arial" w:hAnsi="Arial" w:cs="Arial"/>
          <w:sz w:val="20"/>
          <w:szCs w:val="20"/>
        </w:rPr>
      </w:pPr>
      <w:r>
        <w:fldChar w:fldCharType="end"/>
      </w:r>
    </w:p>
    <w:p w14:paraId="2A4AA77B" w14:textId="31569A00" w:rsidR="006A0D9A" w:rsidRPr="009F1497" w:rsidRDefault="006A0D9A" w:rsidP="006A0D9A">
      <w:pPr>
        <w:widowControl w:val="0"/>
        <w:autoSpaceDE w:val="0"/>
        <w:autoSpaceDN w:val="0"/>
        <w:adjustRightInd w:val="0"/>
        <w:spacing w:before="120" w:line="240" w:lineRule="auto"/>
        <w:ind w:left="567" w:hanging="567"/>
        <w:jc w:val="both"/>
        <w:rPr>
          <w:rFonts w:ascii="Arial" w:hAnsi="Arial" w:cs="Arial"/>
          <w:sz w:val="24"/>
          <w:szCs w:val="24"/>
        </w:rPr>
      </w:pPr>
    </w:p>
    <w:sectPr w:rsidR="006A0D9A" w:rsidRPr="009F1497" w:rsidSect="00A423F4">
      <w:headerReference w:type="even" r:id="rId21"/>
      <w:headerReference w:type="default" r:id="rId22"/>
      <w:footerReference w:type="default" r:id="rId23"/>
      <w:headerReference w:type="first" r:id="rId24"/>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4527BE" w14:textId="77777777" w:rsidR="0029115F" w:rsidRDefault="0029115F" w:rsidP="00E9766E">
      <w:pPr>
        <w:spacing w:after="0" w:line="240" w:lineRule="auto"/>
      </w:pPr>
      <w:r>
        <w:separator/>
      </w:r>
    </w:p>
  </w:endnote>
  <w:endnote w:type="continuationSeparator" w:id="0">
    <w:p w14:paraId="25EE70DE" w14:textId="77777777" w:rsidR="0029115F" w:rsidRDefault="0029115F" w:rsidP="00E976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E00106" w14:textId="77777777" w:rsidR="00A423F4" w:rsidRDefault="00A423F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6F88D" w14:textId="77777777" w:rsidR="00A423F4" w:rsidRDefault="00A423F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949A6F" w14:textId="77777777" w:rsidR="00A423F4" w:rsidRDefault="00A423F4">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38090848"/>
      <w:docPartObj>
        <w:docPartGallery w:val="Page Numbers (Bottom of Page)"/>
        <w:docPartUnique/>
      </w:docPartObj>
    </w:sdtPr>
    <w:sdtEndPr/>
    <w:sdtContent>
      <w:p w14:paraId="6236CD6F" w14:textId="27BD6DE4" w:rsidR="00AC26D8" w:rsidRDefault="00AC26D8">
        <w:pPr>
          <w:pStyle w:val="Pieddepage"/>
          <w:jc w:val="right"/>
        </w:pPr>
        <w:r>
          <w:fldChar w:fldCharType="begin"/>
        </w:r>
        <w:r>
          <w:instrText>PAGE   \* MERGEFORMAT</w:instrText>
        </w:r>
        <w:r>
          <w:fldChar w:fldCharType="separate"/>
        </w:r>
        <w:r w:rsidRPr="009B58D9">
          <w:rPr>
            <w:noProof/>
            <w:lang w:val="fr-CA"/>
          </w:rPr>
          <w:t>2</w:t>
        </w:r>
        <w:r>
          <w:fldChar w:fldCharType="end"/>
        </w:r>
      </w:p>
    </w:sdtContent>
  </w:sdt>
  <w:p w14:paraId="2DD86309" w14:textId="77777777" w:rsidR="00AC26D8" w:rsidRDefault="00AC26D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C75C0A" w14:textId="77777777" w:rsidR="0029115F" w:rsidRDefault="0029115F" w:rsidP="00E9766E">
      <w:pPr>
        <w:spacing w:after="0" w:line="240" w:lineRule="auto"/>
      </w:pPr>
      <w:r>
        <w:separator/>
      </w:r>
    </w:p>
  </w:footnote>
  <w:footnote w:type="continuationSeparator" w:id="0">
    <w:p w14:paraId="67A6D892" w14:textId="77777777" w:rsidR="0029115F" w:rsidRDefault="0029115F" w:rsidP="00E976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82E742" w14:textId="538FAC45" w:rsidR="00A423F4" w:rsidRDefault="0029115F">
    <w:pPr>
      <w:pStyle w:val="En-tte"/>
    </w:pPr>
    <w:r>
      <w:rPr>
        <w:noProof/>
      </w:rPr>
      <w:pict w14:anchorId="4E3147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806860" o:spid="_x0000_s2050" type="#_x0000_t136" style="position:absolute;margin-left:0;margin-top:0;width:588.2pt;height:74.8pt;rotation:315;z-index:-251655168;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56F38F" w14:textId="6BA9264A" w:rsidR="00A423F4" w:rsidRDefault="0029115F">
    <w:pPr>
      <w:pStyle w:val="En-tte"/>
    </w:pPr>
    <w:r>
      <w:rPr>
        <w:noProof/>
      </w:rPr>
      <w:pict w14:anchorId="596751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806861" o:spid="_x0000_s2051" type="#_x0000_t136" style="position:absolute;margin-left:0;margin-top:0;width:588.2pt;height:74.8pt;rotation:315;z-index:-251653120;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BDA018" w14:textId="0D861E46" w:rsidR="00A423F4" w:rsidRDefault="0029115F">
    <w:pPr>
      <w:pStyle w:val="En-tte"/>
    </w:pPr>
    <w:r>
      <w:rPr>
        <w:noProof/>
      </w:rPr>
      <w:pict w14:anchorId="77BFA0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806859" o:spid="_x0000_s2049" type="#_x0000_t136" style="position:absolute;margin-left:0;margin-top:0;width:588.2pt;height:74.8pt;rotation:315;z-index:-251657216;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ABB7E5" w14:textId="04EA9533" w:rsidR="00A423F4" w:rsidRDefault="0029115F">
    <w:pPr>
      <w:pStyle w:val="En-tte"/>
    </w:pPr>
    <w:r>
      <w:rPr>
        <w:noProof/>
      </w:rPr>
      <w:pict w14:anchorId="247DB0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806863" o:spid="_x0000_s2053" type="#_x0000_t136" style="position:absolute;margin-left:0;margin-top:0;width:588.2pt;height:74.8pt;rotation:315;z-index:-251649024;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8BE5BD" w14:textId="63C1735C" w:rsidR="00A423F4" w:rsidRDefault="0029115F">
    <w:pPr>
      <w:pStyle w:val="En-tte"/>
    </w:pPr>
    <w:r>
      <w:rPr>
        <w:noProof/>
      </w:rPr>
      <w:pict w14:anchorId="002342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806864" o:spid="_x0000_s2054" type="#_x0000_t136" style="position:absolute;margin-left:0;margin-top:0;width:588.2pt;height:74.8pt;rotation:315;z-index:-251646976;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20E508" w14:textId="20CFC25C" w:rsidR="00A423F4" w:rsidRDefault="0029115F">
    <w:pPr>
      <w:pStyle w:val="En-tte"/>
    </w:pPr>
    <w:r>
      <w:rPr>
        <w:noProof/>
      </w:rPr>
      <w:pict w14:anchorId="2D1885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806862" o:spid="_x0000_s2052" type="#_x0000_t136" style="position:absolute;margin-left:0;margin-top:0;width:588.2pt;height:74.8pt;rotation:315;z-index:-251651072;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enumro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epuce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epuce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enumros"/>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epuces"/>
      <w:lvlText w:val=""/>
      <w:lvlJc w:val="left"/>
      <w:pPr>
        <w:tabs>
          <w:tab w:val="num" w:pos="360"/>
        </w:tabs>
        <w:ind w:left="360" w:hanging="360"/>
      </w:pPr>
      <w:rPr>
        <w:rFonts w:ascii="Symbol" w:hAnsi="Symbol" w:hint="default"/>
      </w:rPr>
    </w:lvl>
  </w:abstractNum>
  <w:abstractNum w:abstractNumId="9" w15:restartNumberingAfterBreak="0">
    <w:nsid w:val="0DD95DF4"/>
    <w:multiLevelType w:val="hybridMultilevel"/>
    <w:tmpl w:val="8B6C3778"/>
    <w:lvl w:ilvl="0" w:tplc="3C10ADC2">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29FB3AFC"/>
    <w:multiLevelType w:val="multilevel"/>
    <w:tmpl w:val="3C82C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1016C2C"/>
    <w:multiLevelType w:val="hybridMultilevel"/>
    <w:tmpl w:val="63203C86"/>
    <w:lvl w:ilvl="0" w:tplc="3C10ADC2">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0"/>
  </w:num>
  <w:num w:numId="11">
    <w:abstractNumId w:val="9"/>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07B3"/>
    <w:rsid w:val="00000B09"/>
    <w:rsid w:val="00003A17"/>
    <w:rsid w:val="000064E0"/>
    <w:rsid w:val="00007E6D"/>
    <w:rsid w:val="00012915"/>
    <w:rsid w:val="000134B3"/>
    <w:rsid w:val="00013CEC"/>
    <w:rsid w:val="00015D91"/>
    <w:rsid w:val="000173B4"/>
    <w:rsid w:val="00020067"/>
    <w:rsid w:val="00024404"/>
    <w:rsid w:val="00034616"/>
    <w:rsid w:val="00035900"/>
    <w:rsid w:val="00037816"/>
    <w:rsid w:val="00041372"/>
    <w:rsid w:val="00044F0F"/>
    <w:rsid w:val="0005241C"/>
    <w:rsid w:val="0005305B"/>
    <w:rsid w:val="00054597"/>
    <w:rsid w:val="00056D94"/>
    <w:rsid w:val="00057029"/>
    <w:rsid w:val="000574B8"/>
    <w:rsid w:val="0006013F"/>
    <w:rsid w:val="0006063C"/>
    <w:rsid w:val="00060816"/>
    <w:rsid w:val="00060950"/>
    <w:rsid w:val="00060D2E"/>
    <w:rsid w:val="00061D10"/>
    <w:rsid w:val="00063C79"/>
    <w:rsid w:val="00063FF4"/>
    <w:rsid w:val="000641C8"/>
    <w:rsid w:val="00067003"/>
    <w:rsid w:val="00067E49"/>
    <w:rsid w:val="00072063"/>
    <w:rsid w:val="00072439"/>
    <w:rsid w:val="00072A04"/>
    <w:rsid w:val="0007465D"/>
    <w:rsid w:val="00083CFB"/>
    <w:rsid w:val="00084493"/>
    <w:rsid w:val="0008557A"/>
    <w:rsid w:val="00086FDB"/>
    <w:rsid w:val="00087FAD"/>
    <w:rsid w:val="00092B24"/>
    <w:rsid w:val="00092ED8"/>
    <w:rsid w:val="000939BF"/>
    <w:rsid w:val="000946A2"/>
    <w:rsid w:val="000A270C"/>
    <w:rsid w:val="000A2972"/>
    <w:rsid w:val="000A3C6F"/>
    <w:rsid w:val="000A4F46"/>
    <w:rsid w:val="000A67B5"/>
    <w:rsid w:val="000A7B45"/>
    <w:rsid w:val="000B09E3"/>
    <w:rsid w:val="000B4217"/>
    <w:rsid w:val="000B4275"/>
    <w:rsid w:val="000C06A5"/>
    <w:rsid w:val="000C5701"/>
    <w:rsid w:val="000D28E0"/>
    <w:rsid w:val="000D2B45"/>
    <w:rsid w:val="000D2F0D"/>
    <w:rsid w:val="000D7833"/>
    <w:rsid w:val="000E0485"/>
    <w:rsid w:val="000E0A56"/>
    <w:rsid w:val="000E32CA"/>
    <w:rsid w:val="000E42B0"/>
    <w:rsid w:val="000E5C83"/>
    <w:rsid w:val="000E5D6A"/>
    <w:rsid w:val="000E76B1"/>
    <w:rsid w:val="000E76EA"/>
    <w:rsid w:val="000F045C"/>
    <w:rsid w:val="000F1EA5"/>
    <w:rsid w:val="000F3D5C"/>
    <w:rsid w:val="000F4DD4"/>
    <w:rsid w:val="000F58AB"/>
    <w:rsid w:val="001008B5"/>
    <w:rsid w:val="001018B4"/>
    <w:rsid w:val="001052E5"/>
    <w:rsid w:val="00107DA9"/>
    <w:rsid w:val="00110EA0"/>
    <w:rsid w:val="00111FC3"/>
    <w:rsid w:val="0011707A"/>
    <w:rsid w:val="00121571"/>
    <w:rsid w:val="0012343C"/>
    <w:rsid w:val="001268D2"/>
    <w:rsid w:val="0012740B"/>
    <w:rsid w:val="0013164F"/>
    <w:rsid w:val="00134639"/>
    <w:rsid w:val="00140183"/>
    <w:rsid w:val="00141268"/>
    <w:rsid w:val="0014550B"/>
    <w:rsid w:val="00147CEB"/>
    <w:rsid w:val="0015074B"/>
    <w:rsid w:val="001512AC"/>
    <w:rsid w:val="00151949"/>
    <w:rsid w:val="00152135"/>
    <w:rsid w:val="00154668"/>
    <w:rsid w:val="00154D90"/>
    <w:rsid w:val="001564E5"/>
    <w:rsid w:val="0015742B"/>
    <w:rsid w:val="001642F0"/>
    <w:rsid w:val="00164846"/>
    <w:rsid w:val="00165A16"/>
    <w:rsid w:val="00171547"/>
    <w:rsid w:val="00174E1A"/>
    <w:rsid w:val="001817E0"/>
    <w:rsid w:val="00183BA2"/>
    <w:rsid w:val="001846EA"/>
    <w:rsid w:val="0019101C"/>
    <w:rsid w:val="00191A50"/>
    <w:rsid w:val="00191B44"/>
    <w:rsid w:val="00193658"/>
    <w:rsid w:val="00195AC9"/>
    <w:rsid w:val="0019729F"/>
    <w:rsid w:val="00197EA3"/>
    <w:rsid w:val="001A185C"/>
    <w:rsid w:val="001A1BC3"/>
    <w:rsid w:val="001A3DFE"/>
    <w:rsid w:val="001A7F66"/>
    <w:rsid w:val="001B31E2"/>
    <w:rsid w:val="001B4775"/>
    <w:rsid w:val="001B6C5D"/>
    <w:rsid w:val="001C135E"/>
    <w:rsid w:val="001C56FF"/>
    <w:rsid w:val="001D3592"/>
    <w:rsid w:val="001D437D"/>
    <w:rsid w:val="001D4E20"/>
    <w:rsid w:val="001D505A"/>
    <w:rsid w:val="001D5B70"/>
    <w:rsid w:val="001E15CE"/>
    <w:rsid w:val="001E1B96"/>
    <w:rsid w:val="001E1DEF"/>
    <w:rsid w:val="001E3D00"/>
    <w:rsid w:val="001F1456"/>
    <w:rsid w:val="001F4D2A"/>
    <w:rsid w:val="0020110E"/>
    <w:rsid w:val="00203CE2"/>
    <w:rsid w:val="00204370"/>
    <w:rsid w:val="002067F4"/>
    <w:rsid w:val="00207346"/>
    <w:rsid w:val="002079DD"/>
    <w:rsid w:val="00210F45"/>
    <w:rsid w:val="00212E73"/>
    <w:rsid w:val="002155D6"/>
    <w:rsid w:val="002178C2"/>
    <w:rsid w:val="002208CF"/>
    <w:rsid w:val="002223D5"/>
    <w:rsid w:val="00222B6F"/>
    <w:rsid w:val="002238FB"/>
    <w:rsid w:val="002248AC"/>
    <w:rsid w:val="00225EE9"/>
    <w:rsid w:val="0023178E"/>
    <w:rsid w:val="00231A25"/>
    <w:rsid w:val="0023606C"/>
    <w:rsid w:val="002437DB"/>
    <w:rsid w:val="00244251"/>
    <w:rsid w:val="00244B27"/>
    <w:rsid w:val="00246AEF"/>
    <w:rsid w:val="00250B92"/>
    <w:rsid w:val="00250F99"/>
    <w:rsid w:val="00251455"/>
    <w:rsid w:val="00251DBC"/>
    <w:rsid w:val="00260D01"/>
    <w:rsid w:val="002626FA"/>
    <w:rsid w:val="002651C1"/>
    <w:rsid w:val="002653F3"/>
    <w:rsid w:val="00266F92"/>
    <w:rsid w:val="002737AD"/>
    <w:rsid w:val="00274AE9"/>
    <w:rsid w:val="00274B35"/>
    <w:rsid w:val="00282004"/>
    <w:rsid w:val="002843CF"/>
    <w:rsid w:val="00284EFD"/>
    <w:rsid w:val="002862D6"/>
    <w:rsid w:val="0029115F"/>
    <w:rsid w:val="00291F51"/>
    <w:rsid w:val="0029230C"/>
    <w:rsid w:val="002932FE"/>
    <w:rsid w:val="0029428A"/>
    <w:rsid w:val="0029639D"/>
    <w:rsid w:val="00296FB4"/>
    <w:rsid w:val="002A34AA"/>
    <w:rsid w:val="002A3FFD"/>
    <w:rsid w:val="002A43B2"/>
    <w:rsid w:val="002A72FC"/>
    <w:rsid w:val="002B1071"/>
    <w:rsid w:val="002B1D65"/>
    <w:rsid w:val="002B1E45"/>
    <w:rsid w:val="002B79A5"/>
    <w:rsid w:val="002C023B"/>
    <w:rsid w:val="002C3F0E"/>
    <w:rsid w:val="002C443B"/>
    <w:rsid w:val="002C758C"/>
    <w:rsid w:val="002C7A19"/>
    <w:rsid w:val="002D1F83"/>
    <w:rsid w:val="002D3620"/>
    <w:rsid w:val="002D4221"/>
    <w:rsid w:val="002D4CEE"/>
    <w:rsid w:val="002D4D2B"/>
    <w:rsid w:val="002D528A"/>
    <w:rsid w:val="002D598F"/>
    <w:rsid w:val="002D622E"/>
    <w:rsid w:val="002D79D8"/>
    <w:rsid w:val="002E0DCA"/>
    <w:rsid w:val="002E1CFB"/>
    <w:rsid w:val="002E6D26"/>
    <w:rsid w:val="002E79D4"/>
    <w:rsid w:val="002F0891"/>
    <w:rsid w:val="002F3808"/>
    <w:rsid w:val="002F5882"/>
    <w:rsid w:val="0030026D"/>
    <w:rsid w:val="0030067C"/>
    <w:rsid w:val="00304F9F"/>
    <w:rsid w:val="00305299"/>
    <w:rsid w:val="00305322"/>
    <w:rsid w:val="00306092"/>
    <w:rsid w:val="00306338"/>
    <w:rsid w:val="003073E5"/>
    <w:rsid w:val="00310908"/>
    <w:rsid w:val="0031095D"/>
    <w:rsid w:val="00313822"/>
    <w:rsid w:val="003172FA"/>
    <w:rsid w:val="0032063B"/>
    <w:rsid w:val="00320663"/>
    <w:rsid w:val="00321DB4"/>
    <w:rsid w:val="00323842"/>
    <w:rsid w:val="00324B45"/>
    <w:rsid w:val="00325110"/>
    <w:rsid w:val="003256B2"/>
    <w:rsid w:val="00326F90"/>
    <w:rsid w:val="00330312"/>
    <w:rsid w:val="003339E4"/>
    <w:rsid w:val="00335FE3"/>
    <w:rsid w:val="003414D1"/>
    <w:rsid w:val="003416A4"/>
    <w:rsid w:val="0034541C"/>
    <w:rsid w:val="003464C1"/>
    <w:rsid w:val="00350120"/>
    <w:rsid w:val="003511CF"/>
    <w:rsid w:val="003533A8"/>
    <w:rsid w:val="00353C62"/>
    <w:rsid w:val="00356FA9"/>
    <w:rsid w:val="00362831"/>
    <w:rsid w:val="00362E7E"/>
    <w:rsid w:val="00363668"/>
    <w:rsid w:val="003642FD"/>
    <w:rsid w:val="003644E4"/>
    <w:rsid w:val="00365CAC"/>
    <w:rsid w:val="003668C6"/>
    <w:rsid w:val="00367EF3"/>
    <w:rsid w:val="00370036"/>
    <w:rsid w:val="00370815"/>
    <w:rsid w:val="00371884"/>
    <w:rsid w:val="00371BBD"/>
    <w:rsid w:val="00373CD4"/>
    <w:rsid w:val="00377818"/>
    <w:rsid w:val="00382D0A"/>
    <w:rsid w:val="00384D90"/>
    <w:rsid w:val="00386B6D"/>
    <w:rsid w:val="0039070C"/>
    <w:rsid w:val="003910FD"/>
    <w:rsid w:val="00391905"/>
    <w:rsid w:val="00392ECC"/>
    <w:rsid w:val="003947AA"/>
    <w:rsid w:val="00394CFF"/>
    <w:rsid w:val="003A1002"/>
    <w:rsid w:val="003B04A8"/>
    <w:rsid w:val="003B0F80"/>
    <w:rsid w:val="003B39E0"/>
    <w:rsid w:val="003B7093"/>
    <w:rsid w:val="003B7298"/>
    <w:rsid w:val="003C2346"/>
    <w:rsid w:val="003C3609"/>
    <w:rsid w:val="003C45EF"/>
    <w:rsid w:val="003C65D1"/>
    <w:rsid w:val="003C7F11"/>
    <w:rsid w:val="003D1DB3"/>
    <w:rsid w:val="003D3353"/>
    <w:rsid w:val="003D5241"/>
    <w:rsid w:val="003D6E39"/>
    <w:rsid w:val="003E205E"/>
    <w:rsid w:val="003E2473"/>
    <w:rsid w:val="003E40EF"/>
    <w:rsid w:val="003E5994"/>
    <w:rsid w:val="003E5CFC"/>
    <w:rsid w:val="003E72C0"/>
    <w:rsid w:val="003E7612"/>
    <w:rsid w:val="003F35C8"/>
    <w:rsid w:val="003F57F2"/>
    <w:rsid w:val="003F581D"/>
    <w:rsid w:val="003F588C"/>
    <w:rsid w:val="0040210F"/>
    <w:rsid w:val="0040427C"/>
    <w:rsid w:val="00404741"/>
    <w:rsid w:val="00405570"/>
    <w:rsid w:val="00407132"/>
    <w:rsid w:val="00407857"/>
    <w:rsid w:val="0041007A"/>
    <w:rsid w:val="00411839"/>
    <w:rsid w:val="004161E0"/>
    <w:rsid w:val="004167F7"/>
    <w:rsid w:val="0041719E"/>
    <w:rsid w:val="00427B0B"/>
    <w:rsid w:val="00430B18"/>
    <w:rsid w:val="0043176E"/>
    <w:rsid w:val="00431C37"/>
    <w:rsid w:val="00437558"/>
    <w:rsid w:val="00441D20"/>
    <w:rsid w:val="00442878"/>
    <w:rsid w:val="004429D3"/>
    <w:rsid w:val="004434D9"/>
    <w:rsid w:val="00443EC2"/>
    <w:rsid w:val="0044518B"/>
    <w:rsid w:val="004452F9"/>
    <w:rsid w:val="004457B5"/>
    <w:rsid w:val="00450CFE"/>
    <w:rsid w:val="00461C28"/>
    <w:rsid w:val="00461DB3"/>
    <w:rsid w:val="00462B5F"/>
    <w:rsid w:val="004642DD"/>
    <w:rsid w:val="0046484D"/>
    <w:rsid w:val="00465018"/>
    <w:rsid w:val="0046559C"/>
    <w:rsid w:val="004678AC"/>
    <w:rsid w:val="00467D6B"/>
    <w:rsid w:val="00473865"/>
    <w:rsid w:val="00476767"/>
    <w:rsid w:val="00477143"/>
    <w:rsid w:val="00477AA1"/>
    <w:rsid w:val="00477B39"/>
    <w:rsid w:val="00477F26"/>
    <w:rsid w:val="0048073E"/>
    <w:rsid w:val="00481364"/>
    <w:rsid w:val="0048196C"/>
    <w:rsid w:val="004827CD"/>
    <w:rsid w:val="00482C03"/>
    <w:rsid w:val="004874DC"/>
    <w:rsid w:val="00490330"/>
    <w:rsid w:val="00492698"/>
    <w:rsid w:val="00492D8B"/>
    <w:rsid w:val="004942C6"/>
    <w:rsid w:val="004A0A2B"/>
    <w:rsid w:val="004A105F"/>
    <w:rsid w:val="004A12CF"/>
    <w:rsid w:val="004A21AC"/>
    <w:rsid w:val="004A3D29"/>
    <w:rsid w:val="004A51DB"/>
    <w:rsid w:val="004A62EE"/>
    <w:rsid w:val="004B2723"/>
    <w:rsid w:val="004B2C94"/>
    <w:rsid w:val="004B2E07"/>
    <w:rsid w:val="004B6910"/>
    <w:rsid w:val="004C06C7"/>
    <w:rsid w:val="004C7E6E"/>
    <w:rsid w:val="004D133B"/>
    <w:rsid w:val="004D1EF1"/>
    <w:rsid w:val="004D30F2"/>
    <w:rsid w:val="004D5C4D"/>
    <w:rsid w:val="004D7D24"/>
    <w:rsid w:val="004E0953"/>
    <w:rsid w:val="004E127A"/>
    <w:rsid w:val="004E1D66"/>
    <w:rsid w:val="004E36EC"/>
    <w:rsid w:val="004E4EA4"/>
    <w:rsid w:val="004E54B3"/>
    <w:rsid w:val="004E5980"/>
    <w:rsid w:val="004E7202"/>
    <w:rsid w:val="004F0F13"/>
    <w:rsid w:val="004F18C4"/>
    <w:rsid w:val="004F3A16"/>
    <w:rsid w:val="00503ABA"/>
    <w:rsid w:val="005060B9"/>
    <w:rsid w:val="005063F2"/>
    <w:rsid w:val="00506571"/>
    <w:rsid w:val="00510AE8"/>
    <w:rsid w:val="0051255A"/>
    <w:rsid w:val="00513760"/>
    <w:rsid w:val="0051545B"/>
    <w:rsid w:val="00516284"/>
    <w:rsid w:val="005163FA"/>
    <w:rsid w:val="0052020D"/>
    <w:rsid w:val="00520317"/>
    <w:rsid w:val="00522161"/>
    <w:rsid w:val="00527651"/>
    <w:rsid w:val="005311C6"/>
    <w:rsid w:val="00534139"/>
    <w:rsid w:val="005343A9"/>
    <w:rsid w:val="00543CC9"/>
    <w:rsid w:val="00544233"/>
    <w:rsid w:val="005451F3"/>
    <w:rsid w:val="005460DB"/>
    <w:rsid w:val="0054652B"/>
    <w:rsid w:val="00546AB2"/>
    <w:rsid w:val="00546FB8"/>
    <w:rsid w:val="00550608"/>
    <w:rsid w:val="00550EDA"/>
    <w:rsid w:val="005522B7"/>
    <w:rsid w:val="00554C8D"/>
    <w:rsid w:val="00562E5F"/>
    <w:rsid w:val="00563C68"/>
    <w:rsid w:val="005644C1"/>
    <w:rsid w:val="00566EBC"/>
    <w:rsid w:val="005676A8"/>
    <w:rsid w:val="00571577"/>
    <w:rsid w:val="0057291F"/>
    <w:rsid w:val="00572DB6"/>
    <w:rsid w:val="0057364B"/>
    <w:rsid w:val="005772ED"/>
    <w:rsid w:val="00582A0A"/>
    <w:rsid w:val="00583557"/>
    <w:rsid w:val="00583737"/>
    <w:rsid w:val="0058626C"/>
    <w:rsid w:val="0058628D"/>
    <w:rsid w:val="0058701D"/>
    <w:rsid w:val="00587C7F"/>
    <w:rsid w:val="00591554"/>
    <w:rsid w:val="00596666"/>
    <w:rsid w:val="00597993"/>
    <w:rsid w:val="005A00DE"/>
    <w:rsid w:val="005A125B"/>
    <w:rsid w:val="005A2197"/>
    <w:rsid w:val="005A3954"/>
    <w:rsid w:val="005A3E74"/>
    <w:rsid w:val="005A3FD5"/>
    <w:rsid w:val="005A41C7"/>
    <w:rsid w:val="005A4DC6"/>
    <w:rsid w:val="005A66B5"/>
    <w:rsid w:val="005A7CAA"/>
    <w:rsid w:val="005B0BB5"/>
    <w:rsid w:val="005B1991"/>
    <w:rsid w:val="005B3013"/>
    <w:rsid w:val="005B38F8"/>
    <w:rsid w:val="005B3E3C"/>
    <w:rsid w:val="005B497B"/>
    <w:rsid w:val="005C0B38"/>
    <w:rsid w:val="005C32C5"/>
    <w:rsid w:val="005C3A3C"/>
    <w:rsid w:val="005C7CE5"/>
    <w:rsid w:val="005D0515"/>
    <w:rsid w:val="005D0771"/>
    <w:rsid w:val="005D2573"/>
    <w:rsid w:val="005E09C0"/>
    <w:rsid w:val="005E0C23"/>
    <w:rsid w:val="005E290C"/>
    <w:rsid w:val="005E3374"/>
    <w:rsid w:val="005F091B"/>
    <w:rsid w:val="005F2711"/>
    <w:rsid w:val="005F55B8"/>
    <w:rsid w:val="005F645B"/>
    <w:rsid w:val="005F6509"/>
    <w:rsid w:val="005F76AC"/>
    <w:rsid w:val="006004C9"/>
    <w:rsid w:val="00601C02"/>
    <w:rsid w:val="0060491C"/>
    <w:rsid w:val="00606B66"/>
    <w:rsid w:val="00607061"/>
    <w:rsid w:val="006071B9"/>
    <w:rsid w:val="0061076E"/>
    <w:rsid w:val="00612E22"/>
    <w:rsid w:val="00614AED"/>
    <w:rsid w:val="00615822"/>
    <w:rsid w:val="00615C6E"/>
    <w:rsid w:val="00626866"/>
    <w:rsid w:val="00627867"/>
    <w:rsid w:val="00627C8B"/>
    <w:rsid w:val="00632C96"/>
    <w:rsid w:val="00633D30"/>
    <w:rsid w:val="006353B8"/>
    <w:rsid w:val="00635C70"/>
    <w:rsid w:val="00637E3B"/>
    <w:rsid w:val="00640DC5"/>
    <w:rsid w:val="00641FFC"/>
    <w:rsid w:val="00643BB2"/>
    <w:rsid w:val="00645790"/>
    <w:rsid w:val="00645A46"/>
    <w:rsid w:val="00646CDF"/>
    <w:rsid w:val="0065042F"/>
    <w:rsid w:val="0065226B"/>
    <w:rsid w:val="006527CE"/>
    <w:rsid w:val="0065281B"/>
    <w:rsid w:val="00655461"/>
    <w:rsid w:val="0065589F"/>
    <w:rsid w:val="00660012"/>
    <w:rsid w:val="00660B5E"/>
    <w:rsid w:val="00660C9D"/>
    <w:rsid w:val="00662085"/>
    <w:rsid w:val="006622A2"/>
    <w:rsid w:val="00662C29"/>
    <w:rsid w:val="00662F00"/>
    <w:rsid w:val="006671FD"/>
    <w:rsid w:val="00671A64"/>
    <w:rsid w:val="006722B8"/>
    <w:rsid w:val="006725FE"/>
    <w:rsid w:val="006740DD"/>
    <w:rsid w:val="0067483A"/>
    <w:rsid w:val="00674E3A"/>
    <w:rsid w:val="0067566A"/>
    <w:rsid w:val="00675BC9"/>
    <w:rsid w:val="006776B3"/>
    <w:rsid w:val="0068175B"/>
    <w:rsid w:val="00682F6D"/>
    <w:rsid w:val="00685948"/>
    <w:rsid w:val="00686B6F"/>
    <w:rsid w:val="00690E25"/>
    <w:rsid w:val="0069280B"/>
    <w:rsid w:val="00692F3B"/>
    <w:rsid w:val="006960B3"/>
    <w:rsid w:val="0069765D"/>
    <w:rsid w:val="00697B71"/>
    <w:rsid w:val="006A0D9A"/>
    <w:rsid w:val="006A1C4F"/>
    <w:rsid w:val="006A2396"/>
    <w:rsid w:val="006A3671"/>
    <w:rsid w:val="006A59E2"/>
    <w:rsid w:val="006A7032"/>
    <w:rsid w:val="006B21D7"/>
    <w:rsid w:val="006B4D17"/>
    <w:rsid w:val="006B58EB"/>
    <w:rsid w:val="006B670E"/>
    <w:rsid w:val="006B7E96"/>
    <w:rsid w:val="006C049C"/>
    <w:rsid w:val="006C0944"/>
    <w:rsid w:val="006C169B"/>
    <w:rsid w:val="006C3192"/>
    <w:rsid w:val="006C738B"/>
    <w:rsid w:val="006D07E1"/>
    <w:rsid w:val="006D0A96"/>
    <w:rsid w:val="006D19CA"/>
    <w:rsid w:val="006D1EF4"/>
    <w:rsid w:val="006D43B4"/>
    <w:rsid w:val="006D4D24"/>
    <w:rsid w:val="006D5A98"/>
    <w:rsid w:val="006D75FB"/>
    <w:rsid w:val="006E18A6"/>
    <w:rsid w:val="006E54B9"/>
    <w:rsid w:val="006E633C"/>
    <w:rsid w:val="006F220F"/>
    <w:rsid w:val="006F3D0F"/>
    <w:rsid w:val="006F4032"/>
    <w:rsid w:val="00700C16"/>
    <w:rsid w:val="00700CE8"/>
    <w:rsid w:val="007022DD"/>
    <w:rsid w:val="00702FC9"/>
    <w:rsid w:val="007046B7"/>
    <w:rsid w:val="00705F78"/>
    <w:rsid w:val="00710633"/>
    <w:rsid w:val="00710DF5"/>
    <w:rsid w:val="00710FE2"/>
    <w:rsid w:val="00714F0B"/>
    <w:rsid w:val="00717147"/>
    <w:rsid w:val="00717FA6"/>
    <w:rsid w:val="00720693"/>
    <w:rsid w:val="00720C86"/>
    <w:rsid w:val="00720DD7"/>
    <w:rsid w:val="00722C34"/>
    <w:rsid w:val="00726A18"/>
    <w:rsid w:val="0072709D"/>
    <w:rsid w:val="007306E2"/>
    <w:rsid w:val="007312D1"/>
    <w:rsid w:val="00734370"/>
    <w:rsid w:val="00734AD9"/>
    <w:rsid w:val="007356AB"/>
    <w:rsid w:val="00736A3F"/>
    <w:rsid w:val="00736C01"/>
    <w:rsid w:val="00737320"/>
    <w:rsid w:val="007422F4"/>
    <w:rsid w:val="007428B5"/>
    <w:rsid w:val="00743A9D"/>
    <w:rsid w:val="00743B4F"/>
    <w:rsid w:val="00745934"/>
    <w:rsid w:val="00745FDB"/>
    <w:rsid w:val="00746D66"/>
    <w:rsid w:val="00750825"/>
    <w:rsid w:val="007559AA"/>
    <w:rsid w:val="00755F1C"/>
    <w:rsid w:val="007578CC"/>
    <w:rsid w:val="00757DA7"/>
    <w:rsid w:val="0076157F"/>
    <w:rsid w:val="007616B7"/>
    <w:rsid w:val="00763928"/>
    <w:rsid w:val="00764305"/>
    <w:rsid w:val="00764E72"/>
    <w:rsid w:val="00765019"/>
    <w:rsid w:val="0076596D"/>
    <w:rsid w:val="00767D5D"/>
    <w:rsid w:val="00771082"/>
    <w:rsid w:val="0077180C"/>
    <w:rsid w:val="00771A20"/>
    <w:rsid w:val="00774C63"/>
    <w:rsid w:val="00780B83"/>
    <w:rsid w:val="0078167B"/>
    <w:rsid w:val="00781CD4"/>
    <w:rsid w:val="00783BFF"/>
    <w:rsid w:val="00785D17"/>
    <w:rsid w:val="00792498"/>
    <w:rsid w:val="00792ACB"/>
    <w:rsid w:val="00793519"/>
    <w:rsid w:val="007A0359"/>
    <w:rsid w:val="007A098C"/>
    <w:rsid w:val="007A3E45"/>
    <w:rsid w:val="007A3F75"/>
    <w:rsid w:val="007A4000"/>
    <w:rsid w:val="007A488D"/>
    <w:rsid w:val="007A5157"/>
    <w:rsid w:val="007A720B"/>
    <w:rsid w:val="007A7840"/>
    <w:rsid w:val="007B1881"/>
    <w:rsid w:val="007B21FE"/>
    <w:rsid w:val="007B2454"/>
    <w:rsid w:val="007B47E4"/>
    <w:rsid w:val="007B4D0E"/>
    <w:rsid w:val="007B59EE"/>
    <w:rsid w:val="007B7CE9"/>
    <w:rsid w:val="007C1A62"/>
    <w:rsid w:val="007C3B6A"/>
    <w:rsid w:val="007C44E0"/>
    <w:rsid w:val="007C792D"/>
    <w:rsid w:val="007D076C"/>
    <w:rsid w:val="007D0BD7"/>
    <w:rsid w:val="007D581D"/>
    <w:rsid w:val="007E2ED2"/>
    <w:rsid w:val="007E534E"/>
    <w:rsid w:val="007E678D"/>
    <w:rsid w:val="007E69A5"/>
    <w:rsid w:val="007F430A"/>
    <w:rsid w:val="007F517E"/>
    <w:rsid w:val="007F7BFA"/>
    <w:rsid w:val="008003A9"/>
    <w:rsid w:val="00801217"/>
    <w:rsid w:val="008038F8"/>
    <w:rsid w:val="008057B4"/>
    <w:rsid w:val="008057BA"/>
    <w:rsid w:val="008059D1"/>
    <w:rsid w:val="00807680"/>
    <w:rsid w:val="00810BE7"/>
    <w:rsid w:val="00810D2C"/>
    <w:rsid w:val="00812FE8"/>
    <w:rsid w:val="00813E45"/>
    <w:rsid w:val="008159B0"/>
    <w:rsid w:val="00821000"/>
    <w:rsid w:val="00832696"/>
    <w:rsid w:val="00833E12"/>
    <w:rsid w:val="00835EAD"/>
    <w:rsid w:val="0083622B"/>
    <w:rsid w:val="00836539"/>
    <w:rsid w:val="008377AA"/>
    <w:rsid w:val="008457D0"/>
    <w:rsid w:val="0084749C"/>
    <w:rsid w:val="0085019D"/>
    <w:rsid w:val="00850481"/>
    <w:rsid w:val="00850E26"/>
    <w:rsid w:val="00851149"/>
    <w:rsid w:val="00851395"/>
    <w:rsid w:val="00854606"/>
    <w:rsid w:val="00855799"/>
    <w:rsid w:val="008561FF"/>
    <w:rsid w:val="00857E85"/>
    <w:rsid w:val="00861683"/>
    <w:rsid w:val="00861D23"/>
    <w:rsid w:val="008624A5"/>
    <w:rsid w:val="008626F8"/>
    <w:rsid w:val="00862701"/>
    <w:rsid w:val="008630FD"/>
    <w:rsid w:val="0086551D"/>
    <w:rsid w:val="00866683"/>
    <w:rsid w:val="008679B3"/>
    <w:rsid w:val="00871CF0"/>
    <w:rsid w:val="008734B4"/>
    <w:rsid w:val="0087379F"/>
    <w:rsid w:val="008745EF"/>
    <w:rsid w:val="00876E20"/>
    <w:rsid w:val="008774B8"/>
    <w:rsid w:val="00877C50"/>
    <w:rsid w:val="00881935"/>
    <w:rsid w:val="00881CB9"/>
    <w:rsid w:val="00885109"/>
    <w:rsid w:val="00885897"/>
    <w:rsid w:val="00886DEE"/>
    <w:rsid w:val="0088722D"/>
    <w:rsid w:val="0089260E"/>
    <w:rsid w:val="00893795"/>
    <w:rsid w:val="0089481F"/>
    <w:rsid w:val="008961DC"/>
    <w:rsid w:val="008A0A11"/>
    <w:rsid w:val="008A13BC"/>
    <w:rsid w:val="008A23DE"/>
    <w:rsid w:val="008A2A14"/>
    <w:rsid w:val="008A2FAD"/>
    <w:rsid w:val="008A5127"/>
    <w:rsid w:val="008A69A7"/>
    <w:rsid w:val="008A7803"/>
    <w:rsid w:val="008A7D9B"/>
    <w:rsid w:val="008B00DE"/>
    <w:rsid w:val="008B2126"/>
    <w:rsid w:val="008B4BB5"/>
    <w:rsid w:val="008C00C5"/>
    <w:rsid w:val="008C0322"/>
    <w:rsid w:val="008C2623"/>
    <w:rsid w:val="008C33A7"/>
    <w:rsid w:val="008C3D4D"/>
    <w:rsid w:val="008C4020"/>
    <w:rsid w:val="008C6538"/>
    <w:rsid w:val="008C6C0E"/>
    <w:rsid w:val="008C7465"/>
    <w:rsid w:val="008C7F9C"/>
    <w:rsid w:val="008D043C"/>
    <w:rsid w:val="008D08E9"/>
    <w:rsid w:val="008D1992"/>
    <w:rsid w:val="008D42DF"/>
    <w:rsid w:val="008D46EC"/>
    <w:rsid w:val="008E07CF"/>
    <w:rsid w:val="008E1395"/>
    <w:rsid w:val="008E14FE"/>
    <w:rsid w:val="008E1CA1"/>
    <w:rsid w:val="008E27FE"/>
    <w:rsid w:val="008E2C8E"/>
    <w:rsid w:val="008E407D"/>
    <w:rsid w:val="008E47E2"/>
    <w:rsid w:val="008E4B27"/>
    <w:rsid w:val="008E5DDB"/>
    <w:rsid w:val="008F1B37"/>
    <w:rsid w:val="008F2604"/>
    <w:rsid w:val="008F3108"/>
    <w:rsid w:val="008F3D76"/>
    <w:rsid w:val="008F5217"/>
    <w:rsid w:val="008F7B34"/>
    <w:rsid w:val="009008E3"/>
    <w:rsid w:val="0090746E"/>
    <w:rsid w:val="00907ADA"/>
    <w:rsid w:val="00910491"/>
    <w:rsid w:val="009127A0"/>
    <w:rsid w:val="009139B5"/>
    <w:rsid w:val="009200C0"/>
    <w:rsid w:val="0092501B"/>
    <w:rsid w:val="0092746E"/>
    <w:rsid w:val="00927570"/>
    <w:rsid w:val="00927941"/>
    <w:rsid w:val="0093075D"/>
    <w:rsid w:val="009319DB"/>
    <w:rsid w:val="00933C61"/>
    <w:rsid w:val="00934282"/>
    <w:rsid w:val="0093625B"/>
    <w:rsid w:val="009416F9"/>
    <w:rsid w:val="0094306F"/>
    <w:rsid w:val="00943CA7"/>
    <w:rsid w:val="009456A0"/>
    <w:rsid w:val="00945A88"/>
    <w:rsid w:val="00946D07"/>
    <w:rsid w:val="00947269"/>
    <w:rsid w:val="009474A2"/>
    <w:rsid w:val="00950687"/>
    <w:rsid w:val="00951A7E"/>
    <w:rsid w:val="00951E6A"/>
    <w:rsid w:val="00951F17"/>
    <w:rsid w:val="009522DB"/>
    <w:rsid w:val="00953F58"/>
    <w:rsid w:val="00955809"/>
    <w:rsid w:val="0095645A"/>
    <w:rsid w:val="009566BD"/>
    <w:rsid w:val="00956F32"/>
    <w:rsid w:val="009602D4"/>
    <w:rsid w:val="00961E11"/>
    <w:rsid w:val="00962211"/>
    <w:rsid w:val="0096401B"/>
    <w:rsid w:val="0096657C"/>
    <w:rsid w:val="00966B3C"/>
    <w:rsid w:val="0097162D"/>
    <w:rsid w:val="00974BCA"/>
    <w:rsid w:val="00975DCF"/>
    <w:rsid w:val="00976683"/>
    <w:rsid w:val="0097797E"/>
    <w:rsid w:val="00981355"/>
    <w:rsid w:val="009823D6"/>
    <w:rsid w:val="00984749"/>
    <w:rsid w:val="00984EB6"/>
    <w:rsid w:val="009874BC"/>
    <w:rsid w:val="009974AC"/>
    <w:rsid w:val="009974D8"/>
    <w:rsid w:val="009A3F35"/>
    <w:rsid w:val="009A51F0"/>
    <w:rsid w:val="009A6C70"/>
    <w:rsid w:val="009B0088"/>
    <w:rsid w:val="009B0E71"/>
    <w:rsid w:val="009B33C1"/>
    <w:rsid w:val="009B584E"/>
    <w:rsid w:val="009B58D9"/>
    <w:rsid w:val="009C004F"/>
    <w:rsid w:val="009C0DBB"/>
    <w:rsid w:val="009C2213"/>
    <w:rsid w:val="009C4D63"/>
    <w:rsid w:val="009C6179"/>
    <w:rsid w:val="009C6909"/>
    <w:rsid w:val="009D1396"/>
    <w:rsid w:val="009E0229"/>
    <w:rsid w:val="009E2EDF"/>
    <w:rsid w:val="009E32F8"/>
    <w:rsid w:val="009E49BC"/>
    <w:rsid w:val="009E5D3E"/>
    <w:rsid w:val="009E68BE"/>
    <w:rsid w:val="009F0A2D"/>
    <w:rsid w:val="009F131B"/>
    <w:rsid w:val="009F1497"/>
    <w:rsid w:val="009F1E6B"/>
    <w:rsid w:val="009F56D1"/>
    <w:rsid w:val="009F627A"/>
    <w:rsid w:val="009F652C"/>
    <w:rsid w:val="009F6E79"/>
    <w:rsid w:val="009F729A"/>
    <w:rsid w:val="009F7DD8"/>
    <w:rsid w:val="00A001E2"/>
    <w:rsid w:val="00A0025B"/>
    <w:rsid w:val="00A00D92"/>
    <w:rsid w:val="00A036D6"/>
    <w:rsid w:val="00A03C46"/>
    <w:rsid w:val="00A056A9"/>
    <w:rsid w:val="00A0636F"/>
    <w:rsid w:val="00A064A8"/>
    <w:rsid w:val="00A106ED"/>
    <w:rsid w:val="00A12A5B"/>
    <w:rsid w:val="00A147E0"/>
    <w:rsid w:val="00A16B62"/>
    <w:rsid w:val="00A2224E"/>
    <w:rsid w:val="00A25A6B"/>
    <w:rsid w:val="00A27142"/>
    <w:rsid w:val="00A3359D"/>
    <w:rsid w:val="00A34EA2"/>
    <w:rsid w:val="00A378C0"/>
    <w:rsid w:val="00A423F4"/>
    <w:rsid w:val="00A47782"/>
    <w:rsid w:val="00A47ED7"/>
    <w:rsid w:val="00A50151"/>
    <w:rsid w:val="00A52E4C"/>
    <w:rsid w:val="00A53AC3"/>
    <w:rsid w:val="00A56E44"/>
    <w:rsid w:val="00A57773"/>
    <w:rsid w:val="00A6021E"/>
    <w:rsid w:val="00A61526"/>
    <w:rsid w:val="00A62CFB"/>
    <w:rsid w:val="00A642D7"/>
    <w:rsid w:val="00A644A7"/>
    <w:rsid w:val="00A6491E"/>
    <w:rsid w:val="00A64FCF"/>
    <w:rsid w:val="00A6537D"/>
    <w:rsid w:val="00A65DA4"/>
    <w:rsid w:val="00A667CD"/>
    <w:rsid w:val="00A706DD"/>
    <w:rsid w:val="00A70B30"/>
    <w:rsid w:val="00A70C3B"/>
    <w:rsid w:val="00A70CC3"/>
    <w:rsid w:val="00A732F7"/>
    <w:rsid w:val="00A7369C"/>
    <w:rsid w:val="00A75DA2"/>
    <w:rsid w:val="00A826B2"/>
    <w:rsid w:val="00A86719"/>
    <w:rsid w:val="00A87806"/>
    <w:rsid w:val="00A929AF"/>
    <w:rsid w:val="00A93576"/>
    <w:rsid w:val="00A95263"/>
    <w:rsid w:val="00A961E6"/>
    <w:rsid w:val="00A972E5"/>
    <w:rsid w:val="00A97488"/>
    <w:rsid w:val="00AA0A62"/>
    <w:rsid w:val="00AA1D8D"/>
    <w:rsid w:val="00AA7EFD"/>
    <w:rsid w:val="00AB01B5"/>
    <w:rsid w:val="00AB51CF"/>
    <w:rsid w:val="00AB67B0"/>
    <w:rsid w:val="00AC11DB"/>
    <w:rsid w:val="00AC21FB"/>
    <w:rsid w:val="00AC26D8"/>
    <w:rsid w:val="00AC35C0"/>
    <w:rsid w:val="00AC6394"/>
    <w:rsid w:val="00AD786E"/>
    <w:rsid w:val="00AE024F"/>
    <w:rsid w:val="00AE04B0"/>
    <w:rsid w:val="00AE2CED"/>
    <w:rsid w:val="00AE3B73"/>
    <w:rsid w:val="00AE4C88"/>
    <w:rsid w:val="00AE575E"/>
    <w:rsid w:val="00AE7377"/>
    <w:rsid w:val="00AF06F4"/>
    <w:rsid w:val="00AF3B2A"/>
    <w:rsid w:val="00AF60F8"/>
    <w:rsid w:val="00AF77A0"/>
    <w:rsid w:val="00AF7D05"/>
    <w:rsid w:val="00B00DA8"/>
    <w:rsid w:val="00B01629"/>
    <w:rsid w:val="00B02E00"/>
    <w:rsid w:val="00B03786"/>
    <w:rsid w:val="00B04C11"/>
    <w:rsid w:val="00B07244"/>
    <w:rsid w:val="00B07917"/>
    <w:rsid w:val="00B10A59"/>
    <w:rsid w:val="00B13EB3"/>
    <w:rsid w:val="00B20597"/>
    <w:rsid w:val="00B209AA"/>
    <w:rsid w:val="00B2238D"/>
    <w:rsid w:val="00B23716"/>
    <w:rsid w:val="00B23C9F"/>
    <w:rsid w:val="00B23CA0"/>
    <w:rsid w:val="00B25801"/>
    <w:rsid w:val="00B26158"/>
    <w:rsid w:val="00B26FEB"/>
    <w:rsid w:val="00B32050"/>
    <w:rsid w:val="00B32C96"/>
    <w:rsid w:val="00B3410F"/>
    <w:rsid w:val="00B34C2C"/>
    <w:rsid w:val="00B34FF4"/>
    <w:rsid w:val="00B37177"/>
    <w:rsid w:val="00B378CB"/>
    <w:rsid w:val="00B440AF"/>
    <w:rsid w:val="00B44582"/>
    <w:rsid w:val="00B47730"/>
    <w:rsid w:val="00B50997"/>
    <w:rsid w:val="00B51376"/>
    <w:rsid w:val="00B5614C"/>
    <w:rsid w:val="00B572FA"/>
    <w:rsid w:val="00B63E57"/>
    <w:rsid w:val="00B65DD6"/>
    <w:rsid w:val="00B66505"/>
    <w:rsid w:val="00B70052"/>
    <w:rsid w:val="00B71684"/>
    <w:rsid w:val="00B74B59"/>
    <w:rsid w:val="00B82FAA"/>
    <w:rsid w:val="00B845FE"/>
    <w:rsid w:val="00B86F05"/>
    <w:rsid w:val="00B906ED"/>
    <w:rsid w:val="00B906F1"/>
    <w:rsid w:val="00B91D3D"/>
    <w:rsid w:val="00B92B45"/>
    <w:rsid w:val="00B935B4"/>
    <w:rsid w:val="00B94D6B"/>
    <w:rsid w:val="00B9767B"/>
    <w:rsid w:val="00BA028E"/>
    <w:rsid w:val="00BA1FA3"/>
    <w:rsid w:val="00BA434D"/>
    <w:rsid w:val="00BA48BC"/>
    <w:rsid w:val="00BA5DAF"/>
    <w:rsid w:val="00BA6A34"/>
    <w:rsid w:val="00BB0CFB"/>
    <w:rsid w:val="00BB3B97"/>
    <w:rsid w:val="00BB542F"/>
    <w:rsid w:val="00BB58C3"/>
    <w:rsid w:val="00BB7AA7"/>
    <w:rsid w:val="00BC0E7C"/>
    <w:rsid w:val="00BC3F2F"/>
    <w:rsid w:val="00BD03D0"/>
    <w:rsid w:val="00BD073A"/>
    <w:rsid w:val="00BD08ED"/>
    <w:rsid w:val="00BD0FFB"/>
    <w:rsid w:val="00BD21AC"/>
    <w:rsid w:val="00BD573B"/>
    <w:rsid w:val="00BD580A"/>
    <w:rsid w:val="00BD5E4C"/>
    <w:rsid w:val="00BD66D7"/>
    <w:rsid w:val="00BD6739"/>
    <w:rsid w:val="00BD6874"/>
    <w:rsid w:val="00BD6ECD"/>
    <w:rsid w:val="00BE0A6E"/>
    <w:rsid w:val="00BE0FF0"/>
    <w:rsid w:val="00BE790A"/>
    <w:rsid w:val="00BF0494"/>
    <w:rsid w:val="00BF1584"/>
    <w:rsid w:val="00BF1CD5"/>
    <w:rsid w:val="00BF4041"/>
    <w:rsid w:val="00C0002A"/>
    <w:rsid w:val="00C01341"/>
    <w:rsid w:val="00C01D74"/>
    <w:rsid w:val="00C06BC7"/>
    <w:rsid w:val="00C07153"/>
    <w:rsid w:val="00C107FF"/>
    <w:rsid w:val="00C12167"/>
    <w:rsid w:val="00C12C1A"/>
    <w:rsid w:val="00C12F6E"/>
    <w:rsid w:val="00C134EC"/>
    <w:rsid w:val="00C1399F"/>
    <w:rsid w:val="00C15623"/>
    <w:rsid w:val="00C17BA0"/>
    <w:rsid w:val="00C21085"/>
    <w:rsid w:val="00C21714"/>
    <w:rsid w:val="00C22153"/>
    <w:rsid w:val="00C245B7"/>
    <w:rsid w:val="00C25955"/>
    <w:rsid w:val="00C26312"/>
    <w:rsid w:val="00C26753"/>
    <w:rsid w:val="00C27EAE"/>
    <w:rsid w:val="00C32F29"/>
    <w:rsid w:val="00C35E07"/>
    <w:rsid w:val="00C37FB5"/>
    <w:rsid w:val="00C401AB"/>
    <w:rsid w:val="00C420C0"/>
    <w:rsid w:val="00C456A5"/>
    <w:rsid w:val="00C47437"/>
    <w:rsid w:val="00C50FD2"/>
    <w:rsid w:val="00C51800"/>
    <w:rsid w:val="00C569E7"/>
    <w:rsid w:val="00C56ADD"/>
    <w:rsid w:val="00C57DF6"/>
    <w:rsid w:val="00C61107"/>
    <w:rsid w:val="00C628C3"/>
    <w:rsid w:val="00C63C53"/>
    <w:rsid w:val="00C64C34"/>
    <w:rsid w:val="00C65253"/>
    <w:rsid w:val="00C65F24"/>
    <w:rsid w:val="00C67B45"/>
    <w:rsid w:val="00C73FD3"/>
    <w:rsid w:val="00C7414D"/>
    <w:rsid w:val="00C80408"/>
    <w:rsid w:val="00C84925"/>
    <w:rsid w:val="00C861DD"/>
    <w:rsid w:val="00C90DE8"/>
    <w:rsid w:val="00C917FA"/>
    <w:rsid w:val="00C9383B"/>
    <w:rsid w:val="00C93FEF"/>
    <w:rsid w:val="00C943A6"/>
    <w:rsid w:val="00C95D06"/>
    <w:rsid w:val="00CA159A"/>
    <w:rsid w:val="00CA299D"/>
    <w:rsid w:val="00CA6812"/>
    <w:rsid w:val="00CB0664"/>
    <w:rsid w:val="00CB5377"/>
    <w:rsid w:val="00CC00F3"/>
    <w:rsid w:val="00CC0105"/>
    <w:rsid w:val="00CC0C97"/>
    <w:rsid w:val="00CC1386"/>
    <w:rsid w:val="00CC1824"/>
    <w:rsid w:val="00CC52CF"/>
    <w:rsid w:val="00CC5E38"/>
    <w:rsid w:val="00CC5F89"/>
    <w:rsid w:val="00CD06A0"/>
    <w:rsid w:val="00CD2F82"/>
    <w:rsid w:val="00CD4989"/>
    <w:rsid w:val="00CD4FFB"/>
    <w:rsid w:val="00CD5AA3"/>
    <w:rsid w:val="00CE0CD7"/>
    <w:rsid w:val="00CE20BC"/>
    <w:rsid w:val="00CE2327"/>
    <w:rsid w:val="00CE5413"/>
    <w:rsid w:val="00CF1325"/>
    <w:rsid w:val="00CF1F7A"/>
    <w:rsid w:val="00CF31FE"/>
    <w:rsid w:val="00CF32D9"/>
    <w:rsid w:val="00CF339A"/>
    <w:rsid w:val="00CF3F88"/>
    <w:rsid w:val="00CF4E32"/>
    <w:rsid w:val="00CF5AA3"/>
    <w:rsid w:val="00CF67E4"/>
    <w:rsid w:val="00D06345"/>
    <w:rsid w:val="00D10389"/>
    <w:rsid w:val="00D122C0"/>
    <w:rsid w:val="00D14EAB"/>
    <w:rsid w:val="00D151BE"/>
    <w:rsid w:val="00D2309A"/>
    <w:rsid w:val="00D30448"/>
    <w:rsid w:val="00D32319"/>
    <w:rsid w:val="00D33B70"/>
    <w:rsid w:val="00D403FE"/>
    <w:rsid w:val="00D42DFB"/>
    <w:rsid w:val="00D43326"/>
    <w:rsid w:val="00D439E6"/>
    <w:rsid w:val="00D46111"/>
    <w:rsid w:val="00D5088A"/>
    <w:rsid w:val="00D540BF"/>
    <w:rsid w:val="00D55FC3"/>
    <w:rsid w:val="00D579C3"/>
    <w:rsid w:val="00D57FD0"/>
    <w:rsid w:val="00D57FF1"/>
    <w:rsid w:val="00D60424"/>
    <w:rsid w:val="00D614E5"/>
    <w:rsid w:val="00D62AAE"/>
    <w:rsid w:val="00D62D3D"/>
    <w:rsid w:val="00D64D26"/>
    <w:rsid w:val="00D65715"/>
    <w:rsid w:val="00D660B1"/>
    <w:rsid w:val="00D66FE8"/>
    <w:rsid w:val="00D67E29"/>
    <w:rsid w:val="00D703DA"/>
    <w:rsid w:val="00D732A3"/>
    <w:rsid w:val="00D80100"/>
    <w:rsid w:val="00D804FC"/>
    <w:rsid w:val="00D848BF"/>
    <w:rsid w:val="00D87AFC"/>
    <w:rsid w:val="00D9008A"/>
    <w:rsid w:val="00D938AE"/>
    <w:rsid w:val="00D94B9E"/>
    <w:rsid w:val="00DA0558"/>
    <w:rsid w:val="00DA0DAA"/>
    <w:rsid w:val="00DA2BD0"/>
    <w:rsid w:val="00DA3C6D"/>
    <w:rsid w:val="00DA57D2"/>
    <w:rsid w:val="00DA7EBA"/>
    <w:rsid w:val="00DB3E0A"/>
    <w:rsid w:val="00DB512E"/>
    <w:rsid w:val="00DB6FB8"/>
    <w:rsid w:val="00DB70A5"/>
    <w:rsid w:val="00DC1090"/>
    <w:rsid w:val="00DC1B3A"/>
    <w:rsid w:val="00DC5675"/>
    <w:rsid w:val="00DC56DE"/>
    <w:rsid w:val="00DC740C"/>
    <w:rsid w:val="00DC7A13"/>
    <w:rsid w:val="00DD20F4"/>
    <w:rsid w:val="00DD259C"/>
    <w:rsid w:val="00DD433E"/>
    <w:rsid w:val="00DD4A2B"/>
    <w:rsid w:val="00DD4EDE"/>
    <w:rsid w:val="00DD6E2D"/>
    <w:rsid w:val="00DE1C47"/>
    <w:rsid w:val="00DE786D"/>
    <w:rsid w:val="00DF2228"/>
    <w:rsid w:val="00DF673C"/>
    <w:rsid w:val="00E015A0"/>
    <w:rsid w:val="00E03B6A"/>
    <w:rsid w:val="00E05FA9"/>
    <w:rsid w:val="00E0683D"/>
    <w:rsid w:val="00E1020D"/>
    <w:rsid w:val="00E10347"/>
    <w:rsid w:val="00E12417"/>
    <w:rsid w:val="00E14D4F"/>
    <w:rsid w:val="00E245A1"/>
    <w:rsid w:val="00E25E60"/>
    <w:rsid w:val="00E26421"/>
    <w:rsid w:val="00E27108"/>
    <w:rsid w:val="00E311EC"/>
    <w:rsid w:val="00E3227D"/>
    <w:rsid w:val="00E3244B"/>
    <w:rsid w:val="00E325B6"/>
    <w:rsid w:val="00E32EEE"/>
    <w:rsid w:val="00E36CBC"/>
    <w:rsid w:val="00E41966"/>
    <w:rsid w:val="00E41CAF"/>
    <w:rsid w:val="00E44BFF"/>
    <w:rsid w:val="00E502C7"/>
    <w:rsid w:val="00E507C4"/>
    <w:rsid w:val="00E518F2"/>
    <w:rsid w:val="00E5279D"/>
    <w:rsid w:val="00E53915"/>
    <w:rsid w:val="00E54617"/>
    <w:rsid w:val="00E546C6"/>
    <w:rsid w:val="00E54F46"/>
    <w:rsid w:val="00E600AF"/>
    <w:rsid w:val="00E60D23"/>
    <w:rsid w:val="00E67B52"/>
    <w:rsid w:val="00E710C0"/>
    <w:rsid w:val="00E7342C"/>
    <w:rsid w:val="00E77869"/>
    <w:rsid w:val="00E77C1D"/>
    <w:rsid w:val="00E77E11"/>
    <w:rsid w:val="00E80187"/>
    <w:rsid w:val="00E80FA1"/>
    <w:rsid w:val="00E8142A"/>
    <w:rsid w:val="00E81D00"/>
    <w:rsid w:val="00E9024F"/>
    <w:rsid w:val="00E91A7B"/>
    <w:rsid w:val="00E969AF"/>
    <w:rsid w:val="00E9766E"/>
    <w:rsid w:val="00EA2670"/>
    <w:rsid w:val="00EA3334"/>
    <w:rsid w:val="00EA3DED"/>
    <w:rsid w:val="00EA4951"/>
    <w:rsid w:val="00EB0837"/>
    <w:rsid w:val="00EB0EA0"/>
    <w:rsid w:val="00EB1447"/>
    <w:rsid w:val="00EB33D5"/>
    <w:rsid w:val="00EB3454"/>
    <w:rsid w:val="00EB41CC"/>
    <w:rsid w:val="00EB631A"/>
    <w:rsid w:val="00EB72DC"/>
    <w:rsid w:val="00EB7EAA"/>
    <w:rsid w:val="00EC0861"/>
    <w:rsid w:val="00EC3200"/>
    <w:rsid w:val="00EC5A28"/>
    <w:rsid w:val="00EC5CB7"/>
    <w:rsid w:val="00EC660D"/>
    <w:rsid w:val="00EC73DC"/>
    <w:rsid w:val="00EC75C3"/>
    <w:rsid w:val="00ED0F66"/>
    <w:rsid w:val="00ED13EE"/>
    <w:rsid w:val="00ED218F"/>
    <w:rsid w:val="00ED54C1"/>
    <w:rsid w:val="00ED64B5"/>
    <w:rsid w:val="00EE5CC5"/>
    <w:rsid w:val="00EE5F20"/>
    <w:rsid w:val="00EE7497"/>
    <w:rsid w:val="00EE7CB7"/>
    <w:rsid w:val="00EF0140"/>
    <w:rsid w:val="00EF0486"/>
    <w:rsid w:val="00EF190A"/>
    <w:rsid w:val="00EF20A8"/>
    <w:rsid w:val="00EF5DB8"/>
    <w:rsid w:val="00EF6C2B"/>
    <w:rsid w:val="00F0147F"/>
    <w:rsid w:val="00F019EE"/>
    <w:rsid w:val="00F036C3"/>
    <w:rsid w:val="00F044E3"/>
    <w:rsid w:val="00F1054B"/>
    <w:rsid w:val="00F14177"/>
    <w:rsid w:val="00F15504"/>
    <w:rsid w:val="00F15B30"/>
    <w:rsid w:val="00F2167C"/>
    <w:rsid w:val="00F22F5C"/>
    <w:rsid w:val="00F23234"/>
    <w:rsid w:val="00F2390B"/>
    <w:rsid w:val="00F24450"/>
    <w:rsid w:val="00F27203"/>
    <w:rsid w:val="00F31D39"/>
    <w:rsid w:val="00F3776D"/>
    <w:rsid w:val="00F419D2"/>
    <w:rsid w:val="00F43707"/>
    <w:rsid w:val="00F444BF"/>
    <w:rsid w:val="00F45335"/>
    <w:rsid w:val="00F47F14"/>
    <w:rsid w:val="00F5008C"/>
    <w:rsid w:val="00F504AF"/>
    <w:rsid w:val="00F50EE4"/>
    <w:rsid w:val="00F54C30"/>
    <w:rsid w:val="00F559DE"/>
    <w:rsid w:val="00F5610D"/>
    <w:rsid w:val="00F56B70"/>
    <w:rsid w:val="00F57D4C"/>
    <w:rsid w:val="00F60D92"/>
    <w:rsid w:val="00F63A9B"/>
    <w:rsid w:val="00F63EC7"/>
    <w:rsid w:val="00F666B0"/>
    <w:rsid w:val="00F6776F"/>
    <w:rsid w:val="00F67C60"/>
    <w:rsid w:val="00F703A6"/>
    <w:rsid w:val="00F70F50"/>
    <w:rsid w:val="00F76800"/>
    <w:rsid w:val="00F8067A"/>
    <w:rsid w:val="00F81617"/>
    <w:rsid w:val="00F8223F"/>
    <w:rsid w:val="00F823CD"/>
    <w:rsid w:val="00F829D3"/>
    <w:rsid w:val="00F82ED6"/>
    <w:rsid w:val="00F839B7"/>
    <w:rsid w:val="00F84219"/>
    <w:rsid w:val="00F8458C"/>
    <w:rsid w:val="00F852EF"/>
    <w:rsid w:val="00F8530E"/>
    <w:rsid w:val="00F8619C"/>
    <w:rsid w:val="00F8662F"/>
    <w:rsid w:val="00F86E03"/>
    <w:rsid w:val="00F96711"/>
    <w:rsid w:val="00F979DB"/>
    <w:rsid w:val="00FA4296"/>
    <w:rsid w:val="00FA5B4A"/>
    <w:rsid w:val="00FA639A"/>
    <w:rsid w:val="00FA7694"/>
    <w:rsid w:val="00FB0C7D"/>
    <w:rsid w:val="00FB0FFA"/>
    <w:rsid w:val="00FB188F"/>
    <w:rsid w:val="00FB30E8"/>
    <w:rsid w:val="00FB3114"/>
    <w:rsid w:val="00FB35C2"/>
    <w:rsid w:val="00FB361A"/>
    <w:rsid w:val="00FB6692"/>
    <w:rsid w:val="00FB69CA"/>
    <w:rsid w:val="00FB6E70"/>
    <w:rsid w:val="00FC0B78"/>
    <w:rsid w:val="00FC131D"/>
    <w:rsid w:val="00FC1E63"/>
    <w:rsid w:val="00FC693F"/>
    <w:rsid w:val="00FD099C"/>
    <w:rsid w:val="00FD2174"/>
    <w:rsid w:val="00FD4311"/>
    <w:rsid w:val="00FD46C1"/>
    <w:rsid w:val="00FD59E8"/>
    <w:rsid w:val="00FE27D4"/>
    <w:rsid w:val="00FE3709"/>
    <w:rsid w:val="00FE5D1B"/>
    <w:rsid w:val="00FF3F78"/>
    <w:rsid w:val="00FF4874"/>
    <w:rsid w:val="00FF51F5"/>
    <w:rsid w:val="00FF78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5152E6A8"/>
  <w15:docId w15:val="{2BD527C8-B169-442F-93BE-CFFE073EA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Titre1">
    <w:name w:val="heading 1"/>
    <w:basedOn w:val="Normal"/>
    <w:next w:val="Normal"/>
    <w:link w:val="Titre1C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itre9">
    <w:name w:val="heading 9"/>
    <w:basedOn w:val="Normal"/>
    <w:next w:val="Normal"/>
    <w:link w:val="Titre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618BF"/>
    <w:pPr>
      <w:tabs>
        <w:tab w:val="center" w:pos="4680"/>
        <w:tab w:val="right" w:pos="9360"/>
      </w:tabs>
      <w:spacing w:after="0" w:line="240" w:lineRule="auto"/>
    </w:pPr>
  </w:style>
  <w:style w:type="character" w:customStyle="1" w:styleId="En-tteCar">
    <w:name w:val="En-tête Car"/>
    <w:basedOn w:val="Policepardfaut"/>
    <w:link w:val="En-tte"/>
    <w:uiPriority w:val="99"/>
    <w:rsid w:val="00E618BF"/>
  </w:style>
  <w:style w:type="paragraph" w:styleId="Pieddepage">
    <w:name w:val="footer"/>
    <w:basedOn w:val="Normal"/>
    <w:link w:val="PieddepageCar"/>
    <w:uiPriority w:val="99"/>
    <w:unhideWhenUsed/>
    <w:rsid w:val="00E618BF"/>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E618BF"/>
  </w:style>
  <w:style w:type="paragraph" w:styleId="Sansinterligne">
    <w:name w:val="No Spacing"/>
    <w:link w:val="SansinterligneCar"/>
    <w:uiPriority w:val="1"/>
    <w:qFormat/>
    <w:rsid w:val="00FC693F"/>
    <w:pPr>
      <w:spacing w:after="0" w:line="240" w:lineRule="auto"/>
    </w:pPr>
  </w:style>
  <w:style w:type="character" w:customStyle="1" w:styleId="Titre1Car">
    <w:name w:val="Titre 1 Car"/>
    <w:basedOn w:val="Policepardfaut"/>
    <w:link w:val="Titre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FC693F"/>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FC693F"/>
    <w:rPr>
      <w:rFonts w:asciiTheme="majorHAnsi" w:eastAsiaTheme="majorEastAsia" w:hAnsiTheme="majorHAnsi" w:cstheme="majorBidi"/>
      <w:b/>
      <w:bCs/>
      <w:color w:val="4F81BD" w:themeColor="accent1"/>
    </w:rPr>
  </w:style>
  <w:style w:type="paragraph" w:styleId="Titre">
    <w:name w:val="Title"/>
    <w:basedOn w:val="Normal"/>
    <w:next w:val="Normal"/>
    <w:link w:val="Titre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FC693F"/>
    <w:rPr>
      <w:rFonts w:asciiTheme="majorHAnsi" w:eastAsiaTheme="majorEastAsia" w:hAnsiTheme="majorHAnsi" w:cstheme="majorBidi"/>
      <w:i/>
      <w:iCs/>
      <w:color w:val="4F81BD" w:themeColor="accent1"/>
      <w:spacing w:val="15"/>
      <w:sz w:val="24"/>
      <w:szCs w:val="24"/>
    </w:rPr>
  </w:style>
  <w:style w:type="paragraph" w:styleId="Paragraphedeliste">
    <w:name w:val="List Paragraph"/>
    <w:basedOn w:val="Normal"/>
    <w:uiPriority w:val="34"/>
    <w:qFormat/>
    <w:rsid w:val="00FC693F"/>
    <w:pPr>
      <w:ind w:left="720"/>
      <w:contextualSpacing/>
    </w:pPr>
  </w:style>
  <w:style w:type="paragraph" w:styleId="Corpsdetexte">
    <w:name w:val="Body Text"/>
    <w:basedOn w:val="Normal"/>
    <w:link w:val="CorpsdetexteCar"/>
    <w:uiPriority w:val="99"/>
    <w:unhideWhenUsed/>
    <w:rsid w:val="00AA1D8D"/>
    <w:pPr>
      <w:spacing w:after="120"/>
    </w:pPr>
  </w:style>
  <w:style w:type="character" w:customStyle="1" w:styleId="CorpsdetexteCar">
    <w:name w:val="Corps de texte Car"/>
    <w:basedOn w:val="Policepardfaut"/>
    <w:link w:val="Corpsdetexte"/>
    <w:uiPriority w:val="99"/>
    <w:rsid w:val="00AA1D8D"/>
  </w:style>
  <w:style w:type="paragraph" w:styleId="Corpsdetexte2">
    <w:name w:val="Body Text 2"/>
    <w:basedOn w:val="Normal"/>
    <w:link w:val="Corpsdetexte2Car"/>
    <w:uiPriority w:val="99"/>
    <w:unhideWhenUsed/>
    <w:rsid w:val="00AA1D8D"/>
    <w:pPr>
      <w:spacing w:after="120" w:line="480" w:lineRule="auto"/>
    </w:pPr>
  </w:style>
  <w:style w:type="character" w:customStyle="1" w:styleId="Corpsdetexte2Car">
    <w:name w:val="Corps de texte 2 Car"/>
    <w:basedOn w:val="Policepardfaut"/>
    <w:link w:val="Corpsdetexte2"/>
    <w:uiPriority w:val="99"/>
    <w:rsid w:val="00AA1D8D"/>
  </w:style>
  <w:style w:type="paragraph" w:styleId="Corpsdetexte3">
    <w:name w:val="Body Text 3"/>
    <w:basedOn w:val="Normal"/>
    <w:link w:val="Corpsdetexte3Car"/>
    <w:uiPriority w:val="99"/>
    <w:unhideWhenUsed/>
    <w:rsid w:val="00AA1D8D"/>
    <w:pPr>
      <w:spacing w:after="120"/>
    </w:pPr>
    <w:rPr>
      <w:sz w:val="16"/>
      <w:szCs w:val="16"/>
    </w:rPr>
  </w:style>
  <w:style w:type="character" w:customStyle="1" w:styleId="Corpsdetexte3Car">
    <w:name w:val="Corps de texte 3 Car"/>
    <w:basedOn w:val="Policepardfaut"/>
    <w:link w:val="Corpsdetexte3"/>
    <w:uiPriority w:val="99"/>
    <w:rsid w:val="00AA1D8D"/>
    <w:rPr>
      <w:sz w:val="16"/>
      <w:szCs w:val="16"/>
    </w:rPr>
  </w:style>
  <w:style w:type="paragraph" w:styleId="Liste">
    <w:name w:val="List"/>
    <w:basedOn w:val="Normal"/>
    <w:uiPriority w:val="99"/>
    <w:unhideWhenUsed/>
    <w:rsid w:val="00AA1D8D"/>
    <w:pPr>
      <w:ind w:left="360" w:hanging="360"/>
      <w:contextualSpacing/>
    </w:pPr>
  </w:style>
  <w:style w:type="paragraph" w:styleId="Liste2">
    <w:name w:val="List 2"/>
    <w:basedOn w:val="Normal"/>
    <w:uiPriority w:val="99"/>
    <w:unhideWhenUsed/>
    <w:rsid w:val="00326F90"/>
    <w:pPr>
      <w:ind w:left="720" w:hanging="360"/>
      <w:contextualSpacing/>
    </w:pPr>
  </w:style>
  <w:style w:type="paragraph" w:styleId="Liste3">
    <w:name w:val="List 3"/>
    <w:basedOn w:val="Normal"/>
    <w:uiPriority w:val="99"/>
    <w:unhideWhenUsed/>
    <w:rsid w:val="00326F90"/>
    <w:pPr>
      <w:ind w:left="1080" w:hanging="360"/>
      <w:contextualSpacing/>
    </w:pPr>
  </w:style>
  <w:style w:type="paragraph" w:styleId="Listepuces">
    <w:name w:val="List Bullet"/>
    <w:basedOn w:val="Normal"/>
    <w:uiPriority w:val="99"/>
    <w:unhideWhenUsed/>
    <w:rsid w:val="00326F90"/>
    <w:pPr>
      <w:numPr>
        <w:numId w:val="1"/>
      </w:numPr>
      <w:contextualSpacing/>
    </w:pPr>
  </w:style>
  <w:style w:type="paragraph" w:styleId="Listepuces2">
    <w:name w:val="List Bullet 2"/>
    <w:basedOn w:val="Normal"/>
    <w:uiPriority w:val="99"/>
    <w:unhideWhenUsed/>
    <w:rsid w:val="00326F90"/>
    <w:pPr>
      <w:numPr>
        <w:numId w:val="2"/>
      </w:numPr>
      <w:contextualSpacing/>
    </w:pPr>
  </w:style>
  <w:style w:type="paragraph" w:styleId="Listepuces3">
    <w:name w:val="List Bullet 3"/>
    <w:basedOn w:val="Normal"/>
    <w:uiPriority w:val="99"/>
    <w:unhideWhenUsed/>
    <w:rsid w:val="00326F90"/>
    <w:pPr>
      <w:numPr>
        <w:numId w:val="3"/>
      </w:numPr>
      <w:contextualSpacing/>
    </w:pPr>
  </w:style>
  <w:style w:type="paragraph" w:styleId="Listenumros">
    <w:name w:val="List Number"/>
    <w:basedOn w:val="Normal"/>
    <w:uiPriority w:val="99"/>
    <w:unhideWhenUsed/>
    <w:rsid w:val="00326F90"/>
    <w:pPr>
      <w:numPr>
        <w:numId w:val="5"/>
      </w:numPr>
      <w:contextualSpacing/>
    </w:pPr>
  </w:style>
  <w:style w:type="paragraph" w:styleId="Listenumros2">
    <w:name w:val="List Number 2"/>
    <w:basedOn w:val="Normal"/>
    <w:uiPriority w:val="99"/>
    <w:unhideWhenUsed/>
    <w:rsid w:val="0029639D"/>
    <w:pPr>
      <w:numPr>
        <w:numId w:val="6"/>
      </w:numPr>
      <w:contextualSpacing/>
    </w:pPr>
  </w:style>
  <w:style w:type="paragraph" w:styleId="Listenumros3">
    <w:name w:val="List Number 3"/>
    <w:basedOn w:val="Normal"/>
    <w:uiPriority w:val="99"/>
    <w:unhideWhenUsed/>
    <w:rsid w:val="0029639D"/>
    <w:pPr>
      <w:numPr>
        <w:numId w:val="7"/>
      </w:numPr>
      <w:contextualSpacing/>
    </w:pPr>
  </w:style>
  <w:style w:type="paragraph" w:styleId="Listecontinue">
    <w:name w:val="List Continue"/>
    <w:basedOn w:val="Normal"/>
    <w:uiPriority w:val="99"/>
    <w:unhideWhenUsed/>
    <w:rsid w:val="0029639D"/>
    <w:pPr>
      <w:spacing w:after="120"/>
      <w:ind w:left="360"/>
      <w:contextualSpacing/>
    </w:pPr>
  </w:style>
  <w:style w:type="paragraph" w:styleId="Listecontinue2">
    <w:name w:val="List Continue 2"/>
    <w:basedOn w:val="Normal"/>
    <w:uiPriority w:val="99"/>
    <w:unhideWhenUsed/>
    <w:rsid w:val="0029639D"/>
    <w:pPr>
      <w:spacing w:after="120"/>
      <w:ind w:left="720"/>
      <w:contextualSpacing/>
    </w:pPr>
  </w:style>
  <w:style w:type="paragraph" w:styleId="Listecontinue3">
    <w:name w:val="List Continue 3"/>
    <w:basedOn w:val="Normal"/>
    <w:uiPriority w:val="99"/>
    <w:unhideWhenUsed/>
    <w:rsid w:val="0029639D"/>
    <w:pPr>
      <w:spacing w:after="120"/>
      <w:ind w:left="1080"/>
      <w:contextualSpacing/>
    </w:pPr>
  </w:style>
  <w:style w:type="paragraph" w:styleId="Textedemacro">
    <w:name w:val="macro"/>
    <w:link w:val="Textede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edemacroCar">
    <w:name w:val="Texte de macro Car"/>
    <w:basedOn w:val="Policepardfaut"/>
    <w:link w:val="Textedemacro"/>
    <w:uiPriority w:val="99"/>
    <w:rsid w:val="0029639D"/>
    <w:rPr>
      <w:rFonts w:ascii="Courier" w:hAnsi="Courier"/>
      <w:sz w:val="20"/>
      <w:szCs w:val="20"/>
    </w:rPr>
  </w:style>
  <w:style w:type="paragraph" w:styleId="Citation">
    <w:name w:val="Quote"/>
    <w:basedOn w:val="Normal"/>
    <w:next w:val="Normal"/>
    <w:link w:val="CitationCar"/>
    <w:uiPriority w:val="29"/>
    <w:qFormat/>
    <w:rsid w:val="00FC693F"/>
    <w:rPr>
      <w:i/>
      <w:iCs/>
      <w:color w:val="000000" w:themeColor="text1"/>
    </w:rPr>
  </w:style>
  <w:style w:type="character" w:customStyle="1" w:styleId="CitationCar">
    <w:name w:val="Citation Car"/>
    <w:basedOn w:val="Policepardfaut"/>
    <w:link w:val="Citation"/>
    <w:uiPriority w:val="29"/>
    <w:rsid w:val="00FC693F"/>
    <w:rPr>
      <w:i/>
      <w:iCs/>
      <w:color w:val="000000" w:themeColor="text1"/>
    </w:rPr>
  </w:style>
  <w:style w:type="character" w:customStyle="1" w:styleId="Titre4Car">
    <w:name w:val="Titre 4 Car"/>
    <w:basedOn w:val="Policepardfaut"/>
    <w:link w:val="Titre4"/>
    <w:uiPriority w:val="9"/>
    <w:semiHidden/>
    <w:rsid w:val="00FC693F"/>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FC693F"/>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FC693F"/>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FC693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FC693F"/>
    <w:rPr>
      <w:rFonts w:asciiTheme="majorHAnsi" w:eastAsiaTheme="majorEastAsia" w:hAnsiTheme="majorHAnsi" w:cstheme="majorBidi"/>
      <w:color w:val="4F81BD" w:themeColor="accent1"/>
      <w:sz w:val="20"/>
      <w:szCs w:val="20"/>
    </w:rPr>
  </w:style>
  <w:style w:type="character" w:customStyle="1" w:styleId="Titre9Car">
    <w:name w:val="Titre 9 Car"/>
    <w:basedOn w:val="Policepardfaut"/>
    <w:link w:val="Titre9"/>
    <w:uiPriority w:val="9"/>
    <w:semiHidden/>
    <w:rsid w:val="00FC693F"/>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unhideWhenUsed/>
    <w:qFormat/>
    <w:rsid w:val="00FC693F"/>
    <w:pPr>
      <w:spacing w:line="240" w:lineRule="auto"/>
    </w:pPr>
    <w:rPr>
      <w:b/>
      <w:bCs/>
      <w:color w:val="4F81BD" w:themeColor="accent1"/>
      <w:sz w:val="18"/>
      <w:szCs w:val="18"/>
    </w:rPr>
  </w:style>
  <w:style w:type="character" w:styleId="lev">
    <w:name w:val="Strong"/>
    <w:basedOn w:val="Policepardfaut"/>
    <w:uiPriority w:val="22"/>
    <w:qFormat/>
    <w:rsid w:val="00FC693F"/>
    <w:rPr>
      <w:b/>
      <w:bCs/>
    </w:rPr>
  </w:style>
  <w:style w:type="character" w:styleId="Accentuation">
    <w:name w:val="Emphasis"/>
    <w:basedOn w:val="Policepardfaut"/>
    <w:uiPriority w:val="20"/>
    <w:qFormat/>
    <w:rsid w:val="00FC693F"/>
    <w:rPr>
      <w:i/>
      <w:iCs/>
    </w:rPr>
  </w:style>
  <w:style w:type="paragraph" w:styleId="Citationintense">
    <w:name w:val="Intense Quote"/>
    <w:basedOn w:val="Normal"/>
    <w:next w:val="Normal"/>
    <w:link w:val="Citationintense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FC693F"/>
    <w:rPr>
      <w:b/>
      <w:bCs/>
      <w:i/>
      <w:iCs/>
      <w:color w:val="4F81BD" w:themeColor="accent1"/>
    </w:rPr>
  </w:style>
  <w:style w:type="character" w:styleId="Accentuationlgre">
    <w:name w:val="Subtle Emphasis"/>
    <w:basedOn w:val="Policepardfaut"/>
    <w:uiPriority w:val="19"/>
    <w:qFormat/>
    <w:rsid w:val="00FC693F"/>
    <w:rPr>
      <w:i/>
      <w:iCs/>
      <w:color w:val="808080" w:themeColor="text1" w:themeTint="7F"/>
    </w:rPr>
  </w:style>
  <w:style w:type="character" w:styleId="Accentuationintense">
    <w:name w:val="Intense Emphasis"/>
    <w:basedOn w:val="Policepardfaut"/>
    <w:uiPriority w:val="21"/>
    <w:qFormat/>
    <w:rsid w:val="00FC693F"/>
    <w:rPr>
      <w:b/>
      <w:bCs/>
      <w:i/>
      <w:iCs/>
      <w:color w:val="4F81BD" w:themeColor="accent1"/>
    </w:rPr>
  </w:style>
  <w:style w:type="character" w:styleId="Rfrencelgre">
    <w:name w:val="Subtle Reference"/>
    <w:basedOn w:val="Policepardfaut"/>
    <w:uiPriority w:val="31"/>
    <w:qFormat/>
    <w:rsid w:val="00FC693F"/>
    <w:rPr>
      <w:smallCaps/>
      <w:color w:val="C0504D" w:themeColor="accent2"/>
      <w:u w:val="single"/>
    </w:rPr>
  </w:style>
  <w:style w:type="character" w:styleId="Rfrenceintense">
    <w:name w:val="Intense Reference"/>
    <w:basedOn w:val="Policepardfaut"/>
    <w:uiPriority w:val="32"/>
    <w:qFormat/>
    <w:rsid w:val="00FC693F"/>
    <w:rPr>
      <w:b/>
      <w:bCs/>
      <w:smallCaps/>
      <w:color w:val="C0504D" w:themeColor="accent2"/>
      <w:spacing w:val="5"/>
      <w:u w:val="single"/>
    </w:rPr>
  </w:style>
  <w:style w:type="character" w:styleId="Titredulivre">
    <w:name w:val="Book Title"/>
    <w:basedOn w:val="Policepardfaut"/>
    <w:uiPriority w:val="33"/>
    <w:qFormat/>
    <w:rsid w:val="00FC693F"/>
    <w:rPr>
      <w:b/>
      <w:bCs/>
      <w:smallCaps/>
      <w:spacing w:val="5"/>
    </w:rPr>
  </w:style>
  <w:style w:type="paragraph" w:styleId="En-ttedetabledesmatires">
    <w:name w:val="TOC Heading"/>
    <w:basedOn w:val="Titre1"/>
    <w:next w:val="Normal"/>
    <w:uiPriority w:val="39"/>
    <w:semiHidden/>
    <w:unhideWhenUsed/>
    <w:qFormat/>
    <w:rsid w:val="00FC693F"/>
    <w:pPr>
      <w:outlineLvl w:val="9"/>
    </w:pPr>
  </w:style>
  <w:style w:type="table" w:styleId="Grilledutableau">
    <w:name w:val="Table Grid"/>
    <w:basedOn w:val="TableauNormal"/>
    <w:uiPriority w:val="3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mbrageclair">
    <w:name w:val="Light Shading"/>
    <w:basedOn w:val="Tableau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rameclaire-Accent2">
    <w:name w:val="Light Shading Accent 2"/>
    <w:basedOn w:val="Tableau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rameclaire-Accent3">
    <w:name w:val="Light Shading Accent 3"/>
    <w:basedOn w:val="Tableau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rameclaire-Accent4">
    <w:name w:val="Light Shading Accent 4"/>
    <w:basedOn w:val="Tableau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rameclaire-Accent5">
    <w:name w:val="Light Shading Accent 5"/>
    <w:basedOn w:val="Tableau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rameclaire-Accent6">
    <w:name w:val="Light Shading Accent 6"/>
    <w:basedOn w:val="Tableau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eclaire">
    <w:name w:val="Light List"/>
    <w:basedOn w:val="Tableau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eclaire-Accent2">
    <w:name w:val="Light List Accent 2"/>
    <w:basedOn w:val="Tableau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eclaire-Accent3">
    <w:name w:val="Light List Accent 3"/>
    <w:basedOn w:val="Tableau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eclaire-Accent4">
    <w:name w:val="Light List Accent 4"/>
    <w:basedOn w:val="Tableau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eclaire-Accent5">
    <w:name w:val="Light List Accent 5"/>
    <w:basedOn w:val="Tableau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eclaire-Accent6">
    <w:name w:val="Light List Accent 6"/>
    <w:basedOn w:val="Tableau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Grilleclaire">
    <w:name w:val="Light Grid"/>
    <w:basedOn w:val="Tableau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claire-Accent2">
    <w:name w:val="Light Grid Accent 2"/>
    <w:basedOn w:val="Tableau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claire-Accent3">
    <w:name w:val="Light Grid Accent 3"/>
    <w:basedOn w:val="Tableau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Accent4">
    <w:name w:val="Light Grid Accent 4"/>
    <w:basedOn w:val="Tableau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Grilleclaire-Accent5">
    <w:name w:val="Light Grid Accent 5"/>
    <w:basedOn w:val="Tableau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illeclaire-Accent6">
    <w:name w:val="Light Grid Accent 6"/>
    <w:basedOn w:val="Tableau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Tramemoyenne1">
    <w:name w:val="Medium Shading 1"/>
    <w:basedOn w:val="Tableau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1">
    <w:name w:val="Medium Shading 2 Accent 1"/>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1">
    <w:name w:val="Medium List 1"/>
    <w:basedOn w:val="Tableau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emoyenne1-Accent2">
    <w:name w:val="Medium List 1 Accent 2"/>
    <w:basedOn w:val="Tableau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emoyenne1-Accent3">
    <w:name w:val="Medium List 1 Accent 3"/>
    <w:basedOn w:val="Tableau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emoyenne1-Accent4">
    <w:name w:val="Medium List 1 Accent 4"/>
    <w:basedOn w:val="Tableau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emoyenne1-Accent5">
    <w:name w:val="Medium List 1 Accent 5"/>
    <w:basedOn w:val="Tableau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emoyenne1-Accent6">
    <w:name w:val="Medium List 1 Accent 6"/>
    <w:basedOn w:val="Tableau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emoyenne2">
    <w:name w:val="Medium Lis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1">
    <w:name w:val="Medium Grid 1"/>
    <w:basedOn w:val="Tableau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moyenne1-Accent2">
    <w:name w:val="Medium Grid 1 Accent 2"/>
    <w:basedOn w:val="Tableau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moyenne1-Accent3">
    <w:name w:val="Medium Grid 1 Accent 3"/>
    <w:basedOn w:val="Tableau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moyenne1-Accent4">
    <w:name w:val="Medium Grid 1 Accent 4"/>
    <w:basedOn w:val="Tableau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moyenne1-Accent5">
    <w:name w:val="Medium Grid 1 Accent 5"/>
    <w:basedOn w:val="Tableau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moyenne1-Accent6">
    <w:name w:val="Medium Grid 1 Accent 6"/>
    <w:basedOn w:val="Tableau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rillemoyenne2">
    <w:name w:val="Medium Grid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illemoyenne3-Accent2">
    <w:name w:val="Medium Grid 3 Accent 2"/>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rillemoyenne3-Accent3">
    <w:name w:val="Medium Grid 3 Accent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illemoyenne3-Accent4">
    <w:name w:val="Medium Grid 3 Accent 4"/>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illemoyenne3-Accent5">
    <w:name w:val="Medium Grid 3 Accent 5"/>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illemoyenne3-Accent6">
    <w:name w:val="Medium Grid 3 Accent 6"/>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efonce">
    <w:name w:val="Dark List"/>
    <w:basedOn w:val="Tableau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efonce-Accent2">
    <w:name w:val="Dark List Accent 2"/>
    <w:basedOn w:val="Tableau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efonce-Accent3">
    <w:name w:val="Dark List Accent 3"/>
    <w:basedOn w:val="Tableau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efonce-Accent4">
    <w:name w:val="Dark List Accent 4"/>
    <w:basedOn w:val="Tableau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efonce-Accent5">
    <w:name w:val="Dark List Accent 5"/>
    <w:basedOn w:val="Tableau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efonce-Accent6">
    <w:name w:val="Dark List Accent 6"/>
    <w:basedOn w:val="Tableau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Tramecouleur">
    <w:name w:val="Colorful Shading"/>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Tramecouleur-Accent4">
    <w:name w:val="Colorful Shading Accent 4"/>
    <w:basedOn w:val="Tableau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ecouleur">
    <w:name w:val="Colorful List"/>
    <w:basedOn w:val="Tableau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ecouleur-Accent2">
    <w:name w:val="Colorful List Accent 2"/>
    <w:basedOn w:val="Tableau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ecouleur-Accent3">
    <w:name w:val="Colorful List Accent 3"/>
    <w:basedOn w:val="Tableau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ecouleur-Accent4">
    <w:name w:val="Colorful List Accent 4"/>
    <w:basedOn w:val="Tableau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ecouleur-Accent5">
    <w:name w:val="Colorful List Accent 5"/>
    <w:basedOn w:val="Tableau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ecouleur-Accent6">
    <w:name w:val="Colorful List Accent 6"/>
    <w:basedOn w:val="Tableau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Grillecouleur">
    <w:name w:val="Colorful Grid"/>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couleur-Accent2">
    <w:name w:val="Colorful Grid Accent 2"/>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couleur-Accent3">
    <w:name w:val="Colorful Grid Accent 3"/>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couleur-Accent4">
    <w:name w:val="Colorful Grid Accent 4"/>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couleur-Accent5">
    <w:name w:val="Colorful Grid Accent 5"/>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couleur-Accent6">
    <w:name w:val="Colorful Grid Accent 6"/>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Lienhypertexte">
    <w:name w:val="Hyperlink"/>
    <w:basedOn w:val="Policepardfaut"/>
    <w:uiPriority w:val="99"/>
    <w:unhideWhenUsed/>
    <w:rsid w:val="006D0A96"/>
    <w:rPr>
      <w:color w:val="0000FF" w:themeColor="hyperlink"/>
      <w:u w:val="single"/>
    </w:rPr>
  </w:style>
  <w:style w:type="character" w:customStyle="1" w:styleId="Mentionnonrsolue1">
    <w:name w:val="Mention non résolue1"/>
    <w:basedOn w:val="Policepardfaut"/>
    <w:uiPriority w:val="99"/>
    <w:semiHidden/>
    <w:unhideWhenUsed/>
    <w:rsid w:val="006D0A96"/>
    <w:rPr>
      <w:color w:val="605E5C"/>
      <w:shd w:val="clear" w:color="auto" w:fill="E1DFDD"/>
    </w:rPr>
  </w:style>
  <w:style w:type="table" w:customStyle="1" w:styleId="TableGrid">
    <w:name w:val="TableGrid"/>
    <w:rsid w:val="00976683"/>
    <w:pPr>
      <w:spacing w:after="0" w:line="240" w:lineRule="auto"/>
    </w:pPr>
    <w:rPr>
      <w:lang w:val="fr-FR" w:eastAsia="fr-FR"/>
    </w:rPr>
    <w:tblPr>
      <w:tblCellMar>
        <w:top w:w="0" w:type="dxa"/>
        <w:left w:w="0" w:type="dxa"/>
        <w:bottom w:w="0" w:type="dxa"/>
        <w:right w:w="0" w:type="dxa"/>
      </w:tblCellMar>
    </w:tblPr>
  </w:style>
  <w:style w:type="character" w:customStyle="1" w:styleId="SansinterligneCar">
    <w:name w:val="Sans interligne Car"/>
    <w:basedOn w:val="Policepardfaut"/>
    <w:link w:val="Sansinterligne"/>
    <w:uiPriority w:val="1"/>
    <w:rsid w:val="00976683"/>
  </w:style>
  <w:style w:type="character" w:styleId="Marquedecommentaire">
    <w:name w:val="annotation reference"/>
    <w:basedOn w:val="Policepardfaut"/>
    <w:uiPriority w:val="99"/>
    <w:semiHidden/>
    <w:unhideWhenUsed/>
    <w:rsid w:val="00E77E11"/>
    <w:rPr>
      <w:sz w:val="16"/>
      <w:szCs w:val="16"/>
    </w:rPr>
  </w:style>
  <w:style w:type="paragraph" w:styleId="NormalWeb">
    <w:name w:val="Normal (Web)"/>
    <w:basedOn w:val="Normal"/>
    <w:uiPriority w:val="99"/>
    <w:semiHidden/>
    <w:unhideWhenUsed/>
    <w:rsid w:val="00750825"/>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ausimple21">
    <w:name w:val="Tableau simple 21"/>
    <w:basedOn w:val="TableauNormal"/>
    <w:uiPriority w:val="42"/>
    <w:rsid w:val="0069280B"/>
    <w:pPr>
      <w:spacing w:after="0" w:line="240" w:lineRule="auto"/>
    </w:pPr>
    <w:rPr>
      <w:rFonts w:eastAsiaTheme="minorHAnsi"/>
      <w:lang w:val="fr-F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vision">
    <w:name w:val="Revision"/>
    <w:hidden/>
    <w:uiPriority w:val="99"/>
    <w:semiHidden/>
    <w:rsid w:val="001E3D00"/>
    <w:pPr>
      <w:spacing w:after="0" w:line="240" w:lineRule="auto"/>
    </w:pPr>
  </w:style>
  <w:style w:type="paragraph" w:styleId="Commentaire">
    <w:name w:val="annotation text"/>
    <w:basedOn w:val="Normal"/>
    <w:link w:val="CommentaireCar"/>
    <w:uiPriority w:val="99"/>
    <w:unhideWhenUsed/>
    <w:rsid w:val="001E3D00"/>
    <w:pPr>
      <w:spacing w:line="240" w:lineRule="auto"/>
    </w:pPr>
    <w:rPr>
      <w:sz w:val="20"/>
      <w:szCs w:val="20"/>
    </w:rPr>
  </w:style>
  <w:style w:type="character" w:customStyle="1" w:styleId="CommentaireCar">
    <w:name w:val="Commentaire Car"/>
    <w:basedOn w:val="Policepardfaut"/>
    <w:link w:val="Commentaire"/>
    <w:uiPriority w:val="99"/>
    <w:rsid w:val="001E3D00"/>
    <w:rPr>
      <w:sz w:val="20"/>
      <w:szCs w:val="20"/>
    </w:rPr>
  </w:style>
  <w:style w:type="paragraph" w:styleId="Objetducommentaire">
    <w:name w:val="annotation subject"/>
    <w:basedOn w:val="Commentaire"/>
    <w:next w:val="Commentaire"/>
    <w:link w:val="ObjetducommentaireCar"/>
    <w:uiPriority w:val="99"/>
    <w:semiHidden/>
    <w:unhideWhenUsed/>
    <w:rsid w:val="001E3D00"/>
    <w:rPr>
      <w:b/>
      <w:bCs/>
    </w:rPr>
  </w:style>
  <w:style w:type="character" w:customStyle="1" w:styleId="ObjetducommentaireCar">
    <w:name w:val="Objet du commentaire Car"/>
    <w:basedOn w:val="CommentaireCar"/>
    <w:link w:val="Objetducommentaire"/>
    <w:uiPriority w:val="99"/>
    <w:semiHidden/>
    <w:rsid w:val="001E3D00"/>
    <w:rPr>
      <w:b/>
      <w:bCs/>
      <w:sz w:val="20"/>
      <w:szCs w:val="20"/>
    </w:rPr>
  </w:style>
  <w:style w:type="table" w:customStyle="1" w:styleId="TableauListe6Couleur1">
    <w:name w:val="Tableau Liste 6 Couleur1"/>
    <w:basedOn w:val="TableauNormal"/>
    <w:uiPriority w:val="51"/>
    <w:rsid w:val="001E15C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edebulles">
    <w:name w:val="Balloon Text"/>
    <w:basedOn w:val="Normal"/>
    <w:link w:val="TextedebullesCar"/>
    <w:uiPriority w:val="99"/>
    <w:semiHidden/>
    <w:unhideWhenUsed/>
    <w:rsid w:val="00771A20"/>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71A20"/>
    <w:rPr>
      <w:rFonts w:ascii="Segoe UI" w:hAnsi="Segoe UI" w:cs="Segoe UI"/>
      <w:sz w:val="18"/>
      <w:szCs w:val="18"/>
    </w:rPr>
  </w:style>
  <w:style w:type="character" w:styleId="Textedelespacerserv">
    <w:name w:val="Placeholder Text"/>
    <w:basedOn w:val="Policepardfaut"/>
    <w:uiPriority w:val="99"/>
    <w:semiHidden/>
    <w:rsid w:val="00A667CD"/>
    <w:rPr>
      <w:color w:val="808080"/>
    </w:rPr>
  </w:style>
  <w:style w:type="character" w:customStyle="1" w:styleId="whitespace-normal">
    <w:name w:val="whitespace-normal"/>
    <w:basedOn w:val="Policepardfaut"/>
    <w:rsid w:val="00C12C1A"/>
  </w:style>
  <w:style w:type="paragraph" w:styleId="Bibliographie">
    <w:name w:val="Bibliography"/>
    <w:basedOn w:val="Normal"/>
    <w:next w:val="Normal"/>
    <w:uiPriority w:val="37"/>
    <w:unhideWhenUsed/>
    <w:rsid w:val="00305322"/>
    <w:rPr>
      <w:rFonts w:eastAsiaTheme="minorHAnsi"/>
      <w:lang w:val="fr-FR"/>
    </w:rPr>
  </w:style>
  <w:style w:type="character" w:styleId="Mentionnonrsolue">
    <w:name w:val="Unresolved Mention"/>
    <w:basedOn w:val="Policepardfaut"/>
    <w:uiPriority w:val="99"/>
    <w:semiHidden/>
    <w:unhideWhenUsed/>
    <w:rsid w:val="000D2F0D"/>
    <w:rPr>
      <w:color w:val="605E5C"/>
      <w:shd w:val="clear" w:color="auto" w:fill="E1DFDD"/>
    </w:rPr>
  </w:style>
  <w:style w:type="character" w:styleId="Numrodeligne">
    <w:name w:val="line number"/>
    <w:basedOn w:val="Policepardfaut"/>
    <w:uiPriority w:val="99"/>
    <w:semiHidden/>
    <w:unhideWhenUsed/>
    <w:rsid w:val="001C56FF"/>
  </w:style>
  <w:style w:type="character" w:customStyle="1" w:styleId="bzpyqfadein">
    <w:name w:val="bz_pyq_fadein"/>
    <w:basedOn w:val="Policepardfaut"/>
    <w:rsid w:val="00FC13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718343">
      <w:bodyDiv w:val="1"/>
      <w:marLeft w:val="0"/>
      <w:marRight w:val="0"/>
      <w:marTop w:val="0"/>
      <w:marBottom w:val="0"/>
      <w:divBdr>
        <w:top w:val="none" w:sz="0" w:space="0" w:color="auto"/>
        <w:left w:val="none" w:sz="0" w:space="0" w:color="auto"/>
        <w:bottom w:val="none" w:sz="0" w:space="0" w:color="auto"/>
        <w:right w:val="none" w:sz="0" w:space="0" w:color="auto"/>
      </w:divBdr>
    </w:div>
    <w:div w:id="173034359">
      <w:bodyDiv w:val="1"/>
      <w:marLeft w:val="0"/>
      <w:marRight w:val="0"/>
      <w:marTop w:val="0"/>
      <w:marBottom w:val="0"/>
      <w:divBdr>
        <w:top w:val="none" w:sz="0" w:space="0" w:color="auto"/>
        <w:left w:val="none" w:sz="0" w:space="0" w:color="auto"/>
        <w:bottom w:val="none" w:sz="0" w:space="0" w:color="auto"/>
        <w:right w:val="none" w:sz="0" w:space="0" w:color="auto"/>
      </w:divBdr>
    </w:div>
    <w:div w:id="181555456">
      <w:bodyDiv w:val="1"/>
      <w:marLeft w:val="0"/>
      <w:marRight w:val="0"/>
      <w:marTop w:val="0"/>
      <w:marBottom w:val="0"/>
      <w:divBdr>
        <w:top w:val="none" w:sz="0" w:space="0" w:color="auto"/>
        <w:left w:val="none" w:sz="0" w:space="0" w:color="auto"/>
        <w:bottom w:val="none" w:sz="0" w:space="0" w:color="auto"/>
        <w:right w:val="none" w:sz="0" w:space="0" w:color="auto"/>
      </w:divBdr>
    </w:div>
    <w:div w:id="251622047">
      <w:bodyDiv w:val="1"/>
      <w:marLeft w:val="0"/>
      <w:marRight w:val="0"/>
      <w:marTop w:val="0"/>
      <w:marBottom w:val="0"/>
      <w:divBdr>
        <w:top w:val="none" w:sz="0" w:space="0" w:color="auto"/>
        <w:left w:val="none" w:sz="0" w:space="0" w:color="auto"/>
        <w:bottom w:val="none" w:sz="0" w:space="0" w:color="auto"/>
        <w:right w:val="none" w:sz="0" w:space="0" w:color="auto"/>
      </w:divBdr>
    </w:div>
    <w:div w:id="287051258">
      <w:bodyDiv w:val="1"/>
      <w:marLeft w:val="0"/>
      <w:marRight w:val="0"/>
      <w:marTop w:val="0"/>
      <w:marBottom w:val="0"/>
      <w:divBdr>
        <w:top w:val="none" w:sz="0" w:space="0" w:color="auto"/>
        <w:left w:val="none" w:sz="0" w:space="0" w:color="auto"/>
        <w:bottom w:val="none" w:sz="0" w:space="0" w:color="auto"/>
        <w:right w:val="none" w:sz="0" w:space="0" w:color="auto"/>
      </w:divBdr>
    </w:div>
    <w:div w:id="324404817">
      <w:bodyDiv w:val="1"/>
      <w:marLeft w:val="0"/>
      <w:marRight w:val="0"/>
      <w:marTop w:val="0"/>
      <w:marBottom w:val="0"/>
      <w:divBdr>
        <w:top w:val="none" w:sz="0" w:space="0" w:color="auto"/>
        <w:left w:val="none" w:sz="0" w:space="0" w:color="auto"/>
        <w:bottom w:val="none" w:sz="0" w:space="0" w:color="auto"/>
        <w:right w:val="none" w:sz="0" w:space="0" w:color="auto"/>
      </w:divBdr>
    </w:div>
    <w:div w:id="456533881">
      <w:bodyDiv w:val="1"/>
      <w:marLeft w:val="0"/>
      <w:marRight w:val="0"/>
      <w:marTop w:val="0"/>
      <w:marBottom w:val="0"/>
      <w:divBdr>
        <w:top w:val="none" w:sz="0" w:space="0" w:color="auto"/>
        <w:left w:val="none" w:sz="0" w:space="0" w:color="auto"/>
        <w:bottom w:val="none" w:sz="0" w:space="0" w:color="auto"/>
        <w:right w:val="none" w:sz="0" w:space="0" w:color="auto"/>
      </w:divBdr>
    </w:div>
    <w:div w:id="480468420">
      <w:bodyDiv w:val="1"/>
      <w:marLeft w:val="0"/>
      <w:marRight w:val="0"/>
      <w:marTop w:val="0"/>
      <w:marBottom w:val="0"/>
      <w:divBdr>
        <w:top w:val="none" w:sz="0" w:space="0" w:color="auto"/>
        <w:left w:val="none" w:sz="0" w:space="0" w:color="auto"/>
        <w:bottom w:val="none" w:sz="0" w:space="0" w:color="auto"/>
        <w:right w:val="none" w:sz="0" w:space="0" w:color="auto"/>
      </w:divBdr>
    </w:div>
    <w:div w:id="624190492">
      <w:bodyDiv w:val="1"/>
      <w:marLeft w:val="0"/>
      <w:marRight w:val="0"/>
      <w:marTop w:val="0"/>
      <w:marBottom w:val="0"/>
      <w:divBdr>
        <w:top w:val="none" w:sz="0" w:space="0" w:color="auto"/>
        <w:left w:val="none" w:sz="0" w:space="0" w:color="auto"/>
        <w:bottom w:val="none" w:sz="0" w:space="0" w:color="auto"/>
        <w:right w:val="none" w:sz="0" w:space="0" w:color="auto"/>
      </w:divBdr>
    </w:div>
    <w:div w:id="682510147">
      <w:bodyDiv w:val="1"/>
      <w:marLeft w:val="0"/>
      <w:marRight w:val="0"/>
      <w:marTop w:val="0"/>
      <w:marBottom w:val="0"/>
      <w:divBdr>
        <w:top w:val="none" w:sz="0" w:space="0" w:color="auto"/>
        <w:left w:val="none" w:sz="0" w:space="0" w:color="auto"/>
        <w:bottom w:val="none" w:sz="0" w:space="0" w:color="auto"/>
        <w:right w:val="none" w:sz="0" w:space="0" w:color="auto"/>
      </w:divBdr>
    </w:div>
    <w:div w:id="734668630">
      <w:bodyDiv w:val="1"/>
      <w:marLeft w:val="0"/>
      <w:marRight w:val="0"/>
      <w:marTop w:val="0"/>
      <w:marBottom w:val="0"/>
      <w:divBdr>
        <w:top w:val="none" w:sz="0" w:space="0" w:color="auto"/>
        <w:left w:val="none" w:sz="0" w:space="0" w:color="auto"/>
        <w:bottom w:val="none" w:sz="0" w:space="0" w:color="auto"/>
        <w:right w:val="none" w:sz="0" w:space="0" w:color="auto"/>
      </w:divBdr>
    </w:div>
    <w:div w:id="826436245">
      <w:bodyDiv w:val="1"/>
      <w:marLeft w:val="0"/>
      <w:marRight w:val="0"/>
      <w:marTop w:val="0"/>
      <w:marBottom w:val="0"/>
      <w:divBdr>
        <w:top w:val="none" w:sz="0" w:space="0" w:color="auto"/>
        <w:left w:val="none" w:sz="0" w:space="0" w:color="auto"/>
        <w:bottom w:val="none" w:sz="0" w:space="0" w:color="auto"/>
        <w:right w:val="none" w:sz="0" w:space="0" w:color="auto"/>
      </w:divBdr>
    </w:div>
    <w:div w:id="914818689">
      <w:bodyDiv w:val="1"/>
      <w:marLeft w:val="0"/>
      <w:marRight w:val="0"/>
      <w:marTop w:val="0"/>
      <w:marBottom w:val="0"/>
      <w:divBdr>
        <w:top w:val="none" w:sz="0" w:space="0" w:color="auto"/>
        <w:left w:val="none" w:sz="0" w:space="0" w:color="auto"/>
        <w:bottom w:val="none" w:sz="0" w:space="0" w:color="auto"/>
        <w:right w:val="none" w:sz="0" w:space="0" w:color="auto"/>
      </w:divBdr>
    </w:div>
    <w:div w:id="994644543">
      <w:bodyDiv w:val="1"/>
      <w:marLeft w:val="0"/>
      <w:marRight w:val="0"/>
      <w:marTop w:val="0"/>
      <w:marBottom w:val="0"/>
      <w:divBdr>
        <w:top w:val="none" w:sz="0" w:space="0" w:color="auto"/>
        <w:left w:val="none" w:sz="0" w:space="0" w:color="auto"/>
        <w:bottom w:val="none" w:sz="0" w:space="0" w:color="auto"/>
        <w:right w:val="none" w:sz="0" w:space="0" w:color="auto"/>
      </w:divBdr>
    </w:div>
    <w:div w:id="1049914483">
      <w:bodyDiv w:val="1"/>
      <w:marLeft w:val="0"/>
      <w:marRight w:val="0"/>
      <w:marTop w:val="0"/>
      <w:marBottom w:val="0"/>
      <w:divBdr>
        <w:top w:val="none" w:sz="0" w:space="0" w:color="auto"/>
        <w:left w:val="none" w:sz="0" w:space="0" w:color="auto"/>
        <w:bottom w:val="none" w:sz="0" w:space="0" w:color="auto"/>
        <w:right w:val="none" w:sz="0" w:space="0" w:color="auto"/>
      </w:divBdr>
    </w:div>
    <w:div w:id="1100757322">
      <w:bodyDiv w:val="1"/>
      <w:marLeft w:val="0"/>
      <w:marRight w:val="0"/>
      <w:marTop w:val="0"/>
      <w:marBottom w:val="0"/>
      <w:divBdr>
        <w:top w:val="none" w:sz="0" w:space="0" w:color="auto"/>
        <w:left w:val="none" w:sz="0" w:space="0" w:color="auto"/>
        <w:bottom w:val="none" w:sz="0" w:space="0" w:color="auto"/>
        <w:right w:val="none" w:sz="0" w:space="0" w:color="auto"/>
      </w:divBdr>
    </w:div>
    <w:div w:id="1612854960">
      <w:bodyDiv w:val="1"/>
      <w:marLeft w:val="0"/>
      <w:marRight w:val="0"/>
      <w:marTop w:val="0"/>
      <w:marBottom w:val="0"/>
      <w:divBdr>
        <w:top w:val="none" w:sz="0" w:space="0" w:color="auto"/>
        <w:left w:val="none" w:sz="0" w:space="0" w:color="auto"/>
        <w:bottom w:val="none" w:sz="0" w:space="0" w:color="auto"/>
        <w:right w:val="none" w:sz="0" w:space="0" w:color="auto"/>
      </w:divBdr>
    </w:div>
    <w:div w:id="1730150614">
      <w:bodyDiv w:val="1"/>
      <w:marLeft w:val="0"/>
      <w:marRight w:val="0"/>
      <w:marTop w:val="0"/>
      <w:marBottom w:val="0"/>
      <w:divBdr>
        <w:top w:val="none" w:sz="0" w:space="0" w:color="auto"/>
        <w:left w:val="none" w:sz="0" w:space="0" w:color="auto"/>
        <w:bottom w:val="none" w:sz="0" w:space="0" w:color="auto"/>
        <w:right w:val="none" w:sz="0" w:space="0" w:color="auto"/>
      </w:divBdr>
    </w:div>
    <w:div w:id="1876458195">
      <w:bodyDiv w:val="1"/>
      <w:marLeft w:val="0"/>
      <w:marRight w:val="0"/>
      <w:marTop w:val="0"/>
      <w:marBottom w:val="0"/>
      <w:divBdr>
        <w:top w:val="none" w:sz="0" w:space="0" w:color="auto"/>
        <w:left w:val="none" w:sz="0" w:space="0" w:color="auto"/>
        <w:bottom w:val="none" w:sz="0" w:space="0" w:color="auto"/>
        <w:right w:val="none" w:sz="0" w:space="0" w:color="auto"/>
      </w:divBdr>
    </w:div>
    <w:div w:id="18921847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s://doi.org/10.3389/fgeoc.2024.1307252"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doi.org/10.3390/app1402061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4.xml"/><Relationship Id="rId10" Type="http://schemas.openxmlformats.org/officeDocument/2006/relationships/header" Target="header1.xml"/><Relationship Id="rId19" Type="http://schemas.openxmlformats.org/officeDocument/2006/relationships/hyperlink" Target="https://doi.org/10.12691/ajwr-11-1-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2DEDB4-6C54-4687-B4B5-00D7431CE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13</Pages>
  <Words>5116</Words>
  <Characters>28143</Characters>
  <Application>Microsoft Office Word</Application>
  <DocSecurity>0</DocSecurity>
  <Lines>234</Lines>
  <Paragraphs>66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33193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generated by python-docx</dc:description>
  <cp:lastModifiedBy>Léon Paul TOU</cp:lastModifiedBy>
  <cp:revision>42</cp:revision>
  <dcterms:created xsi:type="dcterms:W3CDTF">2026-03-20T15:22:00Z</dcterms:created>
  <dcterms:modified xsi:type="dcterms:W3CDTF">2026-04-03T18:10:00Z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zotero-version="7.0.32"&gt;&lt;session id="7q3n9KVN"/&gt;&lt;style id="http://www.zotero.org/styles/apa" locale="fr-FR" hasBibliography="1" bibliographyStyleHasBeenSet="0"/&gt;&lt;prefs&gt;&lt;pref name="fieldType" value="Field"/&gt;&lt;/prefs&gt;&lt;/data&gt;</vt:lpwstr>
  </property>
  <property fmtid="{D5CDD505-2E9C-101B-9397-08002B2CF9AE}" pid="3" name="Mendeley Recent Style Id 0_1">
    <vt:lpwstr>http://www.zotero.org/styles/american-medical-association</vt:lpwstr>
  </property>
  <property fmtid="{D5CDD505-2E9C-101B-9397-08002B2CF9AE}" pid="4" name="Mendeley Recent Style Name 0_1">
    <vt:lpwstr>AMA Manual of Style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APSA Style Manual revised 2018 edition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ASA Style Guide 6th/7th edition</vt:lpwstr>
  </property>
  <property fmtid="{D5CDD505-2E9C-101B-9397-08002B2CF9AE}" pid="9" name="Mendeley Recent Style Id 3_1">
    <vt:lpwstr>http://www.zotero.org/styles/apa</vt:lpwstr>
  </property>
  <property fmtid="{D5CDD505-2E9C-101B-9397-08002B2CF9AE}" pid="10" name="Mendeley Recent Style Name 3_1">
    <vt:lpwstr>American Psychological Association 7th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18th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12th edition (author-date/Harvard)</vt:lpwstr>
  </property>
  <property fmtid="{D5CDD505-2E9C-101B-9397-08002B2CF9AE}" pid="15" name="Mendeley Recent Style Id 6_1">
    <vt:lpwstr>http://www.zotero.org/styles/ieee</vt:lpwstr>
  </property>
  <property fmtid="{D5CDD505-2E9C-101B-9397-08002B2CF9AE}" pid="16" name="Mendeley Recent Style Name 6_1">
    <vt:lpwstr>IEEE Reference Guide version 11.29.2023</vt:lpwstr>
  </property>
  <property fmtid="{D5CDD505-2E9C-101B-9397-08002B2CF9AE}" pid="17" name="Mendeley Recent Style Id 7_1">
    <vt:lpwstr>http://www.zotero.org/styles/modern-language-association</vt:lpwstr>
  </property>
  <property fmtid="{D5CDD505-2E9C-101B-9397-08002B2CF9AE}" pid="18" name="Mendeley Recent Style Name 7_1">
    <vt:lpwstr>MLA Handbook 9th edition (in-text citations)</vt:lpwstr>
  </property>
  <property fmtid="{D5CDD505-2E9C-101B-9397-08002B2CF9AE}" pid="19" name="Mendeley Recent Style Id 8_1">
    <vt:lpwstr>http://www.zotero.org/styles/modern-humanities-research-association</vt:lpwstr>
  </property>
  <property fmtid="{D5CDD505-2E9C-101B-9397-08002B2CF9AE}" pid="20" name="Mendeley Recent Style Name 8_1">
    <vt:lpwstr>Modern Humanities Research Association 3rd edition (note with bibliography)</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Citation Style_1">
    <vt:lpwstr>http://www.zotero.org/styles/apa</vt:lpwstr>
  </property>
  <property fmtid="{D5CDD505-2E9C-101B-9397-08002B2CF9AE}" pid="25" name="Mendeley Unique User Id_1">
    <vt:lpwstr>ba0cc32b-933c-35c3-ab63-9570a6eef59e</vt:lpwstr>
  </property>
</Properties>
</file>