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505C" w14:textId="387C6B78" w:rsidR="00BA0C68" w:rsidRDefault="00BA0C68" w:rsidP="000E7894">
      <w:pPr>
        <w:pStyle w:val="Author"/>
        <w:spacing w:line="240" w:lineRule="auto"/>
        <w:ind w:left="-993"/>
        <w:jc w:val="both"/>
        <w:rPr>
          <w:rFonts w:ascii="Times New Roman" w:hAnsi="Times New Roman"/>
          <w:sz w:val="20"/>
        </w:rPr>
      </w:pPr>
      <w:r>
        <w:rPr>
          <w:rFonts w:ascii="Times New Roman" w:hAnsi="Times New Roman"/>
          <w:sz w:val="20"/>
        </w:rPr>
        <w:t>Case Report</w:t>
      </w:r>
    </w:p>
    <w:p w14:paraId="696ECB94" w14:textId="77777777" w:rsidR="00BA0C68" w:rsidRDefault="00BA0C68" w:rsidP="000E7894">
      <w:pPr>
        <w:pStyle w:val="Author"/>
        <w:spacing w:line="240" w:lineRule="auto"/>
        <w:ind w:left="-993"/>
        <w:jc w:val="both"/>
        <w:rPr>
          <w:rFonts w:ascii="Arial" w:hAnsi="Arial" w:cs="Arial"/>
          <w:sz w:val="36"/>
        </w:rPr>
      </w:pPr>
    </w:p>
    <w:p w14:paraId="252276D8" w14:textId="5A9527D4" w:rsidR="000E7894" w:rsidRPr="00790ADA" w:rsidRDefault="001F5473" w:rsidP="000E7894">
      <w:pPr>
        <w:pStyle w:val="Author"/>
        <w:spacing w:line="240" w:lineRule="auto"/>
        <w:ind w:left="-993"/>
        <w:jc w:val="both"/>
        <w:rPr>
          <w:rFonts w:ascii="Arial" w:hAnsi="Arial" w:cs="Arial"/>
          <w:sz w:val="36"/>
        </w:rPr>
      </w:pPr>
      <w:r w:rsidRPr="001F5473">
        <w:rPr>
          <w:rFonts w:ascii="Arial" w:hAnsi="Arial" w:cs="Arial"/>
          <w:sz w:val="36"/>
        </w:rPr>
        <w:t>Orthostatic Hypotension with Supine Hypertension in Diabetic Cardiac Autonomic Neuropathy: A Case Report Highlighting Diagnostic and Therapeutic Challenges</w:t>
      </w:r>
    </w:p>
    <w:p w14:paraId="032BD729" w14:textId="77777777" w:rsidR="000E7894" w:rsidRDefault="003117D7" w:rsidP="000E7894">
      <w:pPr>
        <w:pStyle w:val="Affiliation"/>
        <w:spacing w:after="0" w:line="240" w:lineRule="auto"/>
        <w:ind w:left="-1418"/>
        <w:jc w:val="both"/>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2608EB4C" wp14:editId="3F3788AB">
                <wp:simplePos x="0" y="0"/>
                <wp:positionH relativeFrom="column">
                  <wp:posOffset>-625475</wp:posOffset>
                </wp:positionH>
                <wp:positionV relativeFrom="paragraph">
                  <wp:posOffset>128270</wp:posOffset>
                </wp:positionV>
                <wp:extent cx="6083300" cy="0"/>
                <wp:effectExtent l="0" t="19050" r="31750" b="19050"/>
                <wp:wrapNone/>
                <wp:docPr id="2" name="Straight Connector 2"/>
                <wp:cNvGraphicFramePr/>
                <a:graphic xmlns:a="http://schemas.openxmlformats.org/drawingml/2006/main">
                  <a:graphicData uri="http://schemas.microsoft.com/office/word/2010/wordprocessingShape">
                    <wps:wsp>
                      <wps:cNvCnPr/>
                      <wps:spPr>
                        <a:xfrm>
                          <a:off x="0" y="0"/>
                          <a:ext cx="6083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991ED5"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25pt,10.1pt" to="42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" strokecolor="black [3213]" strokeweight="3pt">
                <v:stroke joinstyle="miter"/>
              </v:line>
            </w:pict>
          </mc:Fallback>
        </mc:AlternateContent>
      </w:r>
    </w:p>
    <w:p w14:paraId="43EA044E" w14:textId="77777777" w:rsidR="000E7894" w:rsidRPr="003117D7" w:rsidRDefault="003117D7" w:rsidP="003117D7">
      <w:pPr>
        <w:pStyle w:val="Copyright"/>
        <w:spacing w:after="0"/>
        <w:ind w:left="-1418"/>
        <w:rPr>
          <w:rFonts w:ascii="Arial" w:hAnsi="Arial" w:cs="Arial"/>
          <w:b/>
          <w:bCs/>
          <w:sz w:val="20"/>
        </w:rPr>
      </w:pPr>
      <w:r>
        <w:rPr>
          <w:rFonts w:ascii="Arial" w:hAnsi="Arial" w:cs="Arial"/>
        </w:rPr>
        <w:t xml:space="preserve"> </w:t>
      </w:r>
    </w:p>
    <w:p w14:paraId="03B3F7F6" w14:textId="77777777" w:rsidR="003117D7" w:rsidRPr="003117D7" w:rsidRDefault="003117D7" w:rsidP="003117D7">
      <w:pPr>
        <w:pStyle w:val="AbstHead"/>
        <w:spacing w:after="0"/>
        <w:ind w:left="-993"/>
        <w:jc w:val="both"/>
        <w:rPr>
          <w:rFonts w:ascii="Arial" w:hAnsi="Arial" w:cs="Arial"/>
        </w:rPr>
        <w:sectPr w:rsidR="003117D7" w:rsidRPr="003117D7" w:rsidSect="000E7894">
          <w:headerReference w:type="even" r:id="rId7"/>
          <w:headerReference w:type="default" r:id="rId8"/>
          <w:footerReference w:type="even" r:id="rId9"/>
          <w:footerReference w:type="default" r:id="rId10"/>
          <w:headerReference w:type="first" r:id="rId11"/>
          <w:footerReference w:type="first" r:id="rId12"/>
          <w:pgSz w:w="12240" w:h="15840" w:code="1"/>
          <w:pgMar w:top="426" w:right="2016" w:bottom="2016" w:left="1985" w:header="720" w:footer="545" w:gutter="0"/>
          <w:cols w:space="720"/>
          <w:docGrid w:linePitch="272"/>
        </w:sectPr>
      </w:pPr>
      <w:r w:rsidRPr="003117D7">
        <w:rPr>
          <w:rFonts w:ascii="Arial" w:hAnsi="Arial" w:cs="Arial"/>
        </w:rPr>
        <w:t xml:space="preserve">ABSTRACT </w:t>
      </w:r>
      <w:r>
        <w:rPr>
          <w:rFonts w:ascii="Arial" w:hAnsi="Arial" w:cs="Arial"/>
        </w:rPr>
        <w:t xml:space="preserve">: </w:t>
      </w:r>
    </w:p>
    <w:tbl>
      <w:tblPr>
        <w:tblpPr w:leftFromText="141" w:rightFromText="141" w:vertAnchor="text" w:horzAnchor="margin" w:tblpY="274"/>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26"/>
      </w:tblGrid>
      <w:tr w:rsidR="003117D7" w:rsidRPr="001E44FE" w14:paraId="3F0C1353" w14:textId="77777777" w:rsidTr="003117D7">
        <w:trPr>
          <w:trHeight w:val="8458"/>
        </w:trPr>
        <w:tc>
          <w:tcPr>
            <w:tcW w:w="10226" w:type="dxa"/>
            <w:shd w:val="clear" w:color="auto" w:fill="F2F2F2"/>
          </w:tcPr>
          <w:p w14:paraId="74720733"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Introduction:</w:t>
            </w:r>
          </w:p>
          <w:p w14:paraId="5896008A" w14:textId="1F867B25" w:rsidR="008A33E0" w:rsidRPr="008A33E0" w:rsidRDefault="00EE2538" w:rsidP="008A33E0">
            <w:pPr>
              <w:pStyle w:val="Body"/>
              <w:rPr>
                <w:rFonts w:ascii="Arial" w:eastAsia="Calibri" w:hAnsi="Arial" w:cs="Arial"/>
                <w:szCs w:val="22"/>
              </w:rPr>
            </w:pPr>
            <w:r w:rsidRPr="00EE2538">
              <w:rPr>
                <w:rFonts w:ascii="Arial" w:eastAsia="Calibri" w:hAnsi="Arial" w:cs="Arial"/>
                <w:szCs w:val="22"/>
              </w:rPr>
              <w:t>Cardiac autonomic neuropathy (CAN) is a frequent yet underdiagnosed complication of diabetes mellitus, associated with increased cardiovascular morbidity and mortality. Orthostatic hypotension (OH) is its most common manifestation. In some patients, OH coexists with supine hypertension (SH), creating a therapeutic dilemma.</w:t>
            </w:r>
          </w:p>
          <w:p w14:paraId="0D9F82CE"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Case Presentation:</w:t>
            </w:r>
          </w:p>
          <w:p w14:paraId="664599EC" w14:textId="49B00CAC" w:rsidR="008A33E0" w:rsidRPr="008A33E0" w:rsidRDefault="00EE2538" w:rsidP="008A33E0">
            <w:pPr>
              <w:pStyle w:val="Body"/>
              <w:rPr>
                <w:rFonts w:ascii="Arial" w:eastAsia="Calibri" w:hAnsi="Arial" w:cs="Arial"/>
                <w:szCs w:val="22"/>
              </w:rPr>
            </w:pPr>
            <w:r w:rsidRPr="00EE2538">
              <w:rPr>
                <w:rFonts w:ascii="Arial" w:eastAsia="Calibri" w:hAnsi="Arial" w:cs="Arial"/>
                <w:szCs w:val="22"/>
              </w:rPr>
              <w:t>We report the case of a 62-year-old Moroccan woman with long-standing type 2 diabetes mellitus, hypertension, and dyslipidemia who presented with dizziness and exertional intolerance. Blood pressure measurements revealed supine hypertension (160/90 mmHg) and orthostatic hypotension (110/70 mmHg upon standing), associated with symptoms. Autonomic testing using Ewing’s battery showed reduced heart rate variability and abnormal cardiovascular reflexes, confirming cardiac autonomic neuropathy. Secondary causes of orthostatic hypotension were excluded through clinical and laboratory evaluation.</w:t>
            </w:r>
          </w:p>
          <w:p w14:paraId="172ECD7A"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Results:</w:t>
            </w:r>
          </w:p>
          <w:p w14:paraId="4295A9FB" w14:textId="30D184E7" w:rsidR="008A33E0" w:rsidRPr="008A33E0" w:rsidRDefault="00EE2538" w:rsidP="008A33E0">
            <w:pPr>
              <w:pStyle w:val="Body"/>
              <w:rPr>
                <w:rFonts w:ascii="Arial" w:eastAsia="Calibri" w:hAnsi="Arial" w:cs="Arial"/>
                <w:szCs w:val="22"/>
              </w:rPr>
            </w:pPr>
            <w:r w:rsidRPr="00EE2538">
              <w:rPr>
                <w:rFonts w:ascii="Arial" w:eastAsia="Calibri" w:hAnsi="Arial" w:cs="Arial"/>
                <w:szCs w:val="22"/>
              </w:rPr>
              <w:t>After initiation of treatment, the patient showed significant clinical improvement within one week, with reduction of dizziness and improved tolerance to daily activities. Supine blood pressure decreased to approximately 140/85 mmHg, with improved orthostatic stability.</w:t>
            </w:r>
          </w:p>
          <w:p w14:paraId="02A6D4FC"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Conclusion:</w:t>
            </w:r>
          </w:p>
          <w:p w14:paraId="454D3C38" w14:textId="7E44A1DA" w:rsidR="003117D7" w:rsidRPr="00BA1B01" w:rsidRDefault="00EE2538" w:rsidP="008A33E0">
            <w:pPr>
              <w:pStyle w:val="Body"/>
              <w:rPr>
                <w:rFonts w:ascii="Arial" w:eastAsia="Calibri" w:hAnsi="Arial" w:cs="Arial"/>
                <w:szCs w:val="22"/>
              </w:rPr>
            </w:pPr>
            <w:r w:rsidRPr="00EE2538">
              <w:rPr>
                <w:rFonts w:ascii="Arial" w:eastAsia="Calibri" w:hAnsi="Arial" w:cs="Arial"/>
                <w:szCs w:val="22"/>
              </w:rPr>
              <w:t>The coexistence of OH and SH in CAN represents a complex clinical entity requiring individualized management. Early recognition and tailored therapeutic strategies are essential to improve outcomes.</w:t>
            </w:r>
          </w:p>
        </w:tc>
      </w:tr>
    </w:tbl>
    <w:p w14:paraId="4D4E2EF8" w14:textId="77777777" w:rsidR="000E7894" w:rsidRDefault="000E7894" w:rsidP="000E7894">
      <w:pPr>
        <w:pStyle w:val="AbstHead"/>
        <w:spacing w:after="0"/>
        <w:ind w:left="-1843" w:hanging="425"/>
        <w:jc w:val="both"/>
        <w:rPr>
          <w:rFonts w:ascii="Arial" w:hAnsi="Arial" w:cs="Arial"/>
        </w:rPr>
      </w:pPr>
      <w:r w:rsidRPr="00FB3A86">
        <w:rPr>
          <w:rFonts w:ascii="Arial" w:hAnsi="Arial" w:cs="Arial"/>
        </w:rPr>
        <w:t>ABSTRACT</w:t>
      </w:r>
      <w:r>
        <w:rPr>
          <w:rFonts w:ascii="Arial" w:hAnsi="Arial" w:cs="Arial"/>
        </w:rPr>
        <w:t xml:space="preserve"> </w:t>
      </w:r>
    </w:p>
    <w:p w14:paraId="4B6CB570" w14:textId="77777777" w:rsidR="000E7894" w:rsidRPr="00FB3A86" w:rsidRDefault="000E7894" w:rsidP="000E7894">
      <w:pPr>
        <w:pStyle w:val="AbstHead"/>
        <w:spacing w:after="0"/>
        <w:jc w:val="both"/>
        <w:rPr>
          <w:rFonts w:ascii="Arial" w:hAnsi="Arial" w:cs="Arial"/>
        </w:rPr>
      </w:pPr>
    </w:p>
    <w:p w14:paraId="24795F42" w14:textId="77777777" w:rsidR="000E7894" w:rsidRDefault="000E7894" w:rsidP="003117D7">
      <w:pPr>
        <w:pStyle w:val="Body"/>
        <w:spacing w:after="0"/>
        <w:rPr>
          <w:rFonts w:ascii="Arial" w:hAnsi="Arial" w:cs="Arial"/>
          <w:i/>
        </w:rPr>
      </w:pPr>
      <w:r w:rsidRPr="003117D7">
        <w:rPr>
          <w:rFonts w:ascii="Arial" w:hAnsi="Arial" w:cs="Arial"/>
          <w:b/>
          <w:bCs/>
          <w:i/>
        </w:rPr>
        <w:t>Keywords:</w:t>
      </w:r>
      <w:r>
        <w:rPr>
          <w:rFonts w:ascii="Arial" w:hAnsi="Arial" w:cs="Arial"/>
          <w:i/>
        </w:rPr>
        <w:t xml:space="preserve"> </w:t>
      </w:r>
      <w:r w:rsidRPr="005A2233">
        <w:rPr>
          <w:rFonts w:ascii="Arial" w:hAnsi="Arial" w:cs="Arial"/>
          <w:iCs/>
        </w:rPr>
        <w:t>Cardiac autonomic neuropathy – Orthostatic hypotension – Supine hypertension – Diabetes mellitus – Case report</w:t>
      </w:r>
      <w:r w:rsidRPr="00422415" w:rsidDel="00422415">
        <w:rPr>
          <w:rFonts w:ascii="Arial" w:hAnsi="Arial" w:cs="Arial"/>
          <w:i/>
        </w:rPr>
        <w:t xml:space="preserve"> </w:t>
      </w:r>
    </w:p>
    <w:p w14:paraId="5F482B16" w14:textId="77777777" w:rsidR="000E7894" w:rsidRDefault="000E7894" w:rsidP="000E7894">
      <w:pPr>
        <w:pStyle w:val="Body"/>
        <w:spacing w:after="0"/>
        <w:ind w:left="284"/>
        <w:rPr>
          <w:rFonts w:ascii="Arial" w:hAnsi="Arial" w:cs="Arial"/>
          <w:i/>
        </w:rPr>
      </w:pPr>
    </w:p>
    <w:p w14:paraId="6EA9C919" w14:textId="77777777" w:rsidR="000E7894" w:rsidRDefault="000E7894" w:rsidP="000E7894">
      <w:pPr>
        <w:pStyle w:val="Body"/>
        <w:spacing w:after="0"/>
        <w:ind w:left="284"/>
        <w:rPr>
          <w:rFonts w:ascii="Arial" w:hAnsi="Arial" w:cs="Arial"/>
          <w:i/>
          <w:sz w:val="18"/>
        </w:rPr>
      </w:pPr>
    </w:p>
    <w:p w14:paraId="0294C9AF" w14:textId="77777777" w:rsidR="000E7894" w:rsidRPr="00A24E7E" w:rsidRDefault="000E7894" w:rsidP="000E7894">
      <w:pPr>
        <w:pStyle w:val="Body"/>
        <w:spacing w:after="0"/>
        <w:ind w:left="284"/>
        <w:rPr>
          <w:rFonts w:ascii="Arial" w:hAnsi="Arial" w:cs="Arial"/>
          <w:i/>
        </w:rPr>
      </w:pPr>
    </w:p>
    <w:p w14:paraId="2109ECF5" w14:textId="77777777" w:rsidR="000E7894" w:rsidRDefault="000E7894" w:rsidP="000E7894">
      <w:pPr>
        <w:pStyle w:val="AbstHead"/>
        <w:numPr>
          <w:ilvl w:val="0"/>
          <w:numId w:val="2"/>
        </w:numPr>
        <w:spacing w:after="0"/>
        <w:ind w:left="284"/>
        <w:jc w:val="both"/>
        <w:rPr>
          <w:rFonts w:ascii="Arial" w:hAnsi="Arial" w:cs="Arial"/>
        </w:rPr>
      </w:pPr>
      <w:r w:rsidRPr="00FB3A86">
        <w:rPr>
          <w:rFonts w:ascii="Arial" w:hAnsi="Arial" w:cs="Arial"/>
        </w:rPr>
        <w:t>INTRODUCTION</w:t>
      </w:r>
      <w:r>
        <w:rPr>
          <w:rFonts w:ascii="Arial" w:hAnsi="Arial" w:cs="Arial"/>
        </w:rPr>
        <w:t xml:space="preserve"> </w:t>
      </w:r>
    </w:p>
    <w:p w14:paraId="14D43732" w14:textId="77777777" w:rsidR="000E7894" w:rsidRPr="00FB3A86" w:rsidRDefault="000E7894" w:rsidP="000E7894">
      <w:pPr>
        <w:pStyle w:val="AbstHead"/>
        <w:spacing w:after="0"/>
        <w:ind w:left="284"/>
        <w:jc w:val="both"/>
        <w:rPr>
          <w:rFonts w:ascii="Arial" w:hAnsi="Arial" w:cs="Arial"/>
        </w:rPr>
      </w:pPr>
    </w:p>
    <w:p w14:paraId="588C17DE" w14:textId="24142C22" w:rsidR="008A33E0" w:rsidRPr="008A33E0" w:rsidRDefault="008A33E0" w:rsidP="008A33E0">
      <w:pPr>
        <w:pStyle w:val="Body"/>
        <w:ind w:left="284"/>
        <w:rPr>
          <w:rFonts w:ascii="Arial" w:hAnsi="Arial" w:cs="Arial"/>
        </w:rPr>
      </w:pPr>
      <w:r w:rsidRPr="008A33E0">
        <w:rPr>
          <w:rFonts w:ascii="Arial" w:hAnsi="Arial" w:cs="Arial"/>
        </w:rPr>
        <w:t>Cardiac autonomic neuropathy (CAN) is a serious complication of diabetes mellitus resulting from damage to autonomic nerve fibers that regulate cardiovascular function. Its prevalence increases with the duration of diabetes and poor glycemic control, and it is associated with increased morbidity and mortality, particularly due to silent ischemia, arrhythmias, and sudden cardiac death.</w:t>
      </w:r>
    </w:p>
    <w:p w14:paraId="7036579B" w14:textId="0BB118E1" w:rsidR="008A33E0" w:rsidRPr="008A33E0" w:rsidRDefault="008A33E0" w:rsidP="008A33E0">
      <w:pPr>
        <w:pStyle w:val="Body"/>
        <w:ind w:left="284"/>
        <w:rPr>
          <w:rFonts w:ascii="Arial" w:hAnsi="Arial" w:cs="Arial"/>
        </w:rPr>
      </w:pPr>
      <w:r w:rsidRPr="008A33E0">
        <w:rPr>
          <w:rFonts w:ascii="Arial" w:hAnsi="Arial" w:cs="Arial"/>
        </w:rPr>
        <w:t>Among the clinical manifestations of CAN, orthostatic hypotension (OH) is the most frequent and clinically significant. It is defined as a sustained reduction of systolic blood pressure of at least 20 mmHg or diastolic blood pressure of at least 10 mmHg within three minutes of standing. Patients typically present with dizziness, lightheadedness, visual disturbances, fatigue, or even syncope.</w:t>
      </w:r>
    </w:p>
    <w:p w14:paraId="75B1A39D" w14:textId="34EDD743" w:rsidR="008A33E0" w:rsidRPr="008A33E0" w:rsidRDefault="008A33E0" w:rsidP="008A33E0">
      <w:pPr>
        <w:pStyle w:val="Body"/>
        <w:ind w:left="284"/>
        <w:rPr>
          <w:rFonts w:ascii="Arial" w:hAnsi="Arial" w:cs="Arial"/>
        </w:rPr>
      </w:pPr>
      <w:r w:rsidRPr="008A33E0">
        <w:rPr>
          <w:rFonts w:ascii="Arial" w:hAnsi="Arial" w:cs="Arial"/>
        </w:rPr>
        <w:t>In some cases, OH is paradoxically associated with supine hypertension (SH), defined as elevated blood pressure in the recumbent position. This coexistence represents a challenging therapeutic scenario, as interventions aimed at correcting hypotension may exacerbate hypertension and vice versa. The condition reflects severe autonomic dysfunction with impaired baroreflex sensitivity.</w:t>
      </w:r>
    </w:p>
    <w:p w14:paraId="4C82FFA7" w14:textId="3ADEAD74" w:rsidR="003117D7" w:rsidRDefault="008A33E0" w:rsidP="008A33E0">
      <w:pPr>
        <w:pStyle w:val="Body"/>
        <w:spacing w:after="0"/>
        <w:ind w:left="284"/>
        <w:rPr>
          <w:rFonts w:ascii="Arial" w:hAnsi="Arial" w:cs="Arial"/>
        </w:rPr>
      </w:pPr>
      <w:r w:rsidRPr="008A33E0">
        <w:rPr>
          <w:rFonts w:ascii="Arial" w:hAnsi="Arial" w:cs="Arial"/>
        </w:rPr>
        <w:t>This report describes a case of CAN complicated by both OH and SH and discusses the diagnostic and therapeutic challenges associated with this condition.</w:t>
      </w:r>
    </w:p>
    <w:p w14:paraId="589685A9" w14:textId="77777777" w:rsidR="000E7894" w:rsidRDefault="000E7894" w:rsidP="000E7894">
      <w:pPr>
        <w:pStyle w:val="Body"/>
        <w:spacing w:after="0"/>
        <w:ind w:left="284"/>
        <w:rPr>
          <w:rFonts w:ascii="Arial" w:hAnsi="Arial" w:cs="Arial"/>
        </w:rPr>
      </w:pPr>
    </w:p>
    <w:p w14:paraId="21928834" w14:textId="77777777" w:rsidR="000E7894" w:rsidRDefault="000E7894" w:rsidP="000E7894">
      <w:pPr>
        <w:pStyle w:val="AbstHead"/>
        <w:numPr>
          <w:ilvl w:val="0"/>
          <w:numId w:val="2"/>
        </w:numPr>
        <w:spacing w:after="0"/>
        <w:ind w:left="284"/>
        <w:jc w:val="both"/>
        <w:rPr>
          <w:rFonts w:ascii="Arial" w:hAnsi="Arial" w:cs="Arial"/>
        </w:rPr>
      </w:pPr>
      <w:r w:rsidRPr="005A2233">
        <w:rPr>
          <w:rFonts w:ascii="Arial" w:hAnsi="Arial" w:cs="Arial"/>
        </w:rPr>
        <w:t>CASE PRESENTATION</w:t>
      </w:r>
    </w:p>
    <w:p w14:paraId="0D7FE446" w14:textId="77777777" w:rsidR="000E7894" w:rsidRPr="005A2233" w:rsidRDefault="000E7894" w:rsidP="000E7894">
      <w:pPr>
        <w:pStyle w:val="AbstHead"/>
        <w:spacing w:after="0"/>
        <w:ind w:left="284"/>
        <w:jc w:val="both"/>
        <w:rPr>
          <w:rFonts w:ascii="Arial" w:hAnsi="Arial" w:cs="Arial"/>
        </w:rPr>
      </w:pPr>
    </w:p>
    <w:p w14:paraId="20DD96FE" w14:textId="03DF7E1F"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A 62-year-old Moroccan woman was referred to our cardiology department for evaluation of persistent dizziness and exertional intolerance evolving over several months. Her medical history included type 2 diabetes mellitus for more than 15 years, poorly controlled, hypertension, and dyslipidemia. She was on oral antidiabetic agents, antihypertensive therapy, and statins.</w:t>
      </w:r>
    </w:p>
    <w:p w14:paraId="55C3AEBB" w14:textId="3585D1F5"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The patient reported progressive symptoms including dizziness upon standing, palpitations, generalized weakness, and morning malaise. There was no history of syncope, chest pain, or neurological deficit.</w:t>
      </w:r>
    </w:p>
    <w:p w14:paraId="2BBE0D04" w14:textId="69D4730D"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On physical examination, her blood pressure showed marked variability depending on posture. In the supine position, her blood pressure was elevated (approximately 160/90 mmHg), whereas standing measurements revealed a significant drop (down to 110/70 mmHg), associated with reproduction of symptoms. Heart rate response to standing was blunted, suggesting autonomic dysfunction.</w:t>
      </w:r>
    </w:p>
    <w:p w14:paraId="454BF40B" w14:textId="38F55A13" w:rsidR="008A33E0" w:rsidRDefault="008A33E0" w:rsidP="008A33E0">
      <w:pPr>
        <w:pStyle w:val="Body"/>
        <w:ind w:left="284"/>
        <w:rPr>
          <w:rFonts w:asciiTheme="minorBidi" w:hAnsiTheme="minorBidi" w:cstheme="minorBidi"/>
        </w:rPr>
      </w:pPr>
      <w:r w:rsidRPr="008A33E0">
        <w:rPr>
          <w:rFonts w:asciiTheme="minorBidi" w:hAnsiTheme="minorBidi" w:cstheme="minorBidi"/>
        </w:rPr>
        <w:t>Routine laboratory investigations, including renal function, electrolytes, and thyroid function tests, were within normal limits. Electrocardiogram and echocardiography showed no significant abnormalities.</w:t>
      </w:r>
    </w:p>
    <w:p w14:paraId="74293356" w14:textId="77777777" w:rsidR="00EE2538" w:rsidRPr="00EE2538" w:rsidRDefault="00EE2538" w:rsidP="00EE2538">
      <w:pPr>
        <w:pStyle w:val="Body"/>
        <w:ind w:left="284"/>
        <w:rPr>
          <w:rFonts w:asciiTheme="minorBidi" w:hAnsiTheme="minorBidi" w:cstheme="minorBidi"/>
        </w:rPr>
      </w:pPr>
      <w:r w:rsidRPr="00EE2538">
        <w:rPr>
          <w:rFonts w:asciiTheme="minorBidi" w:hAnsiTheme="minorBidi" w:cstheme="minorBidi"/>
        </w:rPr>
        <w:t>Differential diagnosis and exclusion of secondary causes:</w:t>
      </w:r>
    </w:p>
    <w:p w14:paraId="378D4C3E" w14:textId="6BA35CBB" w:rsidR="00EE2538" w:rsidRPr="008A33E0" w:rsidRDefault="00EE2538" w:rsidP="00EE2538">
      <w:pPr>
        <w:pStyle w:val="Body"/>
        <w:ind w:left="284"/>
        <w:rPr>
          <w:rFonts w:asciiTheme="minorBidi" w:hAnsiTheme="minorBidi" w:cstheme="minorBidi"/>
        </w:rPr>
      </w:pPr>
      <w:r w:rsidRPr="00EE2538">
        <w:rPr>
          <w:rFonts w:asciiTheme="minorBidi" w:hAnsiTheme="minorBidi" w:cstheme="minorBidi"/>
        </w:rPr>
        <w:t>Other causes of orthostatic hypotension were systematically excluded. There was no evidence of dehydration, acute blood loss, or medication-induced hypotension. The patient was not taking drugs known to cause orthostatic hypotension. Laboratory tests, including renal function, electrolytes, and thyroid function, were normal. No clinical features suggested adrenal insufficiency or neurological disorders.</w:t>
      </w:r>
    </w:p>
    <w:p w14:paraId="1EEC1096" w14:textId="63204336"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To further assess autonomic function, standardized cardiovascular reflex tests (Ewing battery) were performed. These included heart rate response to deep breathing, Valsalva maneuver, and blood pressure response to standing. The results confirmed the diagnosis of cardiac autonomic neuropathy.</w:t>
      </w:r>
    </w:p>
    <w:p w14:paraId="338CEE31" w14:textId="67BF539E"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Given the coexistence of orthostatic hypotension and supine hypertension, a tailored therapeutic strategy was implemented.</w:t>
      </w:r>
    </w:p>
    <w:p w14:paraId="06242704" w14:textId="31F7CEE8"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 xml:space="preserve">Non-pharmacological measures were initiated as first-line management. These included increased fluid and salt intake, gradual transition from supine to standing position, avoidance of prolonged standing, and use of </w:t>
      </w:r>
      <w:r w:rsidRPr="008A33E0">
        <w:rPr>
          <w:rFonts w:asciiTheme="minorBidi" w:hAnsiTheme="minorBidi" w:cstheme="minorBidi"/>
        </w:rPr>
        <w:lastRenderedPageBreak/>
        <w:t>compression stockings to improve venous return. The patient was also advised to elevate the head of the bed during sleep to reduce nocturnal hypertension.</w:t>
      </w:r>
    </w:p>
    <w:p w14:paraId="3EBF4022" w14:textId="1AF1ED8C" w:rsidR="000E7894" w:rsidRDefault="008A33E0" w:rsidP="00EE2538">
      <w:pPr>
        <w:pStyle w:val="Body"/>
        <w:spacing w:after="0"/>
        <w:ind w:left="284"/>
        <w:rPr>
          <w:rFonts w:asciiTheme="minorBidi" w:hAnsiTheme="minorBidi" w:cstheme="minorBidi"/>
        </w:rPr>
      </w:pPr>
      <w:r w:rsidRPr="008A33E0">
        <w:rPr>
          <w:rFonts w:asciiTheme="minorBidi" w:hAnsiTheme="minorBidi" w:cstheme="minorBidi"/>
        </w:rPr>
        <w:t xml:space="preserve">Pharmacological management was carefully introduced. To control supine hypertension without worsening daytime hypotension, </w:t>
      </w:r>
      <w:r w:rsidR="00EE2538">
        <w:rPr>
          <w:rFonts w:asciiTheme="minorBidi" w:hAnsiTheme="minorBidi" w:cstheme="minorBidi"/>
        </w:rPr>
        <w:t xml:space="preserve">a </w:t>
      </w:r>
      <w:r w:rsidR="00EE2538" w:rsidRPr="00EE2538">
        <w:rPr>
          <w:rFonts w:asciiTheme="minorBidi" w:hAnsiTheme="minorBidi" w:cstheme="minorBidi"/>
        </w:rPr>
        <w:t>transdermal nitroglycerin patch (10 mg) was applied at bedtime and maintained for approximately 10–12 hours overnight. The patch was removed in the morning before standing to minimize the risk of worsening orthostatic hypotension. Treatment was continued daily with close monitoring.</w:t>
      </w:r>
    </w:p>
    <w:p w14:paraId="4E32D4F9" w14:textId="77777777" w:rsidR="00EE2538" w:rsidRDefault="00EE2538" w:rsidP="00EE2538">
      <w:pPr>
        <w:pStyle w:val="Body"/>
        <w:spacing w:after="0"/>
        <w:ind w:left="284"/>
      </w:pPr>
    </w:p>
    <w:p w14:paraId="24D34CCE" w14:textId="0B400CD3" w:rsidR="008A33E0" w:rsidRDefault="00196273" w:rsidP="008A33E0">
      <w:pPr>
        <w:pStyle w:val="AbstHead"/>
        <w:spacing w:after="0"/>
        <w:ind w:left="-76"/>
        <w:jc w:val="both"/>
        <w:rPr>
          <w:rFonts w:ascii="Arial" w:hAnsi="Arial" w:cs="Arial"/>
        </w:rPr>
      </w:pPr>
      <w:r>
        <w:rPr>
          <w:rFonts w:ascii="Arial" w:hAnsi="Arial" w:cs="Arial"/>
        </w:rPr>
        <w:t xml:space="preserve">3. </w:t>
      </w:r>
      <w:r w:rsidRPr="005A2233">
        <w:rPr>
          <w:rFonts w:ascii="Arial" w:hAnsi="Arial" w:cs="Arial"/>
        </w:rPr>
        <w:t>Discus</w:t>
      </w:r>
      <w:r>
        <w:rPr>
          <w:rFonts w:ascii="Arial" w:hAnsi="Arial" w:cs="Arial"/>
        </w:rPr>
        <w:t>s</w:t>
      </w:r>
      <w:r w:rsidRPr="005A2233">
        <w:rPr>
          <w:rFonts w:ascii="Arial" w:hAnsi="Arial" w:cs="Arial"/>
        </w:rPr>
        <w:t>ion</w:t>
      </w:r>
    </w:p>
    <w:p w14:paraId="25668ABB" w14:textId="77777777" w:rsidR="00196273" w:rsidRDefault="00196273" w:rsidP="008A33E0">
      <w:pPr>
        <w:pStyle w:val="AbstHead"/>
        <w:spacing w:after="0"/>
        <w:ind w:left="-76"/>
        <w:jc w:val="both"/>
        <w:rPr>
          <w:rFonts w:ascii="Arial" w:hAnsi="Arial" w:cs="Arial"/>
        </w:rPr>
      </w:pPr>
    </w:p>
    <w:p w14:paraId="5AF114ED" w14:textId="76D9F99F" w:rsidR="008A33E0" w:rsidRDefault="00EE2538" w:rsidP="008A33E0">
      <w:pPr>
        <w:pStyle w:val="AbstHead"/>
        <w:spacing w:after="0"/>
        <w:ind w:left="284"/>
        <w:jc w:val="both"/>
        <w:rPr>
          <w:rFonts w:asciiTheme="minorBidi" w:hAnsiTheme="minorBidi" w:cstheme="minorBidi"/>
          <w:b w:val="0"/>
          <w:caps w:val="0"/>
          <w:sz w:val="20"/>
        </w:rPr>
      </w:pPr>
      <w:r w:rsidRPr="00EE2538">
        <w:rPr>
          <w:rFonts w:asciiTheme="minorBidi" w:hAnsiTheme="minorBidi" w:cstheme="minorBidi"/>
          <w:b w:val="0"/>
          <w:caps w:val="0"/>
          <w:sz w:val="20"/>
        </w:rPr>
        <w:t xml:space="preserve">Within one week of initiating treatment, the patient reported a marked reduction in dizziness and improved tolerance to daily activities. Supine blood pressure decreased from 160/90 mmHg to approximately 140/85 mmHg, while orthostatic drop became less pronounced. No adverse events were </w:t>
      </w:r>
      <w:proofErr w:type="spellStart"/>
      <w:r w:rsidRPr="00EE2538">
        <w:rPr>
          <w:rFonts w:asciiTheme="minorBidi" w:hAnsiTheme="minorBidi" w:cstheme="minorBidi"/>
          <w:b w:val="0"/>
          <w:caps w:val="0"/>
          <w:sz w:val="20"/>
        </w:rPr>
        <w:t>reported.</w:t>
      </w:r>
      <w:r w:rsidR="008A33E0" w:rsidRPr="008A33E0">
        <w:rPr>
          <w:rFonts w:asciiTheme="minorBidi" w:hAnsiTheme="minorBidi" w:cstheme="minorBidi"/>
          <w:b w:val="0"/>
          <w:caps w:val="0"/>
          <w:sz w:val="20"/>
        </w:rPr>
        <w:t>Follow</w:t>
      </w:r>
      <w:proofErr w:type="spellEnd"/>
      <w:r w:rsidR="008A33E0" w:rsidRPr="008A33E0">
        <w:rPr>
          <w:rFonts w:asciiTheme="minorBidi" w:hAnsiTheme="minorBidi" w:cstheme="minorBidi"/>
          <w:b w:val="0"/>
          <w:caps w:val="0"/>
          <w:sz w:val="20"/>
        </w:rPr>
        <w:t>-up evaluation confirmed better blood pressure stability, with reduced supine hypertension and less pronounced orthostatic drops. The patient remained clinically stable during subsequent follow-up visits, with sustained symptomatic relief.</w:t>
      </w:r>
    </w:p>
    <w:p w14:paraId="2937B0DD" w14:textId="77777777" w:rsidR="008A33E0" w:rsidRDefault="008A33E0" w:rsidP="008A33E0">
      <w:pPr>
        <w:pStyle w:val="AbstHead"/>
        <w:spacing w:after="0"/>
        <w:ind w:left="284"/>
        <w:jc w:val="both"/>
        <w:rPr>
          <w:rFonts w:ascii="Arial" w:hAnsi="Arial" w:cs="Arial"/>
        </w:rPr>
      </w:pPr>
    </w:p>
    <w:p w14:paraId="4E6A7071" w14:textId="77777777" w:rsidR="000E7894" w:rsidRPr="005A2233" w:rsidRDefault="000E7894" w:rsidP="000E7894">
      <w:pPr>
        <w:pStyle w:val="AbstHead"/>
        <w:spacing w:after="0"/>
        <w:ind w:left="284"/>
        <w:jc w:val="both"/>
        <w:rPr>
          <w:rFonts w:ascii="Arial" w:hAnsi="Arial" w:cs="Arial"/>
        </w:rPr>
      </w:pPr>
    </w:p>
    <w:p w14:paraId="09D74D13" w14:textId="7BE6850F"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Cardiac autonomic neuropathy is a major complication of diabetes that significantly impacts cardiovascular regulation. It results from progressive damage to the autonomic nervous system, leading to impaired control of heart rate and vascular tone.</w:t>
      </w:r>
    </w:p>
    <w:p w14:paraId="5DC15F2E" w14:textId="558B9D77"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Orthostatic hypotension is a hallmark of advanced autonomic dysfunction. It occurs due to failure of sympathetic vasoconstriction upon standing, resulting in blood pooling in the lower extremities and reduced cerebral perfusion. The clinical consequences range from mild dizziness to syncope and increased risk of falls.</w:t>
      </w:r>
    </w:p>
    <w:p w14:paraId="206FF049" w14:textId="6824B25F"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Supine hypertension, on the other hand, is frequently observed in patients with neurogenic orthostatic hypotension. Its pathophysiology is complex and not fully understood. It may result from residual sympathetic tone, hypersensitivity of vascular receptors, or altered renal sodium handling. The absence of normal baroreflex buffering contributes to exaggerated blood pressure fluctuations.</w:t>
      </w:r>
    </w:p>
    <w:p w14:paraId="22D7BABF" w14:textId="62DBE60A"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The coexistence of OH and SH represents a paradoxical hemodynamic state. During the day, patients suffer from hypotension and related symptoms, whereas at night, they experience hypertension, which increases cardiovascular risk. This dual condition complicates management and requires a careful balance between improving symptoms and avoiding long-term complications.</w:t>
      </w:r>
    </w:p>
    <w:p w14:paraId="06487353" w14:textId="2914ED51"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Non-pharmacological measures are the cornerstone of management. Patient education is essential and includes advice on hydration, salt intake, slow positional changes, and physical counter-maneuvers. Compression garments can help reduce venous pooling. Elevation of the head of the bed is particularly important to reduce nocturnal hypertension and improve morning orthostatic tolerance.</w:t>
      </w:r>
    </w:p>
    <w:p w14:paraId="69ABF85A" w14:textId="22E1148B"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Pharmacological treatment should be individualized. Agents used to treat orthostatic hypotension, such as midodrine or fludrocortisone, may worsen supine hypertension and should be used with caution. Conversely, antihypertensive drugs can aggravate daytime hypotension.</w:t>
      </w:r>
    </w:p>
    <w:p w14:paraId="57B5F457" w14:textId="2FDDE35A"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In this case, transdermal nitrates were chosen to specifically target nocturnal hypertension. Their short duration of action allows blood pressure control during sleep while minimizing the risk of worsening orthostatic symptoms during the day. This approach has been supported by previous studies recommending short-acting antihypertensive agents administered at bedtime.</w:t>
      </w:r>
    </w:p>
    <w:p w14:paraId="099F98F2" w14:textId="6E67B8C7"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Close monitoring of blood pressure is essential to guide therapy and avoid complications. Ambulatory blood pressure monitoring can be particularly useful in assessing circadian patterns and treatment response.</w:t>
      </w:r>
    </w:p>
    <w:p w14:paraId="4A2A2F63" w14:textId="4ABB2340" w:rsidR="000E7894" w:rsidRDefault="008A33E0" w:rsidP="008A33E0">
      <w:pPr>
        <w:pStyle w:val="Body"/>
        <w:spacing w:after="0"/>
        <w:ind w:left="284"/>
        <w:rPr>
          <w:rFonts w:asciiTheme="minorBidi" w:hAnsiTheme="minorBidi" w:cstheme="minorBidi"/>
        </w:rPr>
      </w:pPr>
      <w:r w:rsidRPr="008A33E0">
        <w:rPr>
          <w:rFonts w:asciiTheme="minorBidi" w:hAnsiTheme="minorBidi" w:cstheme="minorBidi"/>
        </w:rPr>
        <w:t>This case highlights the importance of recognizing this dual condition and adopting a multidisciplinary and individualized approach to management.</w:t>
      </w:r>
    </w:p>
    <w:p w14:paraId="372AF148" w14:textId="29D023DC" w:rsidR="000E7894" w:rsidRDefault="000E7894" w:rsidP="008A33E0">
      <w:pPr>
        <w:pStyle w:val="Body"/>
        <w:spacing w:after="0"/>
        <w:rPr>
          <w:rFonts w:ascii="Arial" w:hAnsi="Arial" w:cs="Arial"/>
        </w:rPr>
      </w:pPr>
    </w:p>
    <w:p w14:paraId="5EF2C23B" w14:textId="0625F807" w:rsidR="00BA6128" w:rsidRDefault="00BA6128" w:rsidP="00BA6128">
      <w:pPr>
        <w:pStyle w:val="AbstHead"/>
        <w:spacing w:after="0"/>
        <w:ind w:left="284"/>
        <w:jc w:val="both"/>
        <w:rPr>
          <w:rFonts w:ascii="Arial" w:hAnsi="Arial" w:cs="Arial"/>
        </w:rPr>
      </w:pPr>
      <w:r>
        <w:rPr>
          <w:rFonts w:ascii="Arial" w:hAnsi="Arial" w:cs="Arial"/>
        </w:rPr>
        <w:lastRenderedPageBreak/>
        <w:t>4. Limitation</w:t>
      </w:r>
    </w:p>
    <w:p w14:paraId="79A8E85A" w14:textId="77777777" w:rsidR="00BA6128" w:rsidRDefault="00BA6128" w:rsidP="00BA6128">
      <w:pPr>
        <w:pStyle w:val="AbstHead"/>
        <w:spacing w:after="0"/>
        <w:ind w:left="284"/>
        <w:jc w:val="both"/>
        <w:rPr>
          <w:rFonts w:ascii="Arial" w:hAnsi="Arial" w:cs="Arial"/>
        </w:rPr>
      </w:pPr>
    </w:p>
    <w:p w14:paraId="2F9305F7" w14:textId="5C97B732" w:rsidR="00BA6128" w:rsidRPr="008A33E0" w:rsidRDefault="00BA6128" w:rsidP="00BA6128">
      <w:pPr>
        <w:pStyle w:val="Body"/>
        <w:ind w:left="284"/>
        <w:rPr>
          <w:rFonts w:asciiTheme="minorBidi" w:hAnsiTheme="minorBidi" w:cstheme="minorBidi"/>
        </w:rPr>
      </w:pPr>
      <w:r w:rsidRPr="00BA6128">
        <w:rPr>
          <w:rFonts w:asciiTheme="minorBidi" w:hAnsiTheme="minorBidi" w:cstheme="minorBidi"/>
        </w:rPr>
        <w:t>This case report describes a single patient, which limits the generalizability of the findings. Long-term follow-up and ambulatory blood pressure monitoring were not available. Further studies are needed to validate this therapeutic approach.</w:t>
      </w:r>
    </w:p>
    <w:p w14:paraId="30FC6D1D" w14:textId="77777777" w:rsidR="00BA6128" w:rsidRPr="00FB3A86" w:rsidRDefault="00BA6128" w:rsidP="008A33E0">
      <w:pPr>
        <w:pStyle w:val="Body"/>
        <w:spacing w:after="0"/>
        <w:rPr>
          <w:rFonts w:ascii="Arial" w:hAnsi="Arial" w:cs="Arial"/>
        </w:rPr>
      </w:pPr>
    </w:p>
    <w:p w14:paraId="5904503F" w14:textId="435BDDF1" w:rsidR="00BA6128" w:rsidRDefault="00BA6128" w:rsidP="00BA6128">
      <w:pPr>
        <w:pStyle w:val="AbstHead"/>
        <w:spacing w:after="0"/>
        <w:ind w:left="284"/>
        <w:jc w:val="both"/>
        <w:rPr>
          <w:rFonts w:ascii="Arial" w:hAnsi="Arial" w:cs="Arial"/>
        </w:rPr>
      </w:pPr>
      <w:r>
        <w:rPr>
          <w:rFonts w:ascii="Arial" w:hAnsi="Arial" w:cs="Arial"/>
        </w:rPr>
        <w:t>5</w:t>
      </w:r>
      <w:r w:rsidR="00196273">
        <w:rPr>
          <w:rFonts w:ascii="Arial" w:hAnsi="Arial" w:cs="Arial"/>
        </w:rPr>
        <w:t>.</w:t>
      </w:r>
      <w:r w:rsidR="000E7894">
        <w:rPr>
          <w:rFonts w:ascii="Arial" w:hAnsi="Arial" w:cs="Arial"/>
        </w:rPr>
        <w:t xml:space="preserve"> </w:t>
      </w:r>
      <w:r w:rsidR="000E7894" w:rsidRPr="00FB3A86">
        <w:rPr>
          <w:rFonts w:ascii="Arial" w:hAnsi="Arial" w:cs="Arial"/>
        </w:rPr>
        <w:t>Conclusion</w:t>
      </w:r>
    </w:p>
    <w:p w14:paraId="47C22244" w14:textId="77777777" w:rsidR="000E7894" w:rsidRPr="00FB3A86" w:rsidRDefault="000E7894" w:rsidP="00BA6128">
      <w:pPr>
        <w:pStyle w:val="ConcHead"/>
        <w:spacing w:after="0"/>
        <w:jc w:val="both"/>
        <w:rPr>
          <w:rFonts w:ascii="Arial" w:hAnsi="Arial" w:cs="Arial"/>
        </w:rPr>
      </w:pPr>
    </w:p>
    <w:p w14:paraId="0516CA6C" w14:textId="79B3DD08"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Cardiac autonomic neuropathy is a severe and underdiagnosed complication of diabetes mellitus. The coexistence of orthostatic hypotension and supine hypertension represents a complex and challenging clinical scenario.</w:t>
      </w:r>
    </w:p>
    <w:p w14:paraId="441C641A" w14:textId="043377EB"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Management requires a careful balance between alleviating symptoms and preventing long-term cardiovascular complications. Non-pharmacological measures remain the foundation of treatment, while pharmacological strategies must be tailored to each patient.</w:t>
      </w:r>
    </w:p>
    <w:p w14:paraId="680148F7" w14:textId="10391A55" w:rsidR="000E7894" w:rsidRDefault="008A33E0" w:rsidP="008A33E0">
      <w:pPr>
        <w:pStyle w:val="Body"/>
        <w:spacing w:after="0"/>
        <w:ind w:left="284"/>
        <w:rPr>
          <w:rFonts w:asciiTheme="minorBidi" w:hAnsiTheme="minorBidi" w:cstheme="minorBidi"/>
        </w:rPr>
      </w:pPr>
      <w:r w:rsidRPr="008A33E0">
        <w:rPr>
          <w:rFonts w:asciiTheme="minorBidi" w:hAnsiTheme="minorBidi" w:cstheme="minorBidi"/>
        </w:rPr>
        <w:t>Early diagnosis and appropriate management are crucial to improve quality of life and reduce morbidity.</w:t>
      </w:r>
    </w:p>
    <w:p w14:paraId="71041A3E" w14:textId="77777777" w:rsidR="00196273" w:rsidRDefault="00196273" w:rsidP="008A33E0">
      <w:pPr>
        <w:pStyle w:val="Body"/>
        <w:spacing w:after="0"/>
        <w:ind w:left="284"/>
        <w:rPr>
          <w:rFonts w:asciiTheme="minorBidi" w:hAnsiTheme="minorBidi" w:cstheme="minorBidi"/>
        </w:rPr>
      </w:pPr>
    </w:p>
    <w:p w14:paraId="43D7439D" w14:textId="77777777" w:rsidR="00196273" w:rsidRDefault="00196273" w:rsidP="00196273">
      <w:pPr>
        <w:pStyle w:val="AbstHead"/>
        <w:numPr>
          <w:ilvl w:val="0"/>
          <w:numId w:val="7"/>
        </w:numPr>
        <w:spacing w:after="0"/>
        <w:ind w:left="284"/>
        <w:jc w:val="both"/>
        <w:rPr>
          <w:rFonts w:ascii="Arial" w:hAnsi="Arial" w:cs="Arial"/>
        </w:rPr>
      </w:pPr>
      <w:r w:rsidRPr="00FB3A86">
        <w:rPr>
          <w:rFonts w:ascii="Arial" w:hAnsi="Arial" w:cs="Arial"/>
        </w:rPr>
        <w:t>Abbreviations</w:t>
      </w:r>
    </w:p>
    <w:p w14:paraId="3449C284" w14:textId="77777777" w:rsidR="00196273" w:rsidRPr="00FB3A86" w:rsidRDefault="00196273" w:rsidP="00196273">
      <w:pPr>
        <w:pStyle w:val="Body"/>
        <w:spacing w:after="0"/>
        <w:ind w:left="284"/>
        <w:rPr>
          <w:rFonts w:ascii="Arial" w:hAnsi="Arial" w:cs="Arial"/>
        </w:rPr>
      </w:pPr>
    </w:p>
    <w:p w14:paraId="0CB80BB0" w14:textId="77777777" w:rsidR="00196273" w:rsidRPr="005A2233" w:rsidRDefault="00196273" w:rsidP="00196273">
      <w:pPr>
        <w:pStyle w:val="Body"/>
        <w:spacing w:after="0"/>
        <w:ind w:left="284"/>
        <w:jc w:val="left"/>
        <w:rPr>
          <w:rFonts w:asciiTheme="minorBidi" w:hAnsiTheme="minorBidi" w:cstheme="minorBidi"/>
        </w:rPr>
      </w:pPr>
      <w:r w:rsidRPr="005A2233">
        <w:rPr>
          <w:rFonts w:asciiTheme="minorBidi" w:hAnsiTheme="minorBidi" w:cstheme="minorBidi"/>
        </w:rPr>
        <w:t xml:space="preserve">CAN: Cardiac Autonomic Neuropathy  </w:t>
      </w:r>
    </w:p>
    <w:p w14:paraId="0BA5083A" w14:textId="77777777" w:rsidR="00196273" w:rsidRPr="005A2233" w:rsidRDefault="00196273" w:rsidP="00196273">
      <w:pPr>
        <w:pStyle w:val="Body"/>
        <w:spacing w:after="0"/>
        <w:ind w:left="284"/>
        <w:jc w:val="left"/>
        <w:rPr>
          <w:rFonts w:asciiTheme="minorBidi" w:hAnsiTheme="minorBidi" w:cstheme="minorBidi"/>
        </w:rPr>
      </w:pPr>
      <w:r w:rsidRPr="005A2233">
        <w:rPr>
          <w:rFonts w:asciiTheme="minorBidi" w:hAnsiTheme="minorBidi" w:cstheme="minorBidi"/>
        </w:rPr>
        <w:t xml:space="preserve">OH: Orthostatic Hypotension  </w:t>
      </w:r>
    </w:p>
    <w:p w14:paraId="55394FC4" w14:textId="77777777" w:rsidR="00196273" w:rsidRPr="00FB3A86" w:rsidRDefault="00196273" w:rsidP="00196273">
      <w:pPr>
        <w:pStyle w:val="Appendix"/>
        <w:ind w:left="284"/>
        <w:jc w:val="both"/>
        <w:rPr>
          <w:rFonts w:ascii="Arial" w:hAnsi="Arial" w:cs="Arial"/>
          <w:b w:val="0"/>
        </w:rPr>
      </w:pPr>
      <w:r w:rsidRPr="005A2233">
        <w:rPr>
          <w:rFonts w:asciiTheme="minorBidi" w:hAnsiTheme="minorBidi" w:cstheme="minorBidi"/>
          <w:sz w:val="20"/>
        </w:rPr>
        <w:t>SH: Supine Hypertension</w:t>
      </w:r>
    </w:p>
    <w:p w14:paraId="6A2C62CD" w14:textId="77777777" w:rsidR="00196273" w:rsidRDefault="00196273" w:rsidP="008A33E0">
      <w:pPr>
        <w:pStyle w:val="Body"/>
        <w:spacing w:after="0"/>
        <w:ind w:left="284"/>
        <w:rPr>
          <w:rFonts w:ascii="Arial" w:hAnsi="Arial" w:cs="Arial"/>
        </w:rPr>
      </w:pPr>
    </w:p>
    <w:p w14:paraId="1459208C" w14:textId="77777777" w:rsidR="000E7894" w:rsidRPr="00315186" w:rsidRDefault="000E7894" w:rsidP="000E7894">
      <w:pPr>
        <w:ind w:left="284"/>
      </w:pPr>
    </w:p>
    <w:p w14:paraId="71F0250A" w14:textId="77777777" w:rsidR="000E7894" w:rsidRPr="005A2233" w:rsidRDefault="000E7894" w:rsidP="00196273">
      <w:pPr>
        <w:pStyle w:val="AbstHead"/>
        <w:numPr>
          <w:ilvl w:val="0"/>
          <w:numId w:val="7"/>
        </w:numPr>
        <w:spacing w:after="0"/>
        <w:ind w:left="284"/>
        <w:jc w:val="both"/>
        <w:rPr>
          <w:rFonts w:ascii="Arial" w:hAnsi="Arial" w:cs="Arial"/>
        </w:rPr>
      </w:pPr>
      <w:r w:rsidRPr="005A2233">
        <w:rPr>
          <w:rFonts w:ascii="Arial" w:hAnsi="Arial" w:cs="Arial"/>
        </w:rPr>
        <w:t>Consent (where ever applicable)</w:t>
      </w:r>
    </w:p>
    <w:p w14:paraId="24C9D5B7" w14:textId="77777777" w:rsidR="000E7894" w:rsidRPr="002B685A" w:rsidRDefault="000E7894" w:rsidP="000E7894">
      <w:pPr>
        <w:pStyle w:val="ReferHead"/>
        <w:spacing w:after="0"/>
        <w:ind w:left="284"/>
        <w:jc w:val="both"/>
        <w:rPr>
          <w:rFonts w:ascii="Arial" w:hAnsi="Arial" w:cs="Arial"/>
          <w:bCs/>
        </w:rPr>
      </w:pPr>
    </w:p>
    <w:p w14:paraId="3D4BC659" w14:textId="7CA4A998" w:rsidR="000E7894" w:rsidRDefault="00BA6128" w:rsidP="000E7894">
      <w:pPr>
        <w:pStyle w:val="ReferHead"/>
        <w:ind w:left="284"/>
        <w:rPr>
          <w:rFonts w:ascii="Arial" w:hAnsi="Arial" w:cs="Arial"/>
          <w:b w:val="0"/>
          <w:caps w:val="0"/>
          <w:sz w:val="20"/>
        </w:rPr>
      </w:pPr>
      <w:r w:rsidRPr="00BA6128">
        <w:rPr>
          <w:rFonts w:asciiTheme="minorBidi" w:hAnsiTheme="minorBidi" w:cstheme="minorBidi"/>
          <w:b w:val="0"/>
          <w:caps w:val="0"/>
          <w:sz w:val="20"/>
        </w:rPr>
        <w:t>Written informed consent was obtained from the patient for publication of this case report and associated clinical data. Patient anonymity has been preserved.</w:t>
      </w:r>
    </w:p>
    <w:p w14:paraId="1F052045" w14:textId="77777777" w:rsidR="000E7894" w:rsidRDefault="000E7894" w:rsidP="000E7894">
      <w:pPr>
        <w:pStyle w:val="ReferHead"/>
        <w:spacing w:after="0"/>
        <w:ind w:left="284"/>
        <w:jc w:val="both"/>
        <w:rPr>
          <w:rFonts w:ascii="Arial" w:hAnsi="Arial" w:cs="Arial"/>
          <w:b w:val="0"/>
          <w:caps w:val="0"/>
          <w:sz w:val="20"/>
        </w:rPr>
      </w:pPr>
    </w:p>
    <w:p w14:paraId="22B3CC0A" w14:textId="77777777" w:rsidR="000E7894" w:rsidRPr="005A2233" w:rsidRDefault="000E7894" w:rsidP="00196273">
      <w:pPr>
        <w:pStyle w:val="AbstHead"/>
        <w:numPr>
          <w:ilvl w:val="0"/>
          <w:numId w:val="7"/>
        </w:numPr>
        <w:spacing w:after="0"/>
        <w:ind w:left="284"/>
        <w:jc w:val="both"/>
        <w:rPr>
          <w:rFonts w:ascii="Arial" w:hAnsi="Arial" w:cs="Arial"/>
        </w:rPr>
      </w:pPr>
      <w:r w:rsidRPr="005A2233">
        <w:rPr>
          <w:rFonts w:ascii="Arial" w:hAnsi="Arial" w:cs="Arial"/>
        </w:rPr>
        <w:t>Ethical approval (where ever applicable)</w:t>
      </w:r>
    </w:p>
    <w:p w14:paraId="66A74E5B" w14:textId="77777777" w:rsidR="000E7894" w:rsidRPr="002B685A" w:rsidRDefault="000E7894" w:rsidP="000E7894">
      <w:pPr>
        <w:pStyle w:val="ReferHead"/>
        <w:spacing w:after="0"/>
        <w:ind w:left="284"/>
        <w:jc w:val="both"/>
        <w:rPr>
          <w:rFonts w:ascii="Arial" w:hAnsi="Arial" w:cs="Arial"/>
          <w:bCs/>
        </w:rPr>
      </w:pPr>
    </w:p>
    <w:p w14:paraId="4DC79AE8" w14:textId="43D33C19" w:rsidR="00A65013" w:rsidRDefault="000E7894" w:rsidP="00A40C3A">
      <w:pPr>
        <w:pStyle w:val="ReferHead"/>
        <w:spacing w:after="0"/>
        <w:ind w:left="284"/>
        <w:jc w:val="both"/>
        <w:rPr>
          <w:rFonts w:asciiTheme="minorBidi" w:hAnsiTheme="minorBidi" w:cstheme="minorBidi"/>
          <w:b w:val="0"/>
          <w:caps w:val="0"/>
          <w:sz w:val="20"/>
        </w:rPr>
      </w:pPr>
      <w:r w:rsidRPr="005A2233">
        <w:rPr>
          <w:rFonts w:asciiTheme="minorBidi" w:hAnsiTheme="minorBidi" w:cstheme="minorBidi"/>
          <w:b w:val="0"/>
          <w:caps w:val="0"/>
          <w:sz w:val="20"/>
        </w:rPr>
        <w:t>Ethical approval was not required for this case report.</w:t>
      </w:r>
      <w:bookmarkStart w:id="0" w:name="_Hlk198031404"/>
      <w:bookmarkStart w:id="1" w:name="_Hlk219125673"/>
      <w:r w:rsidR="00A65013" w:rsidRPr="00A65013">
        <w:rPr>
          <w:rFonts w:ascii="Times New Roman" w:eastAsia="Calibri" w:hAnsi="Times New Roman"/>
          <w:kern w:val="2"/>
          <w:szCs w:val="22"/>
          <w:highlight w:val="yellow"/>
        </w:rPr>
        <w:t xml:space="preserve"> </w:t>
      </w:r>
      <w:bookmarkEnd w:id="0"/>
      <w:bookmarkEnd w:id="1"/>
    </w:p>
    <w:p w14:paraId="516224F0" w14:textId="0430180E" w:rsidR="000E7894" w:rsidRDefault="000E7894" w:rsidP="008A33E0">
      <w:pPr>
        <w:pStyle w:val="ReferHead"/>
        <w:spacing w:after="0"/>
        <w:jc w:val="both"/>
        <w:rPr>
          <w:rFonts w:ascii="Arial" w:hAnsi="Arial" w:cs="Arial"/>
        </w:rPr>
      </w:pPr>
    </w:p>
    <w:p w14:paraId="44177979" w14:textId="539BED20" w:rsidR="006A01AF" w:rsidRDefault="006A01AF" w:rsidP="008A33E0">
      <w:pPr>
        <w:pStyle w:val="ReferHead"/>
        <w:spacing w:after="0"/>
        <w:jc w:val="both"/>
        <w:rPr>
          <w:rFonts w:ascii="Arial" w:hAnsi="Arial" w:cs="Arial"/>
        </w:rPr>
      </w:pPr>
    </w:p>
    <w:p w14:paraId="3AD0EC28" w14:textId="77777777" w:rsidR="006A01AF" w:rsidRDefault="006A01AF" w:rsidP="006A01AF">
      <w:pPr>
        <w:pStyle w:val="NoSpacing"/>
        <w:rPr>
          <w:rFonts w:ascii="Arial" w:hAnsi="Arial" w:cs="Arial"/>
          <w:highlight w:val="yellow"/>
        </w:rPr>
      </w:pPr>
      <w:r>
        <w:rPr>
          <w:rFonts w:ascii="Arial" w:hAnsi="Arial" w:cs="Arial"/>
          <w:highlight w:val="yellow"/>
        </w:rPr>
        <w:t>Disclaimer (Artificial intelligence)</w:t>
      </w:r>
    </w:p>
    <w:p w14:paraId="7C0085AE" w14:textId="77777777" w:rsidR="006A01AF" w:rsidRDefault="006A01AF" w:rsidP="006A01AF">
      <w:pPr>
        <w:pStyle w:val="NoSpacing"/>
        <w:rPr>
          <w:rFonts w:ascii="Arial" w:hAnsi="Arial" w:cs="Arial"/>
          <w:highlight w:val="yellow"/>
        </w:rPr>
      </w:pPr>
    </w:p>
    <w:p w14:paraId="3B156B88" w14:textId="77777777" w:rsidR="006A01AF" w:rsidRDefault="006A01AF" w:rsidP="006A01AF">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p w14:paraId="3FCB1C0B" w14:textId="77777777" w:rsidR="006A01AF" w:rsidRDefault="006A01AF" w:rsidP="006A01AF">
      <w:pPr>
        <w:pStyle w:val="NoSpacing"/>
        <w:rPr>
          <w:rFonts w:ascii="Arial" w:hAnsi="Arial" w:cs="Arial"/>
        </w:rPr>
      </w:pPr>
    </w:p>
    <w:p w14:paraId="6DFFB174" w14:textId="77777777" w:rsidR="006A01AF" w:rsidRDefault="006A01AF" w:rsidP="006A01AF">
      <w:pPr>
        <w:pStyle w:val="NoSpacing"/>
        <w:rPr>
          <w:rFonts w:ascii="Arial" w:hAnsi="Arial" w:cs="Arial"/>
        </w:rPr>
      </w:pPr>
    </w:p>
    <w:p w14:paraId="054798B8" w14:textId="77777777" w:rsidR="006A01AF" w:rsidRDefault="006A01AF" w:rsidP="006A01AF">
      <w:pPr>
        <w:pStyle w:val="NoSpacing"/>
        <w:rPr>
          <w:rFonts w:ascii="Arial" w:hAnsi="Arial" w:cs="Arial"/>
        </w:rPr>
      </w:pPr>
    </w:p>
    <w:p w14:paraId="1FE4BA1F" w14:textId="77777777" w:rsidR="006A01AF" w:rsidRDefault="006A01AF" w:rsidP="008A33E0">
      <w:pPr>
        <w:pStyle w:val="ReferHead"/>
        <w:spacing w:after="0"/>
        <w:jc w:val="both"/>
        <w:rPr>
          <w:rFonts w:ascii="Arial" w:hAnsi="Arial" w:cs="Arial"/>
        </w:rPr>
      </w:pPr>
      <w:bookmarkStart w:id="2" w:name="_GoBack"/>
      <w:bookmarkEnd w:id="2"/>
    </w:p>
    <w:p w14:paraId="3D2FE04E" w14:textId="77777777" w:rsidR="000E7894" w:rsidRDefault="000E7894" w:rsidP="00196273">
      <w:pPr>
        <w:pStyle w:val="AbstHead"/>
        <w:numPr>
          <w:ilvl w:val="0"/>
          <w:numId w:val="7"/>
        </w:numPr>
        <w:spacing w:after="0"/>
        <w:ind w:left="284"/>
        <w:jc w:val="both"/>
        <w:rPr>
          <w:rFonts w:ascii="Arial" w:hAnsi="Arial" w:cs="Arial"/>
        </w:rPr>
      </w:pPr>
      <w:r>
        <w:rPr>
          <w:rFonts w:ascii="Arial" w:hAnsi="Arial" w:cs="Arial"/>
        </w:rPr>
        <w:t xml:space="preserve">references </w:t>
      </w:r>
    </w:p>
    <w:p w14:paraId="70BCF75C" w14:textId="77777777" w:rsidR="000E7894" w:rsidRPr="00FB3A86" w:rsidRDefault="000E7894" w:rsidP="000E7894">
      <w:pPr>
        <w:pStyle w:val="AcknHead"/>
        <w:spacing w:after="0"/>
        <w:ind w:left="284"/>
        <w:jc w:val="both"/>
        <w:rPr>
          <w:rFonts w:ascii="Arial" w:hAnsi="Arial" w:cs="Arial"/>
        </w:rPr>
      </w:pPr>
    </w:p>
    <w:p w14:paraId="358825DA" w14:textId="7F39AAEA" w:rsidR="00BA6128" w:rsidRPr="00BA6128" w:rsidRDefault="000E7894" w:rsidP="006A01AF">
      <w:pPr>
        <w:pStyle w:val="Body"/>
        <w:numPr>
          <w:ilvl w:val="0"/>
          <w:numId w:val="8"/>
        </w:numPr>
        <w:rPr>
          <w:rFonts w:asciiTheme="minorBidi" w:hAnsiTheme="minorBidi" w:cstheme="minorBidi"/>
        </w:rPr>
      </w:pPr>
      <w:r w:rsidRPr="005A2233">
        <w:rPr>
          <w:rFonts w:asciiTheme="minorBidi" w:hAnsiTheme="minorBidi" w:cstheme="minorBidi"/>
        </w:rPr>
        <w:t>1</w:t>
      </w:r>
      <w:r w:rsidR="00BA6128" w:rsidRPr="00BA6128">
        <w:t xml:space="preserve"> </w:t>
      </w:r>
      <w:proofErr w:type="spellStart"/>
      <w:r w:rsidR="00BA6128" w:rsidRPr="00BA6128">
        <w:rPr>
          <w:rFonts w:asciiTheme="minorBidi" w:hAnsiTheme="minorBidi" w:cstheme="minorBidi"/>
        </w:rPr>
        <w:t>Vinik</w:t>
      </w:r>
      <w:proofErr w:type="spellEnd"/>
      <w:r w:rsidR="00BA6128" w:rsidRPr="00BA6128">
        <w:rPr>
          <w:rFonts w:asciiTheme="minorBidi" w:hAnsiTheme="minorBidi" w:cstheme="minorBidi"/>
        </w:rPr>
        <w:t xml:space="preserve"> AI, Ziegler D. Diabetic cardiovascular autonomic neuropathy. Circulation. </w:t>
      </w:r>
      <w:proofErr w:type="gramStart"/>
      <w:r w:rsidR="00BA6128" w:rsidRPr="00BA6128">
        <w:rPr>
          <w:rFonts w:asciiTheme="minorBidi" w:hAnsiTheme="minorBidi" w:cstheme="minorBidi"/>
        </w:rPr>
        <w:t>2007;115:387</w:t>
      </w:r>
      <w:proofErr w:type="gramEnd"/>
      <w:r w:rsidR="00BA6128" w:rsidRPr="00BA6128">
        <w:rPr>
          <w:rFonts w:asciiTheme="minorBidi" w:hAnsiTheme="minorBidi" w:cstheme="minorBidi"/>
        </w:rPr>
        <w:t>-397.</w:t>
      </w:r>
    </w:p>
    <w:p w14:paraId="4320DCB5" w14:textId="77777777" w:rsidR="00BA6128" w:rsidRPr="00BA6128" w:rsidRDefault="00BA6128" w:rsidP="006A01AF">
      <w:pPr>
        <w:pStyle w:val="Body"/>
        <w:numPr>
          <w:ilvl w:val="0"/>
          <w:numId w:val="8"/>
        </w:numPr>
        <w:rPr>
          <w:rFonts w:asciiTheme="minorBidi" w:hAnsiTheme="minorBidi" w:cstheme="minorBidi"/>
        </w:rPr>
      </w:pPr>
      <w:r w:rsidRPr="00BA6128">
        <w:rPr>
          <w:rFonts w:asciiTheme="minorBidi" w:hAnsiTheme="minorBidi" w:cstheme="minorBidi"/>
        </w:rPr>
        <w:t xml:space="preserve">Freeman R. Neurogenic orthostatic hypotension. N </w:t>
      </w:r>
      <w:proofErr w:type="spellStart"/>
      <w:r w:rsidRPr="00BA6128">
        <w:rPr>
          <w:rFonts w:asciiTheme="minorBidi" w:hAnsiTheme="minorBidi" w:cstheme="minorBidi"/>
        </w:rPr>
        <w:t>Engl</w:t>
      </w:r>
      <w:proofErr w:type="spellEnd"/>
      <w:r w:rsidRPr="00BA6128">
        <w:rPr>
          <w:rFonts w:asciiTheme="minorBidi" w:hAnsiTheme="minorBidi" w:cstheme="minorBidi"/>
        </w:rPr>
        <w:t xml:space="preserve"> J Med. </w:t>
      </w:r>
      <w:proofErr w:type="gramStart"/>
      <w:r w:rsidRPr="00BA6128">
        <w:rPr>
          <w:rFonts w:asciiTheme="minorBidi" w:hAnsiTheme="minorBidi" w:cstheme="minorBidi"/>
        </w:rPr>
        <w:t>2008;358:615</w:t>
      </w:r>
      <w:proofErr w:type="gramEnd"/>
      <w:r w:rsidRPr="00BA6128">
        <w:rPr>
          <w:rFonts w:asciiTheme="minorBidi" w:hAnsiTheme="minorBidi" w:cstheme="minorBidi"/>
        </w:rPr>
        <w:t>-624.</w:t>
      </w:r>
    </w:p>
    <w:p w14:paraId="5EBFF4A7" w14:textId="77777777" w:rsidR="00BA6128" w:rsidRPr="00BA6128" w:rsidRDefault="00BA6128" w:rsidP="006A01AF">
      <w:pPr>
        <w:pStyle w:val="Body"/>
        <w:numPr>
          <w:ilvl w:val="0"/>
          <w:numId w:val="8"/>
        </w:numPr>
        <w:rPr>
          <w:rFonts w:asciiTheme="minorBidi" w:hAnsiTheme="minorBidi" w:cstheme="minorBidi"/>
        </w:rPr>
      </w:pPr>
      <w:proofErr w:type="spellStart"/>
      <w:r w:rsidRPr="00BA6128">
        <w:rPr>
          <w:rFonts w:asciiTheme="minorBidi" w:hAnsiTheme="minorBidi" w:cstheme="minorBidi"/>
        </w:rPr>
        <w:t>Fanciulli</w:t>
      </w:r>
      <w:proofErr w:type="spellEnd"/>
      <w:r w:rsidRPr="00BA6128">
        <w:rPr>
          <w:rFonts w:asciiTheme="minorBidi" w:hAnsiTheme="minorBidi" w:cstheme="minorBidi"/>
        </w:rPr>
        <w:t xml:space="preserve"> A, </w:t>
      </w:r>
      <w:proofErr w:type="spellStart"/>
      <w:r w:rsidRPr="00BA6128">
        <w:rPr>
          <w:rFonts w:asciiTheme="minorBidi" w:hAnsiTheme="minorBidi" w:cstheme="minorBidi"/>
        </w:rPr>
        <w:t>Wenning</w:t>
      </w:r>
      <w:proofErr w:type="spellEnd"/>
      <w:r w:rsidRPr="00BA6128">
        <w:rPr>
          <w:rFonts w:asciiTheme="minorBidi" w:hAnsiTheme="minorBidi" w:cstheme="minorBidi"/>
        </w:rPr>
        <w:t xml:space="preserve"> GK. Multiple-system atrophy. N </w:t>
      </w:r>
      <w:proofErr w:type="spellStart"/>
      <w:r w:rsidRPr="00BA6128">
        <w:rPr>
          <w:rFonts w:asciiTheme="minorBidi" w:hAnsiTheme="minorBidi" w:cstheme="minorBidi"/>
        </w:rPr>
        <w:t>Engl</w:t>
      </w:r>
      <w:proofErr w:type="spellEnd"/>
      <w:r w:rsidRPr="00BA6128">
        <w:rPr>
          <w:rFonts w:asciiTheme="minorBidi" w:hAnsiTheme="minorBidi" w:cstheme="minorBidi"/>
        </w:rPr>
        <w:t xml:space="preserve"> J Med. </w:t>
      </w:r>
      <w:proofErr w:type="gramStart"/>
      <w:r w:rsidRPr="00BA6128">
        <w:rPr>
          <w:rFonts w:asciiTheme="minorBidi" w:hAnsiTheme="minorBidi" w:cstheme="minorBidi"/>
        </w:rPr>
        <w:t>2015;372:249</w:t>
      </w:r>
      <w:proofErr w:type="gramEnd"/>
      <w:r w:rsidRPr="00BA6128">
        <w:rPr>
          <w:rFonts w:asciiTheme="minorBidi" w:hAnsiTheme="minorBidi" w:cstheme="minorBidi"/>
        </w:rPr>
        <w:t>-263.</w:t>
      </w:r>
    </w:p>
    <w:p w14:paraId="05198FE6" w14:textId="77777777" w:rsidR="00BA6128" w:rsidRPr="00BA6128" w:rsidRDefault="00BA6128" w:rsidP="006A01AF">
      <w:pPr>
        <w:pStyle w:val="Body"/>
        <w:numPr>
          <w:ilvl w:val="0"/>
          <w:numId w:val="8"/>
        </w:numPr>
        <w:rPr>
          <w:rFonts w:asciiTheme="minorBidi" w:hAnsiTheme="minorBidi" w:cstheme="minorBidi"/>
        </w:rPr>
      </w:pPr>
      <w:r w:rsidRPr="00BA6128">
        <w:rPr>
          <w:rFonts w:asciiTheme="minorBidi" w:hAnsiTheme="minorBidi" w:cstheme="minorBidi"/>
        </w:rPr>
        <w:lastRenderedPageBreak/>
        <w:t xml:space="preserve">Gibbons CH, Schmidt P, </w:t>
      </w:r>
      <w:proofErr w:type="spellStart"/>
      <w:r w:rsidRPr="00BA6128">
        <w:rPr>
          <w:rFonts w:asciiTheme="minorBidi" w:hAnsiTheme="minorBidi" w:cstheme="minorBidi"/>
        </w:rPr>
        <w:t>Biaggioni</w:t>
      </w:r>
      <w:proofErr w:type="spellEnd"/>
      <w:r w:rsidRPr="00BA6128">
        <w:rPr>
          <w:rFonts w:asciiTheme="minorBidi" w:hAnsiTheme="minorBidi" w:cstheme="minorBidi"/>
        </w:rPr>
        <w:t xml:space="preserve"> I, et al. The recommendations of a consensus panel for the screening, diagnosis, and treatment of neurogenic orthostatic hypotension and associated supine hypertension. J Neurol. 2017;264(8):1567-1582. doi:10.1007/s00415-016-8375-x.</w:t>
      </w:r>
    </w:p>
    <w:p w14:paraId="40B22D3E" w14:textId="77777777" w:rsidR="00BA6128" w:rsidRPr="00BA6128" w:rsidRDefault="00BA6128" w:rsidP="006A01AF">
      <w:pPr>
        <w:pStyle w:val="Body"/>
        <w:numPr>
          <w:ilvl w:val="0"/>
          <w:numId w:val="8"/>
        </w:numPr>
        <w:rPr>
          <w:rFonts w:asciiTheme="minorBidi" w:hAnsiTheme="minorBidi" w:cstheme="minorBidi"/>
        </w:rPr>
      </w:pPr>
      <w:proofErr w:type="spellStart"/>
      <w:r w:rsidRPr="00BA6128">
        <w:rPr>
          <w:rFonts w:asciiTheme="minorBidi" w:hAnsiTheme="minorBidi" w:cstheme="minorBidi"/>
        </w:rPr>
        <w:t>Spallone</w:t>
      </w:r>
      <w:proofErr w:type="spellEnd"/>
      <w:r w:rsidRPr="00BA6128">
        <w:rPr>
          <w:rFonts w:asciiTheme="minorBidi" w:hAnsiTheme="minorBidi" w:cstheme="minorBidi"/>
        </w:rPr>
        <w:t xml:space="preserve"> V. Update on the impact, diagnosis and management of cardiovascular autonomic neuropathy in diabetes: What is defined, what is new, and what is unmet. Diabetes </w:t>
      </w:r>
      <w:proofErr w:type="spellStart"/>
      <w:r w:rsidRPr="00BA6128">
        <w:rPr>
          <w:rFonts w:asciiTheme="minorBidi" w:hAnsiTheme="minorBidi" w:cstheme="minorBidi"/>
        </w:rPr>
        <w:t>Metab</w:t>
      </w:r>
      <w:proofErr w:type="spellEnd"/>
      <w:r w:rsidRPr="00BA6128">
        <w:rPr>
          <w:rFonts w:asciiTheme="minorBidi" w:hAnsiTheme="minorBidi" w:cstheme="minorBidi"/>
        </w:rPr>
        <w:t xml:space="preserve"> J. 2019;43(1):3-30. doi:10.4093/dmj.2018.0259.</w:t>
      </w:r>
    </w:p>
    <w:p w14:paraId="0E7E7054" w14:textId="77777777" w:rsidR="00BA6128" w:rsidRPr="00BA6128" w:rsidRDefault="00BA6128" w:rsidP="006A01AF">
      <w:pPr>
        <w:pStyle w:val="Body"/>
        <w:numPr>
          <w:ilvl w:val="0"/>
          <w:numId w:val="8"/>
        </w:numPr>
        <w:rPr>
          <w:rFonts w:asciiTheme="minorBidi" w:hAnsiTheme="minorBidi" w:cstheme="minorBidi"/>
        </w:rPr>
      </w:pPr>
      <w:proofErr w:type="spellStart"/>
      <w:r w:rsidRPr="00BA6128">
        <w:rPr>
          <w:rFonts w:asciiTheme="minorBidi" w:hAnsiTheme="minorBidi" w:cstheme="minorBidi"/>
        </w:rPr>
        <w:t>Mankovsky</w:t>
      </w:r>
      <w:proofErr w:type="spellEnd"/>
      <w:r w:rsidRPr="00BA6128">
        <w:rPr>
          <w:rFonts w:asciiTheme="minorBidi" w:hAnsiTheme="minorBidi" w:cstheme="minorBidi"/>
        </w:rPr>
        <w:t xml:space="preserve"> BN, </w:t>
      </w:r>
      <w:proofErr w:type="spellStart"/>
      <w:r w:rsidRPr="00BA6128">
        <w:rPr>
          <w:rFonts w:asciiTheme="minorBidi" w:hAnsiTheme="minorBidi" w:cstheme="minorBidi"/>
        </w:rPr>
        <w:t>Piolot</w:t>
      </w:r>
      <w:proofErr w:type="spellEnd"/>
      <w:r w:rsidRPr="00BA6128">
        <w:rPr>
          <w:rFonts w:asciiTheme="minorBidi" w:hAnsiTheme="minorBidi" w:cstheme="minorBidi"/>
        </w:rPr>
        <w:t xml:space="preserve"> R, </w:t>
      </w:r>
      <w:proofErr w:type="spellStart"/>
      <w:r w:rsidRPr="00BA6128">
        <w:rPr>
          <w:rFonts w:asciiTheme="minorBidi" w:hAnsiTheme="minorBidi" w:cstheme="minorBidi"/>
        </w:rPr>
        <w:t>Mankovsky</w:t>
      </w:r>
      <w:proofErr w:type="spellEnd"/>
      <w:r w:rsidRPr="00BA6128">
        <w:rPr>
          <w:rFonts w:asciiTheme="minorBidi" w:hAnsiTheme="minorBidi" w:cstheme="minorBidi"/>
        </w:rPr>
        <w:t xml:space="preserve"> OL, Ziegler D. Impairment of cerebral autoregulation in diabetic patients with cardiovascular autonomic neuropathy and orthostatic hypotension. </w:t>
      </w:r>
      <w:proofErr w:type="spellStart"/>
      <w:r w:rsidRPr="00BA6128">
        <w:rPr>
          <w:rFonts w:asciiTheme="minorBidi" w:hAnsiTheme="minorBidi" w:cstheme="minorBidi"/>
        </w:rPr>
        <w:t>Diabet</w:t>
      </w:r>
      <w:proofErr w:type="spellEnd"/>
      <w:r w:rsidRPr="00BA6128">
        <w:rPr>
          <w:rFonts w:asciiTheme="minorBidi" w:hAnsiTheme="minorBidi" w:cstheme="minorBidi"/>
        </w:rPr>
        <w:t xml:space="preserve"> Med. 2003;20(2):119-126. doi:10.1046/j.1464-5491.2003.</w:t>
      </w:r>
      <w:proofErr w:type="gramStart"/>
      <w:r w:rsidRPr="00BA6128">
        <w:rPr>
          <w:rFonts w:asciiTheme="minorBidi" w:hAnsiTheme="minorBidi" w:cstheme="minorBidi"/>
        </w:rPr>
        <w:t>00885.x.</w:t>
      </w:r>
      <w:proofErr w:type="gramEnd"/>
    </w:p>
    <w:p w14:paraId="7794E458" w14:textId="23A800F6" w:rsidR="00C151E4" w:rsidRDefault="00BA6128" w:rsidP="006A01AF">
      <w:pPr>
        <w:pStyle w:val="Body"/>
        <w:numPr>
          <w:ilvl w:val="0"/>
          <w:numId w:val="8"/>
        </w:numPr>
      </w:pPr>
      <w:proofErr w:type="spellStart"/>
      <w:r w:rsidRPr="00BA6128">
        <w:rPr>
          <w:rFonts w:asciiTheme="minorBidi" w:hAnsiTheme="minorBidi" w:cstheme="minorBidi"/>
        </w:rPr>
        <w:t>Jermendy</w:t>
      </w:r>
      <w:proofErr w:type="spellEnd"/>
      <w:r w:rsidRPr="00BA6128">
        <w:rPr>
          <w:rFonts w:asciiTheme="minorBidi" w:hAnsiTheme="minorBidi" w:cstheme="minorBidi"/>
        </w:rPr>
        <w:t xml:space="preserve"> G. Clinical consequences of cardiovascular autonomic neuropathy in diabetic patients. Acta </w:t>
      </w:r>
      <w:proofErr w:type="spellStart"/>
      <w:r w:rsidRPr="00BA6128">
        <w:rPr>
          <w:rFonts w:asciiTheme="minorBidi" w:hAnsiTheme="minorBidi" w:cstheme="minorBidi"/>
        </w:rPr>
        <w:t>Diabetol</w:t>
      </w:r>
      <w:proofErr w:type="spellEnd"/>
      <w:r w:rsidRPr="00BA6128">
        <w:rPr>
          <w:rFonts w:asciiTheme="minorBidi" w:hAnsiTheme="minorBidi" w:cstheme="minorBidi"/>
        </w:rPr>
        <w:t xml:space="preserve">. 2003;40 Suppl </w:t>
      </w:r>
      <w:proofErr w:type="gramStart"/>
      <w:r w:rsidRPr="00BA6128">
        <w:rPr>
          <w:rFonts w:asciiTheme="minorBidi" w:hAnsiTheme="minorBidi" w:cstheme="minorBidi"/>
        </w:rPr>
        <w:t>2:S</w:t>
      </w:r>
      <w:proofErr w:type="gramEnd"/>
      <w:r w:rsidRPr="00BA6128">
        <w:rPr>
          <w:rFonts w:asciiTheme="minorBidi" w:hAnsiTheme="minorBidi" w:cstheme="minorBidi"/>
        </w:rPr>
        <w:t>370-S374. doi:10.1007/s00592-003-0122-y.</w:t>
      </w:r>
    </w:p>
    <w:sectPr w:rsidR="00C151E4" w:rsidSect="000E7894">
      <w:headerReference w:type="even" r:id="rId13"/>
      <w:headerReference w:type="default" r:id="rId14"/>
      <w:footerReference w:type="default" r:id="rId15"/>
      <w:headerReference w:type="first" r:id="rId16"/>
      <w:type w:val="continuous"/>
      <w:pgSz w:w="12240" w:h="15840"/>
      <w:pgMar w:top="1276" w:right="1041" w:bottom="1418" w:left="993" w:header="72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71E43" w14:textId="77777777" w:rsidR="004B3CED" w:rsidRDefault="004B3CED" w:rsidP="000E7894">
      <w:r>
        <w:separator/>
      </w:r>
    </w:p>
  </w:endnote>
  <w:endnote w:type="continuationSeparator" w:id="0">
    <w:p w14:paraId="2D18AC8F" w14:textId="77777777" w:rsidR="004B3CED" w:rsidRDefault="004B3CED" w:rsidP="000E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4816" w14:textId="77777777" w:rsidR="002E7A7C" w:rsidRDefault="002E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B42" w14:textId="03BF9DA5" w:rsidR="001E2E2F" w:rsidRDefault="001E2E2F" w:rsidP="001E2E2F">
    <w:pPr>
      <w:pStyle w:val="Affiliation"/>
      <w:spacing w:after="0" w:line="240" w:lineRule="auto"/>
      <w:ind w:left="-993"/>
      <w:jc w:val="left"/>
      <w:rPr>
        <w:rFonts w:ascii="Arial" w:hAnsi="Arial" w:cs="Arial"/>
        <w:i/>
      </w:rPr>
    </w:pPr>
  </w:p>
  <w:p w14:paraId="75634CAB" w14:textId="77777777" w:rsidR="002A603F" w:rsidRDefault="002A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3D0D" w14:textId="77777777" w:rsidR="002A603F" w:rsidRDefault="002A603F">
    <w:pPr>
      <w:pStyle w:val="Footer"/>
      <w:rPr>
        <w:rFonts w:ascii="Arial" w:hAnsi="Arial" w:cs="Arial"/>
        <w:sz w:val="16"/>
      </w:rPr>
    </w:pPr>
  </w:p>
  <w:p w14:paraId="3EBAEA2C" w14:textId="77777777" w:rsidR="002A603F" w:rsidRDefault="00645B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3B67AA5" w14:textId="77777777" w:rsidR="002A603F" w:rsidRDefault="002A603F">
    <w:pPr>
      <w:pStyle w:val="Footer"/>
      <w:rPr>
        <w:rFonts w:ascii="Arial" w:hAnsi="Arial" w:cs="Arial"/>
        <w:sz w:val="16"/>
      </w:rPr>
    </w:pPr>
  </w:p>
  <w:p w14:paraId="2A8BCB8F" w14:textId="77777777" w:rsidR="002A603F" w:rsidRPr="009E048A" w:rsidRDefault="00645B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EBD4" w14:textId="77777777" w:rsidR="002A603F" w:rsidRPr="00C37E61" w:rsidRDefault="002A603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47901" w14:textId="77777777" w:rsidR="004B3CED" w:rsidRDefault="004B3CED" w:rsidP="000E7894">
      <w:r>
        <w:separator/>
      </w:r>
    </w:p>
  </w:footnote>
  <w:footnote w:type="continuationSeparator" w:id="0">
    <w:p w14:paraId="4014E0DE" w14:textId="77777777" w:rsidR="004B3CED" w:rsidRDefault="004B3CED" w:rsidP="000E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CCE5" w14:textId="17BEFAD3" w:rsidR="002E7A7C" w:rsidRDefault="004B3CED">
    <w:pPr>
      <w:pStyle w:val="Header"/>
    </w:pPr>
    <w:r>
      <w:rPr>
        <w:noProof/>
      </w:rPr>
      <w:pict w14:anchorId="0C5AF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6" o:spid="_x0000_s2050" type="#_x0000_t136" style="position:absolute;margin-left:0;margin-top:0;width:646.45pt;height:72.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09A1" w14:textId="18840467" w:rsidR="002E7A7C" w:rsidRDefault="004B3CED">
    <w:pPr>
      <w:pStyle w:val="Header"/>
    </w:pPr>
    <w:r>
      <w:rPr>
        <w:noProof/>
      </w:rPr>
      <w:pict w14:anchorId="09017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7" o:spid="_x0000_s2051" type="#_x0000_t136" style="position:absolute;margin-left:0;margin-top:0;width:646.45pt;height:72.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CC9F" w14:textId="79EE4B24" w:rsidR="002A603F" w:rsidRPr="00296529" w:rsidRDefault="004B3CED" w:rsidP="00296529">
    <w:pPr>
      <w:ind w:left="2160"/>
      <w:jc w:val="center"/>
      <w:rPr>
        <w:rFonts w:ascii="Times New Roman" w:eastAsia="Calibri" w:hAnsi="Times New Roman"/>
        <w:i/>
        <w:sz w:val="18"/>
        <w:szCs w:val="22"/>
      </w:rPr>
    </w:pPr>
    <w:r>
      <w:rPr>
        <w:noProof/>
      </w:rPr>
      <w:pict w14:anchorId="1980B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5" o:spid="_x0000_s2049" type="#_x0000_t136" style="position:absolute;left:0;text-align:left;margin-left:0;margin-top:0;width:646.45pt;height:72.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98E8C5" w14:textId="77777777" w:rsidR="002A603F" w:rsidRPr="00296529" w:rsidRDefault="00645B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26B4D2" w14:textId="77777777" w:rsidR="002A603F" w:rsidRPr="00296529" w:rsidRDefault="00645B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39B4D" w14:textId="77777777" w:rsidR="002A603F" w:rsidRPr="00296529" w:rsidRDefault="00645B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99CFF6" w14:textId="77777777" w:rsidR="002A603F" w:rsidRDefault="00645B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CBD4EE" w14:textId="77777777" w:rsidR="002A603F" w:rsidRDefault="00645B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B469A8" w14:textId="77777777" w:rsidR="002A603F" w:rsidRDefault="00645B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19B0" w14:textId="14A27405" w:rsidR="002E7A7C" w:rsidRDefault="004B3CED">
    <w:pPr>
      <w:pStyle w:val="Header"/>
    </w:pPr>
    <w:r>
      <w:rPr>
        <w:noProof/>
      </w:rPr>
      <w:pict w14:anchorId="13C55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9" o:spid="_x0000_s2053" type="#_x0000_t136" style="position:absolute;margin-left:0;margin-top:0;width:646.45pt;height:72.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55B0" w14:textId="4B3BECE8" w:rsidR="002E7A7C" w:rsidRDefault="004B3CED">
    <w:pPr>
      <w:pStyle w:val="Header"/>
    </w:pPr>
    <w:r>
      <w:rPr>
        <w:noProof/>
      </w:rPr>
      <w:pict w14:anchorId="50078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80" o:spid="_x0000_s2054" type="#_x0000_t136" style="position:absolute;margin-left:0;margin-top:0;width:646.45pt;height:72.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0890" w14:textId="54C2A660" w:rsidR="002E7A7C" w:rsidRDefault="004B3CED">
    <w:pPr>
      <w:pStyle w:val="Header"/>
    </w:pPr>
    <w:r>
      <w:rPr>
        <w:noProof/>
      </w:rPr>
      <w:pict w14:anchorId="3304A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8" o:spid="_x0000_s2052" type="#_x0000_t136" style="position:absolute;margin-left:0;margin-top:0;width:646.45pt;height:72.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10D"/>
    <w:multiLevelType w:val="hybridMultilevel"/>
    <w:tmpl w:val="5FACCB78"/>
    <w:lvl w:ilvl="0" w:tplc="A086B022">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02C01C7B"/>
    <w:multiLevelType w:val="hybridMultilevel"/>
    <w:tmpl w:val="97C84820"/>
    <w:lvl w:ilvl="0" w:tplc="89BA3F78">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12B268C2"/>
    <w:multiLevelType w:val="hybridMultilevel"/>
    <w:tmpl w:val="5BE603D8"/>
    <w:lvl w:ilvl="0" w:tplc="380C0001">
      <w:start w:val="1"/>
      <w:numFmt w:val="bullet"/>
      <w:lvlText w:val=""/>
      <w:lvlJc w:val="left"/>
      <w:pPr>
        <w:ind w:left="360" w:hanging="360"/>
      </w:pPr>
      <w:rPr>
        <w:rFonts w:ascii="Symbol" w:hAnsi="Symbol"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3" w15:restartNumberingAfterBreak="0">
    <w:nsid w:val="329378E4"/>
    <w:multiLevelType w:val="hybridMultilevel"/>
    <w:tmpl w:val="25C690C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3D71611C"/>
    <w:multiLevelType w:val="hybridMultilevel"/>
    <w:tmpl w:val="FB349814"/>
    <w:lvl w:ilvl="0" w:tplc="122A5BB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AA9685A"/>
    <w:multiLevelType w:val="hybridMultilevel"/>
    <w:tmpl w:val="0804CBE2"/>
    <w:lvl w:ilvl="0" w:tplc="A086B022">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4DF16267"/>
    <w:multiLevelType w:val="hybridMultilevel"/>
    <w:tmpl w:val="F64C797A"/>
    <w:lvl w:ilvl="0" w:tplc="380C000F">
      <w:start w:val="1"/>
      <w:numFmt w:val="decimal"/>
      <w:lvlText w:val="%1."/>
      <w:lvlJc w:val="left"/>
      <w:pPr>
        <w:ind w:left="-698" w:hanging="360"/>
      </w:pPr>
    </w:lvl>
    <w:lvl w:ilvl="1" w:tplc="380C0019" w:tentative="1">
      <w:start w:val="1"/>
      <w:numFmt w:val="lowerLetter"/>
      <w:lvlText w:val="%2."/>
      <w:lvlJc w:val="left"/>
      <w:pPr>
        <w:ind w:left="22" w:hanging="360"/>
      </w:pPr>
    </w:lvl>
    <w:lvl w:ilvl="2" w:tplc="380C001B" w:tentative="1">
      <w:start w:val="1"/>
      <w:numFmt w:val="lowerRoman"/>
      <w:lvlText w:val="%3."/>
      <w:lvlJc w:val="right"/>
      <w:pPr>
        <w:ind w:left="742" w:hanging="180"/>
      </w:pPr>
    </w:lvl>
    <w:lvl w:ilvl="3" w:tplc="380C000F" w:tentative="1">
      <w:start w:val="1"/>
      <w:numFmt w:val="decimal"/>
      <w:lvlText w:val="%4."/>
      <w:lvlJc w:val="left"/>
      <w:pPr>
        <w:ind w:left="1462" w:hanging="360"/>
      </w:pPr>
    </w:lvl>
    <w:lvl w:ilvl="4" w:tplc="380C0019" w:tentative="1">
      <w:start w:val="1"/>
      <w:numFmt w:val="lowerLetter"/>
      <w:lvlText w:val="%5."/>
      <w:lvlJc w:val="left"/>
      <w:pPr>
        <w:ind w:left="2182" w:hanging="360"/>
      </w:pPr>
    </w:lvl>
    <w:lvl w:ilvl="5" w:tplc="380C001B" w:tentative="1">
      <w:start w:val="1"/>
      <w:numFmt w:val="lowerRoman"/>
      <w:lvlText w:val="%6."/>
      <w:lvlJc w:val="right"/>
      <w:pPr>
        <w:ind w:left="2902" w:hanging="180"/>
      </w:pPr>
    </w:lvl>
    <w:lvl w:ilvl="6" w:tplc="380C000F" w:tentative="1">
      <w:start w:val="1"/>
      <w:numFmt w:val="decimal"/>
      <w:lvlText w:val="%7."/>
      <w:lvlJc w:val="left"/>
      <w:pPr>
        <w:ind w:left="3622" w:hanging="360"/>
      </w:pPr>
    </w:lvl>
    <w:lvl w:ilvl="7" w:tplc="380C0019" w:tentative="1">
      <w:start w:val="1"/>
      <w:numFmt w:val="lowerLetter"/>
      <w:lvlText w:val="%8."/>
      <w:lvlJc w:val="left"/>
      <w:pPr>
        <w:ind w:left="4342" w:hanging="360"/>
      </w:pPr>
    </w:lvl>
    <w:lvl w:ilvl="8" w:tplc="380C001B" w:tentative="1">
      <w:start w:val="1"/>
      <w:numFmt w:val="lowerRoman"/>
      <w:lvlText w:val="%9."/>
      <w:lvlJc w:val="right"/>
      <w:pPr>
        <w:ind w:left="5062" w:hanging="180"/>
      </w:p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94"/>
    <w:rsid w:val="00086F8A"/>
    <w:rsid w:val="000B4A65"/>
    <w:rsid w:val="000E7894"/>
    <w:rsid w:val="00196273"/>
    <w:rsid w:val="001E2E2F"/>
    <w:rsid w:val="001F5473"/>
    <w:rsid w:val="002550D1"/>
    <w:rsid w:val="002A603F"/>
    <w:rsid w:val="002E7A7C"/>
    <w:rsid w:val="003117D7"/>
    <w:rsid w:val="00311ED8"/>
    <w:rsid w:val="00340315"/>
    <w:rsid w:val="004B3CED"/>
    <w:rsid w:val="005625DD"/>
    <w:rsid w:val="00625093"/>
    <w:rsid w:val="00645B0D"/>
    <w:rsid w:val="006A01AF"/>
    <w:rsid w:val="00750E3B"/>
    <w:rsid w:val="008A33E0"/>
    <w:rsid w:val="008A7C6B"/>
    <w:rsid w:val="008C752E"/>
    <w:rsid w:val="009F042E"/>
    <w:rsid w:val="00A40C3A"/>
    <w:rsid w:val="00A65013"/>
    <w:rsid w:val="00AD5F43"/>
    <w:rsid w:val="00B22E6F"/>
    <w:rsid w:val="00B459FE"/>
    <w:rsid w:val="00B73889"/>
    <w:rsid w:val="00BA0C68"/>
    <w:rsid w:val="00BA6128"/>
    <w:rsid w:val="00C151E4"/>
    <w:rsid w:val="00D832CF"/>
    <w:rsid w:val="00E61442"/>
    <w:rsid w:val="00ED0B0D"/>
    <w:rsid w:val="00EE2538"/>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6BF431"/>
  <w15:chartTrackingRefBased/>
  <w15:docId w15:val="{C8070F86-FA51-4AB2-A212-FE1AB83E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894"/>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E7894"/>
    <w:pPr>
      <w:spacing w:line="280" w:lineRule="exact"/>
      <w:jc w:val="right"/>
    </w:pPr>
    <w:rPr>
      <w:b/>
      <w:sz w:val="24"/>
    </w:rPr>
  </w:style>
  <w:style w:type="paragraph" w:customStyle="1" w:styleId="Affiliation">
    <w:name w:val="Affiliation"/>
    <w:basedOn w:val="Normal"/>
    <w:rsid w:val="000E7894"/>
    <w:pPr>
      <w:spacing w:after="240" w:line="240" w:lineRule="exact"/>
      <w:jc w:val="right"/>
    </w:pPr>
  </w:style>
  <w:style w:type="paragraph" w:customStyle="1" w:styleId="Body">
    <w:name w:val="Body"/>
    <w:basedOn w:val="Normal"/>
    <w:rsid w:val="000E7894"/>
    <w:pPr>
      <w:spacing w:after="240"/>
      <w:jc w:val="both"/>
    </w:pPr>
  </w:style>
  <w:style w:type="paragraph" w:customStyle="1" w:styleId="AbstHead">
    <w:name w:val="Abst Head"/>
    <w:basedOn w:val="Normal"/>
    <w:rsid w:val="000E7894"/>
    <w:pPr>
      <w:keepNext/>
      <w:spacing w:after="240"/>
    </w:pPr>
    <w:rPr>
      <w:b/>
      <w:caps/>
      <w:sz w:val="22"/>
    </w:rPr>
  </w:style>
  <w:style w:type="paragraph" w:customStyle="1" w:styleId="ConcHead">
    <w:name w:val="Conc Head"/>
    <w:basedOn w:val="Normal"/>
    <w:rsid w:val="000E7894"/>
    <w:pPr>
      <w:keepNext/>
      <w:spacing w:after="240"/>
    </w:pPr>
    <w:rPr>
      <w:b/>
      <w:caps/>
      <w:sz w:val="22"/>
    </w:rPr>
  </w:style>
  <w:style w:type="paragraph" w:customStyle="1" w:styleId="AcknHead">
    <w:name w:val="Ackn Head"/>
    <w:basedOn w:val="Normal"/>
    <w:rsid w:val="000E7894"/>
    <w:pPr>
      <w:keepNext/>
      <w:spacing w:after="240"/>
    </w:pPr>
    <w:rPr>
      <w:b/>
      <w:caps/>
      <w:sz w:val="22"/>
    </w:rPr>
  </w:style>
  <w:style w:type="paragraph" w:customStyle="1" w:styleId="ReferHead">
    <w:name w:val="Refer Head"/>
    <w:basedOn w:val="Normal"/>
    <w:rsid w:val="000E7894"/>
    <w:pPr>
      <w:keepNext/>
      <w:spacing w:after="240"/>
    </w:pPr>
    <w:rPr>
      <w:b/>
      <w:caps/>
      <w:sz w:val="22"/>
    </w:rPr>
  </w:style>
  <w:style w:type="paragraph" w:customStyle="1" w:styleId="Copyright">
    <w:name w:val="Copyright"/>
    <w:basedOn w:val="Normal"/>
    <w:rsid w:val="000E7894"/>
    <w:pPr>
      <w:spacing w:after="960" w:line="200" w:lineRule="exact"/>
    </w:pPr>
    <w:rPr>
      <w:sz w:val="16"/>
    </w:rPr>
  </w:style>
  <w:style w:type="paragraph" w:customStyle="1" w:styleId="Reference">
    <w:name w:val="Reference"/>
    <w:basedOn w:val="Body"/>
    <w:rsid w:val="000E7894"/>
    <w:pPr>
      <w:numPr>
        <w:numId w:val="1"/>
      </w:numPr>
      <w:spacing w:after="0" w:line="240" w:lineRule="exact"/>
    </w:pPr>
  </w:style>
  <w:style w:type="paragraph" w:customStyle="1" w:styleId="Appendix">
    <w:name w:val="Appendix"/>
    <w:basedOn w:val="Normal"/>
    <w:rsid w:val="000E7894"/>
    <w:pPr>
      <w:keepNext/>
      <w:spacing w:after="240"/>
    </w:pPr>
    <w:rPr>
      <w:b/>
      <w:caps/>
      <w:sz w:val="22"/>
    </w:rPr>
  </w:style>
  <w:style w:type="paragraph" w:styleId="Footer">
    <w:name w:val="footer"/>
    <w:basedOn w:val="Normal"/>
    <w:link w:val="FooterChar"/>
    <w:rsid w:val="000E7894"/>
    <w:pPr>
      <w:tabs>
        <w:tab w:val="center" w:pos="4320"/>
        <w:tab w:val="right" w:pos="8640"/>
      </w:tabs>
    </w:pPr>
  </w:style>
  <w:style w:type="character" w:customStyle="1" w:styleId="FooterChar">
    <w:name w:val="Footer Char"/>
    <w:basedOn w:val="DefaultParagraphFont"/>
    <w:link w:val="Footer"/>
    <w:rsid w:val="000E7894"/>
    <w:rPr>
      <w:rFonts w:ascii="Helvetica" w:eastAsia="Times New Roman" w:hAnsi="Helvetica" w:cs="Times New Roman"/>
      <w:sz w:val="20"/>
      <w:szCs w:val="20"/>
      <w:lang w:val="en-US"/>
    </w:rPr>
  </w:style>
  <w:style w:type="paragraph" w:styleId="Header">
    <w:name w:val="header"/>
    <w:basedOn w:val="Normal"/>
    <w:link w:val="HeaderChar"/>
    <w:rsid w:val="000E7894"/>
    <w:pPr>
      <w:tabs>
        <w:tab w:val="center" w:pos="4320"/>
        <w:tab w:val="right" w:pos="8640"/>
      </w:tabs>
    </w:pPr>
  </w:style>
  <w:style w:type="character" w:customStyle="1" w:styleId="HeaderChar">
    <w:name w:val="Header Char"/>
    <w:basedOn w:val="DefaultParagraphFont"/>
    <w:link w:val="Header"/>
    <w:rsid w:val="000E7894"/>
    <w:rPr>
      <w:rFonts w:ascii="Helvetica" w:eastAsia="Times New Roman" w:hAnsi="Helvetica" w:cs="Times New Roman"/>
      <w:sz w:val="20"/>
      <w:szCs w:val="20"/>
      <w:lang w:val="en-US"/>
    </w:rPr>
  </w:style>
  <w:style w:type="character" w:styleId="Hyperlink">
    <w:name w:val="Hyperlink"/>
    <w:basedOn w:val="DefaultParagraphFont"/>
    <w:rsid w:val="000E7894"/>
    <w:rPr>
      <w:color w:val="FF0080"/>
      <w:u w:val="single"/>
    </w:rPr>
  </w:style>
  <w:style w:type="paragraph" w:styleId="ListParagraph">
    <w:name w:val="List Paragraph"/>
    <w:basedOn w:val="Normal"/>
    <w:uiPriority w:val="34"/>
    <w:qFormat/>
    <w:rsid w:val="000E7894"/>
    <w:pPr>
      <w:ind w:left="720"/>
      <w:contextualSpacing/>
    </w:pPr>
  </w:style>
  <w:style w:type="paragraph" w:styleId="NoSpacing">
    <w:name w:val="No Spacing"/>
    <w:uiPriority w:val="1"/>
    <w:qFormat/>
    <w:rsid w:val="006A01AF"/>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42468">
      <w:bodyDiv w:val="1"/>
      <w:marLeft w:val="0"/>
      <w:marRight w:val="0"/>
      <w:marTop w:val="0"/>
      <w:marBottom w:val="0"/>
      <w:divBdr>
        <w:top w:val="none" w:sz="0" w:space="0" w:color="auto"/>
        <w:left w:val="none" w:sz="0" w:space="0" w:color="auto"/>
        <w:bottom w:val="none" w:sz="0" w:space="0" w:color="auto"/>
        <w:right w:val="none" w:sz="0" w:space="0" w:color="auto"/>
      </w:divBdr>
    </w:div>
    <w:div w:id="20674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dc:description/>
  <cp:lastModifiedBy>SDI 1186</cp:lastModifiedBy>
  <cp:revision>5</cp:revision>
  <cp:lastPrinted>2026-03-31T00:27:00Z</cp:lastPrinted>
  <dcterms:created xsi:type="dcterms:W3CDTF">2026-04-11T18:54:00Z</dcterms:created>
  <dcterms:modified xsi:type="dcterms:W3CDTF">2026-04-13T08:15:00Z</dcterms:modified>
</cp:coreProperties>
</file>