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49129" w14:textId="77777777" w:rsidR="001046E6" w:rsidRDefault="001046E6" w:rsidP="00441B6F">
      <w:pPr>
        <w:pStyle w:val="Title"/>
        <w:spacing w:after="0"/>
        <w:jc w:val="both"/>
        <w:rPr>
          <w:rFonts w:ascii="Arial" w:hAnsi="Arial" w:cs="Arial"/>
        </w:rPr>
      </w:pPr>
    </w:p>
    <w:p w14:paraId="61B513CA" w14:textId="77777777" w:rsidR="00163BC4" w:rsidRPr="00163BC4" w:rsidRDefault="00ED4112" w:rsidP="00441B6F">
      <w:pPr>
        <w:pStyle w:val="Author"/>
        <w:spacing w:line="240" w:lineRule="auto"/>
        <w:rPr>
          <w:rFonts w:ascii="Arial" w:hAnsi="Arial" w:cs="Arial"/>
          <w:bCs/>
          <w:iCs/>
          <w:kern w:val="28"/>
          <w:sz w:val="36"/>
        </w:rPr>
      </w:pPr>
      <w:r w:rsidRPr="001C3879">
        <w:rPr>
          <w:rFonts w:ascii="Times New Roman" w:hAnsi="Times New Roman"/>
          <w:sz w:val="36"/>
          <w:szCs w:val="32"/>
        </w:rPr>
        <w:t>Valorization of Palm Oil Mill Effluent into Biodiesel using Mixed Whole-</w:t>
      </w:r>
      <w:bookmarkStart w:id="0" w:name="_Hlk225934573"/>
      <w:r w:rsidRPr="001C3879">
        <w:rPr>
          <w:rFonts w:ascii="Times New Roman" w:hAnsi="Times New Roman"/>
          <w:sz w:val="36"/>
          <w:szCs w:val="32"/>
        </w:rPr>
        <w:t xml:space="preserve">Cell </w:t>
      </w:r>
      <w:r w:rsidRPr="001C3879">
        <w:rPr>
          <w:rFonts w:ascii="Times New Roman" w:hAnsi="Times New Roman"/>
          <w:i/>
          <w:sz w:val="36"/>
          <w:szCs w:val="32"/>
        </w:rPr>
        <w:t>Candida albicans</w:t>
      </w:r>
      <w:r w:rsidRPr="001C3879">
        <w:rPr>
          <w:rFonts w:ascii="Times New Roman" w:hAnsi="Times New Roman"/>
          <w:sz w:val="36"/>
          <w:szCs w:val="32"/>
        </w:rPr>
        <w:t xml:space="preserve"> and </w:t>
      </w:r>
      <w:r w:rsidRPr="001C3879">
        <w:rPr>
          <w:rFonts w:ascii="Times New Roman" w:hAnsi="Times New Roman"/>
          <w:i/>
          <w:sz w:val="36"/>
          <w:szCs w:val="32"/>
        </w:rPr>
        <w:t>Pseudomonas aeruginosa</w:t>
      </w:r>
      <w:bookmarkEnd w:id="0"/>
    </w:p>
    <w:p w14:paraId="7AC514FB" w14:textId="77777777" w:rsidR="00A258C3" w:rsidRPr="00790ADA" w:rsidRDefault="00A258C3" w:rsidP="00441B6F">
      <w:pPr>
        <w:pStyle w:val="Author"/>
        <w:spacing w:line="240" w:lineRule="auto"/>
        <w:jc w:val="both"/>
        <w:rPr>
          <w:rFonts w:ascii="Arial" w:hAnsi="Arial" w:cs="Arial"/>
          <w:sz w:val="36"/>
        </w:rPr>
      </w:pPr>
    </w:p>
    <w:p w14:paraId="4C09F165" w14:textId="77777777" w:rsidR="00C966BA" w:rsidRPr="00922750" w:rsidRDefault="00C966BA" w:rsidP="00C663BE">
      <w:pPr>
        <w:pStyle w:val="Affiliation"/>
        <w:spacing w:after="0" w:line="240" w:lineRule="auto"/>
        <w:contextualSpacing/>
        <w:rPr>
          <w:rFonts w:ascii="Times New Roman" w:hAnsi="Times New Roman"/>
          <w:i/>
        </w:rPr>
      </w:pPr>
    </w:p>
    <w:p w14:paraId="26A6B98E" w14:textId="77777777" w:rsidR="00790ADA" w:rsidRDefault="00790ADA" w:rsidP="00441B6F">
      <w:pPr>
        <w:pStyle w:val="Affiliation"/>
        <w:spacing w:after="0" w:line="240" w:lineRule="auto"/>
        <w:jc w:val="both"/>
        <w:rPr>
          <w:rFonts w:ascii="Arial" w:hAnsi="Arial" w:cs="Arial"/>
        </w:rPr>
      </w:pPr>
    </w:p>
    <w:p w14:paraId="652946FD" w14:textId="77777777" w:rsidR="002C57D2" w:rsidRPr="00FB3A86" w:rsidRDefault="002C57D2" w:rsidP="00441B6F">
      <w:pPr>
        <w:pStyle w:val="Affiliation"/>
        <w:spacing w:after="0" w:line="240" w:lineRule="auto"/>
        <w:jc w:val="both"/>
        <w:rPr>
          <w:rFonts w:ascii="Arial" w:hAnsi="Arial" w:cs="Arial"/>
        </w:rPr>
      </w:pPr>
    </w:p>
    <w:p w14:paraId="7B953FE8" w14:textId="77777777" w:rsidR="00B01FCD" w:rsidRPr="00FB3A86" w:rsidRDefault="0014529D" w:rsidP="00441B6F">
      <w:pPr>
        <w:pStyle w:val="Copyright"/>
        <w:spacing w:after="0" w:line="240" w:lineRule="auto"/>
        <w:jc w:val="both"/>
        <w:rPr>
          <w:rFonts w:ascii="Arial" w:hAnsi="Arial" w:cs="Arial"/>
        </w:rPr>
        <w:sectPr w:rsidR="00B01FCD" w:rsidRPr="00FB3A86" w:rsidSect="00FE20F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3AC77BD">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7C1ABFB"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4BEF8A0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72B9713" w14:textId="77777777" w:rsidTr="001E44FE">
        <w:tc>
          <w:tcPr>
            <w:tcW w:w="9576" w:type="dxa"/>
            <w:shd w:val="clear" w:color="auto" w:fill="F2F2F2"/>
          </w:tcPr>
          <w:p w14:paraId="12587909" w14:textId="77777777" w:rsidR="00286448" w:rsidRPr="00286448" w:rsidRDefault="00286448" w:rsidP="00286448">
            <w:pPr>
              <w:pStyle w:val="Body"/>
              <w:spacing w:after="0"/>
              <w:contextualSpacing/>
              <w:rPr>
                <w:rFonts w:ascii="Arial" w:eastAsia="Calibri" w:hAnsi="Arial" w:cs="Arial"/>
                <w:sz w:val="10"/>
                <w:szCs w:val="22"/>
              </w:rPr>
            </w:pPr>
          </w:p>
          <w:p w14:paraId="3F8F4A8B" w14:textId="093E3111" w:rsidR="00505F06" w:rsidRPr="00A2224F" w:rsidRDefault="005B40C6" w:rsidP="001A257A">
            <w:pPr>
              <w:pStyle w:val="Body"/>
              <w:rPr>
                <w:rFonts w:ascii="Arial" w:eastAsia="Calibri" w:hAnsi="Arial" w:cs="Arial"/>
                <w:sz w:val="22"/>
                <w:szCs w:val="22"/>
              </w:rPr>
            </w:pPr>
            <w:r w:rsidRPr="008204D9">
              <w:rPr>
                <w:rFonts w:ascii="Arial" w:eastAsia="Calibri" w:hAnsi="Arial" w:cs="Arial"/>
                <w:szCs w:val="22"/>
              </w:rPr>
              <w:t xml:space="preserve">The indiscriminate discharge of raw palm oil mill effluent (POME) severely pollutes the environment. </w:t>
            </w:r>
            <w:r w:rsidR="004F7D67">
              <w:rPr>
                <w:rFonts w:ascii="Arial" w:eastAsia="Calibri" w:hAnsi="Arial" w:cs="Arial"/>
                <w:szCs w:val="22"/>
              </w:rPr>
              <w:t xml:space="preserve">POME is generated in </w:t>
            </w:r>
            <w:r w:rsidR="00A52A87">
              <w:rPr>
                <w:rFonts w:ascii="Arial" w:eastAsia="Calibri" w:hAnsi="Arial" w:cs="Arial"/>
                <w:szCs w:val="22"/>
              </w:rPr>
              <w:t xml:space="preserve">large </w:t>
            </w:r>
            <w:r w:rsidR="004F7D67">
              <w:rPr>
                <w:rFonts w:ascii="Arial" w:eastAsia="Calibri" w:hAnsi="Arial" w:cs="Arial"/>
                <w:szCs w:val="22"/>
              </w:rPr>
              <w:t>quantities i</w:t>
            </w:r>
            <w:r w:rsidR="008D7FBC">
              <w:rPr>
                <w:rFonts w:ascii="Arial" w:eastAsia="Calibri" w:hAnsi="Arial" w:cs="Arial"/>
                <w:szCs w:val="22"/>
              </w:rPr>
              <w:t xml:space="preserve">n many </w:t>
            </w:r>
            <w:r w:rsidR="004F7D67">
              <w:rPr>
                <w:rFonts w:ascii="Arial" w:eastAsia="Calibri" w:hAnsi="Arial" w:cs="Arial"/>
                <w:szCs w:val="22"/>
              </w:rPr>
              <w:t>part</w:t>
            </w:r>
            <w:r w:rsidR="008D7FBC">
              <w:rPr>
                <w:rFonts w:ascii="Arial" w:eastAsia="Calibri" w:hAnsi="Arial" w:cs="Arial"/>
                <w:szCs w:val="22"/>
              </w:rPr>
              <w:t>s of Imo State, Nigeria</w:t>
            </w:r>
            <w:r w:rsidR="00D635D2">
              <w:rPr>
                <w:rFonts w:ascii="Arial" w:eastAsia="Calibri" w:hAnsi="Arial" w:cs="Arial"/>
                <w:szCs w:val="22"/>
              </w:rPr>
              <w:t xml:space="preserve">, </w:t>
            </w:r>
            <w:r w:rsidR="009C7C03">
              <w:rPr>
                <w:rFonts w:ascii="Arial" w:eastAsia="Calibri" w:hAnsi="Arial" w:cs="Arial"/>
                <w:szCs w:val="22"/>
              </w:rPr>
              <w:t>where</w:t>
            </w:r>
            <w:r w:rsidR="00D635D2">
              <w:rPr>
                <w:rFonts w:ascii="Arial" w:eastAsia="Calibri" w:hAnsi="Arial" w:cs="Arial"/>
                <w:szCs w:val="22"/>
              </w:rPr>
              <w:t xml:space="preserve"> the processing of palm fruits</w:t>
            </w:r>
            <w:r w:rsidR="009C7C03">
              <w:rPr>
                <w:rFonts w:ascii="Arial" w:eastAsia="Calibri" w:hAnsi="Arial" w:cs="Arial"/>
                <w:szCs w:val="22"/>
              </w:rPr>
              <w:t xml:space="preserve"> is a major occupation</w:t>
            </w:r>
            <w:r w:rsidR="008D7FBC">
              <w:rPr>
                <w:rFonts w:ascii="Arial" w:eastAsia="Calibri" w:hAnsi="Arial" w:cs="Arial"/>
                <w:szCs w:val="22"/>
              </w:rPr>
              <w:t xml:space="preserve">. </w:t>
            </w:r>
            <w:r w:rsidRPr="008204D9">
              <w:rPr>
                <w:rFonts w:ascii="Arial" w:eastAsia="Calibri" w:hAnsi="Arial" w:cs="Arial"/>
                <w:szCs w:val="22"/>
              </w:rPr>
              <w:t>However, the</w:t>
            </w:r>
            <w:r w:rsidR="008F05BF">
              <w:rPr>
                <w:rFonts w:ascii="Arial" w:eastAsia="Calibri" w:hAnsi="Arial" w:cs="Arial"/>
                <w:szCs w:val="22"/>
              </w:rPr>
              <w:t>re is</w:t>
            </w:r>
            <w:r w:rsidRPr="008204D9">
              <w:rPr>
                <w:rFonts w:ascii="Arial" w:eastAsia="Calibri" w:hAnsi="Arial" w:cs="Arial"/>
                <w:szCs w:val="22"/>
              </w:rPr>
              <w:t xml:space="preserve"> crisis in </w:t>
            </w:r>
            <w:r w:rsidR="008F05BF">
              <w:rPr>
                <w:rFonts w:ascii="Arial" w:eastAsia="Calibri" w:hAnsi="Arial" w:cs="Arial"/>
                <w:szCs w:val="22"/>
              </w:rPr>
              <w:t xml:space="preserve">the </w:t>
            </w:r>
            <w:r w:rsidRPr="008204D9">
              <w:rPr>
                <w:rFonts w:ascii="Arial" w:eastAsia="Calibri" w:hAnsi="Arial" w:cs="Arial"/>
                <w:szCs w:val="22"/>
              </w:rPr>
              <w:t>global energy supply</w:t>
            </w:r>
            <w:r w:rsidR="008F05BF">
              <w:rPr>
                <w:rFonts w:ascii="Arial" w:eastAsia="Calibri" w:hAnsi="Arial" w:cs="Arial"/>
                <w:szCs w:val="22"/>
              </w:rPr>
              <w:t xml:space="preserve"> which</w:t>
            </w:r>
            <w:r w:rsidRPr="008204D9">
              <w:rPr>
                <w:rFonts w:ascii="Arial" w:eastAsia="Calibri" w:hAnsi="Arial" w:cs="Arial"/>
                <w:szCs w:val="22"/>
              </w:rPr>
              <w:t xml:space="preserve"> necessitates the investigation of </w:t>
            </w:r>
            <w:r w:rsidR="008F05BF">
              <w:rPr>
                <w:rFonts w:ascii="Arial" w:eastAsia="Calibri" w:hAnsi="Arial" w:cs="Arial"/>
                <w:szCs w:val="22"/>
              </w:rPr>
              <w:t xml:space="preserve">diverse </w:t>
            </w:r>
            <w:r w:rsidRPr="008204D9">
              <w:rPr>
                <w:rFonts w:ascii="Arial" w:eastAsia="Calibri" w:hAnsi="Arial" w:cs="Arial"/>
                <w:szCs w:val="22"/>
              </w:rPr>
              <w:t>renewable, non-food sources for energy sufficiency. The aim of this study was to investigate the potential of valorizing POME samples from parts of Imo State, Nigeria, into biodiesel using</w:t>
            </w:r>
            <w:r w:rsidR="008B1C11">
              <w:rPr>
                <w:rFonts w:ascii="Arial" w:eastAsia="Calibri" w:hAnsi="Arial" w:cs="Arial"/>
                <w:szCs w:val="22"/>
              </w:rPr>
              <w:t xml:space="preserve"> autochthonous </w:t>
            </w:r>
            <w:r w:rsidRPr="008204D9">
              <w:rPr>
                <w:rFonts w:ascii="Arial" w:eastAsia="Calibri" w:hAnsi="Arial" w:cs="Arial"/>
                <w:i/>
                <w:szCs w:val="22"/>
              </w:rPr>
              <w:t>Candida albicans</w:t>
            </w:r>
            <w:r w:rsidRPr="008204D9">
              <w:rPr>
                <w:rFonts w:ascii="Arial" w:eastAsia="Calibri" w:hAnsi="Arial" w:cs="Arial"/>
                <w:szCs w:val="22"/>
              </w:rPr>
              <w:t xml:space="preserve"> and </w:t>
            </w:r>
            <w:r w:rsidRPr="008204D9">
              <w:rPr>
                <w:rFonts w:ascii="Arial" w:eastAsia="Calibri" w:hAnsi="Arial" w:cs="Arial"/>
                <w:i/>
                <w:szCs w:val="22"/>
              </w:rPr>
              <w:t>Pseudomonas aeruginosa</w:t>
            </w:r>
            <w:r w:rsidRPr="008204D9">
              <w:rPr>
                <w:rFonts w:ascii="Arial" w:eastAsia="Calibri" w:hAnsi="Arial" w:cs="Arial"/>
                <w:szCs w:val="22"/>
              </w:rPr>
              <w:t xml:space="preserve"> consortium as whole-cell biocatalysts. POME samples were collected from parts of </w:t>
            </w:r>
            <w:r w:rsidR="009D5420">
              <w:rPr>
                <w:rFonts w:ascii="Arial" w:eastAsia="Calibri" w:hAnsi="Arial" w:cs="Arial"/>
                <w:szCs w:val="22"/>
              </w:rPr>
              <w:t>Imo</w:t>
            </w:r>
            <w:r w:rsidRPr="008204D9">
              <w:rPr>
                <w:rFonts w:ascii="Arial" w:eastAsia="Calibri" w:hAnsi="Arial" w:cs="Arial"/>
                <w:szCs w:val="22"/>
              </w:rPr>
              <w:t xml:space="preserve"> State. The physicochemical and microbial properties of the mixed sample were evaluated. Identified </w:t>
            </w:r>
            <w:r w:rsidRPr="008204D9">
              <w:rPr>
                <w:rFonts w:ascii="Arial" w:eastAsia="Calibri" w:hAnsi="Arial" w:cs="Arial"/>
                <w:i/>
                <w:szCs w:val="22"/>
              </w:rPr>
              <w:t>C. albicans</w:t>
            </w:r>
            <w:r w:rsidRPr="008204D9">
              <w:rPr>
                <w:rFonts w:ascii="Arial" w:eastAsia="Calibri" w:hAnsi="Arial" w:cs="Arial"/>
                <w:szCs w:val="22"/>
              </w:rPr>
              <w:t xml:space="preserve"> and </w:t>
            </w:r>
            <w:r w:rsidRPr="008204D9">
              <w:rPr>
                <w:rFonts w:ascii="Arial" w:eastAsia="Calibri" w:hAnsi="Arial" w:cs="Arial"/>
                <w:i/>
                <w:szCs w:val="22"/>
              </w:rPr>
              <w:t>P. aeruginosa</w:t>
            </w:r>
            <w:r w:rsidRPr="008204D9">
              <w:rPr>
                <w:rFonts w:ascii="Arial" w:eastAsia="Calibri" w:hAnsi="Arial" w:cs="Arial"/>
                <w:szCs w:val="22"/>
              </w:rPr>
              <w:t xml:space="preserve"> consortium was applied as whole-cell biocatalysts for biodiesel production.</w:t>
            </w:r>
            <w:r w:rsidR="009D5420">
              <w:rPr>
                <w:rFonts w:ascii="Arial" w:eastAsia="Calibri" w:hAnsi="Arial" w:cs="Arial"/>
                <w:szCs w:val="22"/>
              </w:rPr>
              <w:t xml:space="preserve"> </w:t>
            </w:r>
            <w:r w:rsidR="009D5420">
              <w:rPr>
                <w:rFonts w:ascii="Arial" w:hAnsi="Arial" w:cs="Arial"/>
              </w:rPr>
              <w:t>B</w:t>
            </w:r>
            <w:r w:rsidR="009D5420" w:rsidRPr="00C764BF">
              <w:rPr>
                <w:rFonts w:ascii="Arial" w:hAnsi="Arial" w:cs="Arial"/>
              </w:rPr>
              <w:t>iodiesel</w:t>
            </w:r>
            <w:r w:rsidR="009D5420">
              <w:rPr>
                <w:rFonts w:ascii="Arial" w:hAnsi="Arial" w:cs="Arial"/>
              </w:rPr>
              <w:t xml:space="preserve"> </w:t>
            </w:r>
            <w:r w:rsidR="009D5420" w:rsidRPr="00C764BF">
              <w:rPr>
                <w:rFonts w:ascii="Arial" w:hAnsi="Arial" w:cs="Arial"/>
              </w:rPr>
              <w:t xml:space="preserve">was </w:t>
            </w:r>
            <w:r w:rsidR="009D5420">
              <w:rPr>
                <w:rFonts w:ascii="Arial" w:hAnsi="Arial" w:cs="Arial"/>
              </w:rPr>
              <w:t xml:space="preserve">produced </w:t>
            </w:r>
            <w:r w:rsidR="009D5420" w:rsidRPr="00C764BF">
              <w:rPr>
                <w:rFonts w:ascii="Arial" w:hAnsi="Arial" w:cs="Arial"/>
              </w:rPr>
              <w:t xml:space="preserve">at 28±2 </w:t>
            </w:r>
            <w:proofErr w:type="spellStart"/>
            <w:r w:rsidR="009D5420" w:rsidRPr="00AE7E10">
              <w:rPr>
                <w:rFonts w:ascii="Arial" w:hAnsi="Arial" w:cs="Arial"/>
                <w:vertAlign w:val="superscript"/>
              </w:rPr>
              <w:t>o</w:t>
            </w:r>
            <w:r w:rsidR="009D5420" w:rsidRPr="00C764BF">
              <w:rPr>
                <w:rFonts w:ascii="Arial" w:hAnsi="Arial" w:cs="Arial"/>
              </w:rPr>
              <w:t>C</w:t>
            </w:r>
            <w:proofErr w:type="spellEnd"/>
            <w:r w:rsidR="009D5420">
              <w:rPr>
                <w:rFonts w:ascii="Arial" w:hAnsi="Arial" w:cs="Arial"/>
              </w:rPr>
              <w:t>,</w:t>
            </w:r>
            <w:r w:rsidR="009D5420" w:rsidRPr="00C764BF">
              <w:rPr>
                <w:rFonts w:ascii="Arial" w:hAnsi="Arial" w:cs="Arial"/>
              </w:rPr>
              <w:t xml:space="preserve"> 250 rpm</w:t>
            </w:r>
            <w:r w:rsidR="009D5420">
              <w:rPr>
                <w:rFonts w:ascii="Arial" w:hAnsi="Arial" w:cs="Arial"/>
              </w:rPr>
              <w:t>, 1</w:t>
            </w:r>
            <w:r w:rsidR="00F945D9">
              <w:rPr>
                <w:rFonts w:ascii="Arial" w:hAnsi="Arial" w:cs="Arial"/>
              </w:rPr>
              <w:t>:</w:t>
            </w:r>
            <w:r w:rsidR="009D5420">
              <w:rPr>
                <w:rFonts w:ascii="Arial" w:hAnsi="Arial" w:cs="Arial"/>
              </w:rPr>
              <w:t xml:space="preserve">4 molar ratio of </w:t>
            </w:r>
            <w:proofErr w:type="spellStart"/>
            <w:r w:rsidR="009D5420">
              <w:rPr>
                <w:rFonts w:ascii="Arial" w:hAnsi="Arial" w:cs="Arial"/>
              </w:rPr>
              <w:t>POME:</w:t>
            </w:r>
            <w:r w:rsidR="009D5420" w:rsidRPr="00C764BF">
              <w:rPr>
                <w:rFonts w:ascii="Arial" w:hAnsi="Arial" w:cs="Arial"/>
              </w:rPr>
              <w:t>ethanol</w:t>
            </w:r>
            <w:proofErr w:type="spellEnd"/>
            <w:r w:rsidR="009D5420">
              <w:rPr>
                <w:rFonts w:ascii="Arial" w:hAnsi="Arial" w:cs="Arial"/>
              </w:rPr>
              <w:t>, pH</w:t>
            </w:r>
            <w:r w:rsidR="009D5420" w:rsidRPr="00C764BF">
              <w:rPr>
                <w:rFonts w:ascii="Arial" w:hAnsi="Arial" w:cs="Arial"/>
              </w:rPr>
              <w:t xml:space="preserve"> 7, water content </w:t>
            </w:r>
            <w:r w:rsidR="009D5420">
              <w:rPr>
                <w:rFonts w:ascii="Arial" w:hAnsi="Arial" w:cs="Arial"/>
              </w:rPr>
              <w:t>of 15 %wt.</w:t>
            </w:r>
            <w:r w:rsidR="009D5420" w:rsidRPr="00C764BF">
              <w:rPr>
                <w:rFonts w:ascii="Arial" w:hAnsi="Arial" w:cs="Arial"/>
              </w:rPr>
              <w:t xml:space="preserve"> </w:t>
            </w:r>
            <w:r w:rsidR="009D5420">
              <w:rPr>
                <w:rFonts w:ascii="Arial" w:hAnsi="Arial" w:cs="Arial"/>
              </w:rPr>
              <w:t xml:space="preserve">and </w:t>
            </w:r>
            <w:r w:rsidR="009D5420" w:rsidRPr="00C764BF">
              <w:rPr>
                <w:rFonts w:ascii="Arial" w:hAnsi="Arial" w:cs="Arial"/>
              </w:rPr>
              <w:t>30% v/v of 0.5 McFarland standardized 1:1</w:t>
            </w:r>
            <w:r w:rsidR="009D5420">
              <w:rPr>
                <w:rFonts w:ascii="Arial" w:hAnsi="Arial" w:cs="Arial"/>
              </w:rPr>
              <w:t xml:space="preserve"> c</w:t>
            </w:r>
            <w:r w:rsidR="009D5420" w:rsidRPr="00C764BF">
              <w:rPr>
                <w:rFonts w:ascii="Arial" w:hAnsi="Arial" w:cs="Arial"/>
              </w:rPr>
              <w:t xml:space="preserve">o-culture of </w:t>
            </w:r>
            <w:r w:rsidR="009D5420">
              <w:rPr>
                <w:rFonts w:ascii="Arial" w:hAnsi="Arial" w:cs="Arial"/>
                <w:i/>
              </w:rPr>
              <w:t>C.</w:t>
            </w:r>
            <w:r w:rsidR="009D5420" w:rsidRPr="00AE7E10">
              <w:rPr>
                <w:rFonts w:ascii="Arial" w:hAnsi="Arial" w:cs="Arial"/>
                <w:i/>
              </w:rPr>
              <w:t xml:space="preserve"> albicans</w:t>
            </w:r>
            <w:r w:rsidR="009D5420" w:rsidRPr="00C764BF">
              <w:rPr>
                <w:rFonts w:ascii="Arial" w:hAnsi="Arial" w:cs="Arial"/>
              </w:rPr>
              <w:t xml:space="preserve"> and </w:t>
            </w:r>
            <w:r w:rsidR="009D5420" w:rsidRPr="00AE7E10">
              <w:rPr>
                <w:rFonts w:ascii="Arial" w:hAnsi="Arial" w:cs="Arial"/>
                <w:i/>
              </w:rPr>
              <w:t>P</w:t>
            </w:r>
            <w:r w:rsidR="009D5420">
              <w:rPr>
                <w:rFonts w:ascii="Arial" w:hAnsi="Arial" w:cs="Arial"/>
                <w:i/>
              </w:rPr>
              <w:t>.</w:t>
            </w:r>
            <w:r w:rsidR="009D5420" w:rsidRPr="00AE7E10">
              <w:rPr>
                <w:rFonts w:ascii="Arial" w:hAnsi="Arial" w:cs="Arial"/>
                <w:i/>
              </w:rPr>
              <w:t xml:space="preserve"> aeruginosa</w:t>
            </w:r>
            <w:r w:rsidR="001A257A">
              <w:rPr>
                <w:rFonts w:ascii="Arial" w:hAnsi="Arial" w:cs="Arial"/>
              </w:rPr>
              <w:t xml:space="preserve"> for 36</w:t>
            </w:r>
            <w:r w:rsidR="008B6EC7">
              <w:rPr>
                <w:rFonts w:ascii="Arial" w:hAnsi="Arial" w:cs="Arial"/>
              </w:rPr>
              <w:t xml:space="preserve"> </w:t>
            </w:r>
            <w:r w:rsidR="008B6EC7" w:rsidRPr="008B6EC7">
              <w:rPr>
                <w:rFonts w:ascii="Arial" w:hAnsi="Arial" w:cs="Arial"/>
              </w:rPr>
              <w:t>h</w:t>
            </w:r>
            <w:r w:rsidR="009D5420">
              <w:rPr>
                <w:rFonts w:ascii="Arial" w:hAnsi="Arial" w:cs="Arial"/>
              </w:rPr>
              <w:t>.</w:t>
            </w:r>
            <w:r w:rsidR="00A37CC5">
              <w:rPr>
                <w:rFonts w:ascii="Arial" w:hAnsi="Arial" w:cs="Arial"/>
              </w:rPr>
              <w:t xml:space="preserve"> </w:t>
            </w:r>
            <w:r w:rsidRPr="008204D9">
              <w:rPr>
                <w:rFonts w:ascii="Arial" w:eastAsia="Calibri" w:hAnsi="Arial" w:cs="Arial"/>
                <w:szCs w:val="22"/>
              </w:rPr>
              <w:t xml:space="preserve">The properties of </w:t>
            </w:r>
            <w:r w:rsidR="00F945D9">
              <w:rPr>
                <w:rFonts w:ascii="Arial" w:eastAsia="Calibri" w:hAnsi="Arial" w:cs="Arial"/>
                <w:szCs w:val="22"/>
              </w:rPr>
              <w:t xml:space="preserve">the </w:t>
            </w:r>
            <w:r w:rsidRPr="008204D9">
              <w:rPr>
                <w:rFonts w:ascii="Arial" w:eastAsia="Calibri" w:hAnsi="Arial" w:cs="Arial"/>
                <w:szCs w:val="22"/>
              </w:rPr>
              <w:t>resulting biodiesel were determined and compared to known standards. The mixed POME sample had pH, acid, free fatty acid and saponification values of 3.68±0.40, 22.31±3.51 mg</w:t>
            </w:r>
            <w:r w:rsidR="00224AB9">
              <w:rPr>
                <w:rFonts w:ascii="Arial" w:eastAsia="Calibri" w:hAnsi="Arial" w:cs="Arial"/>
                <w:szCs w:val="22"/>
              </w:rPr>
              <w:t xml:space="preserve"> </w:t>
            </w:r>
            <w:r w:rsidRPr="008204D9">
              <w:rPr>
                <w:rFonts w:ascii="Arial" w:eastAsia="Calibri" w:hAnsi="Arial" w:cs="Arial"/>
                <w:szCs w:val="22"/>
              </w:rPr>
              <w:t xml:space="preserve">KOH/g, </w:t>
            </w:r>
            <w:r w:rsidR="006A4F7D" w:rsidRPr="00706DCE">
              <w:rPr>
                <w:rFonts w:ascii="Arial" w:hAnsi="Arial" w:cs="Arial"/>
              </w:rPr>
              <w:t>62.69±10.12</w:t>
            </w:r>
            <w:r w:rsidR="00224AB9">
              <w:rPr>
                <w:rFonts w:ascii="Arial" w:eastAsia="Calibri" w:hAnsi="Arial" w:cs="Arial"/>
                <w:szCs w:val="22"/>
              </w:rPr>
              <w:t xml:space="preserve"> </w:t>
            </w:r>
            <w:r w:rsidR="008976CD">
              <w:rPr>
                <w:rFonts w:ascii="Arial" w:eastAsia="Calibri" w:hAnsi="Arial" w:cs="Arial"/>
                <w:szCs w:val="22"/>
              </w:rPr>
              <w:t xml:space="preserve">mg </w:t>
            </w:r>
            <w:r w:rsidR="00224AB9" w:rsidRPr="008204D9">
              <w:rPr>
                <w:rFonts w:ascii="Arial" w:eastAsia="Calibri" w:hAnsi="Arial" w:cs="Arial"/>
                <w:szCs w:val="22"/>
              </w:rPr>
              <w:t>KOH/g</w:t>
            </w:r>
            <w:r w:rsidR="00752F93">
              <w:rPr>
                <w:rFonts w:ascii="Arial" w:eastAsia="Calibri" w:hAnsi="Arial" w:cs="Arial"/>
                <w:szCs w:val="22"/>
              </w:rPr>
              <w:t xml:space="preserve"> </w:t>
            </w:r>
            <w:r w:rsidRPr="008204D9">
              <w:rPr>
                <w:rFonts w:ascii="Arial" w:eastAsia="Calibri" w:hAnsi="Arial" w:cs="Arial"/>
                <w:szCs w:val="22"/>
              </w:rPr>
              <w:t xml:space="preserve">and 125.06±3.46 mg/g, respectively. </w:t>
            </w:r>
            <w:r w:rsidR="00CA08EA">
              <w:rPr>
                <w:rFonts w:ascii="Arial" w:eastAsia="Calibri" w:hAnsi="Arial" w:cs="Arial"/>
                <w:szCs w:val="22"/>
              </w:rPr>
              <w:t>The l</w:t>
            </w:r>
            <w:r w:rsidRPr="008204D9">
              <w:rPr>
                <w:rFonts w:ascii="Arial" w:eastAsia="Calibri" w:hAnsi="Arial" w:cs="Arial"/>
                <w:szCs w:val="22"/>
              </w:rPr>
              <w:t xml:space="preserve">ipolytic activity showed that lipases from </w:t>
            </w:r>
            <w:r w:rsidRPr="008204D9">
              <w:rPr>
                <w:rFonts w:ascii="Arial" w:eastAsia="Calibri" w:hAnsi="Arial" w:cs="Arial"/>
                <w:i/>
                <w:szCs w:val="22"/>
              </w:rPr>
              <w:t xml:space="preserve">Pseudomonas </w:t>
            </w:r>
            <w:r w:rsidRPr="008204D9">
              <w:rPr>
                <w:rFonts w:ascii="Arial" w:eastAsia="Calibri" w:hAnsi="Arial" w:cs="Arial"/>
                <w:szCs w:val="22"/>
              </w:rPr>
              <w:t xml:space="preserve">spp. and </w:t>
            </w:r>
            <w:r w:rsidRPr="008204D9">
              <w:rPr>
                <w:rFonts w:ascii="Arial" w:eastAsia="Calibri" w:hAnsi="Arial" w:cs="Arial"/>
                <w:i/>
                <w:szCs w:val="22"/>
              </w:rPr>
              <w:t xml:space="preserve">Candida </w:t>
            </w:r>
            <w:r w:rsidRPr="008204D9">
              <w:rPr>
                <w:rFonts w:ascii="Arial" w:eastAsia="Calibri" w:hAnsi="Arial" w:cs="Arial"/>
                <w:szCs w:val="22"/>
              </w:rPr>
              <w:t>spp. had 5.50±1.1 mm and 3.00±0.7 mm clearance zones. The</w:t>
            </w:r>
            <w:r w:rsidR="003E3209">
              <w:rPr>
                <w:rFonts w:ascii="Arial" w:eastAsia="Calibri" w:hAnsi="Arial" w:cs="Arial"/>
                <w:szCs w:val="22"/>
              </w:rPr>
              <w:t xml:space="preserve"> percentage biodiesel yield was</w:t>
            </w:r>
            <w:r w:rsidR="003E3209" w:rsidRPr="003E3209">
              <w:rPr>
                <w:rFonts w:ascii="Arial" w:eastAsia="Calibri" w:hAnsi="Arial" w:cs="Arial"/>
                <w:szCs w:val="22"/>
              </w:rPr>
              <w:t xml:space="preserve"> 40.00±0.76%</w:t>
            </w:r>
            <w:r w:rsidR="00CC702D">
              <w:rPr>
                <w:rFonts w:ascii="Arial" w:eastAsia="Calibri" w:hAnsi="Arial" w:cs="Arial"/>
                <w:szCs w:val="22"/>
              </w:rPr>
              <w:t>. The</w:t>
            </w:r>
            <w:r w:rsidR="00F945D9">
              <w:rPr>
                <w:rFonts w:ascii="Arial" w:eastAsia="Calibri" w:hAnsi="Arial" w:cs="Arial"/>
                <w:szCs w:val="22"/>
              </w:rPr>
              <w:t xml:space="preserve"> produced</w:t>
            </w:r>
            <w:r w:rsidRPr="008204D9">
              <w:rPr>
                <w:rFonts w:ascii="Arial" w:eastAsia="Calibri" w:hAnsi="Arial" w:cs="Arial"/>
                <w:szCs w:val="22"/>
              </w:rPr>
              <w:t xml:space="preserve"> biodiesel showed </w:t>
            </w:r>
            <w:r w:rsidR="004B3E3F">
              <w:rPr>
                <w:rFonts w:ascii="Arial" w:eastAsia="Calibri" w:hAnsi="Arial" w:cs="Arial"/>
                <w:szCs w:val="22"/>
              </w:rPr>
              <w:t xml:space="preserve">acceptable </w:t>
            </w:r>
            <w:r w:rsidRPr="008204D9">
              <w:rPr>
                <w:rFonts w:ascii="Arial" w:eastAsia="Calibri" w:hAnsi="Arial" w:cs="Arial"/>
                <w:szCs w:val="22"/>
              </w:rPr>
              <w:t>acid value, cetane rating, and viscosity (at 4</w:t>
            </w:r>
            <w:r w:rsidR="005858BF">
              <w:rPr>
                <w:rFonts w:ascii="Arial" w:eastAsia="Calibri" w:hAnsi="Arial" w:cs="Arial"/>
                <w:szCs w:val="22"/>
              </w:rPr>
              <w:t>0 °C) of 0.54 mg</w:t>
            </w:r>
            <w:r w:rsidR="00F945D9">
              <w:rPr>
                <w:rFonts w:ascii="Arial" w:eastAsia="Calibri" w:hAnsi="Arial" w:cs="Arial"/>
                <w:szCs w:val="22"/>
              </w:rPr>
              <w:t xml:space="preserve"> </w:t>
            </w:r>
            <w:r w:rsidR="005858BF">
              <w:rPr>
                <w:rFonts w:ascii="Arial" w:eastAsia="Calibri" w:hAnsi="Arial" w:cs="Arial"/>
                <w:szCs w:val="22"/>
              </w:rPr>
              <w:t>KOH/g</w:t>
            </w:r>
            <w:r w:rsidR="00F945D9">
              <w:rPr>
                <w:rFonts w:ascii="Arial" w:eastAsia="Calibri" w:hAnsi="Arial" w:cs="Arial"/>
                <w:szCs w:val="22"/>
              </w:rPr>
              <w:t>,</w:t>
            </w:r>
            <w:r w:rsidR="005858BF">
              <w:rPr>
                <w:rFonts w:ascii="Arial" w:eastAsia="Calibri" w:hAnsi="Arial" w:cs="Arial"/>
                <w:szCs w:val="22"/>
              </w:rPr>
              <w:t xml:space="preserve"> 51</w:t>
            </w:r>
            <w:r w:rsidRPr="008204D9">
              <w:rPr>
                <w:rFonts w:ascii="Arial" w:eastAsia="Calibri" w:hAnsi="Arial" w:cs="Arial"/>
                <w:szCs w:val="22"/>
              </w:rPr>
              <w:t xml:space="preserve"> and 2.6 mm²/s, respectively</w:t>
            </w:r>
            <w:r w:rsidR="00F945D9">
              <w:rPr>
                <w:rFonts w:ascii="Arial" w:eastAsia="Calibri" w:hAnsi="Arial" w:cs="Arial"/>
                <w:szCs w:val="22"/>
              </w:rPr>
              <w:t>, but</w:t>
            </w:r>
            <w:r w:rsidR="004B3E3F">
              <w:rPr>
                <w:rFonts w:ascii="Arial" w:eastAsia="Calibri" w:hAnsi="Arial" w:cs="Arial"/>
                <w:szCs w:val="22"/>
              </w:rPr>
              <w:t xml:space="preserve"> a low flash point of 75 °C</w:t>
            </w:r>
            <w:r w:rsidRPr="008204D9">
              <w:rPr>
                <w:rFonts w:ascii="Arial" w:eastAsia="Calibri" w:hAnsi="Arial" w:cs="Arial"/>
                <w:szCs w:val="22"/>
              </w:rPr>
              <w:t xml:space="preserve">. </w:t>
            </w:r>
            <w:r w:rsidR="00EE3FAB">
              <w:rPr>
                <w:rFonts w:ascii="Arial" w:eastAsia="Calibri" w:hAnsi="Arial" w:cs="Arial"/>
                <w:szCs w:val="22"/>
              </w:rPr>
              <w:t xml:space="preserve">Consequently, </w:t>
            </w:r>
            <w:r w:rsidR="00BA0314">
              <w:rPr>
                <w:rFonts w:ascii="Arial" w:eastAsia="Calibri" w:hAnsi="Arial" w:cs="Arial"/>
                <w:szCs w:val="22"/>
              </w:rPr>
              <w:t xml:space="preserve">with process optimization </w:t>
            </w:r>
            <w:r w:rsidR="00EE3FAB">
              <w:rPr>
                <w:rFonts w:ascii="Arial" w:eastAsia="Calibri" w:hAnsi="Arial" w:cs="Arial"/>
                <w:szCs w:val="22"/>
              </w:rPr>
              <w:t xml:space="preserve">the </w:t>
            </w:r>
            <w:r w:rsidRPr="008204D9">
              <w:rPr>
                <w:rFonts w:ascii="Arial" w:eastAsia="Calibri" w:hAnsi="Arial" w:cs="Arial"/>
                <w:szCs w:val="22"/>
              </w:rPr>
              <w:t xml:space="preserve">POME generated in </w:t>
            </w:r>
            <w:r w:rsidR="00EE2B6A">
              <w:rPr>
                <w:rFonts w:ascii="Arial" w:eastAsia="Calibri" w:hAnsi="Arial" w:cs="Arial"/>
                <w:szCs w:val="22"/>
              </w:rPr>
              <w:t xml:space="preserve">palm </w:t>
            </w:r>
            <w:r w:rsidRPr="008204D9">
              <w:rPr>
                <w:rFonts w:ascii="Arial" w:eastAsia="Calibri" w:hAnsi="Arial" w:cs="Arial"/>
                <w:szCs w:val="22"/>
              </w:rPr>
              <w:t>oil mills in Imo State</w:t>
            </w:r>
            <w:r w:rsidR="00EE2B6A">
              <w:rPr>
                <w:rFonts w:ascii="Arial" w:eastAsia="Calibri" w:hAnsi="Arial" w:cs="Arial"/>
                <w:szCs w:val="22"/>
              </w:rPr>
              <w:t>, Nigeria,</w:t>
            </w:r>
            <w:r w:rsidRPr="008204D9">
              <w:rPr>
                <w:rFonts w:ascii="Arial" w:eastAsia="Calibri" w:hAnsi="Arial" w:cs="Arial"/>
                <w:szCs w:val="22"/>
              </w:rPr>
              <w:t xml:space="preserve"> is </w:t>
            </w:r>
            <w:r w:rsidR="00CE593F">
              <w:rPr>
                <w:rFonts w:ascii="Arial" w:eastAsia="Calibri" w:hAnsi="Arial" w:cs="Arial"/>
                <w:szCs w:val="22"/>
              </w:rPr>
              <w:t>feasible</w:t>
            </w:r>
            <w:r w:rsidRPr="008204D9">
              <w:rPr>
                <w:rFonts w:ascii="Arial" w:eastAsia="Calibri" w:hAnsi="Arial" w:cs="Arial"/>
                <w:szCs w:val="22"/>
              </w:rPr>
              <w:t xml:space="preserve"> for biodiesel production using autochthonous whole-cell biocatalysts.</w:t>
            </w:r>
          </w:p>
        </w:tc>
      </w:tr>
    </w:tbl>
    <w:p w14:paraId="5E4FB946" w14:textId="77777777" w:rsidR="00636EB2" w:rsidRDefault="00636EB2" w:rsidP="00441B6F">
      <w:pPr>
        <w:pStyle w:val="Body"/>
        <w:spacing w:after="0"/>
        <w:rPr>
          <w:rFonts w:ascii="Arial" w:hAnsi="Arial" w:cs="Arial"/>
          <w:i/>
        </w:rPr>
      </w:pPr>
    </w:p>
    <w:p w14:paraId="3383988F" w14:textId="77777777" w:rsidR="00A24E7E" w:rsidRDefault="00A24E7E" w:rsidP="00441B6F">
      <w:pPr>
        <w:pStyle w:val="Body"/>
        <w:spacing w:after="0"/>
        <w:rPr>
          <w:rFonts w:ascii="Arial" w:hAnsi="Arial" w:cs="Arial"/>
          <w:i/>
        </w:rPr>
      </w:pPr>
      <w:r>
        <w:rPr>
          <w:rFonts w:ascii="Arial" w:hAnsi="Arial" w:cs="Arial"/>
          <w:i/>
        </w:rPr>
        <w:t xml:space="preserve">Keywords: </w:t>
      </w:r>
      <w:r w:rsidR="00C663BE" w:rsidRPr="00C663BE">
        <w:rPr>
          <w:rFonts w:ascii="Arial" w:hAnsi="Arial" w:cs="Arial"/>
          <w:i/>
        </w:rPr>
        <w:t>Biofuels, POME, Biodiesel, Lipase-producing microbes, Transesterification reaction.</w:t>
      </w:r>
    </w:p>
    <w:p w14:paraId="5A806F87" w14:textId="77777777" w:rsidR="00790ADA" w:rsidRDefault="00790ADA" w:rsidP="00441B6F">
      <w:pPr>
        <w:pStyle w:val="Body"/>
        <w:spacing w:after="0"/>
        <w:rPr>
          <w:rFonts w:ascii="Arial" w:hAnsi="Arial" w:cs="Arial"/>
          <w:i/>
        </w:rPr>
      </w:pPr>
    </w:p>
    <w:p w14:paraId="0C43761F"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3174234" w14:textId="77777777" w:rsidR="00790ADA" w:rsidRPr="00911210" w:rsidRDefault="00790ADA" w:rsidP="00441B6F">
      <w:pPr>
        <w:pStyle w:val="AbstHead"/>
        <w:spacing w:after="0"/>
        <w:jc w:val="both"/>
        <w:rPr>
          <w:rFonts w:ascii="Arial" w:hAnsi="Arial" w:cs="Arial"/>
          <w:sz w:val="20"/>
        </w:rPr>
      </w:pPr>
    </w:p>
    <w:p w14:paraId="7E538E8B" w14:textId="77777777" w:rsidR="00DC3FAD" w:rsidRPr="00911210" w:rsidRDefault="00DC3FAD" w:rsidP="00180533">
      <w:pPr>
        <w:contextualSpacing/>
        <w:jc w:val="both"/>
        <w:rPr>
          <w:rFonts w:ascii="Arial" w:hAnsi="Arial" w:cs="Arial"/>
        </w:rPr>
      </w:pPr>
      <w:r w:rsidRPr="00911210">
        <w:rPr>
          <w:rFonts w:ascii="Arial" w:hAnsi="Arial" w:cs="Arial"/>
        </w:rPr>
        <w:t>Energy is essential for raising living standards and promoting economic expansion in all areas, including families, business, transportation, industry, and agriculture. Approximately 81.1% of the global energy is obtained from fossil fuels, such as na</w:t>
      </w:r>
      <w:r w:rsidR="00B855DD">
        <w:rPr>
          <w:rFonts w:ascii="Arial" w:hAnsi="Arial" w:cs="Arial"/>
        </w:rPr>
        <w:t>tural gas, petroleum, and coal (</w:t>
      </w:r>
      <w:proofErr w:type="spellStart"/>
      <w:r w:rsidR="00B855DD" w:rsidRPr="00B855DD">
        <w:rPr>
          <w:rFonts w:ascii="Arial" w:hAnsi="Arial" w:cs="Arial"/>
        </w:rPr>
        <w:t>Degfie</w:t>
      </w:r>
      <w:proofErr w:type="spellEnd"/>
      <w:r w:rsidR="00B855DD" w:rsidRPr="00B855DD">
        <w:rPr>
          <w:rFonts w:ascii="Arial" w:hAnsi="Arial" w:cs="Arial"/>
        </w:rPr>
        <w:t xml:space="preserve"> </w:t>
      </w:r>
      <w:r w:rsidR="00B855DD">
        <w:rPr>
          <w:rFonts w:ascii="Arial" w:hAnsi="Arial" w:cs="Arial"/>
        </w:rPr>
        <w:t>et al., 2019; Nor et al., 2024)</w:t>
      </w:r>
      <w:r w:rsidRPr="00911210">
        <w:rPr>
          <w:rFonts w:ascii="Arial" w:hAnsi="Arial" w:cs="Arial"/>
        </w:rPr>
        <w:t xml:space="preserve">. Many environmental issues are results of the rising energy consumption in homes and industries. Greenhouse gas emissions, acid rain, smog, air pollution, and environmental destruction are all consequences of burning fossil fuels for energy. This necessitated investigations into alternative sources of energy like hydro, wind, biomass, biofuels and solar, as environmental concerns increase. Among these </w:t>
      </w:r>
      <w:r w:rsidRPr="00911210">
        <w:rPr>
          <w:rFonts w:ascii="Arial" w:hAnsi="Arial" w:cs="Arial"/>
        </w:rPr>
        <w:lastRenderedPageBreak/>
        <w:t xml:space="preserve">renewable and ecofriendly energy sources is biodiesel </w:t>
      </w:r>
      <w:r w:rsidR="00FD1518">
        <w:rPr>
          <w:rFonts w:ascii="Arial" w:hAnsi="Arial" w:cs="Arial"/>
        </w:rPr>
        <w:t>(</w:t>
      </w:r>
      <w:proofErr w:type="spellStart"/>
      <w:r w:rsidR="00FD1518" w:rsidRPr="00B855DD">
        <w:rPr>
          <w:rFonts w:ascii="Arial" w:hAnsi="Arial" w:cs="Arial"/>
        </w:rPr>
        <w:t>Degfie</w:t>
      </w:r>
      <w:proofErr w:type="spellEnd"/>
      <w:r w:rsidR="00FD1518" w:rsidRPr="00B855DD">
        <w:rPr>
          <w:rFonts w:ascii="Arial" w:hAnsi="Arial" w:cs="Arial"/>
        </w:rPr>
        <w:t xml:space="preserve"> </w:t>
      </w:r>
      <w:r w:rsidR="00FD1518">
        <w:rPr>
          <w:rFonts w:ascii="Arial" w:hAnsi="Arial" w:cs="Arial"/>
        </w:rPr>
        <w:t>et al., 2019)</w:t>
      </w:r>
      <w:r w:rsidRPr="00911210">
        <w:rPr>
          <w:rFonts w:ascii="Arial" w:hAnsi="Arial" w:cs="Arial"/>
        </w:rPr>
        <w:t xml:space="preserve">. Biodiesel is a second-generation biofuel, and is characteristically cleaner, biodegradable and a more sustainable alternative to fossil-based diesel. It has no toxicity or cancer hazards, and its combustion emissions are environmentally benign </w:t>
      </w:r>
      <w:r w:rsidR="00FD1518">
        <w:rPr>
          <w:rFonts w:ascii="Arial" w:hAnsi="Arial" w:cs="Arial"/>
        </w:rPr>
        <w:t>(Nor et al., 2024)</w:t>
      </w:r>
      <w:r w:rsidRPr="00911210">
        <w:rPr>
          <w:rFonts w:ascii="Arial" w:hAnsi="Arial" w:cs="Arial"/>
        </w:rPr>
        <w:t>.</w:t>
      </w:r>
    </w:p>
    <w:p w14:paraId="6690598A" w14:textId="77777777" w:rsidR="007E0EAD" w:rsidRPr="00911210" w:rsidRDefault="007E0EAD" w:rsidP="00FE1294">
      <w:pPr>
        <w:contextualSpacing/>
        <w:jc w:val="both"/>
        <w:rPr>
          <w:rFonts w:ascii="Arial" w:hAnsi="Arial" w:cs="Arial"/>
        </w:rPr>
      </w:pPr>
    </w:p>
    <w:p w14:paraId="4AC7E477" w14:textId="77777777" w:rsidR="00DC3FAD" w:rsidRPr="00911210" w:rsidRDefault="00DC3FAD" w:rsidP="00180533">
      <w:pPr>
        <w:contextualSpacing/>
        <w:jc w:val="both"/>
        <w:rPr>
          <w:rFonts w:ascii="Arial" w:hAnsi="Arial" w:cs="Arial"/>
        </w:rPr>
      </w:pPr>
      <w:r w:rsidRPr="00911210">
        <w:rPr>
          <w:rFonts w:ascii="Arial" w:hAnsi="Arial" w:cs="Arial"/>
        </w:rPr>
        <w:t>The use of lipase in enzymatic transesterification to produce biodiesel has recently drawn more attention from researchers. Due to the ability of EC 3.1.1.3, triacylglycerol hydrolases</w:t>
      </w:r>
      <w:r w:rsidR="00380E12">
        <w:rPr>
          <w:rFonts w:ascii="Arial" w:hAnsi="Arial" w:cs="Arial"/>
        </w:rPr>
        <w:t xml:space="preserve"> (</w:t>
      </w:r>
      <w:r w:rsidR="00380E12" w:rsidRPr="00911210">
        <w:rPr>
          <w:rFonts w:ascii="Arial" w:hAnsi="Arial" w:cs="Arial"/>
        </w:rPr>
        <w:t>lipase</w:t>
      </w:r>
      <w:r w:rsidRPr="00911210">
        <w:rPr>
          <w:rFonts w:ascii="Arial" w:hAnsi="Arial" w:cs="Arial"/>
        </w:rPr>
        <w:t xml:space="preserve">) to sustain significant catalysis in non-aqueous environments, it can be used to produce biodiesel </w:t>
      </w:r>
      <w:r w:rsidR="00DE5768">
        <w:rPr>
          <w:rFonts w:ascii="Arial" w:hAnsi="Arial" w:cs="Arial"/>
        </w:rPr>
        <w:t>(</w:t>
      </w:r>
      <w:r w:rsidR="00DE5768" w:rsidRPr="00DE5768">
        <w:rPr>
          <w:rFonts w:ascii="Arial" w:hAnsi="Arial" w:cs="Arial"/>
        </w:rPr>
        <w:t>Sarmah</w:t>
      </w:r>
      <w:r w:rsidR="00DE5768">
        <w:rPr>
          <w:rFonts w:ascii="Arial" w:hAnsi="Arial" w:cs="Arial"/>
        </w:rPr>
        <w:t xml:space="preserve"> et al., 2018)</w:t>
      </w:r>
      <w:r w:rsidRPr="00911210">
        <w:rPr>
          <w:rFonts w:ascii="Arial" w:hAnsi="Arial" w:cs="Arial"/>
        </w:rPr>
        <w:t xml:space="preserve">. The use of lipases in the production of biodiesel has a number of advantages over chemical catalysis, including the lack of pretreatment, the requirement for mild conditions, ease of product separation and glycerol recovery, the production of high-quality biodiesel, the absence of side reactions, and the requirement of minimal wastewater treatment </w:t>
      </w:r>
      <w:r w:rsidR="00DE5768">
        <w:rPr>
          <w:rFonts w:ascii="Arial" w:hAnsi="Arial" w:cs="Arial"/>
        </w:rPr>
        <w:t>(</w:t>
      </w:r>
      <w:proofErr w:type="spellStart"/>
      <w:r w:rsidR="00DE5768" w:rsidRPr="00DE5768">
        <w:rPr>
          <w:rFonts w:ascii="Arial" w:hAnsi="Arial" w:cs="Arial"/>
        </w:rPr>
        <w:t>Toldrá-Reig</w:t>
      </w:r>
      <w:proofErr w:type="spellEnd"/>
      <w:r w:rsidR="00DE5768">
        <w:rPr>
          <w:rFonts w:ascii="Arial" w:hAnsi="Arial" w:cs="Arial"/>
        </w:rPr>
        <w:t xml:space="preserve"> et al., 2020)</w:t>
      </w:r>
      <w:r w:rsidRPr="00911210">
        <w:rPr>
          <w:rFonts w:ascii="Arial" w:hAnsi="Arial" w:cs="Arial"/>
        </w:rPr>
        <w:t xml:space="preserve">. In addition, the adverse characteristics of alkaline catalysis for the manufacture of biodiesel including the need for high temperatures and the generation of many free fatty acids (FFAs) during the hydrolysis of triglycerides </w:t>
      </w:r>
      <w:r w:rsidR="00921AA9">
        <w:rPr>
          <w:rFonts w:ascii="Arial" w:hAnsi="Arial" w:cs="Arial"/>
        </w:rPr>
        <w:t>(Neha et al., 2023)</w:t>
      </w:r>
      <w:r w:rsidRPr="00911210">
        <w:rPr>
          <w:rFonts w:ascii="Arial" w:hAnsi="Arial" w:cs="Arial"/>
        </w:rPr>
        <w:t xml:space="preserve"> necessitate the leaning towards lipase catalysis.</w:t>
      </w:r>
    </w:p>
    <w:p w14:paraId="71948132" w14:textId="77777777" w:rsidR="007E0EAD" w:rsidRPr="00911210" w:rsidRDefault="007E0EAD" w:rsidP="00921AA9">
      <w:pPr>
        <w:contextualSpacing/>
        <w:jc w:val="both"/>
        <w:rPr>
          <w:rFonts w:ascii="Arial" w:hAnsi="Arial" w:cs="Arial"/>
        </w:rPr>
      </w:pPr>
    </w:p>
    <w:p w14:paraId="692D3E71" w14:textId="22AF7BE2" w:rsidR="00DC3FAD" w:rsidRPr="00911210" w:rsidRDefault="00DC3FAD" w:rsidP="00180533">
      <w:pPr>
        <w:contextualSpacing/>
        <w:jc w:val="both"/>
        <w:rPr>
          <w:rFonts w:ascii="Arial" w:hAnsi="Arial" w:cs="Arial"/>
        </w:rPr>
      </w:pPr>
      <w:r w:rsidRPr="00911210">
        <w:rPr>
          <w:rFonts w:ascii="Arial" w:hAnsi="Arial" w:cs="Arial"/>
        </w:rPr>
        <w:t xml:space="preserve">When alcohol reacts with triglycerides, which are obtained from plants and animals, in the presence of a catalyst, biodiesel is produced. Reports have shown that biodiesels can be made from edible oils, such as those found in </w:t>
      </w:r>
      <w:r w:rsidRPr="00911210">
        <w:rPr>
          <w:rFonts w:ascii="Arial" w:hAnsi="Arial" w:cs="Arial"/>
          <w:i/>
        </w:rPr>
        <w:t>Ricinus communis</w:t>
      </w:r>
      <w:r w:rsidRPr="00911210">
        <w:rPr>
          <w:rFonts w:ascii="Arial" w:hAnsi="Arial" w:cs="Arial"/>
        </w:rPr>
        <w:t xml:space="preserve"> seeds, coconut, and soybean </w:t>
      </w:r>
      <w:r w:rsidR="00FE1294">
        <w:rPr>
          <w:rFonts w:ascii="Arial" w:hAnsi="Arial" w:cs="Arial"/>
        </w:rPr>
        <w:t>(</w:t>
      </w:r>
      <w:r w:rsidR="00FE1294" w:rsidRPr="00FE1294">
        <w:rPr>
          <w:rFonts w:ascii="Arial" w:hAnsi="Arial" w:cs="Arial"/>
        </w:rPr>
        <w:t>Okechukwu</w:t>
      </w:r>
      <w:r w:rsidR="00FE1294">
        <w:rPr>
          <w:rFonts w:ascii="Arial" w:hAnsi="Arial" w:cs="Arial"/>
        </w:rPr>
        <w:t xml:space="preserve"> et al., 2015)</w:t>
      </w:r>
      <w:r w:rsidRPr="00911210">
        <w:rPr>
          <w:rFonts w:ascii="Arial" w:hAnsi="Arial" w:cs="Arial"/>
        </w:rPr>
        <w:t xml:space="preserve">. However, this raises questions about environmental sustainability and food security because of rivalry with deforestation, food production, and habitat degradation. Although animal fats can be utilized, their saturated fatty acid concentration presents difficulties </w:t>
      </w:r>
      <w:r w:rsidR="0045799F" w:rsidRPr="0045799F">
        <w:rPr>
          <w:rFonts w:ascii="Arial" w:hAnsi="Arial" w:cs="Arial"/>
        </w:rPr>
        <w:t>(Nor et al., 2024</w:t>
      </w:r>
      <w:r w:rsidR="0045799F">
        <w:rPr>
          <w:rFonts w:ascii="Arial" w:hAnsi="Arial" w:cs="Arial"/>
        </w:rPr>
        <w:t>).</w:t>
      </w:r>
      <w:r w:rsidRPr="00911210">
        <w:rPr>
          <w:rFonts w:ascii="Arial" w:hAnsi="Arial" w:cs="Arial"/>
        </w:rPr>
        <w:t xml:space="preserve"> In this study, palm oil mill effluent (POME) was selected as the main feedstock for biodiesel synthesis in order to address these problems. Due to its unregulated discharge into the environment, POME, which is produced in large quantities in some areas of Imo State, Nigeria, usually causes serious environmental contaminations </w:t>
      </w:r>
      <w:r w:rsidR="00FC4EFF">
        <w:rPr>
          <w:rFonts w:ascii="Arial" w:hAnsi="Arial" w:cs="Arial"/>
        </w:rPr>
        <w:t>(</w:t>
      </w:r>
      <w:r w:rsidR="00FC4EFF" w:rsidRPr="00FC4EFF">
        <w:rPr>
          <w:rFonts w:ascii="Arial" w:hAnsi="Arial" w:cs="Arial"/>
        </w:rPr>
        <w:t>Dike-Ekeh</w:t>
      </w:r>
      <w:r w:rsidR="00FC4EFF">
        <w:rPr>
          <w:rFonts w:ascii="Arial" w:hAnsi="Arial" w:cs="Arial"/>
        </w:rPr>
        <w:t xml:space="preserve"> et al., 2024)</w:t>
      </w:r>
      <w:r w:rsidRPr="00911210">
        <w:rPr>
          <w:rFonts w:ascii="Arial" w:hAnsi="Arial" w:cs="Arial"/>
        </w:rPr>
        <w:t xml:space="preserve">. Its high triglyceride content and rich populations of lipolytic microbes offer a hidden opportunity for its utilization in biodiesel production. Diversities of Gram-negative and Gram-positive strains of bacteria, particularly those from the </w:t>
      </w:r>
      <w:r w:rsidRPr="00911210">
        <w:rPr>
          <w:rFonts w:ascii="Arial" w:hAnsi="Arial" w:cs="Arial"/>
          <w:i/>
        </w:rPr>
        <w:t>Pseudomonas</w:t>
      </w:r>
      <w:r w:rsidRPr="00911210">
        <w:rPr>
          <w:rFonts w:ascii="Arial" w:hAnsi="Arial" w:cs="Arial"/>
        </w:rPr>
        <w:t xml:space="preserve"> genera, as well as commercially significant fungi, including </w:t>
      </w:r>
      <w:r w:rsidRPr="00911210">
        <w:rPr>
          <w:rFonts w:ascii="Arial" w:hAnsi="Arial" w:cs="Arial"/>
          <w:i/>
        </w:rPr>
        <w:t>Rhizopus</w:t>
      </w:r>
      <w:r w:rsidRPr="00911210">
        <w:rPr>
          <w:rFonts w:ascii="Arial" w:hAnsi="Arial" w:cs="Arial"/>
        </w:rPr>
        <w:t xml:space="preserve"> sp., </w:t>
      </w:r>
      <w:r w:rsidRPr="00911210">
        <w:rPr>
          <w:rFonts w:ascii="Arial" w:hAnsi="Arial" w:cs="Arial"/>
          <w:i/>
        </w:rPr>
        <w:t>Mucor</w:t>
      </w:r>
      <w:r w:rsidRPr="00911210">
        <w:rPr>
          <w:rFonts w:ascii="Arial" w:hAnsi="Arial" w:cs="Arial"/>
        </w:rPr>
        <w:t xml:space="preserve"> sp., </w:t>
      </w:r>
      <w:r w:rsidRPr="00911210">
        <w:rPr>
          <w:rFonts w:ascii="Arial" w:hAnsi="Arial" w:cs="Arial"/>
          <w:i/>
        </w:rPr>
        <w:t>Aspergillus</w:t>
      </w:r>
      <w:r w:rsidRPr="00911210">
        <w:rPr>
          <w:rFonts w:ascii="Arial" w:hAnsi="Arial" w:cs="Arial"/>
        </w:rPr>
        <w:t xml:space="preserve"> sp., </w:t>
      </w:r>
      <w:r w:rsidRPr="00911210">
        <w:rPr>
          <w:rFonts w:ascii="Arial" w:hAnsi="Arial" w:cs="Arial"/>
          <w:i/>
        </w:rPr>
        <w:t>Penicillium</w:t>
      </w:r>
      <w:r w:rsidRPr="00911210">
        <w:rPr>
          <w:rFonts w:ascii="Arial" w:hAnsi="Arial" w:cs="Arial"/>
        </w:rPr>
        <w:t xml:space="preserve"> sp., </w:t>
      </w:r>
      <w:proofErr w:type="spellStart"/>
      <w:r w:rsidRPr="00911210">
        <w:rPr>
          <w:rFonts w:ascii="Arial" w:hAnsi="Arial" w:cs="Arial"/>
          <w:i/>
        </w:rPr>
        <w:t>Thermomyces</w:t>
      </w:r>
      <w:proofErr w:type="spellEnd"/>
      <w:r w:rsidRPr="00911210">
        <w:rPr>
          <w:rFonts w:ascii="Arial" w:hAnsi="Arial" w:cs="Arial"/>
        </w:rPr>
        <w:t xml:space="preserve"> sp., and </w:t>
      </w:r>
      <w:proofErr w:type="spellStart"/>
      <w:r w:rsidRPr="00911210">
        <w:rPr>
          <w:rFonts w:ascii="Arial" w:hAnsi="Arial" w:cs="Arial"/>
          <w:i/>
        </w:rPr>
        <w:t>Geotrichum</w:t>
      </w:r>
      <w:proofErr w:type="spellEnd"/>
      <w:r w:rsidRPr="00911210">
        <w:rPr>
          <w:rFonts w:ascii="Arial" w:hAnsi="Arial" w:cs="Arial"/>
        </w:rPr>
        <w:t xml:space="preserve"> sp., produce the majority of lipases in fermenters under controlled conditions. Yeast-derived lipases are also important, including those from </w:t>
      </w:r>
      <w:r w:rsidRPr="00911210">
        <w:rPr>
          <w:rFonts w:ascii="Arial" w:hAnsi="Arial" w:cs="Arial"/>
          <w:i/>
        </w:rPr>
        <w:t>Candida</w:t>
      </w:r>
      <w:r w:rsidRPr="00911210">
        <w:rPr>
          <w:rFonts w:ascii="Arial" w:hAnsi="Arial" w:cs="Arial"/>
        </w:rPr>
        <w:t xml:space="preserve"> sp. </w:t>
      </w:r>
      <w:r w:rsidR="00251D74">
        <w:rPr>
          <w:rFonts w:ascii="Arial" w:hAnsi="Arial" w:cs="Arial"/>
        </w:rPr>
        <w:t>(</w:t>
      </w:r>
      <w:r w:rsidR="00251D74" w:rsidRPr="00251D74">
        <w:rPr>
          <w:rFonts w:ascii="Arial" w:hAnsi="Arial" w:cs="Arial"/>
        </w:rPr>
        <w:t xml:space="preserve">Sánchez </w:t>
      </w:r>
      <w:r w:rsidR="00251D74">
        <w:rPr>
          <w:rFonts w:ascii="Arial" w:hAnsi="Arial" w:cs="Arial"/>
        </w:rPr>
        <w:t xml:space="preserve">et al., 2018; </w:t>
      </w:r>
      <w:proofErr w:type="spellStart"/>
      <w:r w:rsidR="00251D74" w:rsidRPr="00DE5768">
        <w:rPr>
          <w:rFonts w:ascii="Arial" w:hAnsi="Arial" w:cs="Arial"/>
        </w:rPr>
        <w:t>Toldrá-Reig</w:t>
      </w:r>
      <w:proofErr w:type="spellEnd"/>
      <w:r w:rsidR="00251D74">
        <w:rPr>
          <w:rFonts w:ascii="Arial" w:hAnsi="Arial" w:cs="Arial"/>
        </w:rPr>
        <w:t xml:space="preserve"> et al., 2020)</w:t>
      </w:r>
      <w:r w:rsidRPr="00911210">
        <w:rPr>
          <w:rFonts w:ascii="Arial" w:hAnsi="Arial" w:cs="Arial"/>
        </w:rPr>
        <w:t xml:space="preserve">. The most researched biocatalysts for the synthesis of biodiesel are whole-cell lipases and immobilized lipases. But the material-intensive and time-consuming upstream procedures are made simpler when whole cells are used. This is because the indirect immobilization of enzyme inside or on the cells precludes the isolation, immobilization and purification stages. Additionally, whole-cell biocatalysis enables far higher rates of product recovery, streamlines downstream processing, and additionally reduces the costs to the environment and economy </w:t>
      </w:r>
      <w:r w:rsidR="00151002">
        <w:rPr>
          <w:rFonts w:ascii="Arial" w:hAnsi="Arial" w:cs="Arial"/>
        </w:rPr>
        <w:t>(</w:t>
      </w:r>
      <w:r w:rsidR="00151002" w:rsidRPr="00151002">
        <w:rPr>
          <w:rFonts w:ascii="Arial" w:hAnsi="Arial" w:cs="Arial"/>
        </w:rPr>
        <w:t>de Carvalho</w:t>
      </w:r>
      <w:r w:rsidR="00151002">
        <w:rPr>
          <w:rFonts w:ascii="Arial" w:hAnsi="Arial" w:cs="Arial"/>
        </w:rPr>
        <w:t xml:space="preserve">, 2017; </w:t>
      </w:r>
      <w:r w:rsidR="00AB532F" w:rsidRPr="00AB532F">
        <w:rPr>
          <w:rFonts w:ascii="Arial" w:hAnsi="Arial" w:cs="Arial"/>
        </w:rPr>
        <w:t>Spanou</w:t>
      </w:r>
      <w:r w:rsidR="00AB532F">
        <w:rPr>
          <w:rFonts w:ascii="Arial" w:hAnsi="Arial" w:cs="Arial"/>
        </w:rPr>
        <w:t xml:space="preserve"> et al., 2024</w:t>
      </w:r>
      <w:r w:rsidR="00151002">
        <w:rPr>
          <w:rFonts w:ascii="Arial" w:hAnsi="Arial" w:cs="Arial"/>
        </w:rPr>
        <w:t>).</w:t>
      </w:r>
      <w:r w:rsidR="004D68BF">
        <w:rPr>
          <w:rFonts w:ascii="Arial" w:hAnsi="Arial" w:cs="Arial"/>
        </w:rPr>
        <w:t xml:space="preserve"> However, there are no</w:t>
      </w:r>
      <w:r w:rsidR="00110E06">
        <w:rPr>
          <w:rFonts w:ascii="Arial" w:hAnsi="Arial" w:cs="Arial"/>
        </w:rPr>
        <w:t>,</w:t>
      </w:r>
      <w:r w:rsidR="004D68BF">
        <w:rPr>
          <w:rFonts w:ascii="Arial" w:hAnsi="Arial" w:cs="Arial"/>
        </w:rPr>
        <w:t xml:space="preserve"> or limited</w:t>
      </w:r>
      <w:r w:rsidR="00110E06">
        <w:rPr>
          <w:rFonts w:ascii="Arial" w:hAnsi="Arial" w:cs="Arial"/>
        </w:rPr>
        <w:t>,</w:t>
      </w:r>
      <w:r w:rsidR="004D68BF">
        <w:rPr>
          <w:rFonts w:ascii="Arial" w:hAnsi="Arial" w:cs="Arial"/>
        </w:rPr>
        <w:t xml:space="preserve"> reports of studies involving co-culture of autochthonous microorganisms </w:t>
      </w:r>
      <w:r w:rsidR="00A928C8">
        <w:rPr>
          <w:rFonts w:ascii="Arial" w:hAnsi="Arial" w:cs="Arial"/>
        </w:rPr>
        <w:t>in POME generated by the o</w:t>
      </w:r>
      <w:r w:rsidR="006002A1">
        <w:rPr>
          <w:rFonts w:ascii="Arial" w:hAnsi="Arial" w:cs="Arial"/>
        </w:rPr>
        <w:t xml:space="preserve">il mills in Imo State, Nigeria. Thus, the potentials of such indigenous </w:t>
      </w:r>
      <w:r w:rsidR="00110E06">
        <w:rPr>
          <w:rFonts w:ascii="Arial" w:hAnsi="Arial" w:cs="Arial"/>
        </w:rPr>
        <w:t xml:space="preserve">vast </w:t>
      </w:r>
      <w:r w:rsidR="006002A1">
        <w:rPr>
          <w:rFonts w:ascii="Arial" w:hAnsi="Arial" w:cs="Arial"/>
        </w:rPr>
        <w:t>microbial populations in biodiesel production using POME are unknown.</w:t>
      </w:r>
    </w:p>
    <w:p w14:paraId="07C168D2" w14:textId="77777777" w:rsidR="007E0EAD" w:rsidRPr="00911210" w:rsidRDefault="007E0EAD" w:rsidP="00DC3FAD">
      <w:pPr>
        <w:ind w:firstLine="360"/>
        <w:contextualSpacing/>
        <w:jc w:val="both"/>
        <w:rPr>
          <w:rFonts w:ascii="Arial" w:hAnsi="Arial" w:cs="Arial"/>
        </w:rPr>
      </w:pPr>
    </w:p>
    <w:p w14:paraId="21DEE5C1" w14:textId="19F6A697" w:rsidR="00B95236" w:rsidRPr="00911210" w:rsidRDefault="00DC3FAD" w:rsidP="00DC3FAD">
      <w:pPr>
        <w:pStyle w:val="Body"/>
        <w:spacing w:after="0"/>
        <w:rPr>
          <w:rFonts w:ascii="Arial" w:hAnsi="Arial" w:cs="Arial"/>
        </w:rPr>
      </w:pPr>
      <w:r w:rsidRPr="00911210">
        <w:rPr>
          <w:rFonts w:ascii="Arial" w:hAnsi="Arial" w:cs="Arial"/>
        </w:rPr>
        <w:t>Th</w:t>
      </w:r>
      <w:r w:rsidR="003778F1">
        <w:rPr>
          <w:rFonts w:ascii="Arial" w:hAnsi="Arial" w:cs="Arial"/>
        </w:rPr>
        <w:t>e aim of the</w:t>
      </w:r>
      <w:r w:rsidRPr="00911210">
        <w:rPr>
          <w:rFonts w:ascii="Arial" w:hAnsi="Arial" w:cs="Arial"/>
        </w:rPr>
        <w:t xml:space="preserve"> study</w:t>
      </w:r>
      <w:r w:rsidR="003778F1">
        <w:rPr>
          <w:rFonts w:ascii="Arial" w:hAnsi="Arial" w:cs="Arial"/>
        </w:rPr>
        <w:t xml:space="preserve"> was to</w:t>
      </w:r>
      <w:r w:rsidRPr="00911210">
        <w:rPr>
          <w:rFonts w:ascii="Arial" w:hAnsi="Arial" w:cs="Arial"/>
        </w:rPr>
        <w:t xml:space="preserve"> evaluate the transesterification potential of whole-cell co-culture of</w:t>
      </w:r>
      <w:r w:rsidR="004D68BF">
        <w:rPr>
          <w:rFonts w:ascii="Arial" w:hAnsi="Arial" w:cs="Arial"/>
        </w:rPr>
        <w:t xml:space="preserve"> autochthonous</w:t>
      </w:r>
      <w:r w:rsidRPr="00911210">
        <w:rPr>
          <w:rFonts w:ascii="Arial" w:hAnsi="Arial" w:cs="Arial"/>
        </w:rPr>
        <w:t xml:space="preserve"> </w:t>
      </w:r>
      <w:r w:rsidRPr="00911210">
        <w:rPr>
          <w:rFonts w:ascii="Arial" w:hAnsi="Arial" w:cs="Arial"/>
          <w:i/>
        </w:rPr>
        <w:t>Candida albicans</w:t>
      </w:r>
      <w:r w:rsidRPr="00911210">
        <w:rPr>
          <w:rFonts w:ascii="Arial" w:hAnsi="Arial" w:cs="Arial"/>
        </w:rPr>
        <w:t xml:space="preserve"> and </w:t>
      </w:r>
      <w:r w:rsidRPr="00911210">
        <w:rPr>
          <w:rFonts w:ascii="Arial" w:hAnsi="Arial" w:cs="Arial"/>
          <w:i/>
        </w:rPr>
        <w:t>Pseudomonas aeruginosa</w:t>
      </w:r>
      <w:r w:rsidRPr="00911210">
        <w:rPr>
          <w:rFonts w:ascii="Arial" w:hAnsi="Arial" w:cs="Arial"/>
        </w:rPr>
        <w:t xml:space="preserve"> in biodiesel production</w:t>
      </w:r>
      <w:r w:rsidR="00947640">
        <w:rPr>
          <w:rFonts w:ascii="Arial" w:hAnsi="Arial" w:cs="Arial"/>
        </w:rPr>
        <w:t xml:space="preserve"> using POME</w:t>
      </w:r>
      <w:r w:rsidRPr="00911210">
        <w:rPr>
          <w:rFonts w:ascii="Arial" w:hAnsi="Arial" w:cs="Arial"/>
        </w:rPr>
        <w:t>. Molecular techniques were used to identify the lipase-producing isolates in mix</w:t>
      </w:r>
      <w:r w:rsidR="005D12D9">
        <w:rPr>
          <w:rFonts w:ascii="Arial" w:hAnsi="Arial" w:cs="Arial"/>
        </w:rPr>
        <w:t>ed</w:t>
      </w:r>
      <w:r w:rsidRPr="00911210">
        <w:rPr>
          <w:rFonts w:ascii="Arial" w:hAnsi="Arial" w:cs="Arial"/>
        </w:rPr>
        <w:t xml:space="preserve"> POME samples from parts of Imo State, Nigeria, before they were used to produce biodiesel</w:t>
      </w:r>
      <w:r w:rsidR="005D12D9">
        <w:rPr>
          <w:rFonts w:ascii="Arial" w:hAnsi="Arial" w:cs="Arial"/>
        </w:rPr>
        <w:t>. The biodiesel sample was characterized and compared</w:t>
      </w:r>
      <w:r w:rsidRPr="00911210">
        <w:rPr>
          <w:rFonts w:ascii="Arial" w:hAnsi="Arial" w:cs="Arial"/>
        </w:rPr>
        <w:t xml:space="preserve"> </w:t>
      </w:r>
      <w:r w:rsidR="005D12D9">
        <w:rPr>
          <w:rFonts w:ascii="Arial" w:hAnsi="Arial" w:cs="Arial"/>
        </w:rPr>
        <w:t>to</w:t>
      </w:r>
      <w:r w:rsidRPr="00911210">
        <w:rPr>
          <w:rFonts w:ascii="Arial" w:hAnsi="Arial" w:cs="Arial"/>
        </w:rPr>
        <w:t xml:space="preserve"> fossil diesel.</w:t>
      </w:r>
    </w:p>
    <w:p w14:paraId="7F20F00E" w14:textId="77777777" w:rsidR="00790ADA" w:rsidRPr="00FB3A86" w:rsidRDefault="00790ADA" w:rsidP="00441B6F">
      <w:pPr>
        <w:pStyle w:val="Body"/>
        <w:spacing w:after="0"/>
        <w:rPr>
          <w:rFonts w:ascii="Arial" w:hAnsi="Arial" w:cs="Arial"/>
        </w:rPr>
      </w:pPr>
    </w:p>
    <w:p w14:paraId="2DA64C36" w14:textId="77777777" w:rsidR="007F7B32" w:rsidRDefault="00902823" w:rsidP="00441B6F">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s</w:t>
      </w:r>
    </w:p>
    <w:p w14:paraId="5FC688A9" w14:textId="77777777" w:rsidR="00790ADA" w:rsidRPr="00FB3A86" w:rsidRDefault="00790ADA" w:rsidP="00911210">
      <w:pPr>
        <w:pStyle w:val="AbstHead"/>
        <w:spacing w:after="0"/>
        <w:jc w:val="both"/>
        <w:rPr>
          <w:rFonts w:ascii="Arial" w:hAnsi="Arial" w:cs="Arial"/>
        </w:rPr>
      </w:pPr>
    </w:p>
    <w:p w14:paraId="5E759B73" w14:textId="77777777" w:rsidR="00911210" w:rsidRPr="009573EC" w:rsidRDefault="00911210" w:rsidP="00911210">
      <w:pPr>
        <w:contextualSpacing/>
        <w:jc w:val="both"/>
        <w:rPr>
          <w:rFonts w:ascii="Arial" w:hAnsi="Arial" w:cs="Arial"/>
          <w:b/>
        </w:rPr>
      </w:pPr>
      <w:r w:rsidRPr="009573EC">
        <w:rPr>
          <w:rFonts w:ascii="Arial" w:hAnsi="Arial" w:cs="Arial"/>
          <w:b/>
        </w:rPr>
        <w:t>2.1 Study Area</w:t>
      </w:r>
    </w:p>
    <w:p w14:paraId="60D985BC" w14:textId="77777777" w:rsidR="00911210" w:rsidRPr="009573EC" w:rsidRDefault="00911210" w:rsidP="00265A19">
      <w:pPr>
        <w:contextualSpacing/>
        <w:jc w:val="both"/>
        <w:rPr>
          <w:rFonts w:ascii="Arial" w:hAnsi="Arial" w:cs="Arial"/>
        </w:rPr>
      </w:pPr>
      <w:r w:rsidRPr="009573EC">
        <w:rPr>
          <w:rFonts w:ascii="Arial" w:hAnsi="Arial" w:cs="Arial"/>
        </w:rPr>
        <w:t xml:space="preserve">One palm oil mill in </w:t>
      </w:r>
      <w:proofErr w:type="spellStart"/>
      <w:r w:rsidRPr="009573EC">
        <w:rPr>
          <w:rFonts w:ascii="Arial" w:hAnsi="Arial" w:cs="Arial"/>
        </w:rPr>
        <w:t>Naze</w:t>
      </w:r>
      <w:proofErr w:type="spellEnd"/>
      <w:r w:rsidRPr="009573EC">
        <w:rPr>
          <w:rFonts w:ascii="Arial" w:hAnsi="Arial" w:cs="Arial"/>
        </w:rPr>
        <w:t xml:space="preserve"> and three in Ohaji were sites for samples collection. Their coordinates are as follow: 5°17'11.59" N 6°54'25.37" E for </w:t>
      </w:r>
      <w:proofErr w:type="spellStart"/>
      <w:r w:rsidRPr="009573EC">
        <w:rPr>
          <w:rFonts w:ascii="Arial" w:hAnsi="Arial" w:cs="Arial"/>
        </w:rPr>
        <w:t>Umuagwo</w:t>
      </w:r>
      <w:proofErr w:type="spellEnd"/>
      <w:r w:rsidRPr="009573EC">
        <w:rPr>
          <w:rFonts w:ascii="Arial" w:hAnsi="Arial" w:cs="Arial"/>
        </w:rPr>
        <w:t>; 5.4591° N, 6.8374° E for ADAPALM; 5.35826</w:t>
      </w:r>
      <w:r w:rsidRPr="009573EC">
        <w:rPr>
          <w:rFonts w:ascii="Arial" w:hAnsi="Arial" w:cs="Arial"/>
          <w:vertAlign w:val="superscript"/>
        </w:rPr>
        <w:t>o</w:t>
      </w:r>
      <w:r w:rsidRPr="009573EC">
        <w:rPr>
          <w:rFonts w:ascii="Arial" w:hAnsi="Arial" w:cs="Arial"/>
        </w:rPr>
        <w:t xml:space="preserve"> N and 6.91323</w:t>
      </w:r>
      <w:r w:rsidRPr="009573EC">
        <w:rPr>
          <w:rFonts w:ascii="Arial" w:hAnsi="Arial" w:cs="Arial"/>
          <w:vertAlign w:val="superscript"/>
        </w:rPr>
        <w:t>o</w:t>
      </w:r>
      <w:r w:rsidRPr="009573EC">
        <w:rPr>
          <w:rFonts w:ascii="Arial" w:hAnsi="Arial" w:cs="Arial"/>
        </w:rPr>
        <w:t xml:space="preserve"> E for </w:t>
      </w:r>
      <w:proofErr w:type="spellStart"/>
      <w:r w:rsidRPr="009573EC">
        <w:rPr>
          <w:rFonts w:ascii="Arial" w:hAnsi="Arial" w:cs="Arial"/>
        </w:rPr>
        <w:t>Umuokanne</w:t>
      </w:r>
      <w:proofErr w:type="spellEnd"/>
      <w:r w:rsidRPr="009573EC">
        <w:rPr>
          <w:rFonts w:ascii="Arial" w:hAnsi="Arial" w:cs="Arial"/>
        </w:rPr>
        <w:t xml:space="preserve">; and 5°27'34.3250'' N and 7°4'50.3685'' E for </w:t>
      </w:r>
      <w:proofErr w:type="spellStart"/>
      <w:r w:rsidRPr="009573EC">
        <w:rPr>
          <w:rFonts w:ascii="Arial" w:hAnsi="Arial" w:cs="Arial"/>
        </w:rPr>
        <w:t>Naze</w:t>
      </w:r>
      <w:proofErr w:type="spellEnd"/>
      <w:r w:rsidRPr="009573EC">
        <w:rPr>
          <w:rFonts w:ascii="Arial" w:hAnsi="Arial" w:cs="Arial"/>
        </w:rPr>
        <w:t xml:space="preserve"> [Google Maps®]. </w:t>
      </w:r>
      <w:proofErr w:type="spellStart"/>
      <w:r w:rsidRPr="009573EC">
        <w:rPr>
          <w:rFonts w:ascii="Arial" w:hAnsi="Arial" w:cs="Arial"/>
        </w:rPr>
        <w:t>Umuagwo</w:t>
      </w:r>
      <w:proofErr w:type="spellEnd"/>
      <w:r w:rsidRPr="009573EC">
        <w:rPr>
          <w:rFonts w:ascii="Arial" w:hAnsi="Arial" w:cs="Arial"/>
        </w:rPr>
        <w:t xml:space="preserve">, </w:t>
      </w:r>
      <w:proofErr w:type="spellStart"/>
      <w:r w:rsidRPr="009573EC">
        <w:rPr>
          <w:rFonts w:ascii="Arial" w:hAnsi="Arial" w:cs="Arial"/>
        </w:rPr>
        <w:t>Naze</w:t>
      </w:r>
      <w:proofErr w:type="spellEnd"/>
      <w:r w:rsidRPr="009573EC">
        <w:rPr>
          <w:rFonts w:ascii="Arial" w:hAnsi="Arial" w:cs="Arial"/>
        </w:rPr>
        <w:t xml:space="preserve"> and </w:t>
      </w:r>
      <w:proofErr w:type="spellStart"/>
      <w:r w:rsidRPr="009573EC">
        <w:rPr>
          <w:rFonts w:ascii="Arial" w:hAnsi="Arial" w:cs="Arial"/>
        </w:rPr>
        <w:t>Umuokanne</w:t>
      </w:r>
      <w:proofErr w:type="spellEnd"/>
      <w:r w:rsidRPr="009573EC">
        <w:rPr>
          <w:rFonts w:ascii="Arial" w:hAnsi="Arial" w:cs="Arial"/>
        </w:rPr>
        <w:t xml:space="preserve"> are sub-urban settlements in Imo State, Nigeria, which are renowned for their abundant biodiversity </w:t>
      </w:r>
      <w:r w:rsidR="00F8354D">
        <w:rPr>
          <w:rFonts w:ascii="Arial" w:hAnsi="Arial" w:cs="Arial"/>
        </w:rPr>
        <w:t>(</w:t>
      </w:r>
      <w:proofErr w:type="spellStart"/>
      <w:r w:rsidR="00F8354D" w:rsidRPr="00F8354D">
        <w:rPr>
          <w:rFonts w:ascii="Arial" w:hAnsi="Arial" w:cs="Arial"/>
        </w:rPr>
        <w:t>Egbuche</w:t>
      </w:r>
      <w:proofErr w:type="spellEnd"/>
      <w:r w:rsidR="00F8354D">
        <w:rPr>
          <w:rFonts w:ascii="Arial" w:hAnsi="Arial" w:cs="Arial"/>
        </w:rPr>
        <w:t xml:space="preserve"> et al., 2022)</w:t>
      </w:r>
      <w:r w:rsidRPr="009573EC">
        <w:rPr>
          <w:rFonts w:ascii="Arial" w:hAnsi="Arial" w:cs="Arial"/>
        </w:rPr>
        <w:t xml:space="preserve"> and substantial contribution to the State's oil palm industry. ADAPALM, also situated in Imo State, is a popular company in Nigeria's oil palm processing and research industry. It was established by the State Government and is located in the Ohaji region.</w:t>
      </w:r>
    </w:p>
    <w:p w14:paraId="13EC59E9" w14:textId="77777777" w:rsidR="00911210" w:rsidRPr="009573EC" w:rsidRDefault="00911210" w:rsidP="00911210">
      <w:pPr>
        <w:contextualSpacing/>
        <w:jc w:val="both"/>
        <w:rPr>
          <w:rFonts w:ascii="Arial" w:hAnsi="Arial" w:cs="Arial"/>
        </w:rPr>
      </w:pPr>
    </w:p>
    <w:p w14:paraId="6D420699" w14:textId="77777777" w:rsidR="00911210" w:rsidRPr="009573EC" w:rsidRDefault="00911210" w:rsidP="00911210">
      <w:pPr>
        <w:contextualSpacing/>
        <w:jc w:val="both"/>
        <w:rPr>
          <w:rFonts w:ascii="Arial" w:hAnsi="Arial" w:cs="Arial"/>
          <w:b/>
        </w:rPr>
      </w:pPr>
      <w:r w:rsidRPr="009573EC">
        <w:rPr>
          <w:rFonts w:ascii="Arial" w:hAnsi="Arial" w:cs="Arial"/>
          <w:b/>
        </w:rPr>
        <w:t>2.2 Collection of POME Sample</w:t>
      </w:r>
    </w:p>
    <w:p w14:paraId="19041C50" w14:textId="77777777" w:rsidR="00911210" w:rsidRPr="009573EC" w:rsidRDefault="00911210" w:rsidP="00265A19">
      <w:pPr>
        <w:contextualSpacing/>
        <w:jc w:val="both"/>
        <w:rPr>
          <w:rFonts w:ascii="Arial" w:hAnsi="Arial" w:cs="Arial"/>
        </w:rPr>
      </w:pPr>
      <w:r w:rsidRPr="009573EC">
        <w:rPr>
          <w:rFonts w:ascii="Arial" w:hAnsi="Arial" w:cs="Arial"/>
        </w:rPr>
        <w:t xml:space="preserve">The collection of </w:t>
      </w:r>
      <w:r w:rsidR="00C56479">
        <w:rPr>
          <w:rFonts w:ascii="Arial" w:hAnsi="Arial" w:cs="Arial"/>
        </w:rPr>
        <w:t>POME</w:t>
      </w:r>
      <w:r w:rsidRPr="009573EC">
        <w:rPr>
          <w:rFonts w:ascii="Arial" w:hAnsi="Arial" w:cs="Arial"/>
        </w:rPr>
        <w:t xml:space="preserve"> samples from popular palm oil mills in </w:t>
      </w:r>
      <w:proofErr w:type="spellStart"/>
      <w:r w:rsidRPr="009573EC">
        <w:rPr>
          <w:rFonts w:ascii="Arial" w:hAnsi="Arial" w:cs="Arial"/>
        </w:rPr>
        <w:t>Naze</w:t>
      </w:r>
      <w:proofErr w:type="spellEnd"/>
      <w:r w:rsidRPr="009573EC">
        <w:rPr>
          <w:rFonts w:ascii="Arial" w:hAnsi="Arial" w:cs="Arial"/>
        </w:rPr>
        <w:t xml:space="preserve">, </w:t>
      </w:r>
      <w:proofErr w:type="spellStart"/>
      <w:r w:rsidRPr="009573EC">
        <w:rPr>
          <w:rFonts w:ascii="Arial" w:hAnsi="Arial" w:cs="Arial"/>
        </w:rPr>
        <w:t>Umuagwo</w:t>
      </w:r>
      <w:proofErr w:type="spellEnd"/>
      <w:r w:rsidRPr="009573EC">
        <w:rPr>
          <w:rFonts w:ascii="Arial" w:hAnsi="Arial" w:cs="Arial"/>
        </w:rPr>
        <w:t xml:space="preserve">, ADAPALM and </w:t>
      </w:r>
      <w:proofErr w:type="spellStart"/>
      <w:r w:rsidRPr="009573EC">
        <w:rPr>
          <w:rFonts w:ascii="Arial" w:hAnsi="Arial" w:cs="Arial"/>
        </w:rPr>
        <w:t>Umuokanne</w:t>
      </w:r>
      <w:proofErr w:type="spellEnd"/>
      <w:r w:rsidRPr="009573EC">
        <w:rPr>
          <w:rFonts w:ascii="Arial" w:hAnsi="Arial" w:cs="Arial"/>
        </w:rPr>
        <w:t xml:space="preserve">, was aseptically done following a modified version of the procedure </w:t>
      </w:r>
      <w:r w:rsidR="00544656">
        <w:rPr>
          <w:rFonts w:ascii="Arial" w:hAnsi="Arial" w:cs="Arial"/>
        </w:rPr>
        <w:t>specifi</w:t>
      </w:r>
      <w:r w:rsidRPr="009573EC">
        <w:rPr>
          <w:rFonts w:ascii="Arial" w:hAnsi="Arial" w:cs="Arial"/>
        </w:rPr>
        <w:t xml:space="preserve">ed by </w:t>
      </w:r>
      <w:proofErr w:type="spellStart"/>
      <w:r w:rsidRPr="009573EC">
        <w:rPr>
          <w:rFonts w:ascii="Arial" w:hAnsi="Arial" w:cs="Arial"/>
        </w:rPr>
        <w:t>Opurum</w:t>
      </w:r>
      <w:proofErr w:type="spellEnd"/>
      <w:r w:rsidRPr="00F8354D">
        <w:rPr>
          <w:rFonts w:ascii="Arial" w:hAnsi="Arial" w:cs="Arial"/>
        </w:rPr>
        <w:t xml:space="preserve"> et al. </w:t>
      </w:r>
      <w:r w:rsidR="00F8354D">
        <w:rPr>
          <w:rFonts w:ascii="Arial" w:hAnsi="Arial" w:cs="Arial"/>
        </w:rPr>
        <w:t>(2017)</w:t>
      </w:r>
      <w:r w:rsidRPr="009573EC">
        <w:rPr>
          <w:rFonts w:ascii="Arial" w:hAnsi="Arial" w:cs="Arial"/>
        </w:rPr>
        <w:t xml:space="preserve">.  Each POME sample was put into a surface-sterilized five liter container, placed in icebox and taken to the laboratory, where they were stored at 4 </w:t>
      </w:r>
      <w:proofErr w:type="spellStart"/>
      <w:r w:rsidRPr="009573EC">
        <w:rPr>
          <w:rFonts w:ascii="Arial" w:hAnsi="Arial" w:cs="Arial"/>
          <w:vertAlign w:val="superscript"/>
        </w:rPr>
        <w:t>o</w:t>
      </w:r>
      <w:r w:rsidRPr="009573EC">
        <w:rPr>
          <w:rFonts w:ascii="Arial" w:hAnsi="Arial" w:cs="Arial"/>
        </w:rPr>
        <w:t>C</w:t>
      </w:r>
      <w:proofErr w:type="spellEnd"/>
      <w:r w:rsidRPr="009573EC">
        <w:rPr>
          <w:rFonts w:ascii="Arial" w:hAnsi="Arial" w:cs="Arial"/>
        </w:rPr>
        <w:t xml:space="preserve"> until analyzed. Prior to analyses, the POME samples from different locations were mixed and thoroughly homogenized for uniformity.</w:t>
      </w:r>
    </w:p>
    <w:p w14:paraId="4DBEDEEF" w14:textId="77777777" w:rsidR="00911210" w:rsidRPr="009573EC" w:rsidRDefault="00911210" w:rsidP="00911210">
      <w:pPr>
        <w:contextualSpacing/>
        <w:jc w:val="both"/>
        <w:rPr>
          <w:rFonts w:ascii="Arial" w:hAnsi="Arial" w:cs="Arial"/>
        </w:rPr>
      </w:pPr>
    </w:p>
    <w:p w14:paraId="2E7B67AB" w14:textId="77777777" w:rsidR="00911210" w:rsidRPr="009573EC" w:rsidRDefault="00911210" w:rsidP="00911210">
      <w:pPr>
        <w:contextualSpacing/>
        <w:jc w:val="both"/>
        <w:rPr>
          <w:rFonts w:ascii="Arial" w:hAnsi="Arial" w:cs="Arial"/>
        </w:rPr>
      </w:pPr>
      <w:r w:rsidRPr="009573EC">
        <w:rPr>
          <w:rFonts w:ascii="Arial" w:hAnsi="Arial" w:cs="Arial"/>
          <w:b/>
        </w:rPr>
        <w:t xml:space="preserve">2.3 Isolation and Enumeration of </w:t>
      </w:r>
      <w:r w:rsidRPr="009573EC">
        <w:rPr>
          <w:rFonts w:ascii="Arial" w:hAnsi="Arial" w:cs="Arial"/>
          <w:b/>
          <w:i/>
        </w:rPr>
        <w:t xml:space="preserve">C. albicans </w:t>
      </w:r>
      <w:r w:rsidRPr="009573EC">
        <w:rPr>
          <w:rFonts w:ascii="Arial" w:hAnsi="Arial" w:cs="Arial"/>
          <w:b/>
        </w:rPr>
        <w:t xml:space="preserve">and </w:t>
      </w:r>
      <w:r w:rsidRPr="009573EC">
        <w:rPr>
          <w:rFonts w:ascii="Arial" w:hAnsi="Arial" w:cs="Arial"/>
          <w:b/>
          <w:i/>
        </w:rPr>
        <w:t>Pseudomonas aeruginosa</w:t>
      </w:r>
    </w:p>
    <w:p w14:paraId="4F44D3BA" w14:textId="1230024D" w:rsidR="00911210" w:rsidRPr="009573EC" w:rsidRDefault="00911210" w:rsidP="00265A19">
      <w:pPr>
        <w:contextualSpacing/>
        <w:jc w:val="both"/>
        <w:rPr>
          <w:rFonts w:ascii="Arial" w:hAnsi="Arial" w:cs="Arial"/>
        </w:rPr>
      </w:pPr>
      <w:r w:rsidRPr="009573EC">
        <w:rPr>
          <w:rFonts w:ascii="Arial" w:hAnsi="Arial" w:cs="Arial"/>
        </w:rPr>
        <w:t>In a 20 ml sterilized test tube, 9 ml of sterilized physiological saline was used to serially dilute 1 ml of the mixed POME sample. Serial dilution (10-fold, v/v) of the mixed POME sample was prepared following thorough agitation. Next, 0.1 ml of 10</w:t>
      </w:r>
      <w:r w:rsidRPr="009573EC">
        <w:rPr>
          <w:rFonts w:ascii="Arial" w:hAnsi="Arial" w:cs="Arial"/>
          <w:vertAlign w:val="superscript"/>
        </w:rPr>
        <w:t>-3</w:t>
      </w:r>
      <w:r w:rsidRPr="009573EC">
        <w:rPr>
          <w:rFonts w:ascii="Arial" w:hAnsi="Arial" w:cs="Arial"/>
        </w:rPr>
        <w:t xml:space="preserve"> and 10</w:t>
      </w:r>
      <w:r w:rsidRPr="009573EC">
        <w:rPr>
          <w:rFonts w:ascii="Arial" w:hAnsi="Arial" w:cs="Arial"/>
          <w:vertAlign w:val="superscript"/>
        </w:rPr>
        <w:t>-7</w:t>
      </w:r>
      <w:r w:rsidRPr="009573EC">
        <w:rPr>
          <w:rFonts w:ascii="Arial" w:hAnsi="Arial" w:cs="Arial"/>
        </w:rPr>
        <w:t xml:space="preserve"> dilutions were separately spread onto sterile Cetrimide agar used for </w:t>
      </w:r>
      <w:r w:rsidRPr="009573EC">
        <w:rPr>
          <w:rFonts w:ascii="Arial" w:hAnsi="Arial" w:cs="Arial"/>
          <w:i/>
        </w:rPr>
        <w:t>Pseudomonas aeruginosa</w:t>
      </w:r>
      <w:r w:rsidRPr="009573EC">
        <w:rPr>
          <w:rFonts w:ascii="Arial" w:hAnsi="Arial" w:cs="Arial"/>
        </w:rPr>
        <w:t xml:space="preserve"> isolation and enumeration </w:t>
      </w:r>
      <w:r w:rsidR="001C3005">
        <w:rPr>
          <w:rFonts w:ascii="Arial" w:hAnsi="Arial" w:cs="Arial"/>
        </w:rPr>
        <w:t>(</w:t>
      </w:r>
      <w:r w:rsidR="00356247">
        <w:rPr>
          <w:rFonts w:ascii="Arial" w:hAnsi="Arial" w:cs="Arial"/>
        </w:rPr>
        <w:t>Yilmaz, 2017)</w:t>
      </w:r>
      <w:r w:rsidRPr="009573EC">
        <w:rPr>
          <w:rFonts w:ascii="Arial" w:hAnsi="Arial" w:cs="Arial"/>
        </w:rPr>
        <w:t xml:space="preserve"> </w:t>
      </w:r>
      <w:r w:rsidR="00FB36C2">
        <w:rPr>
          <w:rFonts w:ascii="Arial" w:hAnsi="Arial" w:cs="Arial"/>
        </w:rPr>
        <w:t>as well as</w:t>
      </w:r>
      <w:r w:rsidRPr="009573EC">
        <w:rPr>
          <w:rFonts w:ascii="Arial" w:hAnsi="Arial" w:cs="Arial"/>
        </w:rPr>
        <w:t xml:space="preserve"> SDA</w:t>
      </w:r>
      <w:r w:rsidR="00FB36C2">
        <w:rPr>
          <w:rFonts w:ascii="Arial" w:hAnsi="Arial" w:cs="Arial"/>
        </w:rPr>
        <w:t xml:space="preserve"> and </w:t>
      </w:r>
      <w:proofErr w:type="spellStart"/>
      <w:r w:rsidR="00FB36C2" w:rsidRPr="009573EC">
        <w:rPr>
          <w:rFonts w:ascii="Arial" w:hAnsi="Arial" w:cs="Arial"/>
        </w:rPr>
        <w:t>CHROMagar</w:t>
      </w:r>
      <w:proofErr w:type="spellEnd"/>
      <w:r w:rsidR="00FB36C2" w:rsidRPr="009573EC">
        <w:rPr>
          <w:rFonts w:ascii="Arial" w:hAnsi="Arial" w:cs="Arial"/>
        </w:rPr>
        <w:t xml:space="preserve"> </w:t>
      </w:r>
      <w:r w:rsidR="00FB36C2" w:rsidRPr="009573EC">
        <w:rPr>
          <w:rFonts w:ascii="Arial" w:hAnsi="Arial" w:cs="Arial"/>
          <w:i/>
        </w:rPr>
        <w:t>Candida</w:t>
      </w:r>
      <w:r w:rsidR="00FB36C2" w:rsidRPr="009573EC">
        <w:rPr>
          <w:rFonts w:ascii="Arial" w:hAnsi="Arial" w:cs="Arial"/>
        </w:rPr>
        <w:t xml:space="preserve"> </w:t>
      </w:r>
      <w:r w:rsidR="00FB36C2">
        <w:rPr>
          <w:rFonts w:ascii="Arial" w:hAnsi="Arial" w:cs="Arial"/>
        </w:rPr>
        <w:t>(</w:t>
      </w:r>
      <w:proofErr w:type="spellStart"/>
      <w:r w:rsidR="00EB7390">
        <w:rPr>
          <w:rFonts w:ascii="Arial" w:hAnsi="Arial" w:cs="Arial"/>
        </w:rPr>
        <w:t>Amita</w:t>
      </w:r>
      <w:proofErr w:type="spellEnd"/>
      <w:r w:rsidR="00EB7390">
        <w:rPr>
          <w:rFonts w:ascii="Arial" w:hAnsi="Arial" w:cs="Arial"/>
        </w:rPr>
        <w:t xml:space="preserve"> &amp; </w:t>
      </w:r>
      <w:proofErr w:type="spellStart"/>
      <w:r w:rsidR="00EB7390">
        <w:rPr>
          <w:rFonts w:ascii="Arial" w:hAnsi="Arial" w:cs="Arial"/>
        </w:rPr>
        <w:t>Naimshree</w:t>
      </w:r>
      <w:proofErr w:type="spellEnd"/>
      <w:r w:rsidR="001B1D29">
        <w:rPr>
          <w:rFonts w:ascii="Arial" w:hAnsi="Arial" w:cs="Arial"/>
        </w:rPr>
        <w:t>,</w:t>
      </w:r>
      <w:r w:rsidR="00EB7390">
        <w:rPr>
          <w:rFonts w:ascii="Arial" w:hAnsi="Arial" w:cs="Arial"/>
        </w:rPr>
        <w:t xml:space="preserve"> </w:t>
      </w:r>
      <w:r w:rsidR="00EB7390" w:rsidRPr="00EB7390">
        <w:rPr>
          <w:rFonts w:ascii="Arial" w:hAnsi="Arial" w:cs="Arial"/>
        </w:rPr>
        <w:t>2020)</w:t>
      </w:r>
      <w:r w:rsidRPr="009573EC">
        <w:rPr>
          <w:rFonts w:ascii="Arial" w:hAnsi="Arial" w:cs="Arial"/>
        </w:rPr>
        <w:t xml:space="preserve"> used for isolation and enumeration</w:t>
      </w:r>
      <w:r w:rsidR="00963D01">
        <w:rPr>
          <w:rFonts w:ascii="Arial" w:hAnsi="Arial" w:cs="Arial"/>
        </w:rPr>
        <w:t xml:space="preserve"> of </w:t>
      </w:r>
      <w:r w:rsidR="00963D01" w:rsidRPr="009573EC">
        <w:rPr>
          <w:rFonts w:ascii="Arial" w:hAnsi="Arial" w:cs="Arial"/>
          <w:i/>
        </w:rPr>
        <w:t>Candida albicans</w:t>
      </w:r>
      <w:r w:rsidRPr="009573EC">
        <w:rPr>
          <w:rFonts w:ascii="Arial" w:hAnsi="Arial" w:cs="Arial"/>
        </w:rPr>
        <w:t xml:space="preserve">. Then the inoculated </w:t>
      </w:r>
      <w:proofErr w:type="spellStart"/>
      <w:r w:rsidRPr="009573EC">
        <w:rPr>
          <w:rFonts w:ascii="Arial" w:hAnsi="Arial" w:cs="Arial"/>
        </w:rPr>
        <w:t>CHROMagar</w:t>
      </w:r>
      <w:proofErr w:type="spellEnd"/>
      <w:r w:rsidRPr="009573EC">
        <w:rPr>
          <w:rFonts w:ascii="Arial" w:hAnsi="Arial" w:cs="Arial"/>
        </w:rPr>
        <w:t xml:space="preserve"> </w:t>
      </w:r>
      <w:r w:rsidRPr="009573EC">
        <w:rPr>
          <w:rFonts w:ascii="Arial" w:hAnsi="Arial" w:cs="Arial"/>
          <w:i/>
        </w:rPr>
        <w:t>Candida</w:t>
      </w:r>
      <w:r w:rsidRPr="009573EC">
        <w:rPr>
          <w:rFonts w:ascii="Arial" w:hAnsi="Arial" w:cs="Arial"/>
        </w:rPr>
        <w:t xml:space="preserve">/SDA plates were incubated for 72 h, while cetrimide agar for 24 h at 28±2 </w:t>
      </w:r>
      <w:proofErr w:type="spellStart"/>
      <w:r w:rsidRPr="009573EC">
        <w:rPr>
          <w:rFonts w:ascii="Arial" w:hAnsi="Arial" w:cs="Arial"/>
          <w:vertAlign w:val="superscript"/>
        </w:rPr>
        <w:t>o</w:t>
      </w:r>
      <w:r w:rsidRPr="009573EC">
        <w:rPr>
          <w:rFonts w:ascii="Arial" w:hAnsi="Arial" w:cs="Arial"/>
        </w:rPr>
        <w:t>C.</w:t>
      </w:r>
      <w:proofErr w:type="spellEnd"/>
    </w:p>
    <w:p w14:paraId="1E7B60C9" w14:textId="77777777" w:rsidR="00911210" w:rsidRPr="009573EC" w:rsidRDefault="00911210" w:rsidP="00911210">
      <w:pPr>
        <w:contextualSpacing/>
        <w:jc w:val="both"/>
        <w:rPr>
          <w:rFonts w:ascii="Arial" w:hAnsi="Arial" w:cs="Arial"/>
          <w:b/>
        </w:rPr>
      </w:pPr>
    </w:p>
    <w:p w14:paraId="7E3CCD2B" w14:textId="77777777" w:rsidR="00911210" w:rsidRPr="009573EC" w:rsidRDefault="00911210" w:rsidP="00911210">
      <w:pPr>
        <w:contextualSpacing/>
        <w:jc w:val="both"/>
        <w:rPr>
          <w:rFonts w:ascii="Arial" w:hAnsi="Arial" w:cs="Arial"/>
          <w:b/>
        </w:rPr>
      </w:pPr>
      <w:r w:rsidRPr="009573EC">
        <w:rPr>
          <w:rFonts w:ascii="Arial" w:hAnsi="Arial" w:cs="Arial"/>
          <w:b/>
        </w:rPr>
        <w:t xml:space="preserve">2.4 Determination of Lipolytic Activities of </w:t>
      </w:r>
      <w:r w:rsidRPr="009573EC">
        <w:rPr>
          <w:rFonts w:ascii="Arial" w:hAnsi="Arial" w:cs="Arial"/>
          <w:b/>
          <w:i/>
        </w:rPr>
        <w:t xml:space="preserve">Candida albicans </w:t>
      </w:r>
      <w:r w:rsidRPr="009573EC">
        <w:rPr>
          <w:rFonts w:ascii="Arial" w:hAnsi="Arial" w:cs="Arial"/>
          <w:b/>
        </w:rPr>
        <w:t xml:space="preserve">and </w:t>
      </w:r>
      <w:r w:rsidRPr="009573EC">
        <w:rPr>
          <w:rFonts w:ascii="Arial" w:hAnsi="Arial" w:cs="Arial"/>
          <w:b/>
          <w:i/>
        </w:rPr>
        <w:t>Pseudomonas aeruginosa</w:t>
      </w:r>
    </w:p>
    <w:p w14:paraId="7D97D5C4" w14:textId="62A9C91A" w:rsidR="00911210" w:rsidRPr="009573EC" w:rsidRDefault="00911210" w:rsidP="00265A19">
      <w:pPr>
        <w:contextualSpacing/>
        <w:jc w:val="both"/>
        <w:rPr>
          <w:rFonts w:ascii="Arial" w:hAnsi="Arial" w:cs="Arial"/>
        </w:rPr>
      </w:pPr>
      <w:r w:rsidRPr="009573EC">
        <w:rPr>
          <w:rFonts w:ascii="Arial" w:hAnsi="Arial" w:cs="Arial"/>
        </w:rPr>
        <w:t xml:space="preserve">Following the method of </w:t>
      </w:r>
      <w:r w:rsidR="009D3AA3" w:rsidRPr="002A6881">
        <w:rPr>
          <w:rFonts w:ascii="Arial" w:hAnsi="Arial" w:cs="Arial"/>
        </w:rPr>
        <w:t>Ansar</w:t>
      </w:r>
      <w:r w:rsidR="009D3AA3" w:rsidRPr="00254F1B">
        <w:rPr>
          <w:rFonts w:ascii="Arial" w:hAnsi="Arial" w:cs="Arial"/>
        </w:rPr>
        <w:t xml:space="preserve"> et al. </w:t>
      </w:r>
      <w:r w:rsidR="009D3AA3">
        <w:rPr>
          <w:rFonts w:ascii="Arial" w:hAnsi="Arial" w:cs="Arial"/>
        </w:rPr>
        <w:t>(2025)</w:t>
      </w:r>
      <w:r w:rsidRPr="009573EC">
        <w:rPr>
          <w:rFonts w:ascii="Arial" w:hAnsi="Arial" w:cs="Arial"/>
        </w:rPr>
        <w:t xml:space="preserve"> with some adjustments, the </w:t>
      </w:r>
      <w:r w:rsidRPr="009573EC">
        <w:rPr>
          <w:rFonts w:ascii="Arial" w:hAnsi="Arial" w:cs="Arial"/>
          <w:i/>
        </w:rPr>
        <w:t xml:space="preserve">Candida albicans </w:t>
      </w:r>
      <w:r w:rsidRPr="009573EC">
        <w:rPr>
          <w:rFonts w:ascii="Arial" w:hAnsi="Arial" w:cs="Arial"/>
        </w:rPr>
        <w:t xml:space="preserve">isolated with </w:t>
      </w:r>
      <w:proofErr w:type="spellStart"/>
      <w:r w:rsidRPr="009573EC">
        <w:rPr>
          <w:rFonts w:ascii="Arial" w:hAnsi="Arial" w:cs="Arial"/>
        </w:rPr>
        <w:t>CHROMagar</w:t>
      </w:r>
      <w:proofErr w:type="spellEnd"/>
      <w:r w:rsidRPr="009573EC">
        <w:rPr>
          <w:rFonts w:ascii="Arial" w:hAnsi="Arial" w:cs="Arial"/>
        </w:rPr>
        <w:t xml:space="preserve"> </w:t>
      </w:r>
      <w:r w:rsidRPr="009573EC">
        <w:rPr>
          <w:rFonts w:ascii="Arial" w:hAnsi="Arial" w:cs="Arial"/>
          <w:i/>
        </w:rPr>
        <w:t>Candida/</w:t>
      </w:r>
      <w:r w:rsidRPr="009573EC">
        <w:rPr>
          <w:rFonts w:ascii="Arial" w:hAnsi="Arial" w:cs="Arial"/>
        </w:rPr>
        <w:t xml:space="preserve">SDA and </w:t>
      </w:r>
      <w:r w:rsidRPr="009573EC">
        <w:rPr>
          <w:rFonts w:ascii="Arial" w:hAnsi="Arial" w:cs="Arial"/>
          <w:i/>
        </w:rPr>
        <w:t>Pseudomonas aeruginosa</w:t>
      </w:r>
      <w:r w:rsidRPr="009573EC">
        <w:rPr>
          <w:rFonts w:ascii="Arial" w:hAnsi="Arial" w:cs="Arial"/>
        </w:rPr>
        <w:t xml:space="preserve"> isolated using Cetrimide agar were evaluated for lipase synthesis using Tween-80 as the lipid source. The bacterial and yeast samples were incubated for 24 and 48 h, respectively.</w:t>
      </w:r>
    </w:p>
    <w:p w14:paraId="44F0B6D1" w14:textId="77777777" w:rsidR="00911210" w:rsidRPr="009573EC" w:rsidRDefault="00911210" w:rsidP="00911210">
      <w:pPr>
        <w:contextualSpacing/>
        <w:jc w:val="both"/>
        <w:rPr>
          <w:rFonts w:ascii="Arial" w:hAnsi="Arial" w:cs="Arial"/>
        </w:rPr>
      </w:pPr>
    </w:p>
    <w:p w14:paraId="61A23814" w14:textId="77777777" w:rsidR="00911210" w:rsidRPr="009573EC" w:rsidRDefault="00911210" w:rsidP="00911210">
      <w:pPr>
        <w:contextualSpacing/>
        <w:jc w:val="both"/>
        <w:rPr>
          <w:rFonts w:ascii="Arial" w:hAnsi="Arial" w:cs="Arial"/>
          <w:b/>
        </w:rPr>
      </w:pPr>
      <w:r w:rsidRPr="009573EC">
        <w:rPr>
          <w:rFonts w:ascii="Arial" w:hAnsi="Arial" w:cs="Arial"/>
          <w:b/>
        </w:rPr>
        <w:t xml:space="preserve">2.5 Molecular Characterization of Lipolytic </w:t>
      </w:r>
      <w:r w:rsidRPr="009573EC">
        <w:rPr>
          <w:rFonts w:ascii="Arial" w:hAnsi="Arial" w:cs="Arial"/>
          <w:b/>
          <w:i/>
        </w:rPr>
        <w:t xml:space="preserve">Pseudomonas </w:t>
      </w:r>
      <w:r w:rsidRPr="009573EC">
        <w:rPr>
          <w:rFonts w:ascii="Arial" w:hAnsi="Arial" w:cs="Arial"/>
          <w:b/>
        </w:rPr>
        <w:t xml:space="preserve">and </w:t>
      </w:r>
      <w:r w:rsidRPr="009573EC">
        <w:rPr>
          <w:rFonts w:ascii="Arial" w:hAnsi="Arial" w:cs="Arial"/>
          <w:b/>
          <w:i/>
        </w:rPr>
        <w:t>Candida</w:t>
      </w:r>
      <w:r w:rsidRPr="009573EC">
        <w:rPr>
          <w:rFonts w:ascii="Arial" w:hAnsi="Arial" w:cs="Arial"/>
          <w:b/>
        </w:rPr>
        <w:t xml:space="preserve"> spp.</w:t>
      </w:r>
    </w:p>
    <w:p w14:paraId="274E5466" w14:textId="77777777" w:rsidR="00911210" w:rsidRPr="009573EC" w:rsidRDefault="00911210" w:rsidP="00911210">
      <w:pPr>
        <w:contextualSpacing/>
        <w:jc w:val="both"/>
        <w:rPr>
          <w:rFonts w:ascii="Arial" w:hAnsi="Arial" w:cs="Arial"/>
        </w:rPr>
      </w:pPr>
    </w:p>
    <w:p w14:paraId="03088D92" w14:textId="77777777" w:rsidR="00911210" w:rsidRPr="009573EC" w:rsidRDefault="00911210" w:rsidP="00911210">
      <w:pPr>
        <w:contextualSpacing/>
        <w:jc w:val="both"/>
        <w:rPr>
          <w:rFonts w:ascii="Arial" w:hAnsi="Arial" w:cs="Arial"/>
          <w:b/>
          <w:i/>
        </w:rPr>
      </w:pPr>
      <w:r w:rsidRPr="009573EC">
        <w:rPr>
          <w:rFonts w:ascii="Arial" w:hAnsi="Arial" w:cs="Arial"/>
          <w:b/>
          <w:i/>
        </w:rPr>
        <w:t>2.5.1 Extraction of DNA</w:t>
      </w:r>
    </w:p>
    <w:p w14:paraId="7A2BDC92" w14:textId="77777777" w:rsidR="00911210" w:rsidRPr="009573EC" w:rsidRDefault="00911210" w:rsidP="00265A19">
      <w:pPr>
        <w:contextualSpacing/>
        <w:jc w:val="both"/>
        <w:rPr>
          <w:rFonts w:ascii="Arial" w:hAnsi="Arial" w:cs="Arial"/>
        </w:rPr>
      </w:pPr>
      <w:r w:rsidRPr="009573EC">
        <w:rPr>
          <w:rFonts w:ascii="Arial" w:hAnsi="Arial" w:cs="Arial"/>
        </w:rPr>
        <w:t xml:space="preserve">A ZR mini-prep extraction kit for bacterial/fungal DNA provided by </w:t>
      </w:r>
      <w:proofErr w:type="spellStart"/>
      <w:r w:rsidRPr="009573EC">
        <w:rPr>
          <w:rFonts w:ascii="Arial" w:hAnsi="Arial" w:cs="Arial"/>
        </w:rPr>
        <w:t>Inqaba</w:t>
      </w:r>
      <w:proofErr w:type="spellEnd"/>
      <w:r w:rsidRPr="009573EC">
        <w:rPr>
          <w:rFonts w:ascii="Arial" w:hAnsi="Arial" w:cs="Arial"/>
        </w:rPr>
        <w:t xml:space="preserve">, South Africa, was used to extract bacterial and fungi genomic DNA. In ZR Bashing Bead Lysis tubes, heavy growths of pure cultures of </w:t>
      </w:r>
      <w:r w:rsidRPr="009573EC">
        <w:rPr>
          <w:rFonts w:ascii="Arial" w:hAnsi="Arial" w:cs="Arial"/>
          <w:i/>
        </w:rPr>
        <w:t>Candida albicans</w:t>
      </w:r>
      <w:r w:rsidRPr="009573EC">
        <w:rPr>
          <w:rFonts w:ascii="Arial" w:hAnsi="Arial" w:cs="Arial"/>
        </w:rPr>
        <w:t xml:space="preserve"> and </w:t>
      </w:r>
      <w:r w:rsidRPr="009573EC">
        <w:rPr>
          <w:rFonts w:ascii="Arial" w:hAnsi="Arial" w:cs="Arial"/>
          <w:i/>
        </w:rPr>
        <w:t>Pseudomonas aeruginosa</w:t>
      </w:r>
      <w:r w:rsidRPr="009573EC">
        <w:rPr>
          <w:rFonts w:ascii="Arial" w:hAnsi="Arial" w:cs="Arial"/>
        </w:rPr>
        <w:t xml:space="preserve"> were suspended separately in 200 µl of isotonic buffer. The tubes were then sealed in a bead beater equipped with a 2 ml tube holder assembly after 750 µl of lysis solution had been added. They were processed at the maximum speed for 5 min. Then the ZR bashing bead lysis tubes were centrifuged for 1 min at 10,000 rpm </w:t>
      </w:r>
      <w:r w:rsidR="00254F1B">
        <w:rPr>
          <w:rFonts w:ascii="Arial" w:hAnsi="Arial" w:cs="Arial"/>
        </w:rPr>
        <w:t>(</w:t>
      </w:r>
      <w:r w:rsidR="00254F1B" w:rsidRPr="00254F1B">
        <w:rPr>
          <w:rFonts w:ascii="Arial" w:hAnsi="Arial" w:cs="Arial"/>
        </w:rPr>
        <w:t>ZYMO Research</w:t>
      </w:r>
      <w:r w:rsidR="00254F1B">
        <w:rPr>
          <w:rFonts w:ascii="Arial" w:hAnsi="Arial" w:cs="Arial"/>
        </w:rPr>
        <w:t>,</w:t>
      </w:r>
      <w:r w:rsidR="00254F1B" w:rsidRPr="00254F1B">
        <w:rPr>
          <w:rFonts w:ascii="Arial" w:hAnsi="Arial" w:cs="Arial"/>
        </w:rPr>
        <w:t xml:space="preserve"> 2021)</w:t>
      </w:r>
      <w:r w:rsidRPr="009573EC">
        <w:rPr>
          <w:rFonts w:ascii="Arial" w:hAnsi="Arial" w:cs="Arial"/>
        </w:rPr>
        <w:t>.</w:t>
      </w:r>
    </w:p>
    <w:p w14:paraId="7FB9D8A1" w14:textId="77777777" w:rsidR="00911210" w:rsidRPr="009573EC" w:rsidRDefault="00911210" w:rsidP="00911210">
      <w:pPr>
        <w:contextualSpacing/>
        <w:jc w:val="both"/>
        <w:rPr>
          <w:rFonts w:ascii="Arial" w:hAnsi="Arial" w:cs="Arial"/>
        </w:rPr>
      </w:pPr>
    </w:p>
    <w:p w14:paraId="17B8988B" w14:textId="77777777" w:rsidR="00911210" w:rsidRPr="009573EC" w:rsidRDefault="00911210" w:rsidP="00911210">
      <w:pPr>
        <w:contextualSpacing/>
        <w:jc w:val="both"/>
        <w:rPr>
          <w:rFonts w:ascii="Arial" w:hAnsi="Arial" w:cs="Arial"/>
          <w:b/>
          <w:i/>
        </w:rPr>
      </w:pPr>
      <w:r w:rsidRPr="009573EC">
        <w:rPr>
          <w:rFonts w:ascii="Arial" w:hAnsi="Arial" w:cs="Arial"/>
          <w:b/>
          <w:i/>
        </w:rPr>
        <w:t>2.5.2 Quantification of DNA</w:t>
      </w:r>
    </w:p>
    <w:p w14:paraId="1FC0D04F" w14:textId="77777777" w:rsidR="00911210" w:rsidRPr="009573EC" w:rsidRDefault="00911210" w:rsidP="00265A19">
      <w:pPr>
        <w:contextualSpacing/>
        <w:jc w:val="both"/>
        <w:rPr>
          <w:rFonts w:ascii="Arial" w:hAnsi="Arial" w:cs="Arial"/>
        </w:rPr>
      </w:pPr>
      <w:r w:rsidRPr="009573EC">
        <w:rPr>
          <w:rFonts w:ascii="Arial" w:hAnsi="Arial" w:cs="Arial"/>
        </w:rPr>
        <w:t xml:space="preserve">The quantification of genomic DNA extracted from </w:t>
      </w:r>
      <w:r w:rsidRPr="009573EC">
        <w:rPr>
          <w:rFonts w:ascii="Arial" w:hAnsi="Arial" w:cs="Arial"/>
          <w:i/>
        </w:rPr>
        <w:t>Candida albicans</w:t>
      </w:r>
      <w:r w:rsidRPr="009573EC">
        <w:rPr>
          <w:rFonts w:ascii="Arial" w:hAnsi="Arial" w:cs="Arial"/>
        </w:rPr>
        <w:t xml:space="preserve"> and </w:t>
      </w:r>
      <w:r w:rsidRPr="009573EC">
        <w:rPr>
          <w:rFonts w:ascii="Arial" w:hAnsi="Arial" w:cs="Arial"/>
          <w:i/>
        </w:rPr>
        <w:t>Pseudomonas aeruginosa</w:t>
      </w:r>
      <w:r w:rsidRPr="009573EC">
        <w:rPr>
          <w:rFonts w:ascii="Arial" w:hAnsi="Arial" w:cs="Arial"/>
        </w:rPr>
        <w:t xml:space="preserve"> was done using Nanodrop 1000 Spectrophotometer. After launching the Nanodrop’s software, sterile distilled water (2 µl) was used for initialization of the equipment, </w:t>
      </w:r>
      <w:r w:rsidRPr="009573EC">
        <w:rPr>
          <w:rFonts w:ascii="Arial" w:hAnsi="Arial" w:cs="Arial"/>
        </w:rPr>
        <w:lastRenderedPageBreak/>
        <w:t xml:space="preserve">while blanking was done with normal saline. The bottom pedestal was loaded with the extracted DNA (2 µl), and the upper pedestal was lowered until it made contact with the extracted DNA. The measurement of the concentration of DNA was done by clicking the "measure" button </w:t>
      </w:r>
      <w:r w:rsidR="004E52C7">
        <w:rPr>
          <w:rFonts w:ascii="Arial" w:hAnsi="Arial" w:cs="Arial"/>
        </w:rPr>
        <w:t>(</w:t>
      </w:r>
      <w:proofErr w:type="spellStart"/>
      <w:r w:rsidR="004E52C7" w:rsidRPr="004E52C7">
        <w:rPr>
          <w:rFonts w:ascii="Arial" w:hAnsi="Arial" w:cs="Arial"/>
        </w:rPr>
        <w:t>Bunu</w:t>
      </w:r>
      <w:proofErr w:type="spellEnd"/>
      <w:r w:rsidR="004E52C7">
        <w:rPr>
          <w:rFonts w:ascii="Arial" w:hAnsi="Arial" w:cs="Arial"/>
        </w:rPr>
        <w:t xml:space="preserve"> et al., 2020)</w:t>
      </w:r>
      <w:r w:rsidRPr="009573EC">
        <w:rPr>
          <w:rFonts w:ascii="Arial" w:hAnsi="Arial" w:cs="Arial"/>
        </w:rPr>
        <w:t>.</w:t>
      </w:r>
    </w:p>
    <w:p w14:paraId="430428F0" w14:textId="77777777" w:rsidR="00911210" w:rsidRPr="009573EC" w:rsidRDefault="00911210" w:rsidP="00911210">
      <w:pPr>
        <w:contextualSpacing/>
        <w:jc w:val="both"/>
        <w:rPr>
          <w:rFonts w:ascii="Arial" w:hAnsi="Arial" w:cs="Arial"/>
        </w:rPr>
      </w:pPr>
    </w:p>
    <w:p w14:paraId="11A3488C" w14:textId="77777777" w:rsidR="00911210" w:rsidRPr="009573EC" w:rsidRDefault="00911210" w:rsidP="00911210">
      <w:pPr>
        <w:contextualSpacing/>
        <w:jc w:val="both"/>
        <w:rPr>
          <w:rFonts w:ascii="Arial" w:hAnsi="Arial" w:cs="Arial"/>
          <w:b/>
          <w:i/>
        </w:rPr>
      </w:pPr>
      <w:r w:rsidRPr="009573EC">
        <w:rPr>
          <w:rFonts w:ascii="Arial" w:hAnsi="Arial" w:cs="Arial"/>
          <w:b/>
          <w:i/>
        </w:rPr>
        <w:t>2.5.3 Amplification of bacterial 16S rRNA and fungal ITS genes</w:t>
      </w:r>
    </w:p>
    <w:p w14:paraId="4022CFAB" w14:textId="5957F612" w:rsidR="00911210" w:rsidRPr="009573EC" w:rsidRDefault="00911210" w:rsidP="00265A19">
      <w:pPr>
        <w:contextualSpacing/>
        <w:jc w:val="both"/>
        <w:rPr>
          <w:rFonts w:ascii="Arial" w:hAnsi="Arial" w:cs="Arial"/>
        </w:rPr>
      </w:pPr>
      <w:r w:rsidRPr="009573EC">
        <w:rPr>
          <w:rFonts w:ascii="Arial" w:hAnsi="Arial" w:cs="Arial"/>
        </w:rPr>
        <w:t>The 27F: 5'-AGAGTTTGATCMTGGCTCAG-3' and 1492R: 5'-CGGTTACCTTGTTACGACTT-3' primers were used for amplification of the bacterial 16S rRNA gene. The ITS1F: 5'-CTTGGTCATTTAGAGGAAGTAA-3' and ITS4: 5'-TCCTCCGCTTATTGATATGC-3' primers were used to amplify the internal transcribed spacer (ITS) region of the fungal isolate. In each case, the ABI 9700 Applied Biosystems thermal cycler at a final volume of 50 µl for 35 cycles was used. The PCR mix comprised the extracted DNA as a template, 0.4</w:t>
      </w:r>
      <w:r w:rsidR="00FD30DA">
        <w:rPr>
          <w:rFonts w:ascii="Arial" w:hAnsi="Arial" w:cs="Arial"/>
        </w:rPr>
        <w:t>µ</w:t>
      </w:r>
      <w:r w:rsidRPr="009573EC">
        <w:rPr>
          <w:rFonts w:ascii="Arial" w:hAnsi="Arial" w:cs="Arial"/>
        </w:rPr>
        <w:t xml:space="preserve">M primers. The X2 Dream Taq Master Mix provided by </w:t>
      </w:r>
      <w:proofErr w:type="spellStart"/>
      <w:r w:rsidRPr="009573EC">
        <w:rPr>
          <w:rFonts w:ascii="Arial" w:hAnsi="Arial" w:cs="Arial"/>
        </w:rPr>
        <w:t>Inqaba</w:t>
      </w:r>
      <w:proofErr w:type="spellEnd"/>
      <w:r w:rsidRPr="009573EC">
        <w:rPr>
          <w:rFonts w:ascii="Arial" w:hAnsi="Arial" w:cs="Arial"/>
        </w:rPr>
        <w:t xml:space="preserve">, South Africa, composed of DNTPs, </w:t>
      </w:r>
      <w:proofErr w:type="spellStart"/>
      <w:r w:rsidRPr="009573EC">
        <w:rPr>
          <w:rFonts w:ascii="Arial" w:hAnsi="Arial" w:cs="Arial"/>
        </w:rPr>
        <w:t>MgCl</w:t>
      </w:r>
      <w:proofErr w:type="spellEnd"/>
      <w:r w:rsidRPr="009573EC">
        <w:rPr>
          <w:rFonts w:ascii="Arial" w:hAnsi="Arial" w:cs="Arial"/>
        </w:rPr>
        <w:t xml:space="preserve">, and </w:t>
      </w:r>
      <w:proofErr w:type="spellStart"/>
      <w:r w:rsidRPr="009573EC">
        <w:rPr>
          <w:rFonts w:ascii="Arial" w:hAnsi="Arial" w:cs="Arial"/>
        </w:rPr>
        <w:t>Taq</w:t>
      </w:r>
      <w:proofErr w:type="spellEnd"/>
      <w:r w:rsidRPr="009573EC">
        <w:rPr>
          <w:rFonts w:ascii="Arial" w:hAnsi="Arial" w:cs="Arial"/>
        </w:rPr>
        <w:t xml:space="preserve"> polymerase. The following were the PCR conditions:</w:t>
      </w:r>
      <w:r w:rsidR="00275CC9">
        <w:rPr>
          <w:rFonts w:ascii="Arial" w:hAnsi="Arial" w:cs="Arial"/>
        </w:rPr>
        <w:t xml:space="preserve">  initial denaturation (5 min</w:t>
      </w:r>
      <w:r w:rsidRPr="009573EC">
        <w:rPr>
          <w:rFonts w:ascii="Arial" w:hAnsi="Arial" w:cs="Arial"/>
        </w:rPr>
        <w:t xml:space="preserve">) at 95 </w:t>
      </w:r>
      <w:proofErr w:type="spellStart"/>
      <w:r w:rsidRPr="009573EC">
        <w:rPr>
          <w:rFonts w:ascii="Arial" w:hAnsi="Arial" w:cs="Arial"/>
          <w:vertAlign w:val="superscript"/>
        </w:rPr>
        <w:t>o</w:t>
      </w:r>
      <w:r w:rsidR="00275CC9">
        <w:rPr>
          <w:rFonts w:ascii="Arial" w:hAnsi="Arial" w:cs="Arial"/>
        </w:rPr>
        <w:t>C</w:t>
      </w:r>
      <w:proofErr w:type="spellEnd"/>
      <w:r w:rsidR="00275CC9">
        <w:rPr>
          <w:rFonts w:ascii="Arial" w:hAnsi="Arial" w:cs="Arial"/>
        </w:rPr>
        <w:t>, denaturation (30 sec</w:t>
      </w:r>
      <w:r w:rsidRPr="009573EC">
        <w:rPr>
          <w:rFonts w:ascii="Arial" w:hAnsi="Arial" w:cs="Arial"/>
        </w:rPr>
        <w:t xml:space="preserve">) at 95 </w:t>
      </w:r>
      <w:proofErr w:type="spellStart"/>
      <w:r w:rsidRPr="009573EC">
        <w:rPr>
          <w:rFonts w:ascii="Arial" w:hAnsi="Arial" w:cs="Arial"/>
          <w:vertAlign w:val="superscript"/>
        </w:rPr>
        <w:t>o</w:t>
      </w:r>
      <w:r w:rsidR="00275CC9">
        <w:rPr>
          <w:rFonts w:ascii="Arial" w:hAnsi="Arial" w:cs="Arial"/>
        </w:rPr>
        <w:t>C</w:t>
      </w:r>
      <w:proofErr w:type="spellEnd"/>
      <w:r w:rsidR="00275CC9">
        <w:rPr>
          <w:rFonts w:ascii="Arial" w:hAnsi="Arial" w:cs="Arial"/>
        </w:rPr>
        <w:t>, annealing (30 sec</w:t>
      </w:r>
      <w:r w:rsidRPr="009573EC">
        <w:rPr>
          <w:rFonts w:ascii="Arial" w:hAnsi="Arial" w:cs="Arial"/>
        </w:rPr>
        <w:t xml:space="preserve">) at 52 </w:t>
      </w:r>
      <w:proofErr w:type="spellStart"/>
      <w:r w:rsidRPr="009573EC">
        <w:rPr>
          <w:rFonts w:ascii="Arial" w:hAnsi="Arial" w:cs="Arial"/>
          <w:vertAlign w:val="superscript"/>
        </w:rPr>
        <w:t>o</w:t>
      </w:r>
      <w:r w:rsidRPr="009573EC">
        <w:rPr>
          <w:rFonts w:ascii="Arial" w:hAnsi="Arial" w:cs="Arial"/>
        </w:rPr>
        <w:t>C</w:t>
      </w:r>
      <w:proofErr w:type="spellEnd"/>
      <w:r w:rsidRPr="009573EC">
        <w:rPr>
          <w:rFonts w:ascii="Arial" w:hAnsi="Arial" w:cs="Arial"/>
        </w:rPr>
        <w:t xml:space="preserve">, extension (30 sec) at 72 </w:t>
      </w:r>
      <w:proofErr w:type="spellStart"/>
      <w:r w:rsidRPr="009573EC">
        <w:rPr>
          <w:rFonts w:ascii="Arial" w:hAnsi="Arial" w:cs="Arial"/>
          <w:vertAlign w:val="superscript"/>
        </w:rPr>
        <w:t>o</w:t>
      </w:r>
      <w:r w:rsidRPr="009573EC">
        <w:rPr>
          <w:rFonts w:ascii="Arial" w:hAnsi="Arial" w:cs="Arial"/>
        </w:rPr>
        <w:t>C</w:t>
      </w:r>
      <w:proofErr w:type="spellEnd"/>
      <w:r w:rsidRPr="009573EC">
        <w:rPr>
          <w:rFonts w:ascii="Arial" w:hAnsi="Arial" w:cs="Arial"/>
        </w:rPr>
        <w:t xml:space="preserve"> for 35 cycles</w:t>
      </w:r>
      <w:r w:rsidR="00275CC9">
        <w:rPr>
          <w:rFonts w:ascii="Arial" w:hAnsi="Arial" w:cs="Arial"/>
        </w:rPr>
        <w:t>, and final extension (5 min</w:t>
      </w:r>
      <w:r w:rsidRPr="009573EC">
        <w:rPr>
          <w:rFonts w:ascii="Arial" w:hAnsi="Arial" w:cs="Arial"/>
        </w:rPr>
        <w:t xml:space="preserve">) at 72 </w:t>
      </w:r>
      <w:proofErr w:type="spellStart"/>
      <w:r w:rsidRPr="009573EC">
        <w:rPr>
          <w:rFonts w:ascii="Arial" w:hAnsi="Arial" w:cs="Arial"/>
          <w:vertAlign w:val="superscript"/>
        </w:rPr>
        <w:t>o</w:t>
      </w:r>
      <w:r w:rsidRPr="009573EC">
        <w:rPr>
          <w:rFonts w:ascii="Arial" w:hAnsi="Arial" w:cs="Arial"/>
        </w:rPr>
        <w:t>C.</w:t>
      </w:r>
      <w:proofErr w:type="spellEnd"/>
      <w:r w:rsidRPr="009573EC">
        <w:rPr>
          <w:rFonts w:ascii="Arial" w:hAnsi="Arial" w:cs="Arial"/>
        </w:rPr>
        <w:t xml:space="preserve"> The products we</w:t>
      </w:r>
      <w:r w:rsidR="004D0F71">
        <w:rPr>
          <w:rFonts w:ascii="Arial" w:hAnsi="Arial" w:cs="Arial"/>
        </w:rPr>
        <w:t>re separated on agarose gel (1%</w:t>
      </w:r>
      <w:r w:rsidRPr="009573EC">
        <w:rPr>
          <w:rFonts w:ascii="Arial" w:hAnsi="Arial" w:cs="Arial"/>
        </w:rPr>
        <w:t>) for 15 min, at 120V, and a UV transilluminator was used for the visualization.</w:t>
      </w:r>
    </w:p>
    <w:p w14:paraId="12859E6D" w14:textId="77777777" w:rsidR="00911210" w:rsidRPr="009573EC" w:rsidRDefault="00911210" w:rsidP="00911210">
      <w:pPr>
        <w:contextualSpacing/>
        <w:jc w:val="both"/>
        <w:rPr>
          <w:rFonts w:ascii="Arial" w:hAnsi="Arial" w:cs="Arial"/>
        </w:rPr>
      </w:pPr>
    </w:p>
    <w:p w14:paraId="2B1B8421" w14:textId="77777777" w:rsidR="00911210" w:rsidRPr="009573EC" w:rsidRDefault="00911210" w:rsidP="00911210">
      <w:pPr>
        <w:contextualSpacing/>
        <w:jc w:val="both"/>
        <w:rPr>
          <w:rFonts w:ascii="Arial" w:hAnsi="Arial" w:cs="Arial"/>
          <w:b/>
          <w:i/>
        </w:rPr>
      </w:pPr>
      <w:r w:rsidRPr="009573EC">
        <w:rPr>
          <w:rFonts w:ascii="Arial" w:hAnsi="Arial" w:cs="Arial"/>
          <w:b/>
          <w:i/>
        </w:rPr>
        <w:t>2.5.4 Sequencing of ITS and 16S rRNA genes</w:t>
      </w:r>
    </w:p>
    <w:p w14:paraId="59A8B93B" w14:textId="67DD47FD" w:rsidR="00911210" w:rsidRPr="009573EC" w:rsidRDefault="00911210" w:rsidP="00265A19">
      <w:pPr>
        <w:contextualSpacing/>
        <w:jc w:val="both"/>
        <w:rPr>
          <w:rFonts w:ascii="Arial" w:hAnsi="Arial" w:cs="Arial"/>
        </w:rPr>
      </w:pPr>
      <w:r w:rsidRPr="009573EC">
        <w:rPr>
          <w:rFonts w:ascii="Arial" w:hAnsi="Arial" w:cs="Arial"/>
        </w:rPr>
        <w:t xml:space="preserve">The </w:t>
      </w:r>
      <w:proofErr w:type="spellStart"/>
      <w:r w:rsidRPr="009573EC">
        <w:rPr>
          <w:rFonts w:ascii="Arial" w:hAnsi="Arial" w:cs="Arial"/>
        </w:rPr>
        <w:t>BigDye</w:t>
      </w:r>
      <w:proofErr w:type="spellEnd"/>
      <w:r w:rsidRPr="009573EC">
        <w:rPr>
          <w:rFonts w:ascii="Arial" w:hAnsi="Arial" w:cs="Arial"/>
        </w:rPr>
        <w:t xml:space="preserve"> Terminator kit was used for sequencing of the bacterial and fungal genes on a 3510 ABI sequencer (</w:t>
      </w:r>
      <w:proofErr w:type="spellStart"/>
      <w:r w:rsidRPr="009573EC">
        <w:rPr>
          <w:rFonts w:ascii="Arial" w:hAnsi="Arial" w:cs="Arial"/>
        </w:rPr>
        <w:t>Inqaba</w:t>
      </w:r>
      <w:proofErr w:type="spellEnd"/>
      <w:r w:rsidRPr="009573EC">
        <w:rPr>
          <w:rFonts w:ascii="Arial" w:hAnsi="Arial" w:cs="Arial"/>
        </w:rPr>
        <w:t xml:space="preserve">, South Africa). The final volume at which the sequencing was completed was 10 µl, comprised of 5 x </w:t>
      </w:r>
      <w:proofErr w:type="spellStart"/>
      <w:r w:rsidRPr="009573EC">
        <w:rPr>
          <w:rFonts w:ascii="Arial" w:hAnsi="Arial" w:cs="Arial"/>
        </w:rPr>
        <w:t>BigDye</w:t>
      </w:r>
      <w:proofErr w:type="spellEnd"/>
      <w:r w:rsidRPr="009573EC">
        <w:rPr>
          <w:rFonts w:ascii="Arial" w:hAnsi="Arial" w:cs="Arial"/>
        </w:rPr>
        <w:t xml:space="preserve"> sequencing buffer (2.25 µl), </w:t>
      </w:r>
      <w:proofErr w:type="spellStart"/>
      <w:r w:rsidRPr="009573EC">
        <w:rPr>
          <w:rFonts w:ascii="Arial" w:hAnsi="Arial" w:cs="Arial"/>
        </w:rPr>
        <w:t>BigDye</w:t>
      </w:r>
      <w:proofErr w:type="spellEnd"/>
      <w:r w:rsidRPr="009573EC">
        <w:rPr>
          <w:rFonts w:ascii="Arial" w:hAnsi="Arial" w:cs="Arial"/>
        </w:rPr>
        <w:t>® terminator v1.1/v3.1 (0.25 µl), PCR template per 100 bp (2–10 ng) and PCR primer (10 µM). The sequencing proceeded for 32 cycles at 96 °C for 10 s</w:t>
      </w:r>
      <w:r w:rsidR="00BB41C3">
        <w:rPr>
          <w:rFonts w:ascii="Arial" w:hAnsi="Arial" w:cs="Arial"/>
        </w:rPr>
        <w:t>ec</w:t>
      </w:r>
      <w:r w:rsidRPr="009573EC">
        <w:rPr>
          <w:rFonts w:ascii="Arial" w:hAnsi="Arial" w:cs="Arial"/>
        </w:rPr>
        <w:t>, 55 °C for 5 s</w:t>
      </w:r>
      <w:r w:rsidR="00BB41C3">
        <w:rPr>
          <w:rFonts w:ascii="Arial" w:hAnsi="Arial" w:cs="Arial"/>
        </w:rPr>
        <w:t>ec</w:t>
      </w:r>
      <w:r w:rsidRPr="009573EC">
        <w:rPr>
          <w:rFonts w:ascii="Arial" w:hAnsi="Arial" w:cs="Arial"/>
        </w:rPr>
        <w:t xml:space="preserve">, and 60 °C for 4 min </w:t>
      </w:r>
      <w:r w:rsidR="000D05AA">
        <w:rPr>
          <w:rFonts w:ascii="Arial" w:hAnsi="Arial" w:cs="Arial"/>
        </w:rPr>
        <w:t>(</w:t>
      </w:r>
      <w:r w:rsidR="0079257D" w:rsidRPr="0079257D">
        <w:rPr>
          <w:rFonts w:ascii="Arial" w:hAnsi="Arial" w:cs="Arial"/>
        </w:rPr>
        <w:t xml:space="preserve">Ansar </w:t>
      </w:r>
      <w:r w:rsidR="0079257D">
        <w:rPr>
          <w:rFonts w:ascii="Arial" w:hAnsi="Arial" w:cs="Arial"/>
        </w:rPr>
        <w:t>et al., 2025</w:t>
      </w:r>
      <w:r w:rsidR="000D05AA" w:rsidRPr="000D05AA">
        <w:rPr>
          <w:rFonts w:ascii="Arial" w:hAnsi="Arial" w:cs="Arial"/>
        </w:rPr>
        <w:t>)</w:t>
      </w:r>
      <w:r w:rsidRPr="009573EC">
        <w:rPr>
          <w:rFonts w:ascii="Arial" w:hAnsi="Arial" w:cs="Arial"/>
        </w:rPr>
        <w:t>.</w:t>
      </w:r>
    </w:p>
    <w:p w14:paraId="38D70512" w14:textId="77777777" w:rsidR="00911210" w:rsidRPr="009573EC" w:rsidRDefault="00911210" w:rsidP="00911210">
      <w:pPr>
        <w:contextualSpacing/>
        <w:jc w:val="both"/>
        <w:rPr>
          <w:rFonts w:ascii="Arial" w:hAnsi="Arial" w:cs="Arial"/>
        </w:rPr>
      </w:pPr>
    </w:p>
    <w:p w14:paraId="2BEA47F3" w14:textId="77777777" w:rsidR="00911210" w:rsidRPr="009573EC" w:rsidRDefault="00911210" w:rsidP="00911210">
      <w:pPr>
        <w:contextualSpacing/>
        <w:jc w:val="both"/>
        <w:rPr>
          <w:rFonts w:ascii="Arial" w:hAnsi="Arial" w:cs="Arial"/>
          <w:b/>
          <w:i/>
        </w:rPr>
      </w:pPr>
      <w:r w:rsidRPr="009573EC">
        <w:rPr>
          <w:rFonts w:ascii="Arial" w:hAnsi="Arial" w:cs="Arial"/>
          <w:b/>
          <w:i/>
        </w:rPr>
        <w:t>2.5.5 Phylogenetic analysis</w:t>
      </w:r>
    </w:p>
    <w:p w14:paraId="55D708E5" w14:textId="36D45B00" w:rsidR="00911210" w:rsidRPr="009573EC" w:rsidRDefault="00911210" w:rsidP="00265A19">
      <w:pPr>
        <w:contextualSpacing/>
        <w:jc w:val="both"/>
        <w:rPr>
          <w:rFonts w:ascii="Arial" w:hAnsi="Arial" w:cs="Arial"/>
        </w:rPr>
      </w:pPr>
      <w:r w:rsidRPr="009573EC">
        <w:rPr>
          <w:rFonts w:ascii="Arial" w:hAnsi="Arial" w:cs="Arial"/>
        </w:rPr>
        <w:t xml:space="preserve">The acquired sequences were edited with the bioinformatics program, Trace Edit. Then similar sequences were obtained using BLASTN from the National Center for Biotechnology Information (NCBI) database. The alignment of the sequences was carried out using </w:t>
      </w:r>
      <w:proofErr w:type="spellStart"/>
      <w:r w:rsidRPr="009573EC">
        <w:rPr>
          <w:rFonts w:ascii="Arial" w:hAnsi="Arial" w:cs="Arial"/>
        </w:rPr>
        <w:t>ClustalX</w:t>
      </w:r>
      <w:proofErr w:type="spellEnd"/>
      <w:r w:rsidRPr="009573EC">
        <w:rPr>
          <w:rFonts w:ascii="Arial" w:hAnsi="Arial" w:cs="Arial"/>
        </w:rPr>
        <w:t xml:space="preserve">. The inference of the evolutionary history was done with Neighbor-Joining approach in MEGA 6.0. The bootstrap consensus tree derived from 500 replicates was assumed to represent the evolutionary history of the taxa involved in the study. The calculation of the evolutionary distances was carried out using the Jukes-Cantor technique </w:t>
      </w:r>
      <w:r w:rsidR="00AB0CDB">
        <w:rPr>
          <w:rFonts w:ascii="Arial" w:hAnsi="Arial" w:cs="Arial"/>
        </w:rPr>
        <w:t>(</w:t>
      </w:r>
      <w:r w:rsidR="00421174" w:rsidRPr="0079257D">
        <w:rPr>
          <w:rFonts w:ascii="Arial" w:hAnsi="Arial" w:cs="Arial"/>
        </w:rPr>
        <w:t xml:space="preserve">Ansar </w:t>
      </w:r>
      <w:r w:rsidR="00421174">
        <w:rPr>
          <w:rFonts w:ascii="Arial" w:hAnsi="Arial" w:cs="Arial"/>
        </w:rPr>
        <w:t>et al., 2025</w:t>
      </w:r>
      <w:r w:rsidR="00AB0CDB">
        <w:rPr>
          <w:rFonts w:ascii="Arial" w:hAnsi="Arial" w:cs="Arial"/>
        </w:rPr>
        <w:t>)</w:t>
      </w:r>
      <w:r w:rsidRPr="009573EC">
        <w:rPr>
          <w:rFonts w:ascii="Arial" w:hAnsi="Arial" w:cs="Arial"/>
        </w:rPr>
        <w:t>.</w:t>
      </w:r>
    </w:p>
    <w:p w14:paraId="357D2E4E" w14:textId="77777777" w:rsidR="00911210" w:rsidRPr="009573EC" w:rsidRDefault="00911210" w:rsidP="00911210">
      <w:pPr>
        <w:contextualSpacing/>
        <w:jc w:val="both"/>
        <w:rPr>
          <w:rFonts w:ascii="Arial" w:hAnsi="Arial" w:cs="Arial"/>
        </w:rPr>
      </w:pPr>
    </w:p>
    <w:p w14:paraId="1E663C81" w14:textId="77777777" w:rsidR="00911210" w:rsidRPr="009573EC" w:rsidRDefault="00FD0B96" w:rsidP="00911210">
      <w:pPr>
        <w:contextualSpacing/>
        <w:jc w:val="both"/>
        <w:rPr>
          <w:rFonts w:ascii="Arial" w:hAnsi="Arial" w:cs="Arial"/>
          <w:b/>
        </w:rPr>
      </w:pPr>
      <w:r>
        <w:rPr>
          <w:rFonts w:ascii="Arial" w:hAnsi="Arial" w:cs="Arial"/>
          <w:b/>
        </w:rPr>
        <w:t xml:space="preserve">2.6 </w:t>
      </w:r>
      <w:r w:rsidRPr="009573EC">
        <w:rPr>
          <w:rFonts w:ascii="Arial" w:hAnsi="Arial" w:cs="Arial"/>
          <w:b/>
        </w:rPr>
        <w:t>POME</w:t>
      </w:r>
      <w:r>
        <w:rPr>
          <w:rFonts w:ascii="Arial" w:hAnsi="Arial" w:cs="Arial"/>
          <w:b/>
        </w:rPr>
        <w:t xml:space="preserve"> Characterization</w:t>
      </w:r>
    </w:p>
    <w:p w14:paraId="532BF65B" w14:textId="33E61817" w:rsidR="00911210" w:rsidRPr="009573EC" w:rsidRDefault="00911210" w:rsidP="00265A19">
      <w:pPr>
        <w:contextualSpacing/>
        <w:jc w:val="both"/>
        <w:rPr>
          <w:rFonts w:ascii="Arial" w:hAnsi="Arial" w:cs="Arial"/>
        </w:rPr>
      </w:pPr>
      <w:r w:rsidRPr="009573EC">
        <w:rPr>
          <w:rFonts w:ascii="Arial" w:hAnsi="Arial" w:cs="Arial"/>
        </w:rPr>
        <w:t xml:space="preserve">The mixed POME sample was homogenized by heating them to 60 </w:t>
      </w:r>
      <w:proofErr w:type="spellStart"/>
      <w:r w:rsidRPr="009573EC">
        <w:rPr>
          <w:rFonts w:ascii="Arial" w:hAnsi="Arial" w:cs="Arial"/>
          <w:vertAlign w:val="superscript"/>
        </w:rPr>
        <w:t>o</w:t>
      </w:r>
      <w:r w:rsidRPr="009573EC">
        <w:rPr>
          <w:rFonts w:ascii="Arial" w:hAnsi="Arial" w:cs="Arial"/>
        </w:rPr>
        <w:t>C.</w:t>
      </w:r>
      <w:proofErr w:type="spellEnd"/>
      <w:r w:rsidRPr="009573EC">
        <w:rPr>
          <w:rFonts w:ascii="Arial" w:hAnsi="Arial" w:cs="Arial"/>
        </w:rPr>
        <w:t xml:space="preserve"> To get rid of debris, they were filtered through three layers of cheesecloth </w:t>
      </w:r>
      <w:r w:rsidR="00365B44">
        <w:rPr>
          <w:rFonts w:ascii="Arial" w:hAnsi="Arial" w:cs="Arial"/>
        </w:rPr>
        <w:t>(</w:t>
      </w:r>
      <w:proofErr w:type="spellStart"/>
      <w:r w:rsidR="00365B44">
        <w:rPr>
          <w:rFonts w:ascii="Arial" w:hAnsi="Arial" w:cs="Arial"/>
        </w:rPr>
        <w:t>Opurum</w:t>
      </w:r>
      <w:proofErr w:type="spellEnd"/>
      <w:r w:rsidR="00365B44">
        <w:rPr>
          <w:rFonts w:ascii="Arial" w:hAnsi="Arial" w:cs="Arial"/>
        </w:rPr>
        <w:t xml:space="preserve"> et al., (2017)</w:t>
      </w:r>
      <w:r w:rsidRPr="009573EC">
        <w:rPr>
          <w:rFonts w:ascii="Arial" w:hAnsi="Arial" w:cs="Arial"/>
        </w:rPr>
        <w:t xml:space="preserve">. Free fatty acid (FFA) value, moisture levels, saponification value and acid value were determined. The fatty acids composition of mixed POME sample was assessed using GC/FID </w:t>
      </w:r>
      <w:r w:rsidR="00365B44">
        <w:rPr>
          <w:rFonts w:ascii="Arial" w:hAnsi="Arial" w:cs="Arial"/>
        </w:rPr>
        <w:t>(</w:t>
      </w:r>
      <w:proofErr w:type="spellStart"/>
      <w:r w:rsidR="00BB26F8" w:rsidRPr="00BB26F8">
        <w:rPr>
          <w:rFonts w:ascii="Arial" w:hAnsi="Arial" w:cs="Arial"/>
        </w:rPr>
        <w:t>Okwute</w:t>
      </w:r>
      <w:proofErr w:type="spellEnd"/>
      <w:r w:rsidR="004E01BD" w:rsidRPr="00254F1B">
        <w:rPr>
          <w:rFonts w:ascii="Arial" w:hAnsi="Arial" w:cs="Arial"/>
        </w:rPr>
        <w:t xml:space="preserve"> et al.</w:t>
      </w:r>
      <w:r w:rsidR="004E01BD">
        <w:rPr>
          <w:rFonts w:ascii="Arial" w:hAnsi="Arial" w:cs="Arial"/>
        </w:rPr>
        <w:t>,</w:t>
      </w:r>
      <w:r w:rsidR="004E01BD" w:rsidRPr="00254F1B">
        <w:rPr>
          <w:rFonts w:ascii="Arial" w:hAnsi="Arial" w:cs="Arial"/>
        </w:rPr>
        <w:t xml:space="preserve"> </w:t>
      </w:r>
      <w:r w:rsidR="004E01BD">
        <w:rPr>
          <w:rFonts w:ascii="Arial" w:hAnsi="Arial" w:cs="Arial"/>
        </w:rPr>
        <w:t>20</w:t>
      </w:r>
      <w:r w:rsidR="00BB26F8">
        <w:rPr>
          <w:rFonts w:ascii="Arial" w:hAnsi="Arial" w:cs="Arial"/>
        </w:rPr>
        <w:t>1</w:t>
      </w:r>
      <w:r w:rsidR="004E01BD">
        <w:rPr>
          <w:rFonts w:ascii="Arial" w:hAnsi="Arial" w:cs="Arial"/>
        </w:rPr>
        <w:t>5</w:t>
      </w:r>
      <w:r w:rsidR="00365B44">
        <w:rPr>
          <w:rFonts w:ascii="Arial" w:hAnsi="Arial" w:cs="Arial"/>
        </w:rPr>
        <w:t>)</w:t>
      </w:r>
      <w:r w:rsidRPr="009573EC">
        <w:rPr>
          <w:rFonts w:ascii="Arial" w:hAnsi="Arial" w:cs="Arial"/>
        </w:rPr>
        <w:t>.</w:t>
      </w:r>
    </w:p>
    <w:p w14:paraId="5896E490" w14:textId="77777777" w:rsidR="00911210" w:rsidRPr="009573EC" w:rsidRDefault="00911210" w:rsidP="00911210">
      <w:pPr>
        <w:contextualSpacing/>
        <w:jc w:val="both"/>
        <w:rPr>
          <w:rFonts w:ascii="Arial" w:hAnsi="Arial" w:cs="Arial"/>
        </w:rPr>
      </w:pPr>
    </w:p>
    <w:p w14:paraId="2FCB4A8B" w14:textId="77777777" w:rsidR="00911210" w:rsidRPr="009573EC" w:rsidRDefault="00911210" w:rsidP="00911210">
      <w:pPr>
        <w:contextualSpacing/>
        <w:jc w:val="both"/>
        <w:rPr>
          <w:rFonts w:ascii="Arial" w:hAnsi="Arial" w:cs="Arial"/>
          <w:b/>
        </w:rPr>
      </w:pPr>
      <w:r w:rsidRPr="009573EC">
        <w:rPr>
          <w:rFonts w:ascii="Arial" w:hAnsi="Arial" w:cs="Arial"/>
          <w:b/>
        </w:rPr>
        <w:t>2.6.1 Evaluation of free fatty acid and acid value</w:t>
      </w:r>
    </w:p>
    <w:p w14:paraId="24F7955B" w14:textId="08A7C8EA" w:rsidR="00911210" w:rsidRPr="009573EC" w:rsidRDefault="00911210" w:rsidP="00265A19">
      <w:pPr>
        <w:contextualSpacing/>
        <w:jc w:val="both"/>
        <w:rPr>
          <w:rFonts w:ascii="Arial" w:hAnsi="Arial" w:cs="Arial"/>
        </w:rPr>
      </w:pPr>
      <w:r w:rsidRPr="009573EC">
        <w:rPr>
          <w:rFonts w:ascii="Arial" w:hAnsi="Arial" w:cs="Arial"/>
        </w:rPr>
        <w:t xml:space="preserve">Here, 2 drops of phenolphthalein indicator (consisting of 100 ml of ethyl alcohol and 1 g of phenolphthalein) and 50 ml of newly neutralized hot 95% ethanol were added to in a conical flask containing 1.5 g of mixed POME sample. After that, the mixture was heated to 75-80 °C in a water bath for roughly 15 min. Then 0.1 M NaOH was used to titrate the mixture, while being constantly shaken to ensure adequate mixing until the endpoint was reached. The endpoint was marked by a faint pink color that lasted for 30 sec. The amount of NaOH utilized </w:t>
      </w:r>
      <w:r w:rsidRPr="00C54292">
        <w:rPr>
          <w:rFonts w:ascii="Arial" w:hAnsi="Arial" w:cs="Arial"/>
        </w:rPr>
        <w:t xml:space="preserve">was noted </w:t>
      </w:r>
      <w:r w:rsidR="0055285F" w:rsidRPr="00C54292">
        <w:rPr>
          <w:rFonts w:ascii="Arial" w:hAnsi="Arial" w:cs="Arial"/>
        </w:rPr>
        <w:t>(</w:t>
      </w:r>
      <w:proofErr w:type="spellStart"/>
      <w:r w:rsidR="002559CA" w:rsidRPr="00C54292">
        <w:rPr>
          <w:rFonts w:ascii="Arial" w:hAnsi="Arial" w:cs="Arial"/>
        </w:rPr>
        <w:t>Hatsa</w:t>
      </w:r>
      <w:proofErr w:type="spellEnd"/>
      <w:r w:rsidR="002559CA" w:rsidRPr="00C54292">
        <w:rPr>
          <w:rFonts w:ascii="Arial" w:hAnsi="Arial" w:cs="Arial"/>
        </w:rPr>
        <w:t xml:space="preserve"> et al., 2025)</w:t>
      </w:r>
      <w:r w:rsidRPr="00C54292">
        <w:rPr>
          <w:rFonts w:ascii="Arial" w:hAnsi="Arial" w:cs="Arial"/>
        </w:rPr>
        <w:t>. S</w:t>
      </w:r>
      <w:r w:rsidRPr="009573EC">
        <w:rPr>
          <w:rFonts w:ascii="Arial" w:hAnsi="Arial" w:cs="Arial"/>
        </w:rPr>
        <w:t>ample was titrated in triplicate, and Equation 1 was used to compute the acid value.</w:t>
      </w:r>
    </w:p>
    <w:p w14:paraId="49299C40" w14:textId="77777777" w:rsidR="00911210" w:rsidRPr="009573EC" w:rsidRDefault="00911210" w:rsidP="00911210">
      <w:pPr>
        <w:contextualSpacing/>
        <w:jc w:val="both"/>
        <w:rPr>
          <w:rFonts w:ascii="Arial" w:hAnsi="Arial" w:cs="Arial"/>
        </w:rPr>
      </w:pPr>
    </w:p>
    <w:p w14:paraId="5C5C1512" w14:textId="77777777" w:rsidR="00911210" w:rsidRPr="009573EC" w:rsidRDefault="00911210" w:rsidP="00265A19">
      <w:pPr>
        <w:contextualSpacing/>
        <w:jc w:val="center"/>
        <w:rPr>
          <w:rFonts w:ascii="Arial" w:hAnsi="Arial" w:cs="Arial"/>
        </w:rPr>
      </w:pPr>
      <m:oMath>
        <m:r>
          <m:rPr>
            <m:sty m:val="p"/>
          </m:rPr>
          <w:rPr>
            <w:rFonts w:ascii="Cambria Math" w:hAnsi="Cambria Math" w:cs="Arial"/>
          </w:rPr>
          <m:t>Acid value (mgKOH/g)=</m:t>
        </m:r>
        <m:f>
          <m:fPr>
            <m:ctrlPr>
              <w:rPr>
                <w:rFonts w:ascii="Cambria Math" w:hAnsi="Cambria Math" w:cs="Arial"/>
                <w:i/>
              </w:rPr>
            </m:ctrlPr>
          </m:fPr>
          <m:num>
            <m:r>
              <w:rPr>
                <w:rFonts w:ascii="Cambria Math" w:hAnsi="Cambria Math" w:cs="Arial"/>
              </w:rPr>
              <m:t>56.1 x V x N</m:t>
            </m:r>
          </m:num>
          <m:den>
            <m:r>
              <w:rPr>
                <w:rFonts w:ascii="Cambria Math" w:hAnsi="Cambria Math" w:cs="Arial"/>
              </w:rPr>
              <m:t>W</m:t>
            </m:r>
          </m:den>
        </m:f>
      </m:oMath>
      <w:r w:rsidRPr="009573EC">
        <w:rPr>
          <w:rFonts w:ascii="Arial" w:eastAsiaTheme="minorEastAsia" w:hAnsi="Arial" w:cs="Arial"/>
        </w:rPr>
        <w:t xml:space="preserve">   </w:t>
      </w:r>
      <w:r w:rsidRPr="009573EC">
        <w:rPr>
          <w:rFonts w:ascii="Arial" w:eastAsiaTheme="minorEastAsia" w:hAnsi="Arial" w:cs="Arial"/>
        </w:rPr>
        <w:tab/>
      </w:r>
      <w:r w:rsidRPr="009573EC">
        <w:rPr>
          <w:rFonts w:ascii="Arial" w:eastAsiaTheme="minorEastAsia" w:hAnsi="Arial" w:cs="Arial"/>
        </w:rPr>
        <w:tab/>
        <w:t>Equation 1</w:t>
      </w:r>
    </w:p>
    <w:p w14:paraId="53A13ADD" w14:textId="77777777" w:rsidR="00911210" w:rsidRPr="009573EC" w:rsidRDefault="00911210" w:rsidP="00911210">
      <w:pPr>
        <w:contextualSpacing/>
        <w:jc w:val="both"/>
        <w:rPr>
          <w:rFonts w:ascii="Arial" w:hAnsi="Arial" w:cs="Arial"/>
        </w:rPr>
      </w:pPr>
    </w:p>
    <w:p w14:paraId="6B5C1CA1" w14:textId="77777777" w:rsidR="00911210" w:rsidRPr="009573EC" w:rsidRDefault="00911210" w:rsidP="00911210">
      <w:pPr>
        <w:contextualSpacing/>
        <w:jc w:val="both"/>
        <w:rPr>
          <w:rFonts w:ascii="Arial" w:hAnsi="Arial" w:cs="Arial"/>
        </w:rPr>
      </w:pPr>
      <w:r w:rsidRPr="009573EC">
        <w:rPr>
          <w:rFonts w:ascii="Arial" w:hAnsi="Arial" w:cs="Arial"/>
        </w:rPr>
        <w:t>Where,</w:t>
      </w:r>
    </w:p>
    <w:p w14:paraId="47C33F5A" w14:textId="77777777" w:rsidR="00911210" w:rsidRPr="009573EC" w:rsidRDefault="00911210" w:rsidP="00911210">
      <w:pPr>
        <w:contextualSpacing/>
        <w:jc w:val="both"/>
        <w:rPr>
          <w:rFonts w:ascii="Arial" w:hAnsi="Arial" w:cs="Arial"/>
        </w:rPr>
      </w:pPr>
      <w:r w:rsidRPr="009573EC">
        <w:rPr>
          <w:rFonts w:ascii="Arial" w:hAnsi="Arial" w:cs="Arial"/>
        </w:rPr>
        <w:t>V = Volume of sodium hydroxide utilized measured in ml.</w:t>
      </w:r>
    </w:p>
    <w:p w14:paraId="28624B12" w14:textId="77777777" w:rsidR="00911210" w:rsidRPr="009573EC" w:rsidRDefault="00911210" w:rsidP="00911210">
      <w:pPr>
        <w:contextualSpacing/>
        <w:jc w:val="both"/>
        <w:rPr>
          <w:rFonts w:ascii="Arial" w:hAnsi="Arial" w:cs="Arial"/>
        </w:rPr>
      </w:pPr>
      <w:r w:rsidRPr="009573EC">
        <w:rPr>
          <w:rFonts w:ascii="Arial" w:hAnsi="Arial" w:cs="Arial"/>
        </w:rPr>
        <w:t>N = Normality of the sodium hydroxide solution; and</w:t>
      </w:r>
    </w:p>
    <w:p w14:paraId="5DE6B02D" w14:textId="77777777" w:rsidR="00911210" w:rsidRPr="009573EC" w:rsidRDefault="00911210" w:rsidP="00911210">
      <w:pPr>
        <w:contextualSpacing/>
        <w:jc w:val="both"/>
        <w:rPr>
          <w:rFonts w:ascii="Arial" w:hAnsi="Arial" w:cs="Arial"/>
        </w:rPr>
      </w:pPr>
      <w:r w:rsidRPr="009573EC">
        <w:rPr>
          <w:rFonts w:ascii="Arial" w:hAnsi="Arial" w:cs="Arial"/>
        </w:rPr>
        <w:t>W = Weight of the sample measured in g.</w:t>
      </w:r>
    </w:p>
    <w:p w14:paraId="7601A8DA" w14:textId="77777777" w:rsidR="00911210" w:rsidRPr="009573EC" w:rsidRDefault="00911210" w:rsidP="00911210">
      <w:pPr>
        <w:contextualSpacing/>
        <w:jc w:val="both"/>
        <w:rPr>
          <w:rFonts w:ascii="Arial" w:hAnsi="Arial" w:cs="Arial"/>
        </w:rPr>
      </w:pPr>
    </w:p>
    <w:p w14:paraId="38B7B2B9" w14:textId="179EB8D3" w:rsidR="00911210" w:rsidRDefault="00911210" w:rsidP="00265A19">
      <w:pPr>
        <w:contextualSpacing/>
        <w:jc w:val="both"/>
        <w:rPr>
          <w:rFonts w:ascii="Arial" w:hAnsi="Arial" w:cs="Arial"/>
        </w:rPr>
      </w:pPr>
      <w:r w:rsidRPr="009573EC">
        <w:rPr>
          <w:rFonts w:ascii="Arial" w:hAnsi="Arial" w:cs="Arial"/>
        </w:rPr>
        <w:t>Computation of FFA value</w:t>
      </w:r>
      <w:r w:rsidR="006F623F">
        <w:rPr>
          <w:rFonts w:ascii="Arial" w:hAnsi="Arial" w:cs="Arial"/>
        </w:rPr>
        <w:t>, which results from the breakdown of oil,</w:t>
      </w:r>
      <w:r w:rsidRPr="009573EC">
        <w:rPr>
          <w:rFonts w:ascii="Arial" w:hAnsi="Arial" w:cs="Arial"/>
        </w:rPr>
        <w:t xml:space="preserve"> was done with Equation 2.</w:t>
      </w:r>
    </w:p>
    <w:p w14:paraId="19BE037A" w14:textId="77777777" w:rsidR="00E1213D" w:rsidRPr="009573EC" w:rsidRDefault="00E1213D" w:rsidP="00265A19">
      <w:pPr>
        <w:contextualSpacing/>
        <w:jc w:val="both"/>
        <w:rPr>
          <w:rFonts w:ascii="Arial" w:hAnsi="Arial" w:cs="Arial"/>
        </w:rPr>
      </w:pPr>
    </w:p>
    <w:p w14:paraId="7428BCAF" w14:textId="2B7C8F66" w:rsidR="00911210" w:rsidRPr="009573EC" w:rsidRDefault="00E1213D" w:rsidP="00110C39">
      <w:pPr>
        <w:contextualSpacing/>
        <w:jc w:val="center"/>
        <w:rPr>
          <w:rFonts w:ascii="Arial" w:hAnsi="Arial" w:cs="Arial"/>
        </w:rPr>
      </w:pPr>
      <m:oMath>
        <m:r>
          <m:rPr>
            <m:sty m:val="p"/>
          </m:rPr>
          <w:rPr>
            <w:rFonts w:ascii="Cambria Math" w:hAnsi="Cambria Math"/>
          </w:rPr>
          <m:t>FFA (as oleic acid)=</m:t>
        </m:r>
        <m:f>
          <m:fPr>
            <m:ctrlPr>
              <w:rPr>
                <w:rFonts w:ascii="Cambria Math" w:hAnsi="Cambria Math"/>
                <w:i/>
              </w:rPr>
            </m:ctrlPr>
          </m:fPr>
          <m:num>
            <m:r>
              <w:rPr>
                <w:rFonts w:ascii="Cambria Math" w:hAnsi="Cambria Math"/>
              </w:rPr>
              <m:t>AV x MW Oleic acid</m:t>
            </m:r>
          </m:num>
          <m:den>
            <m:r>
              <w:rPr>
                <w:rFonts w:ascii="Cambria Math" w:hAnsi="Cambria Math"/>
              </w:rPr>
              <m:t>10(MW KOH)</m:t>
            </m:r>
          </m:den>
        </m:f>
      </m:oMath>
      <w:r w:rsidR="00911210" w:rsidRPr="009573EC">
        <w:rPr>
          <w:rFonts w:ascii="Arial" w:eastAsiaTheme="minorEastAsia" w:hAnsi="Arial" w:cs="Arial"/>
        </w:rPr>
        <w:tab/>
        <w:t>Equation 2</w:t>
      </w:r>
    </w:p>
    <w:p w14:paraId="59DB6EB3" w14:textId="77777777" w:rsidR="00911210" w:rsidRPr="009573EC" w:rsidRDefault="00911210" w:rsidP="00911210">
      <w:pPr>
        <w:contextualSpacing/>
        <w:jc w:val="both"/>
        <w:rPr>
          <w:rFonts w:ascii="Arial" w:hAnsi="Arial" w:cs="Arial"/>
        </w:rPr>
      </w:pPr>
    </w:p>
    <w:p w14:paraId="52329CDF" w14:textId="77777777" w:rsidR="00911210" w:rsidRPr="009573EC" w:rsidRDefault="00911210" w:rsidP="00911210">
      <w:pPr>
        <w:contextualSpacing/>
        <w:jc w:val="both"/>
        <w:rPr>
          <w:rFonts w:ascii="Arial" w:hAnsi="Arial" w:cs="Arial"/>
          <w:b/>
        </w:rPr>
      </w:pPr>
      <w:r w:rsidRPr="009573EC">
        <w:rPr>
          <w:rFonts w:ascii="Arial" w:hAnsi="Arial" w:cs="Arial"/>
          <w:b/>
        </w:rPr>
        <w:t>2.6.2 Evaluation of moisture content</w:t>
      </w:r>
    </w:p>
    <w:p w14:paraId="7AB8FAAA" w14:textId="77777777" w:rsidR="00911210" w:rsidRPr="009573EC" w:rsidRDefault="00911210" w:rsidP="00265A19">
      <w:pPr>
        <w:contextualSpacing/>
        <w:jc w:val="both"/>
        <w:rPr>
          <w:rFonts w:ascii="Arial" w:hAnsi="Arial" w:cs="Arial"/>
        </w:rPr>
      </w:pPr>
      <w:r w:rsidRPr="009573EC">
        <w:rPr>
          <w:rFonts w:ascii="Arial" w:hAnsi="Arial" w:cs="Arial"/>
        </w:rPr>
        <w:t xml:space="preserve">With slight adjustments, the gravimetric method was used to determine the moisture content of oil samples in accordance with AOCS Ca2c–25 </w:t>
      </w:r>
      <w:r w:rsidR="00C77DBA">
        <w:rPr>
          <w:rFonts w:ascii="Arial" w:hAnsi="Arial" w:cs="Arial"/>
        </w:rPr>
        <w:t>(</w:t>
      </w:r>
      <w:proofErr w:type="spellStart"/>
      <w:r w:rsidR="00C77DBA" w:rsidRPr="00C77DBA">
        <w:rPr>
          <w:rFonts w:ascii="Arial" w:hAnsi="Arial" w:cs="Arial"/>
        </w:rPr>
        <w:t>Bahadi</w:t>
      </w:r>
      <w:proofErr w:type="spellEnd"/>
      <w:r w:rsidR="00C77DBA">
        <w:rPr>
          <w:rFonts w:ascii="Arial" w:hAnsi="Arial" w:cs="Arial"/>
        </w:rPr>
        <w:t xml:space="preserve"> et al., 2016)</w:t>
      </w:r>
      <w:r w:rsidRPr="009573EC">
        <w:rPr>
          <w:rFonts w:ascii="Arial" w:hAnsi="Arial" w:cs="Arial"/>
        </w:rPr>
        <w:t>. Ten grams of the mixed POME sample was put into metal dish and the total weight measured. The dish was heated for 30 min at 101 °C. Then heating process continued until the weight remained constant. The moisture content was then determined using Equation 3.</w:t>
      </w:r>
    </w:p>
    <w:p w14:paraId="25753BED" w14:textId="77777777" w:rsidR="00911210" w:rsidRPr="009573EC" w:rsidRDefault="00911210" w:rsidP="00911210">
      <w:pPr>
        <w:contextualSpacing/>
        <w:jc w:val="both"/>
        <w:rPr>
          <w:rFonts w:ascii="Arial" w:hAnsi="Arial" w:cs="Arial"/>
        </w:rPr>
      </w:pPr>
    </w:p>
    <w:p w14:paraId="1D88C9CB" w14:textId="77777777" w:rsidR="00911210" w:rsidRPr="009573EC" w:rsidRDefault="00911210" w:rsidP="00265A19">
      <w:pPr>
        <w:contextualSpacing/>
        <w:jc w:val="center"/>
        <w:rPr>
          <w:rFonts w:ascii="Arial" w:hAnsi="Arial" w:cs="Arial"/>
        </w:rPr>
      </w:pPr>
      <m:oMath>
        <m:r>
          <m:rPr>
            <m:sty m:val="p"/>
          </m:rPr>
          <w:rPr>
            <w:rFonts w:ascii="Cambria Math" w:hAnsi="Cambria Math" w:cs="Arial"/>
          </w:rPr>
          <m:t>Moisture content=</m:t>
        </m:r>
        <m:f>
          <m:fPr>
            <m:ctrlPr>
              <w:rPr>
                <w:rFonts w:ascii="Cambria Math" w:hAnsi="Cambria Math" w:cs="Arial"/>
                <w:i/>
              </w:rPr>
            </m:ctrlPr>
          </m:fPr>
          <m:num>
            <m:r>
              <w:rPr>
                <w:rFonts w:ascii="Cambria Math" w:hAnsi="Cambria Math" w:cs="Arial"/>
              </w:rPr>
              <m:t>Wb-Wa</m:t>
            </m:r>
          </m:num>
          <m:den>
            <m:r>
              <w:rPr>
                <w:rFonts w:ascii="Cambria Math" w:hAnsi="Cambria Math" w:cs="Arial"/>
              </w:rPr>
              <m:t>Wb</m:t>
            </m:r>
          </m:den>
        </m:f>
        <m:r>
          <w:rPr>
            <w:rFonts w:ascii="Cambria Math" w:hAnsi="Cambria Math" w:cs="Arial"/>
          </w:rPr>
          <m:t xml:space="preserve"> x 100</m:t>
        </m:r>
      </m:oMath>
      <w:r w:rsidRPr="009573EC">
        <w:rPr>
          <w:rFonts w:ascii="Arial" w:eastAsiaTheme="minorEastAsia" w:hAnsi="Arial" w:cs="Arial"/>
        </w:rPr>
        <w:tab/>
      </w:r>
      <w:r w:rsidRPr="009573EC">
        <w:rPr>
          <w:rFonts w:ascii="Arial" w:eastAsiaTheme="minorEastAsia" w:hAnsi="Arial" w:cs="Arial"/>
        </w:rPr>
        <w:tab/>
      </w:r>
      <w:r w:rsidRPr="009573EC">
        <w:rPr>
          <w:rFonts w:ascii="Arial" w:eastAsiaTheme="minorEastAsia" w:hAnsi="Arial" w:cs="Arial"/>
        </w:rPr>
        <w:tab/>
        <w:t>Equation 3</w:t>
      </w:r>
    </w:p>
    <w:p w14:paraId="23B22A4B" w14:textId="77777777" w:rsidR="00911210" w:rsidRPr="009573EC" w:rsidRDefault="00911210" w:rsidP="00911210">
      <w:pPr>
        <w:contextualSpacing/>
        <w:jc w:val="both"/>
        <w:rPr>
          <w:rFonts w:ascii="Arial" w:hAnsi="Arial" w:cs="Arial"/>
        </w:rPr>
      </w:pPr>
    </w:p>
    <w:p w14:paraId="050D45E8" w14:textId="77777777" w:rsidR="00911210" w:rsidRPr="009573EC" w:rsidRDefault="00911210" w:rsidP="00911210">
      <w:pPr>
        <w:contextualSpacing/>
        <w:jc w:val="both"/>
        <w:rPr>
          <w:rFonts w:ascii="Arial" w:hAnsi="Arial" w:cs="Arial"/>
        </w:rPr>
      </w:pPr>
      <w:r w:rsidRPr="009573EC">
        <w:rPr>
          <w:rFonts w:ascii="Arial" w:hAnsi="Arial" w:cs="Arial"/>
        </w:rPr>
        <w:t>Where,</w:t>
      </w:r>
    </w:p>
    <w:p w14:paraId="693F93C5" w14:textId="77777777" w:rsidR="00911210" w:rsidRPr="009573EC" w:rsidRDefault="00911210" w:rsidP="00911210">
      <w:pPr>
        <w:contextualSpacing/>
        <w:jc w:val="both"/>
        <w:rPr>
          <w:rFonts w:ascii="Arial" w:hAnsi="Arial" w:cs="Arial"/>
        </w:rPr>
      </w:pPr>
      <w:r w:rsidRPr="009573EC">
        <w:rPr>
          <w:rFonts w:ascii="Arial" w:hAnsi="Arial" w:cs="Arial"/>
        </w:rPr>
        <w:t>W</w:t>
      </w:r>
      <w:r w:rsidRPr="009573EC">
        <w:rPr>
          <w:rFonts w:ascii="Arial" w:hAnsi="Arial" w:cs="Arial"/>
          <w:vertAlign w:val="subscript"/>
        </w:rPr>
        <w:t>b</w:t>
      </w:r>
      <w:r w:rsidRPr="009573EC">
        <w:rPr>
          <w:rFonts w:ascii="Arial" w:hAnsi="Arial" w:cs="Arial"/>
        </w:rPr>
        <w:t xml:space="preserve"> is the weight (measure in mg) before drying</w:t>
      </w:r>
    </w:p>
    <w:p w14:paraId="4714D923" w14:textId="77777777" w:rsidR="00911210" w:rsidRPr="009573EC" w:rsidRDefault="00911210" w:rsidP="00911210">
      <w:pPr>
        <w:contextualSpacing/>
        <w:jc w:val="both"/>
        <w:rPr>
          <w:rFonts w:ascii="Arial" w:hAnsi="Arial" w:cs="Arial"/>
        </w:rPr>
      </w:pPr>
      <w:proofErr w:type="spellStart"/>
      <w:r w:rsidRPr="009573EC">
        <w:rPr>
          <w:rFonts w:ascii="Arial" w:hAnsi="Arial" w:cs="Arial"/>
        </w:rPr>
        <w:t>W</w:t>
      </w:r>
      <w:r w:rsidRPr="009573EC">
        <w:rPr>
          <w:rFonts w:ascii="Arial" w:hAnsi="Arial" w:cs="Arial"/>
          <w:vertAlign w:val="subscript"/>
        </w:rPr>
        <w:t>a</w:t>
      </w:r>
      <w:proofErr w:type="spellEnd"/>
      <w:r w:rsidRPr="009573EC">
        <w:rPr>
          <w:rFonts w:ascii="Arial" w:hAnsi="Arial" w:cs="Arial"/>
        </w:rPr>
        <w:t xml:space="preserve"> is the weight (measure in mg) after drying</w:t>
      </w:r>
    </w:p>
    <w:p w14:paraId="05DAF520" w14:textId="77777777" w:rsidR="00911210" w:rsidRPr="009573EC" w:rsidRDefault="00911210" w:rsidP="00911210">
      <w:pPr>
        <w:contextualSpacing/>
        <w:jc w:val="both"/>
        <w:rPr>
          <w:rFonts w:ascii="Arial" w:hAnsi="Arial" w:cs="Arial"/>
        </w:rPr>
      </w:pPr>
    </w:p>
    <w:p w14:paraId="3BFA8532" w14:textId="77777777" w:rsidR="00911210" w:rsidRPr="009573EC" w:rsidRDefault="00911210" w:rsidP="00911210">
      <w:pPr>
        <w:contextualSpacing/>
        <w:jc w:val="both"/>
        <w:rPr>
          <w:rFonts w:ascii="Arial" w:hAnsi="Arial" w:cs="Arial"/>
          <w:b/>
        </w:rPr>
      </w:pPr>
      <w:r w:rsidRPr="009573EC">
        <w:rPr>
          <w:rFonts w:ascii="Arial" w:hAnsi="Arial" w:cs="Arial"/>
          <w:b/>
        </w:rPr>
        <w:t>2.6.3 Evaluation of pH</w:t>
      </w:r>
    </w:p>
    <w:p w14:paraId="14D4AE53" w14:textId="77777777" w:rsidR="00911210" w:rsidRPr="009573EC" w:rsidRDefault="00911210" w:rsidP="00265A19">
      <w:pPr>
        <w:contextualSpacing/>
        <w:jc w:val="both"/>
        <w:rPr>
          <w:rFonts w:ascii="Arial" w:hAnsi="Arial" w:cs="Arial"/>
        </w:rPr>
      </w:pPr>
      <w:r w:rsidRPr="009573EC">
        <w:rPr>
          <w:rFonts w:ascii="Arial" w:hAnsi="Arial" w:cs="Arial"/>
        </w:rPr>
        <w:t xml:space="preserve">A newly calibrated HANNA pH meter was utilized in the measurement of the pH of the homogenized mixed POME sample. The homogenized mixed POME sample (50 ml) was added into 100 ml volumetric flask, the probe of the calibrated pH meter was dipped into it and pH reading was taken after roughly 40 sec. To guarantee consistency, contents were gently agitated before reading was taken </w:t>
      </w:r>
      <w:r w:rsidR="0022030C">
        <w:rPr>
          <w:rFonts w:ascii="Arial" w:hAnsi="Arial" w:cs="Arial"/>
        </w:rPr>
        <w:t>(</w:t>
      </w:r>
      <w:r w:rsidR="0022030C" w:rsidRPr="0022030C">
        <w:rPr>
          <w:rFonts w:ascii="Arial" w:hAnsi="Arial" w:cs="Arial"/>
        </w:rPr>
        <w:t>Piyush</w:t>
      </w:r>
      <w:r w:rsidR="0022030C">
        <w:rPr>
          <w:rFonts w:ascii="Arial" w:hAnsi="Arial" w:cs="Arial"/>
        </w:rPr>
        <w:t xml:space="preserve"> et al., 2022)</w:t>
      </w:r>
      <w:r w:rsidRPr="009573EC">
        <w:rPr>
          <w:rFonts w:ascii="Arial" w:hAnsi="Arial" w:cs="Arial"/>
        </w:rPr>
        <w:t>.</w:t>
      </w:r>
    </w:p>
    <w:p w14:paraId="3E3073DA" w14:textId="77777777" w:rsidR="00911210" w:rsidRPr="009573EC" w:rsidRDefault="00911210" w:rsidP="00911210">
      <w:pPr>
        <w:contextualSpacing/>
        <w:jc w:val="both"/>
        <w:rPr>
          <w:rFonts w:ascii="Arial" w:hAnsi="Arial" w:cs="Arial"/>
        </w:rPr>
      </w:pPr>
    </w:p>
    <w:p w14:paraId="63D959E5" w14:textId="77777777" w:rsidR="00911210" w:rsidRPr="009573EC" w:rsidRDefault="00911210" w:rsidP="00911210">
      <w:pPr>
        <w:contextualSpacing/>
        <w:jc w:val="both"/>
        <w:rPr>
          <w:rFonts w:ascii="Arial" w:hAnsi="Arial" w:cs="Arial"/>
          <w:b/>
        </w:rPr>
      </w:pPr>
      <w:r w:rsidRPr="009573EC">
        <w:rPr>
          <w:rFonts w:ascii="Arial" w:hAnsi="Arial" w:cs="Arial"/>
          <w:b/>
        </w:rPr>
        <w:t>2.6.4 Evaluation of saponification value (SV)</w:t>
      </w:r>
    </w:p>
    <w:p w14:paraId="245A8F05" w14:textId="5FD76AC3" w:rsidR="00911210" w:rsidRPr="009573EC" w:rsidRDefault="00911210" w:rsidP="00265A19">
      <w:pPr>
        <w:contextualSpacing/>
        <w:jc w:val="both"/>
        <w:rPr>
          <w:rFonts w:ascii="Arial" w:hAnsi="Arial" w:cs="Arial"/>
        </w:rPr>
      </w:pPr>
      <w:r w:rsidRPr="009573EC">
        <w:rPr>
          <w:rFonts w:ascii="Arial" w:hAnsi="Arial" w:cs="Arial"/>
        </w:rPr>
        <w:t xml:space="preserve">The measurement of the saponification value of the mixed POME sample was done following the British Standards BS 684 2.6.1977. First, 0.5N ethanolic KOH (25 ml) was used to treat 2 g of mixed POME sample in a 100 ml beaker. After that, the mixture was refluxed, boiled evenly, and stirred often for 1 h. The heated mixture was then titrated with 1% phenolphthalein against 0.5N HCl. Then equal volume and concentration of ethanolic potash only was added to another flask to serve as the blank.  Equation 4 was used to compute the saponification value </w:t>
      </w:r>
      <w:r w:rsidR="00C54292" w:rsidRPr="00C54292">
        <w:rPr>
          <w:rFonts w:ascii="Arial" w:hAnsi="Arial" w:cs="Arial"/>
        </w:rPr>
        <w:t>(</w:t>
      </w:r>
      <w:proofErr w:type="spellStart"/>
      <w:r w:rsidR="00C54292" w:rsidRPr="00C54292">
        <w:rPr>
          <w:rFonts w:ascii="Arial" w:hAnsi="Arial" w:cs="Arial"/>
        </w:rPr>
        <w:t>Hatsa</w:t>
      </w:r>
      <w:proofErr w:type="spellEnd"/>
      <w:r w:rsidR="00C54292" w:rsidRPr="00C54292">
        <w:rPr>
          <w:rFonts w:ascii="Arial" w:hAnsi="Arial" w:cs="Arial"/>
        </w:rPr>
        <w:t xml:space="preserve"> et al., 2025)</w:t>
      </w:r>
      <w:r w:rsidRPr="009573EC">
        <w:rPr>
          <w:rFonts w:ascii="Arial" w:hAnsi="Arial" w:cs="Arial"/>
        </w:rPr>
        <w:t>.</w:t>
      </w:r>
    </w:p>
    <w:p w14:paraId="412D6AB7" w14:textId="77777777" w:rsidR="00911210" w:rsidRPr="009573EC" w:rsidRDefault="00911210" w:rsidP="00911210">
      <w:pPr>
        <w:contextualSpacing/>
        <w:jc w:val="both"/>
        <w:rPr>
          <w:rFonts w:ascii="Arial" w:hAnsi="Arial" w:cs="Arial"/>
        </w:rPr>
      </w:pPr>
    </w:p>
    <w:p w14:paraId="0663B54B" w14:textId="77777777" w:rsidR="00911210" w:rsidRPr="009573EC" w:rsidRDefault="00911210" w:rsidP="00265A19">
      <w:pPr>
        <w:contextualSpacing/>
        <w:jc w:val="center"/>
        <w:rPr>
          <w:rFonts w:ascii="Arial" w:hAnsi="Arial" w:cs="Arial"/>
        </w:rPr>
      </w:pPr>
      <m:oMath>
        <m:r>
          <w:rPr>
            <w:rFonts w:ascii="Cambria Math" w:hAnsi="Cambria Math" w:cs="Arial"/>
          </w:rPr>
          <m:t xml:space="preserve">SV= </m:t>
        </m:r>
        <m:f>
          <m:fPr>
            <m:ctrlPr>
              <w:rPr>
                <w:rFonts w:ascii="Cambria Math" w:hAnsi="Cambria Math" w:cs="Arial"/>
                <w:i/>
              </w:rPr>
            </m:ctrlPr>
          </m:fPr>
          <m:num>
            <m:r>
              <w:rPr>
                <w:rFonts w:ascii="Cambria Math" w:hAnsi="Cambria Math" w:cs="Arial"/>
              </w:rPr>
              <m:t>(</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V</m:t>
                    </m:r>
                  </m:e>
                  <m:sub>
                    <m:r>
                      <w:rPr>
                        <w:rFonts w:ascii="Cambria Math" w:hAnsi="Cambria Math" w:cs="Arial"/>
                      </w:rPr>
                      <m:t>b</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V</m:t>
                    </m:r>
                  </m:e>
                  <m:sub>
                    <m:r>
                      <w:rPr>
                        <w:rFonts w:ascii="Cambria Math" w:hAnsi="Cambria Math" w:cs="Arial"/>
                      </w:rPr>
                      <m:t>s</m:t>
                    </m:r>
                  </m:sub>
                </m:sSub>
              </m:e>
            </m:d>
            <m:r>
              <w:rPr>
                <w:rFonts w:ascii="Cambria Math" w:hAnsi="Cambria Math" w:cs="Arial"/>
              </w:rPr>
              <m:t xml:space="preserve">x </m:t>
            </m:r>
            <m:d>
              <m:dPr>
                <m:ctrlPr>
                  <w:rPr>
                    <w:rFonts w:ascii="Cambria Math" w:hAnsi="Cambria Math" w:cs="Arial"/>
                    <w:i/>
                  </w:rPr>
                </m:ctrlPr>
              </m:dPr>
              <m:e>
                <m:r>
                  <w:rPr>
                    <w:rFonts w:ascii="Cambria Math" w:hAnsi="Cambria Math" w:cs="Arial"/>
                  </w:rPr>
                  <m:t>N of titrant</m:t>
                </m:r>
              </m:e>
            </m:d>
            <m:r>
              <w:rPr>
                <w:rFonts w:ascii="Cambria Math" w:hAnsi="Cambria Math" w:cs="Arial"/>
              </w:rPr>
              <m:t>x (56.1)</m:t>
            </m:r>
          </m:num>
          <m:den>
            <m:r>
              <w:rPr>
                <w:rFonts w:ascii="Cambria Math" w:hAnsi="Cambria Math" w:cs="Arial"/>
              </w:rPr>
              <m:t>Weight of sample (g)</m:t>
            </m:r>
          </m:den>
        </m:f>
        <m:r>
          <w:rPr>
            <w:rFonts w:ascii="Cambria Math" w:hAnsi="Cambria Math" w:cs="Arial"/>
          </w:rPr>
          <m:t xml:space="preserve"> </m:t>
        </m:r>
        <m:f>
          <m:fPr>
            <m:ctrlPr>
              <w:rPr>
                <w:rFonts w:ascii="Cambria Math" w:hAnsi="Cambria Math" w:cs="Arial"/>
                <w:i/>
              </w:rPr>
            </m:ctrlPr>
          </m:fPr>
          <m:num>
            <m:r>
              <w:rPr>
                <w:rFonts w:ascii="Cambria Math" w:hAnsi="Cambria Math" w:cs="Arial"/>
              </w:rPr>
              <m:t>mgKOH</m:t>
            </m:r>
          </m:num>
          <m:den>
            <m:r>
              <w:rPr>
                <w:rFonts w:ascii="Cambria Math" w:hAnsi="Cambria Math" w:cs="Arial"/>
              </w:rPr>
              <m:t>samples (g)</m:t>
            </m:r>
          </m:den>
        </m:f>
      </m:oMath>
      <w:r w:rsidRPr="009573EC">
        <w:rPr>
          <w:rFonts w:ascii="Arial" w:eastAsiaTheme="minorEastAsia" w:hAnsi="Arial" w:cs="Arial"/>
        </w:rPr>
        <w:t xml:space="preserve"> </w:t>
      </w:r>
      <w:r w:rsidRPr="009573EC">
        <w:rPr>
          <w:rFonts w:ascii="Arial" w:eastAsiaTheme="minorEastAsia" w:hAnsi="Arial" w:cs="Arial"/>
        </w:rPr>
        <w:tab/>
      </w:r>
      <w:r w:rsidRPr="009573EC">
        <w:rPr>
          <w:rFonts w:ascii="Arial" w:eastAsiaTheme="minorEastAsia" w:hAnsi="Arial" w:cs="Arial"/>
        </w:rPr>
        <w:tab/>
        <w:t>Equation 4</w:t>
      </w:r>
    </w:p>
    <w:p w14:paraId="3A2EA44F" w14:textId="77777777" w:rsidR="00911210" w:rsidRPr="009573EC" w:rsidRDefault="00911210" w:rsidP="00911210">
      <w:pPr>
        <w:contextualSpacing/>
        <w:jc w:val="both"/>
        <w:rPr>
          <w:rFonts w:ascii="Arial" w:hAnsi="Arial" w:cs="Arial"/>
        </w:rPr>
      </w:pPr>
    </w:p>
    <w:p w14:paraId="2A624F08" w14:textId="77777777" w:rsidR="00911210" w:rsidRPr="009573EC" w:rsidRDefault="00911210" w:rsidP="00911210">
      <w:pPr>
        <w:contextualSpacing/>
        <w:jc w:val="both"/>
        <w:rPr>
          <w:rFonts w:ascii="Arial" w:hAnsi="Arial" w:cs="Arial"/>
        </w:rPr>
      </w:pPr>
      <w:r w:rsidRPr="009573EC">
        <w:rPr>
          <w:rFonts w:ascii="Arial" w:hAnsi="Arial" w:cs="Arial"/>
        </w:rPr>
        <w:t xml:space="preserve">Where, </w:t>
      </w:r>
    </w:p>
    <w:p w14:paraId="187EA1B4" w14:textId="77777777" w:rsidR="00911210" w:rsidRPr="009573EC" w:rsidRDefault="00911210" w:rsidP="00911210">
      <w:pPr>
        <w:contextualSpacing/>
        <w:jc w:val="both"/>
        <w:rPr>
          <w:rFonts w:ascii="Arial" w:hAnsi="Arial" w:cs="Arial"/>
        </w:rPr>
      </w:pPr>
      <w:r w:rsidRPr="009573EC">
        <w:rPr>
          <w:rFonts w:ascii="Arial" w:hAnsi="Arial" w:cs="Arial"/>
        </w:rPr>
        <w:t>V</w:t>
      </w:r>
      <w:r w:rsidRPr="009573EC">
        <w:rPr>
          <w:rFonts w:ascii="Arial" w:hAnsi="Arial" w:cs="Arial"/>
          <w:vertAlign w:val="subscript"/>
        </w:rPr>
        <w:t>s</w:t>
      </w:r>
      <w:r w:rsidRPr="009573EC">
        <w:rPr>
          <w:rFonts w:ascii="Arial" w:hAnsi="Arial" w:cs="Arial"/>
        </w:rPr>
        <w:t xml:space="preserve"> is the volume of titrant in ml and </w:t>
      </w:r>
      <w:proofErr w:type="spellStart"/>
      <w:r w:rsidRPr="009573EC">
        <w:rPr>
          <w:rFonts w:ascii="Arial" w:hAnsi="Arial" w:cs="Arial"/>
        </w:rPr>
        <w:t>V</w:t>
      </w:r>
      <w:r w:rsidRPr="009573EC">
        <w:rPr>
          <w:rFonts w:ascii="Arial" w:hAnsi="Arial" w:cs="Arial"/>
          <w:vertAlign w:val="subscript"/>
        </w:rPr>
        <w:t>b</w:t>
      </w:r>
      <w:proofErr w:type="spellEnd"/>
      <w:r w:rsidRPr="009573EC">
        <w:rPr>
          <w:rFonts w:ascii="Arial" w:hAnsi="Arial" w:cs="Arial"/>
        </w:rPr>
        <w:t xml:space="preserve"> is volume of blank in ml</w:t>
      </w:r>
    </w:p>
    <w:p w14:paraId="4D0E27EB" w14:textId="77777777" w:rsidR="00911210" w:rsidRPr="009573EC" w:rsidRDefault="00911210" w:rsidP="00911210">
      <w:pPr>
        <w:contextualSpacing/>
        <w:jc w:val="both"/>
        <w:rPr>
          <w:rFonts w:ascii="Arial" w:hAnsi="Arial" w:cs="Arial"/>
        </w:rPr>
      </w:pPr>
    </w:p>
    <w:p w14:paraId="331E3EAF" w14:textId="77777777" w:rsidR="00911210" w:rsidRPr="009573EC" w:rsidRDefault="00911210" w:rsidP="00911210">
      <w:pPr>
        <w:contextualSpacing/>
        <w:jc w:val="both"/>
        <w:rPr>
          <w:rFonts w:ascii="Arial" w:hAnsi="Arial" w:cs="Arial"/>
          <w:b/>
        </w:rPr>
      </w:pPr>
      <w:r w:rsidRPr="009573EC">
        <w:rPr>
          <w:rFonts w:ascii="Arial" w:hAnsi="Arial" w:cs="Arial"/>
          <w:b/>
        </w:rPr>
        <w:t>2.7 Inoculum Standardization</w:t>
      </w:r>
    </w:p>
    <w:p w14:paraId="2A579106" w14:textId="77777777" w:rsidR="00911210" w:rsidRPr="009573EC" w:rsidRDefault="00911210" w:rsidP="00265A19">
      <w:pPr>
        <w:contextualSpacing/>
        <w:jc w:val="both"/>
        <w:rPr>
          <w:rFonts w:ascii="Arial" w:hAnsi="Arial" w:cs="Arial"/>
        </w:rPr>
      </w:pPr>
      <w:r w:rsidRPr="009573EC">
        <w:rPr>
          <w:rFonts w:ascii="Arial" w:hAnsi="Arial" w:cs="Arial"/>
        </w:rPr>
        <w:t xml:space="preserve">From the 24 h cultures of the characterized lipolytic </w:t>
      </w:r>
      <w:r w:rsidRPr="009573EC">
        <w:rPr>
          <w:rFonts w:ascii="Arial" w:hAnsi="Arial" w:cs="Arial"/>
          <w:i/>
        </w:rPr>
        <w:t>Candida albicans</w:t>
      </w:r>
      <w:r w:rsidRPr="009573EC">
        <w:rPr>
          <w:rFonts w:ascii="Arial" w:hAnsi="Arial" w:cs="Arial"/>
        </w:rPr>
        <w:t xml:space="preserve"> and </w:t>
      </w:r>
      <w:r w:rsidRPr="009573EC">
        <w:rPr>
          <w:rFonts w:ascii="Arial" w:hAnsi="Arial" w:cs="Arial"/>
          <w:i/>
        </w:rPr>
        <w:t>Pseudomonas aeruginosa,</w:t>
      </w:r>
      <w:r w:rsidRPr="009573EC">
        <w:rPr>
          <w:rFonts w:ascii="Arial" w:hAnsi="Arial" w:cs="Arial"/>
        </w:rPr>
        <w:t xml:space="preserve"> 3 loopfuls were taken and inoculated into previously sterilized potato dextrose broth and nutrient broth, respectively. The 0.5 MacFarland turbidity standard (equivalent to </w:t>
      </w:r>
      <w:r w:rsidRPr="009573EC">
        <w:rPr>
          <w:rFonts w:ascii="Arial" w:hAnsi="Arial" w:cs="Arial"/>
        </w:rPr>
        <w:lastRenderedPageBreak/>
        <w:t>1.5 x10</w:t>
      </w:r>
      <w:r w:rsidRPr="009573EC">
        <w:rPr>
          <w:rFonts w:ascii="Arial" w:hAnsi="Arial" w:cs="Arial"/>
          <w:vertAlign w:val="superscript"/>
        </w:rPr>
        <w:t>8</w:t>
      </w:r>
      <w:r w:rsidRPr="009573EC">
        <w:rPr>
          <w:rFonts w:ascii="Arial" w:hAnsi="Arial" w:cs="Arial"/>
        </w:rPr>
        <w:t xml:space="preserve"> </w:t>
      </w:r>
      <w:proofErr w:type="spellStart"/>
      <w:r w:rsidRPr="009573EC">
        <w:rPr>
          <w:rFonts w:ascii="Arial" w:hAnsi="Arial" w:cs="Arial"/>
        </w:rPr>
        <w:t>cfu</w:t>
      </w:r>
      <w:proofErr w:type="spellEnd"/>
      <w:r w:rsidRPr="009573EC">
        <w:rPr>
          <w:rFonts w:ascii="Arial" w:hAnsi="Arial" w:cs="Arial"/>
        </w:rPr>
        <w:t xml:space="preserve"> ml</w:t>
      </w:r>
      <w:r w:rsidRPr="009573EC">
        <w:rPr>
          <w:rFonts w:ascii="Arial" w:hAnsi="Arial" w:cs="Arial"/>
          <w:vertAlign w:val="superscript"/>
        </w:rPr>
        <w:t>-1</w:t>
      </w:r>
      <w:r w:rsidRPr="009573EC">
        <w:rPr>
          <w:rFonts w:ascii="Arial" w:hAnsi="Arial" w:cs="Arial"/>
        </w:rPr>
        <w:t>), which was made by mixing 0.5 ml of 1.175% barium chloride with 99.5 ml of 1% H</w:t>
      </w:r>
      <w:r w:rsidRPr="009573EC">
        <w:rPr>
          <w:rFonts w:ascii="Arial" w:hAnsi="Arial" w:cs="Arial"/>
          <w:vertAlign w:val="subscript"/>
        </w:rPr>
        <w:t>2</w:t>
      </w:r>
      <w:r w:rsidRPr="009573EC">
        <w:rPr>
          <w:rFonts w:ascii="Arial" w:hAnsi="Arial" w:cs="Arial"/>
        </w:rPr>
        <w:t>SO</w:t>
      </w:r>
      <w:r w:rsidRPr="009573EC">
        <w:rPr>
          <w:rFonts w:ascii="Arial" w:hAnsi="Arial" w:cs="Arial"/>
          <w:vertAlign w:val="subscript"/>
        </w:rPr>
        <w:t>4</w:t>
      </w:r>
      <w:r w:rsidRPr="009573EC">
        <w:rPr>
          <w:rFonts w:ascii="Arial" w:hAnsi="Arial" w:cs="Arial"/>
        </w:rPr>
        <w:t xml:space="preserve">, was used to standardize the </w:t>
      </w:r>
      <w:proofErr w:type="spellStart"/>
      <w:r w:rsidRPr="009573EC">
        <w:rPr>
          <w:rFonts w:ascii="Arial" w:hAnsi="Arial" w:cs="Arial"/>
        </w:rPr>
        <w:t>inocula</w:t>
      </w:r>
      <w:proofErr w:type="spellEnd"/>
      <w:r w:rsidRPr="009573EC">
        <w:rPr>
          <w:rFonts w:ascii="Arial" w:hAnsi="Arial" w:cs="Arial"/>
        </w:rPr>
        <w:t>. This was done by comparing the turbidity of freshly prepared bacterial/fungal suspensions to the turbidity of the standard when viewed at 625 nm.</w:t>
      </w:r>
    </w:p>
    <w:p w14:paraId="7C6357A9" w14:textId="77777777" w:rsidR="00911210" w:rsidRPr="009573EC" w:rsidRDefault="00911210" w:rsidP="00911210">
      <w:pPr>
        <w:contextualSpacing/>
        <w:jc w:val="both"/>
        <w:rPr>
          <w:rFonts w:ascii="Arial" w:hAnsi="Arial" w:cs="Arial"/>
        </w:rPr>
      </w:pPr>
    </w:p>
    <w:p w14:paraId="0A26EF5A" w14:textId="77777777" w:rsidR="00911210" w:rsidRPr="009573EC" w:rsidRDefault="00911210" w:rsidP="00911210">
      <w:pPr>
        <w:contextualSpacing/>
        <w:jc w:val="both"/>
        <w:rPr>
          <w:rFonts w:ascii="Arial" w:hAnsi="Arial" w:cs="Arial"/>
          <w:b/>
        </w:rPr>
      </w:pPr>
      <w:r w:rsidRPr="009573EC">
        <w:rPr>
          <w:rFonts w:ascii="Arial" w:hAnsi="Arial" w:cs="Arial"/>
          <w:b/>
        </w:rPr>
        <w:t>2.8 Production of Biodiesel</w:t>
      </w:r>
    </w:p>
    <w:p w14:paraId="12B8F40A" w14:textId="00B405BF" w:rsidR="00911210" w:rsidRPr="009573EC" w:rsidRDefault="00911210" w:rsidP="00265A19">
      <w:pPr>
        <w:contextualSpacing/>
        <w:jc w:val="both"/>
        <w:rPr>
          <w:rFonts w:ascii="Arial" w:hAnsi="Arial" w:cs="Arial"/>
        </w:rPr>
      </w:pPr>
      <w:r w:rsidRPr="009573EC">
        <w:rPr>
          <w:rFonts w:ascii="Arial" w:hAnsi="Arial" w:cs="Arial"/>
        </w:rPr>
        <w:t xml:space="preserve">The production of biodiesel was done at 28±2 </w:t>
      </w:r>
      <w:proofErr w:type="spellStart"/>
      <w:r w:rsidRPr="009573EC">
        <w:rPr>
          <w:rFonts w:ascii="Arial" w:hAnsi="Arial" w:cs="Arial"/>
          <w:vertAlign w:val="superscript"/>
        </w:rPr>
        <w:t>o</w:t>
      </w:r>
      <w:r w:rsidRPr="009573EC">
        <w:rPr>
          <w:rFonts w:ascii="Arial" w:hAnsi="Arial" w:cs="Arial"/>
        </w:rPr>
        <w:t>C</w:t>
      </w:r>
      <w:proofErr w:type="spellEnd"/>
      <w:r w:rsidRPr="009573EC">
        <w:rPr>
          <w:rFonts w:ascii="Arial" w:hAnsi="Arial" w:cs="Arial"/>
        </w:rPr>
        <w:t xml:space="preserve"> with a 250 rpm agitation speed </w:t>
      </w:r>
      <w:r w:rsidR="00B64111">
        <w:rPr>
          <w:rFonts w:ascii="Arial" w:hAnsi="Arial" w:cs="Arial"/>
        </w:rPr>
        <w:t>(</w:t>
      </w:r>
      <w:r w:rsidR="00B64111" w:rsidRPr="00B64111">
        <w:rPr>
          <w:rFonts w:ascii="Arial" w:hAnsi="Arial" w:cs="Arial"/>
        </w:rPr>
        <w:t>Rahul</w:t>
      </w:r>
      <w:r w:rsidR="00B64111">
        <w:rPr>
          <w:rFonts w:ascii="Arial" w:hAnsi="Arial" w:cs="Arial"/>
        </w:rPr>
        <w:t xml:space="preserve"> et al., 2025)</w:t>
      </w:r>
      <w:r w:rsidRPr="009573EC">
        <w:rPr>
          <w:rFonts w:ascii="Arial" w:hAnsi="Arial" w:cs="Arial"/>
        </w:rPr>
        <w:t xml:space="preserve">. Co-culture of </w:t>
      </w:r>
      <w:r w:rsidRPr="009573EC">
        <w:rPr>
          <w:rFonts w:ascii="Arial" w:hAnsi="Arial" w:cs="Arial"/>
          <w:i/>
        </w:rPr>
        <w:t>Candida albicans</w:t>
      </w:r>
      <w:r w:rsidRPr="009573EC">
        <w:rPr>
          <w:rFonts w:ascii="Arial" w:hAnsi="Arial" w:cs="Arial"/>
        </w:rPr>
        <w:t xml:space="preserve"> and </w:t>
      </w:r>
      <w:r w:rsidRPr="009573EC">
        <w:rPr>
          <w:rFonts w:ascii="Arial" w:hAnsi="Arial" w:cs="Arial"/>
          <w:i/>
        </w:rPr>
        <w:t>Pseudomonas aeruginosa</w:t>
      </w:r>
      <w:r w:rsidRPr="009573EC">
        <w:rPr>
          <w:rFonts w:ascii="Arial" w:hAnsi="Arial" w:cs="Arial"/>
        </w:rPr>
        <w:t xml:space="preserve"> (1:1) was used as whole-cell biocatalyst which was responsible for the enzymatic transesterification of the mixed POME. The reaction was carried out in a 50 mL beaker using 30% v/v of 0.5 McFarland standardized co-culture and a molar ratio POME: ethanol</w:t>
      </w:r>
      <w:r w:rsidR="002B0618">
        <w:rPr>
          <w:rFonts w:ascii="Arial" w:hAnsi="Arial" w:cs="Arial"/>
        </w:rPr>
        <w:t xml:space="preserve"> (95%)</w:t>
      </w:r>
      <w:r w:rsidRPr="009573EC">
        <w:rPr>
          <w:rFonts w:ascii="Arial" w:hAnsi="Arial" w:cs="Arial"/>
        </w:rPr>
        <w:t xml:space="preserve"> of 1:4. The pH was kept at 7, and the water content was set at 15 %wt. Three portions of ethanol were regularly added at 0 h, 12 h, and 24 h. Biodiesel production was allowed for 36 h. After centrifuging the mixture for 20 min at 6000 rpm, and boiling the supernatant (for removal of unreacted ethanol), the resultant biodiesel was recovered. The biodiesel was then characterized using GC–MS analysis.</w:t>
      </w:r>
    </w:p>
    <w:p w14:paraId="5C76DAC7" w14:textId="77777777" w:rsidR="00911210" w:rsidRDefault="00911210" w:rsidP="00911210">
      <w:pPr>
        <w:contextualSpacing/>
        <w:jc w:val="both"/>
        <w:rPr>
          <w:rFonts w:ascii="Arial" w:hAnsi="Arial" w:cs="Arial"/>
        </w:rPr>
      </w:pPr>
    </w:p>
    <w:p w14:paraId="56B3F881" w14:textId="77777777" w:rsidR="00911210" w:rsidRPr="009573EC" w:rsidRDefault="00911210" w:rsidP="00911210">
      <w:pPr>
        <w:contextualSpacing/>
        <w:jc w:val="both"/>
        <w:rPr>
          <w:rFonts w:ascii="Arial" w:hAnsi="Arial" w:cs="Arial"/>
          <w:b/>
        </w:rPr>
      </w:pPr>
      <w:r w:rsidRPr="009573EC">
        <w:rPr>
          <w:rFonts w:ascii="Arial" w:hAnsi="Arial" w:cs="Arial"/>
          <w:b/>
        </w:rPr>
        <w:t>2.8.1 Biodiesel yield determination</w:t>
      </w:r>
    </w:p>
    <w:p w14:paraId="51516280" w14:textId="30DFF3DD" w:rsidR="00911210" w:rsidRPr="009573EC" w:rsidRDefault="00911210" w:rsidP="00265A19">
      <w:pPr>
        <w:contextualSpacing/>
        <w:jc w:val="both"/>
        <w:rPr>
          <w:rFonts w:ascii="Arial" w:hAnsi="Arial" w:cs="Arial"/>
        </w:rPr>
      </w:pPr>
      <w:r w:rsidRPr="009573EC">
        <w:rPr>
          <w:rFonts w:ascii="Arial" w:hAnsi="Arial" w:cs="Arial"/>
        </w:rPr>
        <w:t>Computation of</w:t>
      </w:r>
      <w:r w:rsidR="00447B34">
        <w:rPr>
          <w:rFonts w:ascii="Arial" w:hAnsi="Arial" w:cs="Arial"/>
        </w:rPr>
        <w:t xml:space="preserve"> percentage</w:t>
      </w:r>
      <w:r w:rsidRPr="009573EC">
        <w:rPr>
          <w:rFonts w:ascii="Arial" w:hAnsi="Arial" w:cs="Arial"/>
        </w:rPr>
        <w:t xml:space="preserve"> biodiesel yield was done using Equation 5 </w:t>
      </w:r>
      <w:r w:rsidR="00B2193D">
        <w:rPr>
          <w:rFonts w:ascii="Arial" w:hAnsi="Arial" w:cs="Arial"/>
        </w:rPr>
        <w:t>(</w:t>
      </w:r>
      <w:proofErr w:type="spellStart"/>
      <w:r w:rsidR="00B2193D" w:rsidRPr="00B2193D">
        <w:rPr>
          <w:rFonts w:ascii="Arial" w:hAnsi="Arial" w:cs="Arial"/>
        </w:rPr>
        <w:t>Aworanti</w:t>
      </w:r>
      <w:proofErr w:type="spellEnd"/>
      <w:r w:rsidR="00B2193D">
        <w:rPr>
          <w:rFonts w:ascii="Arial" w:hAnsi="Arial" w:cs="Arial"/>
        </w:rPr>
        <w:t xml:space="preserve"> et al., 2019)</w:t>
      </w:r>
      <w:r w:rsidRPr="009573EC">
        <w:rPr>
          <w:rFonts w:ascii="Arial" w:hAnsi="Arial" w:cs="Arial"/>
        </w:rPr>
        <w:t>.</w:t>
      </w:r>
    </w:p>
    <w:p w14:paraId="3A3CA915" w14:textId="77777777" w:rsidR="00911210" w:rsidRPr="009573EC" w:rsidRDefault="00911210" w:rsidP="00911210">
      <w:pPr>
        <w:contextualSpacing/>
        <w:jc w:val="both"/>
        <w:rPr>
          <w:rFonts w:ascii="Arial" w:hAnsi="Arial" w:cs="Arial"/>
        </w:rPr>
      </w:pPr>
    </w:p>
    <w:p w14:paraId="442F69A3" w14:textId="1D9D26A3" w:rsidR="00911210" w:rsidRPr="009573EC" w:rsidRDefault="00447B34" w:rsidP="00911210">
      <w:pPr>
        <w:contextualSpacing/>
        <w:jc w:val="both"/>
        <w:rPr>
          <w:rFonts w:ascii="Arial" w:hAnsi="Arial" w:cs="Arial"/>
        </w:rPr>
      </w:pPr>
      <m:oMath>
        <m:r>
          <m:rPr>
            <m:sty m:val="p"/>
          </m:rPr>
          <w:rPr>
            <w:rFonts w:ascii="Cambria Math" w:hAnsi="Cambria Math" w:cs="Arial"/>
          </w:rPr>
          <m:t>%Biodiesel yield=</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V</m:t>
                </m:r>
              </m:e>
              <m:sub>
                <m:r>
                  <w:rPr>
                    <w:rFonts w:ascii="Cambria Math" w:hAnsi="Cambria Math" w:cs="Arial"/>
                  </w:rPr>
                  <m:t>BP</m:t>
                </m:r>
              </m:sub>
            </m:sSub>
            <m:r>
              <w:rPr>
                <w:rFonts w:ascii="Cambria Math" w:hAnsi="Cambria Math" w:cs="Arial"/>
              </w:rPr>
              <m:t xml:space="preserve"> x 100</m:t>
            </m:r>
          </m:num>
          <m:den>
            <m:sSub>
              <m:sSubPr>
                <m:ctrlPr>
                  <w:rPr>
                    <w:rFonts w:ascii="Cambria Math" w:hAnsi="Cambria Math" w:cs="Arial"/>
                    <w:i/>
                  </w:rPr>
                </m:ctrlPr>
              </m:sSubPr>
              <m:e>
                <m:r>
                  <w:rPr>
                    <w:rFonts w:ascii="Cambria Math" w:hAnsi="Cambria Math" w:cs="Arial"/>
                  </w:rPr>
                  <m:t>V</m:t>
                </m:r>
              </m:e>
              <m:sub>
                <m:r>
                  <w:rPr>
                    <w:rFonts w:ascii="Cambria Math" w:hAnsi="Cambria Math" w:cs="Arial"/>
                  </w:rPr>
                  <m:t>P</m:t>
                </m:r>
              </m:sub>
            </m:sSub>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M</m:t>
                </m:r>
              </m:sub>
            </m:sSub>
            <m:r>
              <w:rPr>
                <w:rFonts w:ascii="Cambria Math" w:hAnsi="Cambria Math" w:cs="Arial"/>
              </w:rPr>
              <m:t>(ml)</m:t>
            </m:r>
          </m:den>
        </m:f>
      </m:oMath>
      <w:r w:rsidR="00911210" w:rsidRPr="009573EC">
        <w:rPr>
          <w:rFonts w:ascii="Arial" w:eastAsiaTheme="minorEastAsia" w:hAnsi="Arial" w:cs="Arial"/>
        </w:rPr>
        <w:tab/>
      </w:r>
      <w:r w:rsidR="00911210" w:rsidRPr="009573EC">
        <w:rPr>
          <w:rFonts w:ascii="Arial" w:eastAsiaTheme="minorEastAsia" w:hAnsi="Arial" w:cs="Arial"/>
        </w:rPr>
        <w:tab/>
      </w:r>
      <w:r w:rsidR="00911210" w:rsidRPr="009573EC">
        <w:rPr>
          <w:rFonts w:ascii="Arial" w:eastAsiaTheme="minorEastAsia" w:hAnsi="Arial" w:cs="Arial"/>
        </w:rPr>
        <w:tab/>
      </w:r>
      <w:r w:rsidR="00911210" w:rsidRPr="009573EC">
        <w:rPr>
          <w:rFonts w:ascii="Arial" w:eastAsiaTheme="minorEastAsia" w:hAnsi="Arial" w:cs="Arial"/>
        </w:rPr>
        <w:tab/>
        <w:t>Equation 5</w:t>
      </w:r>
    </w:p>
    <w:p w14:paraId="69F47857" w14:textId="77777777" w:rsidR="00911210" w:rsidRPr="009573EC" w:rsidRDefault="00911210" w:rsidP="00911210">
      <w:pPr>
        <w:contextualSpacing/>
        <w:jc w:val="both"/>
        <w:rPr>
          <w:rFonts w:ascii="Arial" w:hAnsi="Arial" w:cs="Arial"/>
        </w:rPr>
      </w:pPr>
    </w:p>
    <w:p w14:paraId="62B9918C" w14:textId="77777777" w:rsidR="00911210" w:rsidRPr="009573EC" w:rsidRDefault="00911210" w:rsidP="00911210">
      <w:pPr>
        <w:ind w:firstLine="360"/>
        <w:contextualSpacing/>
        <w:jc w:val="both"/>
        <w:rPr>
          <w:rFonts w:ascii="Arial" w:hAnsi="Arial" w:cs="Arial"/>
        </w:rPr>
      </w:pPr>
      <w:r w:rsidRPr="009573EC">
        <w:rPr>
          <w:rFonts w:ascii="Arial" w:hAnsi="Arial" w:cs="Arial"/>
        </w:rPr>
        <w:t>Where,</w:t>
      </w:r>
    </w:p>
    <w:p w14:paraId="04118FF0" w14:textId="77777777" w:rsidR="00911210" w:rsidRPr="009573EC" w:rsidRDefault="00911210" w:rsidP="00911210">
      <w:pPr>
        <w:contextualSpacing/>
        <w:jc w:val="both"/>
        <w:rPr>
          <w:rFonts w:ascii="Arial" w:hAnsi="Arial" w:cs="Arial"/>
        </w:rPr>
      </w:pPr>
      <w:r w:rsidRPr="009573EC">
        <w:rPr>
          <w:rFonts w:ascii="Arial" w:hAnsi="Arial" w:cs="Arial"/>
        </w:rPr>
        <w:t>V</w:t>
      </w:r>
      <w:r w:rsidRPr="009573EC">
        <w:rPr>
          <w:rFonts w:ascii="Arial" w:hAnsi="Arial" w:cs="Arial"/>
          <w:vertAlign w:val="subscript"/>
        </w:rPr>
        <w:t>BP</w:t>
      </w:r>
      <w:r w:rsidRPr="009573EC">
        <w:rPr>
          <w:rFonts w:ascii="Arial" w:hAnsi="Arial" w:cs="Arial"/>
        </w:rPr>
        <w:t xml:space="preserve"> refers to the volume (ml) of biodiesel produced</w:t>
      </w:r>
    </w:p>
    <w:p w14:paraId="30CBA921" w14:textId="77777777" w:rsidR="00911210" w:rsidRPr="009573EC" w:rsidRDefault="00911210" w:rsidP="00911210">
      <w:pPr>
        <w:contextualSpacing/>
        <w:jc w:val="both"/>
        <w:rPr>
          <w:rFonts w:ascii="Arial" w:hAnsi="Arial" w:cs="Arial"/>
        </w:rPr>
      </w:pPr>
      <w:r w:rsidRPr="009573EC">
        <w:rPr>
          <w:rFonts w:ascii="Arial" w:hAnsi="Arial" w:cs="Arial"/>
        </w:rPr>
        <w:t>V</w:t>
      </w:r>
      <w:r w:rsidRPr="009573EC">
        <w:rPr>
          <w:rFonts w:ascii="Arial" w:hAnsi="Arial" w:cs="Arial"/>
          <w:vertAlign w:val="subscript"/>
        </w:rPr>
        <w:t>P</w:t>
      </w:r>
      <w:r w:rsidRPr="009573EC">
        <w:rPr>
          <w:rFonts w:ascii="Arial" w:hAnsi="Arial" w:cs="Arial"/>
        </w:rPr>
        <w:t xml:space="preserve"> refers to the volume (ml) of POME used</w:t>
      </w:r>
    </w:p>
    <w:p w14:paraId="102420A5" w14:textId="77777777" w:rsidR="00911210" w:rsidRPr="009573EC" w:rsidRDefault="00911210" w:rsidP="00911210">
      <w:pPr>
        <w:contextualSpacing/>
        <w:jc w:val="both"/>
        <w:rPr>
          <w:rFonts w:ascii="Arial" w:hAnsi="Arial" w:cs="Arial"/>
        </w:rPr>
      </w:pPr>
      <w:r w:rsidRPr="009573EC">
        <w:rPr>
          <w:rFonts w:ascii="Arial" w:hAnsi="Arial" w:cs="Arial"/>
        </w:rPr>
        <w:t>V</w:t>
      </w:r>
      <w:r w:rsidRPr="009573EC">
        <w:rPr>
          <w:rFonts w:ascii="Arial" w:hAnsi="Arial" w:cs="Arial"/>
          <w:vertAlign w:val="subscript"/>
        </w:rPr>
        <w:t>M</w:t>
      </w:r>
      <w:r w:rsidRPr="009573EC">
        <w:rPr>
          <w:rFonts w:ascii="Arial" w:hAnsi="Arial" w:cs="Arial"/>
        </w:rPr>
        <w:t xml:space="preserve"> refers to the volume (ml) of ethanol used.</w:t>
      </w:r>
    </w:p>
    <w:p w14:paraId="5505229F" w14:textId="77777777" w:rsidR="00911210" w:rsidRPr="009573EC" w:rsidRDefault="00911210" w:rsidP="00911210">
      <w:pPr>
        <w:contextualSpacing/>
        <w:jc w:val="both"/>
        <w:rPr>
          <w:rFonts w:ascii="Arial" w:hAnsi="Arial" w:cs="Arial"/>
        </w:rPr>
      </w:pPr>
    </w:p>
    <w:p w14:paraId="410E0EF2" w14:textId="77777777" w:rsidR="00911210" w:rsidRPr="009573EC" w:rsidRDefault="00911210" w:rsidP="00911210">
      <w:pPr>
        <w:contextualSpacing/>
        <w:jc w:val="both"/>
        <w:rPr>
          <w:rFonts w:ascii="Arial" w:hAnsi="Arial" w:cs="Arial"/>
          <w:b/>
        </w:rPr>
      </w:pPr>
      <w:r w:rsidRPr="009573EC">
        <w:rPr>
          <w:rFonts w:ascii="Arial" w:hAnsi="Arial" w:cs="Arial"/>
          <w:b/>
        </w:rPr>
        <w:t>2.8.2 Flash point measurement</w:t>
      </w:r>
    </w:p>
    <w:p w14:paraId="536023F1" w14:textId="77777777" w:rsidR="00911210" w:rsidRPr="009573EC" w:rsidRDefault="00911210" w:rsidP="00C15C33">
      <w:pPr>
        <w:contextualSpacing/>
        <w:jc w:val="both"/>
        <w:rPr>
          <w:rFonts w:ascii="Arial" w:hAnsi="Arial" w:cs="Arial"/>
        </w:rPr>
      </w:pPr>
      <w:r w:rsidRPr="009573EC">
        <w:rPr>
          <w:rFonts w:ascii="Arial" w:hAnsi="Arial" w:cs="Arial"/>
        </w:rPr>
        <w:t xml:space="preserve">The ASTM D92 standard was followed to measure the flash point of produced biodiesel samples using a Closed Cup Tester. The sample (30 ml) was heated to 32.5 °C after mixing thoroughly. It then placed in a Closed Cup and heated using a controlled heat source at 5 °C to 6°C/minute. While heating, small amount of air was added to the cup by intermittently opening and shutting the valve every 0.5 °C. A little flame was moved across the Cup's opening to detect any combustible vapors at each air introduction. The flash point of the biodiesel was regarded as the temperature at which there was a momentary ignition of the flammable vapor arising from the sample, which gave a distinct flash </w:t>
      </w:r>
      <w:r w:rsidR="00814639">
        <w:rPr>
          <w:rFonts w:ascii="Arial" w:hAnsi="Arial" w:cs="Arial"/>
        </w:rPr>
        <w:t>(</w:t>
      </w:r>
      <w:r w:rsidR="00814639" w:rsidRPr="00814639">
        <w:rPr>
          <w:rFonts w:ascii="Arial" w:hAnsi="Arial" w:cs="Arial"/>
        </w:rPr>
        <w:t>Thushari</w:t>
      </w:r>
      <w:r w:rsidR="00814639">
        <w:rPr>
          <w:rFonts w:ascii="Arial" w:hAnsi="Arial" w:cs="Arial"/>
        </w:rPr>
        <w:t xml:space="preserve"> et al., 2018)</w:t>
      </w:r>
      <w:r w:rsidRPr="009573EC">
        <w:rPr>
          <w:rFonts w:ascii="Arial" w:hAnsi="Arial" w:cs="Arial"/>
        </w:rPr>
        <w:t>.</w:t>
      </w:r>
    </w:p>
    <w:p w14:paraId="2A4FC013" w14:textId="77777777" w:rsidR="00911210" w:rsidRPr="009573EC" w:rsidRDefault="00911210" w:rsidP="00911210">
      <w:pPr>
        <w:contextualSpacing/>
        <w:jc w:val="both"/>
        <w:rPr>
          <w:rFonts w:ascii="Arial" w:hAnsi="Arial" w:cs="Arial"/>
        </w:rPr>
      </w:pPr>
    </w:p>
    <w:p w14:paraId="5088657A" w14:textId="77777777" w:rsidR="00911210" w:rsidRPr="009573EC" w:rsidRDefault="00911210" w:rsidP="00911210">
      <w:pPr>
        <w:contextualSpacing/>
        <w:jc w:val="both"/>
        <w:rPr>
          <w:rFonts w:ascii="Arial" w:hAnsi="Arial" w:cs="Arial"/>
          <w:b/>
        </w:rPr>
      </w:pPr>
      <w:r w:rsidRPr="009573EC">
        <w:rPr>
          <w:rFonts w:ascii="Arial" w:hAnsi="Arial" w:cs="Arial"/>
          <w:b/>
        </w:rPr>
        <w:t>2.8.3 Viscosity measurement</w:t>
      </w:r>
    </w:p>
    <w:p w14:paraId="1BA9EB97" w14:textId="028F50E5" w:rsidR="00911210" w:rsidRPr="009573EC" w:rsidRDefault="00911210" w:rsidP="00C15C33">
      <w:pPr>
        <w:contextualSpacing/>
        <w:jc w:val="both"/>
        <w:rPr>
          <w:rFonts w:ascii="Arial" w:hAnsi="Arial" w:cs="Arial"/>
        </w:rPr>
      </w:pPr>
      <w:r w:rsidRPr="009573EC">
        <w:rPr>
          <w:rFonts w:ascii="Arial" w:hAnsi="Arial" w:cs="Arial"/>
        </w:rPr>
        <w:t>The OFITE Automatic Viscometer D445 was used to measure viscosity. After carefully mixing 10 ml of the biodiesel</w:t>
      </w:r>
      <w:r w:rsidR="001D58DF">
        <w:rPr>
          <w:rFonts w:ascii="Arial" w:hAnsi="Arial" w:cs="Arial"/>
        </w:rPr>
        <w:t xml:space="preserve"> sample, it was heated to 4</w:t>
      </w:r>
      <w:r w:rsidRPr="009573EC">
        <w:rPr>
          <w:rFonts w:ascii="Arial" w:hAnsi="Arial" w:cs="Arial"/>
        </w:rPr>
        <w:t xml:space="preserve">0 </w:t>
      </w:r>
      <w:proofErr w:type="spellStart"/>
      <w:r w:rsidRPr="009573EC">
        <w:rPr>
          <w:rFonts w:ascii="Arial" w:hAnsi="Arial" w:cs="Arial"/>
          <w:vertAlign w:val="superscript"/>
        </w:rPr>
        <w:t>o</w:t>
      </w:r>
      <w:r w:rsidRPr="009573EC">
        <w:rPr>
          <w:rFonts w:ascii="Arial" w:hAnsi="Arial" w:cs="Arial"/>
        </w:rPr>
        <w:t>C.</w:t>
      </w:r>
      <w:proofErr w:type="spellEnd"/>
      <w:r w:rsidRPr="009573EC">
        <w:rPr>
          <w:rFonts w:ascii="Arial" w:hAnsi="Arial" w:cs="Arial"/>
        </w:rPr>
        <w:t xml:space="preserve"> At the test temperature, the sample was given time to achieve thermal equilibrium. According to the ASTM D445 standard, the range of expected viscosity of the diesel sample was used to determine the proper size viscometer capillary tube. After careful cleaning and drying, the chosen viscometer capillary tube was installed on the Viscometer. Then biodiesel sample was added to the Viscometer through flipping it over and letting it enter the capillary tube. After that, the Viscometer now containing the sample was put in a temperature-regulated bath and allowed for 15 min to attain the defined temperature. By automatically tilting the viscometer to a horizontal position, the OFITE Automatic Viscometer passes the biodiesel sample, under gravity, across the capillary tube. The duration for migration of the meniscus of the biodiesel sample from one designated timing mark on the capillary tube to another was also measured. Computation of biodiesel kinematic viscosity was done by the multiplication of the </w:t>
      </w:r>
      <w:r w:rsidRPr="009573EC">
        <w:rPr>
          <w:rFonts w:ascii="Arial" w:hAnsi="Arial" w:cs="Arial"/>
        </w:rPr>
        <w:lastRenderedPageBreak/>
        <w:t xml:space="preserve">calibration constant of the capillary tube used, with the measured flow time (in seconds) of the biodiesel sample </w:t>
      </w:r>
      <w:r w:rsidR="00CC0710">
        <w:rPr>
          <w:rFonts w:ascii="Arial" w:hAnsi="Arial" w:cs="Arial"/>
        </w:rPr>
        <w:t>(</w:t>
      </w:r>
      <w:r w:rsidR="00CC0710" w:rsidRPr="00CC0710">
        <w:rPr>
          <w:rFonts w:ascii="Arial" w:hAnsi="Arial" w:cs="Arial"/>
        </w:rPr>
        <w:t>Saeed</w:t>
      </w:r>
      <w:r w:rsidR="00CC0710">
        <w:rPr>
          <w:rFonts w:ascii="Arial" w:hAnsi="Arial" w:cs="Arial"/>
        </w:rPr>
        <w:t xml:space="preserve"> et al., 2019)</w:t>
      </w:r>
      <w:r w:rsidRPr="009573EC">
        <w:rPr>
          <w:rFonts w:ascii="Arial" w:hAnsi="Arial" w:cs="Arial"/>
        </w:rPr>
        <w:t>.</w:t>
      </w:r>
    </w:p>
    <w:p w14:paraId="60BFB368" w14:textId="77777777" w:rsidR="00911210" w:rsidRPr="009573EC" w:rsidRDefault="00911210" w:rsidP="00911210">
      <w:pPr>
        <w:contextualSpacing/>
        <w:jc w:val="both"/>
        <w:rPr>
          <w:rFonts w:ascii="Arial" w:hAnsi="Arial" w:cs="Arial"/>
        </w:rPr>
      </w:pPr>
    </w:p>
    <w:p w14:paraId="3552756C" w14:textId="77777777" w:rsidR="00911210" w:rsidRPr="009573EC" w:rsidRDefault="00911210" w:rsidP="00911210">
      <w:pPr>
        <w:contextualSpacing/>
        <w:jc w:val="both"/>
        <w:rPr>
          <w:rFonts w:ascii="Arial" w:hAnsi="Arial" w:cs="Arial"/>
          <w:b/>
        </w:rPr>
      </w:pPr>
      <w:r w:rsidRPr="009573EC">
        <w:rPr>
          <w:rFonts w:ascii="Arial" w:hAnsi="Arial" w:cs="Arial"/>
          <w:b/>
        </w:rPr>
        <w:t>2.8.4 Cetane rating of samples</w:t>
      </w:r>
    </w:p>
    <w:p w14:paraId="376F8581" w14:textId="77777777" w:rsidR="00911210" w:rsidRPr="009573EC" w:rsidRDefault="00911210" w:rsidP="00C15C33">
      <w:pPr>
        <w:contextualSpacing/>
        <w:jc w:val="both"/>
        <w:rPr>
          <w:rFonts w:ascii="Arial" w:hAnsi="Arial" w:cs="Arial"/>
        </w:rPr>
      </w:pPr>
      <w:r w:rsidRPr="009573EC">
        <w:rPr>
          <w:rFonts w:ascii="Arial" w:hAnsi="Arial" w:cs="Arial"/>
        </w:rPr>
        <w:t xml:space="preserve">The ASTM D976 Standard handheld </w:t>
      </w:r>
      <w:proofErr w:type="spellStart"/>
      <w:r w:rsidRPr="009573EC">
        <w:rPr>
          <w:rFonts w:ascii="Arial" w:hAnsi="Arial" w:cs="Arial"/>
        </w:rPr>
        <w:t>Labgent</w:t>
      </w:r>
      <w:proofErr w:type="spellEnd"/>
      <w:r w:rsidRPr="009573EC">
        <w:rPr>
          <w:rFonts w:ascii="Arial" w:hAnsi="Arial" w:cs="Arial"/>
        </w:rPr>
        <w:t xml:space="preserve"> Octane/Cetane Meter was used to rate cetane. Accordingly, the combustion chamber of the Octane/Cetane Meter was calibrated and 2 ml of the produced biodiesel sample was added to it. The combustion properties of the biodiesel, including the pressure-time curve and ignition delay time were measured by the meter. The cetane number of the biodiesel sample was extrapolated by the equipment using these characteristics, and then displayed </w:t>
      </w:r>
      <w:r w:rsidR="00181D6A">
        <w:rPr>
          <w:rFonts w:ascii="Arial" w:hAnsi="Arial" w:cs="Arial"/>
        </w:rPr>
        <w:t>(</w:t>
      </w:r>
      <w:r w:rsidR="00181D6A" w:rsidRPr="00181D6A">
        <w:rPr>
          <w:rFonts w:ascii="Arial" w:hAnsi="Arial" w:cs="Arial"/>
        </w:rPr>
        <w:t>Kaisan</w:t>
      </w:r>
      <w:r w:rsidR="00181D6A">
        <w:rPr>
          <w:rFonts w:ascii="Arial" w:hAnsi="Arial" w:cs="Arial"/>
        </w:rPr>
        <w:t xml:space="preserve"> et al., 2020)</w:t>
      </w:r>
      <w:r w:rsidRPr="009573EC">
        <w:rPr>
          <w:rFonts w:ascii="Arial" w:hAnsi="Arial" w:cs="Arial"/>
        </w:rPr>
        <w:t>.</w:t>
      </w:r>
    </w:p>
    <w:p w14:paraId="4C617476" w14:textId="77777777" w:rsidR="00911210" w:rsidRPr="009573EC" w:rsidRDefault="00911210" w:rsidP="00911210">
      <w:pPr>
        <w:contextualSpacing/>
        <w:jc w:val="both"/>
        <w:rPr>
          <w:rFonts w:ascii="Arial" w:hAnsi="Arial" w:cs="Arial"/>
        </w:rPr>
      </w:pPr>
    </w:p>
    <w:p w14:paraId="51BDC176" w14:textId="77777777" w:rsidR="00911210" w:rsidRPr="009573EC" w:rsidRDefault="00911210" w:rsidP="00911210">
      <w:pPr>
        <w:contextualSpacing/>
        <w:jc w:val="both"/>
        <w:rPr>
          <w:rFonts w:ascii="Arial" w:hAnsi="Arial" w:cs="Arial"/>
          <w:b/>
        </w:rPr>
      </w:pPr>
      <w:r w:rsidRPr="009573EC">
        <w:rPr>
          <w:rFonts w:ascii="Arial" w:hAnsi="Arial" w:cs="Arial"/>
          <w:b/>
        </w:rPr>
        <w:t>2.9. Statistical analysis</w:t>
      </w:r>
    </w:p>
    <w:p w14:paraId="77B3A999" w14:textId="760287B5" w:rsidR="00790ADA" w:rsidRDefault="00911210" w:rsidP="00911210">
      <w:pPr>
        <w:pStyle w:val="Body"/>
        <w:spacing w:after="0"/>
        <w:rPr>
          <w:rFonts w:ascii="Arial" w:hAnsi="Arial" w:cs="Arial"/>
        </w:rPr>
      </w:pPr>
      <w:r w:rsidRPr="009573EC">
        <w:rPr>
          <w:rFonts w:ascii="Arial" w:hAnsi="Arial" w:cs="Arial"/>
        </w:rPr>
        <w:t>The investigations were undertaken in triplicate. Microsoft Excel was used for data entry and cleaning. ANOVA and other suitable statistical tools in Minitab 17 were applied to perform analysis of the experimental data. At p&lt;0.05, the calculated differences in the mean values of samples were taken to be significant.</w:t>
      </w:r>
    </w:p>
    <w:p w14:paraId="5A1D2975" w14:textId="2BCC4D57" w:rsidR="00484841" w:rsidRDefault="00484841" w:rsidP="00911210">
      <w:pPr>
        <w:pStyle w:val="Body"/>
        <w:spacing w:after="0"/>
        <w:rPr>
          <w:rFonts w:ascii="Arial" w:hAnsi="Arial" w:cs="Arial"/>
        </w:rPr>
      </w:pPr>
    </w:p>
    <w:p w14:paraId="05DD91D9" w14:textId="20E017B8" w:rsidR="00484841" w:rsidRPr="00484841" w:rsidRDefault="00484841" w:rsidP="00484841">
      <w:pPr>
        <w:pStyle w:val="Body"/>
        <w:rPr>
          <w:rFonts w:ascii="Arial" w:hAnsi="Arial" w:cs="Arial"/>
          <w:b/>
        </w:rPr>
      </w:pPr>
      <w:r w:rsidRPr="00484841">
        <w:rPr>
          <w:rFonts w:ascii="Arial" w:hAnsi="Arial" w:cs="Arial"/>
          <w:b/>
        </w:rPr>
        <w:t xml:space="preserve">ETHICAL </w:t>
      </w:r>
      <w:r w:rsidRPr="00484841">
        <w:rPr>
          <w:rFonts w:ascii="Arial" w:hAnsi="Arial" w:cs="Arial"/>
          <w:b/>
        </w:rPr>
        <w:t>Consideration:</w:t>
      </w:r>
    </w:p>
    <w:p w14:paraId="57BFC24B" w14:textId="2030F439" w:rsidR="00484841" w:rsidRDefault="00484841" w:rsidP="00484841">
      <w:pPr>
        <w:pStyle w:val="Body"/>
        <w:spacing w:after="0"/>
        <w:rPr>
          <w:rFonts w:ascii="Arial" w:hAnsi="Arial" w:cs="Arial"/>
        </w:rPr>
      </w:pPr>
      <w:r w:rsidRPr="00484841">
        <w:rPr>
          <w:rFonts w:ascii="Arial" w:hAnsi="Arial" w:cs="Arial"/>
        </w:rPr>
        <w:t>All procedures involving Candida albicans were conducted in a Biosafety level 2 (BSL-2) laboratory following Institutional biosafety guidelines. Non-clinical strains were used and standard containment practices, including use of personal protective equipment and biosafety cabinets, were strictly observed. All waste materials, including treated POME, were decontaminated prior to disposal to prevent environmental release</w:t>
      </w:r>
    </w:p>
    <w:p w14:paraId="427E5BB3" w14:textId="77777777" w:rsidR="00911210" w:rsidRPr="00FB3A86" w:rsidRDefault="00911210" w:rsidP="00911210">
      <w:pPr>
        <w:pStyle w:val="Body"/>
        <w:spacing w:after="0"/>
        <w:rPr>
          <w:rFonts w:ascii="Arial" w:hAnsi="Arial" w:cs="Arial"/>
        </w:rPr>
      </w:pPr>
    </w:p>
    <w:p w14:paraId="0490CB75" w14:textId="5CEBF9E2"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bookmarkStart w:id="1" w:name="_GoBack"/>
      <w:bookmarkEnd w:id="1"/>
    </w:p>
    <w:p w14:paraId="41D9EA6C" w14:textId="77777777" w:rsidR="00790ADA" w:rsidRPr="00FB3A86" w:rsidRDefault="00790ADA" w:rsidP="0017536E">
      <w:pPr>
        <w:pStyle w:val="Head1"/>
        <w:spacing w:after="0"/>
        <w:jc w:val="both"/>
        <w:rPr>
          <w:rFonts w:ascii="Arial" w:hAnsi="Arial" w:cs="Arial"/>
        </w:rPr>
      </w:pPr>
    </w:p>
    <w:p w14:paraId="6002FD6F" w14:textId="77777777" w:rsidR="00C15C33" w:rsidRPr="00706DCE" w:rsidRDefault="00C15C33" w:rsidP="0017536E">
      <w:pPr>
        <w:contextualSpacing/>
        <w:jc w:val="both"/>
        <w:rPr>
          <w:rFonts w:ascii="Arial" w:hAnsi="Arial" w:cs="Arial"/>
          <w:b/>
        </w:rPr>
      </w:pPr>
      <w:r w:rsidRPr="00706DCE">
        <w:rPr>
          <w:rFonts w:ascii="Arial" w:hAnsi="Arial" w:cs="Arial"/>
          <w:b/>
        </w:rPr>
        <w:t>3.1 Properties of Mixed POME Sample</w:t>
      </w:r>
    </w:p>
    <w:p w14:paraId="6DC1811C" w14:textId="0AA3F76D" w:rsidR="00C15C33" w:rsidRPr="00706DCE" w:rsidRDefault="00C15C33" w:rsidP="001D162D">
      <w:pPr>
        <w:contextualSpacing/>
        <w:jc w:val="both"/>
        <w:rPr>
          <w:rFonts w:ascii="Arial" w:hAnsi="Arial" w:cs="Arial"/>
        </w:rPr>
      </w:pPr>
      <w:r w:rsidRPr="00706DCE">
        <w:rPr>
          <w:rFonts w:ascii="Arial" w:hAnsi="Arial" w:cs="Arial"/>
        </w:rPr>
        <w:t xml:space="preserve">The pH of the mixed POME sample was 3.68±0.40 indicating its acidity. The acid value of the mixed sample was 22.31±3.51 </w:t>
      </w:r>
      <w:proofErr w:type="spellStart"/>
      <w:r w:rsidRPr="00706DCE">
        <w:rPr>
          <w:rFonts w:ascii="Arial" w:hAnsi="Arial" w:cs="Arial"/>
        </w:rPr>
        <w:t>mgKOH</w:t>
      </w:r>
      <w:proofErr w:type="spellEnd"/>
      <w:r w:rsidRPr="00706DCE">
        <w:rPr>
          <w:rFonts w:ascii="Arial" w:hAnsi="Arial" w:cs="Arial"/>
        </w:rPr>
        <w:t>/g. It recorded free fatty acid value of 62.69±10.12</w:t>
      </w:r>
      <w:r w:rsidR="00674412">
        <w:rPr>
          <w:rFonts w:ascii="Arial" w:hAnsi="Arial" w:cs="Arial"/>
        </w:rPr>
        <w:t xml:space="preserve"> </w:t>
      </w:r>
      <w:r w:rsidR="00674412" w:rsidRPr="00706DCE">
        <w:rPr>
          <w:rFonts w:ascii="Arial" w:hAnsi="Arial" w:cs="Arial"/>
        </w:rPr>
        <w:t>mg</w:t>
      </w:r>
      <w:r w:rsidR="00674412">
        <w:rPr>
          <w:rFonts w:ascii="Arial" w:hAnsi="Arial" w:cs="Arial"/>
        </w:rPr>
        <w:t xml:space="preserve"> </w:t>
      </w:r>
      <w:r w:rsidR="008037CC">
        <w:rPr>
          <w:rFonts w:ascii="Arial" w:hAnsi="Arial" w:cs="Arial"/>
        </w:rPr>
        <w:t>KOH/g</w:t>
      </w:r>
      <w:r w:rsidRPr="00706DCE">
        <w:rPr>
          <w:rFonts w:ascii="Arial" w:hAnsi="Arial" w:cs="Arial"/>
        </w:rPr>
        <w:t xml:space="preserve"> with saponification value of 125.06±3.46 mg/g. The moisture content was 69.13±7.68% as shown in Table </w:t>
      </w:r>
      <w:r w:rsidRPr="00706DCE">
        <w:rPr>
          <w:rFonts w:ascii="Arial" w:hAnsi="Arial" w:cs="Arial"/>
          <w:b/>
        </w:rPr>
        <w:t>1</w:t>
      </w:r>
      <w:r w:rsidRPr="00706DCE">
        <w:rPr>
          <w:rFonts w:ascii="Arial" w:hAnsi="Arial" w:cs="Arial"/>
        </w:rPr>
        <w:t>.</w:t>
      </w:r>
    </w:p>
    <w:p w14:paraId="3382FDB1" w14:textId="77777777" w:rsidR="00C15C33" w:rsidRPr="00706DCE" w:rsidRDefault="00C15C33" w:rsidP="0017536E">
      <w:pPr>
        <w:contextualSpacing/>
        <w:jc w:val="both"/>
        <w:rPr>
          <w:rFonts w:ascii="Arial" w:hAnsi="Arial" w:cs="Arial"/>
        </w:rPr>
      </w:pPr>
    </w:p>
    <w:p w14:paraId="434B4625" w14:textId="77777777" w:rsidR="00C15C33" w:rsidRPr="00706DCE" w:rsidRDefault="00C15C33" w:rsidP="0017536E">
      <w:pPr>
        <w:contextualSpacing/>
        <w:jc w:val="both"/>
        <w:rPr>
          <w:rFonts w:ascii="Arial" w:hAnsi="Arial" w:cs="Arial"/>
        </w:rPr>
      </w:pPr>
      <w:r w:rsidRPr="00706DCE">
        <w:rPr>
          <w:rFonts w:ascii="Arial" w:hAnsi="Arial" w:cs="Arial"/>
          <w:b/>
        </w:rPr>
        <w:t>Table 1.</w:t>
      </w:r>
      <w:r w:rsidRPr="00706DCE">
        <w:rPr>
          <w:rFonts w:ascii="Arial" w:hAnsi="Arial" w:cs="Arial"/>
        </w:rPr>
        <w:t xml:space="preserve"> Physicochemical characteristics of mixed POME sample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3"/>
        <w:gridCol w:w="3638"/>
      </w:tblGrid>
      <w:tr w:rsidR="00C15C33" w:rsidRPr="00706DCE" w14:paraId="6C894131" w14:textId="77777777" w:rsidTr="0026771C">
        <w:trPr>
          <w:jc w:val="center"/>
        </w:trPr>
        <w:tc>
          <w:tcPr>
            <w:tcW w:w="3533" w:type="dxa"/>
            <w:tcBorders>
              <w:top w:val="single" w:sz="4" w:space="0" w:color="auto"/>
              <w:bottom w:val="single" w:sz="4" w:space="0" w:color="auto"/>
            </w:tcBorders>
          </w:tcPr>
          <w:p w14:paraId="39CEC0EC" w14:textId="77777777" w:rsidR="00C15C33" w:rsidRPr="00706DCE" w:rsidRDefault="00C15C33" w:rsidP="0017536E">
            <w:pPr>
              <w:contextualSpacing/>
              <w:jc w:val="both"/>
              <w:rPr>
                <w:rFonts w:ascii="Arial" w:hAnsi="Arial" w:cs="Arial"/>
                <w:b/>
                <w:sz w:val="20"/>
                <w:szCs w:val="20"/>
              </w:rPr>
            </w:pPr>
            <w:r w:rsidRPr="00706DCE">
              <w:rPr>
                <w:rFonts w:ascii="Arial" w:hAnsi="Arial" w:cs="Arial"/>
                <w:b/>
                <w:sz w:val="20"/>
                <w:szCs w:val="20"/>
              </w:rPr>
              <w:t>Variables</w:t>
            </w:r>
          </w:p>
        </w:tc>
        <w:tc>
          <w:tcPr>
            <w:tcW w:w="0" w:type="auto"/>
            <w:tcBorders>
              <w:top w:val="single" w:sz="4" w:space="0" w:color="auto"/>
              <w:bottom w:val="single" w:sz="4" w:space="0" w:color="auto"/>
            </w:tcBorders>
          </w:tcPr>
          <w:p w14:paraId="4BCC0283" w14:textId="77777777" w:rsidR="00C15C33" w:rsidRPr="00706DCE" w:rsidRDefault="00C15C33" w:rsidP="0017536E">
            <w:pPr>
              <w:contextualSpacing/>
              <w:jc w:val="both"/>
              <w:rPr>
                <w:rFonts w:ascii="Arial" w:hAnsi="Arial" w:cs="Arial"/>
                <w:b/>
                <w:sz w:val="20"/>
                <w:szCs w:val="20"/>
              </w:rPr>
            </w:pPr>
            <w:r w:rsidRPr="00706DCE">
              <w:rPr>
                <w:rFonts w:ascii="Arial" w:hAnsi="Arial" w:cs="Arial"/>
                <w:b/>
                <w:sz w:val="20"/>
                <w:szCs w:val="20"/>
              </w:rPr>
              <w:t>Results (Mean ± standard deviation)</w:t>
            </w:r>
          </w:p>
        </w:tc>
      </w:tr>
      <w:tr w:rsidR="00C15C33" w:rsidRPr="00706DCE" w14:paraId="5E134674" w14:textId="77777777" w:rsidTr="0026771C">
        <w:trPr>
          <w:jc w:val="center"/>
        </w:trPr>
        <w:tc>
          <w:tcPr>
            <w:tcW w:w="3533" w:type="dxa"/>
            <w:tcBorders>
              <w:top w:val="single" w:sz="4" w:space="0" w:color="auto"/>
            </w:tcBorders>
          </w:tcPr>
          <w:p w14:paraId="6896DA54" w14:textId="2611991A"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Acid value (mg</w:t>
            </w:r>
            <w:r w:rsidR="001C77DB">
              <w:rPr>
                <w:rFonts w:ascii="Arial" w:hAnsi="Arial" w:cs="Arial"/>
                <w:sz w:val="20"/>
                <w:szCs w:val="20"/>
              </w:rPr>
              <w:t xml:space="preserve"> </w:t>
            </w:r>
            <w:r w:rsidRPr="00706DCE">
              <w:rPr>
                <w:rFonts w:ascii="Arial" w:hAnsi="Arial" w:cs="Arial"/>
                <w:sz w:val="20"/>
                <w:szCs w:val="20"/>
              </w:rPr>
              <w:t>KOH/g)</w:t>
            </w:r>
          </w:p>
        </w:tc>
        <w:tc>
          <w:tcPr>
            <w:tcW w:w="0" w:type="auto"/>
            <w:tcBorders>
              <w:top w:val="single" w:sz="4" w:space="0" w:color="auto"/>
            </w:tcBorders>
          </w:tcPr>
          <w:p w14:paraId="7E42A726"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22.31±3.51</w:t>
            </w:r>
          </w:p>
        </w:tc>
      </w:tr>
      <w:tr w:rsidR="00C15C33" w:rsidRPr="00706DCE" w14:paraId="09B02364" w14:textId="77777777" w:rsidTr="0026771C">
        <w:trPr>
          <w:jc w:val="center"/>
        </w:trPr>
        <w:tc>
          <w:tcPr>
            <w:tcW w:w="3533" w:type="dxa"/>
          </w:tcPr>
          <w:p w14:paraId="2482AE7A" w14:textId="26A82E46"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Free fatty acid value</w:t>
            </w:r>
            <w:r w:rsidR="001C77DB">
              <w:rPr>
                <w:rFonts w:ascii="Arial" w:hAnsi="Arial" w:cs="Arial"/>
                <w:sz w:val="20"/>
                <w:szCs w:val="20"/>
              </w:rPr>
              <w:t xml:space="preserve"> </w:t>
            </w:r>
            <w:r w:rsidR="001C77DB" w:rsidRPr="00706DCE">
              <w:rPr>
                <w:rFonts w:ascii="Arial" w:hAnsi="Arial" w:cs="Arial"/>
                <w:sz w:val="20"/>
                <w:szCs w:val="20"/>
              </w:rPr>
              <w:t>(mg</w:t>
            </w:r>
            <w:r w:rsidR="001C77DB">
              <w:rPr>
                <w:rFonts w:ascii="Arial" w:hAnsi="Arial" w:cs="Arial"/>
                <w:sz w:val="20"/>
                <w:szCs w:val="20"/>
              </w:rPr>
              <w:t xml:space="preserve"> </w:t>
            </w:r>
            <w:r w:rsidR="001C77DB" w:rsidRPr="00706DCE">
              <w:rPr>
                <w:rFonts w:ascii="Arial" w:hAnsi="Arial" w:cs="Arial"/>
                <w:sz w:val="20"/>
                <w:szCs w:val="20"/>
              </w:rPr>
              <w:t>KOH/g)</w:t>
            </w:r>
          </w:p>
        </w:tc>
        <w:tc>
          <w:tcPr>
            <w:tcW w:w="0" w:type="auto"/>
          </w:tcPr>
          <w:p w14:paraId="446C4C19"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62.69±10.12</w:t>
            </w:r>
          </w:p>
        </w:tc>
      </w:tr>
      <w:tr w:rsidR="00C15C33" w:rsidRPr="00706DCE" w14:paraId="5AB954C3" w14:textId="77777777" w:rsidTr="0026771C">
        <w:trPr>
          <w:jc w:val="center"/>
        </w:trPr>
        <w:tc>
          <w:tcPr>
            <w:tcW w:w="3533" w:type="dxa"/>
          </w:tcPr>
          <w:p w14:paraId="454A71AB"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Saponification value (mg/g)</w:t>
            </w:r>
          </w:p>
        </w:tc>
        <w:tc>
          <w:tcPr>
            <w:tcW w:w="0" w:type="auto"/>
          </w:tcPr>
          <w:p w14:paraId="53F78BC1"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125.06±3.46</w:t>
            </w:r>
          </w:p>
        </w:tc>
      </w:tr>
      <w:tr w:rsidR="00C15C33" w:rsidRPr="00706DCE" w14:paraId="56AC4F26" w14:textId="77777777" w:rsidTr="0026771C">
        <w:trPr>
          <w:jc w:val="center"/>
        </w:trPr>
        <w:tc>
          <w:tcPr>
            <w:tcW w:w="3533" w:type="dxa"/>
          </w:tcPr>
          <w:p w14:paraId="12F59B07"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pH</w:t>
            </w:r>
          </w:p>
        </w:tc>
        <w:tc>
          <w:tcPr>
            <w:tcW w:w="0" w:type="auto"/>
          </w:tcPr>
          <w:p w14:paraId="73491B61"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3.68±0.40</w:t>
            </w:r>
          </w:p>
        </w:tc>
      </w:tr>
      <w:tr w:rsidR="00C15C33" w:rsidRPr="00706DCE" w14:paraId="3315CE8E" w14:textId="77777777" w:rsidTr="0026771C">
        <w:trPr>
          <w:jc w:val="center"/>
        </w:trPr>
        <w:tc>
          <w:tcPr>
            <w:tcW w:w="3533" w:type="dxa"/>
            <w:tcBorders>
              <w:bottom w:val="single" w:sz="4" w:space="0" w:color="auto"/>
            </w:tcBorders>
          </w:tcPr>
          <w:p w14:paraId="2B6548D6"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Moisture content (%)</w:t>
            </w:r>
          </w:p>
        </w:tc>
        <w:tc>
          <w:tcPr>
            <w:tcW w:w="0" w:type="auto"/>
            <w:tcBorders>
              <w:bottom w:val="single" w:sz="4" w:space="0" w:color="auto"/>
            </w:tcBorders>
          </w:tcPr>
          <w:p w14:paraId="67A80006"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69.13±7.68</w:t>
            </w:r>
          </w:p>
        </w:tc>
      </w:tr>
    </w:tbl>
    <w:p w14:paraId="66A1F866" w14:textId="77777777" w:rsidR="00C15C33" w:rsidRPr="00706DCE" w:rsidRDefault="00C15C33" w:rsidP="0017536E">
      <w:pPr>
        <w:contextualSpacing/>
        <w:jc w:val="both"/>
        <w:rPr>
          <w:rFonts w:ascii="Arial" w:hAnsi="Arial" w:cs="Arial"/>
        </w:rPr>
      </w:pPr>
    </w:p>
    <w:p w14:paraId="6EC34096" w14:textId="77777777" w:rsidR="00C15C33" w:rsidRPr="00706DCE" w:rsidRDefault="00C15C33" w:rsidP="0017536E">
      <w:pPr>
        <w:contextualSpacing/>
        <w:jc w:val="both"/>
        <w:rPr>
          <w:rFonts w:ascii="Arial" w:hAnsi="Arial" w:cs="Arial"/>
        </w:rPr>
      </w:pPr>
      <w:r w:rsidRPr="00706DCE">
        <w:rPr>
          <w:rFonts w:ascii="Arial" w:hAnsi="Arial" w:cs="Arial"/>
          <w:b/>
        </w:rPr>
        <w:t>3.2 Fatty Acid Profile of Mixed POME Sample</w:t>
      </w:r>
    </w:p>
    <w:p w14:paraId="5391AB09" w14:textId="0ACB56F4" w:rsidR="00C15C33" w:rsidRPr="00706DCE" w:rsidRDefault="00C15C33" w:rsidP="001D162D">
      <w:pPr>
        <w:contextualSpacing/>
        <w:jc w:val="both"/>
        <w:rPr>
          <w:rFonts w:ascii="Arial" w:hAnsi="Arial" w:cs="Arial"/>
          <w:bCs/>
        </w:rPr>
      </w:pPr>
      <w:r w:rsidRPr="00706DCE">
        <w:rPr>
          <w:rFonts w:ascii="Arial" w:hAnsi="Arial" w:cs="Arial"/>
          <w:bCs/>
        </w:rPr>
        <w:t xml:space="preserve">Table 2 shows the FFA values of the mixed POME sample. The diversified saturated, monounsaturated, and polyunsaturated fatty acids contents of the POME sample </w:t>
      </w:r>
      <w:proofErr w:type="spellStart"/>
      <w:r w:rsidRPr="00706DCE">
        <w:rPr>
          <w:rFonts w:ascii="Arial" w:hAnsi="Arial" w:cs="Arial"/>
          <w:bCs/>
        </w:rPr>
        <w:t>totalled</w:t>
      </w:r>
      <w:proofErr w:type="spellEnd"/>
      <w:r w:rsidRPr="00706DCE">
        <w:rPr>
          <w:rFonts w:ascii="Arial" w:hAnsi="Arial" w:cs="Arial"/>
          <w:bCs/>
        </w:rPr>
        <w:t xml:space="preserve"> 45.884</w:t>
      </w:r>
      <w:r w:rsidR="008037CC">
        <w:rPr>
          <w:rFonts w:ascii="Arial" w:hAnsi="Arial" w:cs="Arial"/>
          <w:bCs/>
        </w:rPr>
        <w:t xml:space="preserve"> ppm</w:t>
      </w:r>
      <w:r w:rsidRPr="00706DCE">
        <w:rPr>
          <w:rFonts w:ascii="Arial" w:hAnsi="Arial" w:cs="Arial"/>
          <w:bCs/>
        </w:rPr>
        <w:t>. Saturated fatty acids, including stearic acid (C18:0), palmitic acid (C16:0) and myristic acid (C14:0), collectively dominated the profile with notable concentrations of 6.573 ppm, 7.294</w:t>
      </w:r>
      <w:r w:rsidR="008037CC">
        <w:rPr>
          <w:rFonts w:ascii="Arial" w:hAnsi="Arial" w:cs="Arial"/>
          <w:bCs/>
        </w:rPr>
        <w:t xml:space="preserve"> ppm</w:t>
      </w:r>
      <w:r w:rsidRPr="00706DCE">
        <w:rPr>
          <w:rFonts w:ascii="Arial" w:hAnsi="Arial" w:cs="Arial"/>
          <w:bCs/>
        </w:rPr>
        <w:t>, and 9.323</w:t>
      </w:r>
      <w:r w:rsidR="008037CC">
        <w:rPr>
          <w:rFonts w:ascii="Arial" w:hAnsi="Arial" w:cs="Arial"/>
          <w:bCs/>
        </w:rPr>
        <w:t xml:space="preserve"> ppm</w:t>
      </w:r>
      <w:r w:rsidRPr="00706DCE">
        <w:rPr>
          <w:rFonts w:ascii="Arial" w:hAnsi="Arial" w:cs="Arial"/>
          <w:bCs/>
        </w:rPr>
        <w:t xml:space="preserve"> respectively. The polyunsaturated fatty acids present included linoleic acid (C18:2) at 1.062</w:t>
      </w:r>
      <w:r w:rsidR="008037CC">
        <w:rPr>
          <w:rFonts w:ascii="Arial" w:hAnsi="Arial" w:cs="Arial"/>
          <w:bCs/>
        </w:rPr>
        <w:t xml:space="preserve"> ppm</w:t>
      </w:r>
      <w:r w:rsidR="00E868C4">
        <w:rPr>
          <w:rFonts w:ascii="Arial" w:hAnsi="Arial" w:cs="Arial"/>
          <w:bCs/>
        </w:rPr>
        <w:t>,</w:t>
      </w:r>
      <w:r w:rsidRPr="00706DCE">
        <w:rPr>
          <w:rFonts w:ascii="Arial" w:hAnsi="Arial" w:cs="Arial"/>
          <w:bCs/>
        </w:rPr>
        <w:t xml:space="preserve"> linolenic acid (C18:3) at 3.617</w:t>
      </w:r>
      <w:r w:rsidR="008037CC">
        <w:rPr>
          <w:rFonts w:ascii="Arial" w:hAnsi="Arial" w:cs="Arial"/>
          <w:bCs/>
        </w:rPr>
        <w:t xml:space="preserve"> ppm</w:t>
      </w:r>
      <w:r w:rsidRPr="00706DCE">
        <w:rPr>
          <w:rFonts w:ascii="Arial" w:hAnsi="Arial" w:cs="Arial"/>
          <w:bCs/>
        </w:rPr>
        <w:t xml:space="preserve">, and higher PUFAs such as </w:t>
      </w:r>
      <w:proofErr w:type="spellStart"/>
      <w:r w:rsidRPr="00706DCE">
        <w:rPr>
          <w:rFonts w:ascii="Arial" w:hAnsi="Arial" w:cs="Arial"/>
          <w:bCs/>
        </w:rPr>
        <w:t>eicosapentaenoic</w:t>
      </w:r>
      <w:proofErr w:type="spellEnd"/>
      <w:r w:rsidRPr="00706DCE">
        <w:rPr>
          <w:rFonts w:ascii="Arial" w:hAnsi="Arial" w:cs="Arial"/>
          <w:bCs/>
        </w:rPr>
        <w:t xml:space="preserve"> acid (C20:5)</w:t>
      </w:r>
      <w:r w:rsidR="00132A6B">
        <w:rPr>
          <w:rFonts w:ascii="Arial" w:hAnsi="Arial" w:cs="Arial"/>
          <w:bCs/>
        </w:rPr>
        <w:t xml:space="preserve"> and </w:t>
      </w:r>
      <w:proofErr w:type="spellStart"/>
      <w:r w:rsidR="00132A6B">
        <w:rPr>
          <w:rFonts w:ascii="Arial" w:hAnsi="Arial" w:cs="Arial"/>
          <w:bCs/>
        </w:rPr>
        <w:t>cervonic</w:t>
      </w:r>
      <w:proofErr w:type="spellEnd"/>
      <w:r w:rsidR="00132A6B">
        <w:rPr>
          <w:rFonts w:ascii="Arial" w:hAnsi="Arial" w:cs="Arial"/>
          <w:bCs/>
        </w:rPr>
        <w:t xml:space="preserve"> acid (C22:6) at </w:t>
      </w:r>
      <w:r w:rsidRPr="00706DCE">
        <w:rPr>
          <w:rFonts w:ascii="Arial" w:hAnsi="Arial" w:cs="Arial"/>
          <w:bCs/>
        </w:rPr>
        <w:t>3</w:t>
      </w:r>
      <w:r w:rsidR="00132A6B">
        <w:rPr>
          <w:rFonts w:ascii="Arial" w:hAnsi="Arial" w:cs="Arial"/>
          <w:bCs/>
        </w:rPr>
        <w:t>.</w:t>
      </w:r>
      <w:r w:rsidRPr="00706DCE">
        <w:rPr>
          <w:rFonts w:ascii="Arial" w:hAnsi="Arial" w:cs="Arial"/>
          <w:bCs/>
        </w:rPr>
        <w:t>95</w:t>
      </w:r>
      <w:r w:rsidR="008037CC">
        <w:rPr>
          <w:rFonts w:ascii="Arial" w:hAnsi="Arial" w:cs="Arial"/>
          <w:bCs/>
        </w:rPr>
        <w:t xml:space="preserve"> ppm</w:t>
      </w:r>
      <w:r w:rsidRPr="00706DCE">
        <w:rPr>
          <w:rFonts w:ascii="Arial" w:hAnsi="Arial" w:cs="Arial"/>
          <w:bCs/>
        </w:rPr>
        <w:t xml:space="preserve"> and 2.947</w:t>
      </w:r>
      <w:r w:rsidR="008037CC">
        <w:rPr>
          <w:rFonts w:ascii="Arial" w:hAnsi="Arial" w:cs="Arial"/>
          <w:bCs/>
        </w:rPr>
        <w:t xml:space="preserve"> ppm</w:t>
      </w:r>
      <w:r w:rsidRPr="00706DCE">
        <w:rPr>
          <w:rFonts w:ascii="Arial" w:hAnsi="Arial" w:cs="Arial"/>
          <w:bCs/>
        </w:rPr>
        <w:t xml:space="preserve"> respectively. Also, the presence of long-chain fatty acids such as </w:t>
      </w:r>
      <w:proofErr w:type="spellStart"/>
      <w:r w:rsidRPr="00706DCE">
        <w:rPr>
          <w:rFonts w:ascii="Arial" w:hAnsi="Arial" w:cs="Arial"/>
          <w:bCs/>
        </w:rPr>
        <w:t>docosatetraenoic</w:t>
      </w:r>
      <w:proofErr w:type="spellEnd"/>
      <w:r w:rsidRPr="00706DCE">
        <w:rPr>
          <w:rFonts w:ascii="Arial" w:hAnsi="Arial" w:cs="Arial"/>
          <w:bCs/>
        </w:rPr>
        <w:t xml:space="preserve"> acid (C22:4) at 4.036</w:t>
      </w:r>
      <w:r w:rsidR="008037CC">
        <w:rPr>
          <w:rFonts w:ascii="Arial" w:hAnsi="Arial" w:cs="Arial"/>
          <w:bCs/>
        </w:rPr>
        <w:t xml:space="preserve"> ppm</w:t>
      </w:r>
      <w:r w:rsidRPr="00706DCE">
        <w:rPr>
          <w:rFonts w:ascii="Arial" w:hAnsi="Arial" w:cs="Arial"/>
          <w:bCs/>
        </w:rPr>
        <w:t xml:space="preserve"> and </w:t>
      </w:r>
      <w:proofErr w:type="spellStart"/>
      <w:r w:rsidRPr="00706DCE">
        <w:rPr>
          <w:rFonts w:ascii="Arial" w:hAnsi="Arial" w:cs="Arial"/>
          <w:bCs/>
        </w:rPr>
        <w:t>docosapentaenoic</w:t>
      </w:r>
      <w:proofErr w:type="spellEnd"/>
      <w:r w:rsidRPr="00706DCE">
        <w:rPr>
          <w:rFonts w:ascii="Arial" w:hAnsi="Arial" w:cs="Arial"/>
          <w:bCs/>
        </w:rPr>
        <w:t xml:space="preserve"> acid (C22:5) at 1.171</w:t>
      </w:r>
      <w:r w:rsidR="008037CC">
        <w:rPr>
          <w:rFonts w:ascii="Arial" w:hAnsi="Arial" w:cs="Arial"/>
          <w:bCs/>
        </w:rPr>
        <w:t xml:space="preserve"> ppm</w:t>
      </w:r>
      <w:r w:rsidRPr="00706DCE">
        <w:rPr>
          <w:rFonts w:ascii="Arial" w:hAnsi="Arial" w:cs="Arial"/>
          <w:bCs/>
        </w:rPr>
        <w:t xml:space="preserve"> was noteworthy as presented in Fig. </w:t>
      </w:r>
      <w:r w:rsidRPr="00706DCE">
        <w:rPr>
          <w:rFonts w:ascii="Arial" w:hAnsi="Arial" w:cs="Arial"/>
          <w:b/>
          <w:bCs/>
        </w:rPr>
        <w:t>1</w:t>
      </w:r>
      <w:r w:rsidRPr="00706DCE">
        <w:rPr>
          <w:rFonts w:ascii="Arial" w:hAnsi="Arial" w:cs="Arial"/>
          <w:bCs/>
        </w:rPr>
        <w:t>.</w:t>
      </w:r>
    </w:p>
    <w:p w14:paraId="165B4B85" w14:textId="77777777" w:rsidR="00C15C33" w:rsidRPr="00706DCE" w:rsidRDefault="00C15C33" w:rsidP="0017536E">
      <w:pPr>
        <w:contextualSpacing/>
        <w:jc w:val="both"/>
        <w:rPr>
          <w:rFonts w:ascii="Arial" w:hAnsi="Arial" w:cs="Arial"/>
        </w:rPr>
      </w:pPr>
    </w:p>
    <w:p w14:paraId="476CD939" w14:textId="77777777" w:rsidR="00C15C33" w:rsidRPr="00706DCE" w:rsidRDefault="00C15C33" w:rsidP="0017536E">
      <w:pPr>
        <w:contextualSpacing/>
        <w:jc w:val="both"/>
        <w:rPr>
          <w:rFonts w:ascii="Arial" w:hAnsi="Arial" w:cs="Arial"/>
          <w:bCs/>
        </w:rPr>
      </w:pPr>
      <w:r w:rsidRPr="00706DCE">
        <w:rPr>
          <w:rFonts w:ascii="Arial" w:hAnsi="Arial" w:cs="Arial"/>
          <w:bCs/>
          <w:noProof/>
        </w:rPr>
        <w:lastRenderedPageBreak/>
        <w:drawing>
          <wp:inline distT="0" distB="0" distL="0" distR="0" wp14:anchorId="5A7A5AE9" wp14:editId="22FE80E7">
            <wp:extent cx="5837274" cy="2860158"/>
            <wp:effectExtent l="0" t="0" r="0" b="0"/>
            <wp:docPr id="705322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l="1789" t="1691" b="7302"/>
                    <a:stretch/>
                  </pic:blipFill>
                  <pic:spPr bwMode="auto">
                    <a:xfrm>
                      <a:off x="0" y="0"/>
                      <a:ext cx="5837274" cy="2860158"/>
                    </a:xfrm>
                    <a:prstGeom prst="rect">
                      <a:avLst/>
                    </a:prstGeom>
                    <a:noFill/>
                    <a:ln>
                      <a:noFill/>
                    </a:ln>
                    <a:extLst>
                      <a:ext uri="{53640926-AAD7-44D8-BBD7-CCE9431645EC}">
                        <a14:shadowObscured xmlns:a14="http://schemas.microsoft.com/office/drawing/2010/main"/>
                      </a:ext>
                    </a:extLst>
                  </pic:spPr>
                </pic:pic>
              </a:graphicData>
            </a:graphic>
          </wp:inline>
        </w:drawing>
      </w:r>
    </w:p>
    <w:p w14:paraId="35D64A7B" w14:textId="77777777" w:rsidR="00C15C33" w:rsidRPr="00706DCE" w:rsidRDefault="00C15C33" w:rsidP="0017536E">
      <w:pPr>
        <w:contextualSpacing/>
        <w:jc w:val="both"/>
        <w:rPr>
          <w:rFonts w:ascii="Arial" w:hAnsi="Arial" w:cs="Arial"/>
          <w:bCs/>
        </w:rPr>
      </w:pPr>
      <w:r w:rsidRPr="00706DCE">
        <w:rPr>
          <w:rFonts w:ascii="Arial" w:hAnsi="Arial" w:cs="Arial"/>
          <w:b/>
          <w:bCs/>
        </w:rPr>
        <w:t>Fig. 1.</w:t>
      </w:r>
      <w:r w:rsidRPr="00706DCE">
        <w:rPr>
          <w:rFonts w:ascii="Arial" w:hAnsi="Arial" w:cs="Arial"/>
          <w:bCs/>
        </w:rPr>
        <w:t xml:space="preserve"> Chromatograph of the mixed POME sample</w:t>
      </w:r>
    </w:p>
    <w:p w14:paraId="78F4244D" w14:textId="77777777" w:rsidR="00C15C33" w:rsidRPr="00706DCE" w:rsidRDefault="00C15C33" w:rsidP="0017536E">
      <w:pPr>
        <w:contextualSpacing/>
        <w:jc w:val="both"/>
        <w:rPr>
          <w:rFonts w:ascii="Arial" w:hAnsi="Arial" w:cs="Arial"/>
          <w:bCs/>
        </w:rPr>
      </w:pPr>
    </w:p>
    <w:p w14:paraId="49219316" w14:textId="77777777" w:rsidR="00C15C33" w:rsidRPr="00706DCE" w:rsidRDefault="00C15C33" w:rsidP="0017536E">
      <w:pPr>
        <w:contextualSpacing/>
        <w:jc w:val="both"/>
        <w:rPr>
          <w:rFonts w:ascii="Arial" w:hAnsi="Arial" w:cs="Arial"/>
          <w:bCs/>
        </w:rPr>
      </w:pPr>
      <w:r w:rsidRPr="00706DCE">
        <w:rPr>
          <w:rFonts w:ascii="Arial" w:hAnsi="Arial" w:cs="Arial"/>
          <w:b/>
          <w:bCs/>
        </w:rPr>
        <w:t>Table 2.</w:t>
      </w:r>
      <w:r w:rsidRPr="00706DCE">
        <w:rPr>
          <w:rFonts w:ascii="Arial" w:hAnsi="Arial" w:cs="Arial"/>
          <w:bCs/>
        </w:rPr>
        <w:t xml:space="preserve"> FFA compositions of the mixed POME sample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940"/>
        <w:gridCol w:w="1418"/>
      </w:tblGrid>
      <w:tr w:rsidR="004E713F" w:rsidRPr="00706DCE" w14:paraId="08A7865D" w14:textId="77777777" w:rsidTr="00D27D6E">
        <w:trPr>
          <w:jc w:val="center"/>
        </w:trPr>
        <w:tc>
          <w:tcPr>
            <w:tcW w:w="3539" w:type="dxa"/>
            <w:tcBorders>
              <w:top w:val="single" w:sz="4" w:space="0" w:color="auto"/>
              <w:bottom w:val="single" w:sz="4" w:space="0" w:color="auto"/>
            </w:tcBorders>
          </w:tcPr>
          <w:p w14:paraId="2814893D" w14:textId="77777777" w:rsidR="004E713F" w:rsidRPr="00706DCE" w:rsidRDefault="004E713F" w:rsidP="0017536E">
            <w:pPr>
              <w:contextualSpacing/>
              <w:jc w:val="both"/>
              <w:rPr>
                <w:rFonts w:ascii="Arial" w:hAnsi="Arial" w:cs="Arial"/>
                <w:b/>
                <w:sz w:val="20"/>
                <w:szCs w:val="20"/>
              </w:rPr>
            </w:pPr>
            <w:r w:rsidRPr="00706DCE">
              <w:rPr>
                <w:rFonts w:ascii="Arial" w:hAnsi="Arial" w:cs="Arial"/>
                <w:b/>
                <w:sz w:val="20"/>
                <w:szCs w:val="20"/>
              </w:rPr>
              <w:t>Identifies of the FFAs</w:t>
            </w:r>
          </w:p>
        </w:tc>
        <w:tc>
          <w:tcPr>
            <w:tcW w:w="1940" w:type="dxa"/>
            <w:tcBorders>
              <w:top w:val="single" w:sz="4" w:space="0" w:color="auto"/>
              <w:bottom w:val="single" w:sz="4" w:space="0" w:color="auto"/>
            </w:tcBorders>
          </w:tcPr>
          <w:p w14:paraId="78FAE8D3" w14:textId="39618CD7" w:rsidR="004E713F" w:rsidRPr="00706DCE" w:rsidRDefault="004E713F" w:rsidP="00D27D6E">
            <w:pPr>
              <w:contextualSpacing/>
              <w:jc w:val="center"/>
              <w:rPr>
                <w:rFonts w:ascii="Arial" w:hAnsi="Arial" w:cs="Arial"/>
                <w:b/>
              </w:rPr>
            </w:pPr>
            <w:r>
              <w:rPr>
                <w:rFonts w:ascii="Arial" w:hAnsi="Arial" w:cs="Arial"/>
                <w:b/>
              </w:rPr>
              <w:t>Retention time</w:t>
            </w:r>
            <w:r w:rsidR="00D27D6E">
              <w:rPr>
                <w:rFonts w:ascii="Arial" w:hAnsi="Arial" w:cs="Arial"/>
                <w:b/>
              </w:rPr>
              <w:t xml:space="preserve"> (min)</w:t>
            </w:r>
          </w:p>
        </w:tc>
        <w:tc>
          <w:tcPr>
            <w:tcW w:w="1418" w:type="dxa"/>
            <w:tcBorders>
              <w:top w:val="single" w:sz="4" w:space="0" w:color="auto"/>
              <w:bottom w:val="single" w:sz="4" w:space="0" w:color="auto"/>
            </w:tcBorders>
          </w:tcPr>
          <w:p w14:paraId="36E19F42" w14:textId="51E929F1" w:rsidR="004E713F" w:rsidRPr="00706DCE" w:rsidRDefault="004E713F" w:rsidP="00D27D6E">
            <w:pPr>
              <w:contextualSpacing/>
              <w:jc w:val="center"/>
              <w:rPr>
                <w:rFonts w:ascii="Arial" w:hAnsi="Arial" w:cs="Arial"/>
                <w:b/>
                <w:sz w:val="20"/>
                <w:szCs w:val="20"/>
              </w:rPr>
            </w:pPr>
            <w:r w:rsidRPr="00706DCE">
              <w:rPr>
                <w:rFonts w:ascii="Arial" w:hAnsi="Arial" w:cs="Arial"/>
                <w:b/>
                <w:sz w:val="20"/>
                <w:szCs w:val="20"/>
              </w:rPr>
              <w:t>Amount (</w:t>
            </w:r>
            <w:r>
              <w:rPr>
                <w:rFonts w:ascii="Arial" w:hAnsi="Arial" w:cs="Arial"/>
                <w:b/>
                <w:sz w:val="20"/>
                <w:szCs w:val="20"/>
              </w:rPr>
              <w:t>ppm</w:t>
            </w:r>
            <w:r w:rsidRPr="00706DCE">
              <w:rPr>
                <w:rFonts w:ascii="Arial" w:hAnsi="Arial" w:cs="Arial"/>
                <w:b/>
                <w:sz w:val="20"/>
                <w:szCs w:val="20"/>
              </w:rPr>
              <w:t>)</w:t>
            </w:r>
          </w:p>
        </w:tc>
      </w:tr>
      <w:tr w:rsidR="004E713F" w:rsidRPr="00706DCE" w14:paraId="4A6836B0" w14:textId="77777777" w:rsidTr="00D27D6E">
        <w:trPr>
          <w:jc w:val="center"/>
        </w:trPr>
        <w:tc>
          <w:tcPr>
            <w:tcW w:w="3539" w:type="dxa"/>
            <w:tcBorders>
              <w:top w:val="single" w:sz="4" w:space="0" w:color="auto"/>
            </w:tcBorders>
          </w:tcPr>
          <w:p w14:paraId="1DDA5A08" w14:textId="77777777" w:rsidR="004E713F" w:rsidRPr="00706DCE" w:rsidRDefault="004E713F" w:rsidP="0017536E">
            <w:pPr>
              <w:contextualSpacing/>
              <w:jc w:val="both"/>
              <w:rPr>
                <w:rFonts w:ascii="Arial" w:hAnsi="Arial" w:cs="Arial"/>
                <w:sz w:val="20"/>
                <w:szCs w:val="20"/>
              </w:rPr>
            </w:pPr>
            <w:proofErr w:type="spellStart"/>
            <w:r w:rsidRPr="00706DCE">
              <w:rPr>
                <w:rFonts w:ascii="Arial" w:hAnsi="Arial" w:cs="Arial"/>
                <w:sz w:val="20"/>
                <w:szCs w:val="20"/>
              </w:rPr>
              <w:t>Cervonic</w:t>
            </w:r>
            <w:proofErr w:type="spellEnd"/>
            <w:r w:rsidRPr="00706DCE">
              <w:rPr>
                <w:rFonts w:ascii="Arial" w:hAnsi="Arial" w:cs="Arial"/>
                <w:sz w:val="20"/>
                <w:szCs w:val="20"/>
              </w:rPr>
              <w:t xml:space="preserve"> acid (C22:6)</w:t>
            </w:r>
          </w:p>
        </w:tc>
        <w:tc>
          <w:tcPr>
            <w:tcW w:w="1940" w:type="dxa"/>
            <w:tcBorders>
              <w:top w:val="single" w:sz="4" w:space="0" w:color="auto"/>
            </w:tcBorders>
          </w:tcPr>
          <w:p w14:paraId="6BC6153D" w14:textId="1A8F6690" w:rsidR="004E713F" w:rsidRPr="00D27D6E" w:rsidRDefault="00D27D6E" w:rsidP="00F5463A">
            <w:pPr>
              <w:contextualSpacing/>
              <w:jc w:val="both"/>
              <w:rPr>
                <w:rFonts w:ascii="Arial" w:hAnsi="Arial" w:cs="Arial"/>
                <w:sz w:val="20"/>
              </w:rPr>
            </w:pPr>
            <w:r>
              <w:rPr>
                <w:rFonts w:ascii="Arial" w:hAnsi="Arial" w:cs="Arial"/>
                <w:sz w:val="20"/>
              </w:rPr>
              <w:t>13.75</w:t>
            </w:r>
          </w:p>
        </w:tc>
        <w:tc>
          <w:tcPr>
            <w:tcW w:w="1418" w:type="dxa"/>
            <w:tcBorders>
              <w:top w:val="single" w:sz="4" w:space="0" w:color="auto"/>
            </w:tcBorders>
          </w:tcPr>
          <w:p w14:paraId="5CBC99E1" w14:textId="4CC2E488" w:rsidR="004E713F" w:rsidRPr="00706DCE" w:rsidRDefault="004E713F" w:rsidP="00D27D6E">
            <w:pPr>
              <w:contextualSpacing/>
              <w:jc w:val="center"/>
              <w:rPr>
                <w:rFonts w:ascii="Arial" w:hAnsi="Arial" w:cs="Arial"/>
                <w:sz w:val="20"/>
                <w:szCs w:val="20"/>
              </w:rPr>
            </w:pPr>
            <w:r w:rsidRPr="00706DCE">
              <w:rPr>
                <w:rFonts w:ascii="Arial" w:hAnsi="Arial" w:cs="Arial"/>
                <w:sz w:val="20"/>
                <w:szCs w:val="20"/>
              </w:rPr>
              <w:t>2.95</w:t>
            </w:r>
          </w:p>
        </w:tc>
      </w:tr>
      <w:tr w:rsidR="004E713F" w:rsidRPr="00706DCE" w14:paraId="296CF816" w14:textId="77777777" w:rsidTr="00D27D6E">
        <w:trPr>
          <w:jc w:val="center"/>
        </w:trPr>
        <w:tc>
          <w:tcPr>
            <w:tcW w:w="3539" w:type="dxa"/>
          </w:tcPr>
          <w:p w14:paraId="1B06D1A3" w14:textId="77777777" w:rsidR="004E713F" w:rsidRPr="00706DCE" w:rsidRDefault="004E713F" w:rsidP="0017536E">
            <w:pPr>
              <w:contextualSpacing/>
              <w:jc w:val="both"/>
              <w:rPr>
                <w:rFonts w:ascii="Arial" w:hAnsi="Arial" w:cs="Arial"/>
                <w:sz w:val="20"/>
                <w:szCs w:val="20"/>
              </w:rPr>
            </w:pPr>
            <w:proofErr w:type="spellStart"/>
            <w:r w:rsidRPr="00706DCE">
              <w:rPr>
                <w:rFonts w:ascii="Arial" w:hAnsi="Arial" w:cs="Arial"/>
                <w:sz w:val="20"/>
                <w:szCs w:val="20"/>
              </w:rPr>
              <w:t>Docosapentaenoic</w:t>
            </w:r>
            <w:proofErr w:type="spellEnd"/>
            <w:r w:rsidRPr="00706DCE">
              <w:rPr>
                <w:rFonts w:ascii="Arial" w:hAnsi="Arial" w:cs="Arial"/>
                <w:sz w:val="20"/>
                <w:szCs w:val="20"/>
              </w:rPr>
              <w:t xml:space="preserve"> acid (C22:5)</w:t>
            </w:r>
          </w:p>
        </w:tc>
        <w:tc>
          <w:tcPr>
            <w:tcW w:w="1940" w:type="dxa"/>
          </w:tcPr>
          <w:p w14:paraId="3E9A1F98" w14:textId="5719F9C2" w:rsidR="004E713F" w:rsidRPr="00D27D6E" w:rsidRDefault="00F5463A" w:rsidP="00F5463A">
            <w:pPr>
              <w:contextualSpacing/>
              <w:jc w:val="both"/>
              <w:rPr>
                <w:rFonts w:ascii="Arial" w:hAnsi="Arial" w:cs="Arial"/>
                <w:sz w:val="20"/>
              </w:rPr>
            </w:pPr>
            <w:r>
              <w:rPr>
                <w:rFonts w:ascii="Arial" w:hAnsi="Arial" w:cs="Arial"/>
                <w:sz w:val="20"/>
              </w:rPr>
              <w:t>13.62</w:t>
            </w:r>
          </w:p>
        </w:tc>
        <w:tc>
          <w:tcPr>
            <w:tcW w:w="1418" w:type="dxa"/>
          </w:tcPr>
          <w:p w14:paraId="6FA50991" w14:textId="2929AB37" w:rsidR="004E713F" w:rsidRPr="00706DCE" w:rsidRDefault="004E713F" w:rsidP="00D27D6E">
            <w:pPr>
              <w:contextualSpacing/>
              <w:jc w:val="center"/>
              <w:rPr>
                <w:rFonts w:ascii="Arial" w:hAnsi="Arial" w:cs="Arial"/>
                <w:sz w:val="20"/>
                <w:szCs w:val="20"/>
              </w:rPr>
            </w:pPr>
            <w:r w:rsidRPr="00706DCE">
              <w:rPr>
                <w:rFonts w:ascii="Arial" w:hAnsi="Arial" w:cs="Arial"/>
                <w:sz w:val="20"/>
                <w:szCs w:val="20"/>
              </w:rPr>
              <w:t>1.17</w:t>
            </w:r>
          </w:p>
        </w:tc>
      </w:tr>
      <w:tr w:rsidR="004E713F" w:rsidRPr="00706DCE" w14:paraId="56EED7CC" w14:textId="77777777" w:rsidTr="00D27D6E">
        <w:trPr>
          <w:jc w:val="center"/>
        </w:trPr>
        <w:tc>
          <w:tcPr>
            <w:tcW w:w="3539" w:type="dxa"/>
          </w:tcPr>
          <w:p w14:paraId="547639EF" w14:textId="77777777" w:rsidR="004E713F" w:rsidRPr="00706DCE" w:rsidRDefault="004E713F" w:rsidP="0017536E">
            <w:pPr>
              <w:contextualSpacing/>
              <w:jc w:val="both"/>
              <w:rPr>
                <w:rFonts w:ascii="Arial" w:hAnsi="Arial" w:cs="Arial"/>
                <w:sz w:val="20"/>
                <w:szCs w:val="20"/>
              </w:rPr>
            </w:pPr>
            <w:proofErr w:type="spellStart"/>
            <w:r w:rsidRPr="00706DCE">
              <w:rPr>
                <w:rFonts w:ascii="Arial" w:hAnsi="Arial" w:cs="Arial"/>
                <w:sz w:val="20"/>
                <w:szCs w:val="20"/>
              </w:rPr>
              <w:t>Docosatetraenoic</w:t>
            </w:r>
            <w:proofErr w:type="spellEnd"/>
            <w:r w:rsidRPr="00706DCE">
              <w:rPr>
                <w:rFonts w:ascii="Arial" w:hAnsi="Arial" w:cs="Arial"/>
                <w:sz w:val="20"/>
                <w:szCs w:val="20"/>
              </w:rPr>
              <w:t xml:space="preserve"> acid (C22:4)</w:t>
            </w:r>
          </w:p>
        </w:tc>
        <w:tc>
          <w:tcPr>
            <w:tcW w:w="1940" w:type="dxa"/>
          </w:tcPr>
          <w:p w14:paraId="4ECC67A7" w14:textId="2B23A3CF" w:rsidR="004E713F" w:rsidRPr="00D27D6E" w:rsidRDefault="00D27D6E" w:rsidP="00F5463A">
            <w:pPr>
              <w:contextualSpacing/>
              <w:jc w:val="both"/>
              <w:rPr>
                <w:rFonts w:ascii="Arial" w:hAnsi="Arial" w:cs="Arial"/>
                <w:sz w:val="20"/>
              </w:rPr>
            </w:pPr>
            <w:r>
              <w:rPr>
                <w:rFonts w:ascii="Arial" w:hAnsi="Arial" w:cs="Arial"/>
                <w:sz w:val="20"/>
              </w:rPr>
              <w:t>12.72</w:t>
            </w:r>
          </w:p>
        </w:tc>
        <w:tc>
          <w:tcPr>
            <w:tcW w:w="1418" w:type="dxa"/>
          </w:tcPr>
          <w:p w14:paraId="56996CC6" w14:textId="39BAD00D" w:rsidR="004E713F" w:rsidRPr="00706DCE" w:rsidRDefault="004E713F" w:rsidP="00D27D6E">
            <w:pPr>
              <w:contextualSpacing/>
              <w:jc w:val="center"/>
              <w:rPr>
                <w:rFonts w:ascii="Arial" w:hAnsi="Arial" w:cs="Arial"/>
                <w:sz w:val="20"/>
                <w:szCs w:val="20"/>
              </w:rPr>
            </w:pPr>
            <w:r w:rsidRPr="00706DCE">
              <w:rPr>
                <w:rFonts w:ascii="Arial" w:hAnsi="Arial" w:cs="Arial"/>
                <w:sz w:val="20"/>
                <w:szCs w:val="20"/>
              </w:rPr>
              <w:t>4.04</w:t>
            </w:r>
          </w:p>
        </w:tc>
      </w:tr>
      <w:tr w:rsidR="004E713F" w:rsidRPr="00706DCE" w14:paraId="4B3C0810" w14:textId="77777777" w:rsidTr="00D27D6E">
        <w:trPr>
          <w:jc w:val="center"/>
        </w:trPr>
        <w:tc>
          <w:tcPr>
            <w:tcW w:w="3539" w:type="dxa"/>
          </w:tcPr>
          <w:p w14:paraId="23D98E38" w14:textId="77777777" w:rsidR="004E713F" w:rsidRPr="00706DCE" w:rsidRDefault="004E713F" w:rsidP="0017536E">
            <w:pPr>
              <w:contextualSpacing/>
              <w:jc w:val="both"/>
              <w:rPr>
                <w:rFonts w:ascii="Arial" w:hAnsi="Arial" w:cs="Arial"/>
                <w:sz w:val="20"/>
                <w:szCs w:val="20"/>
              </w:rPr>
            </w:pPr>
            <w:proofErr w:type="spellStart"/>
            <w:r w:rsidRPr="00706DCE">
              <w:rPr>
                <w:rFonts w:ascii="Arial" w:hAnsi="Arial" w:cs="Arial"/>
                <w:sz w:val="20"/>
                <w:szCs w:val="20"/>
              </w:rPr>
              <w:t>Eicosapentaenoic</w:t>
            </w:r>
            <w:proofErr w:type="spellEnd"/>
            <w:r w:rsidRPr="00706DCE">
              <w:rPr>
                <w:rFonts w:ascii="Arial" w:hAnsi="Arial" w:cs="Arial"/>
                <w:sz w:val="20"/>
                <w:szCs w:val="20"/>
              </w:rPr>
              <w:t xml:space="preserve"> acid (C20:5)</w:t>
            </w:r>
          </w:p>
        </w:tc>
        <w:tc>
          <w:tcPr>
            <w:tcW w:w="1940" w:type="dxa"/>
          </w:tcPr>
          <w:p w14:paraId="34C4C1C1" w14:textId="421B449A" w:rsidR="004E713F" w:rsidRPr="00D27D6E" w:rsidRDefault="00F5463A" w:rsidP="00F5463A">
            <w:pPr>
              <w:contextualSpacing/>
              <w:jc w:val="both"/>
              <w:rPr>
                <w:rFonts w:ascii="Arial" w:hAnsi="Arial" w:cs="Arial"/>
                <w:sz w:val="20"/>
              </w:rPr>
            </w:pPr>
            <w:r>
              <w:rPr>
                <w:rFonts w:ascii="Arial" w:hAnsi="Arial" w:cs="Arial"/>
                <w:sz w:val="20"/>
              </w:rPr>
              <w:t>13.62</w:t>
            </w:r>
          </w:p>
        </w:tc>
        <w:tc>
          <w:tcPr>
            <w:tcW w:w="1418" w:type="dxa"/>
          </w:tcPr>
          <w:p w14:paraId="6C31BD67" w14:textId="12B13ED9" w:rsidR="004E713F" w:rsidRPr="00706DCE" w:rsidRDefault="004E713F" w:rsidP="00D27D6E">
            <w:pPr>
              <w:contextualSpacing/>
              <w:jc w:val="center"/>
              <w:rPr>
                <w:rFonts w:ascii="Arial" w:hAnsi="Arial" w:cs="Arial"/>
                <w:sz w:val="20"/>
                <w:szCs w:val="20"/>
              </w:rPr>
            </w:pPr>
            <w:r w:rsidRPr="00706DCE">
              <w:rPr>
                <w:rFonts w:ascii="Arial" w:hAnsi="Arial" w:cs="Arial"/>
                <w:sz w:val="20"/>
                <w:szCs w:val="20"/>
              </w:rPr>
              <w:t>3.95</w:t>
            </w:r>
          </w:p>
        </w:tc>
      </w:tr>
      <w:tr w:rsidR="004E713F" w:rsidRPr="00706DCE" w14:paraId="044E85AE" w14:textId="77777777" w:rsidTr="00D27D6E">
        <w:trPr>
          <w:jc w:val="center"/>
        </w:trPr>
        <w:tc>
          <w:tcPr>
            <w:tcW w:w="3539" w:type="dxa"/>
          </w:tcPr>
          <w:p w14:paraId="590E1A2A" w14:textId="77777777" w:rsidR="004E713F" w:rsidRPr="00706DCE" w:rsidRDefault="004E713F" w:rsidP="0017536E">
            <w:pPr>
              <w:contextualSpacing/>
              <w:jc w:val="both"/>
              <w:rPr>
                <w:rFonts w:ascii="Arial" w:hAnsi="Arial" w:cs="Arial"/>
                <w:sz w:val="20"/>
                <w:szCs w:val="20"/>
              </w:rPr>
            </w:pPr>
            <w:r w:rsidRPr="00706DCE">
              <w:rPr>
                <w:rFonts w:ascii="Arial" w:hAnsi="Arial" w:cs="Arial"/>
                <w:sz w:val="20"/>
                <w:szCs w:val="20"/>
              </w:rPr>
              <w:t>Arachidonic acid (C20:4)</w:t>
            </w:r>
          </w:p>
        </w:tc>
        <w:tc>
          <w:tcPr>
            <w:tcW w:w="1940" w:type="dxa"/>
          </w:tcPr>
          <w:p w14:paraId="5D6652DF" w14:textId="6AD996E6" w:rsidR="004E713F" w:rsidRPr="00D27D6E" w:rsidRDefault="00D27D6E" w:rsidP="00F5463A">
            <w:pPr>
              <w:contextualSpacing/>
              <w:jc w:val="both"/>
              <w:rPr>
                <w:rFonts w:ascii="Arial" w:hAnsi="Arial" w:cs="Arial"/>
                <w:sz w:val="20"/>
              </w:rPr>
            </w:pPr>
            <w:r>
              <w:rPr>
                <w:rFonts w:ascii="Arial" w:hAnsi="Arial" w:cs="Arial"/>
                <w:sz w:val="20"/>
              </w:rPr>
              <w:t>10.79</w:t>
            </w:r>
          </w:p>
        </w:tc>
        <w:tc>
          <w:tcPr>
            <w:tcW w:w="1418" w:type="dxa"/>
          </w:tcPr>
          <w:p w14:paraId="0D0E9A9F" w14:textId="7B49E86B" w:rsidR="004E713F" w:rsidRPr="00706DCE" w:rsidRDefault="004E713F" w:rsidP="00D27D6E">
            <w:pPr>
              <w:contextualSpacing/>
              <w:jc w:val="center"/>
              <w:rPr>
                <w:rFonts w:ascii="Arial" w:hAnsi="Arial" w:cs="Arial"/>
                <w:sz w:val="20"/>
                <w:szCs w:val="20"/>
              </w:rPr>
            </w:pPr>
            <w:r w:rsidRPr="00706DCE">
              <w:rPr>
                <w:rFonts w:ascii="Arial" w:hAnsi="Arial" w:cs="Arial"/>
                <w:sz w:val="20"/>
                <w:szCs w:val="20"/>
              </w:rPr>
              <w:t>2.32</w:t>
            </w:r>
          </w:p>
        </w:tc>
      </w:tr>
      <w:tr w:rsidR="004E713F" w:rsidRPr="00706DCE" w14:paraId="27304374" w14:textId="77777777" w:rsidTr="00D27D6E">
        <w:trPr>
          <w:jc w:val="center"/>
        </w:trPr>
        <w:tc>
          <w:tcPr>
            <w:tcW w:w="3539" w:type="dxa"/>
          </w:tcPr>
          <w:p w14:paraId="536B155D" w14:textId="77777777" w:rsidR="004E713F" w:rsidRPr="00706DCE" w:rsidRDefault="004E713F" w:rsidP="0017536E">
            <w:pPr>
              <w:contextualSpacing/>
              <w:jc w:val="both"/>
              <w:rPr>
                <w:rFonts w:ascii="Arial" w:hAnsi="Arial" w:cs="Arial"/>
                <w:sz w:val="20"/>
                <w:szCs w:val="20"/>
              </w:rPr>
            </w:pPr>
            <w:r w:rsidRPr="00706DCE">
              <w:rPr>
                <w:rFonts w:ascii="Arial" w:hAnsi="Arial" w:cs="Arial"/>
                <w:sz w:val="20"/>
                <w:szCs w:val="20"/>
              </w:rPr>
              <w:t>Mead acid (C20:3)</w:t>
            </w:r>
          </w:p>
        </w:tc>
        <w:tc>
          <w:tcPr>
            <w:tcW w:w="1940" w:type="dxa"/>
          </w:tcPr>
          <w:p w14:paraId="67CF0909" w14:textId="1CEDD38D" w:rsidR="004E713F" w:rsidRPr="00D27D6E" w:rsidRDefault="00D27D6E" w:rsidP="00F5463A">
            <w:pPr>
              <w:contextualSpacing/>
              <w:jc w:val="both"/>
              <w:rPr>
                <w:rFonts w:ascii="Arial" w:hAnsi="Arial" w:cs="Arial"/>
                <w:sz w:val="20"/>
              </w:rPr>
            </w:pPr>
            <w:r>
              <w:rPr>
                <w:rFonts w:ascii="Arial" w:hAnsi="Arial" w:cs="Arial"/>
                <w:sz w:val="20"/>
              </w:rPr>
              <w:t>18.31</w:t>
            </w:r>
          </w:p>
        </w:tc>
        <w:tc>
          <w:tcPr>
            <w:tcW w:w="1418" w:type="dxa"/>
          </w:tcPr>
          <w:p w14:paraId="4E1F709E" w14:textId="3986148C" w:rsidR="004E713F" w:rsidRPr="00706DCE" w:rsidRDefault="004E713F" w:rsidP="00D27D6E">
            <w:pPr>
              <w:contextualSpacing/>
              <w:jc w:val="center"/>
              <w:rPr>
                <w:rFonts w:ascii="Arial" w:hAnsi="Arial" w:cs="Arial"/>
                <w:sz w:val="20"/>
                <w:szCs w:val="20"/>
              </w:rPr>
            </w:pPr>
            <w:r w:rsidRPr="00706DCE">
              <w:rPr>
                <w:rFonts w:ascii="Arial" w:hAnsi="Arial" w:cs="Arial"/>
                <w:sz w:val="20"/>
                <w:szCs w:val="20"/>
              </w:rPr>
              <w:t>4.27</w:t>
            </w:r>
          </w:p>
        </w:tc>
      </w:tr>
      <w:tr w:rsidR="004E713F" w:rsidRPr="00706DCE" w14:paraId="422408D8" w14:textId="77777777" w:rsidTr="00D27D6E">
        <w:trPr>
          <w:jc w:val="center"/>
        </w:trPr>
        <w:tc>
          <w:tcPr>
            <w:tcW w:w="3539" w:type="dxa"/>
          </w:tcPr>
          <w:p w14:paraId="01987BC2" w14:textId="77777777" w:rsidR="004E713F" w:rsidRPr="00706DCE" w:rsidRDefault="004E713F" w:rsidP="0017536E">
            <w:pPr>
              <w:contextualSpacing/>
              <w:jc w:val="both"/>
              <w:rPr>
                <w:rFonts w:ascii="Arial" w:hAnsi="Arial" w:cs="Arial"/>
                <w:sz w:val="20"/>
                <w:szCs w:val="20"/>
              </w:rPr>
            </w:pPr>
            <w:proofErr w:type="spellStart"/>
            <w:r w:rsidRPr="00706DCE">
              <w:rPr>
                <w:rFonts w:ascii="Arial" w:hAnsi="Arial" w:cs="Arial"/>
                <w:sz w:val="20"/>
                <w:szCs w:val="20"/>
              </w:rPr>
              <w:t>Eicosanoic</w:t>
            </w:r>
            <w:proofErr w:type="spellEnd"/>
            <w:r w:rsidRPr="00706DCE">
              <w:rPr>
                <w:rFonts w:ascii="Arial" w:hAnsi="Arial" w:cs="Arial"/>
                <w:sz w:val="20"/>
                <w:szCs w:val="20"/>
              </w:rPr>
              <w:t xml:space="preserve"> acid (C20)</w:t>
            </w:r>
          </w:p>
        </w:tc>
        <w:tc>
          <w:tcPr>
            <w:tcW w:w="1940" w:type="dxa"/>
          </w:tcPr>
          <w:p w14:paraId="21BBA545" w14:textId="004973D8" w:rsidR="004E713F" w:rsidRPr="00D27D6E" w:rsidRDefault="00F5463A" w:rsidP="00F5463A">
            <w:pPr>
              <w:contextualSpacing/>
              <w:jc w:val="both"/>
              <w:rPr>
                <w:rFonts w:ascii="Arial" w:hAnsi="Arial" w:cs="Arial"/>
                <w:sz w:val="20"/>
              </w:rPr>
            </w:pPr>
            <w:r>
              <w:rPr>
                <w:rFonts w:ascii="Arial" w:hAnsi="Arial" w:cs="Arial"/>
                <w:sz w:val="20"/>
              </w:rPr>
              <w:t>10.35</w:t>
            </w:r>
          </w:p>
        </w:tc>
        <w:tc>
          <w:tcPr>
            <w:tcW w:w="1418" w:type="dxa"/>
          </w:tcPr>
          <w:p w14:paraId="51D060F2" w14:textId="0C9A97BB" w:rsidR="004E713F" w:rsidRPr="00706DCE" w:rsidRDefault="004E713F" w:rsidP="00D27D6E">
            <w:pPr>
              <w:contextualSpacing/>
              <w:jc w:val="center"/>
              <w:rPr>
                <w:rFonts w:ascii="Arial" w:hAnsi="Arial" w:cs="Arial"/>
                <w:sz w:val="20"/>
                <w:szCs w:val="20"/>
              </w:rPr>
            </w:pPr>
            <w:r w:rsidRPr="00706DCE">
              <w:rPr>
                <w:rFonts w:ascii="Arial" w:hAnsi="Arial" w:cs="Arial"/>
                <w:sz w:val="20"/>
                <w:szCs w:val="20"/>
              </w:rPr>
              <w:t>5.42</w:t>
            </w:r>
          </w:p>
        </w:tc>
      </w:tr>
      <w:tr w:rsidR="004E713F" w:rsidRPr="00706DCE" w14:paraId="41669FCD" w14:textId="77777777" w:rsidTr="00D27D6E">
        <w:trPr>
          <w:jc w:val="center"/>
        </w:trPr>
        <w:tc>
          <w:tcPr>
            <w:tcW w:w="3539" w:type="dxa"/>
          </w:tcPr>
          <w:p w14:paraId="7B741F1B" w14:textId="77777777" w:rsidR="004E713F" w:rsidRPr="00706DCE" w:rsidRDefault="004E713F" w:rsidP="0017536E">
            <w:pPr>
              <w:contextualSpacing/>
              <w:jc w:val="both"/>
              <w:rPr>
                <w:rFonts w:ascii="Arial" w:hAnsi="Arial" w:cs="Arial"/>
                <w:sz w:val="20"/>
                <w:szCs w:val="20"/>
              </w:rPr>
            </w:pPr>
            <w:r w:rsidRPr="00706DCE">
              <w:rPr>
                <w:rFonts w:ascii="Arial" w:hAnsi="Arial" w:cs="Arial"/>
                <w:sz w:val="20"/>
                <w:szCs w:val="20"/>
              </w:rPr>
              <w:t>Linolenic acid (C18:3)</w:t>
            </w:r>
          </w:p>
        </w:tc>
        <w:tc>
          <w:tcPr>
            <w:tcW w:w="1940" w:type="dxa"/>
          </w:tcPr>
          <w:p w14:paraId="01E7A9B8" w14:textId="7A5139A6" w:rsidR="004E713F" w:rsidRPr="00D27D6E" w:rsidRDefault="00D27D6E" w:rsidP="00F5463A">
            <w:pPr>
              <w:contextualSpacing/>
              <w:jc w:val="both"/>
              <w:rPr>
                <w:rFonts w:ascii="Arial" w:hAnsi="Arial" w:cs="Arial"/>
                <w:sz w:val="20"/>
              </w:rPr>
            </w:pPr>
            <w:r>
              <w:rPr>
                <w:rFonts w:ascii="Arial" w:hAnsi="Arial" w:cs="Arial"/>
                <w:sz w:val="20"/>
              </w:rPr>
              <w:t>9.97</w:t>
            </w:r>
          </w:p>
        </w:tc>
        <w:tc>
          <w:tcPr>
            <w:tcW w:w="1418" w:type="dxa"/>
          </w:tcPr>
          <w:p w14:paraId="30DA4A71" w14:textId="36C014B8" w:rsidR="004E713F" w:rsidRPr="00706DCE" w:rsidRDefault="004E713F" w:rsidP="00D27D6E">
            <w:pPr>
              <w:contextualSpacing/>
              <w:jc w:val="center"/>
              <w:rPr>
                <w:rFonts w:ascii="Arial" w:hAnsi="Arial" w:cs="Arial"/>
                <w:sz w:val="20"/>
                <w:szCs w:val="20"/>
              </w:rPr>
            </w:pPr>
            <w:r w:rsidRPr="00706DCE">
              <w:rPr>
                <w:rFonts w:ascii="Arial" w:hAnsi="Arial" w:cs="Arial"/>
                <w:sz w:val="20"/>
                <w:szCs w:val="20"/>
              </w:rPr>
              <w:t>3.62</w:t>
            </w:r>
          </w:p>
        </w:tc>
      </w:tr>
      <w:tr w:rsidR="004E713F" w:rsidRPr="00706DCE" w14:paraId="747E540A" w14:textId="77777777" w:rsidTr="00D27D6E">
        <w:trPr>
          <w:jc w:val="center"/>
        </w:trPr>
        <w:tc>
          <w:tcPr>
            <w:tcW w:w="3539" w:type="dxa"/>
          </w:tcPr>
          <w:p w14:paraId="190D51A5" w14:textId="77777777" w:rsidR="004E713F" w:rsidRPr="00706DCE" w:rsidRDefault="004E713F" w:rsidP="0017536E">
            <w:pPr>
              <w:contextualSpacing/>
              <w:jc w:val="both"/>
              <w:rPr>
                <w:rFonts w:ascii="Arial" w:hAnsi="Arial" w:cs="Arial"/>
                <w:sz w:val="20"/>
                <w:szCs w:val="20"/>
              </w:rPr>
            </w:pPr>
            <w:r w:rsidRPr="00706DCE">
              <w:rPr>
                <w:rFonts w:ascii="Arial" w:hAnsi="Arial" w:cs="Arial"/>
                <w:sz w:val="20"/>
                <w:szCs w:val="20"/>
              </w:rPr>
              <w:t>Linoleic acid (C18:2)</w:t>
            </w:r>
          </w:p>
        </w:tc>
        <w:tc>
          <w:tcPr>
            <w:tcW w:w="1940" w:type="dxa"/>
          </w:tcPr>
          <w:p w14:paraId="102C0173" w14:textId="115EBBA4" w:rsidR="004E713F" w:rsidRPr="00D27D6E" w:rsidRDefault="00F5463A" w:rsidP="00F5463A">
            <w:pPr>
              <w:contextualSpacing/>
              <w:jc w:val="both"/>
              <w:rPr>
                <w:rFonts w:ascii="Arial" w:hAnsi="Arial" w:cs="Arial"/>
                <w:sz w:val="20"/>
              </w:rPr>
            </w:pPr>
            <w:r>
              <w:rPr>
                <w:rFonts w:ascii="Arial" w:hAnsi="Arial" w:cs="Arial"/>
                <w:sz w:val="20"/>
              </w:rPr>
              <w:t>9.62</w:t>
            </w:r>
          </w:p>
        </w:tc>
        <w:tc>
          <w:tcPr>
            <w:tcW w:w="1418" w:type="dxa"/>
          </w:tcPr>
          <w:p w14:paraId="2F01D613" w14:textId="2F66A746" w:rsidR="004E713F" w:rsidRPr="00706DCE" w:rsidRDefault="004E713F" w:rsidP="00D27D6E">
            <w:pPr>
              <w:contextualSpacing/>
              <w:jc w:val="center"/>
              <w:rPr>
                <w:rFonts w:ascii="Arial" w:hAnsi="Arial" w:cs="Arial"/>
                <w:sz w:val="20"/>
                <w:szCs w:val="20"/>
              </w:rPr>
            </w:pPr>
            <w:r w:rsidRPr="00706DCE">
              <w:rPr>
                <w:rFonts w:ascii="Arial" w:hAnsi="Arial" w:cs="Arial"/>
                <w:sz w:val="20"/>
                <w:szCs w:val="20"/>
              </w:rPr>
              <w:t>1.06</w:t>
            </w:r>
          </w:p>
        </w:tc>
      </w:tr>
      <w:tr w:rsidR="004E713F" w:rsidRPr="00706DCE" w14:paraId="4A2AC186" w14:textId="77777777" w:rsidTr="00D27D6E">
        <w:trPr>
          <w:jc w:val="center"/>
        </w:trPr>
        <w:tc>
          <w:tcPr>
            <w:tcW w:w="3539" w:type="dxa"/>
          </w:tcPr>
          <w:p w14:paraId="2D6B0C3B" w14:textId="77777777" w:rsidR="004E713F" w:rsidRPr="00706DCE" w:rsidRDefault="004E713F" w:rsidP="0017536E">
            <w:pPr>
              <w:contextualSpacing/>
              <w:jc w:val="both"/>
              <w:rPr>
                <w:rFonts w:ascii="Arial" w:hAnsi="Arial" w:cs="Arial"/>
                <w:sz w:val="20"/>
                <w:szCs w:val="20"/>
              </w:rPr>
            </w:pPr>
            <w:r w:rsidRPr="00706DCE">
              <w:rPr>
                <w:rFonts w:ascii="Arial" w:hAnsi="Arial" w:cs="Arial"/>
                <w:sz w:val="20"/>
                <w:szCs w:val="20"/>
              </w:rPr>
              <w:t>Oleic acid (C18:1)</w:t>
            </w:r>
          </w:p>
        </w:tc>
        <w:tc>
          <w:tcPr>
            <w:tcW w:w="1940" w:type="dxa"/>
          </w:tcPr>
          <w:p w14:paraId="56F6318C" w14:textId="4ED93EEC" w:rsidR="004E713F" w:rsidRPr="00D27D6E" w:rsidRDefault="00F5463A" w:rsidP="00F5463A">
            <w:pPr>
              <w:contextualSpacing/>
              <w:jc w:val="both"/>
              <w:rPr>
                <w:rFonts w:ascii="Arial" w:hAnsi="Arial" w:cs="Arial"/>
                <w:sz w:val="20"/>
              </w:rPr>
            </w:pPr>
            <w:r>
              <w:rPr>
                <w:rFonts w:ascii="Arial" w:hAnsi="Arial" w:cs="Arial"/>
                <w:sz w:val="20"/>
              </w:rPr>
              <w:t>9.13</w:t>
            </w:r>
          </w:p>
        </w:tc>
        <w:tc>
          <w:tcPr>
            <w:tcW w:w="1418" w:type="dxa"/>
          </w:tcPr>
          <w:p w14:paraId="7EC0EC00" w14:textId="03405B2B" w:rsidR="004E713F" w:rsidRPr="00706DCE" w:rsidRDefault="004E713F" w:rsidP="00D27D6E">
            <w:pPr>
              <w:contextualSpacing/>
              <w:jc w:val="center"/>
              <w:rPr>
                <w:rFonts w:ascii="Arial" w:hAnsi="Arial" w:cs="Arial"/>
                <w:sz w:val="20"/>
                <w:szCs w:val="20"/>
              </w:rPr>
            </w:pPr>
            <w:r w:rsidRPr="00706DCE">
              <w:rPr>
                <w:rFonts w:ascii="Arial" w:hAnsi="Arial" w:cs="Arial"/>
                <w:sz w:val="20"/>
                <w:szCs w:val="20"/>
              </w:rPr>
              <w:t>1.29</w:t>
            </w:r>
          </w:p>
        </w:tc>
      </w:tr>
      <w:tr w:rsidR="004E713F" w:rsidRPr="00706DCE" w14:paraId="019E9ACC" w14:textId="77777777" w:rsidTr="00D27D6E">
        <w:trPr>
          <w:jc w:val="center"/>
        </w:trPr>
        <w:tc>
          <w:tcPr>
            <w:tcW w:w="3539" w:type="dxa"/>
          </w:tcPr>
          <w:p w14:paraId="654EFF87" w14:textId="77777777" w:rsidR="004E713F" w:rsidRPr="00706DCE" w:rsidRDefault="004E713F" w:rsidP="0017536E">
            <w:pPr>
              <w:contextualSpacing/>
              <w:jc w:val="both"/>
              <w:rPr>
                <w:rFonts w:ascii="Arial" w:hAnsi="Arial" w:cs="Arial"/>
                <w:sz w:val="20"/>
                <w:szCs w:val="20"/>
              </w:rPr>
            </w:pPr>
            <w:r w:rsidRPr="00706DCE">
              <w:rPr>
                <w:rFonts w:ascii="Arial" w:hAnsi="Arial" w:cs="Arial"/>
                <w:sz w:val="20"/>
                <w:szCs w:val="20"/>
              </w:rPr>
              <w:t>Stearic acid (C18)</w:t>
            </w:r>
          </w:p>
        </w:tc>
        <w:tc>
          <w:tcPr>
            <w:tcW w:w="1940" w:type="dxa"/>
          </w:tcPr>
          <w:p w14:paraId="17E6F03A" w14:textId="47D75FA2" w:rsidR="004E713F" w:rsidRPr="00D27D6E" w:rsidRDefault="00D27D6E" w:rsidP="00F5463A">
            <w:pPr>
              <w:contextualSpacing/>
              <w:jc w:val="both"/>
              <w:rPr>
                <w:rFonts w:ascii="Arial" w:hAnsi="Arial" w:cs="Arial"/>
                <w:sz w:val="20"/>
              </w:rPr>
            </w:pPr>
            <w:r>
              <w:rPr>
                <w:rFonts w:ascii="Arial" w:hAnsi="Arial" w:cs="Arial"/>
                <w:sz w:val="20"/>
              </w:rPr>
              <w:t>7.24</w:t>
            </w:r>
          </w:p>
        </w:tc>
        <w:tc>
          <w:tcPr>
            <w:tcW w:w="1418" w:type="dxa"/>
          </w:tcPr>
          <w:p w14:paraId="22ADD3AF" w14:textId="3DD7B927" w:rsidR="004E713F" w:rsidRPr="00706DCE" w:rsidRDefault="004E713F" w:rsidP="00D27D6E">
            <w:pPr>
              <w:contextualSpacing/>
              <w:jc w:val="center"/>
              <w:rPr>
                <w:rFonts w:ascii="Arial" w:hAnsi="Arial" w:cs="Arial"/>
                <w:sz w:val="20"/>
                <w:szCs w:val="20"/>
              </w:rPr>
            </w:pPr>
            <w:r w:rsidRPr="00706DCE">
              <w:rPr>
                <w:rFonts w:ascii="Arial" w:hAnsi="Arial" w:cs="Arial"/>
                <w:sz w:val="20"/>
                <w:szCs w:val="20"/>
              </w:rPr>
              <w:t>9.32</w:t>
            </w:r>
          </w:p>
        </w:tc>
      </w:tr>
      <w:tr w:rsidR="004E713F" w:rsidRPr="00706DCE" w14:paraId="0D7B8592" w14:textId="77777777" w:rsidTr="00D27D6E">
        <w:trPr>
          <w:jc w:val="center"/>
        </w:trPr>
        <w:tc>
          <w:tcPr>
            <w:tcW w:w="3539" w:type="dxa"/>
          </w:tcPr>
          <w:p w14:paraId="3CA53CC1" w14:textId="77777777" w:rsidR="004E713F" w:rsidRPr="00706DCE" w:rsidRDefault="004E713F" w:rsidP="0017536E">
            <w:pPr>
              <w:contextualSpacing/>
              <w:jc w:val="both"/>
              <w:rPr>
                <w:rFonts w:ascii="Arial" w:hAnsi="Arial" w:cs="Arial"/>
                <w:sz w:val="20"/>
                <w:szCs w:val="20"/>
              </w:rPr>
            </w:pPr>
            <w:r w:rsidRPr="00706DCE">
              <w:rPr>
                <w:rFonts w:ascii="Arial" w:hAnsi="Arial" w:cs="Arial"/>
                <w:sz w:val="20"/>
                <w:szCs w:val="20"/>
              </w:rPr>
              <w:t>Palmitic acid (C16)</w:t>
            </w:r>
          </w:p>
        </w:tc>
        <w:tc>
          <w:tcPr>
            <w:tcW w:w="1940" w:type="dxa"/>
          </w:tcPr>
          <w:p w14:paraId="72FF47FE" w14:textId="11FA3BDE" w:rsidR="004E713F" w:rsidRPr="00D27D6E" w:rsidRDefault="00D27D6E" w:rsidP="00F5463A">
            <w:pPr>
              <w:contextualSpacing/>
              <w:jc w:val="both"/>
              <w:rPr>
                <w:rFonts w:ascii="Arial" w:hAnsi="Arial" w:cs="Arial"/>
                <w:sz w:val="20"/>
              </w:rPr>
            </w:pPr>
            <w:r>
              <w:rPr>
                <w:rFonts w:ascii="Arial" w:hAnsi="Arial" w:cs="Arial"/>
                <w:sz w:val="20"/>
              </w:rPr>
              <w:t>6.12</w:t>
            </w:r>
          </w:p>
        </w:tc>
        <w:tc>
          <w:tcPr>
            <w:tcW w:w="1418" w:type="dxa"/>
          </w:tcPr>
          <w:p w14:paraId="2A189E3E" w14:textId="119A997F" w:rsidR="004E713F" w:rsidRPr="00706DCE" w:rsidRDefault="004E713F" w:rsidP="00D27D6E">
            <w:pPr>
              <w:contextualSpacing/>
              <w:jc w:val="center"/>
              <w:rPr>
                <w:rFonts w:ascii="Arial" w:hAnsi="Arial" w:cs="Arial"/>
                <w:sz w:val="20"/>
                <w:szCs w:val="20"/>
              </w:rPr>
            </w:pPr>
            <w:r w:rsidRPr="00706DCE">
              <w:rPr>
                <w:rFonts w:ascii="Arial" w:hAnsi="Arial" w:cs="Arial"/>
                <w:sz w:val="20"/>
                <w:szCs w:val="20"/>
              </w:rPr>
              <w:t>7.29</w:t>
            </w:r>
          </w:p>
        </w:tc>
      </w:tr>
      <w:tr w:rsidR="004E713F" w:rsidRPr="00706DCE" w14:paraId="31428A71" w14:textId="77777777" w:rsidTr="00D27D6E">
        <w:trPr>
          <w:jc w:val="center"/>
        </w:trPr>
        <w:tc>
          <w:tcPr>
            <w:tcW w:w="3539" w:type="dxa"/>
          </w:tcPr>
          <w:p w14:paraId="56BFEBBC" w14:textId="77777777" w:rsidR="004E713F" w:rsidRPr="00706DCE" w:rsidRDefault="004E713F" w:rsidP="0017536E">
            <w:pPr>
              <w:contextualSpacing/>
              <w:jc w:val="both"/>
              <w:rPr>
                <w:rFonts w:ascii="Arial" w:hAnsi="Arial" w:cs="Arial"/>
                <w:sz w:val="20"/>
                <w:szCs w:val="20"/>
              </w:rPr>
            </w:pPr>
            <w:r w:rsidRPr="00706DCE">
              <w:rPr>
                <w:rFonts w:ascii="Arial" w:hAnsi="Arial" w:cs="Arial"/>
                <w:sz w:val="20"/>
                <w:szCs w:val="20"/>
              </w:rPr>
              <w:t>Myristic acid (C14)</w:t>
            </w:r>
          </w:p>
        </w:tc>
        <w:tc>
          <w:tcPr>
            <w:tcW w:w="1940" w:type="dxa"/>
          </w:tcPr>
          <w:p w14:paraId="4B502FCB" w14:textId="148D7626" w:rsidR="004E713F" w:rsidRPr="00D27D6E" w:rsidRDefault="00D27D6E" w:rsidP="0017536E">
            <w:pPr>
              <w:contextualSpacing/>
              <w:jc w:val="both"/>
              <w:rPr>
                <w:rFonts w:ascii="Arial" w:hAnsi="Arial" w:cs="Arial"/>
                <w:sz w:val="20"/>
              </w:rPr>
            </w:pPr>
            <w:r w:rsidRPr="00D27D6E">
              <w:rPr>
                <w:rFonts w:ascii="Arial" w:hAnsi="Arial" w:cs="Arial"/>
                <w:sz w:val="20"/>
              </w:rPr>
              <w:t>6.70</w:t>
            </w:r>
          </w:p>
        </w:tc>
        <w:tc>
          <w:tcPr>
            <w:tcW w:w="1418" w:type="dxa"/>
          </w:tcPr>
          <w:p w14:paraId="1BC35FE5" w14:textId="4679D794" w:rsidR="004E713F" w:rsidRPr="00706DCE" w:rsidRDefault="004E713F" w:rsidP="00D27D6E">
            <w:pPr>
              <w:contextualSpacing/>
              <w:jc w:val="center"/>
              <w:rPr>
                <w:rFonts w:ascii="Arial" w:hAnsi="Arial" w:cs="Arial"/>
                <w:sz w:val="20"/>
                <w:szCs w:val="20"/>
              </w:rPr>
            </w:pPr>
            <w:r w:rsidRPr="00706DCE">
              <w:rPr>
                <w:rFonts w:ascii="Arial" w:hAnsi="Arial" w:cs="Arial"/>
                <w:sz w:val="20"/>
                <w:szCs w:val="20"/>
              </w:rPr>
              <w:t>6.57</w:t>
            </w:r>
          </w:p>
        </w:tc>
      </w:tr>
      <w:tr w:rsidR="004E713F" w:rsidRPr="00706DCE" w14:paraId="16701172" w14:textId="77777777" w:rsidTr="00D27D6E">
        <w:trPr>
          <w:jc w:val="center"/>
        </w:trPr>
        <w:tc>
          <w:tcPr>
            <w:tcW w:w="3539" w:type="dxa"/>
            <w:tcBorders>
              <w:bottom w:val="single" w:sz="4" w:space="0" w:color="auto"/>
            </w:tcBorders>
          </w:tcPr>
          <w:p w14:paraId="60C5D802" w14:textId="77777777" w:rsidR="004E713F" w:rsidRPr="00706DCE" w:rsidRDefault="004E713F" w:rsidP="0017536E">
            <w:pPr>
              <w:contextualSpacing/>
              <w:jc w:val="both"/>
              <w:rPr>
                <w:rFonts w:ascii="Arial" w:hAnsi="Arial" w:cs="Arial"/>
                <w:b/>
                <w:bCs/>
                <w:sz w:val="20"/>
                <w:szCs w:val="20"/>
              </w:rPr>
            </w:pPr>
            <w:r w:rsidRPr="00706DCE">
              <w:rPr>
                <w:rFonts w:ascii="Arial" w:hAnsi="Arial" w:cs="Arial"/>
                <w:sz w:val="20"/>
                <w:szCs w:val="20"/>
              </w:rPr>
              <w:t>Total</w:t>
            </w:r>
          </w:p>
        </w:tc>
        <w:tc>
          <w:tcPr>
            <w:tcW w:w="1940" w:type="dxa"/>
            <w:tcBorders>
              <w:bottom w:val="single" w:sz="4" w:space="0" w:color="auto"/>
            </w:tcBorders>
          </w:tcPr>
          <w:p w14:paraId="4A59F454" w14:textId="77777777" w:rsidR="004E713F" w:rsidRPr="00706DCE" w:rsidRDefault="004E713F" w:rsidP="0017536E">
            <w:pPr>
              <w:contextualSpacing/>
              <w:jc w:val="both"/>
              <w:rPr>
                <w:rFonts w:ascii="Arial" w:hAnsi="Arial" w:cs="Arial"/>
              </w:rPr>
            </w:pPr>
          </w:p>
        </w:tc>
        <w:tc>
          <w:tcPr>
            <w:tcW w:w="1418" w:type="dxa"/>
            <w:tcBorders>
              <w:bottom w:val="single" w:sz="4" w:space="0" w:color="auto"/>
            </w:tcBorders>
          </w:tcPr>
          <w:p w14:paraId="20FC9F18" w14:textId="5E464F38" w:rsidR="004E713F" w:rsidRPr="00706DCE" w:rsidRDefault="004E713F" w:rsidP="00D27D6E">
            <w:pPr>
              <w:contextualSpacing/>
              <w:jc w:val="center"/>
              <w:rPr>
                <w:rFonts w:ascii="Arial" w:hAnsi="Arial" w:cs="Arial"/>
                <w:sz w:val="20"/>
                <w:szCs w:val="20"/>
              </w:rPr>
            </w:pPr>
            <w:r w:rsidRPr="00706DCE">
              <w:rPr>
                <w:rFonts w:ascii="Arial" w:hAnsi="Arial" w:cs="Arial"/>
                <w:sz w:val="20"/>
                <w:szCs w:val="20"/>
              </w:rPr>
              <w:t>45.88</w:t>
            </w:r>
          </w:p>
        </w:tc>
      </w:tr>
    </w:tbl>
    <w:p w14:paraId="6459FEF4" w14:textId="77777777" w:rsidR="00C15C33" w:rsidRPr="00706DCE" w:rsidRDefault="00C15C33" w:rsidP="0017536E">
      <w:pPr>
        <w:contextualSpacing/>
        <w:jc w:val="both"/>
        <w:rPr>
          <w:rFonts w:ascii="Arial" w:hAnsi="Arial" w:cs="Arial"/>
        </w:rPr>
      </w:pPr>
    </w:p>
    <w:p w14:paraId="6B96CDD9" w14:textId="77777777" w:rsidR="00C15C33" w:rsidRPr="00706DCE" w:rsidRDefault="00D76323" w:rsidP="0017536E">
      <w:pPr>
        <w:contextualSpacing/>
        <w:jc w:val="both"/>
        <w:rPr>
          <w:rFonts w:ascii="Arial" w:hAnsi="Arial" w:cs="Arial"/>
          <w:b/>
        </w:rPr>
      </w:pPr>
      <w:r>
        <w:rPr>
          <w:rFonts w:ascii="Arial" w:hAnsi="Arial" w:cs="Arial"/>
          <w:b/>
        </w:rPr>
        <w:t xml:space="preserve">3.3 </w:t>
      </w:r>
      <w:r w:rsidR="00C15C33" w:rsidRPr="00706DCE">
        <w:rPr>
          <w:rFonts w:ascii="Arial" w:hAnsi="Arial" w:cs="Arial"/>
          <w:b/>
        </w:rPr>
        <w:t>Microbial load of mixed POME sample</w:t>
      </w:r>
    </w:p>
    <w:p w14:paraId="1363FDAA" w14:textId="77777777" w:rsidR="00C15C33" w:rsidRPr="00706DCE" w:rsidRDefault="00C15C33" w:rsidP="001D162D">
      <w:pPr>
        <w:contextualSpacing/>
        <w:jc w:val="both"/>
        <w:rPr>
          <w:rFonts w:ascii="Arial" w:hAnsi="Arial" w:cs="Arial"/>
        </w:rPr>
      </w:pPr>
      <w:r w:rsidRPr="00706DCE">
        <w:rPr>
          <w:rFonts w:ascii="Arial" w:hAnsi="Arial" w:cs="Arial"/>
        </w:rPr>
        <w:t xml:space="preserve">Results of the microbial load of the </w:t>
      </w:r>
      <w:proofErr w:type="spellStart"/>
      <w:r w:rsidRPr="00706DCE">
        <w:rPr>
          <w:rFonts w:ascii="Arial" w:hAnsi="Arial" w:cs="Arial"/>
        </w:rPr>
        <w:t>analysed</w:t>
      </w:r>
      <w:proofErr w:type="spellEnd"/>
      <w:r w:rsidRPr="00706DCE">
        <w:rPr>
          <w:rFonts w:ascii="Arial" w:hAnsi="Arial" w:cs="Arial"/>
        </w:rPr>
        <w:t xml:space="preserve"> mixed POME sample is shown in Table 3 it revealed higher total bacterial count than total fungal count in the mixed POME sample. There was 186.84±69.11x10</w:t>
      </w:r>
      <w:r w:rsidRPr="00706DCE">
        <w:rPr>
          <w:rFonts w:ascii="Arial" w:hAnsi="Arial" w:cs="Arial"/>
          <w:vertAlign w:val="superscript"/>
        </w:rPr>
        <w:t>7</w:t>
      </w:r>
      <w:r w:rsidRPr="00706DCE">
        <w:rPr>
          <w:rFonts w:ascii="Arial" w:hAnsi="Arial" w:cs="Arial"/>
        </w:rPr>
        <w:t xml:space="preserve"> </w:t>
      </w:r>
      <w:proofErr w:type="spellStart"/>
      <w:r w:rsidRPr="00706DCE">
        <w:rPr>
          <w:rFonts w:ascii="Arial" w:hAnsi="Arial" w:cs="Arial"/>
        </w:rPr>
        <w:t>cfu</w:t>
      </w:r>
      <w:proofErr w:type="spellEnd"/>
      <w:r w:rsidRPr="00706DCE">
        <w:rPr>
          <w:rFonts w:ascii="Arial" w:hAnsi="Arial" w:cs="Arial"/>
        </w:rPr>
        <w:t xml:space="preserve">/ml mean total bacterial count isolated from the mixed POME sample following 24 h of incubation. </w:t>
      </w:r>
      <w:r w:rsidRPr="00706DCE">
        <w:rPr>
          <w:rFonts w:ascii="Arial" w:hAnsi="Arial" w:cs="Arial"/>
          <w:bCs/>
        </w:rPr>
        <w:t xml:space="preserve">The evidences of initial biochemical tests and morphological features of the isolates indicated the suspected presence of </w:t>
      </w:r>
      <w:r w:rsidRPr="00706DCE">
        <w:rPr>
          <w:rFonts w:ascii="Arial" w:hAnsi="Arial" w:cs="Arial"/>
          <w:bCs/>
          <w:i/>
          <w:iCs/>
        </w:rPr>
        <w:t xml:space="preserve">Bacillus </w:t>
      </w:r>
      <w:r w:rsidRPr="00706DCE">
        <w:rPr>
          <w:rFonts w:ascii="Arial" w:hAnsi="Arial" w:cs="Arial"/>
          <w:bCs/>
          <w:iCs/>
        </w:rPr>
        <w:t>spp.</w:t>
      </w:r>
      <w:r w:rsidRPr="00706DCE">
        <w:rPr>
          <w:rFonts w:ascii="Arial" w:hAnsi="Arial" w:cs="Arial"/>
          <w:bCs/>
          <w:i/>
          <w:iCs/>
        </w:rPr>
        <w:t xml:space="preserve">, Pseudomonas </w:t>
      </w:r>
      <w:r w:rsidRPr="00706DCE">
        <w:rPr>
          <w:rFonts w:ascii="Arial" w:hAnsi="Arial" w:cs="Arial"/>
          <w:bCs/>
          <w:iCs/>
        </w:rPr>
        <w:t>spp.</w:t>
      </w:r>
      <w:r w:rsidRPr="00706DCE">
        <w:rPr>
          <w:rFonts w:ascii="Arial" w:hAnsi="Arial" w:cs="Arial"/>
          <w:bCs/>
          <w:i/>
          <w:iCs/>
        </w:rPr>
        <w:t xml:space="preserve">, Micrococcus </w:t>
      </w:r>
      <w:r w:rsidRPr="00706DCE">
        <w:rPr>
          <w:rFonts w:ascii="Arial" w:hAnsi="Arial" w:cs="Arial"/>
          <w:bCs/>
        </w:rPr>
        <w:t xml:space="preserve">spp. and </w:t>
      </w:r>
      <w:r w:rsidRPr="00706DCE">
        <w:rPr>
          <w:rFonts w:ascii="Arial" w:hAnsi="Arial" w:cs="Arial"/>
          <w:bCs/>
          <w:i/>
          <w:iCs/>
        </w:rPr>
        <w:t>Enterococcus faecalis.</w:t>
      </w:r>
      <w:r w:rsidRPr="00706DCE">
        <w:rPr>
          <w:rFonts w:ascii="Arial" w:hAnsi="Arial" w:cs="Arial"/>
          <w:bCs/>
        </w:rPr>
        <w:t xml:space="preserve"> Out of the total bacterial count, </w:t>
      </w:r>
      <w:r w:rsidRPr="00706DCE">
        <w:rPr>
          <w:rFonts w:ascii="Arial" w:hAnsi="Arial" w:cs="Arial"/>
          <w:i/>
        </w:rPr>
        <w:t>Pseudomonas</w:t>
      </w:r>
      <w:r w:rsidRPr="00706DCE">
        <w:rPr>
          <w:rFonts w:ascii="Arial" w:hAnsi="Arial" w:cs="Arial"/>
        </w:rPr>
        <w:t xml:space="preserve"> spp.</w:t>
      </w:r>
      <w:r w:rsidRPr="00706DCE">
        <w:rPr>
          <w:rFonts w:ascii="Arial" w:hAnsi="Arial" w:cs="Arial"/>
          <w:bCs/>
        </w:rPr>
        <w:t xml:space="preserve"> accounted for </w:t>
      </w:r>
      <w:r w:rsidRPr="00706DCE">
        <w:rPr>
          <w:rFonts w:ascii="Arial" w:hAnsi="Arial" w:cs="Arial"/>
        </w:rPr>
        <w:t>106.99±26.92 x 10</w:t>
      </w:r>
      <w:r w:rsidRPr="00706DCE">
        <w:rPr>
          <w:rFonts w:ascii="Arial" w:hAnsi="Arial" w:cs="Arial"/>
          <w:vertAlign w:val="superscript"/>
        </w:rPr>
        <w:t>7</w:t>
      </w:r>
      <w:r w:rsidRPr="00706DCE">
        <w:rPr>
          <w:rFonts w:ascii="Arial" w:hAnsi="Arial" w:cs="Arial"/>
        </w:rPr>
        <w:t xml:space="preserve">. </w:t>
      </w:r>
      <w:r w:rsidRPr="00706DCE">
        <w:rPr>
          <w:rFonts w:ascii="Arial" w:hAnsi="Arial" w:cs="Arial"/>
          <w:bCs/>
        </w:rPr>
        <w:t>The recorded total fungal count was 89.88±11.46x10</w:t>
      </w:r>
      <w:r w:rsidRPr="00706DCE">
        <w:rPr>
          <w:rFonts w:ascii="Arial" w:hAnsi="Arial" w:cs="Arial"/>
          <w:bCs/>
          <w:vertAlign w:val="superscript"/>
        </w:rPr>
        <w:t>6</w:t>
      </w:r>
      <w:r w:rsidRPr="00706DCE">
        <w:rPr>
          <w:rFonts w:ascii="Arial" w:hAnsi="Arial" w:cs="Arial"/>
          <w:bCs/>
        </w:rPr>
        <w:t xml:space="preserve"> </w:t>
      </w:r>
      <w:proofErr w:type="spellStart"/>
      <w:r w:rsidRPr="00706DCE">
        <w:rPr>
          <w:rFonts w:ascii="Arial" w:hAnsi="Arial" w:cs="Arial"/>
          <w:bCs/>
        </w:rPr>
        <w:t>cfu</w:t>
      </w:r>
      <w:proofErr w:type="spellEnd"/>
      <w:r w:rsidRPr="00706DCE">
        <w:rPr>
          <w:rFonts w:ascii="Arial" w:hAnsi="Arial" w:cs="Arial"/>
          <w:bCs/>
        </w:rPr>
        <w:t xml:space="preserve">/ml, which consisted of </w:t>
      </w:r>
      <w:r w:rsidRPr="00706DCE">
        <w:rPr>
          <w:rFonts w:ascii="Arial" w:hAnsi="Arial" w:cs="Arial"/>
          <w:bCs/>
          <w:i/>
          <w:iCs/>
        </w:rPr>
        <w:t xml:space="preserve">Candida, Mucor </w:t>
      </w:r>
      <w:r w:rsidRPr="00706DCE">
        <w:rPr>
          <w:rFonts w:ascii="Arial" w:hAnsi="Arial" w:cs="Arial"/>
          <w:bCs/>
          <w:iCs/>
        </w:rPr>
        <w:t xml:space="preserve">and </w:t>
      </w:r>
      <w:r w:rsidRPr="00706DCE">
        <w:rPr>
          <w:rFonts w:ascii="Arial" w:hAnsi="Arial" w:cs="Arial"/>
          <w:bCs/>
          <w:i/>
          <w:iCs/>
        </w:rPr>
        <w:t>Aspergillus</w:t>
      </w:r>
      <w:r w:rsidRPr="00706DCE">
        <w:rPr>
          <w:rFonts w:ascii="Arial" w:hAnsi="Arial" w:cs="Arial"/>
          <w:bCs/>
        </w:rPr>
        <w:t xml:space="preserve">. </w:t>
      </w:r>
      <w:r w:rsidRPr="00706DCE">
        <w:rPr>
          <w:rFonts w:ascii="Arial" w:hAnsi="Arial" w:cs="Arial"/>
          <w:bCs/>
          <w:i/>
        </w:rPr>
        <w:t>Candida albicans</w:t>
      </w:r>
      <w:r w:rsidRPr="00706DCE">
        <w:rPr>
          <w:rFonts w:ascii="Arial" w:hAnsi="Arial" w:cs="Arial"/>
          <w:bCs/>
        </w:rPr>
        <w:t xml:space="preserve"> accounted for </w:t>
      </w:r>
      <w:r w:rsidRPr="00706DCE">
        <w:rPr>
          <w:rFonts w:ascii="Arial" w:hAnsi="Arial" w:cs="Arial"/>
        </w:rPr>
        <w:t>4.02±1.28x10</w:t>
      </w:r>
      <w:r w:rsidRPr="00706DCE">
        <w:rPr>
          <w:rFonts w:ascii="Arial" w:hAnsi="Arial" w:cs="Arial"/>
          <w:vertAlign w:val="superscript"/>
        </w:rPr>
        <w:t>6</w:t>
      </w:r>
      <w:r w:rsidRPr="00706DCE">
        <w:rPr>
          <w:rFonts w:ascii="Arial" w:hAnsi="Arial" w:cs="Arial"/>
        </w:rPr>
        <w:t xml:space="preserve"> </w:t>
      </w:r>
      <w:proofErr w:type="spellStart"/>
      <w:r w:rsidRPr="00706DCE">
        <w:rPr>
          <w:rFonts w:ascii="Arial" w:hAnsi="Arial" w:cs="Arial"/>
        </w:rPr>
        <w:t>cfu</w:t>
      </w:r>
      <w:proofErr w:type="spellEnd"/>
      <w:r w:rsidRPr="00706DCE">
        <w:rPr>
          <w:rFonts w:ascii="Arial" w:hAnsi="Arial" w:cs="Arial"/>
        </w:rPr>
        <w:t>/ml.</w:t>
      </w:r>
    </w:p>
    <w:p w14:paraId="7E0711BC" w14:textId="77777777" w:rsidR="00C15C33" w:rsidRPr="00706DCE" w:rsidRDefault="00C15C33" w:rsidP="0017536E">
      <w:pPr>
        <w:contextualSpacing/>
        <w:jc w:val="both"/>
        <w:rPr>
          <w:rFonts w:ascii="Arial" w:hAnsi="Arial" w:cs="Arial"/>
          <w:bCs/>
        </w:rPr>
      </w:pPr>
    </w:p>
    <w:p w14:paraId="7040553A" w14:textId="77777777" w:rsidR="00C15C33" w:rsidRPr="00706DCE" w:rsidRDefault="00C15C33" w:rsidP="0017536E">
      <w:pPr>
        <w:contextualSpacing/>
        <w:jc w:val="both"/>
        <w:rPr>
          <w:rFonts w:ascii="Arial" w:hAnsi="Arial" w:cs="Arial"/>
          <w:bCs/>
        </w:rPr>
      </w:pPr>
      <w:r w:rsidRPr="00706DCE">
        <w:rPr>
          <w:rFonts w:ascii="Arial" w:hAnsi="Arial" w:cs="Arial"/>
          <w:b/>
          <w:bCs/>
        </w:rPr>
        <w:t>Table 3.</w:t>
      </w:r>
      <w:r w:rsidRPr="00706DCE">
        <w:rPr>
          <w:rFonts w:ascii="Arial" w:hAnsi="Arial" w:cs="Arial"/>
          <w:bCs/>
        </w:rPr>
        <w:t xml:space="preserve"> Microbial load of mixed POME sample</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17"/>
        <w:gridCol w:w="2339"/>
      </w:tblGrid>
      <w:tr w:rsidR="00C15C33" w:rsidRPr="00706DCE" w14:paraId="326CD345" w14:textId="77777777" w:rsidTr="0026771C">
        <w:trPr>
          <w:jc w:val="center"/>
        </w:trPr>
        <w:tc>
          <w:tcPr>
            <w:tcW w:w="0" w:type="auto"/>
            <w:tcBorders>
              <w:top w:val="single" w:sz="4" w:space="0" w:color="auto"/>
              <w:bottom w:val="single" w:sz="4" w:space="0" w:color="auto"/>
            </w:tcBorders>
          </w:tcPr>
          <w:p w14:paraId="6F127CB1" w14:textId="77777777" w:rsidR="00C15C33" w:rsidRPr="00706DCE" w:rsidRDefault="00C15C33" w:rsidP="0017536E">
            <w:pPr>
              <w:contextualSpacing/>
              <w:jc w:val="both"/>
              <w:rPr>
                <w:rFonts w:ascii="Arial" w:hAnsi="Arial" w:cs="Arial"/>
                <w:b/>
                <w:sz w:val="20"/>
                <w:szCs w:val="20"/>
              </w:rPr>
            </w:pPr>
            <w:r w:rsidRPr="00706DCE">
              <w:rPr>
                <w:rFonts w:ascii="Arial" w:hAnsi="Arial" w:cs="Arial"/>
                <w:b/>
                <w:sz w:val="20"/>
                <w:szCs w:val="20"/>
              </w:rPr>
              <w:t>Parameter</w:t>
            </w:r>
          </w:p>
        </w:tc>
        <w:tc>
          <w:tcPr>
            <w:tcW w:w="0" w:type="auto"/>
            <w:tcBorders>
              <w:top w:val="single" w:sz="4" w:space="0" w:color="auto"/>
              <w:bottom w:val="single" w:sz="4" w:space="0" w:color="auto"/>
            </w:tcBorders>
          </w:tcPr>
          <w:p w14:paraId="33467E6C" w14:textId="77777777" w:rsidR="00C15C33" w:rsidRPr="00706DCE" w:rsidRDefault="00C15C33" w:rsidP="0017536E">
            <w:pPr>
              <w:contextualSpacing/>
              <w:jc w:val="both"/>
              <w:rPr>
                <w:rFonts w:ascii="Arial" w:hAnsi="Arial" w:cs="Arial"/>
                <w:b/>
                <w:sz w:val="20"/>
                <w:szCs w:val="20"/>
              </w:rPr>
            </w:pPr>
            <w:r w:rsidRPr="00706DCE">
              <w:rPr>
                <w:rFonts w:ascii="Arial" w:hAnsi="Arial" w:cs="Arial"/>
                <w:b/>
                <w:sz w:val="20"/>
                <w:szCs w:val="20"/>
              </w:rPr>
              <w:t>Microbial load (</w:t>
            </w:r>
            <w:proofErr w:type="spellStart"/>
            <w:r w:rsidRPr="00706DCE">
              <w:rPr>
                <w:rFonts w:ascii="Arial" w:hAnsi="Arial" w:cs="Arial"/>
                <w:b/>
                <w:sz w:val="20"/>
                <w:szCs w:val="20"/>
              </w:rPr>
              <w:t>cfu</w:t>
            </w:r>
            <w:proofErr w:type="spellEnd"/>
            <w:r w:rsidRPr="00706DCE">
              <w:rPr>
                <w:rFonts w:ascii="Arial" w:hAnsi="Arial" w:cs="Arial"/>
                <w:b/>
                <w:sz w:val="20"/>
                <w:szCs w:val="20"/>
              </w:rPr>
              <w:t>/ml)</w:t>
            </w:r>
          </w:p>
        </w:tc>
      </w:tr>
      <w:tr w:rsidR="00C15C33" w:rsidRPr="00706DCE" w14:paraId="1D6EAA54" w14:textId="77777777" w:rsidTr="0026771C">
        <w:trPr>
          <w:jc w:val="center"/>
        </w:trPr>
        <w:tc>
          <w:tcPr>
            <w:tcW w:w="0" w:type="auto"/>
            <w:tcBorders>
              <w:top w:val="single" w:sz="4" w:space="0" w:color="auto"/>
            </w:tcBorders>
          </w:tcPr>
          <w:p w14:paraId="13F1D656"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lastRenderedPageBreak/>
              <w:t>Total bacterial counts</w:t>
            </w:r>
          </w:p>
        </w:tc>
        <w:tc>
          <w:tcPr>
            <w:tcW w:w="0" w:type="auto"/>
            <w:tcBorders>
              <w:top w:val="single" w:sz="4" w:space="0" w:color="auto"/>
            </w:tcBorders>
          </w:tcPr>
          <w:p w14:paraId="3FB853AB"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186.84±69.11 x 10</w:t>
            </w:r>
            <w:r w:rsidRPr="00706DCE">
              <w:rPr>
                <w:rFonts w:ascii="Arial" w:hAnsi="Arial" w:cs="Arial"/>
                <w:sz w:val="20"/>
                <w:szCs w:val="20"/>
                <w:vertAlign w:val="superscript"/>
              </w:rPr>
              <w:t>7</w:t>
            </w:r>
          </w:p>
        </w:tc>
      </w:tr>
      <w:tr w:rsidR="00C15C33" w:rsidRPr="00706DCE" w14:paraId="261BB9C1" w14:textId="77777777" w:rsidTr="0026771C">
        <w:trPr>
          <w:jc w:val="center"/>
        </w:trPr>
        <w:tc>
          <w:tcPr>
            <w:tcW w:w="0" w:type="auto"/>
          </w:tcPr>
          <w:p w14:paraId="39891EE0"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Total fungal counts</w:t>
            </w:r>
          </w:p>
        </w:tc>
        <w:tc>
          <w:tcPr>
            <w:tcW w:w="0" w:type="auto"/>
          </w:tcPr>
          <w:p w14:paraId="5C72405B"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89.88±11.46 x 10</w:t>
            </w:r>
            <w:r w:rsidRPr="00706DCE">
              <w:rPr>
                <w:rFonts w:ascii="Arial" w:hAnsi="Arial" w:cs="Arial"/>
                <w:sz w:val="20"/>
                <w:szCs w:val="20"/>
                <w:vertAlign w:val="superscript"/>
              </w:rPr>
              <w:t>6</w:t>
            </w:r>
          </w:p>
        </w:tc>
      </w:tr>
      <w:tr w:rsidR="00C15C33" w:rsidRPr="00706DCE" w14:paraId="2F587394" w14:textId="77777777" w:rsidTr="0026771C">
        <w:trPr>
          <w:jc w:val="center"/>
        </w:trPr>
        <w:tc>
          <w:tcPr>
            <w:tcW w:w="0" w:type="auto"/>
          </w:tcPr>
          <w:p w14:paraId="10B1DAA9" w14:textId="77777777" w:rsidR="00C15C33" w:rsidRPr="00706DCE" w:rsidRDefault="00C15C33" w:rsidP="0017536E">
            <w:pPr>
              <w:contextualSpacing/>
              <w:jc w:val="both"/>
              <w:rPr>
                <w:rFonts w:ascii="Arial" w:hAnsi="Arial" w:cs="Arial"/>
                <w:sz w:val="20"/>
                <w:szCs w:val="20"/>
              </w:rPr>
            </w:pPr>
            <w:r w:rsidRPr="00706DCE">
              <w:rPr>
                <w:rFonts w:ascii="Arial" w:hAnsi="Arial" w:cs="Arial"/>
                <w:i/>
                <w:sz w:val="20"/>
                <w:szCs w:val="20"/>
              </w:rPr>
              <w:t>Pseudomonas</w:t>
            </w:r>
            <w:r w:rsidRPr="00706DCE">
              <w:rPr>
                <w:rFonts w:ascii="Arial" w:hAnsi="Arial" w:cs="Arial"/>
                <w:sz w:val="20"/>
                <w:szCs w:val="20"/>
              </w:rPr>
              <w:t xml:space="preserve"> spp.</w:t>
            </w:r>
          </w:p>
        </w:tc>
        <w:tc>
          <w:tcPr>
            <w:tcW w:w="0" w:type="auto"/>
          </w:tcPr>
          <w:p w14:paraId="121E4C0E"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106.99±26.92 x 10</w:t>
            </w:r>
            <w:r w:rsidRPr="00706DCE">
              <w:rPr>
                <w:rFonts w:ascii="Arial" w:hAnsi="Arial" w:cs="Arial"/>
                <w:sz w:val="20"/>
                <w:szCs w:val="20"/>
                <w:vertAlign w:val="superscript"/>
              </w:rPr>
              <w:t>7</w:t>
            </w:r>
          </w:p>
        </w:tc>
      </w:tr>
      <w:tr w:rsidR="00C15C33" w:rsidRPr="00706DCE" w14:paraId="2819D439" w14:textId="77777777" w:rsidTr="0026771C">
        <w:trPr>
          <w:jc w:val="center"/>
        </w:trPr>
        <w:tc>
          <w:tcPr>
            <w:tcW w:w="0" w:type="auto"/>
          </w:tcPr>
          <w:p w14:paraId="6F56BAF9" w14:textId="77777777" w:rsidR="00C15C33" w:rsidRPr="00706DCE" w:rsidRDefault="00C15C33" w:rsidP="0017536E">
            <w:pPr>
              <w:contextualSpacing/>
              <w:jc w:val="both"/>
              <w:rPr>
                <w:rFonts w:ascii="Arial" w:hAnsi="Arial" w:cs="Arial"/>
                <w:sz w:val="20"/>
                <w:szCs w:val="20"/>
              </w:rPr>
            </w:pPr>
            <w:r w:rsidRPr="00706DCE">
              <w:rPr>
                <w:rFonts w:ascii="Arial" w:hAnsi="Arial" w:cs="Arial"/>
                <w:i/>
                <w:sz w:val="20"/>
                <w:szCs w:val="20"/>
              </w:rPr>
              <w:t>Candida</w:t>
            </w:r>
            <w:r w:rsidRPr="00706DCE">
              <w:rPr>
                <w:rFonts w:ascii="Arial" w:hAnsi="Arial" w:cs="Arial"/>
                <w:sz w:val="20"/>
                <w:szCs w:val="20"/>
              </w:rPr>
              <w:t xml:space="preserve"> spp.</w:t>
            </w:r>
          </w:p>
        </w:tc>
        <w:tc>
          <w:tcPr>
            <w:tcW w:w="0" w:type="auto"/>
          </w:tcPr>
          <w:p w14:paraId="6D4FC3DD"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4.02±1.28 x 10</w:t>
            </w:r>
            <w:r w:rsidRPr="00706DCE">
              <w:rPr>
                <w:rFonts w:ascii="Arial" w:hAnsi="Arial" w:cs="Arial"/>
                <w:sz w:val="20"/>
                <w:szCs w:val="20"/>
                <w:vertAlign w:val="superscript"/>
              </w:rPr>
              <w:t>6</w:t>
            </w:r>
          </w:p>
        </w:tc>
      </w:tr>
    </w:tbl>
    <w:p w14:paraId="01EF4795" w14:textId="77777777" w:rsidR="00C15C33" w:rsidRPr="00706DCE" w:rsidRDefault="00C15C33" w:rsidP="0017536E">
      <w:pPr>
        <w:contextualSpacing/>
        <w:jc w:val="both"/>
        <w:rPr>
          <w:rFonts w:ascii="Arial" w:hAnsi="Arial" w:cs="Arial"/>
        </w:rPr>
      </w:pPr>
    </w:p>
    <w:p w14:paraId="5399CD6F" w14:textId="77777777" w:rsidR="00C15C33" w:rsidRPr="00706DCE" w:rsidRDefault="00D76323" w:rsidP="0017536E">
      <w:pPr>
        <w:contextualSpacing/>
        <w:jc w:val="both"/>
        <w:rPr>
          <w:rFonts w:ascii="Arial" w:hAnsi="Arial" w:cs="Arial"/>
          <w:b/>
        </w:rPr>
      </w:pPr>
      <w:r>
        <w:rPr>
          <w:rFonts w:ascii="Arial" w:hAnsi="Arial" w:cs="Arial"/>
          <w:b/>
        </w:rPr>
        <w:t xml:space="preserve">3.4 </w:t>
      </w:r>
      <w:r w:rsidR="00C15C33" w:rsidRPr="00706DCE">
        <w:rPr>
          <w:rFonts w:ascii="Arial" w:hAnsi="Arial" w:cs="Arial"/>
          <w:b/>
        </w:rPr>
        <w:t>Lipolytic activity of isolates</w:t>
      </w:r>
    </w:p>
    <w:p w14:paraId="4E6AFEE8" w14:textId="77777777" w:rsidR="00C15C33" w:rsidRPr="00706DCE" w:rsidRDefault="00C15C33" w:rsidP="001D162D">
      <w:pPr>
        <w:contextualSpacing/>
        <w:jc w:val="both"/>
        <w:rPr>
          <w:rFonts w:ascii="Arial" w:hAnsi="Arial" w:cs="Arial"/>
        </w:rPr>
      </w:pPr>
      <w:r w:rsidRPr="00706DCE">
        <w:rPr>
          <w:rFonts w:ascii="Arial" w:hAnsi="Arial" w:cs="Arial"/>
        </w:rPr>
        <w:t xml:space="preserve">Results of the lipolytic activities of lipases measured by zones of clearance (mm) produced by the </w:t>
      </w:r>
      <w:r w:rsidRPr="00706DCE">
        <w:rPr>
          <w:rFonts w:ascii="Arial" w:hAnsi="Arial" w:cs="Arial"/>
          <w:i/>
        </w:rPr>
        <w:t xml:space="preserve">Pseudomonas </w:t>
      </w:r>
      <w:r w:rsidRPr="00706DCE">
        <w:rPr>
          <w:rFonts w:ascii="Arial" w:hAnsi="Arial" w:cs="Arial"/>
        </w:rPr>
        <w:t xml:space="preserve">spp. and </w:t>
      </w:r>
      <w:r w:rsidRPr="00706DCE">
        <w:rPr>
          <w:rFonts w:ascii="Arial" w:hAnsi="Arial" w:cs="Arial"/>
          <w:i/>
        </w:rPr>
        <w:t xml:space="preserve">Candida </w:t>
      </w:r>
      <w:r w:rsidRPr="00706DCE">
        <w:rPr>
          <w:rFonts w:ascii="Arial" w:hAnsi="Arial" w:cs="Arial"/>
        </w:rPr>
        <w:t xml:space="preserve">spp. isolates are indicated in Fig. </w:t>
      </w:r>
      <w:r w:rsidRPr="00706DCE">
        <w:rPr>
          <w:rFonts w:ascii="Arial" w:hAnsi="Arial" w:cs="Arial"/>
          <w:b/>
        </w:rPr>
        <w:t>2.</w:t>
      </w:r>
      <w:r w:rsidRPr="00706DCE">
        <w:rPr>
          <w:rFonts w:ascii="Arial" w:hAnsi="Arial" w:cs="Arial"/>
        </w:rPr>
        <w:t xml:space="preserve"> These show that lipases produced by </w:t>
      </w:r>
      <w:r w:rsidRPr="00706DCE">
        <w:rPr>
          <w:rFonts w:ascii="Arial" w:hAnsi="Arial" w:cs="Arial"/>
          <w:i/>
        </w:rPr>
        <w:t xml:space="preserve">Pseudomonas </w:t>
      </w:r>
      <w:r w:rsidRPr="00706DCE">
        <w:rPr>
          <w:rFonts w:ascii="Arial" w:hAnsi="Arial" w:cs="Arial"/>
        </w:rPr>
        <w:t xml:space="preserve">spp. exhibited higher lipolytic activity with 5.50±1.1 mm clearance zone than lipase from </w:t>
      </w:r>
      <w:r w:rsidRPr="00706DCE">
        <w:rPr>
          <w:rFonts w:ascii="Arial" w:hAnsi="Arial" w:cs="Arial"/>
          <w:i/>
        </w:rPr>
        <w:t xml:space="preserve">Candida </w:t>
      </w:r>
      <w:r w:rsidRPr="00706DCE">
        <w:rPr>
          <w:rFonts w:ascii="Arial" w:hAnsi="Arial" w:cs="Arial"/>
        </w:rPr>
        <w:t>spp. which recorded 3.00±0.7 mm clearance zone.</w:t>
      </w:r>
    </w:p>
    <w:p w14:paraId="79C1E41E" w14:textId="77777777" w:rsidR="00C15C33" w:rsidRPr="00706DCE" w:rsidRDefault="00C15C33" w:rsidP="0017536E">
      <w:pPr>
        <w:contextualSpacing/>
        <w:jc w:val="both"/>
        <w:rPr>
          <w:rFonts w:ascii="Arial" w:hAnsi="Arial" w:cs="Arial"/>
        </w:rPr>
      </w:pPr>
    </w:p>
    <w:p w14:paraId="1E594AF0" w14:textId="77777777" w:rsidR="00C15C33" w:rsidRPr="00706DCE" w:rsidRDefault="00C15C33" w:rsidP="0017536E">
      <w:pPr>
        <w:contextualSpacing/>
        <w:jc w:val="both"/>
        <w:rPr>
          <w:rFonts w:ascii="Arial" w:hAnsi="Arial" w:cs="Arial"/>
        </w:rPr>
      </w:pPr>
      <w:r w:rsidRPr="00706DCE">
        <w:rPr>
          <w:rFonts w:ascii="Arial" w:hAnsi="Arial" w:cs="Arial"/>
          <w:noProof/>
        </w:rPr>
        <w:drawing>
          <wp:inline distT="0" distB="0" distL="0" distR="0" wp14:anchorId="18A3D2BF" wp14:editId="5FD89F09">
            <wp:extent cx="3815344" cy="2509283"/>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812760" cy="2507584"/>
                    </a:xfrm>
                    <a:prstGeom prst="rect">
                      <a:avLst/>
                    </a:prstGeom>
                  </pic:spPr>
                </pic:pic>
              </a:graphicData>
            </a:graphic>
          </wp:inline>
        </w:drawing>
      </w:r>
    </w:p>
    <w:p w14:paraId="629C8C5D" w14:textId="77777777" w:rsidR="00C15C33" w:rsidRPr="00706DCE" w:rsidRDefault="00C15C33" w:rsidP="0017536E">
      <w:pPr>
        <w:contextualSpacing/>
        <w:jc w:val="both"/>
        <w:rPr>
          <w:rFonts w:ascii="Arial" w:hAnsi="Arial" w:cs="Arial"/>
        </w:rPr>
      </w:pPr>
      <w:r w:rsidRPr="00706DCE">
        <w:rPr>
          <w:rFonts w:ascii="Arial" w:eastAsia="Calibri" w:hAnsi="Arial" w:cs="Arial"/>
          <w:b/>
          <w:bCs/>
        </w:rPr>
        <w:t>Fig. 2.</w:t>
      </w:r>
      <w:r w:rsidRPr="00706DCE">
        <w:rPr>
          <w:rFonts w:ascii="Arial" w:eastAsia="Calibri" w:hAnsi="Arial" w:cs="Arial"/>
          <w:bCs/>
        </w:rPr>
        <w:t xml:space="preserve"> Lipolytic potentials of </w:t>
      </w:r>
      <w:r w:rsidRPr="00706DCE">
        <w:rPr>
          <w:rFonts w:ascii="Arial" w:eastAsia="Calibri" w:hAnsi="Arial" w:cs="Arial"/>
          <w:bCs/>
          <w:i/>
          <w:iCs/>
        </w:rPr>
        <w:t>Candida albicans</w:t>
      </w:r>
      <w:r w:rsidRPr="00706DCE">
        <w:rPr>
          <w:rFonts w:ascii="Arial" w:eastAsia="Calibri" w:hAnsi="Arial" w:cs="Arial"/>
          <w:bCs/>
        </w:rPr>
        <w:t xml:space="preserve"> and </w:t>
      </w:r>
      <w:r w:rsidRPr="00706DCE">
        <w:rPr>
          <w:rFonts w:ascii="Arial" w:eastAsia="Calibri" w:hAnsi="Arial" w:cs="Arial"/>
          <w:bCs/>
          <w:i/>
          <w:iCs/>
        </w:rPr>
        <w:t>Pseudomonas aeruginosa</w:t>
      </w:r>
      <w:r w:rsidRPr="00706DCE">
        <w:rPr>
          <w:rFonts w:ascii="Arial" w:eastAsia="Calibri" w:hAnsi="Arial" w:cs="Arial"/>
          <w:bCs/>
          <w:iCs/>
        </w:rPr>
        <w:t xml:space="preserve"> isolates</w:t>
      </w:r>
    </w:p>
    <w:p w14:paraId="2AC1A7F3" w14:textId="77777777" w:rsidR="00C15C33" w:rsidRPr="00706DCE" w:rsidRDefault="00C15C33" w:rsidP="0017536E">
      <w:pPr>
        <w:contextualSpacing/>
        <w:jc w:val="both"/>
        <w:rPr>
          <w:rFonts w:ascii="Arial" w:hAnsi="Arial" w:cs="Arial"/>
        </w:rPr>
      </w:pPr>
    </w:p>
    <w:p w14:paraId="6254D8C9" w14:textId="77777777" w:rsidR="00C15C33" w:rsidRPr="00706DCE" w:rsidRDefault="00D76323" w:rsidP="0017536E">
      <w:pPr>
        <w:pStyle w:val="Heading3"/>
        <w:spacing w:before="0"/>
        <w:contextualSpacing/>
        <w:jc w:val="both"/>
        <w:rPr>
          <w:rFonts w:ascii="Arial" w:hAnsi="Arial" w:cs="Arial"/>
          <w:b w:val="0"/>
          <w:bCs w:val="0"/>
          <w:color w:val="auto"/>
        </w:rPr>
      </w:pPr>
      <w:bookmarkStart w:id="2" w:name="_Hlk172036473"/>
      <w:r>
        <w:rPr>
          <w:rFonts w:ascii="Arial" w:hAnsi="Arial" w:cs="Arial"/>
          <w:color w:val="auto"/>
        </w:rPr>
        <w:t xml:space="preserve">3.4 </w:t>
      </w:r>
      <w:r w:rsidR="00C15C33" w:rsidRPr="00706DCE">
        <w:rPr>
          <w:rFonts w:ascii="Arial" w:hAnsi="Arial" w:cs="Arial"/>
          <w:color w:val="auto"/>
        </w:rPr>
        <w:t xml:space="preserve">Agarose gel of </w:t>
      </w:r>
      <w:bookmarkStart w:id="3" w:name="_Toc177821553"/>
      <w:r w:rsidR="00C15C33" w:rsidRPr="00706DCE">
        <w:rPr>
          <w:rFonts w:ascii="Arial" w:hAnsi="Arial" w:cs="Arial"/>
          <w:color w:val="auto"/>
        </w:rPr>
        <w:t>ITS</w:t>
      </w:r>
      <w:bookmarkEnd w:id="3"/>
      <w:r w:rsidR="00C15C33" w:rsidRPr="00706DCE">
        <w:rPr>
          <w:rFonts w:ascii="Arial" w:hAnsi="Arial" w:cs="Arial"/>
          <w:color w:val="auto"/>
        </w:rPr>
        <w:t xml:space="preserve"> and 16S rRNA regions of isolates</w:t>
      </w:r>
    </w:p>
    <w:p w14:paraId="6C0D8A1B" w14:textId="77777777" w:rsidR="00C15C33" w:rsidRPr="00706DCE" w:rsidRDefault="00C15C33" w:rsidP="001D162D">
      <w:pPr>
        <w:contextualSpacing/>
        <w:jc w:val="both"/>
        <w:rPr>
          <w:rFonts w:ascii="Arial" w:hAnsi="Arial" w:cs="Arial"/>
          <w:bCs/>
        </w:rPr>
      </w:pPr>
      <w:bookmarkStart w:id="4" w:name="_Hlk171763111"/>
      <w:bookmarkEnd w:id="2"/>
      <w:r w:rsidRPr="00706DCE">
        <w:rPr>
          <w:rFonts w:ascii="Arial" w:hAnsi="Arial" w:cs="Arial"/>
        </w:rPr>
        <w:t xml:space="preserve">Fig. 3 presents the agarose gel electrophoresis of amplified 16S rRNA gene and </w:t>
      </w:r>
      <w:r w:rsidRPr="00706DCE">
        <w:rPr>
          <w:rFonts w:ascii="Arial" w:hAnsi="Arial" w:cs="Arial"/>
          <w:bCs/>
        </w:rPr>
        <w:t xml:space="preserve">ITS of </w:t>
      </w:r>
      <w:r w:rsidRPr="00706DCE">
        <w:rPr>
          <w:rFonts w:ascii="Arial" w:hAnsi="Arial" w:cs="Arial"/>
          <w:bCs/>
          <w:i/>
        </w:rPr>
        <w:t xml:space="preserve">Pseudomonas </w:t>
      </w:r>
      <w:r w:rsidRPr="00706DCE">
        <w:rPr>
          <w:rFonts w:ascii="Arial" w:hAnsi="Arial" w:cs="Arial"/>
          <w:bCs/>
        </w:rPr>
        <w:t xml:space="preserve">spp. and </w:t>
      </w:r>
      <w:r w:rsidRPr="00706DCE">
        <w:rPr>
          <w:rFonts w:ascii="Arial" w:hAnsi="Arial" w:cs="Arial"/>
          <w:bCs/>
          <w:i/>
        </w:rPr>
        <w:t xml:space="preserve">Candida </w:t>
      </w:r>
      <w:r w:rsidRPr="00706DCE">
        <w:rPr>
          <w:rFonts w:ascii="Arial" w:hAnsi="Arial" w:cs="Arial"/>
          <w:bCs/>
        </w:rPr>
        <w:t>spp., respectively</w:t>
      </w:r>
      <w:r w:rsidRPr="00706DCE">
        <w:rPr>
          <w:rFonts w:ascii="Arial" w:hAnsi="Arial" w:cs="Arial"/>
        </w:rPr>
        <w:t xml:space="preserve">. Lane L contained a 100 bp DNA ladder. </w:t>
      </w:r>
      <w:bookmarkEnd w:id="4"/>
      <w:r w:rsidRPr="00706DCE">
        <w:rPr>
          <w:rFonts w:ascii="Arial" w:hAnsi="Arial" w:cs="Arial"/>
        </w:rPr>
        <w:t xml:space="preserve">The band in lane 1 (Fig. </w:t>
      </w:r>
      <w:r w:rsidRPr="00706DCE">
        <w:rPr>
          <w:rFonts w:ascii="Arial" w:hAnsi="Arial" w:cs="Arial"/>
          <w:b/>
        </w:rPr>
        <w:t>3a</w:t>
      </w:r>
      <w:r w:rsidRPr="00706DCE">
        <w:rPr>
          <w:rFonts w:ascii="Arial" w:hAnsi="Arial" w:cs="Arial"/>
        </w:rPr>
        <w:t xml:space="preserve">) was at approximately 1500 bp, which is the expected size for the 16S rRNA gene amplification. </w:t>
      </w:r>
      <w:bookmarkStart w:id="5" w:name="_Hlk171763000"/>
      <w:r w:rsidRPr="00706DCE">
        <w:rPr>
          <w:rFonts w:ascii="Arial" w:hAnsi="Arial" w:cs="Arial"/>
          <w:bCs/>
        </w:rPr>
        <w:t xml:space="preserve">In Fig. 3b, </w:t>
      </w:r>
      <w:bookmarkEnd w:id="5"/>
      <w:r w:rsidRPr="00706DCE">
        <w:rPr>
          <w:rFonts w:ascii="Arial" w:hAnsi="Arial" w:cs="Arial"/>
          <w:bCs/>
        </w:rPr>
        <w:t>lane 1 contained the amplified Internal transcribed spacer (ITS) region. The band represented the amplified DNA fragment which was approximately 650 base pairs (bp) in length. These indicate the successful amplification of the 16S rRNA and ITS regions of the isolates.</w:t>
      </w:r>
    </w:p>
    <w:p w14:paraId="5E782E02" w14:textId="77777777" w:rsidR="00C15C33" w:rsidRPr="00706DCE" w:rsidRDefault="00C15C33" w:rsidP="0017536E">
      <w:pPr>
        <w:contextualSpacing/>
        <w:jc w:val="both"/>
        <w:rPr>
          <w:rFonts w:ascii="Arial" w:hAnsi="Arial" w:cs="Arial"/>
          <w:bCs/>
        </w:rPr>
      </w:pPr>
    </w:p>
    <w:p w14:paraId="4389FAD6" w14:textId="77777777" w:rsidR="00C15C33" w:rsidRPr="00706DCE" w:rsidRDefault="00C15C33" w:rsidP="001C13FB">
      <w:pPr>
        <w:contextualSpacing/>
        <w:jc w:val="center"/>
        <w:rPr>
          <w:rFonts w:ascii="Arial" w:hAnsi="Arial" w:cs="Arial"/>
          <w:bCs/>
        </w:rPr>
      </w:pPr>
      <w:r w:rsidRPr="00706DCE">
        <w:rPr>
          <w:rFonts w:ascii="Arial" w:hAnsi="Arial" w:cs="Arial"/>
          <w:bCs/>
          <w:noProof/>
        </w:rPr>
        <w:lastRenderedPageBreak/>
        <w:drawing>
          <wp:inline distT="0" distB="0" distL="0" distR="0" wp14:anchorId="1459F836" wp14:editId="5A93DE39">
            <wp:extent cx="3402418" cy="2825571"/>
            <wp:effectExtent l="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408612" cy="2830715"/>
                    </a:xfrm>
                    <a:prstGeom prst="rect">
                      <a:avLst/>
                    </a:prstGeom>
                  </pic:spPr>
                </pic:pic>
              </a:graphicData>
            </a:graphic>
          </wp:inline>
        </w:drawing>
      </w:r>
    </w:p>
    <w:p w14:paraId="1F68C41A" w14:textId="77777777" w:rsidR="00C15C33" w:rsidRPr="00706DCE" w:rsidRDefault="00C15C33" w:rsidP="0017536E">
      <w:pPr>
        <w:contextualSpacing/>
        <w:jc w:val="both"/>
        <w:rPr>
          <w:rFonts w:ascii="Arial" w:hAnsi="Arial" w:cs="Arial"/>
          <w:bCs/>
        </w:rPr>
      </w:pPr>
      <w:bookmarkStart w:id="6" w:name="_Hlk170303989"/>
      <w:r w:rsidRPr="00706DCE">
        <w:rPr>
          <w:rFonts w:ascii="Arial" w:hAnsi="Arial" w:cs="Arial"/>
          <w:b/>
          <w:bCs/>
        </w:rPr>
        <w:t>Fig. 3.</w:t>
      </w:r>
      <w:r w:rsidRPr="00706DCE">
        <w:rPr>
          <w:rFonts w:ascii="Arial" w:hAnsi="Arial" w:cs="Arial"/>
          <w:bCs/>
        </w:rPr>
        <w:t xml:space="preserve"> Agarose gels showing (a) the amplified 16S rRNA and (b) ITS regions of the isolates. Lanes L represents the 100 bp DNA ladder.</w:t>
      </w:r>
    </w:p>
    <w:bookmarkEnd w:id="6"/>
    <w:p w14:paraId="1137E38D" w14:textId="77777777" w:rsidR="00C15C33" w:rsidRPr="00706DCE" w:rsidRDefault="00C15C33" w:rsidP="0017536E">
      <w:pPr>
        <w:contextualSpacing/>
        <w:jc w:val="both"/>
        <w:rPr>
          <w:rFonts w:ascii="Arial" w:hAnsi="Arial" w:cs="Arial"/>
          <w:bCs/>
        </w:rPr>
      </w:pPr>
    </w:p>
    <w:p w14:paraId="2821645A" w14:textId="77777777" w:rsidR="00C15C33" w:rsidRPr="00706DCE" w:rsidRDefault="00D76323" w:rsidP="0017536E">
      <w:pPr>
        <w:pStyle w:val="Heading3"/>
        <w:spacing w:before="0"/>
        <w:contextualSpacing/>
        <w:jc w:val="both"/>
        <w:rPr>
          <w:rFonts w:ascii="Arial" w:hAnsi="Arial" w:cs="Arial"/>
          <w:b w:val="0"/>
          <w:bCs w:val="0"/>
          <w:i/>
          <w:iCs/>
          <w:color w:val="auto"/>
        </w:rPr>
      </w:pPr>
      <w:bookmarkStart w:id="7" w:name="_Hlk171266429"/>
      <w:r>
        <w:rPr>
          <w:rFonts w:ascii="Arial" w:hAnsi="Arial" w:cs="Arial"/>
          <w:color w:val="auto"/>
        </w:rPr>
        <w:t xml:space="preserve">3.5 </w:t>
      </w:r>
      <w:r w:rsidR="00C15C33" w:rsidRPr="00706DCE">
        <w:rPr>
          <w:rFonts w:ascii="Arial" w:hAnsi="Arial" w:cs="Arial"/>
          <w:color w:val="auto"/>
        </w:rPr>
        <w:t>Phylogenetic tree of isolates</w:t>
      </w:r>
    </w:p>
    <w:bookmarkEnd w:id="7"/>
    <w:p w14:paraId="24139927" w14:textId="77777777" w:rsidR="00C15C33" w:rsidRPr="00706DCE" w:rsidRDefault="00C15C33" w:rsidP="001D162D">
      <w:pPr>
        <w:contextualSpacing/>
        <w:jc w:val="both"/>
        <w:rPr>
          <w:rFonts w:ascii="Arial" w:hAnsi="Arial" w:cs="Arial"/>
          <w:bCs/>
        </w:rPr>
      </w:pPr>
      <w:r w:rsidRPr="00706DCE">
        <w:rPr>
          <w:rFonts w:ascii="Arial" w:hAnsi="Arial" w:cs="Arial"/>
          <w:bCs/>
        </w:rPr>
        <w:t>The NCBI non-redundant nucleotide (nr/</w:t>
      </w:r>
      <w:proofErr w:type="spellStart"/>
      <w:r w:rsidRPr="00706DCE">
        <w:rPr>
          <w:rFonts w:ascii="Arial" w:hAnsi="Arial" w:cs="Arial"/>
          <w:bCs/>
        </w:rPr>
        <w:t>nt</w:t>
      </w:r>
      <w:proofErr w:type="spellEnd"/>
      <w:r w:rsidRPr="00706DCE">
        <w:rPr>
          <w:rFonts w:ascii="Arial" w:hAnsi="Arial" w:cs="Arial"/>
          <w:bCs/>
        </w:rPr>
        <w:t xml:space="preserve">) database's </w:t>
      </w:r>
      <w:proofErr w:type="spellStart"/>
      <w:r w:rsidRPr="00706DCE">
        <w:rPr>
          <w:rFonts w:ascii="Arial" w:hAnsi="Arial" w:cs="Arial"/>
          <w:bCs/>
        </w:rPr>
        <w:t>megablast</w:t>
      </w:r>
      <w:proofErr w:type="spellEnd"/>
      <w:r w:rsidRPr="00706DCE">
        <w:rPr>
          <w:rFonts w:ascii="Arial" w:hAnsi="Arial" w:cs="Arial"/>
          <w:bCs/>
        </w:rPr>
        <w:t xml:space="preserve"> search for extremely similar sequences yielded an exact match for the 16S rRNA sequence of the isolates. The bacterial 16S rRNA revealed 100% similarity to other related species. The evolutionary distances calculated using the Jukes-Cantor technique showed a close relationship to </w:t>
      </w:r>
      <w:r w:rsidRPr="00706DCE">
        <w:rPr>
          <w:rFonts w:ascii="Arial" w:hAnsi="Arial" w:cs="Arial"/>
          <w:bCs/>
          <w:i/>
        </w:rPr>
        <w:t>Pseudomonas aeruginosa</w:t>
      </w:r>
      <w:r w:rsidRPr="00706DCE">
        <w:rPr>
          <w:rFonts w:ascii="Arial" w:hAnsi="Arial" w:cs="Arial"/>
          <w:bCs/>
        </w:rPr>
        <w:t xml:space="preserve"> and were consistent with the phylogenetic positioning of the isolates' 16S rRNA within the </w:t>
      </w:r>
      <w:r w:rsidRPr="00706DCE">
        <w:rPr>
          <w:rFonts w:ascii="Arial" w:hAnsi="Arial" w:cs="Arial"/>
          <w:bCs/>
          <w:i/>
        </w:rPr>
        <w:t>Pseudomonas</w:t>
      </w:r>
      <w:r w:rsidRPr="00706DCE">
        <w:rPr>
          <w:rFonts w:ascii="Arial" w:hAnsi="Arial" w:cs="Arial"/>
          <w:bCs/>
        </w:rPr>
        <w:t xml:space="preserve"> sp. (Fig. </w:t>
      </w:r>
      <w:r w:rsidRPr="00706DCE">
        <w:rPr>
          <w:rFonts w:ascii="Arial" w:hAnsi="Arial" w:cs="Arial"/>
          <w:b/>
          <w:bCs/>
        </w:rPr>
        <w:t>4</w:t>
      </w:r>
      <w:r w:rsidRPr="00706DCE">
        <w:rPr>
          <w:rFonts w:ascii="Arial" w:hAnsi="Arial" w:cs="Arial"/>
          <w:bCs/>
        </w:rPr>
        <w:t xml:space="preserve">). Additionally, the </w:t>
      </w:r>
      <w:proofErr w:type="spellStart"/>
      <w:r w:rsidRPr="00706DCE">
        <w:rPr>
          <w:rFonts w:ascii="Arial" w:hAnsi="Arial" w:cs="Arial"/>
          <w:bCs/>
        </w:rPr>
        <w:t>megablast</w:t>
      </w:r>
      <w:proofErr w:type="spellEnd"/>
      <w:r w:rsidRPr="00706DCE">
        <w:rPr>
          <w:rFonts w:ascii="Arial" w:hAnsi="Arial" w:cs="Arial"/>
          <w:bCs/>
        </w:rPr>
        <w:t xml:space="preserve"> search for highly similar sequences from the NCBI non-redundant nucleotide (nr/</w:t>
      </w:r>
      <w:proofErr w:type="spellStart"/>
      <w:r w:rsidRPr="00706DCE">
        <w:rPr>
          <w:rFonts w:ascii="Arial" w:hAnsi="Arial" w:cs="Arial"/>
          <w:bCs/>
        </w:rPr>
        <w:t>nt</w:t>
      </w:r>
      <w:proofErr w:type="spellEnd"/>
      <w:r w:rsidRPr="00706DCE">
        <w:rPr>
          <w:rFonts w:ascii="Arial" w:hAnsi="Arial" w:cs="Arial"/>
          <w:bCs/>
        </w:rPr>
        <w:t xml:space="preserve">) database yielded a perfect match with the ITS sequence acquired from the fungal isolates. The isolates had 100% resemblance to other </w:t>
      </w:r>
      <w:r w:rsidRPr="00706DCE">
        <w:rPr>
          <w:rFonts w:ascii="Arial" w:hAnsi="Arial" w:cs="Arial"/>
          <w:bCs/>
          <w:i/>
        </w:rPr>
        <w:t xml:space="preserve">C. albicans </w:t>
      </w:r>
      <w:r w:rsidRPr="00706DCE">
        <w:rPr>
          <w:rFonts w:ascii="Arial" w:hAnsi="Arial" w:cs="Arial"/>
          <w:bCs/>
        </w:rPr>
        <w:t>was revealed by their ITS.</w:t>
      </w:r>
    </w:p>
    <w:p w14:paraId="1EE73973" w14:textId="77777777" w:rsidR="00C15C33" w:rsidRPr="00706DCE" w:rsidRDefault="00C15C33" w:rsidP="00E26E50">
      <w:pPr>
        <w:contextualSpacing/>
        <w:jc w:val="center"/>
        <w:rPr>
          <w:rFonts w:ascii="Arial" w:hAnsi="Arial" w:cs="Arial"/>
          <w:bCs/>
        </w:rPr>
      </w:pPr>
      <w:r w:rsidRPr="00706DCE">
        <w:rPr>
          <w:rFonts w:ascii="Arial" w:hAnsi="Arial" w:cs="Arial"/>
          <w:noProof/>
        </w:rPr>
        <w:lastRenderedPageBreak/>
        <w:drawing>
          <wp:inline distT="0" distB="0" distL="0" distR="0" wp14:anchorId="75C109CB" wp14:editId="09A1AFD4">
            <wp:extent cx="3923414" cy="3486266"/>
            <wp:effectExtent l="0" t="0" r="1270" b="0"/>
            <wp:docPr id="61854544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l="10101" t="9572" r="22747" b="10075"/>
                    <a:stretch/>
                  </pic:blipFill>
                  <pic:spPr bwMode="auto">
                    <a:xfrm>
                      <a:off x="0" y="0"/>
                      <a:ext cx="3924925" cy="3487608"/>
                    </a:xfrm>
                    <a:prstGeom prst="rect">
                      <a:avLst/>
                    </a:prstGeom>
                    <a:noFill/>
                    <a:ln>
                      <a:noFill/>
                    </a:ln>
                    <a:extLst>
                      <a:ext uri="{53640926-AAD7-44D8-BBD7-CCE9431645EC}">
                        <a14:shadowObscured xmlns:a14="http://schemas.microsoft.com/office/drawing/2010/main"/>
                      </a:ext>
                    </a:extLst>
                  </pic:spPr>
                </pic:pic>
              </a:graphicData>
            </a:graphic>
          </wp:inline>
        </w:drawing>
      </w:r>
    </w:p>
    <w:p w14:paraId="2793A0CF" w14:textId="77777777" w:rsidR="00C15C33" w:rsidRPr="00706DCE" w:rsidRDefault="00C15C33" w:rsidP="0017536E">
      <w:pPr>
        <w:contextualSpacing/>
        <w:jc w:val="both"/>
        <w:rPr>
          <w:rFonts w:ascii="Arial" w:hAnsi="Arial" w:cs="Arial"/>
          <w:bCs/>
        </w:rPr>
      </w:pPr>
      <w:bookmarkStart w:id="8" w:name="_Hlk171272922"/>
      <w:bookmarkStart w:id="9" w:name="_Hlk170303886"/>
      <w:r w:rsidRPr="00706DCE">
        <w:rPr>
          <w:rFonts w:ascii="Arial" w:hAnsi="Arial" w:cs="Arial"/>
          <w:b/>
          <w:bCs/>
        </w:rPr>
        <w:t>Fig. 4.</w:t>
      </w:r>
      <w:r w:rsidRPr="00706DCE">
        <w:rPr>
          <w:rFonts w:ascii="Arial" w:hAnsi="Arial" w:cs="Arial"/>
          <w:bCs/>
        </w:rPr>
        <w:t xml:space="preserve"> Phylogenetic tree of characterized </w:t>
      </w:r>
      <w:r w:rsidRPr="00706DCE">
        <w:rPr>
          <w:rFonts w:ascii="Arial" w:hAnsi="Arial" w:cs="Arial"/>
          <w:bCs/>
          <w:i/>
        </w:rPr>
        <w:t xml:space="preserve">Candida albicans </w:t>
      </w:r>
      <w:r w:rsidRPr="00706DCE">
        <w:rPr>
          <w:rFonts w:ascii="Arial" w:hAnsi="Arial" w:cs="Arial"/>
          <w:bCs/>
        </w:rPr>
        <w:t>and</w:t>
      </w:r>
      <w:r w:rsidRPr="00706DCE">
        <w:rPr>
          <w:rFonts w:ascii="Arial" w:hAnsi="Arial" w:cs="Arial"/>
          <w:bCs/>
          <w:i/>
        </w:rPr>
        <w:t xml:space="preserve"> Pseudomonas aeruginosa</w:t>
      </w:r>
    </w:p>
    <w:bookmarkEnd w:id="8"/>
    <w:bookmarkEnd w:id="9"/>
    <w:p w14:paraId="658CE93B" w14:textId="77777777" w:rsidR="00C15C33" w:rsidRPr="00706DCE" w:rsidRDefault="00C15C33" w:rsidP="0017536E">
      <w:pPr>
        <w:contextualSpacing/>
        <w:jc w:val="both"/>
        <w:rPr>
          <w:rFonts w:ascii="Arial" w:hAnsi="Arial" w:cs="Arial"/>
          <w:bCs/>
        </w:rPr>
      </w:pPr>
    </w:p>
    <w:p w14:paraId="69DC79F0" w14:textId="77777777" w:rsidR="00C15C33" w:rsidRPr="00706DCE" w:rsidRDefault="00D76323" w:rsidP="0017536E">
      <w:pPr>
        <w:contextualSpacing/>
        <w:jc w:val="both"/>
        <w:rPr>
          <w:rFonts w:ascii="Arial" w:hAnsi="Arial" w:cs="Arial"/>
          <w:b/>
          <w:bCs/>
        </w:rPr>
      </w:pPr>
      <w:r>
        <w:rPr>
          <w:rFonts w:ascii="Arial" w:hAnsi="Arial" w:cs="Arial"/>
          <w:b/>
          <w:bCs/>
        </w:rPr>
        <w:t xml:space="preserve">3.5 </w:t>
      </w:r>
      <w:r w:rsidR="00C15C33" w:rsidRPr="00706DCE">
        <w:rPr>
          <w:rFonts w:ascii="Arial" w:hAnsi="Arial" w:cs="Arial"/>
          <w:b/>
          <w:bCs/>
        </w:rPr>
        <w:t>Biodiesel yield and characterization</w:t>
      </w:r>
    </w:p>
    <w:p w14:paraId="4A3ECF8B" w14:textId="056E8040" w:rsidR="00C15C33" w:rsidRPr="00706DCE" w:rsidRDefault="00141CA5" w:rsidP="001D162D">
      <w:pPr>
        <w:contextualSpacing/>
        <w:jc w:val="both"/>
        <w:rPr>
          <w:rFonts w:ascii="Arial" w:hAnsi="Arial" w:cs="Arial"/>
          <w:bCs/>
        </w:rPr>
      </w:pPr>
      <w:r>
        <w:rPr>
          <w:rFonts w:ascii="Arial" w:hAnsi="Arial" w:cs="Arial"/>
          <w:bCs/>
        </w:rPr>
        <w:t>I</w:t>
      </w:r>
      <w:r w:rsidR="00CC00BB">
        <w:rPr>
          <w:rFonts w:ascii="Arial" w:hAnsi="Arial" w:cs="Arial"/>
          <w:bCs/>
        </w:rPr>
        <w:t>n this study</w:t>
      </w:r>
      <w:r>
        <w:rPr>
          <w:rFonts w:ascii="Arial" w:hAnsi="Arial" w:cs="Arial"/>
          <w:bCs/>
        </w:rPr>
        <w:t>,</w:t>
      </w:r>
      <w:r w:rsidR="00CC00BB">
        <w:rPr>
          <w:rFonts w:ascii="Arial" w:hAnsi="Arial" w:cs="Arial"/>
          <w:bCs/>
        </w:rPr>
        <w:t xml:space="preserve"> at</w:t>
      </w:r>
      <w:r w:rsidR="00C15C33" w:rsidRPr="00706DCE">
        <w:rPr>
          <w:rFonts w:ascii="Arial" w:hAnsi="Arial" w:cs="Arial"/>
        </w:rPr>
        <w:t xml:space="preserve"> </w:t>
      </w:r>
      <w:r w:rsidR="00C15C33" w:rsidRPr="00706DCE">
        <w:rPr>
          <w:rFonts w:ascii="Arial" w:hAnsi="Arial" w:cs="Arial"/>
          <w:bCs/>
        </w:rPr>
        <w:t>pH: 7,</w:t>
      </w:r>
      <w:r w:rsidR="00C15C33" w:rsidRPr="00706DCE">
        <w:rPr>
          <w:rFonts w:ascii="Arial" w:hAnsi="Arial" w:cs="Arial"/>
        </w:rPr>
        <w:t xml:space="preserve"> 28±2 </w:t>
      </w:r>
      <w:proofErr w:type="spellStart"/>
      <w:r w:rsidR="00C15C33" w:rsidRPr="00706DCE">
        <w:rPr>
          <w:rFonts w:ascii="Arial" w:hAnsi="Arial" w:cs="Arial"/>
          <w:vertAlign w:val="superscript"/>
        </w:rPr>
        <w:t>o</w:t>
      </w:r>
      <w:r w:rsidR="00C15C33" w:rsidRPr="00706DCE">
        <w:rPr>
          <w:rFonts w:ascii="Arial" w:hAnsi="Arial" w:cs="Arial"/>
        </w:rPr>
        <w:t>C</w:t>
      </w:r>
      <w:proofErr w:type="spellEnd"/>
      <w:r w:rsidR="00C15C33" w:rsidRPr="00706DCE">
        <w:rPr>
          <w:rFonts w:ascii="Arial" w:hAnsi="Arial" w:cs="Arial"/>
        </w:rPr>
        <w:t xml:space="preserve">, and agitation speed of 250 rpm with ethanol: POME of 4:1 and 30% v/v of 0.5 McFarland standardized co-culture of </w:t>
      </w:r>
      <w:r w:rsidR="00C15C33" w:rsidRPr="00706DCE">
        <w:rPr>
          <w:rFonts w:ascii="Arial" w:hAnsi="Arial" w:cs="Arial"/>
          <w:bCs/>
          <w:i/>
          <w:iCs/>
        </w:rPr>
        <w:t>C. albicans</w:t>
      </w:r>
      <w:r w:rsidR="00C15C33" w:rsidRPr="00706DCE">
        <w:rPr>
          <w:rFonts w:ascii="Arial" w:hAnsi="Arial" w:cs="Arial"/>
          <w:bCs/>
        </w:rPr>
        <w:t xml:space="preserve"> and </w:t>
      </w:r>
      <w:r w:rsidR="00C15C33" w:rsidRPr="00706DCE">
        <w:rPr>
          <w:rFonts w:ascii="Arial" w:hAnsi="Arial" w:cs="Arial"/>
          <w:bCs/>
          <w:i/>
          <w:iCs/>
        </w:rPr>
        <w:t>P aeruginosa</w:t>
      </w:r>
      <w:r>
        <w:rPr>
          <w:rFonts w:ascii="Arial" w:hAnsi="Arial" w:cs="Arial"/>
          <w:bCs/>
        </w:rPr>
        <w:t xml:space="preserve"> (1:1) biocatalysts, the percentage biodiesel yield was </w:t>
      </w:r>
      <w:bookmarkStart w:id="10" w:name="_Hlk171340093"/>
      <w:r w:rsidR="00C15C33" w:rsidRPr="00706DCE">
        <w:rPr>
          <w:rFonts w:ascii="Arial" w:hAnsi="Arial" w:cs="Arial"/>
          <w:bCs/>
        </w:rPr>
        <w:t>40.00±0.76%</w:t>
      </w:r>
      <w:bookmarkEnd w:id="10"/>
      <w:r w:rsidR="00C15C33" w:rsidRPr="00706DCE">
        <w:rPr>
          <w:rFonts w:ascii="Arial" w:hAnsi="Arial" w:cs="Arial"/>
          <w:bCs/>
        </w:rPr>
        <w:t>.</w:t>
      </w:r>
    </w:p>
    <w:p w14:paraId="66ACDBCA" w14:textId="77777777" w:rsidR="001D162D" w:rsidRDefault="001D162D" w:rsidP="001D162D">
      <w:pPr>
        <w:contextualSpacing/>
        <w:jc w:val="both"/>
        <w:rPr>
          <w:rFonts w:ascii="Arial" w:hAnsi="Arial" w:cs="Arial"/>
          <w:bCs/>
        </w:rPr>
      </w:pPr>
    </w:p>
    <w:p w14:paraId="1078BB7D" w14:textId="77777777" w:rsidR="00C15C33" w:rsidRPr="00706DCE" w:rsidRDefault="00C15C33" w:rsidP="001D162D">
      <w:pPr>
        <w:contextualSpacing/>
        <w:jc w:val="both"/>
        <w:rPr>
          <w:rFonts w:ascii="Arial" w:hAnsi="Arial" w:cs="Arial"/>
          <w:bCs/>
        </w:rPr>
      </w:pPr>
      <w:r w:rsidRPr="00706DCE">
        <w:rPr>
          <w:rFonts w:ascii="Arial" w:hAnsi="Arial" w:cs="Arial"/>
          <w:bCs/>
        </w:rPr>
        <w:t xml:space="preserve">Fig. </w:t>
      </w:r>
      <w:r w:rsidRPr="00706DCE">
        <w:rPr>
          <w:rFonts w:ascii="Arial" w:hAnsi="Arial" w:cs="Arial"/>
          <w:b/>
          <w:bCs/>
        </w:rPr>
        <w:t>5</w:t>
      </w:r>
      <w:r w:rsidRPr="00706DCE">
        <w:rPr>
          <w:rFonts w:ascii="Arial" w:hAnsi="Arial" w:cs="Arial"/>
          <w:bCs/>
        </w:rPr>
        <w:t xml:space="preserve"> is the chromatographs of the (a) produced biodiesel and (b) fossil diesel samples. The displayed peaks correspond to distinct fatty acid methyl esters (FAMEs), with varying carbon chain lengths, which are usually present in biodiesels. The two chromatograms had very different peak distributions and retention durations. Whereas the chromatogram of the fossil diesel showed peaks that were more dispersed over across wider retention time range, the peaks found on the chromatogram of the produced biodiesel were more distinct and clustered within a narrow range of retention time (about 8–14 minutes). Additionally, the two chromatograms had different relative peak heights and intensities. While the fossil diesel chromatogram had a more complicated pattern with several peaks of differing intensities, the biodiesel chromatogram revealed a significant peak at 10–12 minutes, which probably corresponded to the primary FAME component or components present in the biodiesel sample.</w:t>
      </w:r>
    </w:p>
    <w:p w14:paraId="02BD5B7E" w14:textId="77777777" w:rsidR="00C15C33" w:rsidRPr="00706DCE" w:rsidRDefault="00C15C33" w:rsidP="0017536E">
      <w:pPr>
        <w:contextualSpacing/>
        <w:jc w:val="both"/>
        <w:rPr>
          <w:rFonts w:ascii="Arial" w:hAnsi="Arial" w:cs="Arial"/>
          <w:b/>
        </w:rPr>
      </w:pPr>
    </w:p>
    <w:p w14:paraId="356BA347" w14:textId="77777777" w:rsidR="00C15C33" w:rsidRPr="00706DCE" w:rsidRDefault="00C15C33" w:rsidP="0017536E">
      <w:pPr>
        <w:contextualSpacing/>
        <w:jc w:val="both"/>
        <w:rPr>
          <w:rFonts w:ascii="Arial" w:hAnsi="Arial" w:cs="Arial"/>
          <w:bCs/>
        </w:rPr>
      </w:pPr>
      <w:r w:rsidRPr="00706DCE">
        <w:rPr>
          <w:rFonts w:ascii="Arial" w:hAnsi="Arial" w:cs="Arial"/>
          <w:bCs/>
          <w:noProof/>
        </w:rPr>
        <w:lastRenderedPageBreak/>
        <w:drawing>
          <wp:inline distT="0" distB="0" distL="0" distR="0" wp14:anchorId="1AE30DE4" wp14:editId="1398AE4F">
            <wp:extent cx="5911702" cy="2007926"/>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11702" cy="2007926"/>
                    </a:xfrm>
                    <a:prstGeom prst="rect">
                      <a:avLst/>
                    </a:prstGeom>
                  </pic:spPr>
                </pic:pic>
              </a:graphicData>
            </a:graphic>
          </wp:inline>
        </w:drawing>
      </w:r>
    </w:p>
    <w:p w14:paraId="7D639E9A" w14:textId="77777777" w:rsidR="00C15C33" w:rsidRPr="00706DCE" w:rsidRDefault="00C15C33" w:rsidP="0017536E">
      <w:pPr>
        <w:contextualSpacing/>
        <w:jc w:val="both"/>
        <w:rPr>
          <w:rFonts w:ascii="Arial" w:hAnsi="Arial" w:cs="Arial"/>
          <w:bCs/>
        </w:rPr>
      </w:pPr>
      <w:r w:rsidRPr="00706DCE">
        <w:rPr>
          <w:rFonts w:ascii="Arial" w:hAnsi="Arial" w:cs="Arial"/>
          <w:b/>
          <w:bCs/>
        </w:rPr>
        <w:t>Fig. 5.</w:t>
      </w:r>
      <w:r w:rsidRPr="00706DCE">
        <w:rPr>
          <w:rFonts w:ascii="Arial" w:hAnsi="Arial" w:cs="Arial"/>
          <w:bCs/>
        </w:rPr>
        <w:t xml:space="preserve"> Chromatograph of (a) biodiesel produced using a co-culture of </w:t>
      </w:r>
      <w:r w:rsidRPr="00706DCE">
        <w:rPr>
          <w:rFonts w:ascii="Arial" w:hAnsi="Arial" w:cs="Arial"/>
          <w:bCs/>
          <w:i/>
          <w:iCs/>
        </w:rPr>
        <w:t xml:space="preserve">C albicans </w:t>
      </w:r>
      <w:r w:rsidRPr="00706DCE">
        <w:rPr>
          <w:rFonts w:ascii="Arial" w:hAnsi="Arial" w:cs="Arial"/>
          <w:bCs/>
        </w:rPr>
        <w:t>and</w:t>
      </w:r>
      <w:r w:rsidRPr="00706DCE">
        <w:rPr>
          <w:rFonts w:ascii="Arial" w:hAnsi="Arial" w:cs="Arial"/>
          <w:bCs/>
          <w:i/>
          <w:iCs/>
        </w:rPr>
        <w:t xml:space="preserve"> P. aeruginosa</w:t>
      </w:r>
      <w:r w:rsidRPr="00706DCE">
        <w:rPr>
          <w:rFonts w:ascii="Arial" w:hAnsi="Arial" w:cs="Arial"/>
          <w:bCs/>
          <w:iCs/>
        </w:rPr>
        <w:t xml:space="preserve"> on mixed POME; (b) </w:t>
      </w:r>
      <w:bookmarkStart w:id="11" w:name="_Hlk171768990"/>
      <w:r w:rsidRPr="00706DCE">
        <w:rPr>
          <w:rFonts w:ascii="Arial" w:hAnsi="Arial" w:cs="Arial"/>
          <w:bCs/>
          <w:iCs/>
        </w:rPr>
        <w:t>f</w:t>
      </w:r>
      <w:r w:rsidRPr="00706DCE">
        <w:rPr>
          <w:rFonts w:ascii="Arial" w:hAnsi="Arial" w:cs="Arial"/>
          <w:bCs/>
        </w:rPr>
        <w:t xml:space="preserve">ossil diesel </w:t>
      </w:r>
      <w:bookmarkEnd w:id="11"/>
      <w:r w:rsidRPr="00706DCE">
        <w:rPr>
          <w:rFonts w:ascii="Arial" w:hAnsi="Arial" w:cs="Arial"/>
          <w:bCs/>
        </w:rPr>
        <w:t>sample</w:t>
      </w:r>
    </w:p>
    <w:p w14:paraId="71C8798C" w14:textId="77777777" w:rsidR="00C15C33" w:rsidRPr="00706DCE" w:rsidRDefault="00C15C33" w:rsidP="0017536E">
      <w:pPr>
        <w:contextualSpacing/>
        <w:jc w:val="both"/>
        <w:rPr>
          <w:rFonts w:ascii="Arial" w:hAnsi="Arial" w:cs="Arial"/>
          <w:bCs/>
        </w:rPr>
      </w:pPr>
    </w:p>
    <w:p w14:paraId="32EBD696" w14:textId="77777777" w:rsidR="00C15C33" w:rsidRPr="00706DCE" w:rsidRDefault="00D76323" w:rsidP="0017536E">
      <w:pPr>
        <w:contextualSpacing/>
        <w:jc w:val="both"/>
        <w:rPr>
          <w:rFonts w:ascii="Arial" w:hAnsi="Arial" w:cs="Arial"/>
          <w:b/>
          <w:bCs/>
        </w:rPr>
      </w:pPr>
      <w:r>
        <w:rPr>
          <w:rFonts w:ascii="Arial" w:hAnsi="Arial" w:cs="Arial"/>
          <w:b/>
          <w:bCs/>
        </w:rPr>
        <w:t xml:space="preserve">3.7 </w:t>
      </w:r>
      <w:r w:rsidR="00C15C33" w:rsidRPr="00706DCE">
        <w:rPr>
          <w:rFonts w:ascii="Arial" w:hAnsi="Arial" w:cs="Arial"/>
          <w:b/>
          <w:bCs/>
        </w:rPr>
        <w:t>Comparison of biodiesel and fossil diesel samples</w:t>
      </w:r>
    </w:p>
    <w:p w14:paraId="1C941388" w14:textId="77777777" w:rsidR="00C15C33" w:rsidRPr="00C15C33" w:rsidRDefault="00C15C33" w:rsidP="001D162D">
      <w:pPr>
        <w:contextualSpacing/>
        <w:jc w:val="both"/>
        <w:rPr>
          <w:rFonts w:ascii="Arial" w:eastAsia="Calibri" w:hAnsi="Arial" w:cs="Arial"/>
          <w:bCs/>
          <w:kern w:val="2"/>
        </w:rPr>
      </w:pPr>
      <w:r w:rsidRPr="00C15C33">
        <w:rPr>
          <w:rFonts w:ascii="Arial" w:eastAsia="Calibri" w:hAnsi="Arial" w:cs="Arial"/>
          <w:b/>
          <w:kern w:val="2"/>
        </w:rPr>
        <w:t>Table 4</w:t>
      </w:r>
      <w:r w:rsidRPr="00C15C33">
        <w:rPr>
          <w:rFonts w:ascii="Arial" w:eastAsia="Calibri" w:hAnsi="Arial" w:cs="Arial"/>
          <w:kern w:val="2"/>
        </w:rPr>
        <w:t xml:space="preserve"> presents the fatty acid contents of the produced biodiesel and fossil diesel samples.</w:t>
      </w:r>
      <w:r w:rsidRPr="00706DCE">
        <w:rPr>
          <w:rFonts w:ascii="Arial" w:hAnsi="Arial" w:cs="Arial"/>
          <w:bCs/>
        </w:rPr>
        <w:t xml:space="preserve"> </w:t>
      </w:r>
      <w:bookmarkStart w:id="12" w:name="_Hlk171767103"/>
      <w:r w:rsidRPr="00C15C33">
        <w:rPr>
          <w:rFonts w:ascii="Arial" w:eastAsia="Calibri" w:hAnsi="Arial" w:cs="Arial"/>
          <w:bCs/>
          <w:kern w:val="2"/>
        </w:rPr>
        <w:t xml:space="preserve">The findings revealed that the biodiesel sample contained higher levels of saturated fatty acids, including stearic acid (C18), palmitic acid (C16), myristic acid (C14), and lauric acid (C12). However, the quantities of unsaturated fatty acids, especially linolenic acid (C18:3) and linoleic acid (C18:2), were higher in the fossil diesel. Both fuels also contained longer-chain fatty acids, including </w:t>
      </w:r>
      <w:proofErr w:type="spellStart"/>
      <w:r w:rsidRPr="00C15C33">
        <w:rPr>
          <w:rFonts w:ascii="Arial" w:eastAsia="Calibri" w:hAnsi="Arial" w:cs="Arial"/>
          <w:bCs/>
          <w:kern w:val="2"/>
        </w:rPr>
        <w:t>docosanoic</w:t>
      </w:r>
      <w:proofErr w:type="spellEnd"/>
      <w:r w:rsidRPr="00C15C33">
        <w:rPr>
          <w:rFonts w:ascii="Arial" w:eastAsia="Calibri" w:hAnsi="Arial" w:cs="Arial"/>
          <w:bCs/>
          <w:kern w:val="2"/>
        </w:rPr>
        <w:t xml:space="preserve"> acid (C22), </w:t>
      </w:r>
      <w:proofErr w:type="spellStart"/>
      <w:r w:rsidRPr="00C15C33">
        <w:rPr>
          <w:rFonts w:ascii="Arial" w:eastAsia="Calibri" w:hAnsi="Arial" w:cs="Arial"/>
          <w:bCs/>
          <w:kern w:val="2"/>
        </w:rPr>
        <w:t>eicosanoic</w:t>
      </w:r>
      <w:proofErr w:type="spellEnd"/>
      <w:r w:rsidRPr="00C15C33">
        <w:rPr>
          <w:rFonts w:ascii="Arial" w:eastAsia="Calibri" w:hAnsi="Arial" w:cs="Arial"/>
          <w:bCs/>
          <w:kern w:val="2"/>
        </w:rPr>
        <w:t xml:space="preserve"> acid (C20), and their derivatives.  Additionally, the biodiesel had greater total fatty acid content (66.568 ppm) than the fossil diesel (53.984 ppm).</w:t>
      </w:r>
    </w:p>
    <w:p w14:paraId="77BE167A" w14:textId="77777777" w:rsidR="00C15C33" w:rsidRPr="00C15C33" w:rsidRDefault="00C15C33" w:rsidP="0017536E">
      <w:pPr>
        <w:contextualSpacing/>
        <w:jc w:val="both"/>
        <w:rPr>
          <w:rFonts w:ascii="Arial" w:eastAsia="Calibri" w:hAnsi="Arial" w:cs="Arial"/>
          <w:bCs/>
          <w:kern w:val="2"/>
        </w:rPr>
      </w:pPr>
    </w:p>
    <w:bookmarkEnd w:id="12"/>
    <w:p w14:paraId="527150DD" w14:textId="77777777" w:rsidR="00C15C33" w:rsidRPr="00C15C33" w:rsidRDefault="00C15C33" w:rsidP="00D77FF8">
      <w:pPr>
        <w:contextualSpacing/>
        <w:jc w:val="center"/>
        <w:rPr>
          <w:rFonts w:ascii="Arial" w:eastAsia="Calibri" w:hAnsi="Arial" w:cs="Arial"/>
          <w:kern w:val="2"/>
        </w:rPr>
      </w:pPr>
      <w:r w:rsidRPr="00C15C33">
        <w:rPr>
          <w:rFonts w:ascii="Arial" w:eastAsia="Calibri" w:hAnsi="Arial" w:cs="Arial"/>
          <w:b/>
          <w:kern w:val="2"/>
        </w:rPr>
        <w:t>Table 4.</w:t>
      </w:r>
      <w:r w:rsidRPr="00C15C33">
        <w:rPr>
          <w:rFonts w:ascii="Arial" w:eastAsia="Calibri" w:hAnsi="Arial" w:cs="Arial"/>
          <w:kern w:val="2"/>
        </w:rPr>
        <w:t xml:space="preserve"> Fatty acid compositions of fossil diesel and the produced biodiesel</w:t>
      </w:r>
    </w:p>
    <w:tbl>
      <w:tblPr>
        <w:tblStyle w:val="TableGrid"/>
        <w:tblW w:w="8394"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1159"/>
        <w:gridCol w:w="1212"/>
        <w:gridCol w:w="1285"/>
        <w:gridCol w:w="1106"/>
        <w:gridCol w:w="1376"/>
      </w:tblGrid>
      <w:tr w:rsidR="00D77FF8" w:rsidRPr="00706DCE" w14:paraId="70632EE7" w14:textId="77777777" w:rsidTr="00D77FF8">
        <w:trPr>
          <w:jc w:val="center"/>
        </w:trPr>
        <w:tc>
          <w:tcPr>
            <w:tcW w:w="2256" w:type="dxa"/>
            <w:tcBorders>
              <w:top w:val="single" w:sz="4" w:space="0" w:color="auto"/>
            </w:tcBorders>
            <w:vAlign w:val="center"/>
          </w:tcPr>
          <w:p w14:paraId="64DB1335" w14:textId="15F5691D" w:rsidR="00D77FF8" w:rsidRPr="00706DCE" w:rsidRDefault="00D77FF8" w:rsidP="00D77FF8">
            <w:pPr>
              <w:contextualSpacing/>
              <w:jc w:val="center"/>
              <w:rPr>
                <w:rFonts w:ascii="Arial" w:hAnsi="Arial" w:cs="Arial"/>
              </w:rPr>
            </w:pPr>
            <w:bookmarkStart w:id="13" w:name="_Hlk171273363"/>
            <w:r w:rsidRPr="00C15C33">
              <w:rPr>
                <w:rFonts w:ascii="Arial" w:hAnsi="Arial" w:cs="Arial"/>
                <w:b/>
                <w:kern w:val="2"/>
                <w:sz w:val="20"/>
                <w:szCs w:val="20"/>
              </w:rPr>
              <w:t>Fatty acid compositions</w:t>
            </w:r>
          </w:p>
        </w:tc>
        <w:tc>
          <w:tcPr>
            <w:tcW w:w="1159" w:type="dxa"/>
            <w:tcBorders>
              <w:top w:val="single" w:sz="4" w:space="0" w:color="auto"/>
            </w:tcBorders>
            <w:vAlign w:val="center"/>
          </w:tcPr>
          <w:p w14:paraId="437CB338" w14:textId="1F6F5870" w:rsidR="00D77FF8" w:rsidRPr="00706DCE" w:rsidRDefault="00D77FF8" w:rsidP="00D77FF8">
            <w:pPr>
              <w:contextualSpacing/>
              <w:jc w:val="center"/>
              <w:rPr>
                <w:rFonts w:ascii="Arial" w:hAnsi="Arial" w:cs="Arial"/>
              </w:rPr>
            </w:pPr>
            <w:r w:rsidRPr="00706DCE">
              <w:rPr>
                <w:rFonts w:ascii="Arial" w:hAnsi="Arial" w:cs="Arial"/>
                <w:b/>
                <w:bCs/>
                <w:sz w:val="20"/>
                <w:szCs w:val="20"/>
              </w:rPr>
              <w:t>Chain length</w:t>
            </w:r>
          </w:p>
        </w:tc>
        <w:tc>
          <w:tcPr>
            <w:tcW w:w="2497" w:type="dxa"/>
            <w:gridSpan w:val="2"/>
            <w:tcBorders>
              <w:top w:val="single" w:sz="4" w:space="0" w:color="auto"/>
            </w:tcBorders>
            <w:vAlign w:val="center"/>
          </w:tcPr>
          <w:p w14:paraId="30404E14" w14:textId="4CCAE9A7" w:rsidR="00D77FF8" w:rsidRPr="00706DCE" w:rsidRDefault="00D77FF8" w:rsidP="00D77FF8">
            <w:pPr>
              <w:contextualSpacing/>
              <w:jc w:val="center"/>
              <w:rPr>
                <w:rFonts w:ascii="Arial" w:hAnsi="Arial" w:cs="Arial"/>
              </w:rPr>
            </w:pPr>
            <w:r w:rsidRPr="00706DCE">
              <w:rPr>
                <w:rFonts w:ascii="Arial" w:hAnsi="Arial" w:cs="Arial"/>
                <w:b/>
                <w:sz w:val="20"/>
                <w:szCs w:val="20"/>
              </w:rPr>
              <w:t>Fossil diesel</w:t>
            </w:r>
          </w:p>
        </w:tc>
        <w:tc>
          <w:tcPr>
            <w:tcW w:w="2482" w:type="dxa"/>
            <w:gridSpan w:val="2"/>
            <w:tcBorders>
              <w:top w:val="single" w:sz="4" w:space="0" w:color="auto"/>
            </w:tcBorders>
            <w:vAlign w:val="center"/>
          </w:tcPr>
          <w:p w14:paraId="5735FAD3" w14:textId="366680E2" w:rsidR="00D77FF8" w:rsidRPr="00706DCE" w:rsidRDefault="00D77FF8" w:rsidP="00D77FF8">
            <w:pPr>
              <w:contextualSpacing/>
              <w:jc w:val="center"/>
              <w:rPr>
                <w:rFonts w:ascii="Arial" w:hAnsi="Arial" w:cs="Arial"/>
              </w:rPr>
            </w:pPr>
            <w:r w:rsidRPr="00706DCE">
              <w:rPr>
                <w:rFonts w:ascii="Arial" w:hAnsi="Arial" w:cs="Arial"/>
                <w:b/>
                <w:sz w:val="20"/>
                <w:szCs w:val="20"/>
              </w:rPr>
              <w:t>Biodiesel</w:t>
            </w:r>
          </w:p>
        </w:tc>
      </w:tr>
      <w:tr w:rsidR="00D77FF8" w:rsidRPr="00706DCE" w14:paraId="5E5748AD" w14:textId="77777777" w:rsidTr="00D77FF8">
        <w:trPr>
          <w:jc w:val="center"/>
        </w:trPr>
        <w:tc>
          <w:tcPr>
            <w:tcW w:w="2256" w:type="dxa"/>
            <w:tcBorders>
              <w:top w:val="single" w:sz="4" w:space="0" w:color="auto"/>
            </w:tcBorders>
            <w:vAlign w:val="center"/>
          </w:tcPr>
          <w:p w14:paraId="1EAC4A07" w14:textId="77777777" w:rsidR="00D77FF8" w:rsidRPr="00706DCE" w:rsidRDefault="00D77FF8" w:rsidP="00D77FF8">
            <w:pPr>
              <w:contextualSpacing/>
              <w:jc w:val="center"/>
              <w:rPr>
                <w:rFonts w:ascii="Arial" w:hAnsi="Arial" w:cs="Arial"/>
              </w:rPr>
            </w:pPr>
          </w:p>
        </w:tc>
        <w:tc>
          <w:tcPr>
            <w:tcW w:w="1159" w:type="dxa"/>
            <w:tcBorders>
              <w:top w:val="single" w:sz="4" w:space="0" w:color="auto"/>
            </w:tcBorders>
            <w:vAlign w:val="center"/>
          </w:tcPr>
          <w:p w14:paraId="52A0BB45" w14:textId="77777777" w:rsidR="00D77FF8" w:rsidRPr="00706DCE" w:rsidRDefault="00D77FF8" w:rsidP="00D77FF8">
            <w:pPr>
              <w:contextualSpacing/>
              <w:jc w:val="center"/>
              <w:rPr>
                <w:rFonts w:ascii="Arial" w:hAnsi="Arial" w:cs="Arial"/>
              </w:rPr>
            </w:pPr>
          </w:p>
        </w:tc>
        <w:tc>
          <w:tcPr>
            <w:tcW w:w="1212" w:type="dxa"/>
            <w:tcBorders>
              <w:top w:val="single" w:sz="4" w:space="0" w:color="auto"/>
            </w:tcBorders>
            <w:vAlign w:val="center"/>
          </w:tcPr>
          <w:p w14:paraId="7B3D1FE7" w14:textId="449E3A0A" w:rsidR="00D77FF8" w:rsidRPr="00706DCE" w:rsidRDefault="00D77FF8" w:rsidP="00D77FF8">
            <w:pPr>
              <w:contextualSpacing/>
              <w:jc w:val="center"/>
              <w:rPr>
                <w:rFonts w:ascii="Arial" w:hAnsi="Arial" w:cs="Arial"/>
              </w:rPr>
            </w:pPr>
            <w:r>
              <w:rPr>
                <w:rFonts w:ascii="Arial" w:hAnsi="Arial" w:cs="Arial"/>
                <w:b/>
                <w:sz w:val="20"/>
                <w:szCs w:val="20"/>
              </w:rPr>
              <w:t>Amount (ppm)</w:t>
            </w:r>
          </w:p>
        </w:tc>
        <w:tc>
          <w:tcPr>
            <w:tcW w:w="1285" w:type="dxa"/>
            <w:tcBorders>
              <w:top w:val="single" w:sz="4" w:space="0" w:color="auto"/>
            </w:tcBorders>
            <w:vAlign w:val="center"/>
          </w:tcPr>
          <w:p w14:paraId="72FDD8F3" w14:textId="097D3E39" w:rsidR="00D77FF8" w:rsidRPr="00706DCE" w:rsidRDefault="00D77FF8" w:rsidP="00D77FF8">
            <w:pPr>
              <w:contextualSpacing/>
              <w:jc w:val="center"/>
              <w:rPr>
                <w:rFonts w:ascii="Arial" w:hAnsi="Arial" w:cs="Arial"/>
              </w:rPr>
            </w:pPr>
            <w:r>
              <w:rPr>
                <w:rFonts w:ascii="Arial" w:hAnsi="Arial" w:cs="Arial"/>
                <w:b/>
              </w:rPr>
              <w:t>Retention time (min)</w:t>
            </w:r>
          </w:p>
        </w:tc>
        <w:tc>
          <w:tcPr>
            <w:tcW w:w="1106" w:type="dxa"/>
            <w:tcBorders>
              <w:top w:val="single" w:sz="4" w:space="0" w:color="auto"/>
            </w:tcBorders>
            <w:vAlign w:val="center"/>
          </w:tcPr>
          <w:p w14:paraId="0F78E209" w14:textId="293AAEC6" w:rsidR="00D77FF8" w:rsidRPr="00706DCE" w:rsidRDefault="00D77FF8" w:rsidP="00D77FF8">
            <w:pPr>
              <w:contextualSpacing/>
              <w:jc w:val="center"/>
              <w:rPr>
                <w:rFonts w:ascii="Arial" w:hAnsi="Arial" w:cs="Arial"/>
              </w:rPr>
            </w:pPr>
            <w:r>
              <w:rPr>
                <w:rFonts w:ascii="Arial" w:hAnsi="Arial" w:cs="Arial"/>
                <w:b/>
                <w:sz w:val="20"/>
                <w:szCs w:val="20"/>
              </w:rPr>
              <w:t>Amount (ppm)</w:t>
            </w:r>
          </w:p>
        </w:tc>
        <w:tc>
          <w:tcPr>
            <w:tcW w:w="1376" w:type="dxa"/>
            <w:tcBorders>
              <w:top w:val="single" w:sz="4" w:space="0" w:color="auto"/>
            </w:tcBorders>
            <w:vAlign w:val="center"/>
          </w:tcPr>
          <w:p w14:paraId="2B841B35" w14:textId="695FFBCB" w:rsidR="00D77FF8" w:rsidRPr="00706DCE" w:rsidRDefault="00D77FF8" w:rsidP="00D77FF8">
            <w:pPr>
              <w:contextualSpacing/>
              <w:jc w:val="center"/>
              <w:rPr>
                <w:rFonts w:ascii="Arial" w:hAnsi="Arial" w:cs="Arial"/>
              </w:rPr>
            </w:pPr>
            <w:r>
              <w:rPr>
                <w:rFonts w:ascii="Arial" w:hAnsi="Arial" w:cs="Arial"/>
                <w:b/>
              </w:rPr>
              <w:t>Retention time (min)</w:t>
            </w:r>
          </w:p>
        </w:tc>
      </w:tr>
      <w:tr w:rsidR="00D77FF8" w:rsidRPr="00706DCE" w14:paraId="70467643" w14:textId="7CC91898" w:rsidTr="00D77FF8">
        <w:trPr>
          <w:jc w:val="center"/>
        </w:trPr>
        <w:tc>
          <w:tcPr>
            <w:tcW w:w="2256" w:type="dxa"/>
            <w:tcBorders>
              <w:top w:val="single" w:sz="4" w:space="0" w:color="auto"/>
            </w:tcBorders>
          </w:tcPr>
          <w:p w14:paraId="2224311F" w14:textId="77777777" w:rsidR="00D77FF8" w:rsidRPr="00706DCE" w:rsidRDefault="00D77FF8" w:rsidP="0017536E">
            <w:pPr>
              <w:contextualSpacing/>
              <w:jc w:val="both"/>
              <w:rPr>
                <w:rFonts w:ascii="Arial" w:hAnsi="Arial" w:cs="Arial"/>
                <w:sz w:val="20"/>
                <w:szCs w:val="20"/>
              </w:rPr>
            </w:pPr>
            <w:r w:rsidRPr="00706DCE">
              <w:rPr>
                <w:rFonts w:ascii="Arial" w:hAnsi="Arial" w:cs="Arial"/>
                <w:sz w:val="20"/>
                <w:szCs w:val="20"/>
              </w:rPr>
              <w:t>Lauric acid</w:t>
            </w:r>
          </w:p>
        </w:tc>
        <w:tc>
          <w:tcPr>
            <w:tcW w:w="1159" w:type="dxa"/>
            <w:tcBorders>
              <w:top w:val="single" w:sz="4" w:space="0" w:color="auto"/>
            </w:tcBorders>
            <w:vAlign w:val="center"/>
          </w:tcPr>
          <w:p w14:paraId="617D4581" w14:textId="77777777" w:rsidR="00D77FF8" w:rsidRPr="00706DCE" w:rsidRDefault="00D77FF8" w:rsidP="00D77FF8">
            <w:pPr>
              <w:contextualSpacing/>
              <w:jc w:val="center"/>
              <w:rPr>
                <w:rFonts w:ascii="Arial" w:hAnsi="Arial" w:cs="Arial"/>
                <w:sz w:val="20"/>
                <w:szCs w:val="20"/>
              </w:rPr>
            </w:pPr>
            <w:r w:rsidRPr="00706DCE">
              <w:rPr>
                <w:rFonts w:ascii="Arial" w:hAnsi="Arial" w:cs="Arial"/>
                <w:sz w:val="20"/>
                <w:szCs w:val="20"/>
              </w:rPr>
              <w:t>C12</w:t>
            </w:r>
          </w:p>
        </w:tc>
        <w:tc>
          <w:tcPr>
            <w:tcW w:w="1212" w:type="dxa"/>
            <w:tcBorders>
              <w:top w:val="single" w:sz="4" w:space="0" w:color="auto"/>
            </w:tcBorders>
            <w:vAlign w:val="center"/>
          </w:tcPr>
          <w:p w14:paraId="1DE05E80" w14:textId="77777777" w:rsidR="00D77FF8" w:rsidRPr="00706DCE" w:rsidRDefault="00D77FF8" w:rsidP="00D77FF8">
            <w:pPr>
              <w:contextualSpacing/>
              <w:jc w:val="center"/>
              <w:rPr>
                <w:rFonts w:ascii="Arial" w:hAnsi="Arial" w:cs="Arial"/>
                <w:sz w:val="20"/>
                <w:szCs w:val="20"/>
              </w:rPr>
            </w:pPr>
            <w:r w:rsidRPr="00706DCE">
              <w:rPr>
                <w:rFonts w:ascii="Arial" w:hAnsi="Arial" w:cs="Arial"/>
                <w:sz w:val="20"/>
                <w:szCs w:val="20"/>
              </w:rPr>
              <w:t>0.40</w:t>
            </w:r>
          </w:p>
        </w:tc>
        <w:tc>
          <w:tcPr>
            <w:tcW w:w="1285" w:type="dxa"/>
            <w:tcBorders>
              <w:top w:val="single" w:sz="4" w:space="0" w:color="auto"/>
            </w:tcBorders>
            <w:vAlign w:val="center"/>
          </w:tcPr>
          <w:p w14:paraId="6E47E44B" w14:textId="7D6413A7" w:rsidR="00D77FF8" w:rsidRPr="00836EFB" w:rsidRDefault="007C2565" w:rsidP="00D77FF8">
            <w:pPr>
              <w:contextualSpacing/>
              <w:jc w:val="center"/>
              <w:rPr>
                <w:rFonts w:ascii="Arial" w:hAnsi="Arial" w:cs="Arial"/>
                <w:sz w:val="20"/>
                <w:szCs w:val="20"/>
              </w:rPr>
            </w:pPr>
            <w:r>
              <w:rPr>
                <w:rFonts w:ascii="Arial" w:hAnsi="Arial" w:cs="Arial"/>
                <w:sz w:val="20"/>
                <w:szCs w:val="20"/>
              </w:rPr>
              <w:t>5.46</w:t>
            </w:r>
          </w:p>
        </w:tc>
        <w:tc>
          <w:tcPr>
            <w:tcW w:w="1106" w:type="dxa"/>
            <w:tcBorders>
              <w:top w:val="single" w:sz="4" w:space="0" w:color="auto"/>
            </w:tcBorders>
            <w:vAlign w:val="center"/>
          </w:tcPr>
          <w:p w14:paraId="439618E9" w14:textId="51B6D64B" w:rsidR="00D77FF8" w:rsidRPr="00836EFB" w:rsidRDefault="00D77FF8" w:rsidP="00D77FF8">
            <w:pPr>
              <w:contextualSpacing/>
              <w:jc w:val="center"/>
              <w:rPr>
                <w:rFonts w:ascii="Arial" w:hAnsi="Arial" w:cs="Arial"/>
                <w:sz w:val="20"/>
                <w:szCs w:val="20"/>
              </w:rPr>
            </w:pPr>
            <w:r w:rsidRPr="00836EFB">
              <w:rPr>
                <w:rFonts w:ascii="Arial" w:hAnsi="Arial" w:cs="Arial"/>
                <w:sz w:val="20"/>
                <w:szCs w:val="20"/>
              </w:rPr>
              <w:t>-</w:t>
            </w:r>
          </w:p>
        </w:tc>
        <w:tc>
          <w:tcPr>
            <w:tcW w:w="1376" w:type="dxa"/>
            <w:tcBorders>
              <w:top w:val="single" w:sz="4" w:space="0" w:color="auto"/>
            </w:tcBorders>
            <w:vAlign w:val="center"/>
          </w:tcPr>
          <w:p w14:paraId="3083C181" w14:textId="666AD00B" w:rsidR="00D77FF8" w:rsidRPr="00836EFB" w:rsidRDefault="00836EFB" w:rsidP="00D77FF8">
            <w:pPr>
              <w:contextualSpacing/>
              <w:jc w:val="center"/>
              <w:rPr>
                <w:rFonts w:ascii="Arial" w:hAnsi="Arial" w:cs="Arial"/>
                <w:sz w:val="20"/>
                <w:szCs w:val="20"/>
              </w:rPr>
            </w:pPr>
            <w:r>
              <w:rPr>
                <w:rFonts w:ascii="Arial" w:hAnsi="Arial" w:cs="Arial"/>
                <w:sz w:val="20"/>
                <w:szCs w:val="20"/>
              </w:rPr>
              <w:t>-</w:t>
            </w:r>
          </w:p>
        </w:tc>
      </w:tr>
      <w:tr w:rsidR="00D77FF8" w:rsidRPr="00706DCE" w14:paraId="3474E2D8" w14:textId="209554B9" w:rsidTr="00D77FF8">
        <w:trPr>
          <w:jc w:val="center"/>
        </w:trPr>
        <w:tc>
          <w:tcPr>
            <w:tcW w:w="2256" w:type="dxa"/>
          </w:tcPr>
          <w:p w14:paraId="5A33DD74" w14:textId="77777777" w:rsidR="00D77FF8" w:rsidRPr="00706DCE" w:rsidRDefault="00D77FF8" w:rsidP="0017536E">
            <w:pPr>
              <w:contextualSpacing/>
              <w:jc w:val="both"/>
              <w:rPr>
                <w:rFonts w:ascii="Arial" w:hAnsi="Arial" w:cs="Arial"/>
                <w:sz w:val="20"/>
                <w:szCs w:val="20"/>
              </w:rPr>
            </w:pPr>
            <w:r w:rsidRPr="00706DCE">
              <w:rPr>
                <w:rFonts w:ascii="Arial" w:hAnsi="Arial" w:cs="Arial"/>
                <w:sz w:val="20"/>
                <w:szCs w:val="20"/>
              </w:rPr>
              <w:t>Myristic acid</w:t>
            </w:r>
          </w:p>
        </w:tc>
        <w:tc>
          <w:tcPr>
            <w:tcW w:w="1159" w:type="dxa"/>
            <w:vAlign w:val="center"/>
          </w:tcPr>
          <w:p w14:paraId="12C38163" w14:textId="77777777" w:rsidR="00D77FF8" w:rsidRPr="00706DCE" w:rsidRDefault="00D77FF8" w:rsidP="00D77FF8">
            <w:pPr>
              <w:contextualSpacing/>
              <w:jc w:val="center"/>
              <w:rPr>
                <w:rFonts w:ascii="Arial" w:hAnsi="Arial" w:cs="Arial"/>
                <w:sz w:val="20"/>
                <w:szCs w:val="20"/>
              </w:rPr>
            </w:pPr>
            <w:r w:rsidRPr="00706DCE">
              <w:rPr>
                <w:rFonts w:ascii="Arial" w:hAnsi="Arial" w:cs="Arial"/>
                <w:sz w:val="20"/>
                <w:szCs w:val="20"/>
              </w:rPr>
              <w:t>C14</w:t>
            </w:r>
          </w:p>
        </w:tc>
        <w:tc>
          <w:tcPr>
            <w:tcW w:w="1212" w:type="dxa"/>
            <w:vAlign w:val="center"/>
          </w:tcPr>
          <w:p w14:paraId="7147690F" w14:textId="77777777" w:rsidR="00D77FF8" w:rsidRPr="00706DCE" w:rsidRDefault="00D77FF8" w:rsidP="00D77FF8">
            <w:pPr>
              <w:contextualSpacing/>
              <w:jc w:val="center"/>
              <w:rPr>
                <w:rFonts w:ascii="Arial" w:hAnsi="Arial" w:cs="Arial"/>
                <w:sz w:val="20"/>
                <w:szCs w:val="20"/>
              </w:rPr>
            </w:pPr>
            <w:r w:rsidRPr="00706DCE">
              <w:rPr>
                <w:rFonts w:ascii="Arial" w:hAnsi="Arial" w:cs="Arial"/>
                <w:sz w:val="20"/>
                <w:szCs w:val="20"/>
              </w:rPr>
              <w:t>1.23</w:t>
            </w:r>
          </w:p>
        </w:tc>
        <w:tc>
          <w:tcPr>
            <w:tcW w:w="1285" w:type="dxa"/>
            <w:vAlign w:val="center"/>
          </w:tcPr>
          <w:p w14:paraId="4FCC1107" w14:textId="2DCDE6BA" w:rsidR="00D77FF8" w:rsidRPr="00836EFB" w:rsidRDefault="007C2565" w:rsidP="00D77FF8">
            <w:pPr>
              <w:contextualSpacing/>
              <w:jc w:val="center"/>
              <w:rPr>
                <w:rFonts w:ascii="Arial" w:hAnsi="Arial" w:cs="Arial"/>
                <w:sz w:val="20"/>
                <w:szCs w:val="20"/>
              </w:rPr>
            </w:pPr>
            <w:r w:rsidRPr="007C2565">
              <w:rPr>
                <w:rFonts w:ascii="Arial" w:hAnsi="Arial" w:cs="Arial"/>
                <w:sz w:val="20"/>
                <w:szCs w:val="20"/>
              </w:rPr>
              <w:t>5.98</w:t>
            </w:r>
          </w:p>
        </w:tc>
        <w:tc>
          <w:tcPr>
            <w:tcW w:w="1106" w:type="dxa"/>
            <w:vAlign w:val="center"/>
          </w:tcPr>
          <w:p w14:paraId="5B966A32" w14:textId="5424A262" w:rsidR="00D77FF8" w:rsidRPr="00836EFB" w:rsidRDefault="0039220F" w:rsidP="00D77FF8">
            <w:pPr>
              <w:contextualSpacing/>
              <w:jc w:val="center"/>
              <w:rPr>
                <w:rFonts w:ascii="Arial" w:hAnsi="Arial" w:cs="Arial"/>
                <w:sz w:val="20"/>
                <w:szCs w:val="20"/>
              </w:rPr>
            </w:pPr>
            <w:r>
              <w:rPr>
                <w:rFonts w:ascii="Arial" w:hAnsi="Arial" w:cs="Arial"/>
                <w:sz w:val="20"/>
                <w:szCs w:val="20"/>
              </w:rPr>
              <w:t>4.75</w:t>
            </w:r>
          </w:p>
        </w:tc>
        <w:tc>
          <w:tcPr>
            <w:tcW w:w="1376" w:type="dxa"/>
            <w:vAlign w:val="center"/>
          </w:tcPr>
          <w:p w14:paraId="158B4D5F" w14:textId="3BB9EAA0" w:rsidR="00D77FF8" w:rsidRPr="00836EFB" w:rsidRDefault="00836EFB" w:rsidP="00D77FF8">
            <w:pPr>
              <w:contextualSpacing/>
              <w:jc w:val="center"/>
              <w:rPr>
                <w:rFonts w:ascii="Arial" w:hAnsi="Arial" w:cs="Arial"/>
                <w:sz w:val="20"/>
                <w:szCs w:val="20"/>
              </w:rPr>
            </w:pPr>
            <w:r w:rsidRPr="00836EFB">
              <w:rPr>
                <w:rFonts w:ascii="Arial" w:hAnsi="Arial" w:cs="Arial"/>
                <w:sz w:val="20"/>
                <w:szCs w:val="20"/>
              </w:rPr>
              <w:t>5.26</w:t>
            </w:r>
          </w:p>
        </w:tc>
      </w:tr>
      <w:tr w:rsidR="00D77FF8" w:rsidRPr="00706DCE" w14:paraId="0DE5D331" w14:textId="7BF87A86" w:rsidTr="00D77FF8">
        <w:trPr>
          <w:jc w:val="center"/>
        </w:trPr>
        <w:tc>
          <w:tcPr>
            <w:tcW w:w="2256" w:type="dxa"/>
          </w:tcPr>
          <w:p w14:paraId="032F5AC7" w14:textId="77777777" w:rsidR="00D77FF8" w:rsidRPr="00706DCE" w:rsidRDefault="00D77FF8" w:rsidP="0017536E">
            <w:pPr>
              <w:contextualSpacing/>
              <w:jc w:val="both"/>
              <w:rPr>
                <w:rFonts w:ascii="Arial" w:hAnsi="Arial" w:cs="Arial"/>
                <w:sz w:val="20"/>
                <w:szCs w:val="20"/>
              </w:rPr>
            </w:pPr>
            <w:r w:rsidRPr="00706DCE">
              <w:rPr>
                <w:rFonts w:ascii="Arial" w:hAnsi="Arial" w:cs="Arial"/>
                <w:sz w:val="20"/>
                <w:szCs w:val="20"/>
              </w:rPr>
              <w:t>Palmitic acid</w:t>
            </w:r>
          </w:p>
        </w:tc>
        <w:tc>
          <w:tcPr>
            <w:tcW w:w="1159" w:type="dxa"/>
            <w:vAlign w:val="center"/>
          </w:tcPr>
          <w:p w14:paraId="4ABA43C2" w14:textId="77777777" w:rsidR="00D77FF8" w:rsidRPr="00706DCE" w:rsidRDefault="00D77FF8" w:rsidP="00D77FF8">
            <w:pPr>
              <w:contextualSpacing/>
              <w:jc w:val="center"/>
              <w:rPr>
                <w:rFonts w:ascii="Arial" w:hAnsi="Arial" w:cs="Arial"/>
                <w:sz w:val="20"/>
                <w:szCs w:val="20"/>
              </w:rPr>
            </w:pPr>
            <w:r w:rsidRPr="00706DCE">
              <w:rPr>
                <w:rFonts w:ascii="Arial" w:hAnsi="Arial" w:cs="Arial"/>
                <w:sz w:val="20"/>
                <w:szCs w:val="20"/>
              </w:rPr>
              <w:t>C16</w:t>
            </w:r>
          </w:p>
        </w:tc>
        <w:tc>
          <w:tcPr>
            <w:tcW w:w="1212" w:type="dxa"/>
            <w:vAlign w:val="center"/>
          </w:tcPr>
          <w:p w14:paraId="66C63D8C" w14:textId="77777777" w:rsidR="00D77FF8" w:rsidRPr="00706DCE" w:rsidRDefault="00D77FF8" w:rsidP="00D77FF8">
            <w:pPr>
              <w:contextualSpacing/>
              <w:jc w:val="center"/>
              <w:rPr>
                <w:rFonts w:ascii="Arial" w:hAnsi="Arial" w:cs="Arial"/>
                <w:sz w:val="20"/>
                <w:szCs w:val="20"/>
              </w:rPr>
            </w:pPr>
            <w:r w:rsidRPr="00706DCE">
              <w:rPr>
                <w:rFonts w:ascii="Arial" w:hAnsi="Arial" w:cs="Arial"/>
                <w:sz w:val="20"/>
                <w:szCs w:val="20"/>
              </w:rPr>
              <w:t>-</w:t>
            </w:r>
          </w:p>
        </w:tc>
        <w:tc>
          <w:tcPr>
            <w:tcW w:w="1285" w:type="dxa"/>
            <w:vAlign w:val="center"/>
          </w:tcPr>
          <w:p w14:paraId="7D465174" w14:textId="19FC47B0" w:rsidR="00D77FF8" w:rsidRPr="00836EFB" w:rsidRDefault="007C2565" w:rsidP="00D77FF8">
            <w:pPr>
              <w:contextualSpacing/>
              <w:jc w:val="center"/>
              <w:rPr>
                <w:rFonts w:ascii="Arial" w:hAnsi="Arial" w:cs="Arial"/>
                <w:sz w:val="20"/>
                <w:szCs w:val="20"/>
              </w:rPr>
            </w:pPr>
            <w:r>
              <w:rPr>
                <w:rFonts w:ascii="Arial" w:hAnsi="Arial" w:cs="Arial"/>
                <w:sz w:val="20"/>
                <w:szCs w:val="20"/>
              </w:rPr>
              <w:t>-</w:t>
            </w:r>
          </w:p>
        </w:tc>
        <w:tc>
          <w:tcPr>
            <w:tcW w:w="1106" w:type="dxa"/>
            <w:vAlign w:val="center"/>
          </w:tcPr>
          <w:p w14:paraId="5E340D0F" w14:textId="62B60E0F" w:rsidR="00D77FF8" w:rsidRPr="00836EFB" w:rsidRDefault="00D77FF8" w:rsidP="00D77FF8">
            <w:pPr>
              <w:contextualSpacing/>
              <w:jc w:val="center"/>
              <w:rPr>
                <w:rFonts w:ascii="Arial" w:hAnsi="Arial" w:cs="Arial"/>
                <w:sz w:val="20"/>
                <w:szCs w:val="20"/>
              </w:rPr>
            </w:pPr>
            <w:r w:rsidRPr="00836EFB">
              <w:rPr>
                <w:rFonts w:ascii="Arial" w:hAnsi="Arial" w:cs="Arial"/>
                <w:sz w:val="20"/>
                <w:szCs w:val="20"/>
              </w:rPr>
              <w:t>4.99</w:t>
            </w:r>
          </w:p>
        </w:tc>
        <w:tc>
          <w:tcPr>
            <w:tcW w:w="1376" w:type="dxa"/>
            <w:vAlign w:val="center"/>
          </w:tcPr>
          <w:p w14:paraId="2A7CCEC3" w14:textId="3774A168" w:rsidR="00D77FF8" w:rsidRPr="00836EFB" w:rsidRDefault="00836EFB" w:rsidP="00D77FF8">
            <w:pPr>
              <w:contextualSpacing/>
              <w:jc w:val="center"/>
              <w:rPr>
                <w:rFonts w:ascii="Arial" w:hAnsi="Arial" w:cs="Arial"/>
                <w:sz w:val="20"/>
                <w:szCs w:val="20"/>
              </w:rPr>
            </w:pPr>
            <w:r>
              <w:rPr>
                <w:rFonts w:ascii="Arial" w:hAnsi="Arial" w:cs="Arial"/>
                <w:sz w:val="20"/>
                <w:szCs w:val="20"/>
              </w:rPr>
              <w:t>6.10</w:t>
            </w:r>
          </w:p>
        </w:tc>
      </w:tr>
      <w:tr w:rsidR="00D77FF8" w:rsidRPr="00706DCE" w14:paraId="1EA51E64" w14:textId="2C3DEA52" w:rsidTr="00D77FF8">
        <w:trPr>
          <w:jc w:val="center"/>
        </w:trPr>
        <w:tc>
          <w:tcPr>
            <w:tcW w:w="2256" w:type="dxa"/>
          </w:tcPr>
          <w:p w14:paraId="44E3B101" w14:textId="77777777" w:rsidR="00D77FF8" w:rsidRPr="00706DCE" w:rsidRDefault="00D77FF8" w:rsidP="0017536E">
            <w:pPr>
              <w:contextualSpacing/>
              <w:jc w:val="both"/>
              <w:rPr>
                <w:rFonts w:ascii="Arial" w:hAnsi="Arial" w:cs="Arial"/>
                <w:sz w:val="20"/>
                <w:szCs w:val="20"/>
              </w:rPr>
            </w:pPr>
            <w:r w:rsidRPr="00706DCE">
              <w:rPr>
                <w:rFonts w:ascii="Arial" w:hAnsi="Arial" w:cs="Arial"/>
                <w:sz w:val="20"/>
                <w:szCs w:val="20"/>
              </w:rPr>
              <w:t>Stearic acid</w:t>
            </w:r>
          </w:p>
        </w:tc>
        <w:tc>
          <w:tcPr>
            <w:tcW w:w="1159" w:type="dxa"/>
            <w:vAlign w:val="center"/>
          </w:tcPr>
          <w:p w14:paraId="6E0A41A9" w14:textId="77777777" w:rsidR="00D77FF8" w:rsidRPr="00706DCE" w:rsidRDefault="00D77FF8" w:rsidP="00D77FF8">
            <w:pPr>
              <w:contextualSpacing/>
              <w:jc w:val="center"/>
              <w:rPr>
                <w:rFonts w:ascii="Arial" w:hAnsi="Arial" w:cs="Arial"/>
                <w:sz w:val="20"/>
                <w:szCs w:val="20"/>
              </w:rPr>
            </w:pPr>
            <w:r w:rsidRPr="00706DCE">
              <w:rPr>
                <w:rFonts w:ascii="Arial" w:hAnsi="Arial" w:cs="Arial"/>
                <w:sz w:val="20"/>
                <w:szCs w:val="20"/>
              </w:rPr>
              <w:t>C18</w:t>
            </w:r>
          </w:p>
        </w:tc>
        <w:tc>
          <w:tcPr>
            <w:tcW w:w="1212" w:type="dxa"/>
            <w:vAlign w:val="center"/>
          </w:tcPr>
          <w:p w14:paraId="1A85E97B" w14:textId="77777777" w:rsidR="00D77FF8" w:rsidRPr="00706DCE" w:rsidRDefault="00D77FF8" w:rsidP="00D77FF8">
            <w:pPr>
              <w:contextualSpacing/>
              <w:jc w:val="center"/>
              <w:rPr>
                <w:rFonts w:ascii="Arial" w:hAnsi="Arial" w:cs="Arial"/>
                <w:sz w:val="20"/>
                <w:szCs w:val="20"/>
              </w:rPr>
            </w:pPr>
            <w:r w:rsidRPr="00706DCE">
              <w:rPr>
                <w:rFonts w:ascii="Arial" w:hAnsi="Arial" w:cs="Arial"/>
                <w:sz w:val="20"/>
                <w:szCs w:val="20"/>
              </w:rPr>
              <w:t>1.42</w:t>
            </w:r>
          </w:p>
        </w:tc>
        <w:tc>
          <w:tcPr>
            <w:tcW w:w="1285" w:type="dxa"/>
            <w:vAlign w:val="center"/>
          </w:tcPr>
          <w:p w14:paraId="2A7BEE1F" w14:textId="710B4881" w:rsidR="00D77FF8" w:rsidRPr="00836EFB" w:rsidRDefault="007C2565" w:rsidP="00D77FF8">
            <w:pPr>
              <w:contextualSpacing/>
              <w:jc w:val="center"/>
              <w:rPr>
                <w:rFonts w:ascii="Arial" w:hAnsi="Arial" w:cs="Arial"/>
                <w:sz w:val="20"/>
                <w:szCs w:val="20"/>
              </w:rPr>
            </w:pPr>
            <w:r w:rsidRPr="007C2565">
              <w:rPr>
                <w:rFonts w:ascii="Arial" w:hAnsi="Arial" w:cs="Arial"/>
                <w:sz w:val="20"/>
                <w:szCs w:val="20"/>
              </w:rPr>
              <w:t>7.2</w:t>
            </w:r>
            <w:r>
              <w:rPr>
                <w:rFonts w:ascii="Arial" w:hAnsi="Arial" w:cs="Arial"/>
                <w:sz w:val="20"/>
                <w:szCs w:val="20"/>
              </w:rPr>
              <w:t>7</w:t>
            </w:r>
          </w:p>
        </w:tc>
        <w:tc>
          <w:tcPr>
            <w:tcW w:w="1106" w:type="dxa"/>
            <w:vAlign w:val="center"/>
          </w:tcPr>
          <w:p w14:paraId="1E5ADB8B" w14:textId="0DAFC096" w:rsidR="00D77FF8" w:rsidRPr="00836EFB" w:rsidRDefault="00D77FF8" w:rsidP="00D77FF8">
            <w:pPr>
              <w:contextualSpacing/>
              <w:jc w:val="center"/>
              <w:rPr>
                <w:rFonts w:ascii="Arial" w:hAnsi="Arial" w:cs="Arial"/>
                <w:sz w:val="20"/>
                <w:szCs w:val="20"/>
              </w:rPr>
            </w:pPr>
            <w:r w:rsidRPr="00836EFB">
              <w:rPr>
                <w:rFonts w:ascii="Arial" w:hAnsi="Arial" w:cs="Arial"/>
                <w:sz w:val="20"/>
                <w:szCs w:val="20"/>
              </w:rPr>
              <w:t>7.62</w:t>
            </w:r>
          </w:p>
        </w:tc>
        <w:tc>
          <w:tcPr>
            <w:tcW w:w="1376" w:type="dxa"/>
            <w:vAlign w:val="center"/>
          </w:tcPr>
          <w:p w14:paraId="686BE12F" w14:textId="70249DB7" w:rsidR="00D77FF8" w:rsidRPr="00836EFB" w:rsidRDefault="00836EFB" w:rsidP="00D77FF8">
            <w:pPr>
              <w:contextualSpacing/>
              <w:jc w:val="center"/>
              <w:rPr>
                <w:rFonts w:ascii="Arial" w:hAnsi="Arial" w:cs="Arial"/>
                <w:sz w:val="20"/>
                <w:szCs w:val="20"/>
              </w:rPr>
            </w:pPr>
            <w:r w:rsidRPr="00836EFB">
              <w:rPr>
                <w:rFonts w:ascii="Arial" w:hAnsi="Arial" w:cs="Arial"/>
                <w:sz w:val="20"/>
                <w:szCs w:val="20"/>
              </w:rPr>
              <w:t>7.29</w:t>
            </w:r>
          </w:p>
        </w:tc>
      </w:tr>
      <w:tr w:rsidR="00D77FF8" w:rsidRPr="00706DCE" w14:paraId="4EDDD522" w14:textId="33706A59" w:rsidTr="00D77FF8">
        <w:trPr>
          <w:jc w:val="center"/>
        </w:trPr>
        <w:tc>
          <w:tcPr>
            <w:tcW w:w="2256" w:type="dxa"/>
          </w:tcPr>
          <w:p w14:paraId="3F8BB353" w14:textId="77777777" w:rsidR="00D77FF8" w:rsidRPr="00706DCE" w:rsidRDefault="00D77FF8" w:rsidP="0017536E">
            <w:pPr>
              <w:contextualSpacing/>
              <w:jc w:val="both"/>
              <w:rPr>
                <w:rFonts w:ascii="Arial" w:hAnsi="Arial" w:cs="Arial"/>
                <w:sz w:val="20"/>
                <w:szCs w:val="20"/>
              </w:rPr>
            </w:pPr>
            <w:r w:rsidRPr="00706DCE">
              <w:rPr>
                <w:rFonts w:ascii="Arial" w:hAnsi="Arial" w:cs="Arial"/>
                <w:sz w:val="20"/>
                <w:szCs w:val="20"/>
              </w:rPr>
              <w:t>Oleic acid</w:t>
            </w:r>
          </w:p>
        </w:tc>
        <w:tc>
          <w:tcPr>
            <w:tcW w:w="1159" w:type="dxa"/>
            <w:vAlign w:val="center"/>
          </w:tcPr>
          <w:p w14:paraId="6D6B5E8D" w14:textId="77777777" w:rsidR="00D77FF8" w:rsidRPr="00706DCE" w:rsidRDefault="00D77FF8" w:rsidP="00D77FF8">
            <w:pPr>
              <w:contextualSpacing/>
              <w:jc w:val="center"/>
              <w:rPr>
                <w:rFonts w:ascii="Arial" w:hAnsi="Arial" w:cs="Arial"/>
                <w:sz w:val="20"/>
                <w:szCs w:val="20"/>
              </w:rPr>
            </w:pPr>
            <w:r w:rsidRPr="00706DCE">
              <w:rPr>
                <w:rFonts w:ascii="Arial" w:hAnsi="Arial" w:cs="Arial"/>
                <w:sz w:val="20"/>
                <w:szCs w:val="20"/>
              </w:rPr>
              <w:t>C18:1</w:t>
            </w:r>
          </w:p>
        </w:tc>
        <w:tc>
          <w:tcPr>
            <w:tcW w:w="1212" w:type="dxa"/>
            <w:vAlign w:val="center"/>
          </w:tcPr>
          <w:p w14:paraId="4B173A89" w14:textId="77777777" w:rsidR="00D77FF8" w:rsidRPr="00706DCE" w:rsidRDefault="00D77FF8" w:rsidP="00D77FF8">
            <w:pPr>
              <w:contextualSpacing/>
              <w:jc w:val="center"/>
              <w:rPr>
                <w:rFonts w:ascii="Arial" w:hAnsi="Arial" w:cs="Arial"/>
                <w:sz w:val="20"/>
                <w:szCs w:val="20"/>
              </w:rPr>
            </w:pPr>
            <w:r w:rsidRPr="00706DCE">
              <w:rPr>
                <w:rFonts w:ascii="Arial" w:hAnsi="Arial" w:cs="Arial"/>
                <w:sz w:val="20"/>
                <w:szCs w:val="20"/>
              </w:rPr>
              <w:t>7.06</w:t>
            </w:r>
          </w:p>
        </w:tc>
        <w:tc>
          <w:tcPr>
            <w:tcW w:w="1285" w:type="dxa"/>
            <w:vAlign w:val="center"/>
          </w:tcPr>
          <w:p w14:paraId="7067505F" w14:textId="29F14356" w:rsidR="00D77FF8" w:rsidRPr="00836EFB" w:rsidRDefault="007C2565" w:rsidP="00D77FF8">
            <w:pPr>
              <w:contextualSpacing/>
              <w:jc w:val="center"/>
              <w:rPr>
                <w:rFonts w:ascii="Arial" w:hAnsi="Arial" w:cs="Arial"/>
                <w:sz w:val="20"/>
                <w:szCs w:val="20"/>
              </w:rPr>
            </w:pPr>
            <w:r w:rsidRPr="007C2565">
              <w:rPr>
                <w:rFonts w:ascii="Arial" w:hAnsi="Arial" w:cs="Arial"/>
                <w:sz w:val="20"/>
                <w:szCs w:val="20"/>
              </w:rPr>
              <w:t>9.14</w:t>
            </w:r>
          </w:p>
        </w:tc>
        <w:tc>
          <w:tcPr>
            <w:tcW w:w="1106" w:type="dxa"/>
            <w:vAlign w:val="center"/>
          </w:tcPr>
          <w:p w14:paraId="552D8896" w14:textId="6F6AD481" w:rsidR="00D77FF8" w:rsidRPr="00836EFB" w:rsidRDefault="00D77FF8" w:rsidP="00D77FF8">
            <w:pPr>
              <w:contextualSpacing/>
              <w:jc w:val="center"/>
              <w:rPr>
                <w:rFonts w:ascii="Arial" w:hAnsi="Arial" w:cs="Arial"/>
                <w:sz w:val="20"/>
                <w:szCs w:val="20"/>
              </w:rPr>
            </w:pPr>
            <w:r w:rsidRPr="00836EFB">
              <w:rPr>
                <w:rFonts w:ascii="Arial" w:hAnsi="Arial" w:cs="Arial"/>
                <w:sz w:val="20"/>
                <w:szCs w:val="20"/>
              </w:rPr>
              <w:t>6.43</w:t>
            </w:r>
          </w:p>
        </w:tc>
        <w:tc>
          <w:tcPr>
            <w:tcW w:w="1376" w:type="dxa"/>
            <w:vAlign w:val="center"/>
          </w:tcPr>
          <w:p w14:paraId="6AFA8729" w14:textId="7592E779" w:rsidR="00D77FF8" w:rsidRPr="00836EFB" w:rsidRDefault="00836EFB" w:rsidP="00D77FF8">
            <w:pPr>
              <w:contextualSpacing/>
              <w:jc w:val="center"/>
              <w:rPr>
                <w:rFonts w:ascii="Arial" w:hAnsi="Arial" w:cs="Arial"/>
                <w:sz w:val="20"/>
                <w:szCs w:val="20"/>
              </w:rPr>
            </w:pPr>
            <w:r w:rsidRPr="00836EFB">
              <w:rPr>
                <w:rFonts w:ascii="Arial" w:hAnsi="Arial" w:cs="Arial"/>
                <w:sz w:val="20"/>
                <w:szCs w:val="20"/>
              </w:rPr>
              <w:t>9.15</w:t>
            </w:r>
          </w:p>
        </w:tc>
      </w:tr>
      <w:tr w:rsidR="00D77FF8" w:rsidRPr="00706DCE" w14:paraId="69F03DBA" w14:textId="4B92D24E" w:rsidTr="00D77FF8">
        <w:trPr>
          <w:jc w:val="center"/>
        </w:trPr>
        <w:tc>
          <w:tcPr>
            <w:tcW w:w="2256" w:type="dxa"/>
          </w:tcPr>
          <w:p w14:paraId="2F464FBF" w14:textId="77777777" w:rsidR="00D77FF8" w:rsidRPr="00706DCE" w:rsidRDefault="00D77FF8" w:rsidP="0017536E">
            <w:pPr>
              <w:contextualSpacing/>
              <w:jc w:val="both"/>
              <w:rPr>
                <w:rFonts w:ascii="Arial" w:hAnsi="Arial" w:cs="Arial"/>
                <w:sz w:val="20"/>
                <w:szCs w:val="20"/>
              </w:rPr>
            </w:pPr>
            <w:r w:rsidRPr="00706DCE">
              <w:rPr>
                <w:rFonts w:ascii="Arial" w:hAnsi="Arial" w:cs="Arial"/>
                <w:sz w:val="20"/>
                <w:szCs w:val="20"/>
              </w:rPr>
              <w:t>Linoleic acid</w:t>
            </w:r>
          </w:p>
        </w:tc>
        <w:tc>
          <w:tcPr>
            <w:tcW w:w="1159" w:type="dxa"/>
            <w:vAlign w:val="center"/>
          </w:tcPr>
          <w:p w14:paraId="376E166C" w14:textId="77777777" w:rsidR="00D77FF8" w:rsidRPr="00706DCE" w:rsidRDefault="00D77FF8" w:rsidP="00D77FF8">
            <w:pPr>
              <w:contextualSpacing/>
              <w:jc w:val="center"/>
              <w:rPr>
                <w:rFonts w:ascii="Arial" w:hAnsi="Arial" w:cs="Arial"/>
                <w:sz w:val="20"/>
                <w:szCs w:val="20"/>
              </w:rPr>
            </w:pPr>
            <w:r w:rsidRPr="00706DCE">
              <w:rPr>
                <w:rFonts w:ascii="Arial" w:hAnsi="Arial" w:cs="Arial"/>
                <w:sz w:val="20"/>
                <w:szCs w:val="20"/>
              </w:rPr>
              <w:t>C18:2</w:t>
            </w:r>
          </w:p>
        </w:tc>
        <w:tc>
          <w:tcPr>
            <w:tcW w:w="1212" w:type="dxa"/>
            <w:vAlign w:val="center"/>
          </w:tcPr>
          <w:p w14:paraId="155F0461" w14:textId="77777777" w:rsidR="00D77FF8" w:rsidRPr="00706DCE" w:rsidRDefault="00D77FF8" w:rsidP="00D77FF8">
            <w:pPr>
              <w:contextualSpacing/>
              <w:jc w:val="center"/>
              <w:rPr>
                <w:rFonts w:ascii="Arial" w:hAnsi="Arial" w:cs="Arial"/>
                <w:sz w:val="20"/>
                <w:szCs w:val="20"/>
              </w:rPr>
            </w:pPr>
            <w:r w:rsidRPr="00706DCE">
              <w:rPr>
                <w:rFonts w:ascii="Arial" w:hAnsi="Arial" w:cs="Arial"/>
                <w:sz w:val="20"/>
                <w:szCs w:val="20"/>
              </w:rPr>
              <w:t>18.82</w:t>
            </w:r>
          </w:p>
        </w:tc>
        <w:tc>
          <w:tcPr>
            <w:tcW w:w="1285" w:type="dxa"/>
            <w:vAlign w:val="center"/>
          </w:tcPr>
          <w:p w14:paraId="3484ECDA" w14:textId="790836DC" w:rsidR="00D77FF8" w:rsidRPr="00836EFB" w:rsidRDefault="007C2565" w:rsidP="00D77FF8">
            <w:pPr>
              <w:contextualSpacing/>
              <w:jc w:val="center"/>
              <w:rPr>
                <w:rFonts w:ascii="Arial" w:hAnsi="Arial" w:cs="Arial"/>
                <w:sz w:val="20"/>
                <w:szCs w:val="20"/>
              </w:rPr>
            </w:pPr>
            <w:r w:rsidRPr="007C2565">
              <w:rPr>
                <w:rFonts w:ascii="Arial" w:hAnsi="Arial" w:cs="Arial"/>
                <w:sz w:val="20"/>
                <w:szCs w:val="20"/>
              </w:rPr>
              <w:t>9.52</w:t>
            </w:r>
          </w:p>
        </w:tc>
        <w:tc>
          <w:tcPr>
            <w:tcW w:w="1106" w:type="dxa"/>
            <w:vAlign w:val="center"/>
          </w:tcPr>
          <w:p w14:paraId="7937BA3A" w14:textId="468341ED" w:rsidR="00D77FF8" w:rsidRPr="00836EFB" w:rsidRDefault="00D77FF8" w:rsidP="00D77FF8">
            <w:pPr>
              <w:contextualSpacing/>
              <w:jc w:val="center"/>
              <w:rPr>
                <w:rFonts w:ascii="Arial" w:hAnsi="Arial" w:cs="Arial"/>
                <w:sz w:val="20"/>
                <w:szCs w:val="20"/>
              </w:rPr>
            </w:pPr>
            <w:r w:rsidRPr="00836EFB">
              <w:rPr>
                <w:rFonts w:ascii="Arial" w:hAnsi="Arial" w:cs="Arial"/>
                <w:sz w:val="20"/>
                <w:szCs w:val="20"/>
              </w:rPr>
              <w:t>5.45</w:t>
            </w:r>
          </w:p>
        </w:tc>
        <w:tc>
          <w:tcPr>
            <w:tcW w:w="1376" w:type="dxa"/>
            <w:vAlign w:val="center"/>
          </w:tcPr>
          <w:p w14:paraId="76241DC7" w14:textId="27E62590" w:rsidR="00D77FF8" w:rsidRPr="00836EFB" w:rsidRDefault="00836EFB" w:rsidP="00D77FF8">
            <w:pPr>
              <w:contextualSpacing/>
              <w:jc w:val="center"/>
              <w:rPr>
                <w:rFonts w:ascii="Arial" w:hAnsi="Arial" w:cs="Arial"/>
                <w:sz w:val="20"/>
                <w:szCs w:val="20"/>
              </w:rPr>
            </w:pPr>
            <w:r w:rsidRPr="00836EFB">
              <w:rPr>
                <w:rFonts w:ascii="Arial" w:hAnsi="Arial" w:cs="Arial"/>
                <w:sz w:val="20"/>
                <w:szCs w:val="20"/>
              </w:rPr>
              <w:t>9.4</w:t>
            </w:r>
            <w:r>
              <w:rPr>
                <w:rFonts w:ascii="Arial" w:hAnsi="Arial" w:cs="Arial"/>
                <w:sz w:val="20"/>
                <w:szCs w:val="20"/>
              </w:rPr>
              <w:t>2</w:t>
            </w:r>
          </w:p>
        </w:tc>
      </w:tr>
      <w:tr w:rsidR="00D77FF8" w:rsidRPr="00706DCE" w14:paraId="7AD72519" w14:textId="035FB647" w:rsidTr="00D77FF8">
        <w:trPr>
          <w:jc w:val="center"/>
        </w:trPr>
        <w:tc>
          <w:tcPr>
            <w:tcW w:w="2256" w:type="dxa"/>
          </w:tcPr>
          <w:p w14:paraId="407CEFBF" w14:textId="77777777" w:rsidR="00D77FF8" w:rsidRPr="00706DCE" w:rsidRDefault="00D77FF8" w:rsidP="0017536E">
            <w:pPr>
              <w:contextualSpacing/>
              <w:jc w:val="both"/>
              <w:rPr>
                <w:rFonts w:ascii="Arial" w:hAnsi="Arial" w:cs="Arial"/>
                <w:sz w:val="20"/>
                <w:szCs w:val="20"/>
              </w:rPr>
            </w:pPr>
            <w:r w:rsidRPr="00706DCE">
              <w:rPr>
                <w:rFonts w:ascii="Arial" w:hAnsi="Arial" w:cs="Arial"/>
                <w:sz w:val="20"/>
                <w:szCs w:val="20"/>
              </w:rPr>
              <w:t>Linolenic acid</w:t>
            </w:r>
          </w:p>
        </w:tc>
        <w:tc>
          <w:tcPr>
            <w:tcW w:w="1159" w:type="dxa"/>
            <w:vAlign w:val="center"/>
          </w:tcPr>
          <w:p w14:paraId="140650CD" w14:textId="77777777" w:rsidR="00D77FF8" w:rsidRPr="00706DCE" w:rsidRDefault="00D77FF8" w:rsidP="00D77FF8">
            <w:pPr>
              <w:contextualSpacing/>
              <w:jc w:val="center"/>
              <w:rPr>
                <w:rFonts w:ascii="Arial" w:hAnsi="Arial" w:cs="Arial"/>
                <w:sz w:val="20"/>
                <w:szCs w:val="20"/>
              </w:rPr>
            </w:pPr>
            <w:r w:rsidRPr="00706DCE">
              <w:rPr>
                <w:rFonts w:ascii="Arial" w:hAnsi="Arial" w:cs="Arial"/>
                <w:sz w:val="20"/>
                <w:szCs w:val="20"/>
              </w:rPr>
              <w:t>C18:3</w:t>
            </w:r>
          </w:p>
        </w:tc>
        <w:tc>
          <w:tcPr>
            <w:tcW w:w="1212" w:type="dxa"/>
            <w:vAlign w:val="center"/>
          </w:tcPr>
          <w:p w14:paraId="515676DA" w14:textId="77777777" w:rsidR="00D77FF8" w:rsidRPr="00706DCE" w:rsidRDefault="00D77FF8" w:rsidP="00D77FF8">
            <w:pPr>
              <w:contextualSpacing/>
              <w:jc w:val="center"/>
              <w:rPr>
                <w:rFonts w:ascii="Arial" w:hAnsi="Arial" w:cs="Arial"/>
                <w:sz w:val="20"/>
                <w:szCs w:val="20"/>
              </w:rPr>
            </w:pPr>
            <w:r w:rsidRPr="00706DCE">
              <w:rPr>
                <w:rFonts w:ascii="Arial" w:hAnsi="Arial" w:cs="Arial"/>
                <w:sz w:val="20"/>
                <w:szCs w:val="20"/>
              </w:rPr>
              <w:t>14.69</w:t>
            </w:r>
          </w:p>
        </w:tc>
        <w:tc>
          <w:tcPr>
            <w:tcW w:w="1285" w:type="dxa"/>
            <w:vAlign w:val="center"/>
          </w:tcPr>
          <w:p w14:paraId="2CDAFFDE" w14:textId="4CD0A326" w:rsidR="00D77FF8" w:rsidRPr="00836EFB" w:rsidRDefault="007C2565" w:rsidP="00D77FF8">
            <w:pPr>
              <w:contextualSpacing/>
              <w:jc w:val="center"/>
              <w:rPr>
                <w:rFonts w:ascii="Arial" w:hAnsi="Arial" w:cs="Arial"/>
                <w:sz w:val="20"/>
                <w:szCs w:val="20"/>
              </w:rPr>
            </w:pPr>
            <w:r w:rsidRPr="007C2565">
              <w:rPr>
                <w:rFonts w:ascii="Arial" w:hAnsi="Arial" w:cs="Arial"/>
                <w:sz w:val="20"/>
                <w:szCs w:val="20"/>
              </w:rPr>
              <w:t>9.9</w:t>
            </w:r>
            <w:r>
              <w:rPr>
                <w:rFonts w:ascii="Arial" w:hAnsi="Arial" w:cs="Arial"/>
                <w:sz w:val="20"/>
                <w:szCs w:val="20"/>
              </w:rPr>
              <w:t>8</w:t>
            </w:r>
          </w:p>
        </w:tc>
        <w:tc>
          <w:tcPr>
            <w:tcW w:w="1106" w:type="dxa"/>
            <w:vAlign w:val="center"/>
          </w:tcPr>
          <w:p w14:paraId="7D1A73BD" w14:textId="6A7F332C" w:rsidR="00D77FF8" w:rsidRPr="00836EFB" w:rsidRDefault="00D77FF8" w:rsidP="00D77FF8">
            <w:pPr>
              <w:contextualSpacing/>
              <w:jc w:val="center"/>
              <w:rPr>
                <w:rFonts w:ascii="Arial" w:hAnsi="Arial" w:cs="Arial"/>
                <w:sz w:val="20"/>
                <w:szCs w:val="20"/>
              </w:rPr>
            </w:pPr>
            <w:r w:rsidRPr="00836EFB">
              <w:rPr>
                <w:rFonts w:ascii="Arial" w:hAnsi="Arial" w:cs="Arial"/>
                <w:sz w:val="20"/>
                <w:szCs w:val="20"/>
              </w:rPr>
              <w:t>17.37</w:t>
            </w:r>
          </w:p>
        </w:tc>
        <w:tc>
          <w:tcPr>
            <w:tcW w:w="1376" w:type="dxa"/>
            <w:vAlign w:val="center"/>
          </w:tcPr>
          <w:p w14:paraId="60D7E8C0" w14:textId="3CF9BE7D" w:rsidR="00D77FF8" w:rsidRPr="00836EFB" w:rsidRDefault="00836EFB" w:rsidP="00D77FF8">
            <w:pPr>
              <w:contextualSpacing/>
              <w:jc w:val="center"/>
              <w:rPr>
                <w:rFonts w:ascii="Arial" w:hAnsi="Arial" w:cs="Arial"/>
                <w:sz w:val="20"/>
                <w:szCs w:val="20"/>
              </w:rPr>
            </w:pPr>
            <w:r w:rsidRPr="00836EFB">
              <w:rPr>
                <w:rFonts w:ascii="Arial" w:hAnsi="Arial" w:cs="Arial"/>
                <w:sz w:val="20"/>
                <w:szCs w:val="20"/>
              </w:rPr>
              <w:t>10.00</w:t>
            </w:r>
          </w:p>
        </w:tc>
      </w:tr>
      <w:tr w:rsidR="00D77FF8" w:rsidRPr="00706DCE" w14:paraId="348B8E24" w14:textId="049D971F" w:rsidTr="00D77FF8">
        <w:trPr>
          <w:jc w:val="center"/>
        </w:trPr>
        <w:tc>
          <w:tcPr>
            <w:tcW w:w="2256" w:type="dxa"/>
          </w:tcPr>
          <w:p w14:paraId="2AB731A2" w14:textId="77777777" w:rsidR="00D77FF8" w:rsidRPr="00706DCE" w:rsidRDefault="00D77FF8" w:rsidP="0017536E">
            <w:pPr>
              <w:contextualSpacing/>
              <w:jc w:val="both"/>
              <w:rPr>
                <w:rFonts w:ascii="Arial" w:hAnsi="Arial" w:cs="Arial"/>
                <w:sz w:val="20"/>
                <w:szCs w:val="20"/>
              </w:rPr>
            </w:pPr>
            <w:proofErr w:type="spellStart"/>
            <w:r w:rsidRPr="00706DCE">
              <w:rPr>
                <w:rFonts w:ascii="Arial" w:hAnsi="Arial" w:cs="Arial"/>
                <w:sz w:val="20"/>
                <w:szCs w:val="20"/>
              </w:rPr>
              <w:t>Eicosanoic</w:t>
            </w:r>
            <w:proofErr w:type="spellEnd"/>
            <w:r w:rsidRPr="00706DCE">
              <w:rPr>
                <w:rFonts w:ascii="Arial" w:hAnsi="Arial" w:cs="Arial"/>
                <w:sz w:val="20"/>
                <w:szCs w:val="20"/>
              </w:rPr>
              <w:t xml:space="preserve"> acid</w:t>
            </w:r>
          </w:p>
        </w:tc>
        <w:tc>
          <w:tcPr>
            <w:tcW w:w="1159" w:type="dxa"/>
            <w:vAlign w:val="center"/>
          </w:tcPr>
          <w:p w14:paraId="50F7EFF0" w14:textId="77777777" w:rsidR="00D77FF8" w:rsidRPr="00706DCE" w:rsidRDefault="00D77FF8" w:rsidP="00D77FF8">
            <w:pPr>
              <w:contextualSpacing/>
              <w:jc w:val="center"/>
              <w:rPr>
                <w:rFonts w:ascii="Arial" w:hAnsi="Arial" w:cs="Arial"/>
                <w:sz w:val="20"/>
                <w:szCs w:val="20"/>
              </w:rPr>
            </w:pPr>
            <w:r w:rsidRPr="00706DCE">
              <w:rPr>
                <w:rFonts w:ascii="Arial" w:hAnsi="Arial" w:cs="Arial"/>
                <w:sz w:val="20"/>
                <w:szCs w:val="20"/>
              </w:rPr>
              <w:t>C20</w:t>
            </w:r>
          </w:p>
        </w:tc>
        <w:tc>
          <w:tcPr>
            <w:tcW w:w="1212" w:type="dxa"/>
            <w:vAlign w:val="center"/>
          </w:tcPr>
          <w:p w14:paraId="52BCAD18" w14:textId="77777777" w:rsidR="00D77FF8" w:rsidRPr="00706DCE" w:rsidRDefault="00D77FF8" w:rsidP="00D77FF8">
            <w:pPr>
              <w:contextualSpacing/>
              <w:jc w:val="center"/>
              <w:rPr>
                <w:rFonts w:ascii="Arial" w:hAnsi="Arial" w:cs="Arial"/>
                <w:sz w:val="20"/>
                <w:szCs w:val="20"/>
              </w:rPr>
            </w:pPr>
            <w:r w:rsidRPr="00706DCE">
              <w:rPr>
                <w:rFonts w:ascii="Arial" w:hAnsi="Arial" w:cs="Arial"/>
                <w:sz w:val="20"/>
                <w:szCs w:val="20"/>
              </w:rPr>
              <w:t>-</w:t>
            </w:r>
          </w:p>
        </w:tc>
        <w:tc>
          <w:tcPr>
            <w:tcW w:w="1285" w:type="dxa"/>
            <w:vAlign w:val="center"/>
          </w:tcPr>
          <w:p w14:paraId="79BD9343" w14:textId="3D4F873E" w:rsidR="00D77FF8" w:rsidRPr="00836EFB" w:rsidRDefault="007C2565" w:rsidP="00D77FF8">
            <w:pPr>
              <w:contextualSpacing/>
              <w:jc w:val="center"/>
              <w:rPr>
                <w:rFonts w:ascii="Arial" w:hAnsi="Arial" w:cs="Arial"/>
                <w:sz w:val="20"/>
                <w:szCs w:val="20"/>
              </w:rPr>
            </w:pPr>
            <w:r>
              <w:rPr>
                <w:rFonts w:ascii="Arial" w:hAnsi="Arial" w:cs="Arial"/>
                <w:sz w:val="20"/>
                <w:szCs w:val="20"/>
              </w:rPr>
              <w:t>-</w:t>
            </w:r>
          </w:p>
        </w:tc>
        <w:tc>
          <w:tcPr>
            <w:tcW w:w="1106" w:type="dxa"/>
            <w:vAlign w:val="center"/>
          </w:tcPr>
          <w:p w14:paraId="2B494291" w14:textId="6896BC2A" w:rsidR="00D77FF8" w:rsidRPr="00836EFB" w:rsidRDefault="00D77FF8" w:rsidP="00D77FF8">
            <w:pPr>
              <w:contextualSpacing/>
              <w:jc w:val="center"/>
              <w:rPr>
                <w:rFonts w:ascii="Arial" w:hAnsi="Arial" w:cs="Arial"/>
                <w:sz w:val="20"/>
                <w:szCs w:val="20"/>
              </w:rPr>
            </w:pPr>
            <w:r w:rsidRPr="00836EFB">
              <w:rPr>
                <w:rFonts w:ascii="Arial" w:hAnsi="Arial" w:cs="Arial"/>
                <w:sz w:val="20"/>
                <w:szCs w:val="20"/>
              </w:rPr>
              <w:t>1.98</w:t>
            </w:r>
          </w:p>
        </w:tc>
        <w:tc>
          <w:tcPr>
            <w:tcW w:w="1376" w:type="dxa"/>
            <w:vAlign w:val="center"/>
          </w:tcPr>
          <w:p w14:paraId="31A8DB00" w14:textId="55EC2DF6" w:rsidR="00D77FF8" w:rsidRPr="00836EFB" w:rsidRDefault="00836EFB" w:rsidP="00D77FF8">
            <w:pPr>
              <w:contextualSpacing/>
              <w:jc w:val="center"/>
              <w:rPr>
                <w:rFonts w:ascii="Arial" w:hAnsi="Arial" w:cs="Arial"/>
                <w:sz w:val="20"/>
                <w:szCs w:val="20"/>
              </w:rPr>
            </w:pPr>
            <w:r w:rsidRPr="00836EFB">
              <w:rPr>
                <w:rFonts w:ascii="Arial" w:hAnsi="Arial" w:cs="Arial"/>
                <w:sz w:val="20"/>
                <w:szCs w:val="20"/>
              </w:rPr>
              <w:t>10.60</w:t>
            </w:r>
          </w:p>
        </w:tc>
      </w:tr>
      <w:tr w:rsidR="00D77FF8" w:rsidRPr="00706DCE" w14:paraId="76F086D3" w14:textId="21F98B26" w:rsidTr="00D77FF8">
        <w:trPr>
          <w:jc w:val="center"/>
        </w:trPr>
        <w:tc>
          <w:tcPr>
            <w:tcW w:w="2256" w:type="dxa"/>
          </w:tcPr>
          <w:p w14:paraId="68D8D045" w14:textId="77777777" w:rsidR="00D77FF8" w:rsidRPr="00706DCE" w:rsidRDefault="00D77FF8" w:rsidP="0017536E">
            <w:pPr>
              <w:contextualSpacing/>
              <w:jc w:val="both"/>
              <w:rPr>
                <w:rFonts w:ascii="Arial" w:hAnsi="Arial" w:cs="Arial"/>
                <w:sz w:val="20"/>
                <w:szCs w:val="20"/>
              </w:rPr>
            </w:pPr>
            <w:r w:rsidRPr="00706DCE">
              <w:rPr>
                <w:rFonts w:ascii="Arial" w:hAnsi="Arial" w:cs="Arial"/>
                <w:sz w:val="20"/>
                <w:szCs w:val="20"/>
              </w:rPr>
              <w:t>Arachidonic acid</w:t>
            </w:r>
          </w:p>
        </w:tc>
        <w:tc>
          <w:tcPr>
            <w:tcW w:w="1159" w:type="dxa"/>
            <w:vAlign w:val="center"/>
          </w:tcPr>
          <w:p w14:paraId="60BAD50F" w14:textId="77777777" w:rsidR="00D77FF8" w:rsidRPr="00706DCE" w:rsidRDefault="00D77FF8" w:rsidP="00D77FF8">
            <w:pPr>
              <w:contextualSpacing/>
              <w:jc w:val="center"/>
              <w:rPr>
                <w:rFonts w:ascii="Arial" w:hAnsi="Arial" w:cs="Arial"/>
                <w:sz w:val="20"/>
                <w:szCs w:val="20"/>
              </w:rPr>
            </w:pPr>
            <w:r w:rsidRPr="00706DCE">
              <w:rPr>
                <w:rFonts w:ascii="Arial" w:hAnsi="Arial" w:cs="Arial"/>
                <w:sz w:val="20"/>
                <w:szCs w:val="20"/>
              </w:rPr>
              <w:t>C20:4</w:t>
            </w:r>
          </w:p>
        </w:tc>
        <w:tc>
          <w:tcPr>
            <w:tcW w:w="1212" w:type="dxa"/>
            <w:vAlign w:val="center"/>
          </w:tcPr>
          <w:p w14:paraId="7A8C9329" w14:textId="77777777" w:rsidR="00D77FF8" w:rsidRPr="00706DCE" w:rsidRDefault="00D77FF8" w:rsidP="00D77FF8">
            <w:pPr>
              <w:contextualSpacing/>
              <w:jc w:val="center"/>
              <w:rPr>
                <w:rFonts w:ascii="Arial" w:hAnsi="Arial" w:cs="Arial"/>
                <w:sz w:val="20"/>
                <w:szCs w:val="20"/>
              </w:rPr>
            </w:pPr>
            <w:r w:rsidRPr="00706DCE">
              <w:rPr>
                <w:rFonts w:ascii="Arial" w:hAnsi="Arial" w:cs="Arial"/>
                <w:sz w:val="20"/>
                <w:szCs w:val="20"/>
              </w:rPr>
              <w:t>3.01</w:t>
            </w:r>
          </w:p>
        </w:tc>
        <w:tc>
          <w:tcPr>
            <w:tcW w:w="1285" w:type="dxa"/>
            <w:vAlign w:val="center"/>
          </w:tcPr>
          <w:p w14:paraId="14256CA6" w14:textId="4585353A" w:rsidR="00D77FF8" w:rsidRPr="00836EFB" w:rsidRDefault="007C2565" w:rsidP="00D77FF8">
            <w:pPr>
              <w:contextualSpacing/>
              <w:jc w:val="center"/>
              <w:rPr>
                <w:rFonts w:ascii="Arial" w:hAnsi="Arial" w:cs="Arial"/>
                <w:sz w:val="20"/>
                <w:szCs w:val="20"/>
              </w:rPr>
            </w:pPr>
            <w:r w:rsidRPr="007C2565">
              <w:rPr>
                <w:rFonts w:ascii="Arial" w:hAnsi="Arial" w:cs="Arial"/>
                <w:sz w:val="20"/>
                <w:szCs w:val="20"/>
              </w:rPr>
              <w:t>10.78</w:t>
            </w:r>
          </w:p>
        </w:tc>
        <w:tc>
          <w:tcPr>
            <w:tcW w:w="1106" w:type="dxa"/>
            <w:vAlign w:val="center"/>
          </w:tcPr>
          <w:p w14:paraId="7DF68F9D" w14:textId="78C762C7" w:rsidR="00D77FF8" w:rsidRPr="00836EFB" w:rsidRDefault="00D77FF8" w:rsidP="00D77FF8">
            <w:pPr>
              <w:contextualSpacing/>
              <w:jc w:val="center"/>
              <w:rPr>
                <w:rFonts w:ascii="Arial" w:hAnsi="Arial" w:cs="Arial"/>
                <w:sz w:val="20"/>
                <w:szCs w:val="20"/>
              </w:rPr>
            </w:pPr>
            <w:r w:rsidRPr="00836EFB">
              <w:rPr>
                <w:rFonts w:ascii="Arial" w:hAnsi="Arial" w:cs="Arial"/>
                <w:sz w:val="20"/>
                <w:szCs w:val="20"/>
              </w:rPr>
              <w:t>3.77</w:t>
            </w:r>
          </w:p>
        </w:tc>
        <w:tc>
          <w:tcPr>
            <w:tcW w:w="1376" w:type="dxa"/>
            <w:vAlign w:val="center"/>
          </w:tcPr>
          <w:p w14:paraId="5F545FB0" w14:textId="5E12A1F3" w:rsidR="00D77FF8" w:rsidRPr="00836EFB" w:rsidRDefault="00836EFB" w:rsidP="00D77FF8">
            <w:pPr>
              <w:contextualSpacing/>
              <w:jc w:val="center"/>
              <w:rPr>
                <w:rFonts w:ascii="Arial" w:hAnsi="Arial" w:cs="Arial"/>
                <w:sz w:val="20"/>
                <w:szCs w:val="20"/>
              </w:rPr>
            </w:pPr>
            <w:r w:rsidRPr="00836EFB">
              <w:rPr>
                <w:rFonts w:ascii="Arial" w:hAnsi="Arial" w:cs="Arial"/>
                <w:sz w:val="20"/>
                <w:szCs w:val="20"/>
              </w:rPr>
              <w:t>10.7</w:t>
            </w:r>
            <w:r>
              <w:rPr>
                <w:rFonts w:ascii="Arial" w:hAnsi="Arial" w:cs="Arial"/>
                <w:sz w:val="20"/>
                <w:szCs w:val="20"/>
              </w:rPr>
              <w:t>7</w:t>
            </w:r>
          </w:p>
        </w:tc>
      </w:tr>
      <w:tr w:rsidR="00D77FF8" w:rsidRPr="00706DCE" w14:paraId="3340FB55" w14:textId="4BB2D469" w:rsidTr="00D77FF8">
        <w:trPr>
          <w:jc w:val="center"/>
        </w:trPr>
        <w:tc>
          <w:tcPr>
            <w:tcW w:w="2256" w:type="dxa"/>
          </w:tcPr>
          <w:p w14:paraId="0471322F" w14:textId="77777777" w:rsidR="00D77FF8" w:rsidRPr="00706DCE" w:rsidRDefault="00D77FF8" w:rsidP="0017536E">
            <w:pPr>
              <w:contextualSpacing/>
              <w:jc w:val="both"/>
              <w:rPr>
                <w:rFonts w:ascii="Arial" w:hAnsi="Arial" w:cs="Arial"/>
                <w:sz w:val="20"/>
                <w:szCs w:val="20"/>
              </w:rPr>
            </w:pPr>
            <w:proofErr w:type="spellStart"/>
            <w:r w:rsidRPr="00706DCE">
              <w:rPr>
                <w:rFonts w:ascii="Arial" w:hAnsi="Arial" w:cs="Arial"/>
                <w:sz w:val="20"/>
                <w:szCs w:val="20"/>
              </w:rPr>
              <w:t>Docosanoic</w:t>
            </w:r>
            <w:proofErr w:type="spellEnd"/>
            <w:r w:rsidRPr="00706DCE">
              <w:rPr>
                <w:rFonts w:ascii="Arial" w:hAnsi="Arial" w:cs="Arial"/>
                <w:sz w:val="20"/>
                <w:szCs w:val="20"/>
              </w:rPr>
              <w:t xml:space="preserve"> acid</w:t>
            </w:r>
          </w:p>
        </w:tc>
        <w:tc>
          <w:tcPr>
            <w:tcW w:w="1159" w:type="dxa"/>
            <w:vAlign w:val="center"/>
          </w:tcPr>
          <w:p w14:paraId="059EED59" w14:textId="77777777" w:rsidR="00D77FF8" w:rsidRPr="00706DCE" w:rsidRDefault="00D77FF8" w:rsidP="00D77FF8">
            <w:pPr>
              <w:contextualSpacing/>
              <w:jc w:val="center"/>
              <w:rPr>
                <w:rFonts w:ascii="Arial" w:hAnsi="Arial" w:cs="Arial"/>
                <w:sz w:val="20"/>
                <w:szCs w:val="20"/>
              </w:rPr>
            </w:pPr>
            <w:r w:rsidRPr="00706DCE">
              <w:rPr>
                <w:rFonts w:ascii="Arial" w:hAnsi="Arial" w:cs="Arial"/>
                <w:sz w:val="20"/>
                <w:szCs w:val="20"/>
              </w:rPr>
              <w:t>C22</w:t>
            </w:r>
          </w:p>
        </w:tc>
        <w:tc>
          <w:tcPr>
            <w:tcW w:w="1212" w:type="dxa"/>
            <w:vAlign w:val="center"/>
          </w:tcPr>
          <w:p w14:paraId="3D04329E" w14:textId="77777777" w:rsidR="00D77FF8" w:rsidRPr="00706DCE" w:rsidRDefault="00D77FF8" w:rsidP="00D77FF8">
            <w:pPr>
              <w:contextualSpacing/>
              <w:jc w:val="center"/>
              <w:rPr>
                <w:rFonts w:ascii="Arial" w:hAnsi="Arial" w:cs="Arial"/>
                <w:sz w:val="20"/>
                <w:szCs w:val="20"/>
              </w:rPr>
            </w:pPr>
            <w:r w:rsidRPr="00706DCE">
              <w:rPr>
                <w:rFonts w:ascii="Arial" w:hAnsi="Arial" w:cs="Arial"/>
                <w:sz w:val="20"/>
                <w:szCs w:val="20"/>
              </w:rPr>
              <w:t>1.50</w:t>
            </w:r>
          </w:p>
        </w:tc>
        <w:tc>
          <w:tcPr>
            <w:tcW w:w="1285" w:type="dxa"/>
            <w:vAlign w:val="center"/>
          </w:tcPr>
          <w:p w14:paraId="12A1333E" w14:textId="3963BBD5" w:rsidR="00D77FF8" w:rsidRPr="00836EFB" w:rsidRDefault="007C2565" w:rsidP="00D77FF8">
            <w:pPr>
              <w:contextualSpacing/>
              <w:jc w:val="center"/>
              <w:rPr>
                <w:rFonts w:ascii="Arial" w:hAnsi="Arial" w:cs="Arial"/>
                <w:sz w:val="20"/>
                <w:szCs w:val="20"/>
              </w:rPr>
            </w:pPr>
            <w:r w:rsidRPr="007C2565">
              <w:rPr>
                <w:rFonts w:ascii="Arial" w:hAnsi="Arial" w:cs="Arial"/>
                <w:sz w:val="20"/>
                <w:szCs w:val="20"/>
              </w:rPr>
              <w:t>12.5</w:t>
            </w:r>
            <w:r>
              <w:rPr>
                <w:rFonts w:ascii="Arial" w:hAnsi="Arial" w:cs="Arial"/>
                <w:sz w:val="20"/>
                <w:szCs w:val="20"/>
              </w:rPr>
              <w:t>3</w:t>
            </w:r>
          </w:p>
        </w:tc>
        <w:tc>
          <w:tcPr>
            <w:tcW w:w="1106" w:type="dxa"/>
            <w:vAlign w:val="center"/>
          </w:tcPr>
          <w:p w14:paraId="6516B595" w14:textId="7AC5D59F" w:rsidR="00D77FF8" w:rsidRPr="00836EFB" w:rsidRDefault="00D77FF8" w:rsidP="00D77FF8">
            <w:pPr>
              <w:contextualSpacing/>
              <w:jc w:val="center"/>
              <w:rPr>
                <w:rFonts w:ascii="Arial" w:hAnsi="Arial" w:cs="Arial"/>
                <w:sz w:val="20"/>
                <w:szCs w:val="20"/>
              </w:rPr>
            </w:pPr>
            <w:r w:rsidRPr="00836EFB">
              <w:rPr>
                <w:rFonts w:ascii="Arial" w:hAnsi="Arial" w:cs="Arial"/>
                <w:sz w:val="20"/>
                <w:szCs w:val="20"/>
              </w:rPr>
              <w:t>1.96</w:t>
            </w:r>
          </w:p>
        </w:tc>
        <w:tc>
          <w:tcPr>
            <w:tcW w:w="1376" w:type="dxa"/>
            <w:vAlign w:val="center"/>
          </w:tcPr>
          <w:p w14:paraId="4FF707D1" w14:textId="01447E1E" w:rsidR="00D77FF8" w:rsidRPr="00836EFB" w:rsidRDefault="00836EFB" w:rsidP="00D77FF8">
            <w:pPr>
              <w:contextualSpacing/>
              <w:jc w:val="center"/>
              <w:rPr>
                <w:rFonts w:ascii="Arial" w:hAnsi="Arial" w:cs="Arial"/>
                <w:sz w:val="20"/>
                <w:szCs w:val="20"/>
              </w:rPr>
            </w:pPr>
            <w:r w:rsidRPr="00836EFB">
              <w:rPr>
                <w:rFonts w:ascii="Arial" w:hAnsi="Arial" w:cs="Arial"/>
                <w:sz w:val="20"/>
                <w:szCs w:val="20"/>
              </w:rPr>
              <w:t>11.4</w:t>
            </w:r>
            <w:r>
              <w:rPr>
                <w:rFonts w:ascii="Arial" w:hAnsi="Arial" w:cs="Arial"/>
                <w:sz w:val="20"/>
                <w:szCs w:val="20"/>
              </w:rPr>
              <w:t>3</w:t>
            </w:r>
          </w:p>
        </w:tc>
      </w:tr>
      <w:tr w:rsidR="00D77FF8" w:rsidRPr="00706DCE" w14:paraId="0E70702A" w14:textId="55DB5BFE" w:rsidTr="00D77FF8">
        <w:trPr>
          <w:jc w:val="center"/>
        </w:trPr>
        <w:tc>
          <w:tcPr>
            <w:tcW w:w="2256" w:type="dxa"/>
          </w:tcPr>
          <w:p w14:paraId="5EF6BC6D" w14:textId="77777777" w:rsidR="00D77FF8" w:rsidRPr="00706DCE" w:rsidRDefault="00D77FF8" w:rsidP="0017536E">
            <w:pPr>
              <w:contextualSpacing/>
              <w:jc w:val="both"/>
              <w:rPr>
                <w:rFonts w:ascii="Arial" w:hAnsi="Arial" w:cs="Arial"/>
                <w:sz w:val="20"/>
                <w:szCs w:val="20"/>
              </w:rPr>
            </w:pPr>
            <w:proofErr w:type="spellStart"/>
            <w:r w:rsidRPr="00706DCE">
              <w:rPr>
                <w:rFonts w:ascii="Arial" w:hAnsi="Arial" w:cs="Arial"/>
                <w:sz w:val="20"/>
                <w:szCs w:val="20"/>
              </w:rPr>
              <w:t>Docosatetraenoic</w:t>
            </w:r>
            <w:proofErr w:type="spellEnd"/>
            <w:r w:rsidRPr="00706DCE">
              <w:rPr>
                <w:rFonts w:ascii="Arial" w:hAnsi="Arial" w:cs="Arial"/>
                <w:sz w:val="20"/>
                <w:szCs w:val="20"/>
              </w:rPr>
              <w:t xml:space="preserve"> acid</w:t>
            </w:r>
          </w:p>
        </w:tc>
        <w:tc>
          <w:tcPr>
            <w:tcW w:w="1159" w:type="dxa"/>
            <w:vAlign w:val="center"/>
          </w:tcPr>
          <w:p w14:paraId="3AA7858D" w14:textId="77777777" w:rsidR="00D77FF8" w:rsidRPr="00706DCE" w:rsidRDefault="00D77FF8" w:rsidP="00D77FF8">
            <w:pPr>
              <w:contextualSpacing/>
              <w:jc w:val="center"/>
              <w:rPr>
                <w:rFonts w:ascii="Arial" w:hAnsi="Arial" w:cs="Arial"/>
                <w:sz w:val="20"/>
                <w:szCs w:val="20"/>
              </w:rPr>
            </w:pPr>
            <w:r w:rsidRPr="00706DCE">
              <w:rPr>
                <w:rFonts w:ascii="Arial" w:hAnsi="Arial" w:cs="Arial"/>
                <w:sz w:val="20"/>
                <w:szCs w:val="20"/>
              </w:rPr>
              <w:t>C22:4</w:t>
            </w:r>
          </w:p>
        </w:tc>
        <w:tc>
          <w:tcPr>
            <w:tcW w:w="1212" w:type="dxa"/>
            <w:vAlign w:val="center"/>
          </w:tcPr>
          <w:p w14:paraId="47BB57E6" w14:textId="77777777" w:rsidR="00D77FF8" w:rsidRPr="00706DCE" w:rsidRDefault="00D77FF8" w:rsidP="00D77FF8">
            <w:pPr>
              <w:contextualSpacing/>
              <w:jc w:val="center"/>
              <w:rPr>
                <w:rFonts w:ascii="Arial" w:hAnsi="Arial" w:cs="Arial"/>
                <w:sz w:val="20"/>
                <w:szCs w:val="20"/>
              </w:rPr>
            </w:pPr>
            <w:r w:rsidRPr="00706DCE">
              <w:rPr>
                <w:rFonts w:ascii="Arial" w:hAnsi="Arial" w:cs="Arial"/>
                <w:sz w:val="20"/>
                <w:szCs w:val="20"/>
              </w:rPr>
              <w:t>5.41</w:t>
            </w:r>
          </w:p>
        </w:tc>
        <w:tc>
          <w:tcPr>
            <w:tcW w:w="1285" w:type="dxa"/>
            <w:vAlign w:val="center"/>
          </w:tcPr>
          <w:p w14:paraId="6976FA52" w14:textId="5253C5FE" w:rsidR="00D77FF8" w:rsidRPr="00836EFB" w:rsidRDefault="007C2565" w:rsidP="00D77FF8">
            <w:pPr>
              <w:contextualSpacing/>
              <w:jc w:val="center"/>
              <w:rPr>
                <w:rFonts w:ascii="Arial" w:hAnsi="Arial" w:cs="Arial"/>
                <w:sz w:val="20"/>
                <w:szCs w:val="20"/>
              </w:rPr>
            </w:pPr>
            <w:r w:rsidRPr="007C2565">
              <w:rPr>
                <w:rFonts w:ascii="Arial" w:hAnsi="Arial" w:cs="Arial"/>
                <w:sz w:val="20"/>
                <w:szCs w:val="20"/>
              </w:rPr>
              <w:t>12.4</w:t>
            </w:r>
          </w:p>
        </w:tc>
        <w:tc>
          <w:tcPr>
            <w:tcW w:w="1106" w:type="dxa"/>
            <w:vAlign w:val="center"/>
          </w:tcPr>
          <w:p w14:paraId="7927FF0C" w14:textId="4D379C60" w:rsidR="00D77FF8" w:rsidRPr="00836EFB" w:rsidRDefault="00D77FF8" w:rsidP="00D77FF8">
            <w:pPr>
              <w:contextualSpacing/>
              <w:jc w:val="center"/>
              <w:rPr>
                <w:rFonts w:ascii="Arial" w:hAnsi="Arial" w:cs="Arial"/>
                <w:sz w:val="20"/>
                <w:szCs w:val="20"/>
              </w:rPr>
            </w:pPr>
            <w:r w:rsidRPr="00836EFB">
              <w:rPr>
                <w:rFonts w:ascii="Arial" w:hAnsi="Arial" w:cs="Arial"/>
                <w:sz w:val="20"/>
                <w:szCs w:val="20"/>
              </w:rPr>
              <w:t>3.15</w:t>
            </w:r>
          </w:p>
        </w:tc>
        <w:tc>
          <w:tcPr>
            <w:tcW w:w="1376" w:type="dxa"/>
            <w:vAlign w:val="center"/>
          </w:tcPr>
          <w:p w14:paraId="6BFC2042" w14:textId="13857CB5" w:rsidR="00D77FF8" w:rsidRPr="00836EFB" w:rsidRDefault="00836EFB" w:rsidP="00D77FF8">
            <w:pPr>
              <w:contextualSpacing/>
              <w:jc w:val="center"/>
              <w:rPr>
                <w:rFonts w:ascii="Arial" w:hAnsi="Arial" w:cs="Arial"/>
                <w:sz w:val="20"/>
                <w:szCs w:val="20"/>
              </w:rPr>
            </w:pPr>
            <w:r w:rsidRPr="00836EFB">
              <w:rPr>
                <w:rFonts w:ascii="Arial" w:hAnsi="Arial" w:cs="Arial"/>
                <w:sz w:val="20"/>
                <w:szCs w:val="20"/>
              </w:rPr>
              <w:t>12.0</w:t>
            </w:r>
            <w:r>
              <w:rPr>
                <w:rFonts w:ascii="Arial" w:hAnsi="Arial" w:cs="Arial"/>
                <w:sz w:val="20"/>
                <w:szCs w:val="20"/>
              </w:rPr>
              <w:t>8</w:t>
            </w:r>
          </w:p>
        </w:tc>
      </w:tr>
      <w:tr w:rsidR="00D77FF8" w:rsidRPr="00706DCE" w14:paraId="7B13EBEF" w14:textId="4CB293D3" w:rsidTr="00D77FF8">
        <w:trPr>
          <w:jc w:val="center"/>
        </w:trPr>
        <w:tc>
          <w:tcPr>
            <w:tcW w:w="2256" w:type="dxa"/>
          </w:tcPr>
          <w:p w14:paraId="0A8BB807" w14:textId="77777777" w:rsidR="00D77FF8" w:rsidRPr="00706DCE" w:rsidRDefault="00D77FF8" w:rsidP="0017536E">
            <w:pPr>
              <w:contextualSpacing/>
              <w:jc w:val="both"/>
              <w:rPr>
                <w:rFonts w:ascii="Arial" w:hAnsi="Arial" w:cs="Arial"/>
                <w:sz w:val="20"/>
                <w:szCs w:val="20"/>
              </w:rPr>
            </w:pPr>
            <w:proofErr w:type="spellStart"/>
            <w:r w:rsidRPr="00706DCE">
              <w:rPr>
                <w:rFonts w:ascii="Arial" w:hAnsi="Arial" w:cs="Arial"/>
                <w:sz w:val="20"/>
                <w:szCs w:val="20"/>
              </w:rPr>
              <w:t>Docosapentaenoic</w:t>
            </w:r>
            <w:proofErr w:type="spellEnd"/>
            <w:r w:rsidRPr="00706DCE">
              <w:rPr>
                <w:rFonts w:ascii="Arial" w:hAnsi="Arial" w:cs="Arial"/>
                <w:sz w:val="20"/>
                <w:szCs w:val="20"/>
              </w:rPr>
              <w:t xml:space="preserve"> acid</w:t>
            </w:r>
          </w:p>
        </w:tc>
        <w:tc>
          <w:tcPr>
            <w:tcW w:w="1159" w:type="dxa"/>
            <w:vAlign w:val="center"/>
          </w:tcPr>
          <w:p w14:paraId="2D1FA3EF" w14:textId="77777777" w:rsidR="00D77FF8" w:rsidRPr="00706DCE" w:rsidRDefault="00D77FF8" w:rsidP="00D77FF8">
            <w:pPr>
              <w:contextualSpacing/>
              <w:jc w:val="center"/>
              <w:rPr>
                <w:rFonts w:ascii="Arial" w:hAnsi="Arial" w:cs="Arial"/>
                <w:sz w:val="20"/>
                <w:szCs w:val="20"/>
              </w:rPr>
            </w:pPr>
            <w:r w:rsidRPr="00706DCE">
              <w:rPr>
                <w:rFonts w:ascii="Arial" w:hAnsi="Arial" w:cs="Arial"/>
                <w:sz w:val="20"/>
                <w:szCs w:val="20"/>
              </w:rPr>
              <w:t>C22:5</w:t>
            </w:r>
          </w:p>
        </w:tc>
        <w:tc>
          <w:tcPr>
            <w:tcW w:w="1212" w:type="dxa"/>
            <w:vAlign w:val="center"/>
          </w:tcPr>
          <w:p w14:paraId="31E0D4ED" w14:textId="77777777" w:rsidR="00D77FF8" w:rsidRPr="00706DCE" w:rsidRDefault="00D77FF8" w:rsidP="00D77FF8">
            <w:pPr>
              <w:contextualSpacing/>
              <w:jc w:val="center"/>
              <w:rPr>
                <w:rFonts w:ascii="Arial" w:hAnsi="Arial" w:cs="Arial"/>
                <w:sz w:val="20"/>
                <w:szCs w:val="20"/>
              </w:rPr>
            </w:pPr>
            <w:r w:rsidRPr="00706DCE">
              <w:rPr>
                <w:rFonts w:ascii="Arial" w:hAnsi="Arial" w:cs="Arial"/>
                <w:sz w:val="20"/>
                <w:szCs w:val="20"/>
              </w:rPr>
              <w:t>-</w:t>
            </w:r>
          </w:p>
        </w:tc>
        <w:tc>
          <w:tcPr>
            <w:tcW w:w="1285" w:type="dxa"/>
            <w:vAlign w:val="center"/>
          </w:tcPr>
          <w:p w14:paraId="5C2C93DD" w14:textId="72DF87C6" w:rsidR="00D77FF8" w:rsidRPr="00836EFB" w:rsidRDefault="007C2565" w:rsidP="00D77FF8">
            <w:pPr>
              <w:contextualSpacing/>
              <w:jc w:val="center"/>
              <w:rPr>
                <w:rFonts w:ascii="Arial" w:hAnsi="Arial" w:cs="Arial"/>
                <w:sz w:val="20"/>
                <w:szCs w:val="20"/>
              </w:rPr>
            </w:pPr>
            <w:r>
              <w:rPr>
                <w:rFonts w:ascii="Arial" w:hAnsi="Arial" w:cs="Arial"/>
                <w:sz w:val="20"/>
                <w:szCs w:val="20"/>
              </w:rPr>
              <w:t>-</w:t>
            </w:r>
          </w:p>
        </w:tc>
        <w:tc>
          <w:tcPr>
            <w:tcW w:w="1106" w:type="dxa"/>
            <w:vAlign w:val="center"/>
          </w:tcPr>
          <w:p w14:paraId="19555E6B" w14:textId="146E07C4" w:rsidR="00D77FF8" w:rsidRPr="00836EFB" w:rsidRDefault="00D77FF8" w:rsidP="00D77FF8">
            <w:pPr>
              <w:contextualSpacing/>
              <w:jc w:val="center"/>
              <w:rPr>
                <w:rFonts w:ascii="Arial" w:hAnsi="Arial" w:cs="Arial"/>
                <w:sz w:val="20"/>
                <w:szCs w:val="20"/>
              </w:rPr>
            </w:pPr>
            <w:r w:rsidRPr="00836EFB">
              <w:rPr>
                <w:rFonts w:ascii="Arial" w:hAnsi="Arial" w:cs="Arial"/>
                <w:sz w:val="20"/>
                <w:szCs w:val="20"/>
              </w:rPr>
              <w:t>6.81</w:t>
            </w:r>
          </w:p>
        </w:tc>
        <w:tc>
          <w:tcPr>
            <w:tcW w:w="1376" w:type="dxa"/>
            <w:vAlign w:val="center"/>
          </w:tcPr>
          <w:p w14:paraId="23F45458" w14:textId="62FFCCAD" w:rsidR="00D77FF8" w:rsidRPr="00836EFB" w:rsidRDefault="00836EFB" w:rsidP="00D77FF8">
            <w:pPr>
              <w:contextualSpacing/>
              <w:jc w:val="center"/>
              <w:rPr>
                <w:rFonts w:ascii="Arial" w:hAnsi="Arial" w:cs="Arial"/>
                <w:sz w:val="20"/>
                <w:szCs w:val="20"/>
              </w:rPr>
            </w:pPr>
            <w:r w:rsidRPr="00836EFB">
              <w:rPr>
                <w:rFonts w:ascii="Arial" w:hAnsi="Arial" w:cs="Arial"/>
                <w:sz w:val="20"/>
                <w:szCs w:val="20"/>
              </w:rPr>
              <w:t>13.7</w:t>
            </w:r>
            <w:r>
              <w:rPr>
                <w:rFonts w:ascii="Arial" w:hAnsi="Arial" w:cs="Arial"/>
                <w:sz w:val="20"/>
                <w:szCs w:val="20"/>
              </w:rPr>
              <w:t>3</w:t>
            </w:r>
          </w:p>
        </w:tc>
      </w:tr>
      <w:tr w:rsidR="00D77FF8" w:rsidRPr="00706DCE" w14:paraId="1435F1D5" w14:textId="52E75302" w:rsidTr="00D77FF8">
        <w:trPr>
          <w:jc w:val="center"/>
        </w:trPr>
        <w:tc>
          <w:tcPr>
            <w:tcW w:w="2256" w:type="dxa"/>
          </w:tcPr>
          <w:p w14:paraId="464F3173" w14:textId="77777777" w:rsidR="00D77FF8" w:rsidRPr="00706DCE" w:rsidRDefault="00D77FF8" w:rsidP="0017536E">
            <w:pPr>
              <w:contextualSpacing/>
              <w:jc w:val="both"/>
              <w:rPr>
                <w:rFonts w:ascii="Arial" w:hAnsi="Arial" w:cs="Arial"/>
                <w:sz w:val="20"/>
                <w:szCs w:val="20"/>
              </w:rPr>
            </w:pPr>
            <w:r w:rsidRPr="00706DCE">
              <w:rPr>
                <w:rFonts w:ascii="Arial" w:hAnsi="Arial" w:cs="Arial"/>
                <w:sz w:val="20"/>
                <w:szCs w:val="20"/>
              </w:rPr>
              <w:t>Docosahexaenoic acid</w:t>
            </w:r>
          </w:p>
        </w:tc>
        <w:tc>
          <w:tcPr>
            <w:tcW w:w="1159" w:type="dxa"/>
            <w:vAlign w:val="center"/>
          </w:tcPr>
          <w:p w14:paraId="6728EBE8" w14:textId="77777777" w:rsidR="00D77FF8" w:rsidRPr="00706DCE" w:rsidRDefault="00D77FF8" w:rsidP="00D77FF8">
            <w:pPr>
              <w:contextualSpacing/>
              <w:jc w:val="center"/>
              <w:rPr>
                <w:rFonts w:ascii="Arial" w:hAnsi="Arial" w:cs="Arial"/>
                <w:sz w:val="20"/>
                <w:szCs w:val="20"/>
              </w:rPr>
            </w:pPr>
            <w:r w:rsidRPr="00706DCE">
              <w:rPr>
                <w:rFonts w:ascii="Arial" w:hAnsi="Arial" w:cs="Arial"/>
                <w:sz w:val="20"/>
                <w:szCs w:val="20"/>
              </w:rPr>
              <w:t>C22:6</w:t>
            </w:r>
          </w:p>
        </w:tc>
        <w:tc>
          <w:tcPr>
            <w:tcW w:w="1212" w:type="dxa"/>
            <w:vAlign w:val="center"/>
          </w:tcPr>
          <w:p w14:paraId="27EF0909" w14:textId="77777777" w:rsidR="00D77FF8" w:rsidRPr="00706DCE" w:rsidRDefault="00D77FF8" w:rsidP="00D77FF8">
            <w:pPr>
              <w:contextualSpacing/>
              <w:jc w:val="center"/>
              <w:rPr>
                <w:rFonts w:ascii="Arial" w:hAnsi="Arial" w:cs="Arial"/>
                <w:sz w:val="20"/>
                <w:szCs w:val="20"/>
              </w:rPr>
            </w:pPr>
            <w:r w:rsidRPr="00706DCE">
              <w:rPr>
                <w:rFonts w:ascii="Arial" w:hAnsi="Arial" w:cs="Arial"/>
                <w:sz w:val="20"/>
                <w:szCs w:val="20"/>
              </w:rPr>
              <w:t>-</w:t>
            </w:r>
          </w:p>
        </w:tc>
        <w:tc>
          <w:tcPr>
            <w:tcW w:w="1285" w:type="dxa"/>
            <w:vAlign w:val="center"/>
          </w:tcPr>
          <w:p w14:paraId="420FA0D0" w14:textId="0468A35B" w:rsidR="00D77FF8" w:rsidRPr="00836EFB" w:rsidRDefault="007C2565" w:rsidP="00D77FF8">
            <w:pPr>
              <w:contextualSpacing/>
              <w:jc w:val="center"/>
              <w:rPr>
                <w:rFonts w:ascii="Arial" w:hAnsi="Arial" w:cs="Arial"/>
                <w:sz w:val="20"/>
                <w:szCs w:val="20"/>
              </w:rPr>
            </w:pPr>
            <w:r>
              <w:rPr>
                <w:rFonts w:ascii="Arial" w:hAnsi="Arial" w:cs="Arial"/>
                <w:sz w:val="20"/>
                <w:szCs w:val="20"/>
              </w:rPr>
              <w:t>-</w:t>
            </w:r>
          </w:p>
        </w:tc>
        <w:tc>
          <w:tcPr>
            <w:tcW w:w="1106" w:type="dxa"/>
            <w:vAlign w:val="center"/>
          </w:tcPr>
          <w:p w14:paraId="183A6B60" w14:textId="35315ED3" w:rsidR="00D77FF8" w:rsidRPr="00836EFB" w:rsidRDefault="00D77FF8" w:rsidP="00D77FF8">
            <w:pPr>
              <w:contextualSpacing/>
              <w:jc w:val="center"/>
              <w:rPr>
                <w:rFonts w:ascii="Arial" w:hAnsi="Arial" w:cs="Arial"/>
                <w:sz w:val="20"/>
                <w:szCs w:val="20"/>
              </w:rPr>
            </w:pPr>
            <w:r w:rsidRPr="00836EFB">
              <w:rPr>
                <w:rFonts w:ascii="Arial" w:hAnsi="Arial" w:cs="Arial"/>
                <w:sz w:val="20"/>
                <w:szCs w:val="20"/>
              </w:rPr>
              <w:t>2.26</w:t>
            </w:r>
          </w:p>
        </w:tc>
        <w:tc>
          <w:tcPr>
            <w:tcW w:w="1376" w:type="dxa"/>
            <w:vAlign w:val="center"/>
          </w:tcPr>
          <w:p w14:paraId="158FA0E3" w14:textId="608E0715" w:rsidR="00D77FF8" w:rsidRPr="00836EFB" w:rsidRDefault="00836EFB" w:rsidP="00D77FF8">
            <w:pPr>
              <w:contextualSpacing/>
              <w:jc w:val="center"/>
              <w:rPr>
                <w:rFonts w:ascii="Arial" w:hAnsi="Arial" w:cs="Arial"/>
                <w:sz w:val="20"/>
                <w:szCs w:val="20"/>
              </w:rPr>
            </w:pPr>
            <w:r w:rsidRPr="00836EFB">
              <w:rPr>
                <w:rFonts w:ascii="Arial" w:hAnsi="Arial" w:cs="Arial"/>
                <w:sz w:val="20"/>
                <w:szCs w:val="20"/>
              </w:rPr>
              <w:t>13.80</w:t>
            </w:r>
          </w:p>
        </w:tc>
      </w:tr>
      <w:tr w:rsidR="00D77FF8" w:rsidRPr="00706DCE" w14:paraId="6270BC80" w14:textId="32A4E09F" w:rsidTr="00D77FF8">
        <w:trPr>
          <w:jc w:val="center"/>
        </w:trPr>
        <w:tc>
          <w:tcPr>
            <w:tcW w:w="2256" w:type="dxa"/>
          </w:tcPr>
          <w:p w14:paraId="748B3571" w14:textId="77777777" w:rsidR="00D77FF8" w:rsidRPr="00706DCE" w:rsidRDefault="00D77FF8" w:rsidP="0017536E">
            <w:pPr>
              <w:contextualSpacing/>
              <w:jc w:val="both"/>
              <w:rPr>
                <w:rFonts w:ascii="Arial" w:hAnsi="Arial" w:cs="Arial"/>
                <w:b/>
                <w:sz w:val="20"/>
                <w:szCs w:val="20"/>
              </w:rPr>
            </w:pPr>
            <w:r w:rsidRPr="00706DCE">
              <w:rPr>
                <w:rFonts w:ascii="Arial" w:hAnsi="Arial" w:cs="Arial"/>
                <w:b/>
                <w:sz w:val="20"/>
                <w:szCs w:val="20"/>
              </w:rPr>
              <w:t>Total</w:t>
            </w:r>
          </w:p>
        </w:tc>
        <w:tc>
          <w:tcPr>
            <w:tcW w:w="1159" w:type="dxa"/>
            <w:vAlign w:val="center"/>
          </w:tcPr>
          <w:p w14:paraId="1B8E31AE" w14:textId="77777777" w:rsidR="00D77FF8" w:rsidRPr="00706DCE" w:rsidRDefault="00D77FF8" w:rsidP="00D77FF8">
            <w:pPr>
              <w:contextualSpacing/>
              <w:jc w:val="center"/>
              <w:rPr>
                <w:rFonts w:ascii="Arial" w:hAnsi="Arial" w:cs="Arial"/>
                <w:b/>
                <w:sz w:val="20"/>
                <w:szCs w:val="20"/>
              </w:rPr>
            </w:pPr>
          </w:p>
        </w:tc>
        <w:tc>
          <w:tcPr>
            <w:tcW w:w="1212" w:type="dxa"/>
            <w:vAlign w:val="center"/>
          </w:tcPr>
          <w:p w14:paraId="39149CFB" w14:textId="77777777" w:rsidR="00D77FF8" w:rsidRPr="00706DCE" w:rsidRDefault="00D77FF8" w:rsidP="00D77FF8">
            <w:pPr>
              <w:contextualSpacing/>
              <w:jc w:val="center"/>
              <w:rPr>
                <w:rFonts w:ascii="Arial" w:hAnsi="Arial" w:cs="Arial"/>
                <w:b/>
                <w:sz w:val="20"/>
                <w:szCs w:val="20"/>
              </w:rPr>
            </w:pPr>
            <w:r w:rsidRPr="00706DCE">
              <w:rPr>
                <w:rFonts w:ascii="Arial" w:hAnsi="Arial" w:cs="Arial"/>
                <w:b/>
                <w:sz w:val="20"/>
                <w:szCs w:val="20"/>
              </w:rPr>
              <w:t>53.98</w:t>
            </w:r>
          </w:p>
        </w:tc>
        <w:tc>
          <w:tcPr>
            <w:tcW w:w="1285" w:type="dxa"/>
            <w:vAlign w:val="center"/>
          </w:tcPr>
          <w:p w14:paraId="4CA3D66A" w14:textId="77777777" w:rsidR="00D77FF8" w:rsidRPr="00836EFB" w:rsidRDefault="00D77FF8" w:rsidP="00D77FF8">
            <w:pPr>
              <w:contextualSpacing/>
              <w:jc w:val="center"/>
              <w:rPr>
                <w:rFonts w:ascii="Arial" w:hAnsi="Arial" w:cs="Arial"/>
                <w:b/>
                <w:sz w:val="20"/>
                <w:szCs w:val="20"/>
              </w:rPr>
            </w:pPr>
          </w:p>
        </w:tc>
        <w:tc>
          <w:tcPr>
            <w:tcW w:w="1106" w:type="dxa"/>
            <w:vAlign w:val="center"/>
          </w:tcPr>
          <w:p w14:paraId="66D70892" w14:textId="6C99356F" w:rsidR="00D77FF8" w:rsidRPr="00836EFB" w:rsidRDefault="00D77FF8" w:rsidP="00D77FF8">
            <w:pPr>
              <w:contextualSpacing/>
              <w:jc w:val="center"/>
              <w:rPr>
                <w:rFonts w:ascii="Arial" w:hAnsi="Arial" w:cs="Arial"/>
                <w:b/>
                <w:sz w:val="20"/>
                <w:szCs w:val="20"/>
              </w:rPr>
            </w:pPr>
            <w:r w:rsidRPr="00836EFB">
              <w:rPr>
                <w:rFonts w:ascii="Arial" w:hAnsi="Arial" w:cs="Arial"/>
                <w:b/>
                <w:sz w:val="20"/>
                <w:szCs w:val="20"/>
              </w:rPr>
              <w:t>66.57</w:t>
            </w:r>
          </w:p>
        </w:tc>
        <w:tc>
          <w:tcPr>
            <w:tcW w:w="1376" w:type="dxa"/>
            <w:vAlign w:val="center"/>
          </w:tcPr>
          <w:p w14:paraId="4542DBAA" w14:textId="77777777" w:rsidR="00D77FF8" w:rsidRPr="00836EFB" w:rsidRDefault="00D77FF8" w:rsidP="00D77FF8">
            <w:pPr>
              <w:contextualSpacing/>
              <w:jc w:val="center"/>
              <w:rPr>
                <w:rFonts w:ascii="Arial" w:hAnsi="Arial" w:cs="Arial"/>
                <w:b/>
                <w:sz w:val="20"/>
                <w:szCs w:val="20"/>
              </w:rPr>
            </w:pPr>
          </w:p>
        </w:tc>
      </w:tr>
    </w:tbl>
    <w:p w14:paraId="19FC772F" w14:textId="77777777" w:rsidR="00C15C33" w:rsidRPr="00C15C33" w:rsidRDefault="00C15C33" w:rsidP="0017536E">
      <w:pPr>
        <w:contextualSpacing/>
        <w:jc w:val="both"/>
        <w:rPr>
          <w:rFonts w:ascii="Arial" w:eastAsia="Calibri" w:hAnsi="Arial" w:cs="Arial"/>
          <w:kern w:val="2"/>
        </w:rPr>
      </w:pPr>
    </w:p>
    <w:bookmarkEnd w:id="13"/>
    <w:p w14:paraId="05750325" w14:textId="77777777" w:rsidR="00C15C33" w:rsidRPr="00706DCE" w:rsidRDefault="00D76323" w:rsidP="0017536E">
      <w:pPr>
        <w:pStyle w:val="Heading3"/>
        <w:spacing w:before="0"/>
        <w:contextualSpacing/>
        <w:jc w:val="both"/>
        <w:rPr>
          <w:rFonts w:ascii="Arial" w:hAnsi="Arial" w:cs="Arial"/>
          <w:b w:val="0"/>
          <w:bCs w:val="0"/>
          <w:color w:val="auto"/>
        </w:rPr>
      </w:pPr>
      <w:r>
        <w:rPr>
          <w:rFonts w:ascii="Arial" w:hAnsi="Arial" w:cs="Arial"/>
          <w:color w:val="auto"/>
        </w:rPr>
        <w:t xml:space="preserve">3.8 </w:t>
      </w:r>
      <w:r w:rsidR="00C15C33" w:rsidRPr="00706DCE">
        <w:rPr>
          <w:rFonts w:ascii="Arial" w:hAnsi="Arial" w:cs="Arial"/>
          <w:color w:val="auto"/>
        </w:rPr>
        <w:t>Comparison of biodiesel and fossil diesel with ASTM and commercial standards</w:t>
      </w:r>
    </w:p>
    <w:p w14:paraId="75065756" w14:textId="56B16DD1" w:rsidR="00C15C33" w:rsidRPr="00706DCE" w:rsidRDefault="00C15C33" w:rsidP="001D162D">
      <w:pPr>
        <w:contextualSpacing/>
        <w:jc w:val="both"/>
        <w:rPr>
          <w:rFonts w:ascii="Arial" w:hAnsi="Arial" w:cs="Arial"/>
          <w:bCs/>
        </w:rPr>
      </w:pPr>
      <w:r w:rsidRPr="00706DCE">
        <w:rPr>
          <w:rFonts w:ascii="Arial" w:hAnsi="Arial" w:cs="Arial"/>
          <w:bCs/>
        </w:rPr>
        <w:t xml:space="preserve">Table </w:t>
      </w:r>
      <w:r w:rsidRPr="00706DCE">
        <w:rPr>
          <w:rFonts w:ascii="Arial" w:hAnsi="Arial" w:cs="Arial"/>
          <w:b/>
          <w:bCs/>
        </w:rPr>
        <w:t>5</w:t>
      </w:r>
      <w:r w:rsidRPr="00706DCE">
        <w:rPr>
          <w:rFonts w:ascii="Arial" w:hAnsi="Arial" w:cs="Arial"/>
          <w:bCs/>
        </w:rPr>
        <w:t xml:space="preserve"> presents characteristics of the produced biodiesel and fossil diesel from fuel station with approved commercial and ASTM standards. The biodiesel produced in this study had a somewhat higher flash point (75 °C) than the fossil diesel (69 °C). When compared to the ASTM standard of 130 </w:t>
      </w:r>
      <w:proofErr w:type="spellStart"/>
      <w:r w:rsidRPr="00706DCE">
        <w:rPr>
          <w:rFonts w:ascii="Arial" w:hAnsi="Arial" w:cs="Arial"/>
          <w:bCs/>
          <w:vertAlign w:val="superscript"/>
        </w:rPr>
        <w:t>o</w:t>
      </w:r>
      <w:r w:rsidRPr="00706DCE">
        <w:rPr>
          <w:rFonts w:ascii="Arial" w:hAnsi="Arial" w:cs="Arial"/>
          <w:bCs/>
        </w:rPr>
        <w:t>C</w:t>
      </w:r>
      <w:proofErr w:type="spellEnd"/>
      <w:r w:rsidRPr="00706DCE">
        <w:rPr>
          <w:rFonts w:ascii="Arial" w:hAnsi="Arial" w:cs="Arial"/>
          <w:bCs/>
        </w:rPr>
        <w:t xml:space="preserve">, the result is favorable. The produced biodiesel had an acid value </w:t>
      </w:r>
      <w:r w:rsidRPr="00706DCE">
        <w:rPr>
          <w:rFonts w:ascii="Arial" w:hAnsi="Arial" w:cs="Arial"/>
          <w:bCs/>
        </w:rPr>
        <w:lastRenderedPageBreak/>
        <w:t>of 0.54 mg</w:t>
      </w:r>
      <w:r w:rsidR="005C472E">
        <w:rPr>
          <w:rFonts w:ascii="Arial" w:hAnsi="Arial" w:cs="Arial"/>
          <w:bCs/>
        </w:rPr>
        <w:t xml:space="preserve"> </w:t>
      </w:r>
      <w:r w:rsidRPr="00706DCE">
        <w:rPr>
          <w:rFonts w:ascii="Arial" w:hAnsi="Arial" w:cs="Arial"/>
          <w:bCs/>
        </w:rPr>
        <w:t>KOH/g. This is slightly higher than the 0.5 mg</w:t>
      </w:r>
      <w:r w:rsidR="005C472E">
        <w:rPr>
          <w:rFonts w:ascii="Arial" w:hAnsi="Arial" w:cs="Arial"/>
          <w:bCs/>
        </w:rPr>
        <w:t xml:space="preserve"> </w:t>
      </w:r>
      <w:r w:rsidRPr="00706DCE">
        <w:rPr>
          <w:rFonts w:ascii="Arial" w:hAnsi="Arial" w:cs="Arial"/>
          <w:bCs/>
        </w:rPr>
        <w:t>KOH/g found in fossil diesel and 0.5 mg KOH/g ASTM standard. Fossil diesel has a better cetane rating (55) than the produced biodiesel (51), which measures the fuel's ignition quality. The produced biodiesel has a viscosity of 2.6 mm²/s at 40 °C, while that of fossil diesel was 3.8 mm²/s. But he ASTM standard is 1.9-6.0. Overall, the parameters of the biodiesel produced in this study were considerably similar to those of commercially available fossil diesel, as well as satisfied the guidelines of the ASTM D6751 and commercial B100 international standards. These results indicate the suitability of mixed POME produced in Imo State, Nigeria, and the use of whole-cell biocatalysts comprising of autochthonous co-culture of bacterial and fungal isolates for biodiesel production.</w:t>
      </w:r>
    </w:p>
    <w:p w14:paraId="0F518797" w14:textId="77777777" w:rsidR="00C15C33" w:rsidRPr="00706DCE" w:rsidRDefault="00C15C33" w:rsidP="00C15C33">
      <w:pPr>
        <w:contextualSpacing/>
        <w:rPr>
          <w:rFonts w:ascii="Arial" w:hAnsi="Arial" w:cs="Arial"/>
          <w:bCs/>
        </w:rPr>
      </w:pPr>
    </w:p>
    <w:p w14:paraId="45CB5D62" w14:textId="77777777" w:rsidR="00C15C33" w:rsidRPr="00706DCE" w:rsidRDefault="00C15C33" w:rsidP="00C15C33">
      <w:pPr>
        <w:contextualSpacing/>
        <w:rPr>
          <w:rFonts w:ascii="Arial" w:hAnsi="Arial" w:cs="Arial"/>
          <w:bCs/>
        </w:rPr>
      </w:pPr>
      <w:bookmarkStart w:id="14" w:name="_Hlk171273385"/>
      <w:r w:rsidRPr="00706DCE">
        <w:rPr>
          <w:rFonts w:ascii="Arial" w:hAnsi="Arial" w:cs="Arial"/>
          <w:b/>
          <w:bCs/>
        </w:rPr>
        <w:t>Table 5.</w:t>
      </w:r>
      <w:r w:rsidRPr="00706DCE">
        <w:rPr>
          <w:rFonts w:ascii="Arial" w:hAnsi="Arial" w:cs="Arial"/>
          <w:bCs/>
        </w:rPr>
        <w:t xml:space="preserve"> Properties of the produced biodiesel against fossil diesel, ASTM standards</w:t>
      </w:r>
    </w:p>
    <w:tbl>
      <w:tblPr>
        <w:tblStyle w:val="PlainTable21"/>
        <w:tblW w:w="8130" w:type="dxa"/>
        <w:jc w:val="center"/>
        <w:tblLook w:val="04A0" w:firstRow="1" w:lastRow="0" w:firstColumn="1" w:lastColumn="0" w:noHBand="0" w:noVBand="1"/>
      </w:tblPr>
      <w:tblGrid>
        <w:gridCol w:w="2238"/>
        <w:gridCol w:w="899"/>
        <w:gridCol w:w="1302"/>
        <w:gridCol w:w="1478"/>
        <w:gridCol w:w="1076"/>
        <w:gridCol w:w="1137"/>
      </w:tblGrid>
      <w:tr w:rsidR="00C15C33" w:rsidRPr="00706DCE" w14:paraId="7DF2AA60" w14:textId="77777777" w:rsidTr="0026771C">
        <w:trPr>
          <w:cnfStyle w:val="100000000000" w:firstRow="1" w:lastRow="0" w:firstColumn="0" w:lastColumn="0" w:oddVBand="0" w:evenVBand="0" w:oddHBand="0" w:evenHBand="0" w:firstRowFirstColumn="0" w:firstRowLastColumn="0" w:lastRowFirstColumn="0" w:lastRowLastColumn="0"/>
          <w:trHeight w:val="593"/>
          <w:jc w:val="center"/>
        </w:trPr>
        <w:tc>
          <w:tcPr>
            <w:cnfStyle w:val="001000000000" w:firstRow="0" w:lastRow="0" w:firstColumn="1" w:lastColumn="0" w:oddVBand="0" w:evenVBand="0" w:oddHBand="0" w:evenHBand="0" w:firstRowFirstColumn="0" w:firstRowLastColumn="0" w:lastRowFirstColumn="0" w:lastRowLastColumn="0"/>
            <w:tcW w:w="2238" w:type="dxa"/>
          </w:tcPr>
          <w:bookmarkEnd w:id="14"/>
          <w:p w14:paraId="25CA54EA" w14:textId="77777777" w:rsidR="00C15C33" w:rsidRPr="00706DCE" w:rsidRDefault="00C15C33" w:rsidP="0026771C">
            <w:pPr>
              <w:contextualSpacing/>
              <w:jc w:val="both"/>
              <w:rPr>
                <w:rFonts w:ascii="Arial" w:hAnsi="Arial" w:cs="Arial"/>
                <w:sz w:val="20"/>
                <w:szCs w:val="20"/>
              </w:rPr>
            </w:pPr>
            <w:r w:rsidRPr="00706DCE">
              <w:rPr>
                <w:rFonts w:ascii="Arial" w:hAnsi="Arial" w:cs="Arial"/>
                <w:sz w:val="20"/>
                <w:szCs w:val="20"/>
              </w:rPr>
              <w:t>Property (Units)</w:t>
            </w:r>
          </w:p>
        </w:tc>
        <w:tc>
          <w:tcPr>
            <w:tcW w:w="899" w:type="dxa"/>
          </w:tcPr>
          <w:p w14:paraId="5E286674" w14:textId="77777777" w:rsidR="00C15C33" w:rsidRPr="00706DCE" w:rsidRDefault="00C15C33" w:rsidP="0026771C">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302" w:type="dxa"/>
          </w:tcPr>
          <w:p w14:paraId="4EEF5AFD" w14:textId="77777777" w:rsidR="00C15C33" w:rsidRPr="00706DCE" w:rsidRDefault="00C15C33" w:rsidP="0026771C">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06DCE">
              <w:rPr>
                <w:rFonts w:ascii="Arial" w:hAnsi="Arial" w:cs="Arial"/>
                <w:sz w:val="20"/>
                <w:szCs w:val="20"/>
              </w:rPr>
              <w:t>ASTM D6751-02</w:t>
            </w:r>
          </w:p>
        </w:tc>
        <w:tc>
          <w:tcPr>
            <w:tcW w:w="1478" w:type="dxa"/>
          </w:tcPr>
          <w:p w14:paraId="4F82767F" w14:textId="77777777" w:rsidR="00C15C33" w:rsidRPr="00706DCE" w:rsidRDefault="00C15C33" w:rsidP="0026771C">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06DCE">
              <w:rPr>
                <w:rFonts w:ascii="Arial" w:hAnsi="Arial" w:cs="Arial"/>
                <w:sz w:val="20"/>
                <w:szCs w:val="20"/>
              </w:rPr>
              <w:t>Commercial B100</w:t>
            </w:r>
          </w:p>
        </w:tc>
        <w:tc>
          <w:tcPr>
            <w:tcW w:w="1076" w:type="dxa"/>
          </w:tcPr>
          <w:p w14:paraId="5B08D721" w14:textId="77777777" w:rsidR="00C15C33" w:rsidRPr="00706DCE" w:rsidRDefault="00C15C33" w:rsidP="0026771C">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06DCE">
              <w:rPr>
                <w:rFonts w:ascii="Arial" w:hAnsi="Arial" w:cs="Arial"/>
                <w:sz w:val="20"/>
                <w:szCs w:val="20"/>
              </w:rPr>
              <w:t>Fossil diesel</w:t>
            </w:r>
          </w:p>
        </w:tc>
        <w:tc>
          <w:tcPr>
            <w:tcW w:w="1137" w:type="dxa"/>
          </w:tcPr>
          <w:p w14:paraId="7D31E387" w14:textId="77777777" w:rsidR="00C15C33" w:rsidRPr="00706DCE" w:rsidRDefault="00C15C33" w:rsidP="0026771C">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06DCE">
              <w:rPr>
                <w:rFonts w:ascii="Arial" w:hAnsi="Arial" w:cs="Arial"/>
                <w:sz w:val="20"/>
                <w:szCs w:val="20"/>
              </w:rPr>
              <w:t>Biodiesel</w:t>
            </w:r>
          </w:p>
        </w:tc>
      </w:tr>
      <w:tr w:rsidR="00C15C33" w:rsidRPr="00706DCE" w14:paraId="3F7C13DD" w14:textId="77777777" w:rsidTr="0026771C">
        <w:trPr>
          <w:cnfStyle w:val="000000100000" w:firstRow="0" w:lastRow="0" w:firstColumn="0" w:lastColumn="0" w:oddVBand="0" w:evenVBand="0" w:oddHBand="1"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2238" w:type="dxa"/>
          </w:tcPr>
          <w:p w14:paraId="617F1A49" w14:textId="3BB5CCF7" w:rsidR="00C15C33" w:rsidRPr="00706DCE" w:rsidRDefault="00C15C33" w:rsidP="0026771C">
            <w:pPr>
              <w:contextualSpacing/>
              <w:jc w:val="both"/>
              <w:rPr>
                <w:rFonts w:ascii="Arial" w:hAnsi="Arial" w:cs="Arial"/>
                <w:b w:val="0"/>
                <w:sz w:val="20"/>
                <w:szCs w:val="20"/>
              </w:rPr>
            </w:pPr>
            <w:r w:rsidRPr="00706DCE">
              <w:rPr>
                <w:rFonts w:ascii="Arial" w:hAnsi="Arial" w:cs="Arial"/>
                <w:b w:val="0"/>
                <w:sz w:val="20"/>
                <w:szCs w:val="20"/>
              </w:rPr>
              <w:t>Acid value  (mg</w:t>
            </w:r>
            <w:r w:rsidR="00E26E50">
              <w:rPr>
                <w:rFonts w:ascii="Arial" w:hAnsi="Arial" w:cs="Arial"/>
                <w:b w:val="0"/>
                <w:sz w:val="20"/>
                <w:szCs w:val="20"/>
              </w:rPr>
              <w:t xml:space="preserve"> </w:t>
            </w:r>
            <w:r w:rsidRPr="00706DCE">
              <w:rPr>
                <w:rFonts w:ascii="Arial" w:hAnsi="Arial" w:cs="Arial"/>
                <w:b w:val="0"/>
                <w:sz w:val="20"/>
                <w:szCs w:val="20"/>
              </w:rPr>
              <w:t>KOH/g)</w:t>
            </w:r>
          </w:p>
        </w:tc>
        <w:tc>
          <w:tcPr>
            <w:tcW w:w="899" w:type="dxa"/>
          </w:tcPr>
          <w:p w14:paraId="642054A2" w14:textId="77777777" w:rsidR="00C15C33" w:rsidRPr="00706DCE" w:rsidRDefault="00C15C33" w:rsidP="0026771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tcW w:w="1302" w:type="dxa"/>
          </w:tcPr>
          <w:p w14:paraId="475BBD31" w14:textId="77777777" w:rsidR="00C15C33" w:rsidRPr="00706DCE" w:rsidRDefault="00C15C33" w:rsidP="0026771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06DCE">
              <w:rPr>
                <w:rFonts w:ascii="Arial" w:hAnsi="Arial" w:cs="Arial"/>
                <w:bCs/>
                <w:sz w:val="20"/>
                <w:szCs w:val="20"/>
              </w:rPr>
              <w:t>0.50</w:t>
            </w:r>
          </w:p>
        </w:tc>
        <w:tc>
          <w:tcPr>
            <w:tcW w:w="1478" w:type="dxa"/>
          </w:tcPr>
          <w:p w14:paraId="2575E1AF" w14:textId="77777777" w:rsidR="00C15C33" w:rsidRPr="00706DCE" w:rsidRDefault="00C15C33" w:rsidP="0026771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06DCE">
              <w:rPr>
                <w:rFonts w:ascii="Arial" w:hAnsi="Arial" w:cs="Arial"/>
                <w:bCs/>
                <w:sz w:val="20"/>
                <w:szCs w:val="20"/>
              </w:rPr>
              <w:t>0.50</w:t>
            </w:r>
          </w:p>
        </w:tc>
        <w:tc>
          <w:tcPr>
            <w:tcW w:w="1076" w:type="dxa"/>
          </w:tcPr>
          <w:p w14:paraId="365FCB18" w14:textId="77777777" w:rsidR="00C15C33" w:rsidRPr="00706DCE" w:rsidRDefault="00C15C33" w:rsidP="0026771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06DCE">
              <w:rPr>
                <w:rFonts w:ascii="Arial" w:hAnsi="Arial" w:cs="Arial"/>
                <w:bCs/>
                <w:sz w:val="20"/>
                <w:szCs w:val="20"/>
              </w:rPr>
              <w:t>0.5</w:t>
            </w:r>
          </w:p>
        </w:tc>
        <w:tc>
          <w:tcPr>
            <w:tcW w:w="1137" w:type="dxa"/>
          </w:tcPr>
          <w:p w14:paraId="13FF2D5D" w14:textId="77777777" w:rsidR="00C15C33" w:rsidRPr="00706DCE" w:rsidRDefault="00C15C33" w:rsidP="0026771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06DCE">
              <w:rPr>
                <w:rFonts w:ascii="Arial" w:hAnsi="Arial" w:cs="Arial"/>
                <w:bCs/>
                <w:sz w:val="20"/>
                <w:szCs w:val="20"/>
              </w:rPr>
              <w:t>0.54</w:t>
            </w:r>
          </w:p>
        </w:tc>
      </w:tr>
      <w:tr w:rsidR="00C15C33" w:rsidRPr="00706DCE" w14:paraId="0E1062A1" w14:textId="77777777" w:rsidTr="0026771C">
        <w:trPr>
          <w:trHeight w:val="350"/>
          <w:jc w:val="center"/>
        </w:trPr>
        <w:tc>
          <w:tcPr>
            <w:cnfStyle w:val="001000000000" w:firstRow="0" w:lastRow="0" w:firstColumn="1" w:lastColumn="0" w:oddVBand="0" w:evenVBand="0" w:oddHBand="0" w:evenHBand="0" w:firstRowFirstColumn="0" w:firstRowLastColumn="0" w:lastRowFirstColumn="0" w:lastRowLastColumn="0"/>
            <w:tcW w:w="2238" w:type="dxa"/>
          </w:tcPr>
          <w:p w14:paraId="1612DF47" w14:textId="77777777" w:rsidR="00C15C33" w:rsidRPr="00706DCE" w:rsidRDefault="00C15C33" w:rsidP="0026771C">
            <w:pPr>
              <w:contextualSpacing/>
              <w:jc w:val="both"/>
              <w:rPr>
                <w:rFonts w:ascii="Arial" w:hAnsi="Arial" w:cs="Arial"/>
                <w:b w:val="0"/>
                <w:sz w:val="20"/>
                <w:szCs w:val="20"/>
              </w:rPr>
            </w:pPr>
            <w:r w:rsidRPr="00706DCE">
              <w:rPr>
                <w:rFonts w:ascii="Arial" w:hAnsi="Arial" w:cs="Arial"/>
                <w:b w:val="0"/>
                <w:sz w:val="20"/>
                <w:szCs w:val="20"/>
              </w:rPr>
              <w:t>Flash point (</w:t>
            </w:r>
            <w:proofErr w:type="spellStart"/>
            <w:r w:rsidRPr="00706DCE">
              <w:rPr>
                <w:rFonts w:ascii="Arial" w:hAnsi="Arial" w:cs="Arial"/>
                <w:b w:val="0"/>
                <w:sz w:val="20"/>
                <w:szCs w:val="20"/>
                <w:vertAlign w:val="superscript"/>
              </w:rPr>
              <w:t>o</w:t>
            </w:r>
            <w:r w:rsidRPr="00706DCE">
              <w:rPr>
                <w:rFonts w:ascii="Arial" w:hAnsi="Arial" w:cs="Arial"/>
                <w:b w:val="0"/>
                <w:sz w:val="20"/>
                <w:szCs w:val="20"/>
              </w:rPr>
              <w:t>C</w:t>
            </w:r>
            <w:proofErr w:type="spellEnd"/>
            <w:r w:rsidRPr="00706DCE">
              <w:rPr>
                <w:rFonts w:ascii="Arial" w:hAnsi="Arial" w:cs="Arial"/>
                <w:b w:val="0"/>
                <w:sz w:val="20"/>
                <w:szCs w:val="20"/>
              </w:rPr>
              <w:t>)/min</w:t>
            </w:r>
          </w:p>
        </w:tc>
        <w:tc>
          <w:tcPr>
            <w:tcW w:w="899" w:type="dxa"/>
          </w:tcPr>
          <w:p w14:paraId="6D0C6009" w14:textId="77777777" w:rsidR="00C15C33" w:rsidRPr="00706DCE" w:rsidRDefault="00C15C33" w:rsidP="0026771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c>
          <w:tcPr>
            <w:tcW w:w="1302" w:type="dxa"/>
          </w:tcPr>
          <w:p w14:paraId="0ECD30C9" w14:textId="77777777" w:rsidR="00C15C33" w:rsidRPr="00706DCE" w:rsidRDefault="00C15C33" w:rsidP="0026771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06DCE">
              <w:rPr>
                <w:rFonts w:ascii="Arial" w:hAnsi="Arial" w:cs="Arial"/>
                <w:bCs/>
                <w:sz w:val="20"/>
                <w:szCs w:val="20"/>
              </w:rPr>
              <w:t>130</w:t>
            </w:r>
          </w:p>
        </w:tc>
        <w:tc>
          <w:tcPr>
            <w:tcW w:w="1478" w:type="dxa"/>
          </w:tcPr>
          <w:p w14:paraId="70D537B4" w14:textId="77777777" w:rsidR="00C15C33" w:rsidRPr="00706DCE" w:rsidRDefault="00C15C33" w:rsidP="0026771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06DCE">
              <w:rPr>
                <w:rFonts w:ascii="Arial" w:hAnsi="Arial" w:cs="Arial"/>
                <w:bCs/>
                <w:sz w:val="20"/>
                <w:szCs w:val="20"/>
              </w:rPr>
              <w:t>130</w:t>
            </w:r>
          </w:p>
        </w:tc>
        <w:tc>
          <w:tcPr>
            <w:tcW w:w="1076" w:type="dxa"/>
          </w:tcPr>
          <w:p w14:paraId="3EC6E66F" w14:textId="77777777" w:rsidR="00C15C33" w:rsidRPr="00706DCE" w:rsidRDefault="00C15C33" w:rsidP="0026771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06DCE">
              <w:rPr>
                <w:rFonts w:ascii="Arial" w:hAnsi="Arial" w:cs="Arial"/>
                <w:bCs/>
                <w:sz w:val="20"/>
                <w:szCs w:val="20"/>
              </w:rPr>
              <w:t>69</w:t>
            </w:r>
          </w:p>
        </w:tc>
        <w:tc>
          <w:tcPr>
            <w:tcW w:w="1137" w:type="dxa"/>
          </w:tcPr>
          <w:p w14:paraId="6F82F57B" w14:textId="77777777" w:rsidR="00C15C33" w:rsidRPr="00706DCE" w:rsidRDefault="00C15C33" w:rsidP="0026771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06DCE">
              <w:rPr>
                <w:rFonts w:ascii="Arial" w:hAnsi="Arial" w:cs="Arial"/>
                <w:bCs/>
                <w:sz w:val="20"/>
                <w:szCs w:val="20"/>
              </w:rPr>
              <w:t>75</w:t>
            </w:r>
          </w:p>
        </w:tc>
      </w:tr>
      <w:tr w:rsidR="00C15C33" w:rsidRPr="00706DCE" w14:paraId="70A358F2" w14:textId="77777777" w:rsidTr="0026771C">
        <w:trPr>
          <w:cnfStyle w:val="000000100000" w:firstRow="0" w:lastRow="0" w:firstColumn="0" w:lastColumn="0" w:oddVBand="0" w:evenVBand="0" w:oddHBand="1" w:evenHBand="0" w:firstRowFirstColumn="0" w:firstRowLastColumn="0" w:lastRowFirstColumn="0" w:lastRowLastColumn="0"/>
          <w:trHeight w:val="548"/>
          <w:jc w:val="center"/>
        </w:trPr>
        <w:tc>
          <w:tcPr>
            <w:cnfStyle w:val="001000000000" w:firstRow="0" w:lastRow="0" w:firstColumn="1" w:lastColumn="0" w:oddVBand="0" w:evenVBand="0" w:oddHBand="0" w:evenHBand="0" w:firstRowFirstColumn="0" w:firstRowLastColumn="0" w:lastRowFirstColumn="0" w:lastRowLastColumn="0"/>
            <w:tcW w:w="2238" w:type="dxa"/>
          </w:tcPr>
          <w:p w14:paraId="25A4602E" w14:textId="77777777" w:rsidR="00C15C33" w:rsidRPr="00706DCE" w:rsidRDefault="00C15C33" w:rsidP="0026771C">
            <w:pPr>
              <w:contextualSpacing/>
              <w:jc w:val="both"/>
              <w:rPr>
                <w:rFonts w:ascii="Arial" w:hAnsi="Arial" w:cs="Arial"/>
                <w:b w:val="0"/>
                <w:sz w:val="20"/>
                <w:szCs w:val="20"/>
              </w:rPr>
            </w:pPr>
            <w:r w:rsidRPr="00706DCE">
              <w:rPr>
                <w:rFonts w:ascii="Arial" w:hAnsi="Arial" w:cs="Arial"/>
                <w:b w:val="0"/>
                <w:sz w:val="20"/>
                <w:szCs w:val="20"/>
              </w:rPr>
              <w:t>Kinematic viscosity (mm²/s at 40°C)</w:t>
            </w:r>
          </w:p>
        </w:tc>
        <w:tc>
          <w:tcPr>
            <w:tcW w:w="899" w:type="dxa"/>
          </w:tcPr>
          <w:p w14:paraId="2E0A8633" w14:textId="77777777" w:rsidR="00C15C33" w:rsidRPr="00706DCE" w:rsidRDefault="00C15C33" w:rsidP="0026771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tcW w:w="1302" w:type="dxa"/>
          </w:tcPr>
          <w:p w14:paraId="64CB22EC" w14:textId="77777777" w:rsidR="00C15C33" w:rsidRPr="00706DCE" w:rsidRDefault="00C15C33" w:rsidP="0026771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06DCE">
              <w:rPr>
                <w:rFonts w:ascii="Arial" w:hAnsi="Arial" w:cs="Arial"/>
                <w:bCs/>
                <w:sz w:val="20"/>
                <w:szCs w:val="20"/>
              </w:rPr>
              <w:t>1.90-6.00</w:t>
            </w:r>
          </w:p>
        </w:tc>
        <w:tc>
          <w:tcPr>
            <w:tcW w:w="1478" w:type="dxa"/>
          </w:tcPr>
          <w:p w14:paraId="6007B41D" w14:textId="77777777" w:rsidR="00C15C33" w:rsidRPr="00706DCE" w:rsidRDefault="00C15C33" w:rsidP="0026771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06DCE">
              <w:rPr>
                <w:rFonts w:ascii="Arial" w:hAnsi="Arial" w:cs="Arial"/>
                <w:bCs/>
                <w:sz w:val="20"/>
                <w:szCs w:val="20"/>
              </w:rPr>
              <w:t>1.90-6.00</w:t>
            </w:r>
          </w:p>
        </w:tc>
        <w:tc>
          <w:tcPr>
            <w:tcW w:w="1076" w:type="dxa"/>
          </w:tcPr>
          <w:p w14:paraId="2295AA75" w14:textId="77777777" w:rsidR="00C15C33" w:rsidRPr="00706DCE" w:rsidRDefault="00C15C33" w:rsidP="0026771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06DCE">
              <w:rPr>
                <w:rFonts w:ascii="Arial" w:hAnsi="Arial" w:cs="Arial"/>
                <w:bCs/>
                <w:sz w:val="20"/>
                <w:szCs w:val="20"/>
              </w:rPr>
              <w:t>3.80</w:t>
            </w:r>
          </w:p>
        </w:tc>
        <w:tc>
          <w:tcPr>
            <w:tcW w:w="1137" w:type="dxa"/>
          </w:tcPr>
          <w:p w14:paraId="62B90FE3" w14:textId="77777777" w:rsidR="00C15C33" w:rsidRPr="00706DCE" w:rsidRDefault="00C15C33" w:rsidP="0026771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06DCE">
              <w:rPr>
                <w:rFonts w:ascii="Arial" w:hAnsi="Arial" w:cs="Arial"/>
                <w:bCs/>
                <w:sz w:val="20"/>
                <w:szCs w:val="20"/>
              </w:rPr>
              <w:t>2.60</w:t>
            </w:r>
          </w:p>
        </w:tc>
      </w:tr>
      <w:tr w:rsidR="00C15C33" w:rsidRPr="00706DCE" w14:paraId="11447172" w14:textId="77777777" w:rsidTr="0026771C">
        <w:trPr>
          <w:trHeight w:val="350"/>
          <w:jc w:val="center"/>
        </w:trPr>
        <w:tc>
          <w:tcPr>
            <w:cnfStyle w:val="001000000000" w:firstRow="0" w:lastRow="0" w:firstColumn="1" w:lastColumn="0" w:oddVBand="0" w:evenVBand="0" w:oddHBand="0" w:evenHBand="0" w:firstRowFirstColumn="0" w:firstRowLastColumn="0" w:lastRowFirstColumn="0" w:lastRowLastColumn="0"/>
            <w:tcW w:w="2238" w:type="dxa"/>
          </w:tcPr>
          <w:p w14:paraId="459821D1" w14:textId="77777777" w:rsidR="00C15C33" w:rsidRPr="00706DCE" w:rsidRDefault="00C15C33" w:rsidP="0026771C">
            <w:pPr>
              <w:contextualSpacing/>
              <w:jc w:val="both"/>
              <w:rPr>
                <w:rFonts w:ascii="Arial" w:hAnsi="Arial" w:cs="Arial"/>
                <w:b w:val="0"/>
                <w:sz w:val="20"/>
                <w:szCs w:val="20"/>
              </w:rPr>
            </w:pPr>
            <w:r w:rsidRPr="00706DCE">
              <w:rPr>
                <w:rFonts w:ascii="Arial" w:hAnsi="Arial" w:cs="Arial"/>
                <w:b w:val="0"/>
                <w:sz w:val="20"/>
                <w:szCs w:val="20"/>
              </w:rPr>
              <w:t>Cetane rating</w:t>
            </w:r>
          </w:p>
        </w:tc>
        <w:tc>
          <w:tcPr>
            <w:tcW w:w="899" w:type="dxa"/>
          </w:tcPr>
          <w:p w14:paraId="785629F6" w14:textId="77777777" w:rsidR="00C15C33" w:rsidRPr="00706DCE" w:rsidRDefault="00C15C33" w:rsidP="0026771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c>
          <w:tcPr>
            <w:tcW w:w="1302" w:type="dxa"/>
          </w:tcPr>
          <w:p w14:paraId="1C94B6CF" w14:textId="77777777" w:rsidR="00C15C33" w:rsidRPr="00706DCE" w:rsidRDefault="00C15C33" w:rsidP="0026771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06DCE">
              <w:rPr>
                <w:rFonts w:ascii="Arial" w:hAnsi="Arial" w:cs="Arial"/>
                <w:bCs/>
                <w:sz w:val="20"/>
                <w:szCs w:val="20"/>
              </w:rPr>
              <w:t>47&gt;</w:t>
            </w:r>
          </w:p>
        </w:tc>
        <w:tc>
          <w:tcPr>
            <w:tcW w:w="1478" w:type="dxa"/>
          </w:tcPr>
          <w:p w14:paraId="1035E12B" w14:textId="77777777" w:rsidR="00C15C33" w:rsidRPr="00706DCE" w:rsidRDefault="00C15C33" w:rsidP="0026771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06DCE">
              <w:rPr>
                <w:rFonts w:ascii="Arial" w:hAnsi="Arial" w:cs="Arial"/>
                <w:bCs/>
                <w:sz w:val="20"/>
                <w:szCs w:val="20"/>
              </w:rPr>
              <w:t>48-60</w:t>
            </w:r>
          </w:p>
        </w:tc>
        <w:tc>
          <w:tcPr>
            <w:tcW w:w="1076" w:type="dxa"/>
          </w:tcPr>
          <w:p w14:paraId="7E0BEA69" w14:textId="77777777" w:rsidR="00C15C33" w:rsidRPr="00706DCE" w:rsidRDefault="00C15C33" w:rsidP="0026771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06DCE">
              <w:rPr>
                <w:rFonts w:ascii="Arial" w:hAnsi="Arial" w:cs="Arial"/>
                <w:bCs/>
                <w:sz w:val="20"/>
                <w:szCs w:val="20"/>
              </w:rPr>
              <w:t>55</w:t>
            </w:r>
          </w:p>
        </w:tc>
        <w:tc>
          <w:tcPr>
            <w:tcW w:w="1137" w:type="dxa"/>
          </w:tcPr>
          <w:p w14:paraId="2A2CBC66" w14:textId="77777777" w:rsidR="00C15C33" w:rsidRPr="00706DCE" w:rsidRDefault="00C15C33" w:rsidP="0026771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06DCE">
              <w:rPr>
                <w:rFonts w:ascii="Arial" w:hAnsi="Arial" w:cs="Arial"/>
                <w:bCs/>
                <w:sz w:val="20"/>
                <w:szCs w:val="20"/>
              </w:rPr>
              <w:t>51</w:t>
            </w:r>
          </w:p>
        </w:tc>
      </w:tr>
    </w:tbl>
    <w:p w14:paraId="09C0D478" w14:textId="77777777" w:rsidR="00C15C33" w:rsidRPr="00706DCE" w:rsidRDefault="00C15C33" w:rsidP="00C15C33">
      <w:pPr>
        <w:contextualSpacing/>
        <w:rPr>
          <w:rFonts w:ascii="Arial" w:hAnsi="Arial" w:cs="Arial"/>
        </w:rPr>
      </w:pPr>
    </w:p>
    <w:p w14:paraId="45A3BFF5" w14:textId="77777777" w:rsidR="00C30A0F" w:rsidRDefault="00C30A0F" w:rsidP="00441B6F">
      <w:pPr>
        <w:pStyle w:val="Body"/>
        <w:spacing w:after="0"/>
        <w:rPr>
          <w:rFonts w:ascii="Arial" w:hAnsi="Arial" w:cs="Arial"/>
        </w:rPr>
      </w:pPr>
      <w:r w:rsidRPr="00FB3A86">
        <w:rPr>
          <w:rFonts w:ascii="Arial" w:hAnsi="Arial" w:cs="Arial"/>
        </w:rPr>
        <w:t xml:space="preserve"> </w:t>
      </w:r>
    </w:p>
    <w:p w14:paraId="3607F4F8" w14:textId="77777777" w:rsidR="00E053D0" w:rsidRPr="001D162D" w:rsidRDefault="001D162D" w:rsidP="00441B6F">
      <w:pPr>
        <w:pStyle w:val="Body"/>
        <w:spacing w:after="0"/>
        <w:rPr>
          <w:rFonts w:ascii="Arial" w:hAnsi="Arial" w:cs="Arial"/>
          <w:b/>
          <w:sz w:val="22"/>
        </w:rPr>
      </w:pPr>
      <w:r w:rsidRPr="001D162D">
        <w:rPr>
          <w:rFonts w:ascii="Arial" w:hAnsi="Arial" w:cs="Arial"/>
          <w:b/>
          <w:sz w:val="22"/>
        </w:rPr>
        <w:t>4. DISCUSSION</w:t>
      </w:r>
    </w:p>
    <w:p w14:paraId="6A4D9533" w14:textId="77777777" w:rsidR="00790ADA" w:rsidRDefault="00790ADA" w:rsidP="00CD0F06">
      <w:pPr>
        <w:pStyle w:val="Body"/>
        <w:spacing w:after="0"/>
        <w:rPr>
          <w:rFonts w:ascii="Arial" w:hAnsi="Arial" w:cs="Arial"/>
        </w:rPr>
      </w:pPr>
    </w:p>
    <w:p w14:paraId="3D61ADD4" w14:textId="3BCBDCED" w:rsidR="00CD0F06" w:rsidRPr="00706DCE" w:rsidRDefault="00CD0F06" w:rsidP="00CD0F06">
      <w:pPr>
        <w:contextualSpacing/>
        <w:jc w:val="both"/>
        <w:rPr>
          <w:rFonts w:ascii="Arial" w:hAnsi="Arial" w:cs="Arial"/>
        </w:rPr>
      </w:pPr>
      <w:r w:rsidRPr="00CD0F06">
        <w:rPr>
          <w:rFonts w:ascii="Arial" w:eastAsia="Calibri" w:hAnsi="Arial" w:cs="Arial"/>
          <w:kern w:val="2"/>
        </w:rPr>
        <w:t>The mixed POME samp</w:t>
      </w:r>
      <w:r w:rsidR="00802B54">
        <w:rPr>
          <w:rFonts w:ascii="Arial" w:eastAsia="Calibri" w:hAnsi="Arial" w:cs="Arial"/>
          <w:kern w:val="2"/>
        </w:rPr>
        <w:t>le used in this study is contains</w:t>
      </w:r>
      <w:r w:rsidRPr="00CD0F06">
        <w:rPr>
          <w:rFonts w:ascii="Arial" w:eastAsia="Calibri" w:hAnsi="Arial" w:cs="Arial"/>
          <w:kern w:val="2"/>
        </w:rPr>
        <w:t xml:space="preserve"> diverse fatty acids. </w:t>
      </w:r>
      <w:r w:rsidR="00802B54">
        <w:rPr>
          <w:rFonts w:ascii="Arial" w:eastAsia="Calibri" w:hAnsi="Arial" w:cs="Arial"/>
          <w:kern w:val="2"/>
        </w:rPr>
        <w:t xml:space="preserve">In another report, the </w:t>
      </w:r>
      <w:r w:rsidRPr="00CD0F06">
        <w:rPr>
          <w:rFonts w:ascii="Arial" w:eastAsia="Calibri" w:hAnsi="Arial" w:cs="Arial"/>
          <w:kern w:val="2"/>
        </w:rPr>
        <w:t xml:space="preserve">primary compounds found in raw POME were oleic acid, pentadecanoic acid, monosaturated omega-9 fatty acid, octadecanoic acid (stearic acid), and </w:t>
      </w:r>
      <w:proofErr w:type="spellStart"/>
      <w:r w:rsidRPr="00CD0F06">
        <w:rPr>
          <w:rFonts w:ascii="Arial" w:eastAsia="Calibri" w:hAnsi="Arial" w:cs="Arial"/>
          <w:kern w:val="2"/>
        </w:rPr>
        <w:t>hexadecanoic</w:t>
      </w:r>
      <w:proofErr w:type="spellEnd"/>
      <w:r w:rsidRPr="00CD0F06">
        <w:rPr>
          <w:rFonts w:ascii="Arial" w:eastAsia="Calibri" w:hAnsi="Arial" w:cs="Arial"/>
          <w:kern w:val="2"/>
        </w:rPr>
        <w:t xml:space="preserve"> acid (palmitic acid) </w:t>
      </w:r>
      <w:r w:rsidR="007124B8">
        <w:rPr>
          <w:rFonts w:ascii="Arial" w:eastAsia="Calibri" w:hAnsi="Arial" w:cs="Arial"/>
          <w:kern w:val="2"/>
        </w:rPr>
        <w:t>(</w:t>
      </w:r>
      <w:proofErr w:type="spellStart"/>
      <w:r w:rsidR="007124B8" w:rsidRPr="007124B8">
        <w:rPr>
          <w:rFonts w:ascii="Arial" w:eastAsia="Calibri" w:hAnsi="Arial" w:cs="Arial"/>
          <w:kern w:val="2"/>
        </w:rPr>
        <w:t>Fibriana</w:t>
      </w:r>
      <w:proofErr w:type="spellEnd"/>
      <w:r w:rsidR="007124B8">
        <w:rPr>
          <w:rFonts w:ascii="Arial" w:eastAsia="Calibri" w:hAnsi="Arial" w:cs="Arial"/>
          <w:kern w:val="2"/>
        </w:rPr>
        <w:t xml:space="preserve"> et al., 2021)</w:t>
      </w:r>
      <w:r w:rsidRPr="00CD0F06">
        <w:rPr>
          <w:rFonts w:ascii="Arial" w:eastAsia="Calibri" w:hAnsi="Arial" w:cs="Arial"/>
          <w:kern w:val="2"/>
        </w:rPr>
        <w:t xml:space="preserve">. </w:t>
      </w:r>
      <w:r w:rsidR="00802B54">
        <w:rPr>
          <w:rFonts w:ascii="Arial" w:eastAsia="Calibri" w:hAnsi="Arial" w:cs="Arial"/>
          <w:kern w:val="2"/>
        </w:rPr>
        <w:t xml:space="preserve">Also, the </w:t>
      </w:r>
      <w:r w:rsidR="000E21C4" w:rsidRPr="00C15C33">
        <w:rPr>
          <w:rFonts w:ascii="Arial" w:eastAsia="Calibri" w:hAnsi="Arial" w:cs="Arial"/>
          <w:kern w:val="2"/>
        </w:rPr>
        <w:t xml:space="preserve">result of the present study is slightly lower than the fatty acids composition (mg/100 g) of biodiesel that was generated by </w:t>
      </w:r>
      <w:r w:rsidR="000E21C4" w:rsidRPr="00C15C33">
        <w:rPr>
          <w:rFonts w:ascii="Arial" w:eastAsia="Calibri" w:hAnsi="Arial" w:cs="Arial"/>
          <w:i/>
          <w:kern w:val="2"/>
        </w:rPr>
        <w:t xml:space="preserve">Streptomyces </w:t>
      </w:r>
      <w:proofErr w:type="spellStart"/>
      <w:r w:rsidR="000E21C4" w:rsidRPr="00C15C33">
        <w:rPr>
          <w:rFonts w:ascii="Arial" w:eastAsia="Calibri" w:hAnsi="Arial" w:cs="Arial"/>
          <w:i/>
          <w:kern w:val="2"/>
        </w:rPr>
        <w:t>fradiae</w:t>
      </w:r>
      <w:proofErr w:type="spellEnd"/>
      <w:r w:rsidR="000E21C4" w:rsidRPr="00C15C33">
        <w:rPr>
          <w:rFonts w:ascii="Arial" w:eastAsia="Calibri" w:hAnsi="Arial" w:cs="Arial"/>
          <w:kern w:val="2"/>
        </w:rPr>
        <w:t xml:space="preserve"> in another study. The report showed C6:0 content</w:t>
      </w:r>
      <w:r w:rsidR="002A1B8D">
        <w:rPr>
          <w:rFonts w:ascii="Arial" w:eastAsia="Calibri" w:hAnsi="Arial" w:cs="Arial"/>
          <w:kern w:val="2"/>
        </w:rPr>
        <w:t xml:space="preserve"> (%)</w:t>
      </w:r>
      <w:r w:rsidR="000E21C4" w:rsidRPr="00C15C33">
        <w:rPr>
          <w:rFonts w:ascii="Arial" w:eastAsia="Calibri" w:hAnsi="Arial" w:cs="Arial"/>
          <w:kern w:val="2"/>
        </w:rPr>
        <w:t xml:space="preserve"> of 5.36, C8:0 of 11.74, C10:0 of 1.23, C11:0 of 1.83, C12:0 of 14.25, C13:0 of 58.43, C14:1 of 56.16, C14:0 of 72.14, C15:1 of 83.65, C15:0 of 1.68, C16:1 of 28.13, C16:0 of 102.48, C17:1 of 23.56, C17:0 of 78.14, C18:2 of 2.04, C18:1 of 53.91, and C18:0 of 145.38 with total fat</w:t>
      </w:r>
      <w:r w:rsidR="000E21C4">
        <w:rPr>
          <w:rFonts w:ascii="Arial" w:eastAsia="Calibri" w:hAnsi="Arial" w:cs="Arial"/>
          <w:kern w:val="2"/>
        </w:rPr>
        <w:t xml:space="preserve">ty acid compounds of 44.884  </w:t>
      </w:r>
      <w:r w:rsidR="008C40E9">
        <w:rPr>
          <w:rFonts w:ascii="Arial" w:eastAsia="Calibri" w:hAnsi="Arial" w:cs="Arial"/>
          <w:kern w:val="2"/>
        </w:rPr>
        <w:t>(</w:t>
      </w:r>
      <w:r w:rsidR="008C40E9" w:rsidRPr="008C40E9">
        <w:rPr>
          <w:rFonts w:ascii="Arial" w:eastAsia="Calibri" w:hAnsi="Arial" w:cs="Arial"/>
          <w:kern w:val="2"/>
        </w:rPr>
        <w:t>Kumar</w:t>
      </w:r>
      <w:r w:rsidR="008C40E9">
        <w:rPr>
          <w:rFonts w:ascii="Arial" w:eastAsia="Calibri" w:hAnsi="Arial" w:cs="Arial"/>
          <w:kern w:val="2"/>
        </w:rPr>
        <w:t xml:space="preserve"> et al., 2024)</w:t>
      </w:r>
      <w:r w:rsidR="000E21C4" w:rsidRPr="00C15C33">
        <w:rPr>
          <w:rFonts w:ascii="Arial" w:eastAsia="Calibri" w:hAnsi="Arial" w:cs="Arial"/>
          <w:kern w:val="2"/>
        </w:rPr>
        <w:t xml:space="preserve">. However, there were more long chain fatty acids contents in the mixed POME used in the present study, with total fatty acid compounds of 45.884 </w:t>
      </w:r>
      <w:proofErr w:type="spellStart"/>
      <w:r w:rsidR="000E21C4" w:rsidRPr="00C15C33">
        <w:rPr>
          <w:rFonts w:ascii="Arial" w:eastAsia="Calibri" w:hAnsi="Arial" w:cs="Arial"/>
          <w:kern w:val="2"/>
        </w:rPr>
        <w:t>wt</w:t>
      </w:r>
      <w:proofErr w:type="spellEnd"/>
      <w:r w:rsidR="000E21C4" w:rsidRPr="00C15C33">
        <w:rPr>
          <w:rFonts w:ascii="Arial" w:eastAsia="Calibri" w:hAnsi="Arial" w:cs="Arial"/>
          <w:kern w:val="2"/>
        </w:rPr>
        <w:t>%.</w:t>
      </w:r>
    </w:p>
    <w:p w14:paraId="675671DC" w14:textId="77777777" w:rsidR="00CD0F06" w:rsidRDefault="00CD0F06" w:rsidP="00CD0F06">
      <w:pPr>
        <w:contextualSpacing/>
        <w:jc w:val="both"/>
        <w:rPr>
          <w:rFonts w:ascii="Arial" w:hAnsi="Arial" w:cs="Arial"/>
        </w:rPr>
      </w:pPr>
    </w:p>
    <w:p w14:paraId="7A5AE893" w14:textId="7E0CA9FE" w:rsidR="00CD0F06" w:rsidRPr="00CD0F06" w:rsidRDefault="00802B54" w:rsidP="00CD0F06">
      <w:pPr>
        <w:contextualSpacing/>
        <w:jc w:val="both"/>
        <w:rPr>
          <w:rFonts w:ascii="Arial" w:hAnsi="Arial" w:cs="Arial"/>
        </w:rPr>
      </w:pPr>
      <w:r>
        <w:rPr>
          <w:rFonts w:ascii="Arial" w:eastAsia="Calibri" w:hAnsi="Arial" w:cs="Arial"/>
          <w:kern w:val="2"/>
        </w:rPr>
        <w:t>There were</w:t>
      </w:r>
      <w:r w:rsidRPr="00CD0F06">
        <w:rPr>
          <w:rFonts w:ascii="Arial" w:eastAsia="Calibri" w:hAnsi="Arial" w:cs="Arial"/>
          <w:kern w:val="2"/>
        </w:rPr>
        <w:t xml:space="preserve"> divers</w:t>
      </w:r>
      <w:r>
        <w:rPr>
          <w:rFonts w:ascii="Arial" w:eastAsia="Calibri" w:hAnsi="Arial" w:cs="Arial"/>
          <w:kern w:val="2"/>
        </w:rPr>
        <w:t>e</w:t>
      </w:r>
      <w:r w:rsidRPr="00CD0F06">
        <w:rPr>
          <w:rFonts w:ascii="Arial" w:eastAsia="Calibri" w:hAnsi="Arial" w:cs="Arial"/>
          <w:kern w:val="2"/>
        </w:rPr>
        <w:t xml:space="preserve"> strains of microorganisms in the mixed POME sample used in this study. The presence of these microbial isolates in the mixed POME sample suggests possible contamination </w:t>
      </w:r>
      <w:r>
        <w:rPr>
          <w:rFonts w:ascii="Arial" w:eastAsia="Calibri" w:hAnsi="Arial" w:cs="Arial"/>
          <w:kern w:val="2"/>
        </w:rPr>
        <w:t>from the environment</w:t>
      </w:r>
      <w:r w:rsidRPr="00CD0F06">
        <w:rPr>
          <w:rFonts w:ascii="Arial" w:eastAsia="Calibri" w:hAnsi="Arial" w:cs="Arial"/>
          <w:kern w:val="2"/>
        </w:rPr>
        <w:t xml:space="preserve">. It has been reported that </w:t>
      </w:r>
      <w:r w:rsidRPr="00706DCE">
        <w:rPr>
          <w:rFonts w:ascii="Arial" w:hAnsi="Arial" w:cs="Arial"/>
        </w:rPr>
        <w:t>the amount of the microbial inoculum is cr</w:t>
      </w:r>
      <w:r>
        <w:rPr>
          <w:rFonts w:ascii="Arial" w:hAnsi="Arial" w:cs="Arial"/>
        </w:rPr>
        <w:t>ucial because a large inoculum results in</w:t>
      </w:r>
      <w:r w:rsidRPr="00706DCE">
        <w:rPr>
          <w:rFonts w:ascii="Arial" w:hAnsi="Arial" w:cs="Arial"/>
        </w:rPr>
        <w:t xml:space="preserve"> </w:t>
      </w:r>
      <w:r>
        <w:rPr>
          <w:rFonts w:ascii="Arial" w:hAnsi="Arial" w:cs="Arial"/>
        </w:rPr>
        <w:t>competition</w:t>
      </w:r>
      <w:r w:rsidRPr="00706DCE">
        <w:rPr>
          <w:rFonts w:ascii="Arial" w:hAnsi="Arial" w:cs="Arial"/>
        </w:rPr>
        <w:t>, while a small inoculum increases the lag phase a</w:t>
      </w:r>
      <w:r>
        <w:rPr>
          <w:rFonts w:ascii="Arial" w:hAnsi="Arial" w:cs="Arial"/>
        </w:rPr>
        <w:t xml:space="preserve">nd reduces lipase production </w:t>
      </w:r>
      <w:r>
        <w:rPr>
          <w:rFonts w:ascii="Arial" w:eastAsia="Calibri" w:hAnsi="Arial" w:cs="Arial"/>
          <w:kern w:val="2"/>
        </w:rPr>
        <w:t>(</w:t>
      </w:r>
      <w:proofErr w:type="spellStart"/>
      <w:r w:rsidRPr="007124B8">
        <w:rPr>
          <w:rFonts w:ascii="Arial" w:eastAsia="Calibri" w:hAnsi="Arial" w:cs="Arial"/>
          <w:kern w:val="2"/>
        </w:rPr>
        <w:t>Fibriana</w:t>
      </w:r>
      <w:proofErr w:type="spellEnd"/>
      <w:r>
        <w:rPr>
          <w:rFonts w:ascii="Arial" w:eastAsia="Calibri" w:hAnsi="Arial" w:cs="Arial"/>
          <w:kern w:val="2"/>
        </w:rPr>
        <w:t xml:space="preserve"> et al., 2022)</w:t>
      </w:r>
      <w:r w:rsidRPr="00706DCE">
        <w:rPr>
          <w:rFonts w:ascii="Arial" w:hAnsi="Arial" w:cs="Arial"/>
        </w:rPr>
        <w:t>.</w:t>
      </w:r>
      <w:r>
        <w:rPr>
          <w:rFonts w:ascii="Arial" w:hAnsi="Arial" w:cs="Arial"/>
        </w:rPr>
        <w:t xml:space="preserve">  </w:t>
      </w:r>
      <w:r w:rsidR="00CD0F06" w:rsidRPr="00706DCE">
        <w:rPr>
          <w:rFonts w:ascii="Arial" w:hAnsi="Arial" w:cs="Arial"/>
        </w:rPr>
        <w:t xml:space="preserve">Similar to the results of this investigation, a previous study involving 12 experimental runs reported that the co-culture of </w:t>
      </w:r>
      <w:r w:rsidR="00CD0F06" w:rsidRPr="00706DCE">
        <w:rPr>
          <w:rFonts w:ascii="Arial" w:hAnsi="Arial" w:cs="Arial"/>
          <w:i/>
        </w:rPr>
        <w:t>S. hominis</w:t>
      </w:r>
      <w:r w:rsidR="00CD0F06" w:rsidRPr="00706DCE">
        <w:rPr>
          <w:rFonts w:ascii="Arial" w:hAnsi="Arial" w:cs="Arial"/>
        </w:rPr>
        <w:t xml:space="preserve"> AUP19 and </w:t>
      </w:r>
      <w:r w:rsidR="00CD0F06" w:rsidRPr="00706DCE">
        <w:rPr>
          <w:rFonts w:ascii="Arial" w:hAnsi="Arial" w:cs="Arial"/>
          <w:i/>
        </w:rPr>
        <w:t xml:space="preserve">M. </w:t>
      </w:r>
      <w:proofErr w:type="spellStart"/>
      <w:r w:rsidR="00CD0F06" w:rsidRPr="00706DCE">
        <w:rPr>
          <w:rFonts w:ascii="Arial" w:hAnsi="Arial" w:cs="Arial"/>
          <w:i/>
        </w:rPr>
        <w:t>spicifer</w:t>
      </w:r>
      <w:proofErr w:type="spellEnd"/>
      <w:r w:rsidR="00CD0F06" w:rsidRPr="00706DCE">
        <w:rPr>
          <w:rFonts w:ascii="Arial" w:hAnsi="Arial" w:cs="Arial"/>
        </w:rPr>
        <w:t xml:space="preserve"> AW2 produced cell-bound lipase whose activity ranged from 1558 to 4342 U/L </w:t>
      </w:r>
      <w:r w:rsidR="00BA35A5">
        <w:rPr>
          <w:rFonts w:ascii="Arial" w:hAnsi="Arial" w:cs="Arial"/>
        </w:rPr>
        <w:t>(</w:t>
      </w:r>
      <w:r w:rsidR="00BA35A5" w:rsidRPr="00BA35A5">
        <w:rPr>
          <w:rFonts w:ascii="Arial" w:hAnsi="Arial" w:cs="Arial"/>
        </w:rPr>
        <w:t>López-Fernández</w:t>
      </w:r>
      <w:r w:rsidR="00BA35A5">
        <w:rPr>
          <w:rFonts w:ascii="Arial" w:hAnsi="Arial" w:cs="Arial"/>
        </w:rPr>
        <w:t xml:space="preserve"> et al., 2020</w:t>
      </w:r>
      <w:r w:rsidR="00113657">
        <w:rPr>
          <w:rFonts w:ascii="Arial" w:hAnsi="Arial" w:cs="Arial"/>
        </w:rPr>
        <w:t>)</w:t>
      </w:r>
      <w:r w:rsidR="00CD0F06" w:rsidRPr="00706DCE">
        <w:rPr>
          <w:rFonts w:ascii="Arial" w:hAnsi="Arial" w:cs="Arial"/>
        </w:rPr>
        <w:t>.</w:t>
      </w:r>
      <w:r w:rsidR="00CD0F06">
        <w:rPr>
          <w:rFonts w:ascii="Arial" w:hAnsi="Arial" w:cs="Arial"/>
        </w:rPr>
        <w:t xml:space="preserve"> </w:t>
      </w:r>
      <w:r w:rsidR="00CD0F06" w:rsidRPr="00706DCE">
        <w:rPr>
          <w:rFonts w:ascii="Arial" w:hAnsi="Arial" w:cs="Arial"/>
          <w:bCs/>
        </w:rPr>
        <w:t>Corroborating the results of the present study,</w:t>
      </w:r>
      <w:r w:rsidR="00113657">
        <w:rPr>
          <w:rFonts w:ascii="Arial" w:hAnsi="Arial" w:cs="Arial"/>
          <w:bCs/>
        </w:rPr>
        <w:t xml:space="preserve"> a</w:t>
      </w:r>
      <w:r w:rsidR="00CD0F06" w:rsidRPr="00706DCE">
        <w:rPr>
          <w:rFonts w:ascii="Arial" w:hAnsi="Arial" w:cs="Arial"/>
          <w:bCs/>
        </w:rPr>
        <w:t xml:space="preserve"> previous research has documented the production of biodiesels using several microbes. The most prevalent ones are </w:t>
      </w:r>
      <w:r w:rsidR="00CD0F06" w:rsidRPr="00706DCE">
        <w:rPr>
          <w:rFonts w:ascii="Arial" w:hAnsi="Arial" w:cs="Arial"/>
          <w:bCs/>
          <w:i/>
        </w:rPr>
        <w:t xml:space="preserve">Aspergillus </w:t>
      </w:r>
      <w:r w:rsidR="00CD0F06" w:rsidRPr="00706DCE">
        <w:rPr>
          <w:rFonts w:ascii="Arial" w:hAnsi="Arial" w:cs="Arial"/>
          <w:bCs/>
        </w:rPr>
        <w:t xml:space="preserve">(such as </w:t>
      </w:r>
      <w:r w:rsidR="00CD0F06" w:rsidRPr="00706DCE">
        <w:rPr>
          <w:rFonts w:ascii="Arial" w:hAnsi="Arial" w:cs="Arial"/>
          <w:bCs/>
          <w:i/>
        </w:rPr>
        <w:t xml:space="preserve">A. </w:t>
      </w:r>
      <w:proofErr w:type="spellStart"/>
      <w:r w:rsidR="00CD0F06" w:rsidRPr="00706DCE">
        <w:rPr>
          <w:rFonts w:ascii="Arial" w:hAnsi="Arial" w:cs="Arial"/>
          <w:bCs/>
          <w:i/>
        </w:rPr>
        <w:t>oryzae</w:t>
      </w:r>
      <w:proofErr w:type="spellEnd"/>
      <w:r w:rsidR="00CD0F06" w:rsidRPr="00706DCE">
        <w:rPr>
          <w:rFonts w:ascii="Arial" w:hAnsi="Arial" w:cs="Arial"/>
          <w:bCs/>
        </w:rPr>
        <w:t xml:space="preserve">), </w:t>
      </w:r>
      <w:proofErr w:type="spellStart"/>
      <w:r w:rsidR="00CD0F06" w:rsidRPr="00706DCE">
        <w:rPr>
          <w:rFonts w:ascii="Arial" w:hAnsi="Arial" w:cs="Arial"/>
          <w:bCs/>
          <w:i/>
        </w:rPr>
        <w:t>Geotrichum</w:t>
      </w:r>
      <w:proofErr w:type="spellEnd"/>
      <w:r w:rsidR="00CD0F06" w:rsidRPr="00706DCE">
        <w:rPr>
          <w:rFonts w:ascii="Arial" w:hAnsi="Arial" w:cs="Arial"/>
          <w:bCs/>
          <w:i/>
        </w:rPr>
        <w:t>,</w:t>
      </w:r>
      <w:r w:rsidR="00CD0F06" w:rsidRPr="00706DCE">
        <w:rPr>
          <w:rFonts w:ascii="Arial" w:hAnsi="Arial" w:cs="Arial"/>
          <w:bCs/>
        </w:rPr>
        <w:t xml:space="preserve"> </w:t>
      </w:r>
      <w:proofErr w:type="spellStart"/>
      <w:r w:rsidR="00CD0F06" w:rsidRPr="00706DCE">
        <w:rPr>
          <w:rFonts w:ascii="Arial" w:hAnsi="Arial" w:cs="Arial"/>
          <w:bCs/>
          <w:i/>
        </w:rPr>
        <w:t>Rhizomucor</w:t>
      </w:r>
      <w:proofErr w:type="spellEnd"/>
      <w:r w:rsidR="00CD0F06" w:rsidRPr="00706DCE">
        <w:rPr>
          <w:rFonts w:ascii="Arial" w:hAnsi="Arial" w:cs="Arial"/>
          <w:bCs/>
          <w:i/>
        </w:rPr>
        <w:t xml:space="preserve">, Penicillium, </w:t>
      </w:r>
      <w:proofErr w:type="spellStart"/>
      <w:r w:rsidR="00CD0F06" w:rsidRPr="00706DCE">
        <w:rPr>
          <w:rFonts w:ascii="Arial" w:hAnsi="Arial" w:cs="Arial"/>
          <w:bCs/>
          <w:i/>
        </w:rPr>
        <w:t>Thermomyces</w:t>
      </w:r>
      <w:proofErr w:type="spellEnd"/>
      <w:r w:rsidR="00CD0F06" w:rsidRPr="00706DCE">
        <w:rPr>
          <w:rFonts w:ascii="Arial" w:hAnsi="Arial" w:cs="Arial"/>
          <w:bCs/>
        </w:rPr>
        <w:t xml:space="preserve"> and </w:t>
      </w:r>
      <w:r w:rsidR="00CD0F06" w:rsidRPr="00706DCE">
        <w:rPr>
          <w:rFonts w:ascii="Arial" w:hAnsi="Arial" w:cs="Arial"/>
          <w:bCs/>
          <w:i/>
        </w:rPr>
        <w:t>Fusarium</w:t>
      </w:r>
      <w:r w:rsidR="00CD0F06" w:rsidRPr="00706DCE">
        <w:rPr>
          <w:rFonts w:ascii="Arial" w:hAnsi="Arial" w:cs="Arial"/>
          <w:bCs/>
        </w:rPr>
        <w:t xml:space="preserve"> </w:t>
      </w:r>
      <w:r w:rsidR="00653F24">
        <w:rPr>
          <w:rFonts w:ascii="Arial" w:hAnsi="Arial" w:cs="Arial"/>
          <w:bCs/>
        </w:rPr>
        <w:t>(</w:t>
      </w:r>
      <w:proofErr w:type="spellStart"/>
      <w:r w:rsidR="00653F24">
        <w:rPr>
          <w:rFonts w:ascii="Arial" w:hAnsi="Arial" w:cs="Arial"/>
          <w:bCs/>
        </w:rPr>
        <w:t>Wachtmeister</w:t>
      </w:r>
      <w:proofErr w:type="spellEnd"/>
      <w:r w:rsidR="00653F24">
        <w:rPr>
          <w:rFonts w:ascii="Arial" w:hAnsi="Arial" w:cs="Arial"/>
          <w:bCs/>
        </w:rPr>
        <w:t xml:space="preserve"> &amp;</w:t>
      </w:r>
      <w:r w:rsidR="00653F24" w:rsidRPr="00653F24">
        <w:rPr>
          <w:rFonts w:ascii="Arial" w:hAnsi="Arial" w:cs="Arial"/>
          <w:bCs/>
        </w:rPr>
        <w:t xml:space="preserve"> Rother</w:t>
      </w:r>
      <w:r w:rsidR="00653F24">
        <w:rPr>
          <w:rFonts w:ascii="Arial" w:hAnsi="Arial" w:cs="Arial"/>
          <w:bCs/>
        </w:rPr>
        <w:t>, 2016)</w:t>
      </w:r>
      <w:r w:rsidR="00CD0F06" w:rsidRPr="00706DCE">
        <w:rPr>
          <w:rFonts w:ascii="Arial" w:hAnsi="Arial" w:cs="Arial"/>
          <w:bCs/>
        </w:rPr>
        <w:t xml:space="preserve">. The bacteria </w:t>
      </w:r>
      <w:r w:rsidR="00CD0F06" w:rsidRPr="00706DCE">
        <w:rPr>
          <w:rFonts w:ascii="Arial" w:hAnsi="Arial" w:cs="Arial"/>
          <w:bCs/>
          <w:i/>
        </w:rPr>
        <w:t>Bacillus</w:t>
      </w:r>
      <w:r w:rsidR="00CD0F06" w:rsidRPr="00706DCE">
        <w:rPr>
          <w:rFonts w:ascii="Arial" w:hAnsi="Arial" w:cs="Arial"/>
          <w:bCs/>
        </w:rPr>
        <w:t xml:space="preserve"> and </w:t>
      </w:r>
      <w:r w:rsidR="00CD0F06" w:rsidRPr="00706DCE">
        <w:rPr>
          <w:rFonts w:ascii="Arial" w:hAnsi="Arial" w:cs="Arial"/>
          <w:bCs/>
          <w:i/>
        </w:rPr>
        <w:t xml:space="preserve">Pseudomonas, </w:t>
      </w:r>
      <w:r w:rsidR="00CD0F06" w:rsidRPr="00706DCE">
        <w:rPr>
          <w:rFonts w:ascii="Arial" w:hAnsi="Arial" w:cs="Arial"/>
          <w:bCs/>
        </w:rPr>
        <w:t>spp., and the yeasts</w:t>
      </w:r>
      <w:r w:rsidR="007B4498">
        <w:rPr>
          <w:rFonts w:ascii="Arial" w:hAnsi="Arial" w:cs="Arial"/>
          <w:bCs/>
        </w:rPr>
        <w:t>,</w:t>
      </w:r>
      <w:r w:rsidR="00CD0F06" w:rsidRPr="00706DCE">
        <w:rPr>
          <w:rFonts w:ascii="Arial" w:hAnsi="Arial" w:cs="Arial"/>
          <w:bCs/>
        </w:rPr>
        <w:t xml:space="preserve"> </w:t>
      </w:r>
      <w:r w:rsidR="007B4498">
        <w:rPr>
          <w:rFonts w:ascii="Arial" w:hAnsi="Arial" w:cs="Arial"/>
          <w:bCs/>
          <w:i/>
        </w:rPr>
        <w:t xml:space="preserve">Candida </w:t>
      </w:r>
      <w:proofErr w:type="spellStart"/>
      <w:r w:rsidR="007B4498">
        <w:rPr>
          <w:rFonts w:ascii="Arial" w:hAnsi="Arial" w:cs="Arial"/>
          <w:bCs/>
          <w:i/>
        </w:rPr>
        <w:t>a</w:t>
      </w:r>
      <w:r w:rsidR="00CD0F06" w:rsidRPr="00706DCE">
        <w:rPr>
          <w:rFonts w:ascii="Arial" w:hAnsi="Arial" w:cs="Arial"/>
          <w:bCs/>
          <w:i/>
        </w:rPr>
        <w:t>ntarctica</w:t>
      </w:r>
      <w:proofErr w:type="spellEnd"/>
      <w:r w:rsidR="00CD0F06" w:rsidRPr="00706DCE">
        <w:rPr>
          <w:rFonts w:ascii="Arial" w:hAnsi="Arial" w:cs="Arial"/>
          <w:bCs/>
          <w:i/>
        </w:rPr>
        <w:t>,</w:t>
      </w:r>
      <w:r w:rsidR="00CD0F06" w:rsidRPr="00706DCE">
        <w:rPr>
          <w:rFonts w:ascii="Arial" w:hAnsi="Arial" w:cs="Arial"/>
          <w:bCs/>
        </w:rPr>
        <w:t xml:space="preserve"> </w:t>
      </w:r>
      <w:proofErr w:type="spellStart"/>
      <w:r w:rsidR="00CD0F06" w:rsidRPr="00706DCE">
        <w:rPr>
          <w:rFonts w:ascii="Arial" w:hAnsi="Arial" w:cs="Arial"/>
          <w:bCs/>
          <w:i/>
        </w:rPr>
        <w:t>Yarrowia</w:t>
      </w:r>
      <w:proofErr w:type="spellEnd"/>
      <w:r w:rsidR="00CD0F06" w:rsidRPr="00706DCE">
        <w:rPr>
          <w:rFonts w:ascii="Arial" w:hAnsi="Arial" w:cs="Arial"/>
          <w:bCs/>
          <w:i/>
        </w:rPr>
        <w:t xml:space="preserve"> </w:t>
      </w:r>
      <w:proofErr w:type="spellStart"/>
      <w:r w:rsidR="00CD0F06" w:rsidRPr="00706DCE">
        <w:rPr>
          <w:rFonts w:ascii="Arial" w:hAnsi="Arial" w:cs="Arial"/>
          <w:bCs/>
          <w:i/>
        </w:rPr>
        <w:t>lipolytica</w:t>
      </w:r>
      <w:proofErr w:type="spellEnd"/>
      <w:r w:rsidR="00CD0F06" w:rsidRPr="00706DCE">
        <w:rPr>
          <w:rFonts w:ascii="Arial" w:hAnsi="Arial" w:cs="Arial"/>
          <w:bCs/>
          <w:i/>
        </w:rPr>
        <w:t xml:space="preserve">, </w:t>
      </w:r>
      <w:r w:rsidR="00CD0F06" w:rsidRPr="00706DCE">
        <w:rPr>
          <w:rFonts w:ascii="Arial" w:hAnsi="Arial" w:cs="Arial"/>
          <w:bCs/>
        </w:rPr>
        <w:t xml:space="preserve">and </w:t>
      </w:r>
      <w:proofErr w:type="spellStart"/>
      <w:r w:rsidR="00CD0F06" w:rsidRPr="00706DCE">
        <w:rPr>
          <w:rFonts w:ascii="Arial" w:hAnsi="Arial" w:cs="Arial"/>
          <w:bCs/>
          <w:i/>
        </w:rPr>
        <w:t>Rhodotorula</w:t>
      </w:r>
      <w:proofErr w:type="spellEnd"/>
      <w:r w:rsidR="00CD0F06" w:rsidRPr="00706DCE">
        <w:rPr>
          <w:rFonts w:ascii="Arial" w:hAnsi="Arial" w:cs="Arial"/>
          <w:bCs/>
        </w:rPr>
        <w:t xml:space="preserve"> sp. are among the other native lipase producers </w:t>
      </w:r>
      <w:r w:rsidR="00E76692">
        <w:rPr>
          <w:rFonts w:ascii="Arial" w:hAnsi="Arial" w:cs="Arial"/>
          <w:bCs/>
        </w:rPr>
        <w:t>(</w:t>
      </w:r>
      <w:r w:rsidR="003F022F">
        <w:rPr>
          <w:rFonts w:ascii="Arial" w:hAnsi="Arial" w:cs="Arial"/>
          <w:bCs/>
        </w:rPr>
        <w:t>Spanou et al., 2024)</w:t>
      </w:r>
      <w:r w:rsidR="00CD0F06" w:rsidRPr="00706DCE">
        <w:rPr>
          <w:rFonts w:ascii="Arial" w:hAnsi="Arial" w:cs="Arial"/>
          <w:bCs/>
        </w:rPr>
        <w:t>.</w:t>
      </w:r>
      <w:r w:rsidR="00CD0F06" w:rsidRPr="00706DCE">
        <w:rPr>
          <w:rFonts w:ascii="Arial" w:hAnsi="Arial" w:cs="Arial"/>
        </w:rPr>
        <w:t xml:space="preserve"> In </w:t>
      </w:r>
      <w:r w:rsidR="00CD0F06" w:rsidRPr="00706DCE">
        <w:rPr>
          <w:rFonts w:ascii="Arial" w:hAnsi="Arial" w:cs="Arial"/>
          <w:bCs/>
        </w:rPr>
        <w:t xml:space="preserve">whole-cell bioconversion of substrate by cell-bound or intracellular lipases, the rate-limiting steps may include cellular metabolism, low mass </w:t>
      </w:r>
      <w:r w:rsidR="00CD0F06" w:rsidRPr="00706DCE">
        <w:rPr>
          <w:rFonts w:ascii="Arial" w:hAnsi="Arial" w:cs="Arial"/>
          <w:bCs/>
        </w:rPr>
        <w:lastRenderedPageBreak/>
        <w:t xml:space="preserve">transfer rates of high molecular weight substrates from the solvent to the biocatalyst, the toxicity of the alcohol used and protein synthesis </w:t>
      </w:r>
      <w:r w:rsidR="009A61CB">
        <w:rPr>
          <w:rFonts w:ascii="Arial" w:hAnsi="Arial" w:cs="Arial"/>
          <w:bCs/>
        </w:rPr>
        <w:t>(</w:t>
      </w:r>
      <w:proofErr w:type="spellStart"/>
      <w:r w:rsidR="009A61CB" w:rsidRPr="009A61CB">
        <w:rPr>
          <w:rFonts w:ascii="Arial" w:hAnsi="Arial" w:cs="Arial"/>
          <w:bCs/>
        </w:rPr>
        <w:t>Ghaderinezhad</w:t>
      </w:r>
      <w:proofErr w:type="spellEnd"/>
      <w:r w:rsidR="009A61CB">
        <w:rPr>
          <w:rFonts w:ascii="Arial" w:hAnsi="Arial" w:cs="Arial"/>
          <w:bCs/>
        </w:rPr>
        <w:t xml:space="preserve"> et al., 2014)</w:t>
      </w:r>
      <w:r w:rsidR="00CD0F06" w:rsidRPr="00706DCE">
        <w:rPr>
          <w:rFonts w:ascii="Arial" w:hAnsi="Arial" w:cs="Arial"/>
          <w:bCs/>
        </w:rPr>
        <w:t>.</w:t>
      </w:r>
    </w:p>
    <w:p w14:paraId="0C993F93" w14:textId="77777777" w:rsidR="00A20A6C" w:rsidRDefault="00A20A6C" w:rsidP="00CD0F06">
      <w:pPr>
        <w:contextualSpacing/>
        <w:jc w:val="both"/>
        <w:rPr>
          <w:rFonts w:ascii="Arial" w:hAnsi="Arial" w:cs="Arial"/>
          <w:bCs/>
        </w:rPr>
      </w:pPr>
    </w:p>
    <w:p w14:paraId="6E289ABB" w14:textId="3FFF4EA2" w:rsidR="00CD0F06" w:rsidRPr="00706DCE" w:rsidRDefault="00CD0F06" w:rsidP="00CD0F06">
      <w:pPr>
        <w:contextualSpacing/>
        <w:jc w:val="both"/>
        <w:rPr>
          <w:rFonts w:ascii="Arial" w:hAnsi="Arial" w:cs="Arial"/>
        </w:rPr>
      </w:pPr>
      <w:r w:rsidRPr="00706DCE">
        <w:rPr>
          <w:rFonts w:ascii="Arial" w:hAnsi="Arial" w:cs="Arial"/>
          <w:bCs/>
        </w:rPr>
        <w:t xml:space="preserve">According to a recent study, the yield of biodiesel </w:t>
      </w:r>
      <w:r w:rsidR="003605D6">
        <w:rPr>
          <w:rFonts w:ascii="Arial" w:hAnsi="Arial" w:cs="Arial"/>
          <w:bCs/>
        </w:rPr>
        <w:t>yield from</w:t>
      </w:r>
      <w:r w:rsidRPr="00706DCE">
        <w:rPr>
          <w:rFonts w:ascii="Arial" w:hAnsi="Arial" w:cs="Arial"/>
          <w:bCs/>
        </w:rPr>
        <w:t xml:space="preserve"> </w:t>
      </w:r>
      <w:r w:rsidR="003605D6">
        <w:rPr>
          <w:rFonts w:ascii="Arial" w:hAnsi="Arial" w:cs="Arial"/>
          <w:bCs/>
        </w:rPr>
        <w:t xml:space="preserve">the </w:t>
      </w:r>
      <w:r w:rsidRPr="00706DCE">
        <w:rPr>
          <w:rFonts w:ascii="Arial" w:hAnsi="Arial" w:cs="Arial"/>
          <w:bCs/>
        </w:rPr>
        <w:t xml:space="preserve">esterification and transesterification using cell-bound lipases from a co-culture of </w:t>
      </w:r>
      <w:r w:rsidRPr="00706DCE">
        <w:rPr>
          <w:rFonts w:ascii="Arial" w:hAnsi="Arial" w:cs="Arial"/>
          <w:bCs/>
          <w:i/>
        </w:rPr>
        <w:t>Staphylococcus hominis</w:t>
      </w:r>
      <w:r w:rsidRPr="00706DCE">
        <w:rPr>
          <w:rFonts w:ascii="Arial" w:hAnsi="Arial" w:cs="Arial"/>
          <w:bCs/>
        </w:rPr>
        <w:t xml:space="preserve"> AUP19 and </w:t>
      </w:r>
      <w:proofErr w:type="spellStart"/>
      <w:r w:rsidRPr="00706DCE">
        <w:rPr>
          <w:rFonts w:ascii="Arial" w:hAnsi="Arial" w:cs="Arial"/>
          <w:bCs/>
          <w:i/>
        </w:rPr>
        <w:t>Magnusiomyces</w:t>
      </w:r>
      <w:proofErr w:type="spellEnd"/>
      <w:r w:rsidRPr="00706DCE">
        <w:rPr>
          <w:rFonts w:ascii="Arial" w:hAnsi="Arial" w:cs="Arial"/>
          <w:bCs/>
          <w:i/>
        </w:rPr>
        <w:t xml:space="preserve"> </w:t>
      </w:r>
      <w:proofErr w:type="spellStart"/>
      <w:r w:rsidRPr="00706DCE">
        <w:rPr>
          <w:rFonts w:ascii="Arial" w:hAnsi="Arial" w:cs="Arial"/>
          <w:bCs/>
          <w:i/>
        </w:rPr>
        <w:t>spicifer</w:t>
      </w:r>
      <w:proofErr w:type="spellEnd"/>
      <w:r w:rsidRPr="00706DCE">
        <w:rPr>
          <w:rFonts w:ascii="Arial" w:hAnsi="Arial" w:cs="Arial"/>
          <w:bCs/>
        </w:rPr>
        <w:t xml:space="preserve"> AW2 as biocatalysts was 76% and 87%, respectively </w:t>
      </w:r>
      <w:r w:rsidR="005B61F0">
        <w:rPr>
          <w:rFonts w:ascii="Arial" w:hAnsi="Arial" w:cs="Arial"/>
        </w:rPr>
        <w:t>(</w:t>
      </w:r>
      <w:r w:rsidR="005B61F0" w:rsidRPr="00BA35A5">
        <w:rPr>
          <w:rFonts w:ascii="Arial" w:hAnsi="Arial" w:cs="Arial"/>
        </w:rPr>
        <w:t>López-Fernández</w:t>
      </w:r>
      <w:r w:rsidR="005B61F0">
        <w:rPr>
          <w:rFonts w:ascii="Arial" w:hAnsi="Arial" w:cs="Arial"/>
        </w:rPr>
        <w:t xml:space="preserve"> et al., 2020)</w:t>
      </w:r>
      <w:r w:rsidR="005B61F0" w:rsidRPr="00706DCE">
        <w:rPr>
          <w:rFonts w:ascii="Arial" w:hAnsi="Arial" w:cs="Arial"/>
        </w:rPr>
        <w:t>.</w:t>
      </w:r>
      <w:r w:rsidRPr="00706DCE">
        <w:rPr>
          <w:rFonts w:ascii="Arial" w:hAnsi="Arial" w:cs="Arial"/>
          <w:bCs/>
        </w:rPr>
        <w:t xml:space="preserve"> These yields exceeded the</w:t>
      </w:r>
      <w:r w:rsidR="0024147F">
        <w:rPr>
          <w:rFonts w:ascii="Arial" w:hAnsi="Arial" w:cs="Arial"/>
          <w:bCs/>
        </w:rPr>
        <w:t xml:space="preserve"> yield</w:t>
      </w:r>
      <w:r w:rsidRPr="00706DCE">
        <w:rPr>
          <w:rFonts w:ascii="Arial" w:hAnsi="Arial" w:cs="Arial"/>
          <w:bCs/>
        </w:rPr>
        <w:t xml:space="preserve"> </w:t>
      </w:r>
      <w:r w:rsidR="0024147F">
        <w:rPr>
          <w:rFonts w:ascii="Arial" w:hAnsi="Arial" w:cs="Arial"/>
          <w:bCs/>
        </w:rPr>
        <w:t>recorded in</w:t>
      </w:r>
      <w:r w:rsidRPr="00706DCE">
        <w:rPr>
          <w:rFonts w:ascii="Arial" w:hAnsi="Arial" w:cs="Arial"/>
          <w:bCs/>
        </w:rPr>
        <w:t xml:space="preserve"> the current study</w:t>
      </w:r>
      <w:r w:rsidR="00A14D3D">
        <w:rPr>
          <w:rFonts w:ascii="Arial" w:hAnsi="Arial" w:cs="Arial"/>
          <w:bCs/>
        </w:rPr>
        <w:t xml:space="preserve"> which stood at 40%</w:t>
      </w:r>
      <w:r w:rsidRPr="00706DCE">
        <w:rPr>
          <w:rFonts w:ascii="Arial" w:hAnsi="Arial" w:cs="Arial"/>
          <w:bCs/>
        </w:rPr>
        <w:t xml:space="preserve">. But it is noteworthy that the authors supplemented their POME with nitrogen sources, such as ammonium sulfate (AS), yeast extract (YE), urea (UR), ammonium nitrate (AN), beef extract (BE), and </w:t>
      </w:r>
      <w:proofErr w:type="spellStart"/>
      <w:r w:rsidRPr="00706DCE">
        <w:rPr>
          <w:rFonts w:ascii="Arial" w:hAnsi="Arial" w:cs="Arial"/>
          <w:bCs/>
        </w:rPr>
        <w:t>soytone</w:t>
      </w:r>
      <w:proofErr w:type="spellEnd"/>
      <w:r w:rsidRPr="00706DCE">
        <w:rPr>
          <w:rFonts w:ascii="Arial" w:hAnsi="Arial" w:cs="Arial"/>
          <w:bCs/>
        </w:rPr>
        <w:t xml:space="preserve"> (SY), which reportedly increased cell-bound lipases. This is in addition to the variations in co-culture types or production conditions between the two studies.</w:t>
      </w:r>
      <w:r w:rsidR="008F111D">
        <w:rPr>
          <w:rFonts w:ascii="Arial" w:hAnsi="Arial" w:cs="Arial"/>
          <w:bCs/>
        </w:rPr>
        <w:t xml:space="preserve"> It is also possible that the process condition used in this study were not maximally </w:t>
      </w:r>
      <w:proofErr w:type="spellStart"/>
      <w:r w:rsidR="008F111D">
        <w:rPr>
          <w:rFonts w:ascii="Arial" w:hAnsi="Arial" w:cs="Arial"/>
          <w:bCs/>
        </w:rPr>
        <w:t>favourable</w:t>
      </w:r>
      <w:proofErr w:type="spellEnd"/>
      <w:r w:rsidR="008F111D">
        <w:rPr>
          <w:rFonts w:ascii="Arial" w:hAnsi="Arial" w:cs="Arial"/>
          <w:bCs/>
        </w:rPr>
        <w:t xml:space="preserve"> to trans</w:t>
      </w:r>
      <w:r w:rsidR="009959A4">
        <w:rPr>
          <w:rFonts w:ascii="Arial" w:hAnsi="Arial" w:cs="Arial"/>
          <w:bCs/>
        </w:rPr>
        <w:t>esterification of the POME. Thus, there is</w:t>
      </w:r>
      <w:r w:rsidR="00384D0C">
        <w:rPr>
          <w:rFonts w:ascii="Arial" w:hAnsi="Arial" w:cs="Arial"/>
          <w:bCs/>
        </w:rPr>
        <w:t xml:space="preserve"> a</w:t>
      </w:r>
      <w:r w:rsidR="008F111D">
        <w:rPr>
          <w:rFonts w:ascii="Arial" w:hAnsi="Arial" w:cs="Arial"/>
          <w:bCs/>
        </w:rPr>
        <w:t xml:space="preserve"> </w:t>
      </w:r>
      <w:r w:rsidR="009959A4">
        <w:rPr>
          <w:rFonts w:ascii="Arial" w:hAnsi="Arial" w:cs="Arial"/>
          <w:bCs/>
        </w:rPr>
        <w:t xml:space="preserve">need for the </w:t>
      </w:r>
      <w:r w:rsidR="008F111D">
        <w:rPr>
          <w:rFonts w:ascii="Arial" w:hAnsi="Arial" w:cs="Arial"/>
          <w:bCs/>
        </w:rPr>
        <w:t>optimization of relevant parameters to ensure higher yields of biodiesel.</w:t>
      </w:r>
    </w:p>
    <w:p w14:paraId="26C4D7D8" w14:textId="77777777" w:rsidR="00CD0F06" w:rsidRDefault="00CD0F06" w:rsidP="00CD0F06">
      <w:pPr>
        <w:contextualSpacing/>
        <w:jc w:val="both"/>
        <w:rPr>
          <w:rFonts w:ascii="Arial" w:eastAsia="Calibri" w:hAnsi="Arial" w:cs="Arial"/>
          <w:bCs/>
          <w:kern w:val="2"/>
        </w:rPr>
      </w:pPr>
    </w:p>
    <w:p w14:paraId="153F64E5" w14:textId="36E1DBC6" w:rsidR="001D162D" w:rsidRDefault="00CD0F06" w:rsidP="00CD0F06">
      <w:pPr>
        <w:contextualSpacing/>
        <w:jc w:val="both"/>
        <w:rPr>
          <w:rFonts w:ascii="Arial" w:hAnsi="Arial" w:cs="Arial"/>
        </w:rPr>
      </w:pPr>
      <w:r w:rsidRPr="00CD0F06">
        <w:rPr>
          <w:rFonts w:ascii="Arial" w:eastAsia="Calibri" w:hAnsi="Arial" w:cs="Arial"/>
          <w:bCs/>
          <w:kern w:val="2"/>
        </w:rPr>
        <w:t xml:space="preserve">The results of the fatty acid composition of the biodiesel produced in this study </w:t>
      </w:r>
      <w:proofErr w:type="spellStart"/>
      <w:r w:rsidRPr="00CD0F06">
        <w:rPr>
          <w:rFonts w:ascii="Arial" w:eastAsia="Calibri" w:hAnsi="Arial" w:cs="Arial"/>
          <w:bCs/>
          <w:kern w:val="2"/>
        </w:rPr>
        <w:t>favourably</w:t>
      </w:r>
      <w:proofErr w:type="spellEnd"/>
      <w:r w:rsidRPr="00CD0F06">
        <w:rPr>
          <w:rFonts w:ascii="Arial" w:eastAsia="Calibri" w:hAnsi="Arial" w:cs="Arial"/>
          <w:bCs/>
          <w:kern w:val="2"/>
        </w:rPr>
        <w:t xml:space="preserve"> compares to those of another related study which reported that the result of GC-MS characterization of biodiesel produced by </w:t>
      </w:r>
      <w:r w:rsidRPr="00CD0F06">
        <w:rPr>
          <w:rFonts w:ascii="Arial" w:eastAsia="Calibri" w:hAnsi="Arial" w:cs="Arial"/>
          <w:bCs/>
          <w:i/>
          <w:kern w:val="2"/>
        </w:rPr>
        <w:t>M. indica</w:t>
      </w:r>
      <w:r w:rsidRPr="00CD0F06">
        <w:rPr>
          <w:rFonts w:ascii="Arial" w:eastAsia="Calibri" w:hAnsi="Arial" w:cs="Arial"/>
          <w:bCs/>
          <w:kern w:val="2"/>
        </w:rPr>
        <w:t xml:space="preserve"> showed methyl stearate (17.44%), 9-Octadecenoic acid (Z)-methyl ester (26.95%), and </w:t>
      </w:r>
      <w:proofErr w:type="spellStart"/>
      <w:r w:rsidRPr="00CD0F06">
        <w:rPr>
          <w:rFonts w:ascii="Arial" w:eastAsia="Calibri" w:hAnsi="Arial" w:cs="Arial"/>
          <w:bCs/>
          <w:kern w:val="2"/>
        </w:rPr>
        <w:t>hexadecan</w:t>
      </w:r>
      <w:r w:rsidR="00666C8E">
        <w:rPr>
          <w:rFonts w:ascii="Arial" w:eastAsia="Calibri" w:hAnsi="Arial" w:cs="Arial"/>
          <w:bCs/>
          <w:kern w:val="2"/>
        </w:rPr>
        <w:t>oic</w:t>
      </w:r>
      <w:proofErr w:type="spellEnd"/>
      <w:r w:rsidR="00666C8E">
        <w:rPr>
          <w:rFonts w:ascii="Arial" w:eastAsia="Calibri" w:hAnsi="Arial" w:cs="Arial"/>
          <w:bCs/>
          <w:kern w:val="2"/>
        </w:rPr>
        <w:t xml:space="preserve"> acid, methyl ester (27.69%). It added that</w:t>
      </w:r>
      <w:r w:rsidRPr="00CD0F06">
        <w:rPr>
          <w:rFonts w:ascii="Arial" w:eastAsia="Calibri" w:hAnsi="Arial" w:cs="Arial"/>
          <w:bCs/>
          <w:kern w:val="2"/>
        </w:rPr>
        <w:t xml:space="preserve"> the</w:t>
      </w:r>
      <w:r w:rsidR="00666C8E">
        <w:rPr>
          <w:rFonts w:ascii="Arial" w:eastAsia="Calibri" w:hAnsi="Arial" w:cs="Arial"/>
          <w:bCs/>
          <w:kern w:val="2"/>
        </w:rPr>
        <w:t>se were the</w:t>
      </w:r>
      <w:r w:rsidRPr="00CD0F06">
        <w:rPr>
          <w:rFonts w:ascii="Arial" w:eastAsia="Calibri" w:hAnsi="Arial" w:cs="Arial"/>
          <w:bCs/>
          <w:kern w:val="2"/>
        </w:rPr>
        <w:t xml:space="preserve"> predominant compounds that gave biodiesel its oxidative stability and combustion efficiency. Additionally, there was 9,12-Octadecadienoic acid (</w:t>
      </w:r>
      <w:proofErr w:type="gramStart"/>
      <w:r w:rsidRPr="00CD0F06">
        <w:rPr>
          <w:rFonts w:ascii="Arial" w:eastAsia="Calibri" w:hAnsi="Arial" w:cs="Arial"/>
          <w:bCs/>
          <w:kern w:val="2"/>
        </w:rPr>
        <w:t>Z,Z</w:t>
      </w:r>
      <w:proofErr w:type="gramEnd"/>
      <w:r w:rsidRPr="00CD0F06">
        <w:rPr>
          <w:rFonts w:ascii="Arial" w:eastAsia="Calibri" w:hAnsi="Arial" w:cs="Arial"/>
          <w:bCs/>
          <w:kern w:val="2"/>
        </w:rPr>
        <w:t xml:space="preserve">)-, methyl ester (8.92%) which enhances biodiesel's cold flow characteristics </w:t>
      </w:r>
      <w:r w:rsidR="00746D2B">
        <w:rPr>
          <w:rFonts w:ascii="Arial" w:eastAsia="Calibri" w:hAnsi="Arial" w:cs="Arial"/>
          <w:bCs/>
          <w:kern w:val="2"/>
        </w:rPr>
        <w:t>(Rahul et al., 2025)</w:t>
      </w:r>
      <w:r w:rsidRPr="00CD0F06">
        <w:rPr>
          <w:rFonts w:ascii="Arial" w:eastAsia="Calibri" w:hAnsi="Arial" w:cs="Arial"/>
          <w:bCs/>
          <w:kern w:val="2"/>
        </w:rPr>
        <w:t>.</w:t>
      </w:r>
      <w:r w:rsidR="003F3AA2">
        <w:rPr>
          <w:rFonts w:ascii="Arial" w:eastAsia="Calibri" w:hAnsi="Arial" w:cs="Arial"/>
          <w:bCs/>
          <w:kern w:val="2"/>
        </w:rPr>
        <w:t xml:space="preserve"> </w:t>
      </w:r>
      <w:r w:rsidRPr="00706DCE">
        <w:rPr>
          <w:rFonts w:ascii="Arial" w:hAnsi="Arial" w:cs="Arial"/>
        </w:rPr>
        <w:t>A</w:t>
      </w:r>
      <w:r w:rsidR="003F3AA2">
        <w:rPr>
          <w:rFonts w:ascii="Arial" w:hAnsi="Arial" w:cs="Arial"/>
        </w:rPr>
        <w:t>nother</w:t>
      </w:r>
      <w:r w:rsidRPr="00706DCE">
        <w:rPr>
          <w:rFonts w:ascii="Arial" w:hAnsi="Arial" w:cs="Arial"/>
        </w:rPr>
        <w:t xml:space="preserve"> related study </w:t>
      </w:r>
      <w:r w:rsidR="003F3AA2">
        <w:rPr>
          <w:rFonts w:ascii="Arial" w:hAnsi="Arial" w:cs="Arial"/>
        </w:rPr>
        <w:t>involving f</w:t>
      </w:r>
      <w:r w:rsidRPr="00706DCE">
        <w:rPr>
          <w:rFonts w:ascii="Arial" w:hAnsi="Arial" w:cs="Arial"/>
        </w:rPr>
        <w:t xml:space="preserve">ree </w:t>
      </w:r>
      <w:r w:rsidRPr="00706DCE">
        <w:rPr>
          <w:rFonts w:ascii="Arial" w:hAnsi="Arial" w:cs="Arial"/>
          <w:i/>
        </w:rPr>
        <w:t xml:space="preserve">Rhizopus </w:t>
      </w:r>
      <w:proofErr w:type="spellStart"/>
      <w:r w:rsidRPr="00706DCE">
        <w:rPr>
          <w:rFonts w:ascii="Arial" w:hAnsi="Arial" w:cs="Arial"/>
          <w:i/>
        </w:rPr>
        <w:t>oryzae</w:t>
      </w:r>
      <w:proofErr w:type="spellEnd"/>
      <w:r w:rsidR="003F3AA2" w:rsidRPr="003F3AA2">
        <w:rPr>
          <w:rFonts w:ascii="Arial" w:hAnsi="Arial" w:cs="Arial"/>
        </w:rPr>
        <w:t xml:space="preserve"> as</w:t>
      </w:r>
      <w:r w:rsidRPr="00706DCE">
        <w:rPr>
          <w:rFonts w:ascii="Arial" w:hAnsi="Arial" w:cs="Arial"/>
        </w:rPr>
        <w:t xml:space="preserve"> whole-cell biocatalysts</w:t>
      </w:r>
      <w:r w:rsidR="003F3AA2">
        <w:rPr>
          <w:rFonts w:ascii="Arial" w:hAnsi="Arial" w:cs="Arial"/>
        </w:rPr>
        <w:t xml:space="preserve"> reported that</w:t>
      </w:r>
      <w:r w:rsidRPr="00706DCE">
        <w:rPr>
          <w:rFonts w:ascii="Arial" w:hAnsi="Arial" w:cs="Arial"/>
        </w:rPr>
        <w:t xml:space="preserve"> the viscosity and density of biodiesel made from waste frying oil were 4.9 @40 </w:t>
      </w:r>
      <w:proofErr w:type="spellStart"/>
      <w:r w:rsidRPr="00706DCE">
        <w:rPr>
          <w:rFonts w:ascii="Arial" w:hAnsi="Arial" w:cs="Arial"/>
          <w:vertAlign w:val="superscript"/>
        </w:rPr>
        <w:t>o</w:t>
      </w:r>
      <w:r w:rsidRPr="00706DCE">
        <w:rPr>
          <w:rFonts w:ascii="Arial" w:hAnsi="Arial" w:cs="Arial"/>
        </w:rPr>
        <w:t>C</w:t>
      </w:r>
      <w:proofErr w:type="spellEnd"/>
      <w:r w:rsidRPr="00706DCE">
        <w:rPr>
          <w:rFonts w:ascii="Arial" w:hAnsi="Arial" w:cs="Arial"/>
        </w:rPr>
        <w:t xml:space="preserve"> (mm</w:t>
      </w:r>
      <w:r w:rsidRPr="00706DCE">
        <w:rPr>
          <w:rFonts w:ascii="Arial" w:hAnsi="Arial" w:cs="Arial"/>
          <w:vertAlign w:val="superscript"/>
        </w:rPr>
        <w:t>2</w:t>
      </w:r>
      <w:r w:rsidRPr="00706DCE">
        <w:rPr>
          <w:rFonts w:ascii="Arial" w:hAnsi="Arial" w:cs="Arial"/>
        </w:rPr>
        <w:t>/s) and 0.886 (g/cm</w:t>
      </w:r>
      <w:r w:rsidRPr="00706DCE">
        <w:rPr>
          <w:rFonts w:ascii="Arial" w:hAnsi="Arial" w:cs="Arial"/>
          <w:vertAlign w:val="superscript"/>
        </w:rPr>
        <w:t>3</w:t>
      </w:r>
      <w:r w:rsidRPr="00706DCE">
        <w:rPr>
          <w:rFonts w:ascii="Arial" w:hAnsi="Arial" w:cs="Arial"/>
        </w:rPr>
        <w:t xml:space="preserve">), respectively. However, for the immobilized whole-cell </w:t>
      </w:r>
      <w:r w:rsidRPr="00706DCE">
        <w:rPr>
          <w:rFonts w:ascii="Arial" w:hAnsi="Arial" w:cs="Arial"/>
          <w:i/>
        </w:rPr>
        <w:t>Rhizopus oryzae</w:t>
      </w:r>
      <w:r w:rsidRPr="00706DCE">
        <w:rPr>
          <w:rFonts w:ascii="Arial" w:hAnsi="Arial" w:cs="Arial"/>
        </w:rPr>
        <w:t xml:space="preserve"> biocatalysts, they were 0.875 (g/cm</w:t>
      </w:r>
      <w:r w:rsidRPr="00706DCE">
        <w:rPr>
          <w:rFonts w:ascii="Arial" w:hAnsi="Arial" w:cs="Arial"/>
          <w:vertAlign w:val="superscript"/>
        </w:rPr>
        <w:t>3</w:t>
      </w:r>
      <w:r w:rsidRPr="00706DCE">
        <w:rPr>
          <w:rFonts w:ascii="Arial" w:hAnsi="Arial" w:cs="Arial"/>
        </w:rPr>
        <w:t xml:space="preserve">) and 4.8 @40 </w:t>
      </w:r>
      <w:proofErr w:type="spellStart"/>
      <w:r w:rsidRPr="00706DCE">
        <w:rPr>
          <w:rFonts w:ascii="Arial" w:hAnsi="Arial" w:cs="Arial"/>
          <w:vertAlign w:val="superscript"/>
        </w:rPr>
        <w:t>o</w:t>
      </w:r>
      <w:r w:rsidRPr="00706DCE">
        <w:rPr>
          <w:rFonts w:ascii="Arial" w:hAnsi="Arial" w:cs="Arial"/>
        </w:rPr>
        <w:t>C</w:t>
      </w:r>
      <w:proofErr w:type="spellEnd"/>
      <w:r w:rsidRPr="00706DCE">
        <w:rPr>
          <w:rFonts w:ascii="Arial" w:hAnsi="Arial" w:cs="Arial"/>
        </w:rPr>
        <w:t xml:space="preserve"> (mm</w:t>
      </w:r>
      <w:r w:rsidRPr="00706DCE">
        <w:rPr>
          <w:rFonts w:ascii="Arial" w:hAnsi="Arial" w:cs="Arial"/>
          <w:vertAlign w:val="superscript"/>
        </w:rPr>
        <w:t>2</w:t>
      </w:r>
      <w:r w:rsidRPr="00706DCE">
        <w:rPr>
          <w:rFonts w:ascii="Arial" w:hAnsi="Arial" w:cs="Arial"/>
        </w:rPr>
        <w:t xml:space="preserve">/s) </w:t>
      </w:r>
      <w:r w:rsidR="00746D2B">
        <w:rPr>
          <w:rFonts w:ascii="Arial" w:hAnsi="Arial" w:cs="Arial"/>
        </w:rPr>
        <w:t>(</w:t>
      </w:r>
      <w:r w:rsidR="00746D2B" w:rsidRPr="00BA35A5">
        <w:rPr>
          <w:rFonts w:ascii="Arial" w:hAnsi="Arial" w:cs="Arial"/>
        </w:rPr>
        <w:t>López-Fernández</w:t>
      </w:r>
      <w:r w:rsidR="00746D2B">
        <w:rPr>
          <w:rFonts w:ascii="Arial" w:hAnsi="Arial" w:cs="Arial"/>
        </w:rPr>
        <w:t xml:space="preserve"> et al., 2020)</w:t>
      </w:r>
      <w:r w:rsidRPr="00706DCE">
        <w:rPr>
          <w:rFonts w:ascii="Arial" w:hAnsi="Arial" w:cs="Arial"/>
        </w:rPr>
        <w:t xml:space="preserve">. According to a different study, the biodiesel made with the lipid-producing </w:t>
      </w:r>
      <w:r w:rsidRPr="00706DCE">
        <w:rPr>
          <w:rFonts w:ascii="Arial" w:hAnsi="Arial" w:cs="Arial"/>
          <w:i/>
        </w:rPr>
        <w:t xml:space="preserve">Streptomyces </w:t>
      </w:r>
      <w:proofErr w:type="spellStart"/>
      <w:r w:rsidRPr="00706DCE">
        <w:rPr>
          <w:rFonts w:ascii="Arial" w:hAnsi="Arial" w:cs="Arial"/>
          <w:i/>
        </w:rPr>
        <w:t>fradiae</w:t>
      </w:r>
      <w:proofErr w:type="spellEnd"/>
      <w:r w:rsidRPr="00706DCE">
        <w:rPr>
          <w:rFonts w:ascii="Arial" w:hAnsi="Arial" w:cs="Arial"/>
          <w:i/>
        </w:rPr>
        <w:t xml:space="preserve"> </w:t>
      </w:r>
      <w:r w:rsidRPr="00706DCE">
        <w:rPr>
          <w:rFonts w:ascii="Arial" w:hAnsi="Arial" w:cs="Arial"/>
        </w:rPr>
        <w:t>JJ1 MK733985.1 had an acid value of 0.46 (</w:t>
      </w:r>
      <w:proofErr w:type="spellStart"/>
      <w:r w:rsidRPr="00706DCE">
        <w:rPr>
          <w:rFonts w:ascii="Arial" w:hAnsi="Arial" w:cs="Arial"/>
        </w:rPr>
        <w:t>mgKOH</w:t>
      </w:r>
      <w:proofErr w:type="spellEnd"/>
      <w:r w:rsidRPr="00706DCE">
        <w:rPr>
          <w:rFonts w:ascii="Arial" w:hAnsi="Arial" w:cs="Arial"/>
        </w:rPr>
        <w:t xml:space="preserve">/g), a specific gravity of 0.864, a density of 0.863, a gross heating value of 42498 </w:t>
      </w:r>
      <w:proofErr w:type="spellStart"/>
      <w:r w:rsidRPr="00706DCE">
        <w:rPr>
          <w:rFonts w:ascii="Arial" w:hAnsi="Arial" w:cs="Arial"/>
        </w:rPr>
        <w:t>kj</w:t>
      </w:r>
      <w:proofErr w:type="spellEnd"/>
      <w:r w:rsidRPr="00706DCE">
        <w:rPr>
          <w:rFonts w:ascii="Arial" w:hAnsi="Arial" w:cs="Arial"/>
        </w:rPr>
        <w:t xml:space="preserve">/kg, a flash point of 95 °C, and a cetane number of 37 </w:t>
      </w:r>
      <w:r w:rsidR="00273D42">
        <w:rPr>
          <w:rFonts w:ascii="Arial" w:eastAsia="Calibri" w:hAnsi="Arial" w:cs="Arial"/>
          <w:kern w:val="2"/>
        </w:rPr>
        <w:t>(</w:t>
      </w:r>
      <w:proofErr w:type="spellStart"/>
      <w:r w:rsidR="00273D42" w:rsidRPr="007124B8">
        <w:rPr>
          <w:rFonts w:ascii="Arial" w:eastAsia="Calibri" w:hAnsi="Arial" w:cs="Arial"/>
          <w:kern w:val="2"/>
        </w:rPr>
        <w:t>Fibriana</w:t>
      </w:r>
      <w:proofErr w:type="spellEnd"/>
      <w:r w:rsidR="00273D42">
        <w:rPr>
          <w:rFonts w:ascii="Arial" w:eastAsia="Calibri" w:hAnsi="Arial" w:cs="Arial"/>
          <w:kern w:val="2"/>
        </w:rPr>
        <w:t xml:space="preserve"> et al., 2021)</w:t>
      </w:r>
      <w:r w:rsidRPr="00706DCE">
        <w:rPr>
          <w:rFonts w:ascii="Arial" w:hAnsi="Arial" w:cs="Arial"/>
        </w:rPr>
        <w:t>. Most of these values were lower than the results obtained in the present study.</w:t>
      </w:r>
    </w:p>
    <w:p w14:paraId="3C0E603C" w14:textId="77777777" w:rsidR="001D162D" w:rsidRDefault="001D162D" w:rsidP="00441B6F">
      <w:pPr>
        <w:pStyle w:val="Body"/>
        <w:spacing w:after="0"/>
        <w:rPr>
          <w:rFonts w:ascii="Arial" w:hAnsi="Arial" w:cs="Arial"/>
        </w:rPr>
      </w:pPr>
    </w:p>
    <w:p w14:paraId="4DF45A09" w14:textId="6008952D" w:rsidR="00434325" w:rsidRPr="00FB3A86" w:rsidRDefault="00434325" w:rsidP="00374505">
      <w:pPr>
        <w:pStyle w:val="Body"/>
        <w:rPr>
          <w:rFonts w:ascii="Arial" w:hAnsi="Arial" w:cs="Arial"/>
        </w:rPr>
      </w:pPr>
      <w:r>
        <w:rPr>
          <w:rFonts w:ascii="Arial" w:hAnsi="Arial" w:cs="Arial"/>
        </w:rPr>
        <w:t xml:space="preserve">Generally, </w:t>
      </w:r>
      <w:r w:rsidR="00834CAE">
        <w:rPr>
          <w:rFonts w:ascii="Arial" w:hAnsi="Arial" w:cs="Arial"/>
        </w:rPr>
        <w:t>the biodiesel produced in this study met some</w:t>
      </w:r>
      <w:r w:rsidR="0055156E">
        <w:rPr>
          <w:rFonts w:ascii="Arial" w:hAnsi="Arial" w:cs="Arial"/>
        </w:rPr>
        <w:t xml:space="preserve"> quality</w:t>
      </w:r>
      <w:r w:rsidR="00834CAE">
        <w:rPr>
          <w:rFonts w:ascii="Arial" w:hAnsi="Arial" w:cs="Arial"/>
        </w:rPr>
        <w:t xml:space="preserve"> standard</w:t>
      </w:r>
      <w:r w:rsidR="0055156E">
        <w:rPr>
          <w:rFonts w:ascii="Arial" w:hAnsi="Arial" w:cs="Arial"/>
        </w:rPr>
        <w:t>s,</w:t>
      </w:r>
      <w:r w:rsidR="00834CAE">
        <w:rPr>
          <w:rFonts w:ascii="Arial" w:hAnsi="Arial" w:cs="Arial"/>
        </w:rPr>
        <w:t xml:space="preserve"> such as acid value, viscosity and cetane value.</w:t>
      </w:r>
      <w:r w:rsidR="0055156E">
        <w:rPr>
          <w:rFonts w:ascii="Arial" w:hAnsi="Arial" w:cs="Arial"/>
        </w:rPr>
        <w:t xml:space="preserve"> These qualities are important in determining the safety and efficiency of the biodiesel.</w:t>
      </w:r>
      <w:r w:rsidR="00835918">
        <w:rPr>
          <w:rFonts w:ascii="Arial" w:hAnsi="Arial" w:cs="Arial"/>
        </w:rPr>
        <w:t xml:space="preserve"> </w:t>
      </w:r>
      <w:r w:rsidR="0055156E">
        <w:rPr>
          <w:rFonts w:ascii="Arial" w:hAnsi="Arial" w:cs="Arial"/>
        </w:rPr>
        <w:t>Normal</w:t>
      </w:r>
      <w:r w:rsidR="004E32F2">
        <w:rPr>
          <w:rFonts w:ascii="Arial" w:hAnsi="Arial" w:cs="Arial"/>
        </w:rPr>
        <w:t xml:space="preserve"> viscosity guarantees that the fuel </w:t>
      </w:r>
      <w:r w:rsidR="004E461C">
        <w:rPr>
          <w:rFonts w:ascii="Arial" w:hAnsi="Arial" w:cs="Arial"/>
        </w:rPr>
        <w:t>flow</w:t>
      </w:r>
      <w:r w:rsidR="004E32F2">
        <w:rPr>
          <w:rFonts w:ascii="Arial" w:hAnsi="Arial" w:cs="Arial"/>
        </w:rPr>
        <w:t>s</w:t>
      </w:r>
      <w:r w:rsidR="004E461C">
        <w:rPr>
          <w:rFonts w:ascii="Arial" w:hAnsi="Arial" w:cs="Arial"/>
        </w:rPr>
        <w:t xml:space="preserve"> slowly with normal degree of atomization (</w:t>
      </w:r>
      <w:proofErr w:type="spellStart"/>
      <w:r w:rsidR="004E461C" w:rsidRPr="004E461C">
        <w:rPr>
          <w:rFonts w:ascii="Arial" w:hAnsi="Arial" w:cs="Arial"/>
        </w:rPr>
        <w:t>Suwari</w:t>
      </w:r>
      <w:proofErr w:type="spellEnd"/>
      <w:r w:rsidR="001A4A44">
        <w:rPr>
          <w:rFonts w:ascii="Arial" w:hAnsi="Arial" w:cs="Arial"/>
        </w:rPr>
        <w:t xml:space="preserve"> et al., 2018)</w:t>
      </w:r>
      <w:r w:rsidR="004E461C">
        <w:rPr>
          <w:rFonts w:ascii="Arial" w:hAnsi="Arial" w:cs="Arial"/>
        </w:rPr>
        <w:t>.</w:t>
      </w:r>
      <w:r w:rsidR="00834CAE">
        <w:rPr>
          <w:rFonts w:ascii="Arial" w:hAnsi="Arial" w:cs="Arial"/>
        </w:rPr>
        <w:t xml:space="preserve"> </w:t>
      </w:r>
      <w:r w:rsidR="0055156E">
        <w:rPr>
          <w:rFonts w:ascii="Arial" w:hAnsi="Arial" w:cs="Arial"/>
        </w:rPr>
        <w:t>It is reported that h</w:t>
      </w:r>
      <w:r w:rsidR="003716AB">
        <w:rPr>
          <w:rFonts w:ascii="Arial" w:hAnsi="Arial" w:cs="Arial"/>
        </w:rPr>
        <w:t>igh</w:t>
      </w:r>
      <w:r w:rsidR="00B21C2A">
        <w:rPr>
          <w:rFonts w:ascii="Arial" w:hAnsi="Arial" w:cs="Arial"/>
        </w:rPr>
        <w:t xml:space="preserve"> acid value</w:t>
      </w:r>
      <w:r w:rsidR="003716AB">
        <w:rPr>
          <w:rFonts w:ascii="Arial" w:hAnsi="Arial" w:cs="Arial"/>
        </w:rPr>
        <w:t>, an</w:t>
      </w:r>
      <w:r w:rsidR="00B21C2A">
        <w:rPr>
          <w:rFonts w:ascii="Arial" w:hAnsi="Arial" w:cs="Arial"/>
        </w:rPr>
        <w:t xml:space="preserve"> indicat</w:t>
      </w:r>
      <w:r w:rsidR="003716AB">
        <w:rPr>
          <w:rFonts w:ascii="Arial" w:hAnsi="Arial" w:cs="Arial"/>
        </w:rPr>
        <w:t xml:space="preserve">or of the free fatty acids content of biodiesel, may </w:t>
      </w:r>
      <w:r w:rsidR="0055156E">
        <w:rPr>
          <w:rFonts w:ascii="Arial" w:hAnsi="Arial" w:cs="Arial"/>
        </w:rPr>
        <w:t>cause</w:t>
      </w:r>
      <w:r w:rsidR="003716AB">
        <w:rPr>
          <w:rFonts w:ascii="Arial" w:hAnsi="Arial" w:cs="Arial"/>
        </w:rPr>
        <w:t xml:space="preserve"> </w:t>
      </w:r>
      <w:r w:rsidR="003716AB" w:rsidRPr="003716AB">
        <w:rPr>
          <w:rFonts w:ascii="Arial" w:hAnsi="Arial" w:cs="Arial"/>
        </w:rPr>
        <w:t xml:space="preserve">strong solvency effect on rubber hoses </w:t>
      </w:r>
      <w:r w:rsidR="003716AB">
        <w:rPr>
          <w:rFonts w:ascii="Arial" w:hAnsi="Arial" w:cs="Arial"/>
        </w:rPr>
        <w:t xml:space="preserve">and </w:t>
      </w:r>
      <w:r w:rsidR="003716AB" w:rsidRPr="003716AB">
        <w:rPr>
          <w:rFonts w:ascii="Arial" w:hAnsi="Arial" w:cs="Arial"/>
        </w:rPr>
        <w:t>seals</w:t>
      </w:r>
      <w:r w:rsidR="003716AB">
        <w:rPr>
          <w:rFonts w:ascii="Arial" w:hAnsi="Arial" w:cs="Arial"/>
        </w:rPr>
        <w:t xml:space="preserve"> found in the </w:t>
      </w:r>
      <w:r w:rsidR="003716AB" w:rsidRPr="003716AB">
        <w:rPr>
          <w:rFonts w:ascii="Arial" w:hAnsi="Arial" w:cs="Arial"/>
        </w:rPr>
        <w:t xml:space="preserve">engine, </w:t>
      </w:r>
      <w:r w:rsidR="003716AB">
        <w:rPr>
          <w:rFonts w:ascii="Arial" w:hAnsi="Arial" w:cs="Arial"/>
        </w:rPr>
        <w:t>which could result in</w:t>
      </w:r>
      <w:r w:rsidR="003716AB" w:rsidRPr="003716AB">
        <w:rPr>
          <w:rFonts w:ascii="Arial" w:hAnsi="Arial" w:cs="Arial"/>
        </w:rPr>
        <w:t xml:space="preserve"> </w:t>
      </w:r>
      <w:r w:rsidR="0055156E" w:rsidRPr="003716AB">
        <w:rPr>
          <w:rFonts w:ascii="Arial" w:hAnsi="Arial" w:cs="Arial"/>
        </w:rPr>
        <w:t>early</w:t>
      </w:r>
      <w:r w:rsidR="003716AB" w:rsidRPr="003716AB">
        <w:rPr>
          <w:rFonts w:ascii="Arial" w:hAnsi="Arial" w:cs="Arial"/>
        </w:rPr>
        <w:t xml:space="preserve"> </w:t>
      </w:r>
      <w:r w:rsidR="0055156E">
        <w:rPr>
          <w:rFonts w:ascii="Arial" w:hAnsi="Arial" w:cs="Arial"/>
        </w:rPr>
        <w:t xml:space="preserve">engine </w:t>
      </w:r>
      <w:r w:rsidR="003716AB" w:rsidRPr="003716AB">
        <w:rPr>
          <w:rFonts w:ascii="Arial" w:hAnsi="Arial" w:cs="Arial"/>
        </w:rPr>
        <w:t>failure.</w:t>
      </w:r>
      <w:r w:rsidR="00A42F34">
        <w:rPr>
          <w:rFonts w:ascii="Arial" w:hAnsi="Arial" w:cs="Arial"/>
        </w:rPr>
        <w:t xml:space="preserve"> </w:t>
      </w:r>
      <w:r w:rsidR="00835918">
        <w:rPr>
          <w:rFonts w:ascii="Arial" w:hAnsi="Arial" w:cs="Arial"/>
        </w:rPr>
        <w:t>T</w:t>
      </w:r>
      <w:r w:rsidR="00834CAE">
        <w:rPr>
          <w:rFonts w:ascii="Arial" w:hAnsi="Arial" w:cs="Arial"/>
        </w:rPr>
        <w:t xml:space="preserve">he recorded flash point of 75 </w:t>
      </w:r>
      <w:r w:rsidR="00423D06" w:rsidRPr="00706DCE">
        <w:rPr>
          <w:rFonts w:ascii="Arial" w:hAnsi="Arial" w:cs="Arial"/>
        </w:rPr>
        <w:t>(</w:t>
      </w:r>
      <w:proofErr w:type="spellStart"/>
      <w:r w:rsidR="00423D06" w:rsidRPr="00706DCE">
        <w:rPr>
          <w:rFonts w:ascii="Arial" w:hAnsi="Arial" w:cs="Arial"/>
          <w:vertAlign w:val="superscript"/>
        </w:rPr>
        <w:t>o</w:t>
      </w:r>
      <w:r w:rsidR="00423D06" w:rsidRPr="00706DCE">
        <w:rPr>
          <w:rFonts w:ascii="Arial" w:hAnsi="Arial" w:cs="Arial"/>
        </w:rPr>
        <w:t>C</w:t>
      </w:r>
      <w:proofErr w:type="spellEnd"/>
      <w:r w:rsidR="00423D06" w:rsidRPr="00706DCE">
        <w:rPr>
          <w:rFonts w:ascii="Arial" w:hAnsi="Arial" w:cs="Arial"/>
        </w:rPr>
        <w:t>)/min</w:t>
      </w:r>
      <w:r w:rsidR="00834CAE">
        <w:rPr>
          <w:rFonts w:ascii="Arial" w:hAnsi="Arial" w:cs="Arial"/>
        </w:rPr>
        <w:t xml:space="preserve"> fell below the ASTM standard requirement. </w:t>
      </w:r>
      <w:r w:rsidR="0004034C">
        <w:rPr>
          <w:rFonts w:ascii="Arial" w:hAnsi="Arial" w:cs="Arial"/>
        </w:rPr>
        <w:t>This may be due to incomplete removal of the ethanol after transesterification.</w:t>
      </w:r>
      <w:r w:rsidR="0055156E">
        <w:rPr>
          <w:rFonts w:ascii="Arial" w:hAnsi="Arial" w:cs="Arial"/>
        </w:rPr>
        <w:t xml:space="preserve"> However, the flash point of the</w:t>
      </w:r>
      <w:r w:rsidR="00B3667E">
        <w:rPr>
          <w:rFonts w:ascii="Arial" w:hAnsi="Arial" w:cs="Arial"/>
        </w:rPr>
        <w:t xml:space="preserve"> produced</w:t>
      </w:r>
      <w:r w:rsidR="0055156E">
        <w:rPr>
          <w:rFonts w:ascii="Arial" w:hAnsi="Arial" w:cs="Arial"/>
        </w:rPr>
        <w:t xml:space="preserve"> biodiesel</w:t>
      </w:r>
      <w:r w:rsidR="00B3667E">
        <w:rPr>
          <w:rFonts w:ascii="Arial" w:hAnsi="Arial" w:cs="Arial"/>
        </w:rPr>
        <w:t xml:space="preserve"> sample</w:t>
      </w:r>
      <w:r w:rsidR="0055156E">
        <w:rPr>
          <w:rFonts w:ascii="Arial" w:hAnsi="Arial" w:cs="Arial"/>
        </w:rPr>
        <w:t xml:space="preserve"> was higher than that of the analyzed commercially available fossil diesel sample</w:t>
      </w:r>
      <w:r w:rsidR="00E64D29">
        <w:rPr>
          <w:rFonts w:ascii="Arial" w:hAnsi="Arial" w:cs="Arial"/>
        </w:rPr>
        <w:t>,</w:t>
      </w:r>
      <w:r w:rsidR="0055156E">
        <w:rPr>
          <w:rFonts w:ascii="Arial" w:hAnsi="Arial" w:cs="Arial"/>
        </w:rPr>
        <w:t xml:space="preserve"> which recorded 69 </w:t>
      </w:r>
      <w:r w:rsidR="0055156E" w:rsidRPr="00706DCE">
        <w:rPr>
          <w:rFonts w:ascii="Arial" w:hAnsi="Arial" w:cs="Arial"/>
        </w:rPr>
        <w:t>(</w:t>
      </w:r>
      <w:proofErr w:type="spellStart"/>
      <w:r w:rsidR="0055156E" w:rsidRPr="00706DCE">
        <w:rPr>
          <w:rFonts w:ascii="Arial" w:hAnsi="Arial" w:cs="Arial"/>
          <w:vertAlign w:val="superscript"/>
        </w:rPr>
        <w:t>o</w:t>
      </w:r>
      <w:r w:rsidR="0055156E" w:rsidRPr="00706DCE">
        <w:rPr>
          <w:rFonts w:ascii="Arial" w:hAnsi="Arial" w:cs="Arial"/>
        </w:rPr>
        <w:t>C</w:t>
      </w:r>
      <w:proofErr w:type="spellEnd"/>
      <w:r w:rsidR="0055156E" w:rsidRPr="00706DCE">
        <w:rPr>
          <w:rFonts w:ascii="Arial" w:hAnsi="Arial" w:cs="Arial"/>
        </w:rPr>
        <w:t>)/min</w:t>
      </w:r>
      <w:r w:rsidR="0055156E">
        <w:rPr>
          <w:rFonts w:ascii="Arial" w:hAnsi="Arial" w:cs="Arial"/>
        </w:rPr>
        <w:t xml:space="preserve">. </w:t>
      </w:r>
      <w:r w:rsidR="00EF7CF3">
        <w:rPr>
          <w:rFonts w:ascii="Arial" w:hAnsi="Arial" w:cs="Arial"/>
        </w:rPr>
        <w:t>It has been reported that biodiesel sample with lower flash point</w:t>
      </w:r>
      <w:r w:rsidR="00EF7CF3" w:rsidRPr="00EF7CF3">
        <w:rPr>
          <w:rFonts w:ascii="Arial" w:hAnsi="Arial" w:cs="Arial"/>
        </w:rPr>
        <w:t xml:space="preserve"> </w:t>
      </w:r>
      <w:r w:rsidR="00EF7CF3">
        <w:rPr>
          <w:rFonts w:ascii="Arial" w:hAnsi="Arial" w:cs="Arial"/>
        </w:rPr>
        <w:t xml:space="preserve">is not very </w:t>
      </w:r>
      <w:r w:rsidR="00EF7CF3" w:rsidRPr="00EF7CF3">
        <w:rPr>
          <w:rFonts w:ascii="Arial" w:hAnsi="Arial" w:cs="Arial"/>
        </w:rPr>
        <w:t>sa</w:t>
      </w:r>
      <w:r w:rsidR="00EF7CF3">
        <w:rPr>
          <w:rFonts w:ascii="Arial" w:hAnsi="Arial" w:cs="Arial"/>
        </w:rPr>
        <w:t>fe for use and storage because it</w:t>
      </w:r>
      <w:r w:rsidR="00EF7CF3" w:rsidRPr="00EF7CF3">
        <w:rPr>
          <w:rFonts w:ascii="Arial" w:hAnsi="Arial" w:cs="Arial"/>
        </w:rPr>
        <w:t xml:space="preserve"> </w:t>
      </w:r>
      <w:r w:rsidR="00EF7CF3">
        <w:rPr>
          <w:rFonts w:ascii="Arial" w:hAnsi="Arial" w:cs="Arial"/>
        </w:rPr>
        <w:t>may easily</w:t>
      </w:r>
      <w:r w:rsidR="00EF7CF3" w:rsidRPr="00EF7CF3">
        <w:rPr>
          <w:rFonts w:ascii="Arial" w:hAnsi="Arial" w:cs="Arial"/>
        </w:rPr>
        <w:t xml:space="preserve"> ignit</w:t>
      </w:r>
      <w:r w:rsidR="00EF7CF3">
        <w:rPr>
          <w:rFonts w:ascii="Arial" w:hAnsi="Arial" w:cs="Arial"/>
        </w:rPr>
        <w:t>e</w:t>
      </w:r>
      <w:r w:rsidR="00EF7CF3" w:rsidRPr="00EF7CF3">
        <w:rPr>
          <w:rFonts w:ascii="Arial" w:hAnsi="Arial" w:cs="Arial"/>
        </w:rPr>
        <w:t xml:space="preserve"> at lower temperature</w:t>
      </w:r>
      <w:r w:rsidR="00EF7CF3">
        <w:rPr>
          <w:rFonts w:ascii="Arial" w:hAnsi="Arial" w:cs="Arial"/>
        </w:rPr>
        <w:t xml:space="preserve"> (</w:t>
      </w:r>
      <w:proofErr w:type="spellStart"/>
      <w:r w:rsidR="00EF7CF3" w:rsidRPr="00EF7CF3">
        <w:rPr>
          <w:rFonts w:ascii="Arial" w:hAnsi="Arial" w:cs="Arial"/>
        </w:rPr>
        <w:t>Hatsa</w:t>
      </w:r>
      <w:proofErr w:type="spellEnd"/>
      <w:r w:rsidR="00EF7CF3" w:rsidRPr="00EF7CF3">
        <w:rPr>
          <w:rFonts w:ascii="Arial" w:hAnsi="Arial" w:cs="Arial"/>
        </w:rPr>
        <w:t xml:space="preserve"> et al.</w:t>
      </w:r>
      <w:r w:rsidR="00EF7CF3">
        <w:rPr>
          <w:rFonts w:ascii="Arial" w:hAnsi="Arial" w:cs="Arial"/>
        </w:rPr>
        <w:t>, 2025)</w:t>
      </w:r>
      <w:r w:rsidR="00EF7CF3" w:rsidRPr="00EF7CF3">
        <w:rPr>
          <w:rFonts w:ascii="Arial" w:hAnsi="Arial" w:cs="Arial"/>
        </w:rPr>
        <w:t>.</w:t>
      </w:r>
      <w:r w:rsidR="00C766B2">
        <w:rPr>
          <w:rFonts w:ascii="Arial" w:hAnsi="Arial" w:cs="Arial"/>
        </w:rPr>
        <w:t xml:space="preserve"> Moreover, </w:t>
      </w:r>
      <w:r w:rsidR="00374505">
        <w:rPr>
          <w:rFonts w:ascii="Arial" w:hAnsi="Arial" w:cs="Arial"/>
        </w:rPr>
        <w:t>Singh</w:t>
      </w:r>
      <w:r w:rsidR="00374505" w:rsidRPr="00C766B2">
        <w:rPr>
          <w:rFonts w:ascii="Arial" w:hAnsi="Arial" w:cs="Arial"/>
        </w:rPr>
        <w:t xml:space="preserve"> </w:t>
      </w:r>
      <w:r w:rsidR="00374505">
        <w:rPr>
          <w:rFonts w:ascii="Arial" w:hAnsi="Arial" w:cs="Arial"/>
        </w:rPr>
        <w:t xml:space="preserve">et al. (2025) have reported that </w:t>
      </w:r>
      <w:r w:rsidR="00C766B2" w:rsidRPr="00C766B2">
        <w:rPr>
          <w:rFonts w:ascii="Arial" w:hAnsi="Arial" w:cs="Arial"/>
        </w:rPr>
        <w:t xml:space="preserve">due to the low </w:t>
      </w:r>
      <w:r w:rsidR="00374505">
        <w:rPr>
          <w:rFonts w:ascii="Arial" w:hAnsi="Arial" w:cs="Arial"/>
        </w:rPr>
        <w:t xml:space="preserve">concentrations of </w:t>
      </w:r>
      <w:r w:rsidR="00C766B2" w:rsidRPr="00C766B2">
        <w:rPr>
          <w:rFonts w:ascii="Arial" w:hAnsi="Arial" w:cs="Arial"/>
        </w:rPr>
        <w:t>unsaturated fatty acids</w:t>
      </w:r>
      <w:r w:rsidR="00374505">
        <w:rPr>
          <w:rFonts w:ascii="Arial" w:hAnsi="Arial" w:cs="Arial"/>
        </w:rPr>
        <w:t xml:space="preserve"> in palm oil, </w:t>
      </w:r>
      <w:r w:rsidR="00374505" w:rsidRPr="00C766B2">
        <w:rPr>
          <w:rFonts w:ascii="Arial" w:hAnsi="Arial" w:cs="Arial"/>
        </w:rPr>
        <w:t>biodiesel</w:t>
      </w:r>
      <w:r w:rsidR="00374505">
        <w:rPr>
          <w:rFonts w:ascii="Arial" w:hAnsi="Arial" w:cs="Arial"/>
        </w:rPr>
        <w:t>s</w:t>
      </w:r>
      <w:r w:rsidR="00374505" w:rsidRPr="00C766B2">
        <w:rPr>
          <w:rFonts w:ascii="Arial" w:hAnsi="Arial" w:cs="Arial"/>
        </w:rPr>
        <w:t xml:space="preserve"> </w:t>
      </w:r>
      <w:r w:rsidR="00374505">
        <w:rPr>
          <w:rFonts w:ascii="Arial" w:hAnsi="Arial" w:cs="Arial"/>
        </w:rPr>
        <w:t>produced from it are usually poor with l</w:t>
      </w:r>
      <w:r w:rsidR="00374505" w:rsidRPr="00374505">
        <w:rPr>
          <w:rFonts w:ascii="Arial" w:hAnsi="Arial" w:cs="Arial"/>
        </w:rPr>
        <w:t>ow temperature flow characteristics</w:t>
      </w:r>
      <w:r w:rsidR="00C766B2" w:rsidRPr="00C766B2">
        <w:rPr>
          <w:rFonts w:ascii="Arial" w:hAnsi="Arial" w:cs="Arial"/>
        </w:rPr>
        <w:t xml:space="preserve">. </w:t>
      </w:r>
      <w:r w:rsidR="007475B0">
        <w:rPr>
          <w:rFonts w:ascii="Arial" w:hAnsi="Arial" w:cs="Arial"/>
        </w:rPr>
        <w:t>Thus, b</w:t>
      </w:r>
      <w:r w:rsidR="00C766B2" w:rsidRPr="00C766B2">
        <w:rPr>
          <w:rFonts w:ascii="Arial" w:hAnsi="Arial" w:cs="Arial"/>
        </w:rPr>
        <w:t xml:space="preserve">lending </w:t>
      </w:r>
      <w:r w:rsidR="00374505">
        <w:rPr>
          <w:rFonts w:ascii="Arial" w:hAnsi="Arial" w:cs="Arial"/>
        </w:rPr>
        <w:t xml:space="preserve">of palm </w:t>
      </w:r>
      <w:r w:rsidR="00C766B2" w:rsidRPr="00C766B2">
        <w:rPr>
          <w:rFonts w:ascii="Arial" w:hAnsi="Arial" w:cs="Arial"/>
        </w:rPr>
        <w:t xml:space="preserve">oils </w:t>
      </w:r>
      <w:r w:rsidR="00374505" w:rsidRPr="00C766B2">
        <w:rPr>
          <w:rFonts w:ascii="Arial" w:hAnsi="Arial" w:cs="Arial"/>
        </w:rPr>
        <w:t>with jatropha, sesame, etc. oils (high unsaturated fatty acids)</w:t>
      </w:r>
      <w:r w:rsidR="00374505">
        <w:rPr>
          <w:rFonts w:ascii="Arial" w:hAnsi="Arial" w:cs="Arial"/>
        </w:rPr>
        <w:t xml:space="preserve"> </w:t>
      </w:r>
      <w:r w:rsidR="00374505" w:rsidRPr="00C766B2">
        <w:rPr>
          <w:rFonts w:ascii="Arial" w:hAnsi="Arial" w:cs="Arial"/>
        </w:rPr>
        <w:t>before transesterification</w:t>
      </w:r>
      <w:r w:rsidR="00374505">
        <w:rPr>
          <w:rFonts w:ascii="Arial" w:hAnsi="Arial" w:cs="Arial"/>
        </w:rPr>
        <w:t xml:space="preserve"> helps </w:t>
      </w:r>
      <w:r w:rsidR="00C766B2" w:rsidRPr="00C766B2">
        <w:rPr>
          <w:rFonts w:ascii="Arial" w:hAnsi="Arial" w:cs="Arial"/>
        </w:rPr>
        <w:t>to improve these low-te</w:t>
      </w:r>
      <w:r w:rsidR="007475B0">
        <w:rPr>
          <w:rFonts w:ascii="Arial" w:hAnsi="Arial" w:cs="Arial"/>
        </w:rPr>
        <w:t>mperature flow characteristics.</w:t>
      </w:r>
    </w:p>
    <w:p w14:paraId="0E8EBCBC" w14:textId="274392DF" w:rsidR="00B01FCD" w:rsidRDefault="00E64D29"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14EB3118" w14:textId="77777777" w:rsidR="00790ADA" w:rsidRPr="00FB3A86" w:rsidRDefault="00790ADA" w:rsidP="00441B6F">
      <w:pPr>
        <w:pStyle w:val="ConcHead"/>
        <w:spacing w:after="0"/>
        <w:jc w:val="both"/>
        <w:rPr>
          <w:rFonts w:ascii="Arial" w:hAnsi="Arial" w:cs="Arial"/>
        </w:rPr>
      </w:pPr>
    </w:p>
    <w:p w14:paraId="1DC7336C" w14:textId="1C65E42D" w:rsidR="00B01FCD" w:rsidRDefault="00CD0F06" w:rsidP="00441B6F">
      <w:pPr>
        <w:pStyle w:val="Body"/>
        <w:spacing w:after="0"/>
        <w:rPr>
          <w:rFonts w:ascii="Arial" w:hAnsi="Arial" w:cs="Arial"/>
        </w:rPr>
      </w:pPr>
      <w:r w:rsidRPr="00706DCE">
        <w:rPr>
          <w:rFonts w:ascii="Arial" w:hAnsi="Arial" w:cs="Arial"/>
        </w:rPr>
        <w:t xml:space="preserve">In this study, a mixed POME sample was used with identified autochthonous </w:t>
      </w:r>
      <w:r w:rsidRPr="00706DCE">
        <w:rPr>
          <w:rFonts w:ascii="Arial" w:hAnsi="Arial" w:cs="Arial"/>
          <w:i/>
        </w:rPr>
        <w:t>Candida albicans</w:t>
      </w:r>
      <w:r w:rsidRPr="00706DCE">
        <w:rPr>
          <w:rFonts w:ascii="Arial" w:hAnsi="Arial" w:cs="Arial"/>
        </w:rPr>
        <w:t xml:space="preserve"> and </w:t>
      </w:r>
      <w:r w:rsidRPr="00706DCE">
        <w:rPr>
          <w:rFonts w:ascii="Arial" w:hAnsi="Arial" w:cs="Arial"/>
          <w:i/>
        </w:rPr>
        <w:t>P. aeruginosa</w:t>
      </w:r>
      <w:r w:rsidRPr="00706DCE">
        <w:rPr>
          <w:rFonts w:ascii="Arial" w:hAnsi="Arial" w:cs="Arial"/>
        </w:rPr>
        <w:t xml:space="preserve"> co-culture as whole-cell biocatalysts to produce biodiesel. The </w:t>
      </w:r>
      <w:r w:rsidRPr="00706DCE">
        <w:rPr>
          <w:rFonts w:ascii="Arial" w:hAnsi="Arial" w:cs="Arial"/>
        </w:rPr>
        <w:lastRenderedPageBreak/>
        <w:t xml:space="preserve">mixed POME sample contained pH, acid, free fatty acid, and saponification values of 3.68±0.40, 22.31±3.51 </w:t>
      </w:r>
      <w:proofErr w:type="spellStart"/>
      <w:r w:rsidRPr="00706DCE">
        <w:rPr>
          <w:rFonts w:ascii="Arial" w:hAnsi="Arial" w:cs="Arial"/>
        </w:rPr>
        <w:t>mgKOH</w:t>
      </w:r>
      <w:proofErr w:type="spellEnd"/>
      <w:r w:rsidRPr="00706DCE">
        <w:rPr>
          <w:rFonts w:ascii="Arial" w:hAnsi="Arial" w:cs="Arial"/>
        </w:rPr>
        <w:t xml:space="preserve">/g, 62.69±10.12, and 125.06±3.46 mg/g, respectively. </w:t>
      </w:r>
      <w:r w:rsidR="0083614E">
        <w:rPr>
          <w:rFonts w:ascii="Arial" w:hAnsi="Arial" w:cs="Arial"/>
        </w:rPr>
        <w:t xml:space="preserve">The recorded biodiesel yield was </w:t>
      </w:r>
      <w:r w:rsidR="00ED4C07" w:rsidRPr="003E3209">
        <w:rPr>
          <w:rFonts w:ascii="Arial" w:eastAsia="Calibri" w:hAnsi="Arial" w:cs="Arial"/>
          <w:szCs w:val="22"/>
        </w:rPr>
        <w:t>40.00±0.76%</w:t>
      </w:r>
      <w:r w:rsidR="0083614E">
        <w:rPr>
          <w:rFonts w:ascii="Arial" w:hAnsi="Arial" w:cs="Arial"/>
        </w:rPr>
        <w:t xml:space="preserve">. </w:t>
      </w:r>
      <w:r w:rsidRPr="00706DCE">
        <w:rPr>
          <w:rFonts w:ascii="Arial" w:hAnsi="Arial" w:cs="Arial"/>
        </w:rPr>
        <w:t xml:space="preserve">In comparison to the ASTM standard of 0.5 </w:t>
      </w:r>
      <w:proofErr w:type="spellStart"/>
      <w:r w:rsidRPr="00706DCE">
        <w:rPr>
          <w:rFonts w:ascii="Arial" w:hAnsi="Arial" w:cs="Arial"/>
        </w:rPr>
        <w:t>mgKOH</w:t>
      </w:r>
      <w:proofErr w:type="spellEnd"/>
      <w:r w:rsidRPr="00706DCE">
        <w:rPr>
          <w:rFonts w:ascii="Arial" w:hAnsi="Arial" w:cs="Arial"/>
        </w:rPr>
        <w:t xml:space="preserve">/g, 47&gt;, and 1.9-6.0 mm²/s, the produced biodiesel had </w:t>
      </w:r>
      <w:r w:rsidR="007863B0">
        <w:rPr>
          <w:rFonts w:ascii="Arial" w:hAnsi="Arial" w:cs="Arial"/>
        </w:rPr>
        <w:t xml:space="preserve">an </w:t>
      </w:r>
      <w:r w:rsidRPr="00706DCE">
        <w:rPr>
          <w:rFonts w:ascii="Arial" w:hAnsi="Arial" w:cs="Arial"/>
        </w:rPr>
        <w:t xml:space="preserve">acid value, cetane rating, and viscosity (at 40 °C) of 0.54 </w:t>
      </w:r>
      <w:proofErr w:type="spellStart"/>
      <w:r w:rsidRPr="00706DCE">
        <w:rPr>
          <w:rFonts w:ascii="Arial" w:hAnsi="Arial" w:cs="Arial"/>
        </w:rPr>
        <w:t>mgKOH</w:t>
      </w:r>
      <w:proofErr w:type="spellEnd"/>
      <w:r w:rsidRPr="00706DCE">
        <w:rPr>
          <w:rFonts w:ascii="Arial" w:hAnsi="Arial" w:cs="Arial"/>
        </w:rPr>
        <w:t>/g, 5</w:t>
      </w:r>
      <w:r w:rsidR="003E169B">
        <w:rPr>
          <w:rFonts w:ascii="Arial" w:hAnsi="Arial" w:cs="Arial"/>
        </w:rPr>
        <w:t>1</w:t>
      </w:r>
      <w:r w:rsidRPr="00706DCE">
        <w:rPr>
          <w:rFonts w:ascii="Arial" w:hAnsi="Arial" w:cs="Arial"/>
        </w:rPr>
        <w:t>, and 2.6 mm²/s, respectively.</w:t>
      </w:r>
      <w:r w:rsidR="006E7D56">
        <w:rPr>
          <w:rFonts w:ascii="Arial" w:hAnsi="Arial" w:cs="Arial"/>
        </w:rPr>
        <w:t xml:space="preserve"> However, the flash point was quite lower at 75 °C</w:t>
      </w:r>
      <w:r w:rsidR="00A23F57">
        <w:rPr>
          <w:rFonts w:ascii="Arial" w:hAnsi="Arial" w:cs="Arial"/>
        </w:rPr>
        <w:t xml:space="preserve"> compared to</w:t>
      </w:r>
      <w:r w:rsidR="007863B0">
        <w:rPr>
          <w:rFonts w:ascii="Arial" w:hAnsi="Arial" w:cs="Arial"/>
        </w:rPr>
        <w:t xml:space="preserve"> the standard’s</w:t>
      </w:r>
      <w:r w:rsidR="00A23F57">
        <w:rPr>
          <w:rFonts w:ascii="Arial" w:hAnsi="Arial" w:cs="Arial"/>
        </w:rPr>
        <w:t xml:space="preserve"> </w:t>
      </w:r>
      <w:r w:rsidR="00A23F57" w:rsidRPr="00706DCE">
        <w:rPr>
          <w:rFonts w:ascii="Arial" w:hAnsi="Arial" w:cs="Arial"/>
        </w:rPr>
        <w:t xml:space="preserve">130 </w:t>
      </w:r>
      <w:proofErr w:type="spellStart"/>
      <w:r w:rsidR="00A23F57" w:rsidRPr="00706DCE">
        <w:rPr>
          <w:rFonts w:ascii="Arial" w:hAnsi="Arial" w:cs="Arial"/>
          <w:vertAlign w:val="superscript"/>
        </w:rPr>
        <w:t>o</w:t>
      </w:r>
      <w:r w:rsidR="007863B0">
        <w:rPr>
          <w:rFonts w:ascii="Arial" w:hAnsi="Arial" w:cs="Arial"/>
        </w:rPr>
        <w:t>C</w:t>
      </w:r>
      <w:r w:rsidR="006E7D56">
        <w:rPr>
          <w:rFonts w:ascii="Arial" w:hAnsi="Arial" w:cs="Arial"/>
        </w:rPr>
        <w:t>.</w:t>
      </w:r>
      <w:proofErr w:type="spellEnd"/>
      <w:r w:rsidRPr="00706DCE">
        <w:rPr>
          <w:rFonts w:ascii="Arial" w:hAnsi="Arial" w:cs="Arial"/>
        </w:rPr>
        <w:t xml:space="preserve"> Therefore, mixed POME from oil mills in Imo State, Nigeria, can be used with autochthonous whole-cell biocatalysts to produce biodiesel. The use of whole-cell lipases as catalysts for biodiesel production is recommended due to its bypass of separation and purification steps and the use of inexpensive waste materials for cell cultivation (thereby further lowering process costs). </w:t>
      </w:r>
      <w:r w:rsidR="004F3BC7">
        <w:rPr>
          <w:rFonts w:ascii="Arial" w:hAnsi="Arial" w:cs="Arial"/>
        </w:rPr>
        <w:t>T</w:t>
      </w:r>
      <w:r w:rsidR="002F5F57">
        <w:rPr>
          <w:rFonts w:ascii="Arial" w:hAnsi="Arial" w:cs="Arial"/>
        </w:rPr>
        <w:t xml:space="preserve">here is a need to employ </w:t>
      </w:r>
      <w:r w:rsidR="002F5F57" w:rsidRPr="00706DCE">
        <w:rPr>
          <w:rFonts w:ascii="Arial" w:hAnsi="Arial" w:cs="Arial"/>
        </w:rPr>
        <w:t xml:space="preserve">metabolic and protein engineering </w:t>
      </w:r>
      <w:r w:rsidR="00240343">
        <w:rPr>
          <w:rFonts w:ascii="Arial" w:hAnsi="Arial" w:cs="Arial"/>
        </w:rPr>
        <w:t xml:space="preserve">techniques </w:t>
      </w:r>
      <w:r w:rsidR="002F5F57">
        <w:rPr>
          <w:rFonts w:ascii="Arial" w:hAnsi="Arial" w:cs="Arial"/>
        </w:rPr>
        <w:t>to develop</w:t>
      </w:r>
      <w:r w:rsidRPr="00706DCE">
        <w:rPr>
          <w:rFonts w:ascii="Arial" w:hAnsi="Arial" w:cs="Arial"/>
        </w:rPr>
        <w:t xml:space="preserve"> biocatalysts with </w:t>
      </w:r>
      <w:r w:rsidR="002F5F57">
        <w:rPr>
          <w:rFonts w:ascii="Arial" w:hAnsi="Arial" w:cs="Arial"/>
        </w:rPr>
        <w:t>improv</w:t>
      </w:r>
      <w:r w:rsidR="002F5F57" w:rsidRPr="00706DCE">
        <w:rPr>
          <w:rFonts w:ascii="Arial" w:hAnsi="Arial" w:cs="Arial"/>
        </w:rPr>
        <w:t>ed</w:t>
      </w:r>
      <w:r w:rsidRPr="00706DCE">
        <w:rPr>
          <w:rFonts w:ascii="Arial" w:hAnsi="Arial" w:cs="Arial"/>
        </w:rPr>
        <w:t xml:space="preserve"> characteristics </w:t>
      </w:r>
      <w:r w:rsidR="00F937DC">
        <w:rPr>
          <w:rFonts w:ascii="Arial" w:hAnsi="Arial" w:cs="Arial"/>
        </w:rPr>
        <w:t>to achieve higher biodiesel yields</w:t>
      </w:r>
      <w:r w:rsidRPr="00706DCE">
        <w:rPr>
          <w:rFonts w:ascii="Arial" w:hAnsi="Arial" w:cs="Arial"/>
        </w:rPr>
        <w:t>.</w:t>
      </w:r>
      <w:r w:rsidR="0056761F">
        <w:rPr>
          <w:rFonts w:ascii="Arial" w:hAnsi="Arial" w:cs="Arial"/>
        </w:rPr>
        <w:t xml:space="preserve"> Also, the resulting biodiesel should be properly washed to </w:t>
      </w:r>
      <w:r w:rsidR="000C6DA9">
        <w:rPr>
          <w:rFonts w:ascii="Arial" w:hAnsi="Arial" w:cs="Arial"/>
        </w:rPr>
        <w:t>give it</w:t>
      </w:r>
      <w:r w:rsidR="0056761F">
        <w:rPr>
          <w:rFonts w:ascii="Arial" w:hAnsi="Arial" w:cs="Arial"/>
        </w:rPr>
        <w:t xml:space="preserve"> </w:t>
      </w:r>
      <w:r w:rsidR="005141F1">
        <w:rPr>
          <w:rFonts w:ascii="Arial" w:hAnsi="Arial" w:cs="Arial"/>
        </w:rPr>
        <w:t>higher flash</w:t>
      </w:r>
      <w:r w:rsidR="00A1128F">
        <w:rPr>
          <w:rFonts w:ascii="Arial" w:hAnsi="Arial" w:cs="Arial"/>
        </w:rPr>
        <w:t xml:space="preserve"> points and make it safer for use and storage</w:t>
      </w:r>
      <w:r w:rsidR="002C57E3">
        <w:rPr>
          <w:rFonts w:ascii="Arial" w:hAnsi="Arial" w:cs="Arial"/>
        </w:rPr>
        <w:t>.</w:t>
      </w:r>
    </w:p>
    <w:p w14:paraId="7E0C7792" w14:textId="77777777" w:rsidR="00790ADA" w:rsidRDefault="00790ADA" w:rsidP="00441B6F">
      <w:pPr>
        <w:pStyle w:val="Body"/>
        <w:spacing w:after="0"/>
        <w:rPr>
          <w:rFonts w:ascii="Arial" w:hAnsi="Arial" w:cs="Arial"/>
        </w:rPr>
      </w:pPr>
    </w:p>
    <w:p w14:paraId="3F5404DD" w14:textId="77777777" w:rsidR="00270B8A" w:rsidRPr="00270B8A" w:rsidRDefault="00270B8A" w:rsidP="00270B8A">
      <w:pPr>
        <w:pStyle w:val="Body"/>
        <w:rPr>
          <w:rFonts w:ascii="Arial" w:hAnsi="Arial" w:cs="Arial"/>
          <w:b/>
          <w:sz w:val="22"/>
        </w:rPr>
      </w:pPr>
      <w:r w:rsidRPr="00270B8A">
        <w:rPr>
          <w:rFonts w:ascii="Arial" w:hAnsi="Arial" w:cs="Arial"/>
          <w:b/>
          <w:sz w:val="22"/>
        </w:rPr>
        <w:t>DISCLAIMER (ARTIFICIAL INTELLIGENCE)</w:t>
      </w:r>
    </w:p>
    <w:p w14:paraId="154B709F" w14:textId="77777777" w:rsidR="00270B8A" w:rsidRDefault="00270B8A" w:rsidP="00270B8A">
      <w:pPr>
        <w:pStyle w:val="Body"/>
        <w:rPr>
          <w:rFonts w:ascii="Arial" w:hAnsi="Arial" w:cs="Arial"/>
        </w:rPr>
      </w:pPr>
      <w:r w:rsidRPr="00270B8A">
        <w:rPr>
          <w:rFonts w:ascii="Arial" w:hAnsi="Arial" w:cs="Arial"/>
        </w:rPr>
        <w:t>Author(s) hereby declare that NO generative AI technologies such as Large Language Models (</w:t>
      </w:r>
      <w:proofErr w:type="spellStart"/>
      <w:r w:rsidRPr="00270B8A">
        <w:rPr>
          <w:rFonts w:ascii="Arial" w:hAnsi="Arial" w:cs="Arial"/>
        </w:rPr>
        <w:t>ChatGPT</w:t>
      </w:r>
      <w:proofErr w:type="spellEnd"/>
      <w:r w:rsidRPr="00270B8A">
        <w:rPr>
          <w:rFonts w:ascii="Arial" w:hAnsi="Arial" w:cs="Arial"/>
        </w:rPr>
        <w:t>,</w:t>
      </w:r>
      <w:r>
        <w:rPr>
          <w:rFonts w:ascii="Arial" w:hAnsi="Arial" w:cs="Arial"/>
        </w:rPr>
        <w:t xml:space="preserve"> </w:t>
      </w:r>
      <w:r w:rsidRPr="00270B8A">
        <w:rPr>
          <w:rFonts w:ascii="Arial" w:hAnsi="Arial" w:cs="Arial"/>
        </w:rPr>
        <w:t xml:space="preserve">COPILOT, </w:t>
      </w:r>
      <w:proofErr w:type="spellStart"/>
      <w:proofErr w:type="gramStart"/>
      <w:r w:rsidRPr="00270B8A">
        <w:rPr>
          <w:rFonts w:ascii="Arial" w:hAnsi="Arial" w:cs="Arial"/>
        </w:rPr>
        <w:t>etc</w:t>
      </w:r>
      <w:proofErr w:type="spellEnd"/>
      <w:r w:rsidRPr="00270B8A">
        <w:rPr>
          <w:rFonts w:ascii="Arial" w:hAnsi="Arial" w:cs="Arial"/>
        </w:rPr>
        <w:t xml:space="preserve"> )</w:t>
      </w:r>
      <w:proofErr w:type="gramEnd"/>
      <w:r w:rsidRPr="00270B8A">
        <w:rPr>
          <w:rFonts w:ascii="Arial" w:hAnsi="Arial" w:cs="Arial"/>
        </w:rPr>
        <w:t xml:space="preserve"> and text to image generators have been used during writing or editing of this manuscript.</w:t>
      </w:r>
    </w:p>
    <w:p w14:paraId="47E6E255" w14:textId="77777777" w:rsidR="00935453" w:rsidRDefault="00935453" w:rsidP="00441B6F">
      <w:pPr>
        <w:pStyle w:val="ReferHead"/>
        <w:spacing w:after="0"/>
        <w:jc w:val="both"/>
        <w:rPr>
          <w:rFonts w:ascii="Arial" w:hAnsi="Arial" w:cs="Arial"/>
          <w:b w:val="0"/>
          <w:caps w:val="0"/>
          <w:sz w:val="20"/>
        </w:rPr>
      </w:pPr>
    </w:p>
    <w:p w14:paraId="007F8F12" w14:textId="77777777" w:rsidR="008B2B66" w:rsidRDefault="00B01FCD" w:rsidP="008B2B66">
      <w:pPr>
        <w:pStyle w:val="ReferHead"/>
        <w:spacing w:after="0"/>
        <w:jc w:val="both"/>
        <w:rPr>
          <w:rFonts w:ascii="Arial" w:hAnsi="Arial" w:cs="Arial"/>
        </w:rPr>
      </w:pPr>
      <w:r w:rsidRPr="00FB3A86">
        <w:rPr>
          <w:rFonts w:ascii="Arial" w:hAnsi="Arial" w:cs="Arial"/>
        </w:rPr>
        <w:t>References</w:t>
      </w:r>
    </w:p>
    <w:p w14:paraId="38A068D3" w14:textId="77777777" w:rsidR="008B2B66" w:rsidRDefault="008B2B66" w:rsidP="00940AAB">
      <w:pPr>
        <w:pStyle w:val="ReferHead"/>
        <w:spacing w:after="0"/>
        <w:jc w:val="both"/>
        <w:rPr>
          <w:rFonts w:ascii="Arial" w:hAnsi="Arial" w:cs="Arial"/>
          <w:sz w:val="20"/>
        </w:rPr>
      </w:pPr>
    </w:p>
    <w:p w14:paraId="724A0F1C" w14:textId="498DC2B8" w:rsidR="00DC6387" w:rsidRPr="00DC6387" w:rsidRDefault="00DC6387" w:rsidP="00DC6387">
      <w:pPr>
        <w:ind w:left="288" w:hangingChars="144" w:hanging="288"/>
        <w:jc w:val="both"/>
        <w:rPr>
          <w:rFonts w:ascii="Arial" w:hAnsi="Arial" w:cs="Arial"/>
        </w:rPr>
      </w:pPr>
      <w:proofErr w:type="spellStart"/>
      <w:r w:rsidRPr="00DC6387">
        <w:rPr>
          <w:rFonts w:ascii="Arial" w:hAnsi="Arial" w:cs="Arial"/>
        </w:rPr>
        <w:t>Amita</w:t>
      </w:r>
      <w:proofErr w:type="spellEnd"/>
      <w:r>
        <w:rPr>
          <w:rFonts w:ascii="Arial" w:hAnsi="Arial" w:cs="Arial"/>
        </w:rPr>
        <w:t>,</w:t>
      </w:r>
      <w:r w:rsidRPr="00DC6387">
        <w:rPr>
          <w:rFonts w:ascii="Arial" w:hAnsi="Arial" w:cs="Arial"/>
        </w:rPr>
        <w:t xml:space="preserve"> A</w:t>
      </w:r>
      <w:r>
        <w:rPr>
          <w:rFonts w:ascii="Arial" w:hAnsi="Arial" w:cs="Arial"/>
        </w:rPr>
        <w:t>. &amp;</w:t>
      </w:r>
      <w:r w:rsidRPr="00DC6387">
        <w:rPr>
          <w:rFonts w:ascii="Arial" w:hAnsi="Arial" w:cs="Arial"/>
        </w:rPr>
        <w:t xml:space="preserve"> </w:t>
      </w:r>
      <w:proofErr w:type="spellStart"/>
      <w:r w:rsidRPr="00DC6387">
        <w:rPr>
          <w:rFonts w:ascii="Arial" w:hAnsi="Arial" w:cs="Arial"/>
        </w:rPr>
        <w:t>Naimshree</w:t>
      </w:r>
      <w:proofErr w:type="spellEnd"/>
      <w:r>
        <w:rPr>
          <w:rFonts w:ascii="Arial" w:hAnsi="Arial" w:cs="Arial"/>
        </w:rPr>
        <w:t xml:space="preserve">, D. (2020). </w:t>
      </w:r>
      <w:r w:rsidRPr="00DC6387">
        <w:rPr>
          <w:rFonts w:ascii="Arial" w:hAnsi="Arial" w:cs="Arial"/>
        </w:rPr>
        <w:t xml:space="preserve">Isolation and identification of </w:t>
      </w:r>
      <w:r w:rsidRPr="00DC6387">
        <w:rPr>
          <w:rFonts w:ascii="Arial" w:hAnsi="Arial" w:cs="Arial"/>
          <w:i/>
        </w:rPr>
        <w:t>Candida</w:t>
      </w:r>
      <w:r w:rsidRPr="00DC6387">
        <w:rPr>
          <w:rFonts w:ascii="Arial" w:hAnsi="Arial" w:cs="Arial"/>
        </w:rPr>
        <w:t xml:space="preserve"> species by using chrome agar from various clinical samples</w:t>
      </w:r>
      <w:r>
        <w:rPr>
          <w:rFonts w:ascii="Arial" w:hAnsi="Arial" w:cs="Arial"/>
        </w:rPr>
        <w:t xml:space="preserve">. </w:t>
      </w:r>
      <w:r w:rsidRPr="00DC6387">
        <w:rPr>
          <w:rFonts w:ascii="Arial" w:hAnsi="Arial" w:cs="Arial"/>
          <w:i/>
        </w:rPr>
        <w:t xml:space="preserve">Saudi J </w:t>
      </w:r>
      <w:proofErr w:type="spellStart"/>
      <w:r w:rsidRPr="00DC6387">
        <w:rPr>
          <w:rFonts w:ascii="Arial" w:hAnsi="Arial" w:cs="Arial"/>
          <w:i/>
        </w:rPr>
        <w:t>Pathol</w:t>
      </w:r>
      <w:proofErr w:type="spellEnd"/>
      <w:r w:rsidRPr="00DC6387">
        <w:rPr>
          <w:rFonts w:ascii="Arial" w:hAnsi="Arial" w:cs="Arial"/>
          <w:i/>
        </w:rPr>
        <w:t xml:space="preserve"> Microbiol,</w:t>
      </w:r>
      <w:r w:rsidRPr="00DC6387">
        <w:rPr>
          <w:rFonts w:ascii="Arial" w:hAnsi="Arial" w:cs="Arial"/>
        </w:rPr>
        <w:t xml:space="preserve"> </w:t>
      </w:r>
      <w:r w:rsidRPr="00DC6387">
        <w:rPr>
          <w:rFonts w:ascii="Arial" w:hAnsi="Arial" w:cs="Arial"/>
          <w:i/>
        </w:rPr>
        <w:t>5</w:t>
      </w:r>
      <w:r w:rsidRPr="00DC6387">
        <w:rPr>
          <w:rFonts w:ascii="Arial" w:hAnsi="Arial" w:cs="Arial"/>
        </w:rPr>
        <w:t>(6)</w:t>
      </w:r>
      <w:r>
        <w:rPr>
          <w:rFonts w:ascii="Arial" w:hAnsi="Arial" w:cs="Arial"/>
        </w:rPr>
        <w:t>,</w:t>
      </w:r>
      <w:r w:rsidRPr="00DC6387">
        <w:rPr>
          <w:rFonts w:ascii="Arial" w:hAnsi="Arial" w:cs="Arial"/>
        </w:rPr>
        <w:t xml:space="preserve"> 323-327</w:t>
      </w:r>
      <w:r w:rsidR="00F707B9">
        <w:rPr>
          <w:rFonts w:ascii="Arial" w:hAnsi="Arial" w:cs="Arial"/>
        </w:rPr>
        <w:t xml:space="preserve">. </w:t>
      </w:r>
      <w:hyperlink r:id="rId19" w:history="1">
        <w:r w:rsidR="00F707B9" w:rsidRPr="006610B7">
          <w:rPr>
            <w:rStyle w:val="Hyperlink"/>
            <w:rFonts w:ascii="Arial" w:hAnsi="Arial" w:cs="Arial"/>
          </w:rPr>
          <w:t>https://doi.org/10.36348/sjpm.2020.v05i06.004</w:t>
        </w:r>
      </w:hyperlink>
      <w:r w:rsidR="00F707B9">
        <w:rPr>
          <w:rFonts w:ascii="Arial" w:hAnsi="Arial" w:cs="Arial"/>
        </w:rPr>
        <w:t xml:space="preserve"> </w:t>
      </w:r>
    </w:p>
    <w:p w14:paraId="5C0E5B32" w14:textId="2E6663C8" w:rsidR="002A6881" w:rsidRPr="002A6881" w:rsidRDefault="002A6881" w:rsidP="002A6881">
      <w:pPr>
        <w:ind w:left="288" w:hangingChars="144" w:hanging="288"/>
        <w:jc w:val="both"/>
        <w:rPr>
          <w:rFonts w:ascii="Arial" w:hAnsi="Arial" w:cs="Arial"/>
        </w:rPr>
      </w:pPr>
      <w:r w:rsidRPr="002A6881">
        <w:rPr>
          <w:rFonts w:ascii="Arial" w:hAnsi="Arial" w:cs="Arial"/>
        </w:rPr>
        <w:t>Ansar,</w:t>
      </w:r>
      <w:r>
        <w:rPr>
          <w:rFonts w:ascii="Arial" w:hAnsi="Arial" w:cs="Arial"/>
        </w:rPr>
        <w:t xml:space="preserve"> </w:t>
      </w:r>
      <w:r w:rsidRPr="002A6881">
        <w:rPr>
          <w:rFonts w:ascii="Arial" w:hAnsi="Arial" w:cs="Arial"/>
        </w:rPr>
        <w:t>R</w:t>
      </w:r>
      <w:r>
        <w:rPr>
          <w:rFonts w:ascii="Arial" w:hAnsi="Arial" w:cs="Arial"/>
        </w:rPr>
        <w:t>.</w:t>
      </w:r>
      <w:r w:rsidRPr="002A6881">
        <w:rPr>
          <w:rFonts w:ascii="Arial" w:hAnsi="Arial" w:cs="Arial"/>
        </w:rPr>
        <w:t>N</w:t>
      </w:r>
      <w:r>
        <w:rPr>
          <w:rFonts w:ascii="Arial" w:hAnsi="Arial" w:cs="Arial"/>
        </w:rPr>
        <w:t>.</w:t>
      </w:r>
      <w:r w:rsidRPr="002A6881">
        <w:rPr>
          <w:rFonts w:ascii="Arial" w:hAnsi="Arial" w:cs="Arial"/>
        </w:rPr>
        <w:t>R</w:t>
      </w:r>
      <w:r>
        <w:rPr>
          <w:rFonts w:ascii="Arial" w:hAnsi="Arial" w:cs="Arial"/>
        </w:rPr>
        <w:t>.,</w:t>
      </w:r>
      <w:r w:rsidRPr="002A6881">
        <w:rPr>
          <w:rFonts w:ascii="Arial" w:hAnsi="Arial" w:cs="Arial"/>
        </w:rPr>
        <w:t xml:space="preserve"> </w:t>
      </w:r>
      <w:proofErr w:type="spellStart"/>
      <w:r w:rsidRPr="002A6881">
        <w:rPr>
          <w:rFonts w:ascii="Arial" w:hAnsi="Arial" w:cs="Arial"/>
        </w:rPr>
        <w:t>Mubarik</w:t>
      </w:r>
      <w:proofErr w:type="spellEnd"/>
      <w:r>
        <w:rPr>
          <w:rFonts w:ascii="Arial" w:hAnsi="Arial" w:cs="Arial"/>
        </w:rPr>
        <w:t>, N.</w:t>
      </w:r>
      <w:r w:rsidRPr="002A6881">
        <w:rPr>
          <w:rFonts w:ascii="Arial" w:hAnsi="Arial" w:cs="Arial"/>
        </w:rPr>
        <w:t>R</w:t>
      </w:r>
      <w:r>
        <w:rPr>
          <w:rFonts w:ascii="Arial" w:hAnsi="Arial" w:cs="Arial"/>
        </w:rPr>
        <w:t>.</w:t>
      </w:r>
      <w:r w:rsidRPr="002A6881">
        <w:rPr>
          <w:rFonts w:ascii="Arial" w:hAnsi="Arial" w:cs="Arial"/>
        </w:rPr>
        <w:t xml:space="preserve"> </w:t>
      </w:r>
      <w:r>
        <w:rPr>
          <w:rFonts w:ascii="Arial" w:hAnsi="Arial" w:cs="Arial"/>
        </w:rPr>
        <w:t>&amp;</w:t>
      </w:r>
      <w:r w:rsidRPr="002A6881">
        <w:rPr>
          <w:rFonts w:ascii="Arial" w:hAnsi="Arial" w:cs="Arial"/>
        </w:rPr>
        <w:t xml:space="preserve"> </w:t>
      </w:r>
      <w:proofErr w:type="spellStart"/>
      <w:r w:rsidRPr="002A6881">
        <w:rPr>
          <w:rFonts w:ascii="Arial" w:hAnsi="Arial" w:cs="Arial"/>
        </w:rPr>
        <w:t>Kurniatin</w:t>
      </w:r>
      <w:proofErr w:type="spellEnd"/>
      <w:r>
        <w:rPr>
          <w:rFonts w:ascii="Arial" w:hAnsi="Arial" w:cs="Arial"/>
        </w:rPr>
        <w:t xml:space="preserve">, </w:t>
      </w:r>
      <w:r w:rsidRPr="002A6881">
        <w:rPr>
          <w:rFonts w:ascii="Arial" w:hAnsi="Arial" w:cs="Arial"/>
        </w:rPr>
        <w:t>P</w:t>
      </w:r>
      <w:r>
        <w:rPr>
          <w:rFonts w:ascii="Arial" w:hAnsi="Arial" w:cs="Arial"/>
        </w:rPr>
        <w:t>.</w:t>
      </w:r>
      <w:r w:rsidRPr="002A6881">
        <w:rPr>
          <w:rFonts w:ascii="Arial" w:hAnsi="Arial" w:cs="Arial"/>
        </w:rPr>
        <w:t>A</w:t>
      </w:r>
      <w:r>
        <w:rPr>
          <w:rFonts w:ascii="Arial" w:hAnsi="Arial" w:cs="Arial"/>
        </w:rPr>
        <w:t xml:space="preserve">. </w:t>
      </w:r>
      <w:r w:rsidRPr="002A6881">
        <w:rPr>
          <w:rFonts w:ascii="Arial" w:hAnsi="Arial" w:cs="Arial"/>
        </w:rPr>
        <w:t>(2025)</w:t>
      </w:r>
      <w:r>
        <w:rPr>
          <w:rFonts w:ascii="Arial" w:hAnsi="Arial" w:cs="Arial"/>
        </w:rPr>
        <w:t xml:space="preserve">. </w:t>
      </w:r>
      <w:r w:rsidRPr="002A6881">
        <w:rPr>
          <w:rFonts w:ascii="Arial" w:hAnsi="Arial" w:cs="Arial"/>
        </w:rPr>
        <w:t>Characterization and molecular identification of lipolytic</w:t>
      </w:r>
      <w:r>
        <w:rPr>
          <w:rFonts w:ascii="Arial" w:hAnsi="Arial" w:cs="Arial"/>
        </w:rPr>
        <w:t xml:space="preserve"> </w:t>
      </w:r>
      <w:r w:rsidRPr="002A6881">
        <w:rPr>
          <w:rFonts w:ascii="Arial" w:hAnsi="Arial" w:cs="Arial"/>
        </w:rPr>
        <w:t>bacteria from palm oil mill effluent (POME)</w:t>
      </w:r>
      <w:r>
        <w:rPr>
          <w:rFonts w:ascii="Arial" w:hAnsi="Arial" w:cs="Arial"/>
        </w:rPr>
        <w:t xml:space="preserve">. </w:t>
      </w:r>
      <w:r w:rsidRPr="002A6881">
        <w:rPr>
          <w:rFonts w:ascii="Arial" w:hAnsi="Arial" w:cs="Arial"/>
          <w:i/>
        </w:rPr>
        <w:t>IOP Conf. Ser.: Earth Environ. Sci.</w:t>
      </w:r>
      <w:r>
        <w:rPr>
          <w:rFonts w:ascii="Arial" w:hAnsi="Arial" w:cs="Arial"/>
          <w:i/>
        </w:rPr>
        <w:t>,</w:t>
      </w:r>
      <w:r>
        <w:rPr>
          <w:rFonts w:ascii="Arial" w:hAnsi="Arial" w:cs="Arial"/>
        </w:rPr>
        <w:t xml:space="preserve"> </w:t>
      </w:r>
      <w:r w:rsidRPr="002A6881">
        <w:rPr>
          <w:rFonts w:ascii="Arial" w:hAnsi="Arial" w:cs="Arial"/>
          <w:i/>
        </w:rPr>
        <w:t>1550</w:t>
      </w:r>
      <w:r w:rsidR="00EF3947">
        <w:rPr>
          <w:rFonts w:ascii="Arial" w:hAnsi="Arial" w:cs="Arial"/>
        </w:rPr>
        <w:t>(</w:t>
      </w:r>
      <w:r w:rsidRPr="002A6881">
        <w:rPr>
          <w:rFonts w:ascii="Arial" w:hAnsi="Arial" w:cs="Arial"/>
        </w:rPr>
        <w:t>012029</w:t>
      </w:r>
      <w:r w:rsidR="00EF3947">
        <w:rPr>
          <w:rFonts w:ascii="Arial" w:hAnsi="Arial" w:cs="Arial"/>
        </w:rPr>
        <w:t>), 1-9</w:t>
      </w:r>
      <w:r>
        <w:rPr>
          <w:rFonts w:ascii="Arial" w:hAnsi="Arial" w:cs="Arial"/>
        </w:rPr>
        <w:t xml:space="preserve">. </w:t>
      </w:r>
      <w:hyperlink r:id="rId20" w:history="1">
        <w:r w:rsidRPr="006610B7">
          <w:rPr>
            <w:rStyle w:val="Hyperlink"/>
            <w:rFonts w:ascii="Arial" w:hAnsi="Arial" w:cs="Arial"/>
          </w:rPr>
          <w:t>https://doi.org/10.1088/1755-1315/1550/1/012029</w:t>
        </w:r>
      </w:hyperlink>
      <w:r>
        <w:rPr>
          <w:rFonts w:ascii="Arial" w:hAnsi="Arial" w:cs="Arial"/>
        </w:rPr>
        <w:t xml:space="preserve"> </w:t>
      </w:r>
    </w:p>
    <w:p w14:paraId="403742F7" w14:textId="77777777" w:rsidR="00DF5C26" w:rsidRPr="00070C9F" w:rsidRDefault="00DF5C26" w:rsidP="00BD5B8B">
      <w:pPr>
        <w:ind w:left="288" w:hangingChars="144" w:hanging="288"/>
        <w:jc w:val="both"/>
        <w:rPr>
          <w:rFonts w:ascii="Arial" w:hAnsi="Arial" w:cs="Arial"/>
        </w:rPr>
      </w:pPr>
      <w:proofErr w:type="spellStart"/>
      <w:r w:rsidRPr="00070C9F">
        <w:rPr>
          <w:rFonts w:ascii="Arial" w:hAnsi="Arial" w:cs="Arial"/>
        </w:rPr>
        <w:t>Aworanti</w:t>
      </w:r>
      <w:proofErr w:type="spellEnd"/>
      <w:r>
        <w:rPr>
          <w:rFonts w:ascii="Arial" w:hAnsi="Arial" w:cs="Arial"/>
        </w:rPr>
        <w:t>,</w:t>
      </w:r>
      <w:r w:rsidRPr="00070C9F">
        <w:rPr>
          <w:rFonts w:ascii="Arial" w:hAnsi="Arial" w:cs="Arial"/>
        </w:rPr>
        <w:t xml:space="preserve"> O</w:t>
      </w:r>
      <w:r>
        <w:rPr>
          <w:rFonts w:ascii="Arial" w:hAnsi="Arial" w:cs="Arial"/>
        </w:rPr>
        <w:t>.</w:t>
      </w:r>
      <w:r w:rsidRPr="00070C9F">
        <w:rPr>
          <w:rFonts w:ascii="Arial" w:hAnsi="Arial" w:cs="Arial"/>
        </w:rPr>
        <w:t>A</w:t>
      </w:r>
      <w:r>
        <w:rPr>
          <w:rFonts w:ascii="Arial" w:hAnsi="Arial" w:cs="Arial"/>
        </w:rPr>
        <w:t>.</w:t>
      </w:r>
      <w:r w:rsidRPr="00070C9F">
        <w:rPr>
          <w:rFonts w:ascii="Arial" w:hAnsi="Arial" w:cs="Arial"/>
        </w:rPr>
        <w:t>, Ajani</w:t>
      </w:r>
      <w:r>
        <w:rPr>
          <w:rFonts w:ascii="Arial" w:hAnsi="Arial" w:cs="Arial"/>
        </w:rPr>
        <w:t>,</w:t>
      </w:r>
      <w:r w:rsidRPr="00070C9F">
        <w:rPr>
          <w:rFonts w:ascii="Arial" w:hAnsi="Arial" w:cs="Arial"/>
        </w:rPr>
        <w:t xml:space="preserve"> A</w:t>
      </w:r>
      <w:r>
        <w:rPr>
          <w:rFonts w:ascii="Arial" w:hAnsi="Arial" w:cs="Arial"/>
        </w:rPr>
        <w:t>.</w:t>
      </w:r>
      <w:r w:rsidRPr="00070C9F">
        <w:rPr>
          <w:rFonts w:ascii="Arial" w:hAnsi="Arial" w:cs="Arial"/>
        </w:rPr>
        <w:t>O</w:t>
      </w:r>
      <w:r>
        <w:rPr>
          <w:rFonts w:ascii="Arial" w:hAnsi="Arial" w:cs="Arial"/>
        </w:rPr>
        <w:t>.</w:t>
      </w:r>
      <w:r w:rsidRPr="00070C9F">
        <w:rPr>
          <w:rFonts w:ascii="Arial" w:hAnsi="Arial" w:cs="Arial"/>
        </w:rPr>
        <w:t xml:space="preserve">, </w:t>
      </w:r>
      <w:proofErr w:type="spellStart"/>
      <w:r w:rsidRPr="00070C9F">
        <w:rPr>
          <w:rFonts w:ascii="Arial" w:hAnsi="Arial" w:cs="Arial"/>
        </w:rPr>
        <w:t>Agarry</w:t>
      </w:r>
      <w:proofErr w:type="spellEnd"/>
      <w:r>
        <w:rPr>
          <w:rFonts w:ascii="Arial" w:hAnsi="Arial" w:cs="Arial"/>
        </w:rPr>
        <w:t>,</w:t>
      </w:r>
      <w:r w:rsidRPr="00070C9F">
        <w:rPr>
          <w:rFonts w:ascii="Arial" w:hAnsi="Arial" w:cs="Arial"/>
        </w:rPr>
        <w:t xml:space="preserve"> S</w:t>
      </w:r>
      <w:r>
        <w:rPr>
          <w:rFonts w:ascii="Arial" w:hAnsi="Arial" w:cs="Arial"/>
        </w:rPr>
        <w:t>.</w:t>
      </w:r>
      <w:r w:rsidRPr="00070C9F">
        <w:rPr>
          <w:rFonts w:ascii="Arial" w:hAnsi="Arial" w:cs="Arial"/>
        </w:rPr>
        <w:t>E</w:t>
      </w:r>
      <w:r>
        <w:rPr>
          <w:rFonts w:ascii="Arial" w:hAnsi="Arial" w:cs="Arial"/>
        </w:rPr>
        <w:t>.</w:t>
      </w:r>
      <w:r w:rsidRPr="00070C9F">
        <w:rPr>
          <w:rFonts w:ascii="Arial" w:hAnsi="Arial" w:cs="Arial"/>
        </w:rPr>
        <w:t>, Babatunde</w:t>
      </w:r>
      <w:r>
        <w:rPr>
          <w:rFonts w:ascii="Arial" w:hAnsi="Arial" w:cs="Arial"/>
        </w:rPr>
        <w:t>,</w:t>
      </w:r>
      <w:r w:rsidRPr="00070C9F">
        <w:rPr>
          <w:rFonts w:ascii="Arial" w:hAnsi="Arial" w:cs="Arial"/>
        </w:rPr>
        <w:t xml:space="preserve"> K</w:t>
      </w:r>
      <w:r>
        <w:rPr>
          <w:rFonts w:ascii="Arial" w:hAnsi="Arial" w:cs="Arial"/>
        </w:rPr>
        <w:t>.</w:t>
      </w:r>
      <w:r w:rsidRPr="00070C9F">
        <w:rPr>
          <w:rFonts w:ascii="Arial" w:hAnsi="Arial" w:cs="Arial"/>
        </w:rPr>
        <w:t>A</w:t>
      </w:r>
      <w:r>
        <w:rPr>
          <w:rFonts w:ascii="Arial" w:hAnsi="Arial" w:cs="Arial"/>
        </w:rPr>
        <w:t>.</w:t>
      </w:r>
      <w:r w:rsidRPr="00070C9F">
        <w:rPr>
          <w:rFonts w:ascii="Arial" w:hAnsi="Arial" w:cs="Arial"/>
        </w:rPr>
        <w:t>, Akinwunmi</w:t>
      </w:r>
      <w:r>
        <w:rPr>
          <w:rFonts w:ascii="Arial" w:hAnsi="Arial" w:cs="Arial"/>
        </w:rPr>
        <w:t>,</w:t>
      </w:r>
      <w:r w:rsidRPr="00070C9F">
        <w:rPr>
          <w:rFonts w:ascii="Arial" w:hAnsi="Arial" w:cs="Arial"/>
        </w:rPr>
        <w:t xml:space="preserve"> O</w:t>
      </w:r>
      <w:r>
        <w:rPr>
          <w:rFonts w:ascii="Arial" w:hAnsi="Arial" w:cs="Arial"/>
        </w:rPr>
        <w:t>.</w:t>
      </w:r>
      <w:r w:rsidRPr="00070C9F">
        <w:rPr>
          <w:rFonts w:ascii="Arial" w:hAnsi="Arial" w:cs="Arial"/>
        </w:rPr>
        <w:t>D.</w:t>
      </w:r>
      <w:r>
        <w:rPr>
          <w:rFonts w:ascii="Arial" w:hAnsi="Arial" w:cs="Arial"/>
        </w:rPr>
        <w:t xml:space="preserve"> (2019).</w:t>
      </w:r>
      <w:r w:rsidRPr="00070C9F">
        <w:rPr>
          <w:rFonts w:ascii="Arial" w:hAnsi="Arial" w:cs="Arial"/>
        </w:rPr>
        <w:t xml:space="preserve"> Effect of process variables on the transesterification process of palm oil sludge to biodiesel. </w:t>
      </w:r>
      <w:r w:rsidRPr="00A96D3C">
        <w:rPr>
          <w:rFonts w:ascii="Arial" w:hAnsi="Arial" w:cs="Arial"/>
          <w:i/>
        </w:rPr>
        <w:t>Biotech J. Int.</w:t>
      </w:r>
      <w:r>
        <w:rPr>
          <w:rFonts w:ascii="Arial" w:hAnsi="Arial" w:cs="Arial"/>
          <w:i/>
        </w:rPr>
        <w:t>,</w:t>
      </w:r>
      <w:r>
        <w:rPr>
          <w:rFonts w:ascii="Arial" w:hAnsi="Arial" w:cs="Arial"/>
        </w:rPr>
        <w:t xml:space="preserve"> </w:t>
      </w:r>
      <w:r w:rsidRPr="00581AEC">
        <w:rPr>
          <w:rFonts w:ascii="Arial" w:hAnsi="Arial" w:cs="Arial"/>
          <w:i/>
        </w:rPr>
        <w:t>23</w:t>
      </w:r>
      <w:r w:rsidRPr="00070C9F">
        <w:rPr>
          <w:rFonts w:ascii="Arial" w:hAnsi="Arial" w:cs="Arial"/>
        </w:rPr>
        <w:t>(2): 1-14</w:t>
      </w:r>
      <w:r>
        <w:rPr>
          <w:rFonts w:ascii="Arial" w:hAnsi="Arial" w:cs="Arial"/>
        </w:rPr>
        <w:t>.</w:t>
      </w:r>
    </w:p>
    <w:p w14:paraId="2310CBE2" w14:textId="77777777" w:rsidR="00DF5C26" w:rsidRPr="00070C9F" w:rsidRDefault="00DF5C26" w:rsidP="00BD5B8B">
      <w:pPr>
        <w:ind w:left="288" w:hangingChars="144" w:hanging="288"/>
        <w:jc w:val="both"/>
        <w:rPr>
          <w:rFonts w:ascii="Arial" w:hAnsi="Arial" w:cs="Arial"/>
        </w:rPr>
      </w:pPr>
      <w:proofErr w:type="spellStart"/>
      <w:r w:rsidRPr="00070C9F">
        <w:rPr>
          <w:rFonts w:ascii="Arial" w:hAnsi="Arial" w:cs="Arial"/>
        </w:rPr>
        <w:t>Bahadi</w:t>
      </w:r>
      <w:proofErr w:type="spellEnd"/>
      <w:r>
        <w:rPr>
          <w:rFonts w:ascii="Arial" w:hAnsi="Arial" w:cs="Arial"/>
        </w:rPr>
        <w:t>,</w:t>
      </w:r>
      <w:r w:rsidRPr="00070C9F">
        <w:rPr>
          <w:rFonts w:ascii="Arial" w:hAnsi="Arial" w:cs="Arial"/>
        </w:rPr>
        <w:t xml:space="preserve"> M</w:t>
      </w:r>
      <w:r>
        <w:rPr>
          <w:rFonts w:ascii="Arial" w:hAnsi="Arial" w:cs="Arial"/>
        </w:rPr>
        <w:t>.</w:t>
      </w:r>
      <w:r w:rsidRPr="00070C9F">
        <w:rPr>
          <w:rFonts w:ascii="Arial" w:hAnsi="Arial" w:cs="Arial"/>
        </w:rPr>
        <w:t>A</w:t>
      </w:r>
      <w:r>
        <w:rPr>
          <w:rFonts w:ascii="Arial" w:hAnsi="Arial" w:cs="Arial"/>
        </w:rPr>
        <w:t>.</w:t>
      </w:r>
      <w:r w:rsidRPr="00070C9F">
        <w:rPr>
          <w:rFonts w:ascii="Arial" w:hAnsi="Arial" w:cs="Arial"/>
        </w:rPr>
        <w:t xml:space="preserve">, </w:t>
      </w:r>
      <w:proofErr w:type="spellStart"/>
      <w:r w:rsidRPr="00070C9F">
        <w:rPr>
          <w:rFonts w:ascii="Arial" w:hAnsi="Arial" w:cs="Arial"/>
        </w:rPr>
        <w:t>Japir</w:t>
      </w:r>
      <w:proofErr w:type="spellEnd"/>
      <w:r>
        <w:rPr>
          <w:rFonts w:ascii="Arial" w:hAnsi="Arial" w:cs="Arial"/>
        </w:rPr>
        <w:t>,</w:t>
      </w:r>
      <w:r w:rsidRPr="00070C9F">
        <w:rPr>
          <w:rFonts w:ascii="Arial" w:hAnsi="Arial" w:cs="Arial"/>
        </w:rPr>
        <w:t xml:space="preserve"> A</w:t>
      </w:r>
      <w:r>
        <w:rPr>
          <w:rFonts w:ascii="Arial" w:hAnsi="Arial" w:cs="Arial"/>
        </w:rPr>
        <w:t>.</w:t>
      </w:r>
      <w:r w:rsidRPr="00070C9F">
        <w:rPr>
          <w:rFonts w:ascii="Arial" w:hAnsi="Arial" w:cs="Arial"/>
        </w:rPr>
        <w:t>W</w:t>
      </w:r>
      <w:r>
        <w:rPr>
          <w:rFonts w:ascii="Arial" w:hAnsi="Arial" w:cs="Arial"/>
        </w:rPr>
        <w:t>.</w:t>
      </w:r>
      <w:r w:rsidRPr="00070C9F">
        <w:rPr>
          <w:rFonts w:ascii="Arial" w:hAnsi="Arial" w:cs="Arial"/>
        </w:rPr>
        <w:t>, Salih</w:t>
      </w:r>
      <w:r>
        <w:rPr>
          <w:rFonts w:ascii="Arial" w:hAnsi="Arial" w:cs="Arial"/>
        </w:rPr>
        <w:t>,</w:t>
      </w:r>
      <w:r w:rsidRPr="00070C9F">
        <w:rPr>
          <w:rFonts w:ascii="Arial" w:hAnsi="Arial" w:cs="Arial"/>
        </w:rPr>
        <w:t xml:space="preserve"> N</w:t>
      </w:r>
      <w:r>
        <w:rPr>
          <w:rFonts w:ascii="Arial" w:hAnsi="Arial" w:cs="Arial"/>
        </w:rPr>
        <w:t>. &amp;</w:t>
      </w:r>
      <w:r w:rsidRPr="00070C9F">
        <w:rPr>
          <w:rFonts w:ascii="Arial" w:hAnsi="Arial" w:cs="Arial"/>
        </w:rPr>
        <w:t xml:space="preserve"> </w:t>
      </w:r>
      <w:proofErr w:type="spellStart"/>
      <w:r w:rsidRPr="00070C9F">
        <w:rPr>
          <w:rFonts w:ascii="Arial" w:hAnsi="Arial" w:cs="Arial"/>
        </w:rPr>
        <w:t>Salimon</w:t>
      </w:r>
      <w:proofErr w:type="spellEnd"/>
      <w:r>
        <w:rPr>
          <w:rFonts w:ascii="Arial" w:hAnsi="Arial" w:cs="Arial"/>
        </w:rPr>
        <w:t>,</w:t>
      </w:r>
      <w:r w:rsidRPr="00070C9F">
        <w:rPr>
          <w:rFonts w:ascii="Arial" w:hAnsi="Arial" w:cs="Arial"/>
        </w:rPr>
        <w:t xml:space="preserve"> J.</w:t>
      </w:r>
      <w:r>
        <w:rPr>
          <w:rFonts w:ascii="Arial" w:hAnsi="Arial" w:cs="Arial"/>
        </w:rPr>
        <w:t xml:space="preserve"> (2016).</w:t>
      </w:r>
      <w:r w:rsidRPr="00070C9F">
        <w:rPr>
          <w:rFonts w:ascii="Arial" w:hAnsi="Arial" w:cs="Arial"/>
        </w:rPr>
        <w:t xml:space="preserve"> Free fatty acids separation from Malaysian high free fatty acid crude palm oil using molecular distillation. </w:t>
      </w:r>
      <w:r w:rsidRPr="00A96D3C">
        <w:rPr>
          <w:rFonts w:ascii="Arial" w:hAnsi="Arial" w:cs="Arial"/>
          <w:i/>
        </w:rPr>
        <w:t>Malaysian Jour</w:t>
      </w:r>
      <w:r>
        <w:rPr>
          <w:rFonts w:ascii="Arial" w:hAnsi="Arial" w:cs="Arial"/>
          <w:i/>
        </w:rPr>
        <w:t>nal of Analytical Science,</w:t>
      </w:r>
      <w:r w:rsidRPr="00A96D3C">
        <w:rPr>
          <w:rFonts w:ascii="Arial" w:hAnsi="Arial" w:cs="Arial"/>
          <w:i/>
        </w:rPr>
        <w:t xml:space="preserve"> 20</w:t>
      </w:r>
      <w:r>
        <w:rPr>
          <w:rFonts w:ascii="Arial" w:hAnsi="Arial" w:cs="Arial"/>
          <w:i/>
        </w:rPr>
        <w:t>,</w:t>
      </w:r>
      <w:r w:rsidRPr="00070C9F">
        <w:rPr>
          <w:rFonts w:ascii="Arial" w:hAnsi="Arial" w:cs="Arial"/>
        </w:rPr>
        <w:t xml:space="preserve"> 1042-1051.</w:t>
      </w:r>
    </w:p>
    <w:p w14:paraId="4A3A1190" w14:textId="4C71B9A7" w:rsidR="00DF5C26" w:rsidRPr="00070C9F" w:rsidRDefault="00DF5C26" w:rsidP="00BD5B8B">
      <w:pPr>
        <w:ind w:left="288" w:hangingChars="144" w:hanging="288"/>
        <w:jc w:val="both"/>
        <w:rPr>
          <w:rFonts w:ascii="Arial" w:hAnsi="Arial" w:cs="Arial"/>
        </w:rPr>
      </w:pPr>
      <w:proofErr w:type="spellStart"/>
      <w:r w:rsidRPr="00070C9F">
        <w:rPr>
          <w:rFonts w:ascii="Arial" w:hAnsi="Arial" w:cs="Arial"/>
        </w:rPr>
        <w:t>Bunu</w:t>
      </w:r>
      <w:proofErr w:type="spellEnd"/>
      <w:r>
        <w:rPr>
          <w:rFonts w:ascii="Arial" w:hAnsi="Arial" w:cs="Arial"/>
        </w:rPr>
        <w:t>,</w:t>
      </w:r>
      <w:r w:rsidRPr="00070C9F">
        <w:rPr>
          <w:rFonts w:ascii="Arial" w:hAnsi="Arial" w:cs="Arial"/>
        </w:rPr>
        <w:t xml:space="preserve"> S</w:t>
      </w:r>
      <w:r>
        <w:rPr>
          <w:rFonts w:ascii="Arial" w:hAnsi="Arial" w:cs="Arial"/>
        </w:rPr>
        <w:t>.</w:t>
      </w:r>
      <w:r w:rsidRPr="00070C9F">
        <w:rPr>
          <w:rFonts w:ascii="Arial" w:hAnsi="Arial" w:cs="Arial"/>
        </w:rPr>
        <w:t>J</w:t>
      </w:r>
      <w:r>
        <w:rPr>
          <w:rFonts w:ascii="Arial" w:hAnsi="Arial" w:cs="Arial"/>
        </w:rPr>
        <w:t>.</w:t>
      </w:r>
      <w:r w:rsidRPr="00070C9F">
        <w:rPr>
          <w:rFonts w:ascii="Arial" w:hAnsi="Arial" w:cs="Arial"/>
        </w:rPr>
        <w:t xml:space="preserve">, </w:t>
      </w:r>
      <w:proofErr w:type="spellStart"/>
      <w:r w:rsidRPr="00070C9F">
        <w:rPr>
          <w:rFonts w:ascii="Arial" w:hAnsi="Arial" w:cs="Arial"/>
        </w:rPr>
        <w:t>Otele</w:t>
      </w:r>
      <w:proofErr w:type="spellEnd"/>
      <w:r>
        <w:rPr>
          <w:rFonts w:ascii="Arial" w:hAnsi="Arial" w:cs="Arial"/>
        </w:rPr>
        <w:t>,</w:t>
      </w:r>
      <w:r w:rsidRPr="00070C9F">
        <w:rPr>
          <w:rFonts w:ascii="Arial" w:hAnsi="Arial" w:cs="Arial"/>
        </w:rPr>
        <w:t xml:space="preserve"> D</w:t>
      </w:r>
      <w:r>
        <w:rPr>
          <w:rFonts w:ascii="Arial" w:hAnsi="Arial" w:cs="Arial"/>
        </w:rPr>
        <w:t>.</w:t>
      </w:r>
      <w:r w:rsidRPr="00070C9F">
        <w:rPr>
          <w:rFonts w:ascii="Arial" w:hAnsi="Arial" w:cs="Arial"/>
        </w:rPr>
        <w:t>, Alade</w:t>
      </w:r>
      <w:r>
        <w:rPr>
          <w:rFonts w:ascii="Arial" w:hAnsi="Arial" w:cs="Arial"/>
        </w:rPr>
        <w:t xml:space="preserve">, T. &amp; </w:t>
      </w:r>
      <w:proofErr w:type="spellStart"/>
      <w:r w:rsidRPr="00070C9F">
        <w:rPr>
          <w:rFonts w:ascii="Arial" w:hAnsi="Arial" w:cs="Arial"/>
        </w:rPr>
        <w:t>Dodoru</w:t>
      </w:r>
      <w:proofErr w:type="spellEnd"/>
      <w:r>
        <w:rPr>
          <w:rFonts w:ascii="Arial" w:hAnsi="Arial" w:cs="Arial"/>
        </w:rPr>
        <w:t>,</w:t>
      </w:r>
      <w:r w:rsidRPr="00070C9F">
        <w:rPr>
          <w:rFonts w:ascii="Arial" w:hAnsi="Arial" w:cs="Arial"/>
        </w:rPr>
        <w:t xml:space="preserve"> R</w:t>
      </w:r>
      <w:r>
        <w:rPr>
          <w:rFonts w:ascii="Arial" w:hAnsi="Arial" w:cs="Arial"/>
        </w:rPr>
        <w:t>.</w:t>
      </w:r>
      <w:r w:rsidRPr="00070C9F">
        <w:rPr>
          <w:rFonts w:ascii="Arial" w:hAnsi="Arial" w:cs="Arial"/>
        </w:rPr>
        <w:t>T.</w:t>
      </w:r>
      <w:r w:rsidR="00E15E70">
        <w:rPr>
          <w:rFonts w:ascii="Arial" w:hAnsi="Arial" w:cs="Arial"/>
        </w:rPr>
        <w:t xml:space="preserve"> </w:t>
      </w:r>
      <w:r w:rsidR="00AE5F63">
        <w:rPr>
          <w:rFonts w:ascii="Arial" w:hAnsi="Arial" w:cs="Arial"/>
        </w:rPr>
        <w:t>(</w:t>
      </w:r>
      <w:r w:rsidR="00E15E70" w:rsidRPr="00E15E70">
        <w:rPr>
          <w:rFonts w:ascii="Arial" w:hAnsi="Arial" w:cs="Arial"/>
        </w:rPr>
        <w:t>2020</w:t>
      </w:r>
      <w:r w:rsidR="00AE5F63">
        <w:rPr>
          <w:rFonts w:ascii="Arial" w:hAnsi="Arial" w:cs="Arial"/>
        </w:rPr>
        <w:t xml:space="preserve">). </w:t>
      </w:r>
      <w:r w:rsidRPr="00070C9F">
        <w:rPr>
          <w:rFonts w:ascii="Arial" w:hAnsi="Arial" w:cs="Arial"/>
        </w:rPr>
        <w:t xml:space="preserve">Determination of serum DNA purity among patients undergoing antiretroviral therapy using NanoDrop-1000 Spectrophotometer and polymerase chain reaction. </w:t>
      </w:r>
      <w:proofErr w:type="spellStart"/>
      <w:r w:rsidRPr="00D967A9">
        <w:rPr>
          <w:rFonts w:ascii="Arial" w:hAnsi="Arial" w:cs="Arial"/>
          <w:i/>
        </w:rPr>
        <w:t>B</w:t>
      </w:r>
      <w:r>
        <w:rPr>
          <w:rFonts w:ascii="Arial" w:hAnsi="Arial" w:cs="Arial"/>
          <w:i/>
        </w:rPr>
        <w:t>iomed.and</w:t>
      </w:r>
      <w:proofErr w:type="spellEnd"/>
      <w:r>
        <w:rPr>
          <w:rFonts w:ascii="Arial" w:hAnsi="Arial" w:cs="Arial"/>
          <w:i/>
        </w:rPr>
        <w:t xml:space="preserve"> Biotech. Res. J.,</w:t>
      </w:r>
      <w:r w:rsidRPr="00D967A9">
        <w:rPr>
          <w:rFonts w:ascii="Arial" w:hAnsi="Arial" w:cs="Arial"/>
          <w:i/>
        </w:rPr>
        <w:t xml:space="preserve"> 4</w:t>
      </w:r>
      <w:r w:rsidRPr="00070C9F">
        <w:rPr>
          <w:rFonts w:ascii="Arial" w:hAnsi="Arial" w:cs="Arial"/>
        </w:rPr>
        <w:t>(3)</w:t>
      </w:r>
      <w:r>
        <w:rPr>
          <w:rFonts w:ascii="Arial" w:hAnsi="Arial" w:cs="Arial"/>
        </w:rPr>
        <w:t>,</w:t>
      </w:r>
      <w:r w:rsidRPr="00070C9F">
        <w:rPr>
          <w:rFonts w:ascii="Arial" w:hAnsi="Arial" w:cs="Arial"/>
        </w:rPr>
        <w:t xml:space="preserve"> 214-219.</w:t>
      </w:r>
    </w:p>
    <w:p w14:paraId="30C0A1D2" w14:textId="77777777" w:rsidR="005267A3" w:rsidRPr="00070C9F" w:rsidRDefault="005267A3" w:rsidP="00BD5B8B">
      <w:pPr>
        <w:ind w:left="288" w:hangingChars="144" w:hanging="288"/>
        <w:jc w:val="both"/>
        <w:rPr>
          <w:rStyle w:val="Hyperlink"/>
          <w:rFonts w:ascii="Arial" w:hAnsi="Arial" w:cs="Arial"/>
        </w:rPr>
      </w:pPr>
      <w:r w:rsidRPr="00070C9F">
        <w:rPr>
          <w:rFonts w:ascii="Arial" w:hAnsi="Arial" w:cs="Arial"/>
        </w:rPr>
        <w:t>de Carvalho</w:t>
      </w:r>
      <w:r>
        <w:rPr>
          <w:rFonts w:ascii="Arial" w:hAnsi="Arial" w:cs="Arial"/>
        </w:rPr>
        <w:t>,</w:t>
      </w:r>
      <w:r w:rsidRPr="00070C9F">
        <w:rPr>
          <w:rFonts w:ascii="Arial" w:hAnsi="Arial" w:cs="Arial"/>
        </w:rPr>
        <w:t xml:space="preserve"> C</w:t>
      </w:r>
      <w:r>
        <w:rPr>
          <w:rFonts w:ascii="Arial" w:hAnsi="Arial" w:cs="Arial"/>
        </w:rPr>
        <w:t>.</w:t>
      </w:r>
      <w:r w:rsidRPr="00070C9F">
        <w:rPr>
          <w:rFonts w:ascii="Arial" w:hAnsi="Arial" w:cs="Arial"/>
        </w:rPr>
        <w:t>C</w:t>
      </w:r>
      <w:r>
        <w:rPr>
          <w:rFonts w:ascii="Arial" w:hAnsi="Arial" w:cs="Arial"/>
        </w:rPr>
        <w:t>.</w:t>
      </w:r>
      <w:r w:rsidRPr="00070C9F">
        <w:rPr>
          <w:rFonts w:ascii="Arial" w:hAnsi="Arial" w:cs="Arial"/>
        </w:rPr>
        <w:t>C</w:t>
      </w:r>
      <w:r>
        <w:rPr>
          <w:rFonts w:ascii="Arial" w:hAnsi="Arial" w:cs="Arial"/>
        </w:rPr>
        <w:t>.</w:t>
      </w:r>
      <w:r w:rsidRPr="00070C9F">
        <w:rPr>
          <w:rFonts w:ascii="Arial" w:hAnsi="Arial" w:cs="Arial"/>
        </w:rPr>
        <w:t>R.</w:t>
      </w:r>
      <w:r>
        <w:rPr>
          <w:rFonts w:ascii="Arial" w:hAnsi="Arial" w:cs="Arial"/>
        </w:rPr>
        <w:t xml:space="preserve"> (2017).</w:t>
      </w:r>
      <w:r w:rsidRPr="00070C9F">
        <w:rPr>
          <w:rFonts w:ascii="Arial" w:hAnsi="Arial" w:cs="Arial"/>
        </w:rPr>
        <w:t xml:space="preserve"> Whole cell biocatalysts: essential workers from nature to the industry. </w:t>
      </w:r>
      <w:proofErr w:type="spellStart"/>
      <w:r>
        <w:rPr>
          <w:rFonts w:ascii="Arial" w:hAnsi="Arial" w:cs="Arial"/>
          <w:i/>
        </w:rPr>
        <w:t>Microb</w:t>
      </w:r>
      <w:proofErr w:type="spellEnd"/>
      <w:r>
        <w:rPr>
          <w:rFonts w:ascii="Arial" w:hAnsi="Arial" w:cs="Arial"/>
          <w:i/>
        </w:rPr>
        <w:t xml:space="preserve">. Biotech. </w:t>
      </w:r>
      <w:r w:rsidRPr="00EA7809">
        <w:rPr>
          <w:rFonts w:ascii="Arial" w:hAnsi="Arial" w:cs="Arial"/>
          <w:i/>
        </w:rPr>
        <w:t>10</w:t>
      </w:r>
      <w:r w:rsidRPr="00070C9F">
        <w:rPr>
          <w:rFonts w:ascii="Arial" w:hAnsi="Arial" w:cs="Arial"/>
        </w:rPr>
        <w:t>(2)</w:t>
      </w:r>
      <w:r>
        <w:rPr>
          <w:rFonts w:ascii="Arial" w:hAnsi="Arial" w:cs="Arial"/>
        </w:rPr>
        <w:t>,</w:t>
      </w:r>
      <w:r w:rsidRPr="00070C9F">
        <w:rPr>
          <w:rFonts w:ascii="Arial" w:hAnsi="Arial" w:cs="Arial"/>
        </w:rPr>
        <w:t xml:space="preserve"> 250-263. </w:t>
      </w:r>
      <w:hyperlink r:id="rId21" w:history="1">
        <w:r w:rsidRPr="00070C9F">
          <w:rPr>
            <w:rStyle w:val="Hyperlink"/>
            <w:rFonts w:ascii="Arial" w:hAnsi="Arial" w:cs="Arial"/>
          </w:rPr>
          <w:t>https://doi.org/10.1111/1751-7915.12363</w:t>
        </w:r>
      </w:hyperlink>
    </w:p>
    <w:p w14:paraId="690CCD54" w14:textId="05ECE0C4" w:rsidR="00070C9F" w:rsidRPr="00070C9F" w:rsidRDefault="00070C9F" w:rsidP="00BD5B8B">
      <w:pPr>
        <w:ind w:left="288" w:hangingChars="144" w:hanging="288"/>
        <w:jc w:val="both"/>
        <w:rPr>
          <w:rFonts w:ascii="Arial" w:hAnsi="Arial" w:cs="Arial"/>
        </w:rPr>
      </w:pPr>
      <w:r w:rsidRPr="00070C9F">
        <w:rPr>
          <w:rFonts w:ascii="Arial" w:hAnsi="Arial" w:cs="Arial"/>
        </w:rPr>
        <w:t>Degfie</w:t>
      </w:r>
      <w:r w:rsidR="00983018">
        <w:rPr>
          <w:rFonts w:ascii="Arial" w:hAnsi="Arial" w:cs="Arial"/>
        </w:rPr>
        <w:t>,</w:t>
      </w:r>
      <w:r w:rsidRPr="00070C9F">
        <w:rPr>
          <w:rFonts w:ascii="Arial" w:hAnsi="Arial" w:cs="Arial"/>
        </w:rPr>
        <w:t xml:space="preserve"> T</w:t>
      </w:r>
      <w:r w:rsidR="00983018">
        <w:rPr>
          <w:rFonts w:ascii="Arial" w:hAnsi="Arial" w:cs="Arial"/>
        </w:rPr>
        <w:t>.</w:t>
      </w:r>
      <w:r w:rsidRPr="00070C9F">
        <w:rPr>
          <w:rFonts w:ascii="Arial" w:hAnsi="Arial" w:cs="Arial"/>
        </w:rPr>
        <w:t>A</w:t>
      </w:r>
      <w:r w:rsidR="00983018">
        <w:rPr>
          <w:rFonts w:ascii="Arial" w:hAnsi="Arial" w:cs="Arial"/>
        </w:rPr>
        <w:t>.</w:t>
      </w:r>
      <w:r w:rsidRPr="00070C9F">
        <w:rPr>
          <w:rFonts w:ascii="Arial" w:hAnsi="Arial" w:cs="Arial"/>
        </w:rPr>
        <w:t>, Mamo</w:t>
      </w:r>
      <w:r w:rsidR="00983018">
        <w:rPr>
          <w:rFonts w:ascii="Arial" w:hAnsi="Arial" w:cs="Arial"/>
        </w:rPr>
        <w:t>,</w:t>
      </w:r>
      <w:r w:rsidRPr="00070C9F">
        <w:rPr>
          <w:rFonts w:ascii="Arial" w:hAnsi="Arial" w:cs="Arial"/>
        </w:rPr>
        <w:t xml:space="preserve"> T</w:t>
      </w:r>
      <w:r w:rsidR="00983018">
        <w:rPr>
          <w:rFonts w:ascii="Arial" w:hAnsi="Arial" w:cs="Arial"/>
        </w:rPr>
        <w:t>.</w:t>
      </w:r>
      <w:r w:rsidRPr="00070C9F">
        <w:rPr>
          <w:rFonts w:ascii="Arial" w:hAnsi="Arial" w:cs="Arial"/>
        </w:rPr>
        <w:t>T</w:t>
      </w:r>
      <w:r w:rsidR="00983018">
        <w:rPr>
          <w:rFonts w:ascii="Arial" w:hAnsi="Arial" w:cs="Arial"/>
        </w:rPr>
        <w:t>. &amp;</w:t>
      </w:r>
      <w:r w:rsidRPr="00070C9F">
        <w:rPr>
          <w:rFonts w:ascii="Arial" w:hAnsi="Arial" w:cs="Arial"/>
        </w:rPr>
        <w:t xml:space="preserve"> Mekonnen</w:t>
      </w:r>
      <w:r w:rsidR="00983018">
        <w:rPr>
          <w:rFonts w:ascii="Arial" w:hAnsi="Arial" w:cs="Arial"/>
        </w:rPr>
        <w:t>,</w:t>
      </w:r>
      <w:r w:rsidRPr="00070C9F">
        <w:rPr>
          <w:rFonts w:ascii="Arial" w:hAnsi="Arial" w:cs="Arial"/>
        </w:rPr>
        <w:t xml:space="preserve"> Y</w:t>
      </w:r>
      <w:r w:rsidR="00983018">
        <w:rPr>
          <w:rFonts w:ascii="Arial" w:hAnsi="Arial" w:cs="Arial"/>
        </w:rPr>
        <w:t>.</w:t>
      </w:r>
      <w:r w:rsidRPr="00070C9F">
        <w:rPr>
          <w:rFonts w:ascii="Arial" w:hAnsi="Arial" w:cs="Arial"/>
        </w:rPr>
        <w:t>S.</w:t>
      </w:r>
      <w:r w:rsidR="00983018">
        <w:rPr>
          <w:rFonts w:ascii="Arial" w:hAnsi="Arial" w:cs="Arial"/>
        </w:rPr>
        <w:t xml:space="preserve"> (2019).</w:t>
      </w:r>
      <w:r w:rsidRPr="00070C9F">
        <w:rPr>
          <w:rFonts w:ascii="Arial" w:hAnsi="Arial" w:cs="Arial"/>
        </w:rPr>
        <w:t xml:space="preserve"> Optimized biodiesel production from waste cooking oi</w:t>
      </w:r>
      <w:r w:rsidR="00C00A4E">
        <w:rPr>
          <w:rFonts w:ascii="Arial" w:hAnsi="Arial" w:cs="Arial"/>
        </w:rPr>
        <w:t>l (WCO) using calcium oxide (</w:t>
      </w:r>
      <w:proofErr w:type="spellStart"/>
      <w:r w:rsidR="00C00A4E">
        <w:rPr>
          <w:rFonts w:ascii="Arial" w:hAnsi="Arial" w:cs="Arial"/>
        </w:rPr>
        <w:t>CaO</w:t>
      </w:r>
      <w:proofErr w:type="spellEnd"/>
      <w:r w:rsidR="00C00A4E">
        <w:rPr>
          <w:rFonts w:ascii="Arial" w:hAnsi="Arial" w:cs="Arial"/>
        </w:rPr>
        <w:t>)</w:t>
      </w:r>
      <w:r w:rsidRPr="00070C9F">
        <w:rPr>
          <w:rFonts w:ascii="Arial" w:hAnsi="Arial" w:cs="Arial"/>
        </w:rPr>
        <w:t xml:space="preserve"> </w:t>
      </w:r>
      <w:proofErr w:type="spellStart"/>
      <w:r w:rsidRPr="00070C9F">
        <w:rPr>
          <w:rFonts w:ascii="Arial" w:hAnsi="Arial" w:cs="Arial"/>
        </w:rPr>
        <w:t>nano</w:t>
      </w:r>
      <w:proofErr w:type="spellEnd"/>
      <w:r w:rsidRPr="00070C9F">
        <w:rPr>
          <w:rFonts w:ascii="Arial" w:hAnsi="Arial" w:cs="Arial"/>
        </w:rPr>
        <w:t xml:space="preserve">-catalyst. </w:t>
      </w:r>
      <w:r w:rsidR="00983018">
        <w:rPr>
          <w:rFonts w:ascii="Arial" w:hAnsi="Arial" w:cs="Arial"/>
          <w:i/>
        </w:rPr>
        <w:t xml:space="preserve">Scientific Reports, </w:t>
      </w:r>
      <w:r w:rsidRPr="00EA7809">
        <w:rPr>
          <w:rFonts w:ascii="Arial" w:hAnsi="Arial" w:cs="Arial"/>
          <w:i/>
        </w:rPr>
        <w:t>9</w:t>
      </w:r>
      <w:r w:rsidRPr="00070C9F">
        <w:rPr>
          <w:rFonts w:ascii="Arial" w:hAnsi="Arial" w:cs="Arial"/>
        </w:rPr>
        <w:t>(1)</w:t>
      </w:r>
      <w:r w:rsidR="00983018">
        <w:rPr>
          <w:rFonts w:ascii="Arial" w:hAnsi="Arial" w:cs="Arial"/>
        </w:rPr>
        <w:t>,</w:t>
      </w:r>
      <w:r w:rsidRPr="00070C9F">
        <w:rPr>
          <w:rFonts w:ascii="Arial" w:hAnsi="Arial" w:cs="Arial"/>
        </w:rPr>
        <w:t xml:space="preserve"> 18982. </w:t>
      </w:r>
      <w:hyperlink r:id="rId22" w:history="1">
        <w:r w:rsidRPr="00070C9F">
          <w:rPr>
            <w:rStyle w:val="Hyperlink"/>
            <w:rFonts w:ascii="Arial" w:hAnsi="Arial" w:cs="Arial"/>
          </w:rPr>
          <w:t>https://doi.org/10.1038/s41598-019-55403-4</w:t>
        </w:r>
      </w:hyperlink>
      <w:r w:rsidRPr="00070C9F">
        <w:rPr>
          <w:rFonts w:ascii="Arial" w:hAnsi="Arial" w:cs="Arial"/>
        </w:rPr>
        <w:t>.</w:t>
      </w:r>
    </w:p>
    <w:p w14:paraId="2B2DF9C4" w14:textId="77777777" w:rsidR="005267A3" w:rsidRPr="00070C9F" w:rsidRDefault="005267A3" w:rsidP="00BD5B8B">
      <w:pPr>
        <w:ind w:left="288" w:hangingChars="144" w:hanging="288"/>
        <w:jc w:val="both"/>
        <w:rPr>
          <w:rFonts w:ascii="Arial" w:hAnsi="Arial" w:cs="Arial"/>
        </w:rPr>
      </w:pPr>
      <w:r w:rsidRPr="00070C9F">
        <w:rPr>
          <w:rFonts w:ascii="Arial" w:hAnsi="Arial" w:cs="Arial"/>
        </w:rPr>
        <w:t>Dike-Ekeh</w:t>
      </w:r>
      <w:r>
        <w:rPr>
          <w:rFonts w:ascii="Arial" w:hAnsi="Arial" w:cs="Arial"/>
        </w:rPr>
        <w:t>,</w:t>
      </w:r>
      <w:r w:rsidRPr="00070C9F">
        <w:rPr>
          <w:rFonts w:ascii="Arial" w:hAnsi="Arial" w:cs="Arial"/>
        </w:rPr>
        <w:t xml:space="preserve"> N</w:t>
      </w:r>
      <w:r>
        <w:rPr>
          <w:rFonts w:ascii="Arial" w:hAnsi="Arial" w:cs="Arial"/>
        </w:rPr>
        <w:t>.</w:t>
      </w:r>
      <w:r w:rsidRPr="00070C9F">
        <w:rPr>
          <w:rFonts w:ascii="Arial" w:hAnsi="Arial" w:cs="Arial"/>
        </w:rPr>
        <w:t>D</w:t>
      </w:r>
      <w:r>
        <w:rPr>
          <w:rFonts w:ascii="Arial" w:hAnsi="Arial" w:cs="Arial"/>
        </w:rPr>
        <w:t>.</w:t>
      </w:r>
      <w:r w:rsidRPr="00070C9F">
        <w:rPr>
          <w:rFonts w:ascii="Arial" w:hAnsi="Arial" w:cs="Arial"/>
        </w:rPr>
        <w:t>, Orji</w:t>
      </w:r>
      <w:r>
        <w:rPr>
          <w:rFonts w:ascii="Arial" w:hAnsi="Arial" w:cs="Arial"/>
        </w:rPr>
        <w:t>,</w:t>
      </w:r>
      <w:r w:rsidRPr="00070C9F">
        <w:rPr>
          <w:rFonts w:ascii="Arial" w:hAnsi="Arial" w:cs="Arial"/>
        </w:rPr>
        <w:t xml:space="preserve"> J</w:t>
      </w:r>
      <w:r>
        <w:rPr>
          <w:rFonts w:ascii="Arial" w:hAnsi="Arial" w:cs="Arial"/>
        </w:rPr>
        <w:t>.</w:t>
      </w:r>
      <w:r w:rsidRPr="00070C9F">
        <w:rPr>
          <w:rFonts w:ascii="Arial" w:hAnsi="Arial" w:cs="Arial"/>
        </w:rPr>
        <w:t>C</w:t>
      </w:r>
      <w:r>
        <w:rPr>
          <w:rFonts w:ascii="Arial" w:hAnsi="Arial" w:cs="Arial"/>
        </w:rPr>
        <w:t>.</w:t>
      </w:r>
      <w:r w:rsidRPr="00070C9F">
        <w:rPr>
          <w:rFonts w:ascii="Arial" w:hAnsi="Arial" w:cs="Arial"/>
        </w:rPr>
        <w:t xml:space="preserve">, </w:t>
      </w:r>
      <w:proofErr w:type="spellStart"/>
      <w:r w:rsidRPr="00070C9F">
        <w:rPr>
          <w:rFonts w:ascii="Arial" w:hAnsi="Arial" w:cs="Arial"/>
        </w:rPr>
        <w:t>Akujobi</w:t>
      </w:r>
      <w:proofErr w:type="spellEnd"/>
      <w:r>
        <w:rPr>
          <w:rFonts w:ascii="Arial" w:hAnsi="Arial" w:cs="Arial"/>
        </w:rPr>
        <w:t>,</w:t>
      </w:r>
      <w:r w:rsidRPr="00070C9F">
        <w:rPr>
          <w:rFonts w:ascii="Arial" w:hAnsi="Arial" w:cs="Arial"/>
        </w:rPr>
        <w:t xml:space="preserve"> C</w:t>
      </w:r>
      <w:r>
        <w:rPr>
          <w:rFonts w:ascii="Arial" w:hAnsi="Arial" w:cs="Arial"/>
        </w:rPr>
        <w:t>.</w:t>
      </w:r>
      <w:r w:rsidRPr="00070C9F">
        <w:rPr>
          <w:rFonts w:ascii="Arial" w:hAnsi="Arial" w:cs="Arial"/>
        </w:rPr>
        <w:t>O</w:t>
      </w:r>
      <w:r>
        <w:rPr>
          <w:rFonts w:ascii="Arial" w:hAnsi="Arial" w:cs="Arial"/>
        </w:rPr>
        <w:t>. &amp;</w:t>
      </w:r>
      <w:r w:rsidRPr="00070C9F">
        <w:rPr>
          <w:rFonts w:ascii="Arial" w:hAnsi="Arial" w:cs="Arial"/>
        </w:rPr>
        <w:t xml:space="preserve"> </w:t>
      </w:r>
      <w:proofErr w:type="spellStart"/>
      <w:r w:rsidRPr="00070C9F">
        <w:rPr>
          <w:rFonts w:ascii="Arial" w:hAnsi="Arial" w:cs="Arial"/>
        </w:rPr>
        <w:t>Opurum</w:t>
      </w:r>
      <w:proofErr w:type="spellEnd"/>
      <w:r>
        <w:rPr>
          <w:rFonts w:ascii="Arial" w:hAnsi="Arial" w:cs="Arial"/>
        </w:rPr>
        <w:t>,</w:t>
      </w:r>
      <w:r w:rsidRPr="00070C9F">
        <w:rPr>
          <w:rFonts w:ascii="Arial" w:hAnsi="Arial" w:cs="Arial"/>
        </w:rPr>
        <w:t xml:space="preserve"> C</w:t>
      </w:r>
      <w:r>
        <w:rPr>
          <w:rFonts w:ascii="Arial" w:hAnsi="Arial" w:cs="Arial"/>
        </w:rPr>
        <w:t>.</w:t>
      </w:r>
      <w:r w:rsidRPr="00070C9F">
        <w:rPr>
          <w:rFonts w:ascii="Arial" w:hAnsi="Arial" w:cs="Arial"/>
        </w:rPr>
        <w:t>C.</w:t>
      </w:r>
      <w:r>
        <w:rPr>
          <w:rFonts w:ascii="Arial" w:hAnsi="Arial" w:cs="Arial"/>
        </w:rPr>
        <w:t xml:space="preserve"> (2024).</w:t>
      </w:r>
      <w:r w:rsidRPr="00070C9F">
        <w:rPr>
          <w:rFonts w:ascii="Arial" w:hAnsi="Arial" w:cs="Arial"/>
        </w:rPr>
        <w:t xml:space="preserve"> Optimization of ambient temperature biodiesel production from palm oil mill effluent by a consortium of </w:t>
      </w:r>
      <w:r w:rsidRPr="00070C9F">
        <w:rPr>
          <w:rFonts w:ascii="Arial" w:hAnsi="Arial" w:cs="Arial"/>
          <w:i/>
        </w:rPr>
        <w:t>Candida albicans</w:t>
      </w:r>
      <w:r w:rsidRPr="00070C9F">
        <w:rPr>
          <w:rFonts w:ascii="Arial" w:hAnsi="Arial" w:cs="Arial"/>
        </w:rPr>
        <w:t xml:space="preserve"> and </w:t>
      </w:r>
      <w:r w:rsidRPr="00070C9F">
        <w:rPr>
          <w:rFonts w:ascii="Arial" w:hAnsi="Arial" w:cs="Arial"/>
          <w:i/>
        </w:rPr>
        <w:t>Pseudomonas aeruginosa</w:t>
      </w:r>
      <w:r w:rsidRPr="00070C9F">
        <w:rPr>
          <w:rFonts w:ascii="Arial" w:hAnsi="Arial" w:cs="Arial"/>
        </w:rPr>
        <w:t xml:space="preserve">. </w:t>
      </w:r>
      <w:r w:rsidRPr="00EA7809">
        <w:rPr>
          <w:rFonts w:ascii="Arial" w:hAnsi="Arial" w:cs="Arial"/>
          <w:i/>
        </w:rPr>
        <w:t>Int. J. Res. Pub. and Rev.</w:t>
      </w:r>
      <w:r>
        <w:rPr>
          <w:rFonts w:ascii="Arial" w:hAnsi="Arial" w:cs="Arial"/>
          <w:i/>
        </w:rPr>
        <w:t>,</w:t>
      </w:r>
      <w:r w:rsidRPr="00EA7809">
        <w:rPr>
          <w:rFonts w:ascii="Arial" w:hAnsi="Arial" w:cs="Arial"/>
          <w:i/>
        </w:rPr>
        <w:t xml:space="preserve"> 5</w:t>
      </w:r>
      <w:r w:rsidRPr="00070C9F">
        <w:rPr>
          <w:rFonts w:ascii="Arial" w:hAnsi="Arial" w:cs="Arial"/>
        </w:rPr>
        <w:t>(8)</w:t>
      </w:r>
      <w:r>
        <w:rPr>
          <w:rFonts w:ascii="Arial" w:hAnsi="Arial" w:cs="Arial"/>
        </w:rPr>
        <w:t>,</w:t>
      </w:r>
      <w:r w:rsidRPr="00070C9F">
        <w:rPr>
          <w:rFonts w:ascii="Arial" w:hAnsi="Arial" w:cs="Arial"/>
        </w:rPr>
        <w:t xml:space="preserve"> 2881-2897.</w:t>
      </w:r>
    </w:p>
    <w:p w14:paraId="1DD39D69" w14:textId="77777777" w:rsidR="005267A3" w:rsidRPr="00070C9F" w:rsidRDefault="005267A3" w:rsidP="00BD5B8B">
      <w:pPr>
        <w:ind w:left="288" w:hangingChars="144" w:hanging="288"/>
        <w:jc w:val="both"/>
        <w:rPr>
          <w:rFonts w:ascii="Arial" w:hAnsi="Arial" w:cs="Arial"/>
        </w:rPr>
      </w:pPr>
      <w:proofErr w:type="spellStart"/>
      <w:r w:rsidRPr="00070C9F">
        <w:rPr>
          <w:rFonts w:ascii="Arial" w:hAnsi="Arial" w:cs="Arial"/>
        </w:rPr>
        <w:t>Egbuche</w:t>
      </w:r>
      <w:proofErr w:type="spellEnd"/>
      <w:r>
        <w:rPr>
          <w:rFonts w:ascii="Arial" w:hAnsi="Arial" w:cs="Arial"/>
        </w:rPr>
        <w:t>,</w:t>
      </w:r>
      <w:r w:rsidRPr="00070C9F">
        <w:rPr>
          <w:rFonts w:ascii="Arial" w:hAnsi="Arial" w:cs="Arial"/>
        </w:rPr>
        <w:t xml:space="preserve"> C</w:t>
      </w:r>
      <w:r>
        <w:rPr>
          <w:rFonts w:ascii="Arial" w:hAnsi="Arial" w:cs="Arial"/>
        </w:rPr>
        <w:t>.</w:t>
      </w:r>
      <w:r w:rsidRPr="00070C9F">
        <w:rPr>
          <w:rFonts w:ascii="Arial" w:hAnsi="Arial" w:cs="Arial"/>
        </w:rPr>
        <w:t>T</w:t>
      </w:r>
      <w:r>
        <w:rPr>
          <w:rFonts w:ascii="Arial" w:hAnsi="Arial" w:cs="Arial"/>
        </w:rPr>
        <w:t>.</w:t>
      </w:r>
      <w:r w:rsidRPr="00070C9F">
        <w:rPr>
          <w:rFonts w:ascii="Arial" w:hAnsi="Arial" w:cs="Arial"/>
        </w:rPr>
        <w:t xml:space="preserve">, </w:t>
      </w:r>
      <w:proofErr w:type="spellStart"/>
      <w:r w:rsidRPr="00070C9F">
        <w:rPr>
          <w:rFonts w:ascii="Arial" w:hAnsi="Arial" w:cs="Arial"/>
        </w:rPr>
        <w:t>Ejiogu</w:t>
      </w:r>
      <w:proofErr w:type="spellEnd"/>
      <w:r w:rsidRPr="00070C9F">
        <w:rPr>
          <w:rFonts w:ascii="Arial" w:hAnsi="Arial" w:cs="Arial"/>
        </w:rPr>
        <w:t>-Okereke</w:t>
      </w:r>
      <w:r>
        <w:rPr>
          <w:rFonts w:ascii="Arial" w:hAnsi="Arial" w:cs="Arial"/>
        </w:rPr>
        <w:t>,</w:t>
      </w:r>
      <w:r w:rsidRPr="00070C9F">
        <w:rPr>
          <w:rFonts w:ascii="Arial" w:hAnsi="Arial" w:cs="Arial"/>
        </w:rPr>
        <w:t xml:space="preserve"> N</w:t>
      </w:r>
      <w:r>
        <w:rPr>
          <w:rFonts w:ascii="Arial" w:hAnsi="Arial" w:cs="Arial"/>
        </w:rPr>
        <w:t>.</w:t>
      </w:r>
      <w:r w:rsidRPr="00070C9F">
        <w:rPr>
          <w:rFonts w:ascii="Arial" w:hAnsi="Arial" w:cs="Arial"/>
        </w:rPr>
        <w:t>E</w:t>
      </w:r>
      <w:r>
        <w:rPr>
          <w:rFonts w:ascii="Arial" w:hAnsi="Arial" w:cs="Arial"/>
        </w:rPr>
        <w:t>.</w:t>
      </w:r>
      <w:r w:rsidRPr="00070C9F">
        <w:rPr>
          <w:rFonts w:ascii="Arial" w:hAnsi="Arial" w:cs="Arial"/>
        </w:rPr>
        <w:t>, Azubuike</w:t>
      </w:r>
      <w:r>
        <w:rPr>
          <w:rFonts w:ascii="Arial" w:hAnsi="Arial" w:cs="Arial"/>
        </w:rPr>
        <w:t>,</w:t>
      </w:r>
      <w:r w:rsidRPr="00070C9F">
        <w:rPr>
          <w:rFonts w:ascii="Arial" w:hAnsi="Arial" w:cs="Arial"/>
        </w:rPr>
        <w:t xml:space="preserve"> N</w:t>
      </w:r>
      <w:r>
        <w:rPr>
          <w:rFonts w:ascii="Arial" w:hAnsi="Arial" w:cs="Arial"/>
        </w:rPr>
        <w:t>.</w:t>
      </w:r>
      <w:r w:rsidRPr="00070C9F">
        <w:rPr>
          <w:rFonts w:ascii="Arial" w:hAnsi="Arial" w:cs="Arial"/>
        </w:rPr>
        <w:t>O</w:t>
      </w:r>
      <w:r>
        <w:rPr>
          <w:rFonts w:ascii="Arial" w:hAnsi="Arial" w:cs="Arial"/>
        </w:rPr>
        <w:t>.</w:t>
      </w:r>
      <w:r w:rsidRPr="00070C9F">
        <w:rPr>
          <w:rFonts w:ascii="Arial" w:hAnsi="Arial" w:cs="Arial"/>
        </w:rPr>
        <w:t xml:space="preserve">, </w:t>
      </w:r>
      <w:proofErr w:type="spellStart"/>
      <w:r w:rsidRPr="00070C9F">
        <w:rPr>
          <w:rFonts w:ascii="Arial" w:hAnsi="Arial" w:cs="Arial"/>
        </w:rPr>
        <w:t>Duruanyim</w:t>
      </w:r>
      <w:proofErr w:type="spellEnd"/>
      <w:r>
        <w:rPr>
          <w:rFonts w:ascii="Arial" w:hAnsi="Arial" w:cs="Arial"/>
        </w:rPr>
        <w:t>,</w:t>
      </w:r>
      <w:r w:rsidRPr="00070C9F">
        <w:rPr>
          <w:rFonts w:ascii="Arial" w:hAnsi="Arial" w:cs="Arial"/>
        </w:rPr>
        <w:t xml:space="preserve"> I</w:t>
      </w:r>
      <w:r>
        <w:rPr>
          <w:rFonts w:ascii="Arial" w:hAnsi="Arial" w:cs="Arial"/>
        </w:rPr>
        <w:t>.</w:t>
      </w:r>
      <w:r w:rsidRPr="00070C9F">
        <w:rPr>
          <w:rFonts w:ascii="Arial" w:hAnsi="Arial" w:cs="Arial"/>
        </w:rPr>
        <w:t>E</w:t>
      </w:r>
      <w:r>
        <w:rPr>
          <w:rFonts w:ascii="Arial" w:hAnsi="Arial" w:cs="Arial"/>
        </w:rPr>
        <w:t>.</w:t>
      </w:r>
      <w:r w:rsidRPr="00070C9F">
        <w:rPr>
          <w:rFonts w:ascii="Arial" w:hAnsi="Arial" w:cs="Arial"/>
        </w:rPr>
        <w:t>, Marcellin</w:t>
      </w:r>
      <w:r>
        <w:rPr>
          <w:rFonts w:ascii="Arial" w:hAnsi="Arial" w:cs="Arial"/>
        </w:rPr>
        <w:t>,</w:t>
      </w:r>
      <w:r w:rsidRPr="00070C9F">
        <w:rPr>
          <w:rFonts w:ascii="Arial" w:hAnsi="Arial" w:cs="Arial"/>
        </w:rPr>
        <w:t xml:space="preserve"> R</w:t>
      </w:r>
      <w:r>
        <w:rPr>
          <w:rFonts w:ascii="Arial" w:hAnsi="Arial" w:cs="Arial"/>
        </w:rPr>
        <w:t>.</w:t>
      </w:r>
      <w:r w:rsidRPr="00070C9F">
        <w:rPr>
          <w:rFonts w:ascii="Arial" w:hAnsi="Arial" w:cs="Arial"/>
        </w:rPr>
        <w:t xml:space="preserve">, </w:t>
      </w:r>
      <w:proofErr w:type="spellStart"/>
      <w:r w:rsidRPr="00070C9F">
        <w:rPr>
          <w:rFonts w:ascii="Arial" w:hAnsi="Arial" w:cs="Arial"/>
        </w:rPr>
        <w:t>Okoi</w:t>
      </w:r>
      <w:proofErr w:type="spellEnd"/>
      <w:r>
        <w:rPr>
          <w:rFonts w:ascii="Arial" w:hAnsi="Arial" w:cs="Arial"/>
        </w:rPr>
        <w:t>,</w:t>
      </w:r>
      <w:r w:rsidRPr="00070C9F">
        <w:rPr>
          <w:rFonts w:ascii="Arial" w:hAnsi="Arial" w:cs="Arial"/>
        </w:rPr>
        <w:t xml:space="preserve"> U</w:t>
      </w:r>
      <w:r>
        <w:rPr>
          <w:rFonts w:ascii="Arial" w:hAnsi="Arial" w:cs="Arial"/>
        </w:rPr>
        <w:t>.</w:t>
      </w:r>
      <w:r w:rsidRPr="00070C9F">
        <w:rPr>
          <w:rFonts w:ascii="Arial" w:hAnsi="Arial" w:cs="Arial"/>
        </w:rPr>
        <w:t>I</w:t>
      </w:r>
      <w:r>
        <w:rPr>
          <w:rFonts w:ascii="Arial" w:hAnsi="Arial" w:cs="Arial"/>
        </w:rPr>
        <w:t>. &amp;</w:t>
      </w:r>
      <w:r w:rsidRPr="00070C9F">
        <w:rPr>
          <w:rFonts w:ascii="Arial" w:hAnsi="Arial" w:cs="Arial"/>
        </w:rPr>
        <w:t xml:space="preserve"> </w:t>
      </w:r>
      <w:proofErr w:type="spellStart"/>
      <w:r w:rsidRPr="00070C9F">
        <w:rPr>
          <w:rFonts w:ascii="Arial" w:hAnsi="Arial" w:cs="Arial"/>
        </w:rPr>
        <w:t>Duru</w:t>
      </w:r>
      <w:proofErr w:type="spellEnd"/>
      <w:r>
        <w:rPr>
          <w:rFonts w:ascii="Arial" w:hAnsi="Arial" w:cs="Arial"/>
        </w:rPr>
        <w:t>,</w:t>
      </w:r>
      <w:r w:rsidRPr="00070C9F">
        <w:rPr>
          <w:rFonts w:ascii="Arial" w:hAnsi="Arial" w:cs="Arial"/>
        </w:rPr>
        <w:t xml:space="preserve"> </w:t>
      </w:r>
      <w:proofErr w:type="gramStart"/>
      <w:r w:rsidRPr="00070C9F">
        <w:rPr>
          <w:rFonts w:ascii="Arial" w:hAnsi="Arial" w:cs="Arial"/>
        </w:rPr>
        <w:t>I</w:t>
      </w:r>
      <w:r>
        <w:rPr>
          <w:rFonts w:ascii="Arial" w:hAnsi="Arial" w:cs="Arial"/>
        </w:rPr>
        <w:t>,</w:t>
      </w:r>
      <w:r w:rsidRPr="00070C9F">
        <w:rPr>
          <w:rFonts w:ascii="Arial" w:hAnsi="Arial" w:cs="Arial"/>
        </w:rPr>
        <w:t>C.</w:t>
      </w:r>
      <w:proofErr w:type="gramEnd"/>
      <w:r>
        <w:rPr>
          <w:rFonts w:ascii="Arial" w:hAnsi="Arial" w:cs="Arial"/>
        </w:rPr>
        <w:t xml:space="preserve"> (2022).</w:t>
      </w:r>
      <w:r w:rsidRPr="00070C9F">
        <w:rPr>
          <w:rFonts w:ascii="Arial" w:hAnsi="Arial" w:cs="Arial"/>
        </w:rPr>
        <w:t xml:space="preserve"> Forest biodiversity degradation: Assessment of deforestation in Ohaji Egbema Forest Reserve, Imo State, Nigeria using GIS approach. </w:t>
      </w:r>
      <w:proofErr w:type="spellStart"/>
      <w:r w:rsidRPr="00EA7809">
        <w:rPr>
          <w:rFonts w:ascii="Arial" w:hAnsi="Arial" w:cs="Arial"/>
          <w:i/>
        </w:rPr>
        <w:t>Biogeneric</w:t>
      </w:r>
      <w:proofErr w:type="spellEnd"/>
      <w:r w:rsidRPr="00EA7809">
        <w:rPr>
          <w:rFonts w:ascii="Arial" w:hAnsi="Arial" w:cs="Arial"/>
          <w:i/>
        </w:rPr>
        <w:t xml:space="preserve"> Sc. and Res.</w:t>
      </w:r>
      <w:r>
        <w:rPr>
          <w:rFonts w:ascii="Arial" w:hAnsi="Arial" w:cs="Arial"/>
          <w:i/>
        </w:rPr>
        <w:t xml:space="preserve">, </w:t>
      </w:r>
      <w:r w:rsidRPr="00EA7809">
        <w:rPr>
          <w:rFonts w:ascii="Arial" w:hAnsi="Arial" w:cs="Arial"/>
          <w:i/>
        </w:rPr>
        <w:t xml:space="preserve">10 </w:t>
      </w:r>
      <w:r w:rsidRPr="00070C9F">
        <w:rPr>
          <w:rFonts w:ascii="Arial" w:hAnsi="Arial" w:cs="Arial"/>
        </w:rPr>
        <w:t>(1)</w:t>
      </w:r>
      <w:r>
        <w:rPr>
          <w:rFonts w:ascii="Arial" w:hAnsi="Arial" w:cs="Arial"/>
        </w:rPr>
        <w:t>,</w:t>
      </w:r>
      <w:r w:rsidRPr="00070C9F">
        <w:rPr>
          <w:rFonts w:ascii="Arial" w:hAnsi="Arial" w:cs="Arial"/>
        </w:rPr>
        <w:t xml:space="preserve"> 1-11.</w:t>
      </w:r>
    </w:p>
    <w:p w14:paraId="78AB7EC8" w14:textId="77777777" w:rsidR="00DF5C26" w:rsidRPr="00070C9F" w:rsidRDefault="00DF5C26" w:rsidP="00BD5B8B">
      <w:pPr>
        <w:tabs>
          <w:tab w:val="left" w:pos="7380"/>
        </w:tabs>
        <w:ind w:left="288" w:hangingChars="144" w:hanging="288"/>
        <w:jc w:val="both"/>
        <w:rPr>
          <w:rFonts w:ascii="Arial" w:hAnsi="Arial" w:cs="Arial"/>
        </w:rPr>
      </w:pPr>
      <w:proofErr w:type="spellStart"/>
      <w:r w:rsidRPr="00070C9F">
        <w:rPr>
          <w:rFonts w:ascii="Arial" w:hAnsi="Arial" w:cs="Arial"/>
        </w:rPr>
        <w:lastRenderedPageBreak/>
        <w:t>Fibriana</w:t>
      </w:r>
      <w:proofErr w:type="spellEnd"/>
      <w:r>
        <w:rPr>
          <w:rFonts w:ascii="Arial" w:hAnsi="Arial" w:cs="Arial"/>
        </w:rPr>
        <w:t>,</w:t>
      </w:r>
      <w:r w:rsidRPr="00070C9F">
        <w:rPr>
          <w:rFonts w:ascii="Arial" w:hAnsi="Arial" w:cs="Arial"/>
        </w:rPr>
        <w:t xml:space="preserve"> F</w:t>
      </w:r>
      <w:r>
        <w:rPr>
          <w:rFonts w:ascii="Arial" w:hAnsi="Arial" w:cs="Arial"/>
        </w:rPr>
        <w:t>.</w:t>
      </w:r>
      <w:r w:rsidRPr="00070C9F">
        <w:rPr>
          <w:rFonts w:ascii="Arial" w:hAnsi="Arial" w:cs="Arial"/>
        </w:rPr>
        <w:t xml:space="preserve">, </w:t>
      </w:r>
      <w:proofErr w:type="spellStart"/>
      <w:r w:rsidRPr="00070C9F">
        <w:rPr>
          <w:rFonts w:ascii="Arial" w:hAnsi="Arial" w:cs="Arial"/>
        </w:rPr>
        <w:t>Upaichit</w:t>
      </w:r>
      <w:proofErr w:type="spellEnd"/>
      <w:r>
        <w:rPr>
          <w:rFonts w:ascii="Arial" w:hAnsi="Arial" w:cs="Arial"/>
        </w:rPr>
        <w:t>,</w:t>
      </w:r>
      <w:r w:rsidRPr="00070C9F">
        <w:rPr>
          <w:rFonts w:ascii="Arial" w:hAnsi="Arial" w:cs="Arial"/>
        </w:rPr>
        <w:t xml:space="preserve"> A</w:t>
      </w:r>
      <w:r>
        <w:rPr>
          <w:rFonts w:ascii="Arial" w:hAnsi="Arial" w:cs="Arial"/>
        </w:rPr>
        <w:t>. &amp;</w:t>
      </w:r>
      <w:r w:rsidRPr="00070C9F">
        <w:rPr>
          <w:rFonts w:ascii="Arial" w:hAnsi="Arial" w:cs="Arial"/>
        </w:rPr>
        <w:t xml:space="preserve"> </w:t>
      </w:r>
      <w:proofErr w:type="spellStart"/>
      <w:r w:rsidRPr="00070C9F">
        <w:rPr>
          <w:rFonts w:ascii="Arial" w:hAnsi="Arial" w:cs="Arial"/>
        </w:rPr>
        <w:t>Cheirsilp</w:t>
      </w:r>
      <w:proofErr w:type="spellEnd"/>
      <w:r>
        <w:rPr>
          <w:rFonts w:ascii="Arial" w:hAnsi="Arial" w:cs="Arial"/>
        </w:rPr>
        <w:t>,</w:t>
      </w:r>
      <w:r w:rsidRPr="00070C9F">
        <w:rPr>
          <w:rFonts w:ascii="Arial" w:hAnsi="Arial" w:cs="Arial"/>
        </w:rPr>
        <w:t xml:space="preserve"> B. </w:t>
      </w:r>
      <w:r>
        <w:rPr>
          <w:rFonts w:ascii="Arial" w:hAnsi="Arial" w:cs="Arial"/>
        </w:rPr>
        <w:t xml:space="preserve">(2021). </w:t>
      </w:r>
      <w:r w:rsidRPr="00070C9F">
        <w:rPr>
          <w:rFonts w:ascii="Arial" w:hAnsi="Arial" w:cs="Arial"/>
        </w:rPr>
        <w:t xml:space="preserve">Turning waste into valuable products: utilization of </w:t>
      </w:r>
      <w:proofErr w:type="spellStart"/>
      <w:r w:rsidRPr="00070C9F">
        <w:rPr>
          <w:rFonts w:ascii="Arial" w:hAnsi="Arial" w:cs="Arial"/>
        </w:rPr>
        <w:t>agroindustrial</w:t>
      </w:r>
      <w:proofErr w:type="spellEnd"/>
      <w:r w:rsidRPr="00070C9F">
        <w:rPr>
          <w:rFonts w:ascii="Arial" w:hAnsi="Arial" w:cs="Arial"/>
        </w:rPr>
        <w:t xml:space="preserve"> oily wastes as the low-cost media for microbial lipase production. </w:t>
      </w:r>
      <w:r w:rsidRPr="00581AEC">
        <w:rPr>
          <w:rFonts w:ascii="Arial" w:hAnsi="Arial" w:cs="Arial"/>
          <w:i/>
        </w:rPr>
        <w:t>J. Physics Conference Series,</w:t>
      </w:r>
      <w:r w:rsidRPr="00070C9F">
        <w:rPr>
          <w:rFonts w:ascii="Arial" w:hAnsi="Arial" w:cs="Arial"/>
        </w:rPr>
        <w:t xml:space="preserve"> </w:t>
      </w:r>
      <w:r w:rsidRPr="00581AEC">
        <w:rPr>
          <w:rFonts w:ascii="Arial" w:hAnsi="Arial" w:cs="Arial"/>
          <w:i/>
        </w:rPr>
        <w:t>1918,</w:t>
      </w:r>
      <w:r w:rsidRPr="00070C9F">
        <w:rPr>
          <w:rFonts w:ascii="Arial" w:hAnsi="Arial" w:cs="Arial"/>
        </w:rPr>
        <w:t xml:space="preserve"> 52028.</w:t>
      </w:r>
    </w:p>
    <w:p w14:paraId="662BACCD" w14:textId="77777777" w:rsidR="00DF5C26" w:rsidRPr="00070C9F" w:rsidRDefault="00DF5C26" w:rsidP="00BD5B8B">
      <w:pPr>
        <w:tabs>
          <w:tab w:val="left" w:pos="7380"/>
        </w:tabs>
        <w:ind w:left="288" w:hangingChars="144" w:hanging="288"/>
        <w:jc w:val="both"/>
        <w:rPr>
          <w:rFonts w:ascii="Arial" w:hAnsi="Arial" w:cs="Arial"/>
        </w:rPr>
      </w:pPr>
      <w:proofErr w:type="spellStart"/>
      <w:r w:rsidRPr="00070C9F">
        <w:rPr>
          <w:rFonts w:ascii="Arial" w:hAnsi="Arial" w:cs="Arial"/>
        </w:rPr>
        <w:t>Fibriana</w:t>
      </w:r>
      <w:proofErr w:type="spellEnd"/>
      <w:r>
        <w:rPr>
          <w:rFonts w:ascii="Arial" w:hAnsi="Arial" w:cs="Arial"/>
        </w:rPr>
        <w:t>,</w:t>
      </w:r>
      <w:r w:rsidRPr="00070C9F">
        <w:rPr>
          <w:rFonts w:ascii="Arial" w:hAnsi="Arial" w:cs="Arial"/>
        </w:rPr>
        <w:t xml:space="preserve"> F</w:t>
      </w:r>
      <w:r>
        <w:rPr>
          <w:rFonts w:ascii="Arial" w:hAnsi="Arial" w:cs="Arial"/>
        </w:rPr>
        <w:t>.</w:t>
      </w:r>
      <w:r w:rsidRPr="00070C9F">
        <w:rPr>
          <w:rFonts w:ascii="Arial" w:hAnsi="Arial" w:cs="Arial"/>
        </w:rPr>
        <w:t xml:space="preserve">, </w:t>
      </w:r>
      <w:proofErr w:type="spellStart"/>
      <w:r w:rsidRPr="00070C9F">
        <w:rPr>
          <w:rFonts w:ascii="Arial" w:hAnsi="Arial" w:cs="Arial"/>
        </w:rPr>
        <w:t>Upaichit</w:t>
      </w:r>
      <w:proofErr w:type="spellEnd"/>
      <w:r>
        <w:rPr>
          <w:rFonts w:ascii="Arial" w:hAnsi="Arial" w:cs="Arial"/>
        </w:rPr>
        <w:t>,</w:t>
      </w:r>
      <w:r w:rsidRPr="00070C9F">
        <w:rPr>
          <w:rFonts w:ascii="Arial" w:hAnsi="Arial" w:cs="Arial"/>
        </w:rPr>
        <w:t xml:space="preserve"> A</w:t>
      </w:r>
      <w:r>
        <w:rPr>
          <w:rFonts w:ascii="Arial" w:hAnsi="Arial" w:cs="Arial"/>
        </w:rPr>
        <w:t>. &amp;</w:t>
      </w:r>
      <w:r w:rsidRPr="00070C9F">
        <w:rPr>
          <w:rFonts w:ascii="Arial" w:hAnsi="Arial" w:cs="Arial"/>
        </w:rPr>
        <w:t xml:space="preserve"> </w:t>
      </w:r>
      <w:proofErr w:type="spellStart"/>
      <w:r w:rsidRPr="00070C9F">
        <w:rPr>
          <w:rFonts w:ascii="Arial" w:hAnsi="Arial" w:cs="Arial"/>
        </w:rPr>
        <w:t>Cheirsilp</w:t>
      </w:r>
      <w:proofErr w:type="spellEnd"/>
      <w:r>
        <w:rPr>
          <w:rFonts w:ascii="Arial" w:hAnsi="Arial" w:cs="Arial"/>
        </w:rPr>
        <w:t>,</w:t>
      </w:r>
      <w:r w:rsidRPr="00070C9F">
        <w:rPr>
          <w:rFonts w:ascii="Arial" w:hAnsi="Arial" w:cs="Arial"/>
        </w:rPr>
        <w:t xml:space="preserve"> B.</w:t>
      </w:r>
      <w:r>
        <w:rPr>
          <w:rFonts w:ascii="Arial" w:hAnsi="Arial" w:cs="Arial"/>
        </w:rPr>
        <w:t xml:space="preserve"> (2022).</w:t>
      </w:r>
      <w:r w:rsidRPr="00070C9F">
        <w:rPr>
          <w:rFonts w:ascii="Arial" w:hAnsi="Arial" w:cs="Arial"/>
        </w:rPr>
        <w:t xml:space="preserve"> Statistical optimization for cost-effective production of yeast-bacterium cell-bound lipases using blended oily wastes and their potential applications in biodiesel synthesis and wastewater bioremediation. </w:t>
      </w:r>
      <w:r w:rsidRPr="00581AEC">
        <w:rPr>
          <w:rFonts w:ascii="Arial" w:hAnsi="Arial" w:cs="Arial"/>
          <w:i/>
        </w:rPr>
        <w:t>Fermentation</w:t>
      </w:r>
      <w:r>
        <w:rPr>
          <w:rFonts w:ascii="Arial" w:hAnsi="Arial" w:cs="Arial"/>
          <w:i/>
        </w:rPr>
        <w:t>,</w:t>
      </w:r>
      <w:r w:rsidRPr="00581AEC">
        <w:rPr>
          <w:rFonts w:ascii="Arial" w:hAnsi="Arial" w:cs="Arial"/>
          <w:i/>
        </w:rPr>
        <w:t xml:space="preserve"> 8</w:t>
      </w:r>
      <w:r>
        <w:rPr>
          <w:rFonts w:ascii="Arial" w:hAnsi="Arial" w:cs="Arial"/>
          <w:i/>
        </w:rPr>
        <w:t>,</w:t>
      </w:r>
      <w:r w:rsidRPr="00070C9F">
        <w:rPr>
          <w:rFonts w:ascii="Arial" w:hAnsi="Arial" w:cs="Arial"/>
        </w:rPr>
        <w:t xml:space="preserve"> 411. </w:t>
      </w:r>
      <w:hyperlink r:id="rId23" w:history="1">
        <w:r w:rsidRPr="00070C9F">
          <w:rPr>
            <w:rStyle w:val="Hyperlink"/>
            <w:rFonts w:ascii="Arial" w:hAnsi="Arial" w:cs="Arial"/>
          </w:rPr>
          <w:t>https://doi.org/10.3390/fermentation8080411</w:t>
        </w:r>
      </w:hyperlink>
    </w:p>
    <w:p w14:paraId="34910EEA" w14:textId="77777777" w:rsidR="00DF5C26" w:rsidRPr="00DF5C26" w:rsidRDefault="00DF5C26" w:rsidP="00BD5B8B">
      <w:pPr>
        <w:ind w:left="288" w:hangingChars="144" w:hanging="288"/>
        <w:jc w:val="both"/>
        <w:rPr>
          <w:rFonts w:ascii="Arial" w:hAnsi="Arial" w:cs="Arial"/>
        </w:rPr>
      </w:pPr>
      <w:proofErr w:type="spellStart"/>
      <w:r w:rsidRPr="00DF5C26">
        <w:rPr>
          <w:rFonts w:ascii="Arial" w:hAnsi="Arial" w:cs="Arial"/>
        </w:rPr>
        <w:t>Ghaderinezhad</w:t>
      </w:r>
      <w:proofErr w:type="spellEnd"/>
      <w:r w:rsidRPr="00DF5C26">
        <w:rPr>
          <w:rFonts w:ascii="Arial" w:hAnsi="Arial" w:cs="Arial"/>
        </w:rPr>
        <w:t xml:space="preserve">, F., </w:t>
      </w:r>
      <w:proofErr w:type="spellStart"/>
      <w:r w:rsidRPr="00DF5C26">
        <w:rPr>
          <w:rFonts w:ascii="Arial" w:hAnsi="Arial" w:cs="Arial"/>
        </w:rPr>
        <w:t>Kariminia</w:t>
      </w:r>
      <w:proofErr w:type="spellEnd"/>
      <w:r w:rsidRPr="00DF5C26">
        <w:rPr>
          <w:rFonts w:ascii="Arial" w:hAnsi="Arial" w:cs="Arial"/>
        </w:rPr>
        <w:t xml:space="preserve">, H.R. &amp; </w:t>
      </w:r>
      <w:proofErr w:type="spellStart"/>
      <w:r w:rsidRPr="00DF5C26">
        <w:rPr>
          <w:rFonts w:ascii="Arial" w:hAnsi="Arial" w:cs="Arial"/>
        </w:rPr>
        <w:t>Yaghmaei</w:t>
      </w:r>
      <w:proofErr w:type="spellEnd"/>
      <w:r w:rsidRPr="00DF5C26">
        <w:rPr>
          <w:rFonts w:ascii="Arial" w:hAnsi="Arial" w:cs="Arial"/>
        </w:rPr>
        <w:t xml:space="preserve">, S. (2014). Production of biodiesel from waste frying oil using whole cell biocatalysts: optimization of effective factors. </w:t>
      </w:r>
      <w:r w:rsidRPr="00DF5C26">
        <w:rPr>
          <w:rFonts w:ascii="Arial" w:hAnsi="Arial" w:cs="Arial"/>
          <w:i/>
        </w:rPr>
        <w:t>Waste Biomass Valor</w:t>
      </w:r>
      <w:r>
        <w:rPr>
          <w:rFonts w:ascii="Arial" w:hAnsi="Arial" w:cs="Arial"/>
          <w:i/>
        </w:rPr>
        <w:t>ization,</w:t>
      </w:r>
      <w:r w:rsidRPr="00DF5C26">
        <w:rPr>
          <w:rFonts w:ascii="Arial" w:hAnsi="Arial" w:cs="Arial"/>
          <w:i/>
        </w:rPr>
        <w:t xml:space="preserve"> 5,</w:t>
      </w:r>
      <w:r w:rsidRPr="00DF5C26">
        <w:rPr>
          <w:rFonts w:ascii="Arial" w:hAnsi="Arial" w:cs="Arial"/>
        </w:rPr>
        <w:t xml:space="preserve"> 947-954.</w:t>
      </w:r>
      <w:r w:rsidR="0015294B">
        <w:rPr>
          <w:rFonts w:ascii="Arial" w:hAnsi="Arial" w:cs="Arial"/>
        </w:rPr>
        <w:t xml:space="preserve"> </w:t>
      </w:r>
      <w:hyperlink r:id="rId24" w:history="1">
        <w:r w:rsidR="0015294B" w:rsidRPr="00F66EF8">
          <w:rPr>
            <w:rStyle w:val="Hyperlink"/>
            <w:rFonts w:ascii="Arial" w:hAnsi="Arial" w:cs="Arial"/>
          </w:rPr>
          <w:t>https://doi.org/10.1007/S12649-014-9314-7</w:t>
        </w:r>
      </w:hyperlink>
      <w:r w:rsidR="0015294B">
        <w:rPr>
          <w:rFonts w:ascii="Arial" w:hAnsi="Arial" w:cs="Arial"/>
        </w:rPr>
        <w:t xml:space="preserve"> </w:t>
      </w:r>
    </w:p>
    <w:p w14:paraId="5033268E" w14:textId="2F179927" w:rsidR="00CA24E3" w:rsidRDefault="00CA24E3" w:rsidP="00CA24E3">
      <w:pPr>
        <w:ind w:left="288" w:hangingChars="144" w:hanging="288"/>
        <w:jc w:val="both"/>
        <w:rPr>
          <w:rFonts w:ascii="Arial" w:hAnsi="Arial" w:cs="Arial"/>
        </w:rPr>
      </w:pPr>
      <w:proofErr w:type="spellStart"/>
      <w:r w:rsidRPr="00CA24E3">
        <w:rPr>
          <w:rFonts w:ascii="Arial" w:hAnsi="Arial" w:cs="Arial"/>
        </w:rPr>
        <w:t>Hatsa</w:t>
      </w:r>
      <w:proofErr w:type="spellEnd"/>
      <w:r>
        <w:rPr>
          <w:rFonts w:ascii="Arial" w:hAnsi="Arial" w:cs="Arial"/>
        </w:rPr>
        <w:t xml:space="preserve">, T.M., </w:t>
      </w:r>
      <w:proofErr w:type="spellStart"/>
      <w:r w:rsidRPr="00CA24E3">
        <w:rPr>
          <w:rFonts w:ascii="Arial" w:hAnsi="Arial" w:cs="Arial"/>
        </w:rPr>
        <w:t>Kelile</w:t>
      </w:r>
      <w:proofErr w:type="spellEnd"/>
      <w:r>
        <w:rPr>
          <w:rFonts w:ascii="Arial" w:hAnsi="Arial" w:cs="Arial"/>
        </w:rPr>
        <w:t xml:space="preserve">, A.W., </w:t>
      </w:r>
      <w:proofErr w:type="spellStart"/>
      <w:r w:rsidRPr="00CA24E3">
        <w:rPr>
          <w:rFonts w:ascii="Arial" w:hAnsi="Arial" w:cs="Arial"/>
        </w:rPr>
        <w:t>Beyene</w:t>
      </w:r>
      <w:proofErr w:type="spellEnd"/>
      <w:r>
        <w:rPr>
          <w:rFonts w:ascii="Arial" w:hAnsi="Arial" w:cs="Arial"/>
        </w:rPr>
        <w:t xml:space="preserve">, E.G. &amp; </w:t>
      </w:r>
      <w:proofErr w:type="spellStart"/>
      <w:r w:rsidRPr="00CA24E3">
        <w:rPr>
          <w:rFonts w:ascii="Arial" w:hAnsi="Arial" w:cs="Arial"/>
        </w:rPr>
        <w:t>Shanko</w:t>
      </w:r>
      <w:proofErr w:type="spellEnd"/>
      <w:r>
        <w:rPr>
          <w:rFonts w:ascii="Arial" w:hAnsi="Arial" w:cs="Arial"/>
        </w:rPr>
        <w:t>, M.M. (2025).</w:t>
      </w:r>
      <w:r w:rsidR="0004789E">
        <w:rPr>
          <w:rFonts w:ascii="Arial" w:hAnsi="Arial" w:cs="Arial"/>
        </w:rPr>
        <w:t xml:space="preserve"> </w:t>
      </w:r>
      <w:r w:rsidR="0004789E" w:rsidRPr="00CA24E3">
        <w:rPr>
          <w:rFonts w:ascii="Arial" w:hAnsi="Arial" w:cs="Arial"/>
        </w:rPr>
        <w:t>Production and comprehensive analysis</w:t>
      </w:r>
      <w:r w:rsidR="0004789E">
        <w:rPr>
          <w:rFonts w:ascii="Arial" w:hAnsi="Arial" w:cs="Arial"/>
        </w:rPr>
        <w:t xml:space="preserve"> </w:t>
      </w:r>
      <w:r w:rsidR="0004789E" w:rsidRPr="00CA24E3">
        <w:rPr>
          <w:rFonts w:ascii="Arial" w:hAnsi="Arial" w:cs="Arial"/>
        </w:rPr>
        <w:t xml:space="preserve">of biodiesel from </w:t>
      </w:r>
      <w:proofErr w:type="spellStart"/>
      <w:r w:rsidR="0004789E" w:rsidRPr="00CA24E3">
        <w:rPr>
          <w:rFonts w:ascii="Arial" w:hAnsi="Arial" w:cs="Arial"/>
        </w:rPr>
        <w:t>Dovyalis</w:t>
      </w:r>
      <w:proofErr w:type="spellEnd"/>
      <w:r w:rsidR="0004789E" w:rsidRPr="00CA24E3">
        <w:rPr>
          <w:rFonts w:ascii="Arial" w:hAnsi="Arial" w:cs="Arial"/>
        </w:rPr>
        <w:t xml:space="preserve"> </w:t>
      </w:r>
      <w:proofErr w:type="spellStart"/>
      <w:r w:rsidR="0004789E" w:rsidRPr="00CA24E3">
        <w:rPr>
          <w:rFonts w:ascii="Arial" w:hAnsi="Arial" w:cs="Arial"/>
        </w:rPr>
        <w:t>caffra</w:t>
      </w:r>
      <w:proofErr w:type="spellEnd"/>
      <w:r w:rsidR="0004789E" w:rsidRPr="00CA24E3">
        <w:rPr>
          <w:rFonts w:ascii="Arial" w:hAnsi="Arial" w:cs="Arial"/>
        </w:rPr>
        <w:t xml:space="preserve"> seed oil</w:t>
      </w:r>
      <w:r w:rsidR="0004789E">
        <w:rPr>
          <w:rFonts w:ascii="Arial" w:hAnsi="Arial" w:cs="Arial"/>
        </w:rPr>
        <w:t>.</w:t>
      </w:r>
      <w:r>
        <w:rPr>
          <w:rFonts w:ascii="Arial" w:hAnsi="Arial" w:cs="Arial"/>
        </w:rPr>
        <w:t xml:space="preserve"> </w:t>
      </w:r>
      <w:r w:rsidRPr="00CA24E3">
        <w:rPr>
          <w:rFonts w:ascii="Arial" w:hAnsi="Arial" w:cs="Arial"/>
          <w:i/>
        </w:rPr>
        <w:t>Sustainable Energy Research</w:t>
      </w:r>
      <w:r>
        <w:rPr>
          <w:rFonts w:ascii="Arial" w:hAnsi="Arial" w:cs="Arial"/>
          <w:i/>
        </w:rPr>
        <w:t>,</w:t>
      </w:r>
      <w:r w:rsidRPr="00CA24E3">
        <w:rPr>
          <w:rFonts w:ascii="Arial" w:hAnsi="Arial" w:cs="Arial"/>
        </w:rPr>
        <w:t xml:space="preserve"> </w:t>
      </w:r>
      <w:r w:rsidRPr="00CA24E3">
        <w:rPr>
          <w:rFonts w:ascii="Arial" w:hAnsi="Arial" w:cs="Arial"/>
          <w:i/>
        </w:rPr>
        <w:t>12</w:t>
      </w:r>
      <w:r>
        <w:rPr>
          <w:rFonts w:ascii="Arial" w:hAnsi="Arial" w:cs="Arial"/>
        </w:rPr>
        <w:t>(</w:t>
      </w:r>
      <w:r w:rsidRPr="00CA24E3">
        <w:rPr>
          <w:rFonts w:ascii="Arial" w:hAnsi="Arial" w:cs="Arial"/>
        </w:rPr>
        <w:t>17</w:t>
      </w:r>
      <w:r>
        <w:rPr>
          <w:rFonts w:ascii="Arial" w:hAnsi="Arial" w:cs="Arial"/>
        </w:rPr>
        <w:t>),</w:t>
      </w:r>
      <w:r w:rsidRPr="00CA24E3">
        <w:rPr>
          <w:rFonts w:ascii="Arial" w:hAnsi="Arial" w:cs="Arial"/>
        </w:rPr>
        <w:t xml:space="preserve"> </w:t>
      </w:r>
      <w:r>
        <w:rPr>
          <w:rFonts w:ascii="Arial" w:hAnsi="Arial" w:cs="Arial"/>
        </w:rPr>
        <w:t>1-</w:t>
      </w:r>
      <w:r w:rsidRPr="00CA24E3">
        <w:rPr>
          <w:rFonts w:ascii="Arial" w:hAnsi="Arial" w:cs="Arial"/>
        </w:rPr>
        <w:t>13</w:t>
      </w:r>
      <w:r>
        <w:rPr>
          <w:rFonts w:ascii="Arial" w:hAnsi="Arial" w:cs="Arial"/>
        </w:rPr>
        <w:t xml:space="preserve">. </w:t>
      </w:r>
      <w:hyperlink r:id="rId25" w:history="1">
        <w:r w:rsidRPr="006610B7">
          <w:rPr>
            <w:rStyle w:val="Hyperlink"/>
            <w:rFonts w:ascii="Arial" w:hAnsi="Arial" w:cs="Arial"/>
          </w:rPr>
          <w:t>https://doi.org/10.1186/s40807-025-00161-3</w:t>
        </w:r>
      </w:hyperlink>
      <w:r>
        <w:rPr>
          <w:rFonts w:ascii="Arial" w:hAnsi="Arial" w:cs="Arial"/>
        </w:rPr>
        <w:t xml:space="preserve"> </w:t>
      </w:r>
    </w:p>
    <w:p w14:paraId="632D28CF" w14:textId="77777777" w:rsidR="00DF5C26" w:rsidRPr="00070C9F" w:rsidRDefault="00DF5C26" w:rsidP="00BD5B8B">
      <w:pPr>
        <w:ind w:left="288" w:hangingChars="144" w:hanging="288"/>
        <w:jc w:val="both"/>
        <w:rPr>
          <w:rFonts w:ascii="Arial" w:hAnsi="Arial" w:cs="Arial"/>
        </w:rPr>
      </w:pPr>
      <w:proofErr w:type="spellStart"/>
      <w:r w:rsidRPr="00070C9F">
        <w:rPr>
          <w:rFonts w:ascii="Arial" w:hAnsi="Arial" w:cs="Arial"/>
        </w:rPr>
        <w:t>Kaisan</w:t>
      </w:r>
      <w:proofErr w:type="spellEnd"/>
      <w:r>
        <w:rPr>
          <w:rFonts w:ascii="Arial" w:hAnsi="Arial" w:cs="Arial"/>
        </w:rPr>
        <w:t>,</w:t>
      </w:r>
      <w:r w:rsidRPr="00070C9F">
        <w:rPr>
          <w:rFonts w:ascii="Arial" w:hAnsi="Arial" w:cs="Arial"/>
        </w:rPr>
        <w:t xml:space="preserve"> M</w:t>
      </w:r>
      <w:r>
        <w:rPr>
          <w:rFonts w:ascii="Arial" w:hAnsi="Arial" w:cs="Arial"/>
        </w:rPr>
        <w:t>.</w:t>
      </w:r>
      <w:r w:rsidRPr="00070C9F">
        <w:rPr>
          <w:rFonts w:ascii="Arial" w:hAnsi="Arial" w:cs="Arial"/>
        </w:rPr>
        <w:t>U</w:t>
      </w:r>
      <w:r>
        <w:rPr>
          <w:rFonts w:ascii="Arial" w:hAnsi="Arial" w:cs="Arial"/>
        </w:rPr>
        <w:t>.</w:t>
      </w:r>
      <w:r w:rsidRPr="00070C9F">
        <w:rPr>
          <w:rFonts w:ascii="Arial" w:hAnsi="Arial" w:cs="Arial"/>
        </w:rPr>
        <w:t>, Anafi</w:t>
      </w:r>
      <w:r>
        <w:rPr>
          <w:rFonts w:ascii="Arial" w:hAnsi="Arial" w:cs="Arial"/>
        </w:rPr>
        <w:t>,</w:t>
      </w:r>
      <w:r w:rsidRPr="00070C9F">
        <w:rPr>
          <w:rFonts w:ascii="Arial" w:hAnsi="Arial" w:cs="Arial"/>
        </w:rPr>
        <w:t xml:space="preserve"> F</w:t>
      </w:r>
      <w:r>
        <w:rPr>
          <w:rFonts w:ascii="Arial" w:hAnsi="Arial" w:cs="Arial"/>
        </w:rPr>
        <w:t>.</w:t>
      </w:r>
      <w:r w:rsidRPr="00070C9F">
        <w:rPr>
          <w:rFonts w:ascii="Arial" w:hAnsi="Arial" w:cs="Arial"/>
        </w:rPr>
        <w:t>O</w:t>
      </w:r>
      <w:r>
        <w:rPr>
          <w:rFonts w:ascii="Arial" w:hAnsi="Arial" w:cs="Arial"/>
        </w:rPr>
        <w:t>.</w:t>
      </w:r>
      <w:r w:rsidRPr="00070C9F">
        <w:rPr>
          <w:rFonts w:ascii="Arial" w:hAnsi="Arial" w:cs="Arial"/>
        </w:rPr>
        <w:t>, Nuszkowski</w:t>
      </w:r>
      <w:r>
        <w:rPr>
          <w:rFonts w:ascii="Arial" w:hAnsi="Arial" w:cs="Arial"/>
        </w:rPr>
        <w:t>,</w:t>
      </w:r>
      <w:r w:rsidRPr="00070C9F">
        <w:rPr>
          <w:rFonts w:ascii="Arial" w:hAnsi="Arial" w:cs="Arial"/>
        </w:rPr>
        <w:t xml:space="preserve"> J</w:t>
      </w:r>
      <w:r>
        <w:rPr>
          <w:rFonts w:ascii="Arial" w:hAnsi="Arial" w:cs="Arial"/>
        </w:rPr>
        <w:t>.</w:t>
      </w:r>
      <w:r w:rsidRPr="00070C9F">
        <w:rPr>
          <w:rFonts w:ascii="Arial" w:hAnsi="Arial" w:cs="Arial"/>
        </w:rPr>
        <w:t>, Kulla</w:t>
      </w:r>
      <w:r>
        <w:rPr>
          <w:rFonts w:ascii="Arial" w:hAnsi="Arial" w:cs="Arial"/>
        </w:rPr>
        <w:t>,</w:t>
      </w:r>
      <w:r w:rsidRPr="00070C9F">
        <w:rPr>
          <w:rFonts w:ascii="Arial" w:hAnsi="Arial" w:cs="Arial"/>
        </w:rPr>
        <w:t xml:space="preserve"> D</w:t>
      </w:r>
      <w:r>
        <w:rPr>
          <w:rFonts w:ascii="Arial" w:hAnsi="Arial" w:cs="Arial"/>
        </w:rPr>
        <w:t>.</w:t>
      </w:r>
      <w:r w:rsidRPr="00070C9F">
        <w:rPr>
          <w:rFonts w:ascii="Arial" w:hAnsi="Arial" w:cs="Arial"/>
        </w:rPr>
        <w:t>M</w:t>
      </w:r>
      <w:r>
        <w:rPr>
          <w:rFonts w:ascii="Arial" w:hAnsi="Arial" w:cs="Arial"/>
        </w:rPr>
        <w:t>. &amp;</w:t>
      </w:r>
      <w:r w:rsidRPr="00070C9F">
        <w:rPr>
          <w:rFonts w:ascii="Arial" w:hAnsi="Arial" w:cs="Arial"/>
        </w:rPr>
        <w:t xml:space="preserve"> Umaru</w:t>
      </w:r>
      <w:r>
        <w:rPr>
          <w:rFonts w:ascii="Arial" w:hAnsi="Arial" w:cs="Arial"/>
        </w:rPr>
        <w:t>,</w:t>
      </w:r>
      <w:r w:rsidRPr="00070C9F">
        <w:rPr>
          <w:rFonts w:ascii="Arial" w:hAnsi="Arial" w:cs="Arial"/>
        </w:rPr>
        <w:t xml:space="preserve"> S. </w:t>
      </w:r>
      <w:r>
        <w:rPr>
          <w:rFonts w:ascii="Arial" w:hAnsi="Arial" w:cs="Arial"/>
        </w:rPr>
        <w:t xml:space="preserve">(2020). </w:t>
      </w:r>
      <w:r w:rsidRPr="00070C9F">
        <w:rPr>
          <w:rFonts w:ascii="Arial" w:hAnsi="Arial" w:cs="Arial"/>
        </w:rPr>
        <w:t xml:space="preserve">Calorific value, flash point and cetane number of </w:t>
      </w:r>
      <w:proofErr w:type="gramStart"/>
      <w:r w:rsidRPr="00070C9F">
        <w:rPr>
          <w:rFonts w:ascii="Arial" w:hAnsi="Arial" w:cs="Arial"/>
        </w:rPr>
        <w:t>biodiesel</w:t>
      </w:r>
      <w:proofErr w:type="gramEnd"/>
      <w:r w:rsidRPr="00070C9F">
        <w:rPr>
          <w:rFonts w:ascii="Arial" w:hAnsi="Arial" w:cs="Arial"/>
        </w:rPr>
        <w:t xml:space="preserve"> from cotton, jatropha and neem binary and multi-blends wit</w:t>
      </w:r>
      <w:r>
        <w:rPr>
          <w:rFonts w:ascii="Arial" w:hAnsi="Arial" w:cs="Arial"/>
        </w:rPr>
        <w:t>h diesel.</w:t>
      </w:r>
      <w:r>
        <w:rPr>
          <w:rFonts w:ascii="Arial" w:hAnsi="Arial" w:cs="Arial"/>
          <w:i/>
        </w:rPr>
        <w:t xml:space="preserve"> Biofuels,</w:t>
      </w:r>
      <w:r w:rsidRPr="00581AEC">
        <w:rPr>
          <w:rFonts w:ascii="Arial" w:hAnsi="Arial" w:cs="Arial"/>
          <w:i/>
        </w:rPr>
        <w:t xml:space="preserve"> 11</w:t>
      </w:r>
      <w:r>
        <w:rPr>
          <w:rFonts w:ascii="Arial" w:hAnsi="Arial" w:cs="Arial"/>
        </w:rPr>
        <w:t>(3),</w:t>
      </w:r>
      <w:r w:rsidRPr="00070C9F">
        <w:rPr>
          <w:rFonts w:ascii="Arial" w:hAnsi="Arial" w:cs="Arial"/>
        </w:rPr>
        <w:t xml:space="preserve"> 321-327.</w:t>
      </w:r>
    </w:p>
    <w:p w14:paraId="568384C9" w14:textId="77777777" w:rsidR="00DF5C26" w:rsidRPr="00070C9F" w:rsidRDefault="00DF5C26" w:rsidP="00BD5B8B">
      <w:pPr>
        <w:ind w:left="288" w:hangingChars="144" w:hanging="288"/>
        <w:jc w:val="both"/>
        <w:rPr>
          <w:rFonts w:ascii="Arial" w:hAnsi="Arial" w:cs="Arial"/>
        </w:rPr>
      </w:pPr>
      <w:r w:rsidRPr="00070C9F">
        <w:rPr>
          <w:rFonts w:ascii="Arial" w:hAnsi="Arial" w:cs="Arial"/>
        </w:rPr>
        <w:t>Kumar</w:t>
      </w:r>
      <w:r>
        <w:rPr>
          <w:rFonts w:ascii="Arial" w:hAnsi="Arial" w:cs="Arial"/>
        </w:rPr>
        <w:t>,</w:t>
      </w:r>
      <w:r w:rsidRPr="00070C9F">
        <w:rPr>
          <w:rFonts w:ascii="Arial" w:hAnsi="Arial" w:cs="Arial"/>
        </w:rPr>
        <w:t xml:space="preserve"> J</w:t>
      </w:r>
      <w:r>
        <w:rPr>
          <w:rFonts w:ascii="Arial" w:hAnsi="Arial" w:cs="Arial"/>
        </w:rPr>
        <w:t>.</w:t>
      </w:r>
      <w:r w:rsidRPr="00070C9F">
        <w:rPr>
          <w:rFonts w:ascii="Arial" w:hAnsi="Arial" w:cs="Arial"/>
        </w:rPr>
        <w:t>R</w:t>
      </w:r>
      <w:r>
        <w:rPr>
          <w:rFonts w:ascii="Arial" w:hAnsi="Arial" w:cs="Arial"/>
        </w:rPr>
        <w:t>.</w:t>
      </w:r>
      <w:r w:rsidRPr="00070C9F">
        <w:rPr>
          <w:rFonts w:ascii="Arial" w:hAnsi="Arial" w:cs="Arial"/>
        </w:rPr>
        <w:t>, Anandan</w:t>
      </w:r>
      <w:r>
        <w:rPr>
          <w:rFonts w:ascii="Arial" w:hAnsi="Arial" w:cs="Arial"/>
        </w:rPr>
        <w:t>,</w:t>
      </w:r>
      <w:r w:rsidRPr="00070C9F">
        <w:rPr>
          <w:rFonts w:ascii="Arial" w:hAnsi="Arial" w:cs="Arial"/>
        </w:rPr>
        <w:t xml:space="preserve"> D</w:t>
      </w:r>
      <w:r>
        <w:rPr>
          <w:rFonts w:ascii="Arial" w:hAnsi="Arial" w:cs="Arial"/>
        </w:rPr>
        <w:t>. &amp;</w:t>
      </w:r>
      <w:r w:rsidRPr="00070C9F">
        <w:rPr>
          <w:rFonts w:ascii="Arial" w:hAnsi="Arial" w:cs="Arial"/>
        </w:rPr>
        <w:t xml:space="preserve"> </w:t>
      </w:r>
      <w:proofErr w:type="spellStart"/>
      <w:r w:rsidRPr="00070C9F">
        <w:rPr>
          <w:rFonts w:ascii="Arial" w:hAnsi="Arial" w:cs="Arial"/>
        </w:rPr>
        <w:t>Kaliyaperumal</w:t>
      </w:r>
      <w:proofErr w:type="spellEnd"/>
      <w:r>
        <w:rPr>
          <w:rFonts w:ascii="Arial" w:hAnsi="Arial" w:cs="Arial"/>
        </w:rPr>
        <w:t>,</w:t>
      </w:r>
      <w:r w:rsidRPr="00070C9F">
        <w:rPr>
          <w:rFonts w:ascii="Arial" w:hAnsi="Arial" w:cs="Arial"/>
        </w:rPr>
        <w:t xml:space="preserve"> V.</w:t>
      </w:r>
      <w:r>
        <w:rPr>
          <w:rFonts w:ascii="Arial" w:hAnsi="Arial" w:cs="Arial"/>
        </w:rPr>
        <w:t xml:space="preserve"> (2024). </w:t>
      </w:r>
      <w:r w:rsidRPr="00070C9F">
        <w:rPr>
          <w:rFonts w:ascii="Arial" w:hAnsi="Arial" w:cs="Arial"/>
        </w:rPr>
        <w:t xml:space="preserve">Biodiesel production from rice-wash water with </w:t>
      </w:r>
      <w:r w:rsidRPr="00070C9F">
        <w:rPr>
          <w:rFonts w:ascii="Arial" w:hAnsi="Arial" w:cs="Arial"/>
          <w:i/>
        </w:rPr>
        <w:t xml:space="preserve">Streptomyces </w:t>
      </w:r>
      <w:proofErr w:type="spellStart"/>
      <w:r w:rsidRPr="00070C9F">
        <w:rPr>
          <w:rFonts w:ascii="Arial" w:hAnsi="Arial" w:cs="Arial"/>
          <w:i/>
        </w:rPr>
        <w:t>fradiae</w:t>
      </w:r>
      <w:proofErr w:type="spellEnd"/>
      <w:r w:rsidRPr="00070C9F">
        <w:rPr>
          <w:rFonts w:ascii="Arial" w:hAnsi="Arial" w:cs="Arial"/>
        </w:rPr>
        <w:t xml:space="preserve"> fermentation: Improved free fatty acid concentration. </w:t>
      </w:r>
      <w:r w:rsidRPr="00581AEC">
        <w:rPr>
          <w:rFonts w:ascii="Arial" w:hAnsi="Arial" w:cs="Arial"/>
          <w:i/>
        </w:rPr>
        <w:t xml:space="preserve">J. Pure and App. </w:t>
      </w:r>
      <w:proofErr w:type="spellStart"/>
      <w:proofErr w:type="gramStart"/>
      <w:r w:rsidRPr="00581AEC">
        <w:rPr>
          <w:rFonts w:ascii="Arial" w:hAnsi="Arial" w:cs="Arial"/>
          <w:i/>
        </w:rPr>
        <w:t>Microb</w:t>
      </w:r>
      <w:proofErr w:type="spellEnd"/>
      <w:r w:rsidRPr="00581AEC">
        <w:rPr>
          <w:rFonts w:ascii="Arial" w:hAnsi="Arial" w:cs="Arial"/>
          <w:i/>
        </w:rPr>
        <w:t>..</w:t>
      </w:r>
      <w:proofErr w:type="gramEnd"/>
      <w:r w:rsidRPr="00581AEC">
        <w:rPr>
          <w:rFonts w:ascii="Arial" w:hAnsi="Arial" w:cs="Arial"/>
          <w:i/>
        </w:rPr>
        <w:t xml:space="preserve"> 18</w:t>
      </w:r>
      <w:r w:rsidRPr="00070C9F">
        <w:rPr>
          <w:rFonts w:ascii="Arial" w:hAnsi="Arial" w:cs="Arial"/>
        </w:rPr>
        <w:t>(2)</w:t>
      </w:r>
      <w:r>
        <w:rPr>
          <w:rFonts w:ascii="Arial" w:hAnsi="Arial" w:cs="Arial"/>
        </w:rPr>
        <w:t>,</w:t>
      </w:r>
      <w:r w:rsidRPr="00070C9F">
        <w:rPr>
          <w:rFonts w:ascii="Arial" w:hAnsi="Arial" w:cs="Arial"/>
        </w:rPr>
        <w:t xml:space="preserve"> 1137-1150. </w:t>
      </w:r>
      <w:hyperlink r:id="rId26" w:history="1">
        <w:r w:rsidRPr="00070C9F">
          <w:rPr>
            <w:rStyle w:val="Hyperlink"/>
            <w:rFonts w:ascii="Arial" w:hAnsi="Arial" w:cs="Arial"/>
          </w:rPr>
          <w:t>https://doi.org/10.22207/JPAM.18.2.33</w:t>
        </w:r>
      </w:hyperlink>
    </w:p>
    <w:p w14:paraId="0E89E8F7" w14:textId="77777777" w:rsidR="00DF5C26" w:rsidRPr="00070C9F" w:rsidRDefault="00DF5C26" w:rsidP="00BD5B8B">
      <w:pPr>
        <w:ind w:left="288" w:hangingChars="144" w:hanging="288"/>
        <w:jc w:val="both"/>
        <w:rPr>
          <w:rStyle w:val="Hyperlink"/>
          <w:rFonts w:ascii="Arial" w:hAnsi="Arial" w:cs="Arial"/>
        </w:rPr>
      </w:pPr>
      <w:r w:rsidRPr="00070C9F">
        <w:rPr>
          <w:rFonts w:ascii="Arial" w:hAnsi="Arial" w:cs="Arial"/>
        </w:rPr>
        <w:t>López-Fernández</w:t>
      </w:r>
      <w:r>
        <w:rPr>
          <w:rFonts w:ascii="Arial" w:hAnsi="Arial" w:cs="Arial"/>
        </w:rPr>
        <w:t>,</w:t>
      </w:r>
      <w:r w:rsidRPr="00070C9F">
        <w:rPr>
          <w:rFonts w:ascii="Arial" w:hAnsi="Arial" w:cs="Arial"/>
        </w:rPr>
        <w:t xml:space="preserve"> J</w:t>
      </w:r>
      <w:r>
        <w:rPr>
          <w:rFonts w:ascii="Arial" w:hAnsi="Arial" w:cs="Arial"/>
        </w:rPr>
        <w:t>.</w:t>
      </w:r>
      <w:r w:rsidRPr="00070C9F">
        <w:rPr>
          <w:rFonts w:ascii="Arial" w:hAnsi="Arial" w:cs="Arial"/>
        </w:rPr>
        <w:t xml:space="preserve">, </w:t>
      </w:r>
      <w:proofErr w:type="spellStart"/>
      <w:r w:rsidRPr="00070C9F">
        <w:rPr>
          <w:rFonts w:ascii="Arial" w:hAnsi="Arial" w:cs="Arial"/>
        </w:rPr>
        <w:t>Benaiges</w:t>
      </w:r>
      <w:proofErr w:type="spellEnd"/>
      <w:r>
        <w:rPr>
          <w:rFonts w:ascii="Arial" w:hAnsi="Arial" w:cs="Arial"/>
        </w:rPr>
        <w:t>,</w:t>
      </w:r>
      <w:r w:rsidRPr="00070C9F">
        <w:rPr>
          <w:rFonts w:ascii="Arial" w:hAnsi="Arial" w:cs="Arial"/>
        </w:rPr>
        <w:t xml:space="preserve"> M</w:t>
      </w:r>
      <w:r>
        <w:rPr>
          <w:rFonts w:ascii="Arial" w:hAnsi="Arial" w:cs="Arial"/>
        </w:rPr>
        <w:t>.</w:t>
      </w:r>
      <w:r w:rsidRPr="00070C9F">
        <w:rPr>
          <w:rFonts w:ascii="Arial" w:hAnsi="Arial" w:cs="Arial"/>
        </w:rPr>
        <w:t>D</w:t>
      </w:r>
      <w:r>
        <w:rPr>
          <w:rFonts w:ascii="Arial" w:hAnsi="Arial" w:cs="Arial"/>
        </w:rPr>
        <w:t>. &amp;</w:t>
      </w:r>
      <w:r w:rsidRPr="00070C9F">
        <w:rPr>
          <w:rFonts w:ascii="Arial" w:hAnsi="Arial" w:cs="Arial"/>
        </w:rPr>
        <w:t xml:space="preserve"> Valero</w:t>
      </w:r>
      <w:r>
        <w:rPr>
          <w:rFonts w:ascii="Arial" w:hAnsi="Arial" w:cs="Arial"/>
        </w:rPr>
        <w:t>,</w:t>
      </w:r>
      <w:r w:rsidRPr="00070C9F">
        <w:rPr>
          <w:rFonts w:ascii="Arial" w:hAnsi="Arial" w:cs="Arial"/>
        </w:rPr>
        <w:t xml:space="preserve"> F.</w:t>
      </w:r>
      <w:r>
        <w:rPr>
          <w:rFonts w:ascii="Arial" w:hAnsi="Arial" w:cs="Arial"/>
        </w:rPr>
        <w:t xml:space="preserve"> (2020).</w:t>
      </w:r>
      <w:r w:rsidRPr="00070C9F">
        <w:rPr>
          <w:rFonts w:ascii="Arial" w:hAnsi="Arial" w:cs="Arial"/>
        </w:rPr>
        <w:t xml:space="preserve"> </w:t>
      </w:r>
      <w:r w:rsidRPr="00070C9F">
        <w:rPr>
          <w:rFonts w:ascii="Arial" w:hAnsi="Arial" w:cs="Arial"/>
          <w:i/>
        </w:rPr>
        <w:t>Rhizopus oryzae</w:t>
      </w:r>
      <w:r w:rsidRPr="00070C9F">
        <w:rPr>
          <w:rFonts w:ascii="Arial" w:hAnsi="Arial" w:cs="Arial"/>
        </w:rPr>
        <w:t xml:space="preserve"> lipase, a promising industrial enzyme: biochemical characteristics, production and biocatalytic applications. </w:t>
      </w:r>
      <w:r w:rsidRPr="00226E4F">
        <w:rPr>
          <w:rFonts w:ascii="Arial" w:hAnsi="Arial" w:cs="Arial"/>
          <w:i/>
        </w:rPr>
        <w:t>Catalysts. 10</w:t>
      </w:r>
      <w:r>
        <w:rPr>
          <w:rFonts w:ascii="Arial" w:hAnsi="Arial" w:cs="Arial"/>
        </w:rPr>
        <w:t>(11),</w:t>
      </w:r>
      <w:r w:rsidRPr="00070C9F">
        <w:rPr>
          <w:rFonts w:ascii="Arial" w:hAnsi="Arial" w:cs="Arial"/>
        </w:rPr>
        <w:t xml:space="preserve"> 1277. </w:t>
      </w:r>
      <w:hyperlink r:id="rId27" w:history="1">
        <w:r w:rsidRPr="00070C9F">
          <w:rPr>
            <w:rStyle w:val="Hyperlink"/>
            <w:rFonts w:ascii="Arial" w:hAnsi="Arial" w:cs="Arial"/>
          </w:rPr>
          <w:t>https://doi.org/10.3390/catal10111277</w:t>
        </w:r>
      </w:hyperlink>
    </w:p>
    <w:p w14:paraId="31D46F4B" w14:textId="77777777" w:rsidR="005267A3" w:rsidRPr="00070C9F" w:rsidRDefault="005267A3" w:rsidP="00BD5B8B">
      <w:pPr>
        <w:ind w:left="288" w:hangingChars="144" w:hanging="288"/>
        <w:jc w:val="both"/>
        <w:rPr>
          <w:rFonts w:ascii="Arial" w:hAnsi="Arial" w:cs="Arial"/>
        </w:rPr>
      </w:pPr>
      <w:r w:rsidRPr="00070C9F">
        <w:rPr>
          <w:rFonts w:ascii="Arial" w:hAnsi="Arial" w:cs="Arial"/>
        </w:rPr>
        <w:t>Neha</w:t>
      </w:r>
      <w:r>
        <w:rPr>
          <w:rFonts w:ascii="Arial" w:hAnsi="Arial" w:cs="Arial"/>
        </w:rPr>
        <w:t>,</w:t>
      </w:r>
      <w:r w:rsidRPr="00070C9F">
        <w:rPr>
          <w:rFonts w:ascii="Arial" w:hAnsi="Arial" w:cs="Arial"/>
        </w:rPr>
        <w:t xml:space="preserve"> N</w:t>
      </w:r>
      <w:r>
        <w:rPr>
          <w:rFonts w:ascii="Arial" w:hAnsi="Arial" w:cs="Arial"/>
        </w:rPr>
        <w:t>.</w:t>
      </w:r>
      <w:r w:rsidRPr="00070C9F">
        <w:rPr>
          <w:rFonts w:ascii="Arial" w:hAnsi="Arial" w:cs="Arial"/>
        </w:rPr>
        <w:t>S</w:t>
      </w:r>
      <w:r>
        <w:rPr>
          <w:rFonts w:ascii="Arial" w:hAnsi="Arial" w:cs="Arial"/>
        </w:rPr>
        <w:t>.</w:t>
      </w:r>
      <w:r w:rsidRPr="00070C9F">
        <w:rPr>
          <w:rFonts w:ascii="Arial" w:hAnsi="Arial" w:cs="Arial"/>
        </w:rPr>
        <w:t>, Sangita</w:t>
      </w:r>
      <w:r>
        <w:rPr>
          <w:rFonts w:ascii="Arial" w:hAnsi="Arial" w:cs="Arial"/>
        </w:rPr>
        <w:t>,</w:t>
      </w:r>
      <w:r w:rsidRPr="00070C9F">
        <w:rPr>
          <w:rFonts w:ascii="Arial" w:hAnsi="Arial" w:cs="Arial"/>
        </w:rPr>
        <w:t xml:space="preserve"> Y</w:t>
      </w:r>
      <w:r>
        <w:rPr>
          <w:rFonts w:ascii="Arial" w:hAnsi="Arial" w:cs="Arial"/>
        </w:rPr>
        <w:t>.</w:t>
      </w:r>
      <w:r w:rsidRPr="00070C9F">
        <w:rPr>
          <w:rFonts w:ascii="Arial" w:hAnsi="Arial" w:cs="Arial"/>
        </w:rPr>
        <w:t>, Subhash</w:t>
      </w:r>
      <w:r>
        <w:rPr>
          <w:rFonts w:ascii="Arial" w:hAnsi="Arial" w:cs="Arial"/>
        </w:rPr>
        <w:t>,</w:t>
      </w:r>
      <w:r w:rsidRPr="00070C9F">
        <w:rPr>
          <w:rFonts w:ascii="Arial" w:hAnsi="Arial" w:cs="Arial"/>
        </w:rPr>
        <w:t xml:space="preserve"> C</w:t>
      </w:r>
      <w:r>
        <w:rPr>
          <w:rFonts w:ascii="Arial" w:hAnsi="Arial" w:cs="Arial"/>
        </w:rPr>
        <w:t>.</w:t>
      </w:r>
      <w:r w:rsidRPr="00070C9F">
        <w:rPr>
          <w:rFonts w:ascii="Arial" w:hAnsi="Arial" w:cs="Arial"/>
        </w:rPr>
        <w:t>, Sweta</w:t>
      </w:r>
      <w:r>
        <w:rPr>
          <w:rFonts w:ascii="Arial" w:hAnsi="Arial" w:cs="Arial"/>
        </w:rPr>
        <w:t>,</w:t>
      </w:r>
      <w:r w:rsidRPr="00070C9F">
        <w:rPr>
          <w:rFonts w:ascii="Arial" w:hAnsi="Arial" w:cs="Arial"/>
        </w:rPr>
        <w:t xml:space="preserve"> K</w:t>
      </w:r>
      <w:r>
        <w:rPr>
          <w:rFonts w:ascii="Arial" w:hAnsi="Arial" w:cs="Arial"/>
        </w:rPr>
        <w:t xml:space="preserve">. &amp; </w:t>
      </w:r>
      <w:r w:rsidRPr="00070C9F">
        <w:rPr>
          <w:rFonts w:ascii="Arial" w:hAnsi="Arial" w:cs="Arial"/>
        </w:rPr>
        <w:t>Asha</w:t>
      </w:r>
      <w:r>
        <w:rPr>
          <w:rFonts w:ascii="Arial" w:hAnsi="Arial" w:cs="Arial"/>
        </w:rPr>
        <w:t>,</w:t>
      </w:r>
      <w:r w:rsidRPr="00070C9F">
        <w:rPr>
          <w:rFonts w:ascii="Arial" w:hAnsi="Arial" w:cs="Arial"/>
        </w:rPr>
        <w:t xml:space="preserve"> G.</w:t>
      </w:r>
      <w:r>
        <w:rPr>
          <w:rFonts w:ascii="Arial" w:hAnsi="Arial" w:cs="Arial"/>
        </w:rPr>
        <w:t xml:space="preserve"> (2023). </w:t>
      </w:r>
      <w:r w:rsidRPr="00070C9F">
        <w:rPr>
          <w:rFonts w:ascii="Arial" w:hAnsi="Arial" w:cs="Arial"/>
        </w:rPr>
        <w:t xml:space="preserve">Evaluation of lipase from an indigenous isolated </w:t>
      </w:r>
      <w:r w:rsidRPr="00070C9F">
        <w:rPr>
          <w:rFonts w:ascii="Arial" w:hAnsi="Arial" w:cs="Arial"/>
          <w:i/>
        </w:rPr>
        <w:t>Bacillus</w:t>
      </w:r>
      <w:r w:rsidRPr="00070C9F">
        <w:rPr>
          <w:rFonts w:ascii="Arial" w:hAnsi="Arial" w:cs="Arial"/>
        </w:rPr>
        <w:t xml:space="preserve"> strain for biodiesel production. </w:t>
      </w:r>
      <w:r w:rsidRPr="00EA7809">
        <w:rPr>
          <w:rFonts w:ascii="Arial" w:hAnsi="Arial" w:cs="Arial"/>
          <w:i/>
        </w:rPr>
        <w:t xml:space="preserve">Nature Environ. and </w:t>
      </w:r>
      <w:proofErr w:type="spellStart"/>
      <w:r w:rsidRPr="00EA7809">
        <w:rPr>
          <w:rFonts w:ascii="Arial" w:hAnsi="Arial" w:cs="Arial"/>
          <w:i/>
        </w:rPr>
        <w:t>Pollut</w:t>
      </w:r>
      <w:proofErr w:type="spellEnd"/>
      <w:r>
        <w:rPr>
          <w:rFonts w:ascii="Arial" w:hAnsi="Arial" w:cs="Arial"/>
          <w:i/>
        </w:rPr>
        <w:t xml:space="preserve">. </w:t>
      </w:r>
      <w:proofErr w:type="gramStart"/>
      <w:r>
        <w:rPr>
          <w:rFonts w:ascii="Arial" w:hAnsi="Arial" w:cs="Arial"/>
          <w:i/>
        </w:rPr>
        <w:t>Techn..</w:t>
      </w:r>
      <w:proofErr w:type="gramEnd"/>
      <w:r>
        <w:rPr>
          <w:rFonts w:ascii="Arial" w:hAnsi="Arial" w:cs="Arial"/>
          <w:i/>
        </w:rPr>
        <w:t xml:space="preserve"> </w:t>
      </w:r>
      <w:r w:rsidRPr="00EA7809">
        <w:rPr>
          <w:rFonts w:ascii="Arial" w:hAnsi="Arial" w:cs="Arial"/>
          <w:i/>
        </w:rPr>
        <w:t>22</w:t>
      </w:r>
      <w:r>
        <w:rPr>
          <w:rFonts w:ascii="Arial" w:hAnsi="Arial" w:cs="Arial"/>
        </w:rPr>
        <w:t>(3),</w:t>
      </w:r>
      <w:r w:rsidRPr="00070C9F">
        <w:rPr>
          <w:rFonts w:ascii="Arial" w:hAnsi="Arial" w:cs="Arial"/>
        </w:rPr>
        <w:t xml:space="preserve"> 319-1330. </w:t>
      </w:r>
      <w:hyperlink r:id="rId28" w:history="1">
        <w:r w:rsidRPr="00070C9F">
          <w:rPr>
            <w:rStyle w:val="Hyperlink"/>
            <w:rFonts w:ascii="Arial" w:hAnsi="Arial" w:cs="Arial"/>
          </w:rPr>
          <w:t>https://doi.org/10.46488/NEPT.2023.v22i03.019</w:t>
        </w:r>
      </w:hyperlink>
    </w:p>
    <w:p w14:paraId="3DBE715B" w14:textId="77777777" w:rsidR="00070C9F" w:rsidRPr="00070C9F" w:rsidRDefault="00070C9F" w:rsidP="00BD5B8B">
      <w:pPr>
        <w:ind w:left="288" w:hangingChars="144" w:hanging="288"/>
        <w:jc w:val="both"/>
        <w:rPr>
          <w:rStyle w:val="Hyperlink"/>
          <w:rFonts w:ascii="Arial" w:hAnsi="Arial" w:cs="Arial"/>
        </w:rPr>
      </w:pPr>
      <w:r w:rsidRPr="00070C9F">
        <w:rPr>
          <w:rFonts w:ascii="Arial" w:hAnsi="Arial" w:cs="Arial"/>
        </w:rPr>
        <w:t>Nor</w:t>
      </w:r>
      <w:r w:rsidR="00983018">
        <w:rPr>
          <w:rFonts w:ascii="Arial" w:hAnsi="Arial" w:cs="Arial"/>
        </w:rPr>
        <w:t>,</w:t>
      </w:r>
      <w:r w:rsidRPr="00070C9F">
        <w:rPr>
          <w:rFonts w:ascii="Arial" w:hAnsi="Arial" w:cs="Arial"/>
        </w:rPr>
        <w:t xml:space="preserve"> N</w:t>
      </w:r>
      <w:r w:rsidR="00983018">
        <w:rPr>
          <w:rFonts w:ascii="Arial" w:hAnsi="Arial" w:cs="Arial"/>
        </w:rPr>
        <w:t>.</w:t>
      </w:r>
      <w:r w:rsidRPr="00070C9F">
        <w:rPr>
          <w:rFonts w:ascii="Arial" w:hAnsi="Arial" w:cs="Arial"/>
        </w:rPr>
        <w:t>F</w:t>
      </w:r>
      <w:r w:rsidR="00983018">
        <w:rPr>
          <w:rFonts w:ascii="Arial" w:hAnsi="Arial" w:cs="Arial"/>
        </w:rPr>
        <w:t>.</w:t>
      </w:r>
      <w:r w:rsidRPr="00070C9F">
        <w:rPr>
          <w:rFonts w:ascii="Arial" w:hAnsi="Arial" w:cs="Arial"/>
        </w:rPr>
        <w:t>S</w:t>
      </w:r>
      <w:r w:rsidR="00983018">
        <w:rPr>
          <w:rFonts w:ascii="Arial" w:hAnsi="Arial" w:cs="Arial"/>
        </w:rPr>
        <w:t>.</w:t>
      </w:r>
      <w:r w:rsidRPr="00070C9F">
        <w:rPr>
          <w:rFonts w:ascii="Arial" w:hAnsi="Arial" w:cs="Arial"/>
        </w:rPr>
        <w:t>M</w:t>
      </w:r>
      <w:r w:rsidR="00983018">
        <w:rPr>
          <w:rFonts w:ascii="Arial" w:hAnsi="Arial" w:cs="Arial"/>
        </w:rPr>
        <w:t>.</w:t>
      </w:r>
      <w:r w:rsidRPr="00070C9F">
        <w:rPr>
          <w:rFonts w:ascii="Arial" w:hAnsi="Arial" w:cs="Arial"/>
        </w:rPr>
        <w:t xml:space="preserve">, </w:t>
      </w:r>
      <w:proofErr w:type="spellStart"/>
      <w:r w:rsidRPr="00070C9F">
        <w:rPr>
          <w:rFonts w:ascii="Arial" w:hAnsi="Arial" w:cs="Arial"/>
        </w:rPr>
        <w:t>Veny</w:t>
      </w:r>
      <w:proofErr w:type="spellEnd"/>
      <w:r w:rsidR="00983018">
        <w:rPr>
          <w:rFonts w:ascii="Arial" w:hAnsi="Arial" w:cs="Arial"/>
        </w:rPr>
        <w:t>,</w:t>
      </w:r>
      <w:r w:rsidRPr="00070C9F">
        <w:rPr>
          <w:rFonts w:ascii="Arial" w:hAnsi="Arial" w:cs="Arial"/>
        </w:rPr>
        <w:t xml:space="preserve"> H</w:t>
      </w:r>
      <w:r w:rsidR="00983018">
        <w:rPr>
          <w:rFonts w:ascii="Arial" w:hAnsi="Arial" w:cs="Arial"/>
        </w:rPr>
        <w:t>.</w:t>
      </w:r>
      <w:r w:rsidRPr="00070C9F">
        <w:rPr>
          <w:rFonts w:ascii="Arial" w:hAnsi="Arial" w:cs="Arial"/>
        </w:rPr>
        <w:t>, Hamzah</w:t>
      </w:r>
      <w:r w:rsidR="00983018">
        <w:rPr>
          <w:rFonts w:ascii="Arial" w:hAnsi="Arial" w:cs="Arial"/>
        </w:rPr>
        <w:t>,</w:t>
      </w:r>
      <w:r w:rsidRPr="00070C9F">
        <w:rPr>
          <w:rFonts w:ascii="Arial" w:hAnsi="Arial" w:cs="Arial"/>
        </w:rPr>
        <w:t xml:space="preserve"> F</w:t>
      </w:r>
      <w:r w:rsidR="00983018">
        <w:rPr>
          <w:rFonts w:ascii="Arial" w:hAnsi="Arial" w:cs="Arial"/>
        </w:rPr>
        <w:t>.</w:t>
      </w:r>
      <w:r w:rsidRPr="00070C9F">
        <w:rPr>
          <w:rFonts w:ascii="Arial" w:hAnsi="Arial" w:cs="Arial"/>
        </w:rPr>
        <w:t xml:space="preserve">, </w:t>
      </w:r>
      <w:proofErr w:type="spellStart"/>
      <w:r w:rsidRPr="00070C9F">
        <w:rPr>
          <w:rFonts w:ascii="Arial" w:hAnsi="Arial" w:cs="Arial"/>
        </w:rPr>
        <w:t>Rodhi</w:t>
      </w:r>
      <w:proofErr w:type="spellEnd"/>
      <w:r w:rsidR="00983018">
        <w:rPr>
          <w:rFonts w:ascii="Arial" w:hAnsi="Arial" w:cs="Arial"/>
        </w:rPr>
        <w:t>,</w:t>
      </w:r>
      <w:r w:rsidRPr="00070C9F">
        <w:rPr>
          <w:rFonts w:ascii="Arial" w:hAnsi="Arial" w:cs="Arial"/>
        </w:rPr>
        <w:t xml:space="preserve"> M</w:t>
      </w:r>
      <w:r w:rsidR="00983018">
        <w:rPr>
          <w:rFonts w:ascii="Arial" w:hAnsi="Arial" w:cs="Arial"/>
        </w:rPr>
        <w:t>.</w:t>
      </w:r>
      <w:r w:rsidRPr="00070C9F">
        <w:rPr>
          <w:rFonts w:ascii="Arial" w:hAnsi="Arial" w:cs="Arial"/>
        </w:rPr>
        <w:t>N</w:t>
      </w:r>
      <w:r w:rsidR="00983018">
        <w:rPr>
          <w:rFonts w:ascii="Arial" w:hAnsi="Arial" w:cs="Arial"/>
        </w:rPr>
        <w:t>.</w:t>
      </w:r>
      <w:r w:rsidRPr="00070C9F">
        <w:rPr>
          <w:rFonts w:ascii="Arial" w:hAnsi="Arial" w:cs="Arial"/>
        </w:rPr>
        <w:t>M</w:t>
      </w:r>
      <w:r w:rsidR="00983018">
        <w:rPr>
          <w:rFonts w:ascii="Arial" w:hAnsi="Arial" w:cs="Arial"/>
        </w:rPr>
        <w:t>.</w:t>
      </w:r>
      <w:r w:rsidRPr="00070C9F">
        <w:rPr>
          <w:rFonts w:ascii="Arial" w:hAnsi="Arial" w:cs="Arial"/>
        </w:rPr>
        <w:t xml:space="preserve">, </w:t>
      </w:r>
      <w:proofErr w:type="spellStart"/>
      <w:r w:rsidRPr="00070C9F">
        <w:rPr>
          <w:rFonts w:ascii="Arial" w:hAnsi="Arial" w:cs="Arial"/>
        </w:rPr>
        <w:t>Kusumaningtyas</w:t>
      </w:r>
      <w:proofErr w:type="spellEnd"/>
      <w:r w:rsidR="00983018">
        <w:rPr>
          <w:rFonts w:ascii="Arial" w:hAnsi="Arial" w:cs="Arial"/>
        </w:rPr>
        <w:t>,</w:t>
      </w:r>
      <w:r w:rsidRPr="00070C9F">
        <w:rPr>
          <w:rFonts w:ascii="Arial" w:hAnsi="Arial" w:cs="Arial"/>
        </w:rPr>
        <w:t xml:space="preserve"> R</w:t>
      </w:r>
      <w:r w:rsidR="00983018">
        <w:rPr>
          <w:rFonts w:ascii="Arial" w:hAnsi="Arial" w:cs="Arial"/>
        </w:rPr>
        <w:t>.</w:t>
      </w:r>
      <w:r w:rsidRPr="00070C9F">
        <w:rPr>
          <w:rFonts w:ascii="Arial" w:hAnsi="Arial" w:cs="Arial"/>
        </w:rPr>
        <w:t>D</w:t>
      </w:r>
      <w:r w:rsidR="00983018">
        <w:rPr>
          <w:rFonts w:ascii="Arial" w:hAnsi="Arial" w:cs="Arial"/>
        </w:rPr>
        <w:t>.</w:t>
      </w:r>
      <w:r w:rsidRPr="00070C9F">
        <w:rPr>
          <w:rFonts w:ascii="Arial" w:hAnsi="Arial" w:cs="Arial"/>
        </w:rPr>
        <w:t xml:space="preserve">, </w:t>
      </w:r>
      <w:proofErr w:type="spellStart"/>
      <w:r w:rsidRPr="00070C9F">
        <w:rPr>
          <w:rFonts w:ascii="Arial" w:hAnsi="Arial" w:cs="Arial"/>
        </w:rPr>
        <w:t>Prasetiawan</w:t>
      </w:r>
      <w:proofErr w:type="spellEnd"/>
      <w:r w:rsidR="00983018">
        <w:rPr>
          <w:rFonts w:ascii="Arial" w:hAnsi="Arial" w:cs="Arial"/>
        </w:rPr>
        <w:t>,</w:t>
      </w:r>
      <w:r w:rsidRPr="00070C9F">
        <w:rPr>
          <w:rFonts w:ascii="Arial" w:hAnsi="Arial" w:cs="Arial"/>
        </w:rPr>
        <w:t xml:space="preserve"> H</w:t>
      </w:r>
      <w:r w:rsidR="00983018">
        <w:rPr>
          <w:rFonts w:ascii="Arial" w:hAnsi="Arial" w:cs="Arial"/>
        </w:rPr>
        <w:t>.</w:t>
      </w:r>
      <w:r w:rsidRPr="00070C9F">
        <w:rPr>
          <w:rFonts w:ascii="Arial" w:hAnsi="Arial" w:cs="Arial"/>
        </w:rPr>
        <w:t>, Hartanto</w:t>
      </w:r>
      <w:r w:rsidR="00983018">
        <w:rPr>
          <w:rFonts w:ascii="Arial" w:hAnsi="Arial" w:cs="Arial"/>
        </w:rPr>
        <w:t>,</w:t>
      </w:r>
      <w:r w:rsidRPr="00070C9F">
        <w:rPr>
          <w:rFonts w:ascii="Arial" w:hAnsi="Arial" w:cs="Arial"/>
        </w:rPr>
        <w:t xml:space="preserve"> D</w:t>
      </w:r>
      <w:r w:rsidR="00983018">
        <w:rPr>
          <w:rFonts w:ascii="Arial" w:hAnsi="Arial" w:cs="Arial"/>
        </w:rPr>
        <w:t>.</w:t>
      </w:r>
      <w:r w:rsidRPr="00070C9F">
        <w:rPr>
          <w:rFonts w:ascii="Arial" w:hAnsi="Arial" w:cs="Arial"/>
        </w:rPr>
        <w:t>, Sulaiman</w:t>
      </w:r>
      <w:r w:rsidR="00983018">
        <w:rPr>
          <w:rFonts w:ascii="Arial" w:hAnsi="Arial" w:cs="Arial"/>
        </w:rPr>
        <w:t>,</w:t>
      </w:r>
      <w:r w:rsidRPr="00070C9F">
        <w:rPr>
          <w:rFonts w:ascii="Arial" w:hAnsi="Arial" w:cs="Arial"/>
        </w:rPr>
        <w:t xml:space="preserve"> S</w:t>
      </w:r>
      <w:r w:rsidR="00983018">
        <w:rPr>
          <w:rFonts w:ascii="Arial" w:hAnsi="Arial" w:cs="Arial"/>
        </w:rPr>
        <w:t>. &amp;</w:t>
      </w:r>
      <w:r w:rsidRPr="00070C9F">
        <w:rPr>
          <w:rFonts w:ascii="Arial" w:hAnsi="Arial" w:cs="Arial"/>
        </w:rPr>
        <w:t xml:space="preserve"> </w:t>
      </w:r>
      <w:proofErr w:type="spellStart"/>
      <w:r w:rsidRPr="00070C9F">
        <w:rPr>
          <w:rFonts w:ascii="Arial" w:hAnsi="Arial" w:cs="Arial"/>
        </w:rPr>
        <w:t>Sazali</w:t>
      </w:r>
      <w:proofErr w:type="spellEnd"/>
      <w:r w:rsidR="00983018">
        <w:rPr>
          <w:rFonts w:ascii="Arial" w:hAnsi="Arial" w:cs="Arial"/>
        </w:rPr>
        <w:t>,</w:t>
      </w:r>
      <w:r w:rsidRPr="00070C9F">
        <w:rPr>
          <w:rFonts w:ascii="Arial" w:hAnsi="Arial" w:cs="Arial"/>
        </w:rPr>
        <w:t xml:space="preserve"> R</w:t>
      </w:r>
      <w:r w:rsidR="00983018">
        <w:rPr>
          <w:rFonts w:ascii="Arial" w:hAnsi="Arial" w:cs="Arial"/>
        </w:rPr>
        <w:t>.</w:t>
      </w:r>
      <w:r w:rsidRPr="00070C9F">
        <w:rPr>
          <w:rFonts w:ascii="Arial" w:hAnsi="Arial" w:cs="Arial"/>
        </w:rPr>
        <w:t>A.</w:t>
      </w:r>
      <w:r w:rsidR="00983018">
        <w:rPr>
          <w:rFonts w:ascii="Arial" w:hAnsi="Arial" w:cs="Arial"/>
        </w:rPr>
        <w:t xml:space="preserve"> (2024).</w:t>
      </w:r>
      <w:r w:rsidRPr="00070C9F">
        <w:rPr>
          <w:rFonts w:ascii="Arial" w:hAnsi="Arial" w:cs="Arial"/>
        </w:rPr>
        <w:t xml:space="preserve"> Enzymatic transesterification using different immobilized lipases and its biodiesel effect on gas emission</w:t>
      </w:r>
      <w:r w:rsidRPr="00983018">
        <w:rPr>
          <w:rFonts w:ascii="Arial" w:hAnsi="Arial" w:cs="Arial"/>
          <w:i/>
        </w:rPr>
        <w:t>. Bulletin of Chem. Reaction Eng. &amp; Cat.</w:t>
      </w:r>
      <w:r w:rsidR="00983018">
        <w:rPr>
          <w:rFonts w:ascii="Arial" w:hAnsi="Arial" w:cs="Arial"/>
        </w:rPr>
        <w:t xml:space="preserve"> </w:t>
      </w:r>
      <w:r w:rsidRPr="00EA7809">
        <w:rPr>
          <w:rFonts w:ascii="Arial" w:hAnsi="Arial" w:cs="Arial"/>
          <w:i/>
        </w:rPr>
        <w:t>19</w:t>
      </w:r>
      <w:r w:rsidRPr="00070C9F">
        <w:rPr>
          <w:rFonts w:ascii="Arial" w:hAnsi="Arial" w:cs="Arial"/>
        </w:rPr>
        <w:t>(2)</w:t>
      </w:r>
      <w:r w:rsidR="00983018">
        <w:rPr>
          <w:rFonts w:ascii="Arial" w:hAnsi="Arial" w:cs="Arial"/>
        </w:rPr>
        <w:t>,</w:t>
      </w:r>
      <w:r w:rsidRPr="00070C9F">
        <w:rPr>
          <w:rFonts w:ascii="Arial" w:hAnsi="Arial" w:cs="Arial"/>
        </w:rPr>
        <w:t xml:space="preserve"> 265-274. </w:t>
      </w:r>
      <w:hyperlink r:id="rId29" w:history="1">
        <w:r w:rsidRPr="00070C9F">
          <w:rPr>
            <w:rStyle w:val="Hyperlink"/>
            <w:rFonts w:ascii="Arial" w:hAnsi="Arial" w:cs="Arial"/>
          </w:rPr>
          <w:t>https://doi.org/10.9767/bcrec.20143</w:t>
        </w:r>
      </w:hyperlink>
    </w:p>
    <w:p w14:paraId="4E0F731E" w14:textId="77777777" w:rsidR="005267A3" w:rsidRPr="00070C9F" w:rsidRDefault="005267A3" w:rsidP="00BD5B8B">
      <w:pPr>
        <w:ind w:left="288" w:hangingChars="144" w:hanging="288"/>
        <w:jc w:val="both"/>
        <w:rPr>
          <w:rFonts w:ascii="Arial" w:hAnsi="Arial" w:cs="Arial"/>
        </w:rPr>
      </w:pPr>
      <w:r w:rsidRPr="00070C9F">
        <w:rPr>
          <w:rFonts w:ascii="Arial" w:hAnsi="Arial" w:cs="Arial"/>
        </w:rPr>
        <w:t>Okechukwu</w:t>
      </w:r>
      <w:r>
        <w:rPr>
          <w:rFonts w:ascii="Arial" w:hAnsi="Arial" w:cs="Arial"/>
        </w:rPr>
        <w:t>,</w:t>
      </w:r>
      <w:r w:rsidRPr="00070C9F">
        <w:rPr>
          <w:rFonts w:ascii="Arial" w:hAnsi="Arial" w:cs="Arial"/>
        </w:rPr>
        <w:t xml:space="preserve"> R</w:t>
      </w:r>
      <w:r>
        <w:rPr>
          <w:rFonts w:ascii="Arial" w:hAnsi="Arial" w:cs="Arial"/>
        </w:rPr>
        <w:t>.</w:t>
      </w:r>
      <w:r w:rsidRPr="00070C9F">
        <w:rPr>
          <w:rFonts w:ascii="Arial" w:hAnsi="Arial" w:cs="Arial"/>
        </w:rPr>
        <w:t>I</w:t>
      </w:r>
      <w:r>
        <w:rPr>
          <w:rFonts w:ascii="Arial" w:hAnsi="Arial" w:cs="Arial"/>
        </w:rPr>
        <w:t>.</w:t>
      </w:r>
      <w:r w:rsidRPr="00070C9F">
        <w:rPr>
          <w:rFonts w:ascii="Arial" w:hAnsi="Arial" w:cs="Arial"/>
        </w:rPr>
        <w:t>, Iwuchukwu</w:t>
      </w:r>
      <w:r>
        <w:rPr>
          <w:rFonts w:ascii="Arial" w:hAnsi="Arial" w:cs="Arial"/>
        </w:rPr>
        <w:t>,</w:t>
      </w:r>
      <w:r w:rsidRPr="00070C9F">
        <w:rPr>
          <w:rFonts w:ascii="Arial" w:hAnsi="Arial" w:cs="Arial"/>
        </w:rPr>
        <w:t xml:space="preserve"> A</w:t>
      </w:r>
      <w:r>
        <w:rPr>
          <w:rFonts w:ascii="Arial" w:hAnsi="Arial" w:cs="Arial"/>
        </w:rPr>
        <w:t>.</w:t>
      </w:r>
      <w:r w:rsidRPr="00070C9F">
        <w:rPr>
          <w:rFonts w:ascii="Arial" w:hAnsi="Arial" w:cs="Arial"/>
        </w:rPr>
        <w:t>C</w:t>
      </w:r>
      <w:r>
        <w:rPr>
          <w:rFonts w:ascii="Arial" w:hAnsi="Arial" w:cs="Arial"/>
        </w:rPr>
        <w:t>. &amp;</w:t>
      </w:r>
      <w:r w:rsidRPr="00070C9F">
        <w:rPr>
          <w:rFonts w:ascii="Arial" w:hAnsi="Arial" w:cs="Arial"/>
        </w:rPr>
        <w:t xml:space="preserve"> Anuforo</w:t>
      </w:r>
      <w:r>
        <w:rPr>
          <w:rFonts w:ascii="Arial" w:hAnsi="Arial" w:cs="Arial"/>
        </w:rPr>
        <w:t>,</w:t>
      </w:r>
      <w:r w:rsidRPr="00070C9F">
        <w:rPr>
          <w:rFonts w:ascii="Arial" w:hAnsi="Arial" w:cs="Arial"/>
        </w:rPr>
        <w:t xml:space="preserve"> H</w:t>
      </w:r>
      <w:r>
        <w:rPr>
          <w:rFonts w:ascii="Arial" w:hAnsi="Arial" w:cs="Arial"/>
        </w:rPr>
        <w:t>.</w:t>
      </w:r>
      <w:r w:rsidRPr="00070C9F">
        <w:rPr>
          <w:rFonts w:ascii="Arial" w:hAnsi="Arial" w:cs="Arial"/>
        </w:rPr>
        <w:t>U.</w:t>
      </w:r>
      <w:r>
        <w:rPr>
          <w:rFonts w:ascii="Arial" w:hAnsi="Arial" w:cs="Arial"/>
        </w:rPr>
        <w:t xml:space="preserve"> (2015).</w:t>
      </w:r>
      <w:r w:rsidRPr="00070C9F">
        <w:rPr>
          <w:rFonts w:ascii="Arial" w:hAnsi="Arial" w:cs="Arial"/>
        </w:rPr>
        <w:t xml:space="preserve"> Production and characterization of biodiesel from </w:t>
      </w:r>
      <w:r w:rsidRPr="00070C9F">
        <w:rPr>
          <w:rFonts w:ascii="Arial" w:hAnsi="Arial" w:cs="Arial"/>
          <w:i/>
        </w:rPr>
        <w:t>Ricinus communis</w:t>
      </w:r>
      <w:r w:rsidRPr="00070C9F">
        <w:rPr>
          <w:rFonts w:ascii="Arial" w:hAnsi="Arial" w:cs="Arial"/>
        </w:rPr>
        <w:t xml:space="preserve"> seeds.</w:t>
      </w:r>
      <w:r w:rsidRPr="00EA7809">
        <w:rPr>
          <w:rFonts w:ascii="Arial" w:hAnsi="Arial" w:cs="Arial"/>
          <w:i/>
        </w:rPr>
        <w:t xml:space="preserve"> </w:t>
      </w:r>
      <w:r>
        <w:rPr>
          <w:rFonts w:ascii="Arial" w:hAnsi="Arial" w:cs="Arial"/>
          <w:i/>
        </w:rPr>
        <w:t>Res. J Chem. Sc.,</w:t>
      </w:r>
      <w:r w:rsidRPr="00EA7809">
        <w:rPr>
          <w:rFonts w:ascii="Arial" w:hAnsi="Arial" w:cs="Arial"/>
          <w:i/>
        </w:rPr>
        <w:t xml:space="preserve"> 5</w:t>
      </w:r>
      <w:r>
        <w:rPr>
          <w:rFonts w:ascii="Arial" w:hAnsi="Arial" w:cs="Arial"/>
        </w:rPr>
        <w:t>(2),</w:t>
      </w:r>
      <w:r w:rsidRPr="00070C9F">
        <w:rPr>
          <w:rFonts w:ascii="Arial" w:hAnsi="Arial" w:cs="Arial"/>
        </w:rPr>
        <w:t xml:space="preserve"> 1-3.</w:t>
      </w:r>
    </w:p>
    <w:p w14:paraId="41C0358B" w14:textId="77777777" w:rsidR="00DF5C26" w:rsidRPr="00070C9F" w:rsidRDefault="00DF5C26" w:rsidP="00BD5B8B">
      <w:pPr>
        <w:ind w:left="288" w:hangingChars="144" w:hanging="288"/>
        <w:jc w:val="both"/>
        <w:rPr>
          <w:rFonts w:ascii="Arial" w:hAnsi="Arial" w:cs="Arial"/>
        </w:rPr>
      </w:pPr>
      <w:proofErr w:type="spellStart"/>
      <w:r w:rsidRPr="00070C9F">
        <w:rPr>
          <w:rFonts w:ascii="Arial" w:hAnsi="Arial" w:cs="Arial"/>
        </w:rPr>
        <w:t>Okwute</w:t>
      </w:r>
      <w:proofErr w:type="spellEnd"/>
      <w:r>
        <w:rPr>
          <w:rFonts w:ascii="Arial" w:hAnsi="Arial" w:cs="Arial"/>
        </w:rPr>
        <w:t>,</w:t>
      </w:r>
      <w:r w:rsidRPr="00070C9F">
        <w:rPr>
          <w:rFonts w:ascii="Arial" w:hAnsi="Arial" w:cs="Arial"/>
        </w:rPr>
        <w:t xml:space="preserve"> O</w:t>
      </w:r>
      <w:r>
        <w:rPr>
          <w:rFonts w:ascii="Arial" w:hAnsi="Arial" w:cs="Arial"/>
        </w:rPr>
        <w:t>.</w:t>
      </w:r>
      <w:r w:rsidRPr="00070C9F">
        <w:rPr>
          <w:rFonts w:ascii="Arial" w:hAnsi="Arial" w:cs="Arial"/>
        </w:rPr>
        <w:t>L</w:t>
      </w:r>
      <w:r>
        <w:rPr>
          <w:rFonts w:ascii="Arial" w:hAnsi="Arial" w:cs="Arial"/>
        </w:rPr>
        <w:t>.</w:t>
      </w:r>
      <w:r w:rsidRPr="00070C9F">
        <w:rPr>
          <w:rFonts w:ascii="Arial" w:hAnsi="Arial" w:cs="Arial"/>
        </w:rPr>
        <w:t>, Stephen</w:t>
      </w:r>
      <w:r>
        <w:rPr>
          <w:rFonts w:ascii="Arial" w:hAnsi="Arial" w:cs="Arial"/>
        </w:rPr>
        <w:t>,</w:t>
      </w:r>
      <w:r w:rsidRPr="00070C9F">
        <w:rPr>
          <w:rFonts w:ascii="Arial" w:hAnsi="Arial" w:cs="Arial"/>
        </w:rPr>
        <w:t xml:space="preserve"> E</w:t>
      </w:r>
      <w:r>
        <w:rPr>
          <w:rFonts w:ascii="Arial" w:hAnsi="Arial" w:cs="Arial"/>
        </w:rPr>
        <w:t>. &amp;</w:t>
      </w:r>
      <w:r w:rsidRPr="00070C9F">
        <w:rPr>
          <w:rFonts w:ascii="Arial" w:hAnsi="Arial" w:cs="Arial"/>
        </w:rPr>
        <w:t xml:space="preserve"> Anyanwu</w:t>
      </w:r>
      <w:r>
        <w:rPr>
          <w:rFonts w:ascii="Arial" w:hAnsi="Arial" w:cs="Arial"/>
        </w:rPr>
        <w:t>,</w:t>
      </w:r>
      <w:r w:rsidRPr="00070C9F">
        <w:rPr>
          <w:rFonts w:ascii="Arial" w:hAnsi="Arial" w:cs="Arial"/>
        </w:rPr>
        <w:t xml:space="preserve"> P</w:t>
      </w:r>
      <w:r>
        <w:rPr>
          <w:rFonts w:ascii="Arial" w:hAnsi="Arial" w:cs="Arial"/>
        </w:rPr>
        <w:t>.</w:t>
      </w:r>
      <w:r w:rsidRPr="00070C9F">
        <w:rPr>
          <w:rFonts w:ascii="Arial" w:hAnsi="Arial" w:cs="Arial"/>
        </w:rPr>
        <w:t>I.</w:t>
      </w:r>
      <w:r>
        <w:rPr>
          <w:rFonts w:ascii="Arial" w:hAnsi="Arial" w:cs="Arial"/>
        </w:rPr>
        <w:t xml:space="preserve"> (2015).</w:t>
      </w:r>
      <w:r w:rsidRPr="00070C9F">
        <w:rPr>
          <w:rFonts w:ascii="Arial" w:hAnsi="Arial" w:cs="Arial"/>
        </w:rPr>
        <w:t xml:space="preserve"> Biodegradation of palm oil mill effluent (POME) and lipase activity by </w:t>
      </w:r>
      <w:r w:rsidRPr="00070C9F">
        <w:rPr>
          <w:rFonts w:ascii="Arial" w:hAnsi="Arial" w:cs="Arial"/>
          <w:i/>
        </w:rPr>
        <w:t>Pseudomonas aeruginosa, Bacillus subtilis</w:t>
      </w:r>
      <w:r w:rsidRPr="00070C9F">
        <w:rPr>
          <w:rFonts w:ascii="Arial" w:hAnsi="Arial" w:cs="Arial"/>
        </w:rPr>
        <w:t xml:space="preserve"> and</w:t>
      </w:r>
      <w:r w:rsidRPr="00070C9F">
        <w:rPr>
          <w:rFonts w:ascii="Arial" w:hAnsi="Arial" w:cs="Arial"/>
          <w:i/>
        </w:rPr>
        <w:t xml:space="preserve"> Candida albicans.</w:t>
      </w:r>
      <w:r w:rsidRPr="00070C9F">
        <w:rPr>
          <w:rFonts w:ascii="Arial" w:hAnsi="Arial" w:cs="Arial"/>
        </w:rPr>
        <w:t xml:space="preserve"> </w:t>
      </w:r>
      <w:r w:rsidRPr="00581AEC">
        <w:rPr>
          <w:rFonts w:ascii="Arial" w:hAnsi="Arial" w:cs="Arial"/>
          <w:i/>
        </w:rPr>
        <w:t xml:space="preserve">British </w:t>
      </w:r>
      <w:proofErr w:type="spellStart"/>
      <w:r w:rsidRPr="00581AEC">
        <w:rPr>
          <w:rFonts w:ascii="Arial" w:hAnsi="Arial" w:cs="Arial"/>
          <w:i/>
        </w:rPr>
        <w:t>Microb</w:t>
      </w:r>
      <w:proofErr w:type="spellEnd"/>
      <w:r w:rsidRPr="00581AEC">
        <w:rPr>
          <w:rFonts w:ascii="Arial" w:hAnsi="Arial" w:cs="Arial"/>
          <w:i/>
        </w:rPr>
        <w:t>. Res. J.</w:t>
      </w:r>
      <w:r>
        <w:rPr>
          <w:rFonts w:ascii="Arial" w:hAnsi="Arial" w:cs="Arial"/>
          <w:i/>
        </w:rPr>
        <w:t>,</w:t>
      </w:r>
      <w:r w:rsidRPr="00581AEC">
        <w:rPr>
          <w:rFonts w:ascii="Arial" w:hAnsi="Arial" w:cs="Arial"/>
          <w:i/>
        </w:rPr>
        <w:t xml:space="preserve"> 9</w:t>
      </w:r>
      <w:r w:rsidRPr="00070C9F">
        <w:rPr>
          <w:rFonts w:ascii="Arial" w:hAnsi="Arial" w:cs="Arial"/>
        </w:rPr>
        <w:t xml:space="preserve">(5): 1-10. </w:t>
      </w:r>
      <w:hyperlink r:id="rId30" w:history="1">
        <w:r w:rsidRPr="00070C9F">
          <w:rPr>
            <w:rStyle w:val="Hyperlink"/>
            <w:rFonts w:ascii="Arial" w:hAnsi="Arial" w:cs="Arial"/>
          </w:rPr>
          <w:t>https://doi.org/10.9734/BMRJ/2015/18601</w:t>
        </w:r>
      </w:hyperlink>
    </w:p>
    <w:p w14:paraId="05D2E1B4" w14:textId="77777777" w:rsidR="005267A3" w:rsidRPr="00070C9F" w:rsidRDefault="005267A3" w:rsidP="00BD5B8B">
      <w:pPr>
        <w:ind w:left="288" w:hangingChars="144" w:hanging="288"/>
        <w:jc w:val="both"/>
        <w:rPr>
          <w:rFonts w:ascii="Arial" w:hAnsi="Arial" w:cs="Arial"/>
        </w:rPr>
      </w:pPr>
      <w:proofErr w:type="spellStart"/>
      <w:r w:rsidRPr="00070C9F">
        <w:rPr>
          <w:rFonts w:ascii="Arial" w:hAnsi="Arial" w:cs="Arial"/>
        </w:rPr>
        <w:t>Opurum</w:t>
      </w:r>
      <w:proofErr w:type="spellEnd"/>
      <w:r>
        <w:rPr>
          <w:rFonts w:ascii="Arial" w:hAnsi="Arial" w:cs="Arial"/>
        </w:rPr>
        <w:t>,</w:t>
      </w:r>
      <w:r w:rsidRPr="00070C9F">
        <w:rPr>
          <w:rFonts w:ascii="Arial" w:hAnsi="Arial" w:cs="Arial"/>
        </w:rPr>
        <w:t xml:space="preserve"> C</w:t>
      </w:r>
      <w:r>
        <w:rPr>
          <w:rFonts w:ascii="Arial" w:hAnsi="Arial" w:cs="Arial"/>
        </w:rPr>
        <w:t>.</w:t>
      </w:r>
      <w:r w:rsidRPr="00070C9F">
        <w:rPr>
          <w:rFonts w:ascii="Arial" w:hAnsi="Arial" w:cs="Arial"/>
        </w:rPr>
        <w:t>C</w:t>
      </w:r>
      <w:r>
        <w:rPr>
          <w:rFonts w:ascii="Arial" w:hAnsi="Arial" w:cs="Arial"/>
        </w:rPr>
        <w:t>.</w:t>
      </w:r>
      <w:r w:rsidRPr="00070C9F">
        <w:rPr>
          <w:rFonts w:ascii="Arial" w:hAnsi="Arial" w:cs="Arial"/>
        </w:rPr>
        <w:t xml:space="preserve">, </w:t>
      </w:r>
      <w:proofErr w:type="spellStart"/>
      <w:r w:rsidRPr="00070C9F">
        <w:rPr>
          <w:rFonts w:ascii="Arial" w:hAnsi="Arial" w:cs="Arial"/>
        </w:rPr>
        <w:t>Nwanyanwu</w:t>
      </w:r>
      <w:proofErr w:type="spellEnd"/>
      <w:r>
        <w:rPr>
          <w:rFonts w:ascii="Arial" w:hAnsi="Arial" w:cs="Arial"/>
        </w:rPr>
        <w:t>,</w:t>
      </w:r>
      <w:r w:rsidRPr="00070C9F">
        <w:rPr>
          <w:rFonts w:ascii="Arial" w:hAnsi="Arial" w:cs="Arial"/>
        </w:rPr>
        <w:t xml:space="preserve"> C</w:t>
      </w:r>
      <w:r>
        <w:rPr>
          <w:rFonts w:ascii="Arial" w:hAnsi="Arial" w:cs="Arial"/>
        </w:rPr>
        <w:t>.</w:t>
      </w:r>
      <w:r w:rsidRPr="00070C9F">
        <w:rPr>
          <w:rFonts w:ascii="Arial" w:hAnsi="Arial" w:cs="Arial"/>
        </w:rPr>
        <w:t>E</w:t>
      </w:r>
      <w:r>
        <w:rPr>
          <w:rFonts w:ascii="Arial" w:hAnsi="Arial" w:cs="Arial"/>
        </w:rPr>
        <w:t>.</w:t>
      </w:r>
      <w:r w:rsidRPr="00070C9F">
        <w:rPr>
          <w:rFonts w:ascii="Arial" w:hAnsi="Arial" w:cs="Arial"/>
        </w:rPr>
        <w:t>, Nwaneri</w:t>
      </w:r>
      <w:r>
        <w:rPr>
          <w:rFonts w:ascii="Arial" w:hAnsi="Arial" w:cs="Arial"/>
        </w:rPr>
        <w:t>,</w:t>
      </w:r>
      <w:r w:rsidRPr="00070C9F">
        <w:rPr>
          <w:rFonts w:ascii="Arial" w:hAnsi="Arial" w:cs="Arial"/>
        </w:rPr>
        <w:t xml:space="preserve"> C</w:t>
      </w:r>
      <w:r>
        <w:rPr>
          <w:rFonts w:ascii="Arial" w:hAnsi="Arial" w:cs="Arial"/>
        </w:rPr>
        <w:t>.</w:t>
      </w:r>
      <w:r w:rsidRPr="00070C9F">
        <w:rPr>
          <w:rFonts w:ascii="Arial" w:hAnsi="Arial" w:cs="Arial"/>
        </w:rPr>
        <w:t>B</w:t>
      </w:r>
      <w:r>
        <w:rPr>
          <w:rFonts w:ascii="Arial" w:hAnsi="Arial" w:cs="Arial"/>
        </w:rPr>
        <w:t>. &amp;</w:t>
      </w:r>
      <w:r w:rsidRPr="00070C9F">
        <w:rPr>
          <w:rFonts w:ascii="Arial" w:hAnsi="Arial" w:cs="Arial"/>
        </w:rPr>
        <w:t xml:space="preserve"> </w:t>
      </w:r>
      <w:proofErr w:type="spellStart"/>
      <w:r w:rsidRPr="00070C9F">
        <w:rPr>
          <w:rFonts w:ascii="Arial" w:hAnsi="Arial" w:cs="Arial"/>
        </w:rPr>
        <w:t>Mbachu</w:t>
      </w:r>
      <w:proofErr w:type="spellEnd"/>
      <w:r>
        <w:rPr>
          <w:rFonts w:ascii="Arial" w:hAnsi="Arial" w:cs="Arial"/>
        </w:rPr>
        <w:t>,</w:t>
      </w:r>
      <w:r w:rsidRPr="00070C9F">
        <w:rPr>
          <w:rFonts w:ascii="Arial" w:hAnsi="Arial" w:cs="Arial"/>
        </w:rPr>
        <w:t xml:space="preserve"> I</w:t>
      </w:r>
      <w:r>
        <w:rPr>
          <w:rFonts w:ascii="Arial" w:hAnsi="Arial" w:cs="Arial"/>
        </w:rPr>
        <w:t>.</w:t>
      </w:r>
      <w:r w:rsidRPr="00070C9F">
        <w:rPr>
          <w:rFonts w:ascii="Arial" w:hAnsi="Arial" w:cs="Arial"/>
        </w:rPr>
        <w:t>A</w:t>
      </w:r>
      <w:r>
        <w:rPr>
          <w:rFonts w:ascii="Arial" w:hAnsi="Arial" w:cs="Arial"/>
        </w:rPr>
        <w:t>.</w:t>
      </w:r>
      <w:r w:rsidRPr="00070C9F">
        <w:rPr>
          <w:rFonts w:ascii="Arial" w:hAnsi="Arial" w:cs="Arial"/>
        </w:rPr>
        <w:t>C.</w:t>
      </w:r>
      <w:r>
        <w:rPr>
          <w:rFonts w:ascii="Arial" w:hAnsi="Arial" w:cs="Arial"/>
        </w:rPr>
        <w:t xml:space="preserve"> (2017).</w:t>
      </w:r>
      <w:r w:rsidRPr="00070C9F">
        <w:rPr>
          <w:rFonts w:ascii="Arial" w:hAnsi="Arial" w:cs="Arial"/>
        </w:rPr>
        <w:t xml:space="preserve"> Biosurfactant production by </w:t>
      </w:r>
      <w:r w:rsidRPr="00070C9F">
        <w:rPr>
          <w:rFonts w:ascii="Arial" w:hAnsi="Arial" w:cs="Arial"/>
          <w:i/>
        </w:rPr>
        <w:t>Pseudomonas</w:t>
      </w:r>
      <w:r w:rsidRPr="00070C9F">
        <w:rPr>
          <w:rFonts w:ascii="Arial" w:hAnsi="Arial" w:cs="Arial"/>
        </w:rPr>
        <w:t xml:space="preserve"> species using pre-treated palm oil mill effluent as fermentation medium. </w:t>
      </w:r>
      <w:r>
        <w:rPr>
          <w:rFonts w:ascii="Arial" w:hAnsi="Arial" w:cs="Arial"/>
          <w:i/>
        </w:rPr>
        <w:t>FUTO J. Series,</w:t>
      </w:r>
      <w:r w:rsidRPr="00EA7809">
        <w:rPr>
          <w:rFonts w:ascii="Arial" w:hAnsi="Arial" w:cs="Arial"/>
          <w:i/>
        </w:rPr>
        <w:t xml:space="preserve"> 3</w:t>
      </w:r>
      <w:r w:rsidRPr="00070C9F">
        <w:rPr>
          <w:rFonts w:ascii="Arial" w:hAnsi="Arial" w:cs="Arial"/>
        </w:rPr>
        <w:t>(2)</w:t>
      </w:r>
      <w:r>
        <w:rPr>
          <w:rFonts w:ascii="Arial" w:hAnsi="Arial" w:cs="Arial"/>
        </w:rPr>
        <w:t>,</w:t>
      </w:r>
      <w:r w:rsidRPr="00070C9F">
        <w:rPr>
          <w:rFonts w:ascii="Arial" w:hAnsi="Arial" w:cs="Arial"/>
        </w:rPr>
        <w:t xml:space="preserve"> 149-160.</w:t>
      </w:r>
    </w:p>
    <w:p w14:paraId="06295F75" w14:textId="77777777" w:rsidR="00DF5C26" w:rsidRPr="00070C9F" w:rsidRDefault="00DF5C26" w:rsidP="00BD5B8B">
      <w:pPr>
        <w:ind w:left="288" w:hangingChars="144" w:hanging="288"/>
        <w:jc w:val="both"/>
        <w:rPr>
          <w:rFonts w:ascii="Arial" w:hAnsi="Arial" w:cs="Arial"/>
        </w:rPr>
      </w:pPr>
      <w:r w:rsidRPr="00070C9F">
        <w:rPr>
          <w:rFonts w:ascii="Arial" w:hAnsi="Arial" w:cs="Arial"/>
        </w:rPr>
        <w:t>Piyush</w:t>
      </w:r>
      <w:r>
        <w:rPr>
          <w:rFonts w:ascii="Arial" w:hAnsi="Arial" w:cs="Arial"/>
        </w:rPr>
        <w:t>,</w:t>
      </w:r>
      <w:r w:rsidRPr="00070C9F">
        <w:rPr>
          <w:rFonts w:ascii="Arial" w:hAnsi="Arial" w:cs="Arial"/>
        </w:rPr>
        <w:t xml:space="preserve"> K</w:t>
      </w:r>
      <w:r>
        <w:rPr>
          <w:rFonts w:ascii="Arial" w:hAnsi="Arial" w:cs="Arial"/>
        </w:rPr>
        <w:t>.</w:t>
      </w:r>
      <w:r w:rsidRPr="00070C9F">
        <w:rPr>
          <w:rFonts w:ascii="Arial" w:hAnsi="Arial" w:cs="Arial"/>
        </w:rPr>
        <w:t>S</w:t>
      </w:r>
      <w:r>
        <w:rPr>
          <w:rFonts w:ascii="Arial" w:hAnsi="Arial" w:cs="Arial"/>
        </w:rPr>
        <w:t>. &amp;</w:t>
      </w:r>
      <w:r w:rsidRPr="00070C9F">
        <w:rPr>
          <w:rFonts w:ascii="Arial" w:hAnsi="Arial" w:cs="Arial"/>
        </w:rPr>
        <w:t xml:space="preserve"> </w:t>
      </w:r>
      <w:proofErr w:type="spellStart"/>
      <w:r w:rsidRPr="00070C9F">
        <w:rPr>
          <w:rFonts w:ascii="Arial" w:hAnsi="Arial" w:cs="Arial"/>
        </w:rPr>
        <w:t>Narvdeshwa</w:t>
      </w:r>
      <w:proofErr w:type="spellEnd"/>
      <w:r>
        <w:rPr>
          <w:rFonts w:ascii="Arial" w:hAnsi="Arial" w:cs="Arial"/>
        </w:rPr>
        <w:t>,</w:t>
      </w:r>
      <w:r w:rsidRPr="00070C9F">
        <w:rPr>
          <w:rFonts w:ascii="Arial" w:hAnsi="Arial" w:cs="Arial"/>
        </w:rPr>
        <w:t xml:space="preserve"> K.</w:t>
      </w:r>
      <w:r>
        <w:rPr>
          <w:rFonts w:ascii="Arial" w:hAnsi="Arial" w:cs="Arial"/>
        </w:rPr>
        <w:t xml:space="preserve"> (2022).</w:t>
      </w:r>
      <w:r w:rsidRPr="00070C9F">
        <w:rPr>
          <w:rFonts w:ascii="Arial" w:hAnsi="Arial" w:cs="Arial"/>
        </w:rPr>
        <w:t xml:space="preserve"> pH determination of water sample using a pH meter. In: </w:t>
      </w:r>
      <w:r w:rsidRPr="00070C9F">
        <w:rPr>
          <w:rFonts w:ascii="Arial" w:hAnsi="Arial" w:cs="Arial"/>
          <w:i/>
        </w:rPr>
        <w:t>Laboratory Manual for School Projects.</w:t>
      </w:r>
      <w:r w:rsidRPr="00070C9F">
        <w:rPr>
          <w:rFonts w:ascii="Arial" w:hAnsi="Arial" w:cs="Arial"/>
        </w:rPr>
        <w:t xml:space="preserve"> </w:t>
      </w:r>
      <w:proofErr w:type="spellStart"/>
      <w:r w:rsidRPr="00070C9F">
        <w:rPr>
          <w:rFonts w:ascii="Arial" w:hAnsi="Arial" w:cs="Arial"/>
        </w:rPr>
        <w:t>Aknik</w:t>
      </w:r>
      <w:proofErr w:type="spellEnd"/>
      <w:r w:rsidRPr="00070C9F">
        <w:rPr>
          <w:rFonts w:ascii="Arial" w:hAnsi="Arial" w:cs="Arial"/>
        </w:rPr>
        <w:t xml:space="preserve"> Publication: India; p. 50-53.</w:t>
      </w:r>
    </w:p>
    <w:p w14:paraId="7C3FAD4B" w14:textId="77777777" w:rsidR="00DF5C26" w:rsidRPr="00070C9F" w:rsidRDefault="00DF5C26" w:rsidP="00BD5B8B">
      <w:pPr>
        <w:ind w:left="288" w:hangingChars="144" w:hanging="288"/>
        <w:jc w:val="both"/>
        <w:rPr>
          <w:rStyle w:val="Hyperlink"/>
          <w:rFonts w:ascii="Arial" w:hAnsi="Arial" w:cs="Arial"/>
        </w:rPr>
      </w:pPr>
      <w:r w:rsidRPr="00070C9F">
        <w:rPr>
          <w:rFonts w:ascii="Arial" w:hAnsi="Arial" w:cs="Arial"/>
        </w:rPr>
        <w:t>Rahul</w:t>
      </w:r>
      <w:r>
        <w:rPr>
          <w:rFonts w:ascii="Arial" w:hAnsi="Arial" w:cs="Arial"/>
        </w:rPr>
        <w:t>,</w:t>
      </w:r>
      <w:r w:rsidRPr="00070C9F">
        <w:rPr>
          <w:rFonts w:ascii="Arial" w:hAnsi="Arial" w:cs="Arial"/>
        </w:rPr>
        <w:t xml:space="preserve"> S</w:t>
      </w:r>
      <w:r>
        <w:rPr>
          <w:rFonts w:ascii="Arial" w:hAnsi="Arial" w:cs="Arial"/>
        </w:rPr>
        <w:t>.</w:t>
      </w:r>
      <w:r w:rsidRPr="00070C9F">
        <w:rPr>
          <w:rFonts w:ascii="Arial" w:hAnsi="Arial" w:cs="Arial"/>
        </w:rPr>
        <w:t>, Azeez</w:t>
      </w:r>
      <w:r>
        <w:rPr>
          <w:rFonts w:ascii="Arial" w:hAnsi="Arial" w:cs="Arial"/>
        </w:rPr>
        <w:t>,</w:t>
      </w:r>
      <w:r w:rsidRPr="00070C9F">
        <w:rPr>
          <w:rFonts w:ascii="Arial" w:hAnsi="Arial" w:cs="Arial"/>
        </w:rPr>
        <w:t xml:space="preserve"> M</w:t>
      </w:r>
      <w:r>
        <w:rPr>
          <w:rFonts w:ascii="Arial" w:hAnsi="Arial" w:cs="Arial"/>
        </w:rPr>
        <w:t>.</w:t>
      </w:r>
      <w:r w:rsidRPr="00070C9F">
        <w:rPr>
          <w:rFonts w:ascii="Arial" w:hAnsi="Arial" w:cs="Arial"/>
        </w:rPr>
        <w:t>K</w:t>
      </w:r>
      <w:r>
        <w:rPr>
          <w:rFonts w:ascii="Arial" w:hAnsi="Arial" w:cs="Arial"/>
        </w:rPr>
        <w:t>.</w:t>
      </w:r>
      <w:r w:rsidRPr="00070C9F">
        <w:rPr>
          <w:rFonts w:ascii="Arial" w:hAnsi="Arial" w:cs="Arial"/>
        </w:rPr>
        <w:t>A</w:t>
      </w:r>
      <w:r>
        <w:rPr>
          <w:rFonts w:ascii="Arial" w:hAnsi="Arial" w:cs="Arial"/>
        </w:rPr>
        <w:t>.</w:t>
      </w:r>
      <w:r w:rsidRPr="00070C9F">
        <w:rPr>
          <w:rFonts w:ascii="Arial" w:hAnsi="Arial" w:cs="Arial"/>
        </w:rPr>
        <w:t xml:space="preserve">, </w:t>
      </w:r>
      <w:proofErr w:type="spellStart"/>
      <w:r w:rsidRPr="00070C9F">
        <w:rPr>
          <w:rFonts w:ascii="Arial" w:hAnsi="Arial" w:cs="Arial"/>
        </w:rPr>
        <w:t>Nithyanand</w:t>
      </w:r>
      <w:proofErr w:type="spellEnd"/>
      <w:r>
        <w:rPr>
          <w:rFonts w:ascii="Arial" w:hAnsi="Arial" w:cs="Arial"/>
        </w:rPr>
        <w:t>,</w:t>
      </w:r>
      <w:r w:rsidRPr="00070C9F">
        <w:rPr>
          <w:rFonts w:ascii="Arial" w:hAnsi="Arial" w:cs="Arial"/>
        </w:rPr>
        <w:t xml:space="preserve"> P</w:t>
      </w:r>
      <w:r>
        <w:rPr>
          <w:rFonts w:ascii="Arial" w:hAnsi="Arial" w:cs="Arial"/>
        </w:rPr>
        <w:t>. &amp;</w:t>
      </w:r>
      <w:r w:rsidRPr="00070C9F">
        <w:rPr>
          <w:rFonts w:ascii="Arial" w:hAnsi="Arial" w:cs="Arial"/>
        </w:rPr>
        <w:t xml:space="preserve"> Arumugam</w:t>
      </w:r>
      <w:r>
        <w:rPr>
          <w:rFonts w:ascii="Arial" w:hAnsi="Arial" w:cs="Arial"/>
        </w:rPr>
        <w:t>,</w:t>
      </w:r>
      <w:r w:rsidRPr="00070C9F">
        <w:rPr>
          <w:rFonts w:ascii="Arial" w:hAnsi="Arial" w:cs="Arial"/>
        </w:rPr>
        <w:t xml:space="preserve"> A.</w:t>
      </w:r>
      <w:r>
        <w:rPr>
          <w:rFonts w:ascii="Arial" w:hAnsi="Arial" w:cs="Arial"/>
        </w:rPr>
        <w:t xml:space="preserve"> (2025).</w:t>
      </w:r>
      <w:r w:rsidRPr="00070C9F">
        <w:rPr>
          <w:rFonts w:ascii="Arial" w:hAnsi="Arial" w:cs="Arial"/>
        </w:rPr>
        <w:t xml:space="preserve"> Optimizing biodiesel production from </w:t>
      </w:r>
      <w:proofErr w:type="spellStart"/>
      <w:r w:rsidRPr="00070C9F">
        <w:rPr>
          <w:rFonts w:ascii="Arial" w:hAnsi="Arial" w:cs="Arial"/>
          <w:i/>
        </w:rPr>
        <w:t>Madhuca</w:t>
      </w:r>
      <w:proofErr w:type="spellEnd"/>
      <w:r w:rsidRPr="00070C9F">
        <w:rPr>
          <w:rFonts w:ascii="Arial" w:hAnsi="Arial" w:cs="Arial"/>
          <w:i/>
        </w:rPr>
        <w:t xml:space="preserve"> </w:t>
      </w:r>
      <w:proofErr w:type="spellStart"/>
      <w:r w:rsidRPr="00070C9F">
        <w:rPr>
          <w:rFonts w:ascii="Arial" w:hAnsi="Arial" w:cs="Arial"/>
          <w:i/>
        </w:rPr>
        <w:t>indica</w:t>
      </w:r>
      <w:proofErr w:type="spellEnd"/>
      <w:r w:rsidRPr="00070C9F">
        <w:rPr>
          <w:rFonts w:ascii="Arial" w:hAnsi="Arial" w:cs="Arial"/>
        </w:rPr>
        <w:t xml:space="preserve"> oil using marine bacteria as a whole</w:t>
      </w:r>
      <w:r w:rsidRPr="00070C9F">
        <w:rPr>
          <w:rFonts w:ascii="Cambria Math" w:hAnsi="Cambria Math" w:cs="Cambria Math"/>
        </w:rPr>
        <w:t>‑</w:t>
      </w:r>
      <w:r w:rsidRPr="00070C9F">
        <w:rPr>
          <w:rFonts w:ascii="Arial" w:hAnsi="Arial" w:cs="Arial"/>
        </w:rPr>
        <w:t xml:space="preserve">cell biocatalyst: engine testing and performance analysis. </w:t>
      </w:r>
      <w:r w:rsidRPr="00A96D3C">
        <w:rPr>
          <w:rFonts w:ascii="Arial" w:hAnsi="Arial" w:cs="Arial"/>
          <w:i/>
        </w:rPr>
        <w:t>Biotech for</w:t>
      </w:r>
      <w:r>
        <w:rPr>
          <w:rFonts w:ascii="Arial" w:hAnsi="Arial" w:cs="Arial"/>
          <w:i/>
        </w:rPr>
        <w:t xml:space="preserve"> Biofuels and Bioproducts,</w:t>
      </w:r>
      <w:r w:rsidRPr="00A96D3C">
        <w:rPr>
          <w:rFonts w:ascii="Arial" w:hAnsi="Arial" w:cs="Arial"/>
          <w:i/>
        </w:rPr>
        <w:t xml:space="preserve"> 18</w:t>
      </w:r>
      <w:r w:rsidRPr="00070C9F">
        <w:rPr>
          <w:rFonts w:ascii="Arial" w:hAnsi="Arial" w:cs="Arial"/>
        </w:rPr>
        <w:t>(78)</w:t>
      </w:r>
      <w:r>
        <w:rPr>
          <w:rFonts w:ascii="Arial" w:hAnsi="Arial" w:cs="Arial"/>
        </w:rPr>
        <w:t>,</w:t>
      </w:r>
      <w:r w:rsidRPr="00070C9F">
        <w:rPr>
          <w:rFonts w:ascii="Arial" w:hAnsi="Arial" w:cs="Arial"/>
        </w:rPr>
        <w:t xml:space="preserve"> 1-17. </w:t>
      </w:r>
      <w:hyperlink r:id="rId31" w:history="1">
        <w:r w:rsidRPr="00070C9F">
          <w:rPr>
            <w:rStyle w:val="Hyperlink"/>
            <w:rFonts w:ascii="Arial" w:hAnsi="Arial" w:cs="Arial"/>
          </w:rPr>
          <w:t>https://doi.org/10.1186/s13068-025-02642-5</w:t>
        </w:r>
      </w:hyperlink>
    </w:p>
    <w:p w14:paraId="31E81361" w14:textId="77777777" w:rsidR="00DF5C26" w:rsidRPr="00070C9F" w:rsidRDefault="00DF5C26" w:rsidP="00BD5B8B">
      <w:pPr>
        <w:ind w:left="288" w:hangingChars="144" w:hanging="288"/>
        <w:jc w:val="both"/>
        <w:rPr>
          <w:rFonts w:ascii="Arial" w:hAnsi="Arial" w:cs="Arial"/>
        </w:rPr>
      </w:pPr>
      <w:r w:rsidRPr="00070C9F">
        <w:rPr>
          <w:rFonts w:ascii="Arial" w:hAnsi="Arial" w:cs="Arial"/>
        </w:rPr>
        <w:t>Saeed</w:t>
      </w:r>
      <w:r>
        <w:rPr>
          <w:rFonts w:ascii="Arial" w:hAnsi="Arial" w:cs="Arial"/>
        </w:rPr>
        <w:t>,</w:t>
      </w:r>
      <w:r w:rsidRPr="00070C9F">
        <w:rPr>
          <w:rFonts w:ascii="Arial" w:hAnsi="Arial" w:cs="Arial"/>
        </w:rPr>
        <w:t xml:space="preserve"> R</w:t>
      </w:r>
      <w:r>
        <w:rPr>
          <w:rFonts w:ascii="Arial" w:hAnsi="Arial" w:cs="Arial"/>
        </w:rPr>
        <w:t>.</w:t>
      </w:r>
      <w:r w:rsidRPr="00070C9F">
        <w:rPr>
          <w:rFonts w:ascii="Arial" w:hAnsi="Arial" w:cs="Arial"/>
        </w:rPr>
        <w:t>H</w:t>
      </w:r>
      <w:r>
        <w:rPr>
          <w:rFonts w:ascii="Arial" w:hAnsi="Arial" w:cs="Arial"/>
        </w:rPr>
        <w:t>.</w:t>
      </w:r>
      <w:r w:rsidRPr="00070C9F">
        <w:rPr>
          <w:rFonts w:ascii="Arial" w:hAnsi="Arial" w:cs="Arial"/>
        </w:rPr>
        <w:t>, Kassem</w:t>
      </w:r>
      <w:r>
        <w:rPr>
          <w:rFonts w:ascii="Arial" w:hAnsi="Arial" w:cs="Arial"/>
        </w:rPr>
        <w:t>,</w:t>
      </w:r>
      <w:r w:rsidRPr="00070C9F">
        <w:rPr>
          <w:rFonts w:ascii="Arial" w:hAnsi="Arial" w:cs="Arial"/>
        </w:rPr>
        <w:t xml:space="preserve"> Y</w:t>
      </w:r>
      <w:r>
        <w:rPr>
          <w:rFonts w:ascii="Arial" w:hAnsi="Arial" w:cs="Arial"/>
        </w:rPr>
        <w:t>. &amp;</w:t>
      </w:r>
      <w:r w:rsidRPr="00070C9F">
        <w:rPr>
          <w:rFonts w:ascii="Arial" w:hAnsi="Arial" w:cs="Arial"/>
        </w:rPr>
        <w:t xml:space="preserve"> </w:t>
      </w:r>
      <w:proofErr w:type="spellStart"/>
      <w:r w:rsidRPr="00070C9F">
        <w:rPr>
          <w:rFonts w:ascii="Arial" w:hAnsi="Arial" w:cs="Arial"/>
        </w:rPr>
        <w:t>Çamur</w:t>
      </w:r>
      <w:proofErr w:type="spellEnd"/>
      <w:r>
        <w:rPr>
          <w:rFonts w:ascii="Arial" w:hAnsi="Arial" w:cs="Arial"/>
        </w:rPr>
        <w:t>,</w:t>
      </w:r>
      <w:r w:rsidRPr="00070C9F">
        <w:rPr>
          <w:rFonts w:ascii="Arial" w:hAnsi="Arial" w:cs="Arial"/>
        </w:rPr>
        <w:t xml:space="preserve"> H.</w:t>
      </w:r>
      <w:r>
        <w:rPr>
          <w:rFonts w:ascii="Arial" w:hAnsi="Arial" w:cs="Arial"/>
        </w:rPr>
        <w:t xml:space="preserve"> (2019).</w:t>
      </w:r>
      <w:r w:rsidRPr="00070C9F">
        <w:rPr>
          <w:rFonts w:ascii="Arial" w:hAnsi="Arial" w:cs="Arial"/>
        </w:rPr>
        <w:t xml:space="preserve"> Effect of biodiesel mixture derived from waste frying-corn, frying-canola-corn and canola-corn cooking oils with various ‎ages on physicochemical properties. </w:t>
      </w:r>
      <w:r w:rsidRPr="00581AEC">
        <w:rPr>
          <w:rFonts w:ascii="Arial" w:hAnsi="Arial" w:cs="Arial"/>
          <w:i/>
        </w:rPr>
        <w:t>Energies. 12</w:t>
      </w:r>
      <w:r>
        <w:rPr>
          <w:rFonts w:ascii="Arial" w:hAnsi="Arial" w:cs="Arial"/>
        </w:rPr>
        <w:t>(19),</w:t>
      </w:r>
      <w:r w:rsidRPr="00070C9F">
        <w:rPr>
          <w:rFonts w:ascii="Arial" w:hAnsi="Arial" w:cs="Arial"/>
        </w:rPr>
        <w:t xml:space="preserve"> 3729.</w:t>
      </w:r>
    </w:p>
    <w:p w14:paraId="5B5C7F50" w14:textId="77777777" w:rsidR="005267A3" w:rsidRPr="00070C9F" w:rsidRDefault="005267A3" w:rsidP="00BD5B8B">
      <w:pPr>
        <w:ind w:left="288" w:hangingChars="144" w:hanging="288"/>
        <w:jc w:val="both"/>
        <w:rPr>
          <w:rFonts w:ascii="Arial" w:hAnsi="Arial" w:cs="Arial"/>
        </w:rPr>
      </w:pPr>
      <w:r w:rsidRPr="00070C9F">
        <w:rPr>
          <w:rFonts w:ascii="Arial" w:hAnsi="Arial" w:cs="Arial"/>
        </w:rPr>
        <w:t>Sánchez</w:t>
      </w:r>
      <w:r>
        <w:rPr>
          <w:rFonts w:ascii="Arial" w:hAnsi="Arial" w:cs="Arial"/>
        </w:rPr>
        <w:t>,</w:t>
      </w:r>
      <w:r w:rsidRPr="00070C9F">
        <w:rPr>
          <w:rFonts w:ascii="Arial" w:hAnsi="Arial" w:cs="Arial"/>
        </w:rPr>
        <w:t xml:space="preserve"> D</w:t>
      </w:r>
      <w:r>
        <w:rPr>
          <w:rFonts w:ascii="Arial" w:hAnsi="Arial" w:cs="Arial"/>
        </w:rPr>
        <w:t>.</w:t>
      </w:r>
      <w:r w:rsidRPr="00070C9F">
        <w:rPr>
          <w:rFonts w:ascii="Arial" w:hAnsi="Arial" w:cs="Arial"/>
        </w:rPr>
        <w:t>A</w:t>
      </w:r>
      <w:r>
        <w:rPr>
          <w:rFonts w:ascii="Arial" w:hAnsi="Arial" w:cs="Arial"/>
        </w:rPr>
        <w:t>.</w:t>
      </w:r>
      <w:r w:rsidRPr="00070C9F">
        <w:rPr>
          <w:rFonts w:ascii="Arial" w:hAnsi="Arial" w:cs="Arial"/>
        </w:rPr>
        <w:t xml:space="preserve">, </w:t>
      </w:r>
      <w:proofErr w:type="spellStart"/>
      <w:r w:rsidRPr="00070C9F">
        <w:rPr>
          <w:rFonts w:ascii="Arial" w:hAnsi="Arial" w:cs="Arial"/>
        </w:rPr>
        <w:t>Tonetto</w:t>
      </w:r>
      <w:proofErr w:type="spellEnd"/>
      <w:r>
        <w:rPr>
          <w:rFonts w:ascii="Arial" w:hAnsi="Arial" w:cs="Arial"/>
        </w:rPr>
        <w:t>,</w:t>
      </w:r>
      <w:r w:rsidRPr="00070C9F">
        <w:rPr>
          <w:rFonts w:ascii="Arial" w:hAnsi="Arial" w:cs="Arial"/>
        </w:rPr>
        <w:t xml:space="preserve"> G</w:t>
      </w:r>
      <w:r>
        <w:rPr>
          <w:rFonts w:ascii="Arial" w:hAnsi="Arial" w:cs="Arial"/>
        </w:rPr>
        <w:t>.</w:t>
      </w:r>
      <w:r w:rsidRPr="00070C9F">
        <w:rPr>
          <w:rFonts w:ascii="Arial" w:hAnsi="Arial" w:cs="Arial"/>
        </w:rPr>
        <w:t>M</w:t>
      </w:r>
      <w:r>
        <w:rPr>
          <w:rFonts w:ascii="Arial" w:hAnsi="Arial" w:cs="Arial"/>
        </w:rPr>
        <w:t>. &amp;</w:t>
      </w:r>
      <w:r w:rsidRPr="00070C9F">
        <w:rPr>
          <w:rFonts w:ascii="Arial" w:hAnsi="Arial" w:cs="Arial"/>
        </w:rPr>
        <w:t xml:space="preserve"> Ferreira</w:t>
      </w:r>
      <w:r>
        <w:rPr>
          <w:rFonts w:ascii="Arial" w:hAnsi="Arial" w:cs="Arial"/>
        </w:rPr>
        <w:t>,</w:t>
      </w:r>
      <w:r w:rsidRPr="00070C9F">
        <w:rPr>
          <w:rFonts w:ascii="Arial" w:hAnsi="Arial" w:cs="Arial"/>
        </w:rPr>
        <w:t xml:space="preserve"> M</w:t>
      </w:r>
      <w:r>
        <w:rPr>
          <w:rFonts w:ascii="Arial" w:hAnsi="Arial" w:cs="Arial"/>
        </w:rPr>
        <w:t>.</w:t>
      </w:r>
      <w:r w:rsidRPr="00070C9F">
        <w:rPr>
          <w:rFonts w:ascii="Arial" w:hAnsi="Arial" w:cs="Arial"/>
        </w:rPr>
        <w:t>L.</w:t>
      </w:r>
      <w:r>
        <w:rPr>
          <w:rFonts w:ascii="Arial" w:hAnsi="Arial" w:cs="Arial"/>
        </w:rPr>
        <w:t xml:space="preserve"> (2018).</w:t>
      </w:r>
      <w:r w:rsidRPr="00070C9F">
        <w:rPr>
          <w:rFonts w:ascii="Arial" w:hAnsi="Arial" w:cs="Arial"/>
        </w:rPr>
        <w:t xml:space="preserve"> </w:t>
      </w:r>
      <w:proofErr w:type="spellStart"/>
      <w:r w:rsidRPr="00070C9F">
        <w:rPr>
          <w:rFonts w:ascii="Arial" w:hAnsi="Arial" w:cs="Arial"/>
          <w:i/>
        </w:rPr>
        <w:t>Burkholderia</w:t>
      </w:r>
      <w:proofErr w:type="spellEnd"/>
      <w:r w:rsidRPr="00070C9F">
        <w:rPr>
          <w:rFonts w:ascii="Arial" w:hAnsi="Arial" w:cs="Arial"/>
          <w:i/>
        </w:rPr>
        <w:t xml:space="preserve"> </w:t>
      </w:r>
      <w:proofErr w:type="spellStart"/>
      <w:r w:rsidRPr="00070C9F">
        <w:rPr>
          <w:rFonts w:ascii="Arial" w:hAnsi="Arial" w:cs="Arial"/>
          <w:i/>
        </w:rPr>
        <w:t>cepacia</w:t>
      </w:r>
      <w:proofErr w:type="spellEnd"/>
      <w:r w:rsidRPr="00070C9F">
        <w:rPr>
          <w:rFonts w:ascii="Arial" w:hAnsi="Arial" w:cs="Arial"/>
          <w:i/>
        </w:rPr>
        <w:t xml:space="preserve"> </w:t>
      </w:r>
      <w:r w:rsidRPr="00070C9F">
        <w:rPr>
          <w:rFonts w:ascii="Arial" w:hAnsi="Arial" w:cs="Arial"/>
        </w:rPr>
        <w:t xml:space="preserve">lipase: A versatile catalyst in synthesis reactions. </w:t>
      </w:r>
      <w:r>
        <w:rPr>
          <w:rFonts w:ascii="Arial" w:hAnsi="Arial" w:cs="Arial"/>
          <w:i/>
        </w:rPr>
        <w:t>Biotech. and Bioeng.,</w:t>
      </w:r>
      <w:r w:rsidRPr="00EA7809">
        <w:rPr>
          <w:rFonts w:ascii="Arial" w:hAnsi="Arial" w:cs="Arial"/>
          <w:i/>
        </w:rPr>
        <w:t>115</w:t>
      </w:r>
      <w:r>
        <w:rPr>
          <w:rFonts w:ascii="Arial" w:hAnsi="Arial" w:cs="Arial"/>
        </w:rPr>
        <w:t>, 6-</w:t>
      </w:r>
      <w:r w:rsidRPr="00070C9F">
        <w:rPr>
          <w:rFonts w:ascii="Arial" w:hAnsi="Arial" w:cs="Arial"/>
        </w:rPr>
        <w:t>24.</w:t>
      </w:r>
    </w:p>
    <w:p w14:paraId="068D09DD" w14:textId="77777777" w:rsidR="00070C9F" w:rsidRDefault="00070C9F" w:rsidP="00BD5B8B">
      <w:pPr>
        <w:ind w:left="288" w:hangingChars="144" w:hanging="288"/>
        <w:jc w:val="both"/>
        <w:rPr>
          <w:rFonts w:ascii="Arial" w:hAnsi="Arial" w:cs="Arial"/>
        </w:rPr>
      </w:pPr>
      <w:r w:rsidRPr="00070C9F">
        <w:rPr>
          <w:rFonts w:ascii="Arial" w:hAnsi="Arial" w:cs="Arial"/>
        </w:rPr>
        <w:t>Sarmah</w:t>
      </w:r>
      <w:r w:rsidR="00983018">
        <w:rPr>
          <w:rFonts w:ascii="Arial" w:hAnsi="Arial" w:cs="Arial"/>
        </w:rPr>
        <w:t>,</w:t>
      </w:r>
      <w:r w:rsidRPr="00070C9F">
        <w:rPr>
          <w:rFonts w:ascii="Arial" w:hAnsi="Arial" w:cs="Arial"/>
        </w:rPr>
        <w:t xml:space="preserve"> N</w:t>
      </w:r>
      <w:r w:rsidR="00983018">
        <w:rPr>
          <w:rFonts w:ascii="Arial" w:hAnsi="Arial" w:cs="Arial"/>
        </w:rPr>
        <w:t>.</w:t>
      </w:r>
      <w:r w:rsidRPr="00070C9F">
        <w:rPr>
          <w:rFonts w:ascii="Arial" w:hAnsi="Arial" w:cs="Arial"/>
        </w:rPr>
        <w:t>, Revathi</w:t>
      </w:r>
      <w:r w:rsidR="00983018">
        <w:rPr>
          <w:rFonts w:ascii="Arial" w:hAnsi="Arial" w:cs="Arial"/>
        </w:rPr>
        <w:t>,</w:t>
      </w:r>
      <w:r w:rsidRPr="00070C9F">
        <w:rPr>
          <w:rFonts w:ascii="Arial" w:hAnsi="Arial" w:cs="Arial"/>
        </w:rPr>
        <w:t xml:space="preserve"> D</w:t>
      </w:r>
      <w:r w:rsidR="00983018">
        <w:rPr>
          <w:rFonts w:ascii="Arial" w:hAnsi="Arial" w:cs="Arial"/>
        </w:rPr>
        <w:t>.</w:t>
      </w:r>
      <w:r w:rsidRPr="00070C9F">
        <w:rPr>
          <w:rFonts w:ascii="Arial" w:hAnsi="Arial" w:cs="Arial"/>
        </w:rPr>
        <w:t xml:space="preserve">, </w:t>
      </w:r>
      <w:proofErr w:type="spellStart"/>
      <w:r w:rsidRPr="00070C9F">
        <w:rPr>
          <w:rFonts w:ascii="Arial" w:hAnsi="Arial" w:cs="Arial"/>
        </w:rPr>
        <w:t>Sheelu</w:t>
      </w:r>
      <w:proofErr w:type="spellEnd"/>
      <w:r w:rsidR="00983018">
        <w:rPr>
          <w:rFonts w:ascii="Arial" w:hAnsi="Arial" w:cs="Arial"/>
        </w:rPr>
        <w:t>,</w:t>
      </w:r>
      <w:r w:rsidRPr="00070C9F">
        <w:rPr>
          <w:rFonts w:ascii="Arial" w:hAnsi="Arial" w:cs="Arial"/>
        </w:rPr>
        <w:t xml:space="preserve"> G</w:t>
      </w:r>
      <w:r w:rsidR="00983018">
        <w:rPr>
          <w:rFonts w:ascii="Arial" w:hAnsi="Arial" w:cs="Arial"/>
        </w:rPr>
        <w:t>.</w:t>
      </w:r>
      <w:r w:rsidRPr="00070C9F">
        <w:rPr>
          <w:rFonts w:ascii="Arial" w:hAnsi="Arial" w:cs="Arial"/>
        </w:rPr>
        <w:t>, Yamuna</w:t>
      </w:r>
      <w:r w:rsidR="00983018">
        <w:rPr>
          <w:rFonts w:ascii="Arial" w:hAnsi="Arial" w:cs="Arial"/>
        </w:rPr>
        <w:t>,</w:t>
      </w:r>
      <w:r w:rsidRPr="00070C9F">
        <w:rPr>
          <w:rFonts w:ascii="Arial" w:hAnsi="Arial" w:cs="Arial"/>
        </w:rPr>
        <w:t xml:space="preserve"> R</w:t>
      </w:r>
      <w:r w:rsidR="00983018">
        <w:rPr>
          <w:rFonts w:ascii="Arial" w:hAnsi="Arial" w:cs="Arial"/>
        </w:rPr>
        <w:t>.</w:t>
      </w:r>
      <w:r w:rsidRPr="00070C9F">
        <w:rPr>
          <w:rFonts w:ascii="Arial" w:hAnsi="Arial" w:cs="Arial"/>
        </w:rPr>
        <w:t>K</w:t>
      </w:r>
      <w:r w:rsidR="00983018">
        <w:rPr>
          <w:rFonts w:ascii="Arial" w:hAnsi="Arial" w:cs="Arial"/>
        </w:rPr>
        <w:t>.</w:t>
      </w:r>
      <w:r w:rsidRPr="00070C9F">
        <w:rPr>
          <w:rFonts w:ascii="Arial" w:hAnsi="Arial" w:cs="Arial"/>
        </w:rPr>
        <w:t>, Sridhar</w:t>
      </w:r>
      <w:r w:rsidR="00983018">
        <w:rPr>
          <w:rFonts w:ascii="Arial" w:hAnsi="Arial" w:cs="Arial"/>
        </w:rPr>
        <w:t>,</w:t>
      </w:r>
      <w:r w:rsidRPr="00070C9F">
        <w:rPr>
          <w:rFonts w:ascii="Arial" w:hAnsi="Arial" w:cs="Arial"/>
        </w:rPr>
        <w:t xml:space="preserve"> S</w:t>
      </w:r>
      <w:r w:rsidR="00983018">
        <w:rPr>
          <w:rFonts w:ascii="Arial" w:hAnsi="Arial" w:cs="Arial"/>
        </w:rPr>
        <w:t>.</w:t>
      </w:r>
      <w:r w:rsidRPr="00070C9F">
        <w:rPr>
          <w:rFonts w:ascii="Arial" w:hAnsi="Arial" w:cs="Arial"/>
        </w:rPr>
        <w:t>, Mehtab</w:t>
      </w:r>
      <w:r w:rsidR="00983018">
        <w:rPr>
          <w:rFonts w:ascii="Arial" w:hAnsi="Arial" w:cs="Arial"/>
        </w:rPr>
        <w:t>,</w:t>
      </w:r>
      <w:r w:rsidRPr="00070C9F">
        <w:rPr>
          <w:rFonts w:ascii="Arial" w:hAnsi="Arial" w:cs="Arial"/>
        </w:rPr>
        <w:t xml:space="preserve"> V</w:t>
      </w:r>
      <w:r w:rsidR="00983018">
        <w:rPr>
          <w:rFonts w:ascii="Arial" w:hAnsi="Arial" w:cs="Arial"/>
        </w:rPr>
        <w:t>. &amp;</w:t>
      </w:r>
      <w:r w:rsidRPr="00070C9F">
        <w:rPr>
          <w:rFonts w:ascii="Arial" w:hAnsi="Arial" w:cs="Arial"/>
        </w:rPr>
        <w:t xml:space="preserve"> Sumana</w:t>
      </w:r>
      <w:r w:rsidR="00983018">
        <w:rPr>
          <w:rFonts w:ascii="Arial" w:hAnsi="Arial" w:cs="Arial"/>
        </w:rPr>
        <w:t>,</w:t>
      </w:r>
      <w:r w:rsidRPr="00070C9F">
        <w:rPr>
          <w:rFonts w:ascii="Arial" w:hAnsi="Arial" w:cs="Arial"/>
        </w:rPr>
        <w:t xml:space="preserve"> C. </w:t>
      </w:r>
      <w:r w:rsidR="00C3004A">
        <w:rPr>
          <w:rFonts w:ascii="Arial" w:hAnsi="Arial" w:cs="Arial"/>
        </w:rPr>
        <w:t xml:space="preserve">(2018). </w:t>
      </w:r>
      <w:r w:rsidRPr="00070C9F">
        <w:rPr>
          <w:rFonts w:ascii="Arial" w:hAnsi="Arial" w:cs="Arial"/>
        </w:rPr>
        <w:t xml:space="preserve">Recent advances on sources and industrial applications of lipases. </w:t>
      </w:r>
      <w:proofErr w:type="spellStart"/>
      <w:r w:rsidR="00EA7809">
        <w:rPr>
          <w:rFonts w:ascii="Arial" w:hAnsi="Arial" w:cs="Arial"/>
          <w:i/>
        </w:rPr>
        <w:t>Biotechnol</w:t>
      </w:r>
      <w:proofErr w:type="spellEnd"/>
      <w:r w:rsidR="00EA7809">
        <w:rPr>
          <w:rFonts w:ascii="Arial" w:hAnsi="Arial" w:cs="Arial"/>
          <w:i/>
        </w:rPr>
        <w:t>. Progress</w:t>
      </w:r>
      <w:r w:rsidR="00EA7809" w:rsidRPr="00EA7809">
        <w:rPr>
          <w:rFonts w:ascii="Arial" w:hAnsi="Arial" w:cs="Arial"/>
          <w:i/>
        </w:rPr>
        <w:t>,</w:t>
      </w:r>
      <w:r w:rsidRPr="00EA7809">
        <w:rPr>
          <w:rFonts w:ascii="Arial" w:hAnsi="Arial" w:cs="Arial"/>
          <w:i/>
        </w:rPr>
        <w:t xml:space="preserve"> </w:t>
      </w:r>
      <w:r w:rsidR="00EA7809" w:rsidRPr="00EA7809">
        <w:rPr>
          <w:rFonts w:ascii="Arial" w:hAnsi="Arial" w:cs="Arial"/>
          <w:i/>
        </w:rPr>
        <w:t>34</w:t>
      </w:r>
      <w:r w:rsidR="00EA7809">
        <w:rPr>
          <w:rFonts w:ascii="Arial" w:hAnsi="Arial" w:cs="Arial"/>
        </w:rPr>
        <w:t>(1),</w:t>
      </w:r>
      <w:r w:rsidRPr="00070C9F">
        <w:rPr>
          <w:rFonts w:ascii="Arial" w:hAnsi="Arial" w:cs="Arial"/>
        </w:rPr>
        <w:t xml:space="preserve"> 5-28.</w:t>
      </w:r>
    </w:p>
    <w:p w14:paraId="376B8E53" w14:textId="7F81E205" w:rsidR="00C766B2" w:rsidRDefault="00C766B2" w:rsidP="00BD5B8B">
      <w:pPr>
        <w:ind w:left="288" w:hangingChars="144" w:hanging="288"/>
        <w:jc w:val="both"/>
        <w:rPr>
          <w:rFonts w:ascii="Arial" w:hAnsi="Arial" w:cs="Arial"/>
        </w:rPr>
      </w:pPr>
      <w:r>
        <w:rPr>
          <w:rFonts w:ascii="Arial" w:hAnsi="Arial" w:cs="Arial"/>
        </w:rPr>
        <w:t>Singh</w:t>
      </w:r>
      <w:r w:rsidRPr="00C766B2">
        <w:rPr>
          <w:rFonts w:ascii="Arial" w:hAnsi="Arial" w:cs="Arial"/>
        </w:rPr>
        <w:t>,</w:t>
      </w:r>
      <w:r>
        <w:rPr>
          <w:rFonts w:ascii="Arial" w:hAnsi="Arial" w:cs="Arial"/>
        </w:rPr>
        <w:t xml:space="preserve"> D.,</w:t>
      </w:r>
      <w:r w:rsidRPr="00C766B2">
        <w:rPr>
          <w:rFonts w:ascii="Arial" w:hAnsi="Arial" w:cs="Arial"/>
        </w:rPr>
        <w:t xml:space="preserve"> Sharma,</w:t>
      </w:r>
      <w:r>
        <w:rPr>
          <w:rFonts w:ascii="Arial" w:hAnsi="Arial" w:cs="Arial"/>
        </w:rPr>
        <w:t xml:space="preserve"> P.K., </w:t>
      </w:r>
      <w:proofErr w:type="spellStart"/>
      <w:r>
        <w:rPr>
          <w:rFonts w:ascii="Arial" w:hAnsi="Arial" w:cs="Arial"/>
        </w:rPr>
        <w:t>Pawar</w:t>
      </w:r>
      <w:proofErr w:type="spellEnd"/>
      <w:r w:rsidRPr="00C766B2">
        <w:rPr>
          <w:rFonts w:ascii="Arial" w:hAnsi="Arial" w:cs="Arial"/>
        </w:rPr>
        <w:t>,</w:t>
      </w:r>
      <w:r>
        <w:rPr>
          <w:rFonts w:ascii="Arial" w:hAnsi="Arial" w:cs="Arial"/>
        </w:rPr>
        <w:t xml:space="preserve"> A.,</w:t>
      </w:r>
      <w:r w:rsidRPr="00C766B2">
        <w:rPr>
          <w:rFonts w:ascii="Arial" w:hAnsi="Arial" w:cs="Arial"/>
        </w:rPr>
        <w:t xml:space="preserve"> </w:t>
      </w:r>
      <w:proofErr w:type="spellStart"/>
      <w:r w:rsidRPr="00C766B2">
        <w:rPr>
          <w:rFonts w:ascii="Arial" w:hAnsi="Arial" w:cs="Arial"/>
        </w:rPr>
        <w:t>Godara</w:t>
      </w:r>
      <w:proofErr w:type="spellEnd"/>
      <w:r w:rsidRPr="00C766B2">
        <w:rPr>
          <w:rFonts w:ascii="Arial" w:hAnsi="Arial" w:cs="Arial"/>
        </w:rPr>
        <w:t>,</w:t>
      </w:r>
      <w:r>
        <w:rPr>
          <w:rFonts w:ascii="Arial" w:hAnsi="Arial" w:cs="Arial"/>
        </w:rPr>
        <w:t xml:space="preserve"> S.S., Sharma, D.</w:t>
      </w:r>
      <w:r w:rsidRPr="00C766B2">
        <w:rPr>
          <w:rFonts w:ascii="Arial" w:hAnsi="Arial" w:cs="Arial"/>
        </w:rPr>
        <w:t xml:space="preserve"> &amp; Goyal</w:t>
      </w:r>
      <w:r>
        <w:rPr>
          <w:rFonts w:ascii="Arial" w:hAnsi="Arial" w:cs="Arial"/>
        </w:rPr>
        <w:t xml:space="preserve">, R. (2025). </w:t>
      </w:r>
      <w:r w:rsidRPr="00C766B2">
        <w:rPr>
          <w:rFonts w:ascii="Arial" w:hAnsi="Arial" w:cs="Arial"/>
        </w:rPr>
        <w:t>Parametric analysis of biodiesel</w:t>
      </w:r>
      <w:r>
        <w:rPr>
          <w:rFonts w:ascii="Arial" w:hAnsi="Arial" w:cs="Arial"/>
        </w:rPr>
        <w:t xml:space="preserve"> </w:t>
      </w:r>
      <w:r w:rsidRPr="00C766B2">
        <w:rPr>
          <w:rFonts w:ascii="Arial" w:hAnsi="Arial" w:cs="Arial"/>
        </w:rPr>
        <w:t>synthesis from palm oil using</w:t>
      </w:r>
      <w:r>
        <w:rPr>
          <w:rFonts w:ascii="Arial" w:hAnsi="Arial" w:cs="Arial"/>
        </w:rPr>
        <w:t xml:space="preserve"> </w:t>
      </w:r>
      <w:r w:rsidRPr="00C766B2">
        <w:rPr>
          <w:rFonts w:ascii="Arial" w:hAnsi="Arial" w:cs="Arial"/>
        </w:rPr>
        <w:t xml:space="preserve">homogenous base </w:t>
      </w:r>
      <w:r w:rsidRPr="00C766B2">
        <w:rPr>
          <w:rFonts w:ascii="Arial" w:hAnsi="Arial" w:cs="Arial"/>
        </w:rPr>
        <w:lastRenderedPageBreak/>
        <w:t>catalyst:</w:t>
      </w:r>
      <w:r>
        <w:rPr>
          <w:rFonts w:ascii="Arial" w:hAnsi="Arial" w:cs="Arial"/>
        </w:rPr>
        <w:t xml:space="preserve"> </w:t>
      </w:r>
      <w:r w:rsidRPr="00C766B2">
        <w:rPr>
          <w:rFonts w:ascii="Arial" w:hAnsi="Arial" w:cs="Arial"/>
        </w:rPr>
        <w:t>experimental and numerical</w:t>
      </w:r>
      <w:r>
        <w:rPr>
          <w:rFonts w:ascii="Arial" w:hAnsi="Arial" w:cs="Arial"/>
        </w:rPr>
        <w:t xml:space="preserve"> </w:t>
      </w:r>
      <w:r w:rsidRPr="00C766B2">
        <w:rPr>
          <w:rFonts w:ascii="Arial" w:hAnsi="Arial" w:cs="Arial"/>
        </w:rPr>
        <w:t>investigation</w:t>
      </w:r>
      <w:r>
        <w:rPr>
          <w:rFonts w:ascii="Arial" w:hAnsi="Arial" w:cs="Arial"/>
        </w:rPr>
        <w:t xml:space="preserve">. </w:t>
      </w:r>
      <w:r w:rsidR="003F3893" w:rsidRPr="003F3893">
        <w:rPr>
          <w:rFonts w:ascii="Arial" w:hAnsi="Arial" w:cs="Arial"/>
          <w:i/>
        </w:rPr>
        <w:t>Scientific Reports</w:t>
      </w:r>
      <w:r w:rsidR="003F3893">
        <w:rPr>
          <w:rFonts w:ascii="Arial" w:hAnsi="Arial" w:cs="Arial"/>
          <w:i/>
        </w:rPr>
        <w:t>,</w:t>
      </w:r>
      <w:r w:rsidR="003F3893" w:rsidRPr="003F3893">
        <w:rPr>
          <w:rFonts w:ascii="Arial" w:hAnsi="Arial" w:cs="Arial"/>
        </w:rPr>
        <w:t xml:space="preserve"> 15</w:t>
      </w:r>
      <w:r w:rsidR="003F3893">
        <w:rPr>
          <w:rFonts w:ascii="Arial" w:hAnsi="Arial" w:cs="Arial"/>
        </w:rPr>
        <w:t>(</w:t>
      </w:r>
      <w:r w:rsidR="003F3893" w:rsidRPr="003F3893">
        <w:rPr>
          <w:rFonts w:ascii="Arial" w:hAnsi="Arial" w:cs="Arial"/>
        </w:rPr>
        <w:t>41781</w:t>
      </w:r>
      <w:r w:rsidR="003F3893">
        <w:rPr>
          <w:rFonts w:ascii="Arial" w:hAnsi="Arial" w:cs="Arial"/>
        </w:rPr>
        <w:t>), 1-29.</w:t>
      </w:r>
      <w:r w:rsidR="003F3893" w:rsidRPr="003F3893">
        <w:rPr>
          <w:rFonts w:ascii="Arial" w:hAnsi="Arial" w:cs="Arial"/>
        </w:rPr>
        <w:t xml:space="preserve"> </w:t>
      </w:r>
      <w:hyperlink r:id="rId32" w:history="1">
        <w:r w:rsidR="003F3893" w:rsidRPr="00D33B52">
          <w:rPr>
            <w:rStyle w:val="Hyperlink"/>
            <w:rFonts w:ascii="Arial" w:hAnsi="Arial" w:cs="Arial"/>
          </w:rPr>
          <w:t>https://doi.org/10.1038/s41598-025-25746-2</w:t>
        </w:r>
      </w:hyperlink>
      <w:r w:rsidR="003F3893">
        <w:rPr>
          <w:rFonts w:ascii="Arial" w:hAnsi="Arial" w:cs="Arial"/>
        </w:rPr>
        <w:t xml:space="preserve"> </w:t>
      </w:r>
    </w:p>
    <w:p w14:paraId="45F368F5" w14:textId="343FDE0B" w:rsidR="00DF5C26" w:rsidRPr="00070C9F" w:rsidRDefault="00DF5C26" w:rsidP="00BD5B8B">
      <w:pPr>
        <w:ind w:left="288" w:hangingChars="144" w:hanging="288"/>
        <w:jc w:val="both"/>
        <w:rPr>
          <w:rFonts w:ascii="Arial" w:hAnsi="Arial" w:cs="Arial"/>
        </w:rPr>
      </w:pPr>
      <w:proofErr w:type="spellStart"/>
      <w:r w:rsidRPr="00070C9F">
        <w:rPr>
          <w:rFonts w:ascii="Arial" w:hAnsi="Arial" w:cs="Arial"/>
        </w:rPr>
        <w:t>Spanou</w:t>
      </w:r>
      <w:proofErr w:type="spellEnd"/>
      <w:r>
        <w:rPr>
          <w:rFonts w:ascii="Arial" w:hAnsi="Arial" w:cs="Arial"/>
        </w:rPr>
        <w:t>,</w:t>
      </w:r>
      <w:r w:rsidRPr="00070C9F">
        <w:rPr>
          <w:rFonts w:ascii="Arial" w:hAnsi="Arial" w:cs="Arial"/>
        </w:rPr>
        <w:t xml:space="preserve"> A</w:t>
      </w:r>
      <w:r>
        <w:rPr>
          <w:rFonts w:ascii="Arial" w:hAnsi="Arial" w:cs="Arial"/>
        </w:rPr>
        <w:t>.</w:t>
      </w:r>
      <w:r w:rsidRPr="00070C9F">
        <w:rPr>
          <w:rFonts w:ascii="Arial" w:hAnsi="Arial" w:cs="Arial"/>
        </w:rPr>
        <w:t xml:space="preserve">, </w:t>
      </w:r>
      <w:proofErr w:type="spellStart"/>
      <w:r w:rsidRPr="00070C9F">
        <w:rPr>
          <w:rFonts w:ascii="Arial" w:hAnsi="Arial" w:cs="Arial"/>
        </w:rPr>
        <w:t>Moschona</w:t>
      </w:r>
      <w:proofErr w:type="spellEnd"/>
      <w:r>
        <w:rPr>
          <w:rFonts w:ascii="Arial" w:hAnsi="Arial" w:cs="Arial"/>
        </w:rPr>
        <w:t>,</w:t>
      </w:r>
      <w:r w:rsidRPr="00070C9F">
        <w:rPr>
          <w:rFonts w:ascii="Arial" w:hAnsi="Arial" w:cs="Arial"/>
        </w:rPr>
        <w:t xml:space="preserve"> A</w:t>
      </w:r>
      <w:r>
        <w:rPr>
          <w:rFonts w:ascii="Arial" w:hAnsi="Arial" w:cs="Arial"/>
        </w:rPr>
        <w:t>.</w:t>
      </w:r>
      <w:r w:rsidRPr="00070C9F">
        <w:rPr>
          <w:rFonts w:ascii="Arial" w:hAnsi="Arial" w:cs="Arial"/>
        </w:rPr>
        <w:t>, Theodosiou</w:t>
      </w:r>
      <w:r>
        <w:rPr>
          <w:rFonts w:ascii="Arial" w:hAnsi="Arial" w:cs="Arial"/>
        </w:rPr>
        <w:t>,</w:t>
      </w:r>
      <w:r w:rsidRPr="00070C9F">
        <w:rPr>
          <w:rFonts w:ascii="Arial" w:hAnsi="Arial" w:cs="Arial"/>
        </w:rPr>
        <w:t xml:space="preserve"> E</w:t>
      </w:r>
      <w:r>
        <w:rPr>
          <w:rFonts w:ascii="Arial" w:hAnsi="Arial" w:cs="Arial"/>
        </w:rPr>
        <w:t>.</w:t>
      </w:r>
      <w:r w:rsidRPr="00070C9F">
        <w:rPr>
          <w:rFonts w:ascii="Arial" w:hAnsi="Arial" w:cs="Arial"/>
        </w:rPr>
        <w:t xml:space="preserve">, </w:t>
      </w:r>
      <w:proofErr w:type="spellStart"/>
      <w:r w:rsidRPr="00070C9F">
        <w:rPr>
          <w:rFonts w:ascii="Arial" w:hAnsi="Arial" w:cs="Arial"/>
        </w:rPr>
        <w:t>Patsios</w:t>
      </w:r>
      <w:proofErr w:type="spellEnd"/>
      <w:r>
        <w:rPr>
          <w:rFonts w:ascii="Arial" w:hAnsi="Arial" w:cs="Arial"/>
        </w:rPr>
        <w:t>,</w:t>
      </w:r>
      <w:r w:rsidRPr="00070C9F">
        <w:rPr>
          <w:rFonts w:ascii="Arial" w:hAnsi="Arial" w:cs="Arial"/>
        </w:rPr>
        <w:t xml:space="preserve"> S</w:t>
      </w:r>
      <w:r>
        <w:rPr>
          <w:rFonts w:ascii="Arial" w:hAnsi="Arial" w:cs="Arial"/>
        </w:rPr>
        <w:t>.</w:t>
      </w:r>
      <w:r w:rsidRPr="00070C9F">
        <w:rPr>
          <w:rFonts w:ascii="Arial" w:hAnsi="Arial" w:cs="Arial"/>
        </w:rPr>
        <w:t>I</w:t>
      </w:r>
      <w:r>
        <w:rPr>
          <w:rFonts w:ascii="Arial" w:hAnsi="Arial" w:cs="Arial"/>
        </w:rPr>
        <w:t>. &amp;</w:t>
      </w:r>
      <w:r w:rsidRPr="00070C9F">
        <w:rPr>
          <w:rFonts w:ascii="Arial" w:hAnsi="Arial" w:cs="Arial"/>
        </w:rPr>
        <w:t xml:space="preserve"> </w:t>
      </w:r>
      <w:proofErr w:type="spellStart"/>
      <w:r w:rsidRPr="00070C9F">
        <w:rPr>
          <w:rFonts w:ascii="Arial" w:hAnsi="Arial" w:cs="Arial"/>
        </w:rPr>
        <w:t>Pavlidis</w:t>
      </w:r>
      <w:proofErr w:type="spellEnd"/>
      <w:r>
        <w:rPr>
          <w:rFonts w:ascii="Arial" w:hAnsi="Arial" w:cs="Arial"/>
        </w:rPr>
        <w:t>,</w:t>
      </w:r>
      <w:r w:rsidRPr="00070C9F">
        <w:rPr>
          <w:rFonts w:ascii="Arial" w:hAnsi="Arial" w:cs="Arial"/>
        </w:rPr>
        <w:t xml:space="preserve"> I</w:t>
      </w:r>
      <w:r>
        <w:rPr>
          <w:rFonts w:ascii="Arial" w:hAnsi="Arial" w:cs="Arial"/>
        </w:rPr>
        <w:t>.</w:t>
      </w:r>
      <w:r w:rsidRPr="00070C9F">
        <w:rPr>
          <w:rFonts w:ascii="Arial" w:hAnsi="Arial" w:cs="Arial"/>
        </w:rPr>
        <w:t>V.</w:t>
      </w:r>
      <w:r>
        <w:rPr>
          <w:rFonts w:ascii="Arial" w:hAnsi="Arial" w:cs="Arial"/>
        </w:rPr>
        <w:t xml:space="preserve"> (2024).</w:t>
      </w:r>
      <w:r w:rsidRPr="00070C9F">
        <w:rPr>
          <w:rFonts w:ascii="Arial" w:hAnsi="Arial" w:cs="Arial"/>
        </w:rPr>
        <w:t xml:space="preserve"> Novel concepts for the biocatalytic synthesis of </w:t>
      </w:r>
      <w:proofErr w:type="spellStart"/>
      <w:r w:rsidRPr="00070C9F">
        <w:rPr>
          <w:rFonts w:ascii="Arial" w:hAnsi="Arial" w:cs="Arial"/>
        </w:rPr>
        <w:t>secondgeneration</w:t>
      </w:r>
      <w:proofErr w:type="spellEnd"/>
      <w:r w:rsidRPr="00070C9F">
        <w:rPr>
          <w:rFonts w:ascii="Arial" w:hAnsi="Arial" w:cs="Arial"/>
        </w:rPr>
        <w:t xml:space="preserve"> biodiesel. </w:t>
      </w:r>
      <w:r>
        <w:rPr>
          <w:rFonts w:ascii="Arial" w:hAnsi="Arial" w:cs="Arial"/>
          <w:i/>
        </w:rPr>
        <w:t>Frontiers in Catalysis,</w:t>
      </w:r>
      <w:r w:rsidRPr="00EA7809">
        <w:rPr>
          <w:rFonts w:ascii="Arial" w:hAnsi="Arial" w:cs="Arial"/>
          <w:i/>
        </w:rPr>
        <w:t xml:space="preserve"> 4</w:t>
      </w:r>
      <w:r>
        <w:rPr>
          <w:rFonts w:ascii="Arial" w:hAnsi="Arial" w:cs="Arial"/>
        </w:rPr>
        <w:t>(1360702),</w:t>
      </w:r>
      <w:r w:rsidRPr="00070C9F">
        <w:rPr>
          <w:rFonts w:ascii="Arial" w:hAnsi="Arial" w:cs="Arial"/>
        </w:rPr>
        <w:t xml:space="preserve"> 1-20. </w:t>
      </w:r>
      <w:hyperlink r:id="rId33" w:history="1">
        <w:r w:rsidRPr="00070C9F">
          <w:rPr>
            <w:rStyle w:val="Hyperlink"/>
            <w:rFonts w:ascii="Arial" w:hAnsi="Arial" w:cs="Arial"/>
          </w:rPr>
          <w:t>https://doi.org/10.3389/fctls.2024.1360702</w:t>
        </w:r>
      </w:hyperlink>
    </w:p>
    <w:p w14:paraId="5DAFCE7F" w14:textId="62CA8D81" w:rsidR="006F19F4" w:rsidRDefault="006F19F4" w:rsidP="006F19F4">
      <w:pPr>
        <w:ind w:left="288" w:hangingChars="144" w:hanging="288"/>
        <w:jc w:val="both"/>
        <w:rPr>
          <w:rFonts w:ascii="Arial" w:hAnsi="Arial" w:cs="Arial"/>
        </w:rPr>
      </w:pPr>
      <w:proofErr w:type="spellStart"/>
      <w:r w:rsidRPr="006F19F4">
        <w:rPr>
          <w:rFonts w:ascii="Arial" w:hAnsi="Arial" w:cs="Arial"/>
        </w:rPr>
        <w:t>Suwari</w:t>
      </w:r>
      <w:proofErr w:type="spellEnd"/>
      <w:r w:rsidRPr="006F19F4">
        <w:rPr>
          <w:rFonts w:ascii="Arial" w:hAnsi="Arial" w:cs="Arial"/>
        </w:rPr>
        <w:t xml:space="preserve">, S., </w:t>
      </w:r>
      <w:proofErr w:type="spellStart"/>
      <w:r w:rsidRPr="006F19F4">
        <w:rPr>
          <w:rFonts w:ascii="Arial" w:hAnsi="Arial" w:cs="Arial"/>
        </w:rPr>
        <w:t>Kotta</w:t>
      </w:r>
      <w:proofErr w:type="spellEnd"/>
      <w:r w:rsidRPr="006F19F4">
        <w:rPr>
          <w:rFonts w:ascii="Arial" w:hAnsi="Arial" w:cs="Arial"/>
        </w:rPr>
        <w:t xml:space="preserve">, H. Z., &amp; </w:t>
      </w:r>
      <w:proofErr w:type="spellStart"/>
      <w:r w:rsidRPr="006F19F4">
        <w:rPr>
          <w:rFonts w:ascii="Arial" w:hAnsi="Arial" w:cs="Arial"/>
        </w:rPr>
        <w:t>Buang</w:t>
      </w:r>
      <w:proofErr w:type="spellEnd"/>
      <w:r w:rsidRPr="006F19F4">
        <w:rPr>
          <w:rFonts w:ascii="Arial" w:hAnsi="Arial" w:cs="Arial"/>
        </w:rPr>
        <w:t>, Y. (2018). Extraction and characterization of</w:t>
      </w:r>
      <w:r>
        <w:rPr>
          <w:rFonts w:ascii="Arial" w:hAnsi="Arial" w:cs="Arial"/>
        </w:rPr>
        <w:t xml:space="preserve"> </w:t>
      </w:r>
      <w:r w:rsidRPr="006F19F4">
        <w:rPr>
          <w:rFonts w:ascii="Arial" w:hAnsi="Arial" w:cs="Arial"/>
        </w:rPr>
        <w:t xml:space="preserve">crop oil from seed kernels of </w:t>
      </w:r>
      <w:proofErr w:type="spellStart"/>
      <w:r w:rsidRPr="006F19F4">
        <w:rPr>
          <w:rFonts w:ascii="Arial" w:hAnsi="Arial" w:cs="Arial"/>
        </w:rPr>
        <w:t>Feunkase</w:t>
      </w:r>
      <w:proofErr w:type="spellEnd"/>
      <w:r w:rsidRPr="006F19F4">
        <w:rPr>
          <w:rFonts w:ascii="Arial" w:hAnsi="Arial" w:cs="Arial"/>
        </w:rPr>
        <w:t xml:space="preserve"> </w:t>
      </w:r>
      <w:r w:rsidRPr="006F19F4">
        <w:rPr>
          <w:rFonts w:ascii="Arial" w:hAnsi="Arial" w:cs="Arial"/>
          <w:i/>
        </w:rPr>
        <w:t>(</w:t>
      </w:r>
      <w:proofErr w:type="spellStart"/>
      <w:r w:rsidRPr="006F19F4">
        <w:rPr>
          <w:rFonts w:ascii="Arial" w:hAnsi="Arial" w:cs="Arial"/>
          <w:i/>
        </w:rPr>
        <w:t>Thevetia</w:t>
      </w:r>
      <w:proofErr w:type="spellEnd"/>
      <w:r w:rsidRPr="006F19F4">
        <w:rPr>
          <w:rFonts w:ascii="Arial" w:hAnsi="Arial" w:cs="Arial"/>
          <w:i/>
        </w:rPr>
        <w:t xml:space="preserve"> peruviana)</w:t>
      </w:r>
      <w:r w:rsidRPr="006F19F4">
        <w:rPr>
          <w:rFonts w:ascii="Arial" w:hAnsi="Arial" w:cs="Arial"/>
        </w:rPr>
        <w:t xml:space="preserve"> as feedstock</w:t>
      </w:r>
      <w:r>
        <w:rPr>
          <w:rFonts w:ascii="Arial" w:hAnsi="Arial" w:cs="Arial"/>
        </w:rPr>
        <w:t xml:space="preserve"> </w:t>
      </w:r>
      <w:r w:rsidRPr="006F19F4">
        <w:rPr>
          <w:rFonts w:ascii="Arial" w:hAnsi="Arial" w:cs="Arial"/>
        </w:rPr>
        <w:t xml:space="preserve">for biodiesel production. </w:t>
      </w:r>
      <w:r w:rsidRPr="00981240">
        <w:rPr>
          <w:rFonts w:ascii="Arial" w:hAnsi="Arial" w:cs="Arial"/>
          <w:i/>
        </w:rPr>
        <w:t>Journal of Applied Chemical Sciences, 5</w:t>
      </w:r>
      <w:r w:rsidRPr="006F19F4">
        <w:rPr>
          <w:rFonts w:ascii="Arial" w:hAnsi="Arial" w:cs="Arial"/>
        </w:rPr>
        <w:t>(2),</w:t>
      </w:r>
      <w:r>
        <w:rPr>
          <w:rFonts w:ascii="Arial" w:hAnsi="Arial" w:cs="Arial"/>
        </w:rPr>
        <w:t xml:space="preserve"> </w:t>
      </w:r>
      <w:r w:rsidR="00981240">
        <w:rPr>
          <w:rFonts w:ascii="Arial" w:hAnsi="Arial" w:cs="Arial"/>
        </w:rPr>
        <w:t>459-</w:t>
      </w:r>
      <w:r w:rsidRPr="006F19F4">
        <w:rPr>
          <w:rFonts w:ascii="Arial" w:hAnsi="Arial" w:cs="Arial"/>
        </w:rPr>
        <w:t xml:space="preserve">463. </w:t>
      </w:r>
      <w:hyperlink r:id="rId34" w:history="1">
        <w:r w:rsidRPr="006610B7">
          <w:rPr>
            <w:rStyle w:val="Hyperlink"/>
            <w:rFonts w:ascii="Arial" w:hAnsi="Arial" w:cs="Arial"/>
          </w:rPr>
          <w:t>https://doi.org/10.2991/icomse-17. 2018.14</w:t>
        </w:r>
      </w:hyperlink>
      <w:r>
        <w:rPr>
          <w:rFonts w:ascii="Arial" w:hAnsi="Arial" w:cs="Arial"/>
        </w:rPr>
        <w:t xml:space="preserve"> </w:t>
      </w:r>
    </w:p>
    <w:p w14:paraId="260E5074" w14:textId="77777777" w:rsidR="00DF5C26" w:rsidRPr="00070C9F" w:rsidRDefault="00DF5C26" w:rsidP="00BD5B8B">
      <w:pPr>
        <w:ind w:left="288" w:hangingChars="144" w:hanging="288"/>
        <w:jc w:val="both"/>
        <w:rPr>
          <w:rFonts w:ascii="Arial" w:hAnsi="Arial" w:cs="Arial"/>
        </w:rPr>
      </w:pPr>
      <w:proofErr w:type="spellStart"/>
      <w:r w:rsidRPr="00070C9F">
        <w:rPr>
          <w:rFonts w:ascii="Arial" w:hAnsi="Arial" w:cs="Arial"/>
        </w:rPr>
        <w:t>Thushari</w:t>
      </w:r>
      <w:proofErr w:type="spellEnd"/>
      <w:r>
        <w:rPr>
          <w:rFonts w:ascii="Arial" w:hAnsi="Arial" w:cs="Arial"/>
        </w:rPr>
        <w:t>,</w:t>
      </w:r>
      <w:r w:rsidRPr="00070C9F">
        <w:rPr>
          <w:rFonts w:ascii="Arial" w:hAnsi="Arial" w:cs="Arial"/>
        </w:rPr>
        <w:t xml:space="preserve"> I</w:t>
      </w:r>
      <w:r>
        <w:rPr>
          <w:rFonts w:ascii="Arial" w:hAnsi="Arial" w:cs="Arial"/>
        </w:rPr>
        <w:t>. &amp;</w:t>
      </w:r>
      <w:r w:rsidRPr="00070C9F">
        <w:rPr>
          <w:rFonts w:ascii="Arial" w:hAnsi="Arial" w:cs="Arial"/>
        </w:rPr>
        <w:t xml:space="preserve"> Babel</w:t>
      </w:r>
      <w:r>
        <w:rPr>
          <w:rFonts w:ascii="Arial" w:hAnsi="Arial" w:cs="Arial"/>
        </w:rPr>
        <w:t>,</w:t>
      </w:r>
      <w:r w:rsidRPr="00070C9F">
        <w:rPr>
          <w:rFonts w:ascii="Arial" w:hAnsi="Arial" w:cs="Arial"/>
        </w:rPr>
        <w:t xml:space="preserve"> S.</w:t>
      </w:r>
      <w:r>
        <w:rPr>
          <w:rFonts w:ascii="Arial" w:hAnsi="Arial" w:cs="Arial"/>
        </w:rPr>
        <w:t xml:space="preserve"> (2018).</w:t>
      </w:r>
      <w:r w:rsidRPr="00070C9F">
        <w:rPr>
          <w:rFonts w:ascii="Arial" w:hAnsi="Arial" w:cs="Arial"/>
        </w:rPr>
        <w:t xml:space="preserve"> Sustainable utilization of waste palm oil and sulfonated </w:t>
      </w:r>
      <w:proofErr w:type="spellStart"/>
      <w:r w:rsidRPr="00070C9F">
        <w:rPr>
          <w:rFonts w:ascii="Arial" w:hAnsi="Arial" w:cs="Arial"/>
        </w:rPr>
        <w:t>cabon</w:t>
      </w:r>
      <w:proofErr w:type="spellEnd"/>
      <w:r w:rsidRPr="00070C9F">
        <w:rPr>
          <w:rFonts w:ascii="Arial" w:hAnsi="Arial" w:cs="Arial"/>
        </w:rPr>
        <w:t xml:space="preserve"> catalyst derived from coconut meal residue for biodiesel production. </w:t>
      </w:r>
      <w:r w:rsidRPr="00581AEC">
        <w:rPr>
          <w:rFonts w:ascii="Arial" w:hAnsi="Arial" w:cs="Arial"/>
          <w:i/>
        </w:rPr>
        <w:t>Bioresources Tech. 248,</w:t>
      </w:r>
      <w:r w:rsidRPr="00070C9F">
        <w:rPr>
          <w:rFonts w:ascii="Arial" w:hAnsi="Arial" w:cs="Arial"/>
        </w:rPr>
        <w:t xml:space="preserve"> 199-203.</w:t>
      </w:r>
    </w:p>
    <w:p w14:paraId="0E3136A1" w14:textId="77777777" w:rsidR="00070C9F" w:rsidRPr="00070C9F" w:rsidRDefault="00070C9F" w:rsidP="00BD5B8B">
      <w:pPr>
        <w:ind w:left="288" w:hangingChars="144" w:hanging="288"/>
        <w:jc w:val="both"/>
        <w:rPr>
          <w:rFonts w:ascii="Arial" w:hAnsi="Arial" w:cs="Arial"/>
        </w:rPr>
      </w:pPr>
      <w:proofErr w:type="spellStart"/>
      <w:r w:rsidRPr="00070C9F">
        <w:rPr>
          <w:rFonts w:ascii="Arial" w:hAnsi="Arial" w:cs="Arial"/>
        </w:rPr>
        <w:t>Toldrá-Reig</w:t>
      </w:r>
      <w:proofErr w:type="spellEnd"/>
      <w:r w:rsidR="00EA7809">
        <w:rPr>
          <w:rFonts w:ascii="Arial" w:hAnsi="Arial" w:cs="Arial"/>
        </w:rPr>
        <w:t>,</w:t>
      </w:r>
      <w:r w:rsidRPr="00070C9F">
        <w:rPr>
          <w:rFonts w:ascii="Arial" w:hAnsi="Arial" w:cs="Arial"/>
        </w:rPr>
        <w:t xml:space="preserve"> F.</w:t>
      </w:r>
      <w:r w:rsidR="00EA7809">
        <w:rPr>
          <w:rFonts w:ascii="Arial" w:hAnsi="Arial" w:cs="Arial"/>
        </w:rPr>
        <w:t>,</w:t>
      </w:r>
      <w:r w:rsidRPr="00070C9F">
        <w:rPr>
          <w:rFonts w:ascii="Arial" w:hAnsi="Arial" w:cs="Arial"/>
        </w:rPr>
        <w:t xml:space="preserve"> Mora</w:t>
      </w:r>
      <w:r w:rsidR="00EA7809">
        <w:rPr>
          <w:rFonts w:ascii="Arial" w:hAnsi="Arial" w:cs="Arial"/>
        </w:rPr>
        <w:t>,</w:t>
      </w:r>
      <w:r w:rsidRPr="00070C9F">
        <w:rPr>
          <w:rFonts w:ascii="Arial" w:hAnsi="Arial" w:cs="Arial"/>
        </w:rPr>
        <w:t xml:space="preserve"> L</w:t>
      </w:r>
      <w:r w:rsidR="00EA7809">
        <w:rPr>
          <w:rFonts w:ascii="Arial" w:hAnsi="Arial" w:cs="Arial"/>
        </w:rPr>
        <w:t>. &amp;</w:t>
      </w:r>
      <w:r w:rsidRPr="00070C9F">
        <w:rPr>
          <w:rFonts w:ascii="Arial" w:hAnsi="Arial" w:cs="Arial"/>
        </w:rPr>
        <w:t xml:space="preserve"> </w:t>
      </w:r>
      <w:proofErr w:type="spellStart"/>
      <w:r w:rsidRPr="00070C9F">
        <w:rPr>
          <w:rFonts w:ascii="Arial" w:hAnsi="Arial" w:cs="Arial"/>
        </w:rPr>
        <w:t>Toldrá</w:t>
      </w:r>
      <w:proofErr w:type="spellEnd"/>
      <w:r w:rsidR="00EA7809">
        <w:rPr>
          <w:rFonts w:ascii="Arial" w:hAnsi="Arial" w:cs="Arial"/>
        </w:rPr>
        <w:t>,</w:t>
      </w:r>
      <w:r w:rsidRPr="00070C9F">
        <w:rPr>
          <w:rFonts w:ascii="Arial" w:hAnsi="Arial" w:cs="Arial"/>
        </w:rPr>
        <w:t xml:space="preserve"> F.</w:t>
      </w:r>
      <w:r w:rsidR="00EA7809">
        <w:rPr>
          <w:rFonts w:ascii="Arial" w:hAnsi="Arial" w:cs="Arial"/>
        </w:rPr>
        <w:t xml:space="preserve"> (2020).</w:t>
      </w:r>
      <w:r w:rsidRPr="00070C9F">
        <w:rPr>
          <w:rFonts w:ascii="Arial" w:hAnsi="Arial" w:cs="Arial"/>
        </w:rPr>
        <w:t xml:space="preserve"> Developments in the use of lipase transesterification for biodiesel production from animal fat waste. </w:t>
      </w:r>
      <w:r w:rsidRPr="00EA7809">
        <w:rPr>
          <w:rFonts w:ascii="Arial" w:hAnsi="Arial" w:cs="Arial"/>
          <w:i/>
        </w:rPr>
        <w:t>Applied Science. 10</w:t>
      </w:r>
      <w:r w:rsidR="00EA7809" w:rsidRPr="00EA7809">
        <w:rPr>
          <w:rFonts w:ascii="Arial" w:hAnsi="Arial" w:cs="Arial"/>
          <w:i/>
        </w:rPr>
        <w:t>,</w:t>
      </w:r>
      <w:r w:rsidRPr="00070C9F">
        <w:rPr>
          <w:rFonts w:ascii="Arial" w:hAnsi="Arial" w:cs="Arial"/>
        </w:rPr>
        <w:t xml:space="preserve"> 5085. </w:t>
      </w:r>
      <w:hyperlink r:id="rId35" w:history="1">
        <w:r w:rsidRPr="00070C9F">
          <w:rPr>
            <w:rStyle w:val="Hyperlink"/>
            <w:rFonts w:ascii="Arial" w:hAnsi="Arial" w:cs="Arial"/>
          </w:rPr>
          <w:t>https://doi.org/10.3390/app10155085</w:t>
        </w:r>
      </w:hyperlink>
    </w:p>
    <w:p w14:paraId="110972B7" w14:textId="77777777" w:rsidR="00DF5C26" w:rsidRDefault="00DF5C26" w:rsidP="00BD5B8B">
      <w:pPr>
        <w:ind w:left="288" w:hangingChars="144" w:hanging="288"/>
        <w:jc w:val="both"/>
        <w:rPr>
          <w:rStyle w:val="Hyperlink"/>
          <w:rFonts w:ascii="Arial" w:hAnsi="Arial" w:cs="Arial"/>
        </w:rPr>
      </w:pPr>
      <w:proofErr w:type="spellStart"/>
      <w:r w:rsidRPr="00070C9F">
        <w:rPr>
          <w:rFonts w:ascii="Arial" w:hAnsi="Arial" w:cs="Arial"/>
        </w:rPr>
        <w:t>Wachtmeister</w:t>
      </w:r>
      <w:proofErr w:type="spellEnd"/>
      <w:r>
        <w:rPr>
          <w:rFonts w:ascii="Arial" w:hAnsi="Arial" w:cs="Arial"/>
        </w:rPr>
        <w:t>,</w:t>
      </w:r>
      <w:r w:rsidRPr="00070C9F">
        <w:rPr>
          <w:rFonts w:ascii="Arial" w:hAnsi="Arial" w:cs="Arial"/>
        </w:rPr>
        <w:t xml:space="preserve"> J</w:t>
      </w:r>
      <w:r>
        <w:rPr>
          <w:rFonts w:ascii="Arial" w:hAnsi="Arial" w:cs="Arial"/>
        </w:rPr>
        <w:t>. &amp;</w:t>
      </w:r>
      <w:r w:rsidRPr="00070C9F">
        <w:rPr>
          <w:rFonts w:ascii="Arial" w:hAnsi="Arial" w:cs="Arial"/>
        </w:rPr>
        <w:t xml:space="preserve"> Rother</w:t>
      </w:r>
      <w:r>
        <w:rPr>
          <w:rFonts w:ascii="Arial" w:hAnsi="Arial" w:cs="Arial"/>
        </w:rPr>
        <w:t>,</w:t>
      </w:r>
      <w:r w:rsidRPr="00070C9F">
        <w:rPr>
          <w:rFonts w:ascii="Arial" w:hAnsi="Arial" w:cs="Arial"/>
        </w:rPr>
        <w:t xml:space="preserve"> D.</w:t>
      </w:r>
      <w:r>
        <w:rPr>
          <w:rFonts w:ascii="Arial" w:hAnsi="Arial" w:cs="Arial"/>
        </w:rPr>
        <w:t xml:space="preserve"> (2016).</w:t>
      </w:r>
      <w:r w:rsidRPr="00070C9F">
        <w:rPr>
          <w:rFonts w:ascii="Arial" w:hAnsi="Arial" w:cs="Arial"/>
        </w:rPr>
        <w:t xml:space="preserve"> Recent advances in whole cell biocatalysis techniques bridging from investigative to industrial scale.</w:t>
      </w:r>
      <w:r>
        <w:rPr>
          <w:rFonts w:ascii="Arial" w:hAnsi="Arial" w:cs="Arial"/>
          <w:i/>
        </w:rPr>
        <w:t xml:space="preserve"> Curr. Opinion in Biotech.,</w:t>
      </w:r>
      <w:r w:rsidRPr="00226E4F">
        <w:rPr>
          <w:rFonts w:ascii="Arial" w:hAnsi="Arial" w:cs="Arial"/>
          <w:i/>
        </w:rPr>
        <w:t xml:space="preserve"> 42,</w:t>
      </w:r>
      <w:r>
        <w:rPr>
          <w:rFonts w:ascii="Arial" w:hAnsi="Arial" w:cs="Arial"/>
        </w:rPr>
        <w:t xml:space="preserve"> 169-</w:t>
      </w:r>
      <w:r w:rsidRPr="00070C9F">
        <w:rPr>
          <w:rFonts w:ascii="Arial" w:hAnsi="Arial" w:cs="Arial"/>
        </w:rPr>
        <w:t xml:space="preserve">177. </w:t>
      </w:r>
      <w:hyperlink r:id="rId36" w:history="1">
        <w:r w:rsidRPr="00070C9F">
          <w:rPr>
            <w:rStyle w:val="Hyperlink"/>
            <w:rFonts w:ascii="Arial" w:hAnsi="Arial" w:cs="Arial"/>
          </w:rPr>
          <w:t>https://doi.org/10.1016/j.copbio.2016.05.005</w:t>
        </w:r>
      </w:hyperlink>
    </w:p>
    <w:p w14:paraId="3A2AB0A5" w14:textId="75D96A55" w:rsidR="00356247" w:rsidRDefault="00356247" w:rsidP="00356247">
      <w:pPr>
        <w:ind w:left="288" w:hangingChars="144" w:hanging="288"/>
        <w:jc w:val="both"/>
        <w:rPr>
          <w:rFonts w:ascii="Arial" w:hAnsi="Arial" w:cs="Arial"/>
        </w:rPr>
      </w:pPr>
      <w:r w:rsidRPr="00356247">
        <w:rPr>
          <w:rFonts w:ascii="Arial" w:hAnsi="Arial" w:cs="Arial"/>
        </w:rPr>
        <w:t>Yilmaz, A.G. (2017)</w:t>
      </w:r>
      <w:r>
        <w:rPr>
          <w:rFonts w:ascii="Arial" w:hAnsi="Arial" w:cs="Arial"/>
        </w:rPr>
        <w:t xml:space="preserve">. </w:t>
      </w:r>
      <w:r w:rsidRPr="00356247">
        <w:rPr>
          <w:rFonts w:ascii="Arial" w:hAnsi="Arial" w:cs="Arial"/>
        </w:rPr>
        <w:t xml:space="preserve">Development of a new </w:t>
      </w:r>
      <w:r w:rsidRPr="00356247">
        <w:rPr>
          <w:rFonts w:ascii="Arial" w:hAnsi="Arial" w:cs="Arial"/>
          <w:i/>
        </w:rPr>
        <w:t>Pseudomonas</w:t>
      </w:r>
      <w:r w:rsidRPr="00356247">
        <w:rPr>
          <w:rFonts w:ascii="Arial" w:hAnsi="Arial" w:cs="Arial"/>
        </w:rPr>
        <w:t xml:space="preserve"> agar</w:t>
      </w:r>
      <w:r>
        <w:rPr>
          <w:rFonts w:ascii="Arial" w:hAnsi="Arial" w:cs="Arial"/>
        </w:rPr>
        <w:t xml:space="preserve"> </w:t>
      </w:r>
      <w:r w:rsidRPr="00356247">
        <w:rPr>
          <w:rFonts w:ascii="Arial" w:hAnsi="Arial" w:cs="Arial"/>
        </w:rPr>
        <w:t>medium containing benzalkonium chloride</w:t>
      </w:r>
      <w:r>
        <w:rPr>
          <w:rFonts w:ascii="Arial" w:hAnsi="Arial" w:cs="Arial"/>
        </w:rPr>
        <w:t xml:space="preserve"> </w:t>
      </w:r>
      <w:r w:rsidRPr="00356247">
        <w:rPr>
          <w:rFonts w:ascii="Arial" w:hAnsi="Arial" w:cs="Arial"/>
        </w:rPr>
        <w:t xml:space="preserve">in cetrimide agar. </w:t>
      </w:r>
      <w:r w:rsidRPr="00356247">
        <w:rPr>
          <w:rFonts w:ascii="Arial" w:hAnsi="Arial" w:cs="Arial"/>
          <w:i/>
        </w:rPr>
        <w:t>Food and Nutrition Sciences</w:t>
      </w:r>
      <w:r w:rsidRPr="00356247">
        <w:rPr>
          <w:rFonts w:ascii="Arial" w:hAnsi="Arial" w:cs="Arial"/>
        </w:rPr>
        <w:t xml:space="preserve">, </w:t>
      </w:r>
      <w:r w:rsidRPr="00356247">
        <w:rPr>
          <w:rFonts w:ascii="Arial" w:hAnsi="Arial" w:cs="Arial"/>
          <w:i/>
        </w:rPr>
        <w:t>8</w:t>
      </w:r>
      <w:r w:rsidRPr="00356247">
        <w:rPr>
          <w:rFonts w:ascii="Arial" w:hAnsi="Arial" w:cs="Arial"/>
        </w:rPr>
        <w:t>, 367-378.</w:t>
      </w:r>
      <w:r>
        <w:rPr>
          <w:rFonts w:ascii="Arial" w:hAnsi="Arial" w:cs="Arial"/>
        </w:rPr>
        <w:t xml:space="preserve"> </w:t>
      </w:r>
      <w:hyperlink r:id="rId37" w:history="1">
        <w:r w:rsidRPr="006610B7">
          <w:rPr>
            <w:rStyle w:val="Hyperlink"/>
            <w:rFonts w:ascii="Arial" w:hAnsi="Arial" w:cs="Arial"/>
          </w:rPr>
          <w:t>https://doi.org/10.4236/fns.2017.84025</w:t>
        </w:r>
      </w:hyperlink>
      <w:r>
        <w:rPr>
          <w:rFonts w:ascii="Arial" w:hAnsi="Arial" w:cs="Arial"/>
        </w:rPr>
        <w:t xml:space="preserve"> </w:t>
      </w:r>
    </w:p>
    <w:p w14:paraId="3282A11C" w14:textId="77777777" w:rsidR="00070C9F" w:rsidRDefault="00070C9F" w:rsidP="00BD5B8B">
      <w:pPr>
        <w:ind w:left="288" w:hangingChars="144" w:hanging="288"/>
        <w:jc w:val="both"/>
        <w:rPr>
          <w:rFonts w:ascii="Arial" w:hAnsi="Arial" w:cs="Arial"/>
        </w:rPr>
      </w:pPr>
      <w:r w:rsidRPr="00070C9F">
        <w:rPr>
          <w:rFonts w:ascii="Arial" w:hAnsi="Arial" w:cs="Arial"/>
        </w:rPr>
        <w:t>ZYMO Research (2021). Quick-DNA™ Fungal/Bacterial Miniprep Kit Instruction Manual Ver.2.2.2</w:t>
      </w:r>
      <w:r w:rsidR="001454C4">
        <w:rPr>
          <w:rFonts w:ascii="Arial" w:hAnsi="Arial" w:cs="Arial"/>
        </w:rPr>
        <w:t>.</w:t>
      </w:r>
    </w:p>
    <w:p w14:paraId="586B85B6" w14:textId="77777777" w:rsidR="008B2B66" w:rsidRPr="00070C9F" w:rsidRDefault="008B2B66" w:rsidP="00940AAB">
      <w:pPr>
        <w:pStyle w:val="ReferHead"/>
        <w:spacing w:after="0"/>
        <w:jc w:val="both"/>
        <w:rPr>
          <w:rFonts w:ascii="Arial" w:hAnsi="Arial" w:cs="Arial"/>
          <w:b w:val="0"/>
        </w:rPr>
        <w:sectPr w:rsidR="008B2B66" w:rsidRPr="00070C9F" w:rsidSect="00FE20F8">
          <w:headerReference w:type="even" r:id="rId38"/>
          <w:headerReference w:type="default" r:id="rId39"/>
          <w:footerReference w:type="default" r:id="rId40"/>
          <w:headerReference w:type="first" r:id="rId41"/>
          <w:type w:val="continuous"/>
          <w:pgSz w:w="12240" w:h="15840"/>
          <w:pgMar w:top="1440" w:right="2016" w:bottom="2016" w:left="2016" w:header="720" w:footer="1123" w:gutter="0"/>
          <w:cols w:space="720"/>
          <w:docGrid w:linePitch="272"/>
        </w:sectPr>
      </w:pPr>
    </w:p>
    <w:p w14:paraId="2FF58F74" w14:textId="77777777" w:rsidR="00B01FCD" w:rsidRPr="00FB3A86" w:rsidRDefault="00B01FCD" w:rsidP="00441B6F">
      <w:pPr>
        <w:pStyle w:val="Appendix"/>
        <w:spacing w:after="0"/>
        <w:jc w:val="both"/>
        <w:rPr>
          <w:rFonts w:ascii="Arial" w:hAnsi="Arial" w:cs="Arial"/>
          <w:b w:val="0"/>
        </w:rPr>
      </w:pPr>
    </w:p>
    <w:sectPr w:rsidR="00B01FCD" w:rsidRPr="00FB3A86" w:rsidSect="00FE20F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E2B1D" w14:textId="77777777" w:rsidR="0014529D" w:rsidRDefault="0014529D" w:rsidP="00C37E61">
      <w:r>
        <w:separator/>
      </w:r>
    </w:p>
  </w:endnote>
  <w:endnote w:type="continuationSeparator" w:id="0">
    <w:p w14:paraId="4A7868FE" w14:textId="77777777" w:rsidR="0014529D" w:rsidRDefault="0014529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61D78" w14:textId="77777777" w:rsidR="004E461C" w:rsidRDefault="004E46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0A229" w14:textId="77777777" w:rsidR="004E461C" w:rsidRDefault="004E46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60D4D" w14:textId="5D026FC5" w:rsidR="004E461C" w:rsidRPr="00C50571" w:rsidRDefault="004E461C" w:rsidP="00C505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0AAC9" w14:textId="77777777" w:rsidR="004E461C" w:rsidRPr="00C37E61" w:rsidRDefault="004E461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1F343" w14:textId="77777777" w:rsidR="0014529D" w:rsidRDefault="0014529D" w:rsidP="00C37E61">
      <w:r>
        <w:separator/>
      </w:r>
    </w:p>
  </w:footnote>
  <w:footnote w:type="continuationSeparator" w:id="0">
    <w:p w14:paraId="2C39238E" w14:textId="77777777" w:rsidR="0014529D" w:rsidRDefault="0014529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67C67" w14:textId="1E5646EC" w:rsidR="004E461C" w:rsidRDefault="0014529D">
    <w:pPr>
      <w:pStyle w:val="Header"/>
    </w:pPr>
    <w:r>
      <w:rPr>
        <w:noProof/>
      </w:rPr>
      <w:pict w14:anchorId="455D10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85640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E3941" w14:textId="0A18A782" w:rsidR="004E461C" w:rsidRDefault="0014529D">
    <w:pPr>
      <w:pStyle w:val="Header"/>
    </w:pPr>
    <w:r>
      <w:rPr>
        <w:noProof/>
      </w:rPr>
      <w:pict w14:anchorId="6F1B6C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85640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47159" w14:textId="491F974D" w:rsidR="004E461C" w:rsidRPr="00296529" w:rsidRDefault="0014529D" w:rsidP="00296529">
    <w:pPr>
      <w:ind w:left="2160"/>
      <w:jc w:val="center"/>
      <w:rPr>
        <w:rFonts w:ascii="Times New Roman" w:eastAsia="Calibri" w:hAnsi="Times New Roman"/>
        <w:i/>
        <w:sz w:val="18"/>
        <w:szCs w:val="22"/>
      </w:rPr>
    </w:pPr>
    <w:r>
      <w:rPr>
        <w:noProof/>
      </w:rPr>
      <w:pict w14:anchorId="5B077B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85640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AFD3A53" w14:textId="77777777" w:rsidR="004E461C" w:rsidRPr="00296529" w:rsidRDefault="004E461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FB35792" w14:textId="77777777" w:rsidR="004E461C" w:rsidRPr="00296529" w:rsidRDefault="004E461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E335894" w14:textId="77777777" w:rsidR="004E461C" w:rsidRPr="00296529" w:rsidRDefault="004E461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2D9E5C2" w14:textId="77777777" w:rsidR="004E461C" w:rsidRDefault="004E461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C4FFB98" w14:textId="77777777" w:rsidR="004E461C" w:rsidRDefault="004E461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373F84C" w14:textId="77777777" w:rsidR="004E461C" w:rsidRDefault="004E461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277B3" w14:textId="2F7B20FA" w:rsidR="004E461C" w:rsidRDefault="0014529D">
    <w:pPr>
      <w:pStyle w:val="Header"/>
    </w:pPr>
    <w:r>
      <w:rPr>
        <w:noProof/>
      </w:rPr>
      <w:pict w14:anchorId="29A810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85641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64FD7" w14:textId="6FFBDA9A" w:rsidR="004E461C" w:rsidRDefault="0014529D">
    <w:pPr>
      <w:pStyle w:val="Header"/>
    </w:pPr>
    <w:r>
      <w:rPr>
        <w:noProof/>
      </w:rPr>
      <w:pict w14:anchorId="6E272D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85641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28F81" w14:textId="144D25A0" w:rsidR="004E461C" w:rsidRDefault="0014529D">
    <w:pPr>
      <w:pStyle w:val="Header"/>
    </w:pPr>
    <w:r>
      <w:rPr>
        <w:noProof/>
      </w:rPr>
      <w:pict w14:anchorId="7BA8C2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85640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B11125B"/>
    <w:multiLevelType w:val="hybridMultilevel"/>
    <w:tmpl w:val="DBB8B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30BD"/>
    <w:rsid w:val="00030174"/>
    <w:rsid w:val="0003681E"/>
    <w:rsid w:val="0004034C"/>
    <w:rsid w:val="0004579C"/>
    <w:rsid w:val="0004789E"/>
    <w:rsid w:val="000669C0"/>
    <w:rsid w:val="00070C9F"/>
    <w:rsid w:val="000751EB"/>
    <w:rsid w:val="000A47FA"/>
    <w:rsid w:val="000A65D3"/>
    <w:rsid w:val="000B1E33"/>
    <w:rsid w:val="000B71AE"/>
    <w:rsid w:val="000B7B4B"/>
    <w:rsid w:val="000C6B1C"/>
    <w:rsid w:val="000C6DA9"/>
    <w:rsid w:val="000D05AA"/>
    <w:rsid w:val="000D689F"/>
    <w:rsid w:val="000E1A79"/>
    <w:rsid w:val="000E21C4"/>
    <w:rsid w:val="000E7B7B"/>
    <w:rsid w:val="000E7D62"/>
    <w:rsid w:val="00103357"/>
    <w:rsid w:val="001046E6"/>
    <w:rsid w:val="00110C39"/>
    <w:rsid w:val="00110E06"/>
    <w:rsid w:val="0011153A"/>
    <w:rsid w:val="00113657"/>
    <w:rsid w:val="00121CEA"/>
    <w:rsid w:val="00122FEC"/>
    <w:rsid w:val="00123C9F"/>
    <w:rsid w:val="00126190"/>
    <w:rsid w:val="00130F17"/>
    <w:rsid w:val="001320BF"/>
    <w:rsid w:val="00132A6B"/>
    <w:rsid w:val="00141CA5"/>
    <w:rsid w:val="0014529D"/>
    <w:rsid w:val="001454C4"/>
    <w:rsid w:val="00151002"/>
    <w:rsid w:val="0015294B"/>
    <w:rsid w:val="00155B46"/>
    <w:rsid w:val="00163BC4"/>
    <w:rsid w:val="00171A70"/>
    <w:rsid w:val="0017536E"/>
    <w:rsid w:val="00175917"/>
    <w:rsid w:val="00180533"/>
    <w:rsid w:val="00181D6A"/>
    <w:rsid w:val="00187136"/>
    <w:rsid w:val="00191062"/>
    <w:rsid w:val="00192B72"/>
    <w:rsid w:val="001A257A"/>
    <w:rsid w:val="001A29D8"/>
    <w:rsid w:val="001A4A44"/>
    <w:rsid w:val="001A5CAA"/>
    <w:rsid w:val="001B0427"/>
    <w:rsid w:val="001B1D29"/>
    <w:rsid w:val="001C13FB"/>
    <w:rsid w:val="001C3005"/>
    <w:rsid w:val="001C77DB"/>
    <w:rsid w:val="001D162D"/>
    <w:rsid w:val="001D3A51"/>
    <w:rsid w:val="001D4CCB"/>
    <w:rsid w:val="001D58DF"/>
    <w:rsid w:val="001E10D2"/>
    <w:rsid w:val="001E25B4"/>
    <w:rsid w:val="001E44FE"/>
    <w:rsid w:val="00200595"/>
    <w:rsid w:val="00204835"/>
    <w:rsid w:val="0021374D"/>
    <w:rsid w:val="0022030C"/>
    <w:rsid w:val="00224AB9"/>
    <w:rsid w:val="00226E4F"/>
    <w:rsid w:val="00231920"/>
    <w:rsid w:val="0023195C"/>
    <w:rsid w:val="00240343"/>
    <w:rsid w:val="0024147F"/>
    <w:rsid w:val="0024282C"/>
    <w:rsid w:val="002460DC"/>
    <w:rsid w:val="00250985"/>
    <w:rsid w:val="002518C4"/>
    <w:rsid w:val="00251D74"/>
    <w:rsid w:val="00254F1B"/>
    <w:rsid w:val="002556F6"/>
    <w:rsid w:val="002559CA"/>
    <w:rsid w:val="00256E46"/>
    <w:rsid w:val="00264B1D"/>
    <w:rsid w:val="00265A19"/>
    <w:rsid w:val="0026771C"/>
    <w:rsid w:val="00270B8A"/>
    <w:rsid w:val="00273D42"/>
    <w:rsid w:val="00275CC9"/>
    <w:rsid w:val="00283105"/>
    <w:rsid w:val="00284C4C"/>
    <w:rsid w:val="00286448"/>
    <w:rsid w:val="002872B3"/>
    <w:rsid w:val="00287E68"/>
    <w:rsid w:val="00290F03"/>
    <w:rsid w:val="00296529"/>
    <w:rsid w:val="002A1B8D"/>
    <w:rsid w:val="002A6881"/>
    <w:rsid w:val="002B0618"/>
    <w:rsid w:val="002B27FB"/>
    <w:rsid w:val="002B685A"/>
    <w:rsid w:val="002C57D2"/>
    <w:rsid w:val="002C57E3"/>
    <w:rsid w:val="002E0D56"/>
    <w:rsid w:val="002E7F2A"/>
    <w:rsid w:val="002F5F57"/>
    <w:rsid w:val="00315186"/>
    <w:rsid w:val="0033343E"/>
    <w:rsid w:val="003512C2"/>
    <w:rsid w:val="00356247"/>
    <w:rsid w:val="003605D6"/>
    <w:rsid w:val="00365B44"/>
    <w:rsid w:val="0036718E"/>
    <w:rsid w:val="003716AB"/>
    <w:rsid w:val="00371FB6"/>
    <w:rsid w:val="00374505"/>
    <w:rsid w:val="003763C1"/>
    <w:rsid w:val="00376BBE"/>
    <w:rsid w:val="003778F1"/>
    <w:rsid w:val="00380E12"/>
    <w:rsid w:val="00384D0C"/>
    <w:rsid w:val="0039220F"/>
    <w:rsid w:val="0039224F"/>
    <w:rsid w:val="003A43A4"/>
    <w:rsid w:val="003A7E18"/>
    <w:rsid w:val="003B1591"/>
    <w:rsid w:val="003B7482"/>
    <w:rsid w:val="003C4C86"/>
    <w:rsid w:val="003C6258"/>
    <w:rsid w:val="003E169B"/>
    <w:rsid w:val="003E2904"/>
    <w:rsid w:val="003E3209"/>
    <w:rsid w:val="003F022F"/>
    <w:rsid w:val="003F3893"/>
    <w:rsid w:val="003F3AA2"/>
    <w:rsid w:val="003F7CF9"/>
    <w:rsid w:val="00401927"/>
    <w:rsid w:val="0041027F"/>
    <w:rsid w:val="00412475"/>
    <w:rsid w:val="00421174"/>
    <w:rsid w:val="00423789"/>
    <w:rsid w:val="00423D06"/>
    <w:rsid w:val="00434325"/>
    <w:rsid w:val="00440F43"/>
    <w:rsid w:val="00441B6F"/>
    <w:rsid w:val="00446221"/>
    <w:rsid w:val="00447B34"/>
    <w:rsid w:val="00450E62"/>
    <w:rsid w:val="004539DB"/>
    <w:rsid w:val="0045799F"/>
    <w:rsid w:val="004616BA"/>
    <w:rsid w:val="00471A80"/>
    <w:rsid w:val="0047479A"/>
    <w:rsid w:val="00483F95"/>
    <w:rsid w:val="00484841"/>
    <w:rsid w:val="00492811"/>
    <w:rsid w:val="004B3E3F"/>
    <w:rsid w:val="004C461D"/>
    <w:rsid w:val="004D0F71"/>
    <w:rsid w:val="004D305E"/>
    <w:rsid w:val="004D4277"/>
    <w:rsid w:val="004D68BF"/>
    <w:rsid w:val="004E01BD"/>
    <w:rsid w:val="004E32F2"/>
    <w:rsid w:val="004E461C"/>
    <w:rsid w:val="004E52C7"/>
    <w:rsid w:val="004E713F"/>
    <w:rsid w:val="004F3BC7"/>
    <w:rsid w:val="004F7D67"/>
    <w:rsid w:val="00502516"/>
    <w:rsid w:val="00502881"/>
    <w:rsid w:val="00505F06"/>
    <w:rsid w:val="00506828"/>
    <w:rsid w:val="005141F1"/>
    <w:rsid w:val="005267A3"/>
    <w:rsid w:val="0053056E"/>
    <w:rsid w:val="00544656"/>
    <w:rsid w:val="0055156E"/>
    <w:rsid w:val="0055285F"/>
    <w:rsid w:val="00554FDA"/>
    <w:rsid w:val="005644F9"/>
    <w:rsid w:val="0056761F"/>
    <w:rsid w:val="00581AEC"/>
    <w:rsid w:val="005858BF"/>
    <w:rsid w:val="005B40C6"/>
    <w:rsid w:val="005B5285"/>
    <w:rsid w:val="005B61F0"/>
    <w:rsid w:val="005C472E"/>
    <w:rsid w:val="005C784C"/>
    <w:rsid w:val="005D12D9"/>
    <w:rsid w:val="005D17F6"/>
    <w:rsid w:val="005E49ED"/>
    <w:rsid w:val="005E5539"/>
    <w:rsid w:val="005F6EA8"/>
    <w:rsid w:val="006002A1"/>
    <w:rsid w:val="00601196"/>
    <w:rsid w:val="00602BF5"/>
    <w:rsid w:val="00617FDD"/>
    <w:rsid w:val="00633614"/>
    <w:rsid w:val="00633F68"/>
    <w:rsid w:val="00636EB2"/>
    <w:rsid w:val="006375B8"/>
    <w:rsid w:val="00653F24"/>
    <w:rsid w:val="0066510A"/>
    <w:rsid w:val="00666C8E"/>
    <w:rsid w:val="00673F9F"/>
    <w:rsid w:val="00674412"/>
    <w:rsid w:val="00684D4A"/>
    <w:rsid w:val="00686953"/>
    <w:rsid w:val="00687DEA"/>
    <w:rsid w:val="00687E67"/>
    <w:rsid w:val="006967F7"/>
    <w:rsid w:val="006A250C"/>
    <w:rsid w:val="006A4F7D"/>
    <w:rsid w:val="006B21D3"/>
    <w:rsid w:val="006B57D0"/>
    <w:rsid w:val="006D30FF"/>
    <w:rsid w:val="006D6940"/>
    <w:rsid w:val="006E7D56"/>
    <w:rsid w:val="006F11EC"/>
    <w:rsid w:val="006F19F4"/>
    <w:rsid w:val="006F623F"/>
    <w:rsid w:val="0070082C"/>
    <w:rsid w:val="007124B8"/>
    <w:rsid w:val="007369E6"/>
    <w:rsid w:val="007459AD"/>
    <w:rsid w:val="00746D2B"/>
    <w:rsid w:val="00746E59"/>
    <w:rsid w:val="007475B0"/>
    <w:rsid w:val="00752F93"/>
    <w:rsid w:val="00754C9A"/>
    <w:rsid w:val="0075599A"/>
    <w:rsid w:val="007570F9"/>
    <w:rsid w:val="00761D52"/>
    <w:rsid w:val="00772E7B"/>
    <w:rsid w:val="0077749E"/>
    <w:rsid w:val="0078380E"/>
    <w:rsid w:val="00785662"/>
    <w:rsid w:val="007863B0"/>
    <w:rsid w:val="00790ADA"/>
    <w:rsid w:val="0079257D"/>
    <w:rsid w:val="007B4498"/>
    <w:rsid w:val="007C2565"/>
    <w:rsid w:val="007D2288"/>
    <w:rsid w:val="007E0381"/>
    <w:rsid w:val="007E088F"/>
    <w:rsid w:val="007E0EAD"/>
    <w:rsid w:val="007E78E5"/>
    <w:rsid w:val="007F7B32"/>
    <w:rsid w:val="00802B54"/>
    <w:rsid w:val="008037CC"/>
    <w:rsid w:val="00804BC2"/>
    <w:rsid w:val="0081431A"/>
    <w:rsid w:val="00814639"/>
    <w:rsid w:val="008204D9"/>
    <w:rsid w:val="00821ADD"/>
    <w:rsid w:val="008239A6"/>
    <w:rsid w:val="0083216F"/>
    <w:rsid w:val="00834CAE"/>
    <w:rsid w:val="00835918"/>
    <w:rsid w:val="0083614E"/>
    <w:rsid w:val="00836EFB"/>
    <w:rsid w:val="00860000"/>
    <w:rsid w:val="00863BD3"/>
    <w:rsid w:val="008641ED"/>
    <w:rsid w:val="00865EC6"/>
    <w:rsid w:val="00866D66"/>
    <w:rsid w:val="008671C6"/>
    <w:rsid w:val="00875803"/>
    <w:rsid w:val="008976CD"/>
    <w:rsid w:val="008A4507"/>
    <w:rsid w:val="008A489F"/>
    <w:rsid w:val="008B1C11"/>
    <w:rsid w:val="008B2B66"/>
    <w:rsid w:val="008B459E"/>
    <w:rsid w:val="008B6EC7"/>
    <w:rsid w:val="008C40E9"/>
    <w:rsid w:val="008D773D"/>
    <w:rsid w:val="008D7FBC"/>
    <w:rsid w:val="008E0E77"/>
    <w:rsid w:val="008E13AE"/>
    <w:rsid w:val="008E1506"/>
    <w:rsid w:val="008E710C"/>
    <w:rsid w:val="008F05BF"/>
    <w:rsid w:val="008F111D"/>
    <w:rsid w:val="008F69D6"/>
    <w:rsid w:val="00902823"/>
    <w:rsid w:val="0090540B"/>
    <w:rsid w:val="00911210"/>
    <w:rsid w:val="00915CA6"/>
    <w:rsid w:val="00921AA9"/>
    <w:rsid w:val="00922750"/>
    <w:rsid w:val="00927834"/>
    <w:rsid w:val="00935453"/>
    <w:rsid w:val="00940AAB"/>
    <w:rsid w:val="00947640"/>
    <w:rsid w:val="009500A6"/>
    <w:rsid w:val="00957C18"/>
    <w:rsid w:val="00963D01"/>
    <w:rsid w:val="009659BA"/>
    <w:rsid w:val="0096699E"/>
    <w:rsid w:val="00981240"/>
    <w:rsid w:val="00981DDA"/>
    <w:rsid w:val="00983018"/>
    <w:rsid w:val="00983040"/>
    <w:rsid w:val="009959A4"/>
    <w:rsid w:val="009A2F9E"/>
    <w:rsid w:val="009A61CB"/>
    <w:rsid w:val="009B2FBD"/>
    <w:rsid w:val="009B3FB9"/>
    <w:rsid w:val="009C2465"/>
    <w:rsid w:val="009C7C03"/>
    <w:rsid w:val="009D35A0"/>
    <w:rsid w:val="009D3AA3"/>
    <w:rsid w:val="009D5420"/>
    <w:rsid w:val="009D7EB7"/>
    <w:rsid w:val="009E048A"/>
    <w:rsid w:val="009E08E9"/>
    <w:rsid w:val="009E3DB9"/>
    <w:rsid w:val="009E6E35"/>
    <w:rsid w:val="009F0EDA"/>
    <w:rsid w:val="00A03B96"/>
    <w:rsid w:val="00A05B19"/>
    <w:rsid w:val="00A1128F"/>
    <w:rsid w:val="00A1134E"/>
    <w:rsid w:val="00A12BA4"/>
    <w:rsid w:val="00A14D3D"/>
    <w:rsid w:val="00A20A6C"/>
    <w:rsid w:val="00A2224F"/>
    <w:rsid w:val="00A23F57"/>
    <w:rsid w:val="00A24E7E"/>
    <w:rsid w:val="00A258C3"/>
    <w:rsid w:val="00A347C0"/>
    <w:rsid w:val="00A37CC5"/>
    <w:rsid w:val="00A42F34"/>
    <w:rsid w:val="00A51431"/>
    <w:rsid w:val="00A52A87"/>
    <w:rsid w:val="00A538A5"/>
    <w:rsid w:val="00A539AD"/>
    <w:rsid w:val="00A8477E"/>
    <w:rsid w:val="00A928C8"/>
    <w:rsid w:val="00A94063"/>
    <w:rsid w:val="00A96D3C"/>
    <w:rsid w:val="00AA6219"/>
    <w:rsid w:val="00AA74E0"/>
    <w:rsid w:val="00AB0CDB"/>
    <w:rsid w:val="00AB532F"/>
    <w:rsid w:val="00AB703F"/>
    <w:rsid w:val="00AC0D05"/>
    <w:rsid w:val="00AC6BB8"/>
    <w:rsid w:val="00AE008F"/>
    <w:rsid w:val="00AE5F63"/>
    <w:rsid w:val="00AE7E10"/>
    <w:rsid w:val="00AF44E3"/>
    <w:rsid w:val="00B01FCD"/>
    <w:rsid w:val="00B1776C"/>
    <w:rsid w:val="00B2193D"/>
    <w:rsid w:val="00B21C2A"/>
    <w:rsid w:val="00B3667E"/>
    <w:rsid w:val="00B52583"/>
    <w:rsid w:val="00B52896"/>
    <w:rsid w:val="00B64111"/>
    <w:rsid w:val="00B71063"/>
    <w:rsid w:val="00B855DD"/>
    <w:rsid w:val="00B86201"/>
    <w:rsid w:val="00B95236"/>
    <w:rsid w:val="00B96BD9"/>
    <w:rsid w:val="00BA0314"/>
    <w:rsid w:val="00BA1B01"/>
    <w:rsid w:val="00BA2641"/>
    <w:rsid w:val="00BA269C"/>
    <w:rsid w:val="00BA35A5"/>
    <w:rsid w:val="00BB26F8"/>
    <w:rsid w:val="00BB37AA"/>
    <w:rsid w:val="00BB41C3"/>
    <w:rsid w:val="00BC53A0"/>
    <w:rsid w:val="00BD5B8B"/>
    <w:rsid w:val="00BE62AD"/>
    <w:rsid w:val="00BF121F"/>
    <w:rsid w:val="00BF1F80"/>
    <w:rsid w:val="00C00A4E"/>
    <w:rsid w:val="00C018E1"/>
    <w:rsid w:val="00C15C33"/>
    <w:rsid w:val="00C166EF"/>
    <w:rsid w:val="00C17EB0"/>
    <w:rsid w:val="00C23D2D"/>
    <w:rsid w:val="00C27F5F"/>
    <w:rsid w:val="00C3004A"/>
    <w:rsid w:val="00C30A0F"/>
    <w:rsid w:val="00C37E61"/>
    <w:rsid w:val="00C50571"/>
    <w:rsid w:val="00C54292"/>
    <w:rsid w:val="00C550D7"/>
    <w:rsid w:val="00C56479"/>
    <w:rsid w:val="00C60D01"/>
    <w:rsid w:val="00C663BE"/>
    <w:rsid w:val="00C70F1B"/>
    <w:rsid w:val="00C71A47"/>
    <w:rsid w:val="00C7464C"/>
    <w:rsid w:val="00C764BF"/>
    <w:rsid w:val="00C766B2"/>
    <w:rsid w:val="00C77DBA"/>
    <w:rsid w:val="00C85588"/>
    <w:rsid w:val="00C966BA"/>
    <w:rsid w:val="00CA08EA"/>
    <w:rsid w:val="00CA24E3"/>
    <w:rsid w:val="00CB3D64"/>
    <w:rsid w:val="00CC00BB"/>
    <w:rsid w:val="00CC0710"/>
    <w:rsid w:val="00CC702D"/>
    <w:rsid w:val="00CD0F06"/>
    <w:rsid w:val="00CD6755"/>
    <w:rsid w:val="00CD6856"/>
    <w:rsid w:val="00CD6E95"/>
    <w:rsid w:val="00CE0089"/>
    <w:rsid w:val="00CE1CE8"/>
    <w:rsid w:val="00CE31F7"/>
    <w:rsid w:val="00CE593F"/>
    <w:rsid w:val="00CE793C"/>
    <w:rsid w:val="00CF193C"/>
    <w:rsid w:val="00D173F1"/>
    <w:rsid w:val="00D27D6E"/>
    <w:rsid w:val="00D42DD5"/>
    <w:rsid w:val="00D635D2"/>
    <w:rsid w:val="00D74CB0"/>
    <w:rsid w:val="00D76323"/>
    <w:rsid w:val="00D77FF8"/>
    <w:rsid w:val="00D8295D"/>
    <w:rsid w:val="00D967A9"/>
    <w:rsid w:val="00DC2A65"/>
    <w:rsid w:val="00DC3FAD"/>
    <w:rsid w:val="00DC6387"/>
    <w:rsid w:val="00DE13B0"/>
    <w:rsid w:val="00DE15F0"/>
    <w:rsid w:val="00DE5663"/>
    <w:rsid w:val="00DE5768"/>
    <w:rsid w:val="00DE78AA"/>
    <w:rsid w:val="00DF5C26"/>
    <w:rsid w:val="00E053D0"/>
    <w:rsid w:val="00E1213D"/>
    <w:rsid w:val="00E15994"/>
    <w:rsid w:val="00E15E70"/>
    <w:rsid w:val="00E26E50"/>
    <w:rsid w:val="00E3114E"/>
    <w:rsid w:val="00E31A70"/>
    <w:rsid w:val="00E35B02"/>
    <w:rsid w:val="00E566CF"/>
    <w:rsid w:val="00E60CD8"/>
    <w:rsid w:val="00E64D29"/>
    <w:rsid w:val="00E66496"/>
    <w:rsid w:val="00E66B35"/>
    <w:rsid w:val="00E66E10"/>
    <w:rsid w:val="00E7041F"/>
    <w:rsid w:val="00E76692"/>
    <w:rsid w:val="00E769F6"/>
    <w:rsid w:val="00E8407C"/>
    <w:rsid w:val="00E84F3C"/>
    <w:rsid w:val="00E868C4"/>
    <w:rsid w:val="00EA012C"/>
    <w:rsid w:val="00EA316F"/>
    <w:rsid w:val="00EA47F2"/>
    <w:rsid w:val="00EA7809"/>
    <w:rsid w:val="00EB7390"/>
    <w:rsid w:val="00EC6A55"/>
    <w:rsid w:val="00ED0288"/>
    <w:rsid w:val="00ED15E2"/>
    <w:rsid w:val="00ED4112"/>
    <w:rsid w:val="00ED4C07"/>
    <w:rsid w:val="00EE2B6A"/>
    <w:rsid w:val="00EE3FAB"/>
    <w:rsid w:val="00EE52CB"/>
    <w:rsid w:val="00EF0F9F"/>
    <w:rsid w:val="00EF3947"/>
    <w:rsid w:val="00EF581D"/>
    <w:rsid w:val="00EF7CF3"/>
    <w:rsid w:val="00EF7FD8"/>
    <w:rsid w:val="00F06F59"/>
    <w:rsid w:val="00F10D6C"/>
    <w:rsid w:val="00F17988"/>
    <w:rsid w:val="00F469F0"/>
    <w:rsid w:val="00F53273"/>
    <w:rsid w:val="00F5463A"/>
    <w:rsid w:val="00F564B5"/>
    <w:rsid w:val="00F6009B"/>
    <w:rsid w:val="00F707B9"/>
    <w:rsid w:val="00F755E4"/>
    <w:rsid w:val="00F77D02"/>
    <w:rsid w:val="00F8354D"/>
    <w:rsid w:val="00F937DC"/>
    <w:rsid w:val="00F945D9"/>
    <w:rsid w:val="00FA342C"/>
    <w:rsid w:val="00FA36C4"/>
    <w:rsid w:val="00FB36C2"/>
    <w:rsid w:val="00FB3A86"/>
    <w:rsid w:val="00FB3E02"/>
    <w:rsid w:val="00FC4EFF"/>
    <w:rsid w:val="00FD0B96"/>
    <w:rsid w:val="00FD1518"/>
    <w:rsid w:val="00FD30DA"/>
    <w:rsid w:val="00FD36C8"/>
    <w:rsid w:val="00FE1294"/>
    <w:rsid w:val="00FE20F8"/>
    <w:rsid w:val="00FE6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C528873"/>
  <w15:docId w15:val="{C6E2C463-503A-4EEA-84DF-86B4AB5F9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C15C3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C15C33"/>
    <w:rPr>
      <w:rFonts w:asciiTheme="majorHAnsi" w:eastAsiaTheme="majorEastAsia" w:hAnsiTheme="majorHAnsi" w:cstheme="majorBidi"/>
      <w:b/>
      <w:bCs/>
      <w:color w:val="4F81BD" w:themeColor="accent1"/>
    </w:rPr>
  </w:style>
  <w:style w:type="table" w:customStyle="1" w:styleId="PlainTable21">
    <w:name w:val="Plain Table 21"/>
    <w:basedOn w:val="TableNormal"/>
    <w:next w:val="TableNormal"/>
    <w:uiPriority w:val="42"/>
    <w:rsid w:val="00C15C33"/>
    <w:rPr>
      <w:rFonts w:ascii="Calibri" w:eastAsia="Calibri" w:hAnsi="Calibri"/>
      <w:kern w:val="2"/>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ListParagraph">
    <w:name w:val="List Paragraph"/>
    <w:basedOn w:val="Normal"/>
    <w:uiPriority w:val="34"/>
    <w:qFormat/>
    <w:rsid w:val="00070C9F"/>
    <w:pPr>
      <w:ind w:left="720"/>
      <w:contextualSpacing/>
      <w:jc w:val="both"/>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070C9F"/>
    <w:rPr>
      <w:rFonts w:ascii="Helvetica" w:hAnsi="Helvetica"/>
    </w:rPr>
  </w:style>
  <w:style w:type="character" w:customStyle="1" w:styleId="UnresolvedMention2">
    <w:name w:val="Unresolved Mention2"/>
    <w:basedOn w:val="DefaultParagraphFont"/>
    <w:uiPriority w:val="99"/>
    <w:semiHidden/>
    <w:unhideWhenUsed/>
    <w:rsid w:val="001046E6"/>
    <w:rPr>
      <w:color w:val="605E5C"/>
      <w:shd w:val="clear" w:color="auto" w:fill="E1DFDD"/>
    </w:rPr>
  </w:style>
  <w:style w:type="table" w:customStyle="1" w:styleId="TableGrid1">
    <w:name w:val="Table Grid1"/>
    <w:basedOn w:val="TableNormal"/>
    <w:next w:val="TableGrid"/>
    <w:uiPriority w:val="39"/>
    <w:rsid w:val="00C966BA"/>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doi.org/10.22207/JPAM.18.2.33" TargetMode="External"/><Relationship Id="rId39" Type="http://schemas.openxmlformats.org/officeDocument/2006/relationships/header" Target="header5.xml"/><Relationship Id="rId21" Type="http://schemas.openxmlformats.org/officeDocument/2006/relationships/hyperlink" Target="https://doi.org/10.1111/1751-7915.12363" TargetMode="External"/><Relationship Id="rId34" Type="http://schemas.openxmlformats.org/officeDocument/2006/relationships/hyperlink" Target="https://doi.org/10.2991/icomse-17.%202018.14"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1088/1755-1315/1550/1/012029" TargetMode="External"/><Relationship Id="rId29" Type="http://schemas.openxmlformats.org/officeDocument/2006/relationships/hyperlink" Target="https://doi.org/10.9767/bcrec.20143"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S12649-014-9314-7" TargetMode="External"/><Relationship Id="rId32" Type="http://schemas.openxmlformats.org/officeDocument/2006/relationships/hyperlink" Target="https://doi.org/10.1038/s41598-025-25746-2" TargetMode="External"/><Relationship Id="rId37" Type="http://schemas.openxmlformats.org/officeDocument/2006/relationships/hyperlink" Target="https://doi.org/10.4236/fns.2017.84025" TargetMode="Externa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3390/fermentation8080411" TargetMode="External"/><Relationship Id="rId28" Type="http://schemas.openxmlformats.org/officeDocument/2006/relationships/hyperlink" Target="https://doi.org/10.46488/NEPT.2023.v22i03.019" TargetMode="External"/><Relationship Id="rId36" Type="http://schemas.openxmlformats.org/officeDocument/2006/relationships/hyperlink" Target="https://doi.org/10.1016/j.copbio.2016.05.005" TargetMode="External"/><Relationship Id="rId10" Type="http://schemas.openxmlformats.org/officeDocument/2006/relationships/footer" Target="footer1.xml"/><Relationship Id="rId19" Type="http://schemas.openxmlformats.org/officeDocument/2006/relationships/hyperlink" Target="https://doi.org/10.36348/sjpm.2020.v05i06.004" TargetMode="External"/><Relationship Id="rId31" Type="http://schemas.openxmlformats.org/officeDocument/2006/relationships/hyperlink" Target="https://doi.org/10.1186/s13068-025-02642-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38/s41598-019-55403-4" TargetMode="External"/><Relationship Id="rId27" Type="http://schemas.openxmlformats.org/officeDocument/2006/relationships/hyperlink" Target="https://doi.org/10.3390/catal10111277" TargetMode="External"/><Relationship Id="rId30" Type="http://schemas.openxmlformats.org/officeDocument/2006/relationships/hyperlink" Target="https://doi.org/10.9734/BMRJ/2015/18601" TargetMode="External"/><Relationship Id="rId35" Type="http://schemas.openxmlformats.org/officeDocument/2006/relationships/hyperlink" Target="https://doi.org/10.3390/app10155085"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10.1186/s40807-025-00161-3" TargetMode="External"/><Relationship Id="rId33" Type="http://schemas.openxmlformats.org/officeDocument/2006/relationships/hyperlink" Target="https://doi.org/10.3389/fctls.2024.1360702" TargetMode="External"/><Relationship Id="rId38"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97DC5-6A86-4924-8847-8A87E76A7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1186</TotalTime>
  <Pages>17</Pages>
  <Words>6581</Words>
  <Characters>41660</Characters>
  <Application>Microsoft Office Word</Application>
  <DocSecurity>0</DocSecurity>
  <Lines>757</Lines>
  <Paragraphs>285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47956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293</cp:revision>
  <cp:lastPrinted>1999-07-06T11:00:00Z</cp:lastPrinted>
  <dcterms:created xsi:type="dcterms:W3CDTF">2014-10-25T14:34:00Z</dcterms:created>
  <dcterms:modified xsi:type="dcterms:W3CDTF">2026-04-08T12:30:00Z</dcterms:modified>
</cp:coreProperties>
</file>