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CEE47" w14:textId="77777777" w:rsidR="00D03065" w:rsidRDefault="004B14FB">
      <w:pPr>
        <w:pStyle w:val="NoSpacing"/>
        <w:jc w:val="right"/>
        <w:rPr>
          <w:rFonts w:ascii="Arial" w:hAnsi="Arial" w:cs="Arial"/>
          <w:b/>
        </w:rPr>
      </w:pPr>
      <w:r>
        <w:rPr>
          <w:rFonts w:ascii="Arial" w:hAnsi="Arial" w:cs="Arial"/>
          <w:b/>
        </w:rPr>
        <w:t xml:space="preserve">Technology-Assisted Neurobehavioral and Histomorphometric Assessment of Chronic </w:t>
      </w:r>
      <w:bookmarkStart w:id="0" w:name="_Hlk225777581"/>
      <w:r>
        <w:rPr>
          <w:rFonts w:ascii="Arial" w:hAnsi="Arial" w:cs="Arial"/>
          <w:b/>
        </w:rPr>
        <w:t>Lead and Cadmium Exposure in an Animal</w:t>
      </w:r>
      <w:bookmarkEnd w:id="0"/>
      <w:r>
        <w:rPr>
          <w:rFonts w:ascii="Arial" w:hAnsi="Arial" w:cs="Arial"/>
          <w:b/>
        </w:rPr>
        <w:t xml:space="preserve"> Study</w:t>
      </w:r>
    </w:p>
    <w:p w14:paraId="3E6DDEF4" w14:textId="77777777" w:rsidR="00D03065" w:rsidRDefault="00D03065">
      <w:pPr>
        <w:pStyle w:val="NoSpacing"/>
        <w:jc w:val="right"/>
        <w:rPr>
          <w:rFonts w:ascii="Arial" w:hAnsi="Arial" w:cs="Arial"/>
          <w:b/>
        </w:rPr>
      </w:pPr>
    </w:p>
    <w:p w14:paraId="180F0338" w14:textId="77777777" w:rsidR="00D03065" w:rsidRDefault="00D03065">
      <w:pPr>
        <w:pStyle w:val="NoSpacing"/>
        <w:jc w:val="both"/>
        <w:rPr>
          <w:rFonts w:ascii="Times New Roman" w:hAnsi="Times New Roman" w:cs="Times New Roman"/>
          <w:sz w:val="24"/>
        </w:rPr>
      </w:pPr>
    </w:p>
    <w:p w14:paraId="12FB4740" w14:textId="77777777" w:rsidR="00D03065" w:rsidRDefault="00D03065">
      <w:pPr>
        <w:pStyle w:val="NoSpacing"/>
        <w:jc w:val="both"/>
        <w:rPr>
          <w:rFonts w:ascii="Times New Roman" w:hAnsi="Times New Roman" w:cs="Times New Roman"/>
          <w:sz w:val="24"/>
          <w:szCs w:val="24"/>
        </w:rPr>
      </w:pPr>
    </w:p>
    <w:p w14:paraId="4CE915CD" w14:textId="77777777" w:rsidR="00D03065" w:rsidRDefault="00D03065">
      <w:pPr>
        <w:pStyle w:val="NoSpacing"/>
        <w:jc w:val="both"/>
        <w:rPr>
          <w:rFonts w:ascii="Times New Roman" w:hAnsi="Times New Roman" w:cs="Times New Roman"/>
          <w:sz w:val="24"/>
          <w:szCs w:val="24"/>
        </w:rPr>
      </w:pPr>
    </w:p>
    <w:p w14:paraId="24F6321D" w14:textId="77777777" w:rsidR="00D03065" w:rsidRDefault="004B14FB">
      <w:pPr>
        <w:pStyle w:val="NoSpacing"/>
        <w:rPr>
          <w:rFonts w:ascii="Arial" w:hAnsi="Arial" w:cs="Arial"/>
          <w:b/>
        </w:rPr>
      </w:pPr>
      <w:r>
        <w:rPr>
          <w:rFonts w:ascii="Arial" w:hAnsi="Arial" w:cs="Arial"/>
          <w:b/>
        </w:rPr>
        <w:t>ABSTRACT</w:t>
      </w:r>
    </w:p>
    <w:p w14:paraId="13ED57CE" w14:textId="77777777" w:rsidR="00D03065" w:rsidRDefault="00D03065">
      <w:pPr>
        <w:pStyle w:val="NoSpacing"/>
        <w:jc w:val="both"/>
        <w:rPr>
          <w:rFonts w:ascii="Times New Roman" w:eastAsia="Georgia" w:hAnsi="Times New Roman" w:cs="Times New Roman"/>
          <w:color w:val="000000"/>
          <w:sz w:val="24"/>
          <w:szCs w:val="24"/>
        </w:rPr>
      </w:pPr>
    </w:p>
    <w:p w14:paraId="6D0A60FB" w14:textId="77777777" w:rsidR="006C1D1F" w:rsidRDefault="006C1D1F">
      <w:pPr>
        <w:pStyle w:val="NoSpacing"/>
        <w:jc w:val="both"/>
        <w:rPr>
          <w:rFonts w:ascii="Times New Roman" w:eastAsia="Georgia" w:hAnsi="Times New Roman" w:cs="Times New Roman"/>
          <w:b/>
          <w:bCs/>
          <w:color w:val="000000"/>
          <w:sz w:val="24"/>
          <w:szCs w:val="24"/>
        </w:rPr>
      </w:pPr>
    </w:p>
    <w:p w14:paraId="63C6E83F" w14:textId="7B7DDB91" w:rsidR="006C1D1F" w:rsidRDefault="006C1D1F">
      <w:pPr>
        <w:pStyle w:val="NoSpacing"/>
        <w:jc w:val="both"/>
        <w:rPr>
          <w:rFonts w:ascii="Times New Roman" w:eastAsia="Georgia" w:hAnsi="Times New Roman" w:cs="Times New Roman"/>
          <w:b/>
          <w:bCs/>
          <w:color w:val="000000"/>
          <w:sz w:val="24"/>
          <w:szCs w:val="24"/>
        </w:rPr>
      </w:pPr>
      <w:r>
        <w:rPr>
          <w:rFonts w:ascii="Times New Roman" w:eastAsia="Georgia" w:hAnsi="Times New Roman" w:cs="Times New Roman"/>
          <w:b/>
          <w:bCs/>
          <w:color w:val="000000"/>
          <w:sz w:val="24"/>
          <w:szCs w:val="24"/>
        </w:rPr>
        <w:t>Backgrounds:</w:t>
      </w:r>
      <w:r w:rsidRPr="006C1D1F">
        <w:t xml:space="preserve"> </w:t>
      </w:r>
      <w:r w:rsidRPr="006C1D1F">
        <w:rPr>
          <w:rFonts w:ascii="Times New Roman" w:eastAsia="Georgia" w:hAnsi="Times New Roman" w:cs="Times New Roman"/>
          <w:bCs/>
          <w:color w:val="000000"/>
          <w:sz w:val="24"/>
          <w:szCs w:val="24"/>
        </w:rPr>
        <w:t>Heavy metals like lead (Pb) and cadmium (Cd) are toxic environmental pollutants that cause serious health effects, particularly neurotoxicity, organ damage, and carcinogenic risks. Their combined exposure can enhance toxicity through synergistic interactions, increasing overall health hazards</w:t>
      </w:r>
      <w:r w:rsidRPr="006C1D1F">
        <w:rPr>
          <w:rFonts w:ascii="Times New Roman" w:eastAsia="Georgia" w:hAnsi="Times New Roman" w:cs="Times New Roman"/>
          <w:b/>
          <w:bCs/>
          <w:color w:val="000000"/>
          <w:sz w:val="24"/>
          <w:szCs w:val="24"/>
        </w:rPr>
        <w:t>.</w:t>
      </w:r>
    </w:p>
    <w:p w14:paraId="134E4870" w14:textId="42376FC0" w:rsidR="00D03065" w:rsidRDefault="004B14FB">
      <w:pPr>
        <w:pStyle w:val="NoSpacing"/>
        <w:jc w:val="both"/>
        <w:rPr>
          <w:rFonts w:ascii="Arial" w:hAnsi="Arial" w:cs="Arial"/>
          <w:b/>
        </w:rPr>
      </w:pPr>
      <w:r>
        <w:rPr>
          <w:rFonts w:ascii="Times New Roman" w:eastAsia="Georgia" w:hAnsi="Times New Roman" w:cs="Times New Roman"/>
          <w:b/>
          <w:bCs/>
          <w:color w:val="000000"/>
          <w:sz w:val="24"/>
          <w:szCs w:val="24"/>
        </w:rPr>
        <w:t>Aims:</w:t>
      </w:r>
      <w:r>
        <w:rPr>
          <w:rFonts w:ascii="Times New Roman" w:eastAsia="Georgia" w:hAnsi="Times New Roman" w:cs="Times New Roman"/>
          <w:color w:val="000000"/>
          <w:sz w:val="24"/>
          <w:szCs w:val="24"/>
        </w:rPr>
        <w:t xml:space="preserve"> To assess </w:t>
      </w:r>
      <w:r>
        <w:rPr>
          <w:rFonts w:ascii="Arial" w:hAnsi="Arial" w:cs="Arial"/>
          <w:bCs/>
        </w:rPr>
        <w:t>technology-assisted neurobehavioral and histomorphometry of chronic lead and cadmium exposure in an animal study</w:t>
      </w:r>
    </w:p>
    <w:p w14:paraId="3D3DB8EB" w14:textId="77777777" w:rsidR="00D03065" w:rsidRDefault="004B14FB">
      <w:pPr>
        <w:pStyle w:val="NoSpacing"/>
        <w:jc w:val="both"/>
        <w:rPr>
          <w:rFonts w:ascii="Times New Roman" w:eastAsia="Georgia" w:hAnsi="Times New Roman" w:cs="Times New Roman"/>
          <w:color w:val="000000"/>
          <w:sz w:val="24"/>
          <w:szCs w:val="24"/>
        </w:rPr>
      </w:pPr>
      <w:r>
        <w:rPr>
          <w:rFonts w:ascii="Times New Roman" w:eastAsia="Georgia" w:hAnsi="Times New Roman" w:cs="Times New Roman"/>
          <w:b/>
          <w:bCs/>
          <w:color w:val="000000"/>
          <w:sz w:val="24"/>
          <w:szCs w:val="24"/>
        </w:rPr>
        <w:t>Study design:</w:t>
      </w:r>
      <w:r>
        <w:rPr>
          <w:rFonts w:ascii="Times New Roman" w:eastAsia="Georgia" w:hAnsi="Times New Roman" w:cs="Times New Roman"/>
          <w:color w:val="000000"/>
          <w:sz w:val="24"/>
          <w:szCs w:val="24"/>
        </w:rPr>
        <w:t xml:space="preserve"> A qualitative study design was used.</w:t>
      </w:r>
    </w:p>
    <w:p w14:paraId="03EBED1C" w14:textId="77777777" w:rsidR="00D03065" w:rsidRDefault="004B14FB">
      <w:pPr>
        <w:pStyle w:val="NoSpacing"/>
        <w:jc w:val="both"/>
        <w:rPr>
          <w:rFonts w:ascii="Times New Roman" w:hAnsi="Times New Roman" w:cs="Times New Roman"/>
          <w:sz w:val="24"/>
          <w:szCs w:val="24"/>
        </w:rPr>
      </w:pPr>
      <w:r>
        <w:rPr>
          <w:rFonts w:ascii="Times New Roman" w:eastAsia="Georgia" w:hAnsi="Times New Roman" w:cs="Times New Roman"/>
          <w:b/>
          <w:bCs/>
          <w:color w:val="000000"/>
          <w:sz w:val="24"/>
          <w:szCs w:val="24"/>
        </w:rPr>
        <w:t>Place and Duration of Study:</w:t>
      </w:r>
      <w:r>
        <w:rPr>
          <w:rFonts w:ascii="Times New Roman" w:eastAsia="Georgia" w:hAnsi="Times New Roman" w:cs="Times New Roman"/>
          <w:color w:val="000000"/>
          <w:sz w:val="24"/>
          <w:szCs w:val="24"/>
        </w:rPr>
        <w:t xml:space="preserve"> Departments of Anatomy and Physiology, Faculty of  Basic Medical Sciences, </w:t>
      </w:r>
      <w:r>
        <w:rPr>
          <w:rFonts w:ascii="Times New Roman" w:hAnsi="Times New Roman" w:cs="Times New Roman"/>
          <w:sz w:val="24"/>
          <w:szCs w:val="24"/>
        </w:rPr>
        <w:t>State University of Medical and Applied Health Sciences, Igbo-Eno, Nigeria, between July and September, 2025.</w:t>
      </w:r>
    </w:p>
    <w:p w14:paraId="0CF40791" w14:textId="77777777" w:rsidR="00D03065" w:rsidRDefault="004B14FB">
      <w:pPr>
        <w:pStyle w:val="NoSpacing"/>
        <w:jc w:val="both"/>
        <w:rPr>
          <w:rFonts w:ascii="Times New Roman" w:eastAsia="Georgia"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Methodology:</w:t>
      </w:r>
      <w:r>
        <w:rPr>
          <w:rFonts w:ascii="Times New Roman" w:hAnsi="Times New Roman" w:cs="Times New Roman"/>
          <w:sz w:val="24"/>
          <w:szCs w:val="24"/>
        </w:rPr>
        <w:t xml:space="preserve"> </w:t>
      </w:r>
      <w:r>
        <w:rPr>
          <w:rFonts w:ascii="Times New Roman" w:eastAsia="Georgia" w:hAnsi="Times New Roman" w:cs="Times New Roman"/>
          <w:color w:val="000000"/>
          <w:sz w:val="24"/>
          <w:szCs w:val="24"/>
        </w:rPr>
        <w:t xml:space="preserve">This study used twenty Wistar rats. The control group (I) received only feed and water. Group II received 40 mg/kg) of Cd, while groups III and IV received 50 mg/kg of Pb and 40 mg/kg of Cd plus 50 mg/kg of Pb, respectively, for 4 weeks. After the rats were euthanized under anesthesia, the hippocampal tissue was removed for histological analysis. Neurobehavioral assessments were performed employing standardized, technology-enhanced beam walk, rotarod, and Barnes maze paradigms; latency and error metrics were recorded via computer-assisted timing and video-tracking systems. </w:t>
      </w:r>
    </w:p>
    <w:p w14:paraId="08D30897" w14:textId="77777777" w:rsidR="00D03065" w:rsidRDefault="004B14FB">
      <w:pPr>
        <w:pStyle w:val="NoSpacing"/>
        <w:jc w:val="both"/>
        <w:rPr>
          <w:rFonts w:ascii="Times New Roman" w:eastAsia="Georgia" w:hAnsi="Times New Roman" w:cs="Times New Roman"/>
          <w:color w:val="000000"/>
          <w:sz w:val="24"/>
          <w:szCs w:val="24"/>
        </w:rPr>
      </w:pPr>
      <w:r>
        <w:rPr>
          <w:rFonts w:ascii="Times New Roman" w:eastAsia="Georgia" w:hAnsi="Times New Roman" w:cs="Times New Roman"/>
          <w:b/>
          <w:bCs/>
          <w:color w:val="000000"/>
          <w:sz w:val="24"/>
          <w:szCs w:val="24"/>
        </w:rPr>
        <w:t>Results</w:t>
      </w:r>
      <w:r>
        <w:rPr>
          <w:rFonts w:ascii="Times New Roman" w:eastAsia="Georgia" w:hAnsi="Times New Roman" w:cs="Times New Roman"/>
          <w:color w:val="000000"/>
          <w:sz w:val="24"/>
          <w:szCs w:val="24"/>
        </w:rPr>
        <w:t xml:space="preserve">: The results demonstrated that, compared to the control group, simultaneous exposure to lead (Pb) and cadmium (Cd) resulted in deficits in neurobehavioral function, memory, and spatial learning, as assessed through technology-based neurobehavioral assays, thus amplifying neurotoxicity within the experimental groups. Moreover, the rats' locomotor activity was diminished by exposure to either Pb or Cd, with the combined exposure exacerbating this effect. Histopathological examinations, employing digitally assisted histomorphometric evaluation, disclosed significant brain damage, marked by inflammation, shrinkage, and degeneration of molecular, pyramidal, and multiform cell layers. </w:t>
      </w:r>
    </w:p>
    <w:p w14:paraId="22FD4433" w14:textId="77777777" w:rsidR="00D03065" w:rsidRDefault="004B14FB">
      <w:pPr>
        <w:pStyle w:val="NoSpacing"/>
        <w:jc w:val="both"/>
        <w:rPr>
          <w:rFonts w:ascii="Times New Roman" w:eastAsia="Georgia" w:hAnsi="Times New Roman" w:cs="Times New Roman"/>
          <w:color w:val="000000"/>
          <w:sz w:val="24"/>
          <w:szCs w:val="24"/>
        </w:rPr>
      </w:pPr>
      <w:r>
        <w:rPr>
          <w:rFonts w:ascii="Times New Roman" w:eastAsia="Georgia" w:hAnsi="Times New Roman" w:cs="Times New Roman"/>
          <w:b/>
          <w:bCs/>
          <w:color w:val="000000"/>
          <w:sz w:val="24"/>
          <w:szCs w:val="24"/>
        </w:rPr>
        <w:t>Conclusion:</w:t>
      </w:r>
      <w:r>
        <w:rPr>
          <w:rFonts w:ascii="Times New Roman" w:eastAsia="Georgia" w:hAnsi="Times New Roman" w:cs="Times New Roman"/>
          <w:color w:val="000000"/>
          <w:sz w:val="24"/>
          <w:szCs w:val="24"/>
        </w:rPr>
        <w:t xml:space="preserve"> This study offers a crucial theoretical foundation for the toxicity linked to mixed heavy metal exposure and underscores the value of technology-supported behavioral and histological platforms in experimental neurotoxicology.</w:t>
      </w:r>
    </w:p>
    <w:p w14:paraId="692E2CF8" w14:textId="77777777" w:rsidR="00D03065" w:rsidRDefault="00D03065">
      <w:pPr>
        <w:pStyle w:val="NoSpacing"/>
        <w:jc w:val="both"/>
        <w:rPr>
          <w:rFonts w:ascii="Times New Roman" w:hAnsi="Times New Roman" w:cs="Times New Roman"/>
          <w:sz w:val="24"/>
          <w:szCs w:val="24"/>
        </w:rPr>
      </w:pPr>
    </w:p>
    <w:p w14:paraId="2B801B22" w14:textId="77777777" w:rsidR="00D03065" w:rsidRDefault="004B14FB">
      <w:pPr>
        <w:pStyle w:val="NoSpacing"/>
        <w:jc w:val="both"/>
        <w:rPr>
          <w:rFonts w:ascii="Times New Roman" w:hAnsi="Times New Roman" w:cs="Times New Roman"/>
          <w:b/>
          <w:sz w:val="24"/>
          <w:szCs w:val="24"/>
        </w:rPr>
      </w:pPr>
      <w:r>
        <w:rPr>
          <w:rFonts w:ascii="Times New Roman" w:hAnsi="Times New Roman" w:cs="Times New Roman"/>
          <w:b/>
          <w:sz w:val="24"/>
          <w:szCs w:val="24"/>
        </w:rPr>
        <w:t>Keywords: </w:t>
      </w:r>
      <w:r w:rsidRPr="006C1D1F">
        <w:rPr>
          <w:rFonts w:ascii="Times New Roman" w:hAnsi="Times New Roman" w:cs="Times New Roman"/>
          <w:sz w:val="24"/>
          <w:szCs w:val="24"/>
        </w:rPr>
        <w:t>Co-exposure; Neurotoxicity; Lead; Cadmium; Technology-Assisted Neurobehavioral Assessment; Digital Histomorphometry</w:t>
      </w:r>
    </w:p>
    <w:p w14:paraId="6C9DB68C" w14:textId="77777777" w:rsidR="00D03065" w:rsidRDefault="00D03065">
      <w:pPr>
        <w:pStyle w:val="NoSpacing"/>
        <w:jc w:val="both"/>
        <w:rPr>
          <w:rFonts w:ascii="Times New Roman" w:hAnsi="Times New Roman" w:cs="Times New Roman"/>
          <w:sz w:val="24"/>
          <w:szCs w:val="24"/>
        </w:rPr>
      </w:pPr>
    </w:p>
    <w:p w14:paraId="797118D5" w14:textId="77777777" w:rsidR="00D03065" w:rsidRDefault="004B14F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02D2ACE0" w14:textId="77777777" w:rsidR="00D03065" w:rsidRDefault="00D03065">
      <w:pPr>
        <w:pStyle w:val="NoSpacing"/>
        <w:jc w:val="both"/>
        <w:rPr>
          <w:rFonts w:ascii="Times New Roman" w:hAnsi="Times New Roman" w:cs="Times New Roman"/>
          <w:sz w:val="24"/>
          <w:szCs w:val="24"/>
        </w:rPr>
      </w:pPr>
    </w:p>
    <w:p w14:paraId="673ECCD6" w14:textId="77777777" w:rsidR="00D03065" w:rsidRDefault="004B14FB">
      <w:pPr>
        <w:pStyle w:val="NoSpacing"/>
        <w:rPr>
          <w:rFonts w:ascii="Arial" w:hAnsi="Arial" w:cs="Arial"/>
          <w:b/>
        </w:rPr>
      </w:pPr>
      <w:r>
        <w:rPr>
          <w:rFonts w:ascii="Arial" w:hAnsi="Arial" w:cs="Arial"/>
          <w:b/>
        </w:rPr>
        <w:t>INTRODUCTION</w:t>
      </w:r>
    </w:p>
    <w:p w14:paraId="6F45282D" w14:textId="77777777" w:rsidR="00D03065" w:rsidRDefault="00D03065">
      <w:pPr>
        <w:pStyle w:val="NoSpacing"/>
        <w:jc w:val="both"/>
        <w:rPr>
          <w:rFonts w:ascii="Times New Roman" w:hAnsi="Times New Roman" w:cs="Times New Roman"/>
          <w:sz w:val="24"/>
          <w:szCs w:val="24"/>
        </w:rPr>
      </w:pPr>
    </w:p>
    <w:p w14:paraId="37E74A0F" w14:textId="77777777" w:rsidR="006227A7" w:rsidRPr="00F03086" w:rsidRDefault="006227A7" w:rsidP="006227A7">
      <w:pPr>
        <w:spacing w:before="100" w:beforeAutospacing="1" w:after="100" w:afterAutospacing="1" w:line="480" w:lineRule="auto"/>
        <w:jc w:val="both"/>
        <w:rPr>
          <w:rFonts w:ascii="Arial" w:eastAsia="Times New Roman" w:hAnsi="Arial" w:cs="Arial"/>
          <w:sz w:val="20"/>
          <w:szCs w:val="20"/>
        </w:rPr>
      </w:pPr>
      <w:r w:rsidRPr="00F03086">
        <w:rPr>
          <w:rFonts w:ascii="Arial" w:eastAsia="Times New Roman" w:hAnsi="Arial" w:cs="Arial"/>
          <w:sz w:val="20"/>
          <w:szCs w:val="20"/>
          <w:highlight w:val="yellow"/>
        </w:rPr>
        <w:t>Heavy metals, including lead (Pb) and cadmium (Cd), are pervasive environmental pollutants released from industrial activities, mining, battery production, paints, pesticides, and contaminated water sources. These contaminants pose significant global public health risks, particularly in developing regions like sub-</w:t>
      </w:r>
      <w:r w:rsidRPr="00F03086">
        <w:rPr>
          <w:rFonts w:ascii="Arial" w:eastAsia="Times New Roman" w:hAnsi="Arial" w:cs="Arial"/>
          <w:sz w:val="20"/>
          <w:szCs w:val="20"/>
          <w:highlight w:val="yellow"/>
        </w:rPr>
        <w:lastRenderedPageBreak/>
        <w:t>Saharan Africa, where unregulated mining and urbanization exacerbate exposure.</w:t>
      </w:r>
      <w:r w:rsidRPr="006227A7">
        <w:rPr>
          <w:rFonts w:ascii="Arial" w:eastAsia="Times New Roman" w:hAnsi="Arial" w:cs="Arial"/>
          <w:sz w:val="20"/>
          <w:szCs w:val="20"/>
          <w:highlight w:val="yellow"/>
        </w:rPr>
        <w:t xml:space="preserve"> </w:t>
      </w:r>
      <w:r w:rsidRPr="00F03086">
        <w:rPr>
          <w:rFonts w:ascii="Arial" w:eastAsia="Times New Roman" w:hAnsi="Arial" w:cs="Arial"/>
          <w:sz w:val="20"/>
          <w:szCs w:val="20"/>
          <w:highlight w:val="yellow"/>
          <w:vertAlign w:val="superscript"/>
        </w:rPr>
        <w:t>1,</w:t>
      </w:r>
      <w:r w:rsidRPr="006227A7">
        <w:rPr>
          <w:rFonts w:ascii="Arial" w:eastAsia="Times New Roman" w:hAnsi="Arial" w:cs="Arial"/>
          <w:sz w:val="20"/>
          <w:szCs w:val="20"/>
          <w:highlight w:val="yellow"/>
          <w:vertAlign w:val="superscript"/>
        </w:rPr>
        <w:t xml:space="preserve"> </w:t>
      </w:r>
      <w:r w:rsidRPr="00F03086">
        <w:rPr>
          <w:rFonts w:ascii="Arial" w:eastAsia="Times New Roman" w:hAnsi="Arial" w:cs="Arial"/>
          <w:sz w:val="20"/>
          <w:szCs w:val="20"/>
          <w:highlight w:val="yellow"/>
          <w:vertAlign w:val="superscript"/>
        </w:rPr>
        <w:t>2</w:t>
      </w:r>
      <w:r w:rsidRPr="00F03086">
        <w:rPr>
          <w:rFonts w:ascii="Arial" w:eastAsia="Times New Roman" w:hAnsi="Arial" w:cs="Arial"/>
          <w:sz w:val="20"/>
          <w:szCs w:val="20"/>
          <w:highlight w:val="yellow"/>
        </w:rPr>
        <w:t xml:space="preserve"> In Nigeria, for instance, soil and water contamination from artisanal gold mining has elevated Pb and Cd levels, leading to chronic human exposure via food chains and drinking water.</w:t>
      </w:r>
      <w:r w:rsidRPr="006227A7">
        <w:rPr>
          <w:rFonts w:ascii="Arial" w:eastAsia="Times New Roman" w:hAnsi="Arial" w:cs="Arial"/>
          <w:sz w:val="20"/>
          <w:szCs w:val="20"/>
          <w:highlight w:val="yellow"/>
        </w:rPr>
        <w:t xml:space="preserve"> </w:t>
      </w:r>
      <w:r w:rsidRPr="00F03086">
        <w:rPr>
          <w:rFonts w:ascii="Arial" w:eastAsia="Times New Roman" w:hAnsi="Arial" w:cs="Arial"/>
          <w:sz w:val="20"/>
          <w:szCs w:val="20"/>
          <w:highlight w:val="yellow"/>
          <w:vertAlign w:val="superscript"/>
        </w:rPr>
        <w:t>3</w:t>
      </w:r>
    </w:p>
    <w:p w14:paraId="3CCF591B" w14:textId="77777777" w:rsidR="00C53CDA" w:rsidRDefault="002F5CB9" w:rsidP="00C53CDA">
      <w:pPr>
        <w:pStyle w:val="NoSpacing"/>
        <w:spacing w:line="480" w:lineRule="auto"/>
        <w:jc w:val="both"/>
        <w:rPr>
          <w:rFonts w:ascii="Arial" w:hAnsi="Arial" w:cs="Arial"/>
          <w:sz w:val="20"/>
          <w:szCs w:val="20"/>
        </w:rPr>
      </w:pPr>
      <w:r>
        <w:rPr>
          <w:rFonts w:ascii="Arial" w:eastAsia="Times New Roman" w:hAnsi="Arial" w:cs="Arial"/>
          <w:sz w:val="20"/>
          <w:szCs w:val="20"/>
          <w:highlight w:val="yellow"/>
        </w:rPr>
        <w:t>Lead (</w:t>
      </w:r>
      <w:r w:rsidRPr="00F03086">
        <w:rPr>
          <w:rFonts w:ascii="Arial" w:eastAsia="Times New Roman" w:hAnsi="Arial" w:cs="Arial"/>
          <w:sz w:val="20"/>
          <w:szCs w:val="20"/>
          <w:highlight w:val="yellow"/>
        </w:rPr>
        <w:t>Pb</w:t>
      </w:r>
      <w:r>
        <w:rPr>
          <w:rFonts w:ascii="Arial" w:eastAsia="Times New Roman" w:hAnsi="Arial" w:cs="Arial"/>
          <w:sz w:val="20"/>
          <w:szCs w:val="20"/>
          <w:highlight w:val="yellow"/>
        </w:rPr>
        <w:t>)</w:t>
      </w:r>
      <w:r w:rsidRPr="00F03086">
        <w:rPr>
          <w:rFonts w:ascii="Arial" w:eastAsia="Times New Roman" w:hAnsi="Arial" w:cs="Arial"/>
          <w:sz w:val="20"/>
          <w:szCs w:val="20"/>
          <w:highlight w:val="yellow"/>
        </w:rPr>
        <w:t xml:space="preserve"> is a well-established neurotoxin absorbed primarily through the gastrointestinal tract (3-10% of oral doses in adults), distributing to the </w:t>
      </w:r>
      <w:r>
        <w:rPr>
          <w:rFonts w:ascii="Arial" w:eastAsia="Times New Roman" w:hAnsi="Arial" w:cs="Arial"/>
          <w:sz w:val="20"/>
          <w:szCs w:val="20"/>
          <w:highlight w:val="yellow"/>
        </w:rPr>
        <w:t>cerebral</w:t>
      </w:r>
      <w:r w:rsidRPr="00F03086">
        <w:rPr>
          <w:rFonts w:ascii="Arial" w:eastAsia="Times New Roman" w:hAnsi="Arial" w:cs="Arial"/>
          <w:sz w:val="20"/>
          <w:szCs w:val="20"/>
          <w:highlight w:val="yellow"/>
        </w:rPr>
        <w:t xml:space="preserve">, </w:t>
      </w:r>
      <w:r>
        <w:rPr>
          <w:rFonts w:ascii="Arial" w:eastAsia="Times New Roman" w:hAnsi="Arial" w:cs="Arial"/>
          <w:sz w:val="20"/>
          <w:szCs w:val="20"/>
          <w:highlight w:val="yellow"/>
        </w:rPr>
        <w:t>haematological</w:t>
      </w:r>
      <w:r w:rsidRPr="00F03086">
        <w:rPr>
          <w:rFonts w:ascii="Arial" w:eastAsia="Times New Roman" w:hAnsi="Arial" w:cs="Arial"/>
          <w:sz w:val="20"/>
          <w:szCs w:val="20"/>
          <w:highlight w:val="yellow"/>
        </w:rPr>
        <w:t xml:space="preserve">, </w:t>
      </w:r>
      <w:r>
        <w:rPr>
          <w:rFonts w:ascii="Arial" w:eastAsia="Times New Roman" w:hAnsi="Arial" w:cs="Arial"/>
          <w:sz w:val="20"/>
          <w:szCs w:val="20"/>
          <w:highlight w:val="yellow"/>
        </w:rPr>
        <w:t>renal</w:t>
      </w:r>
      <w:r w:rsidRPr="00F03086">
        <w:rPr>
          <w:rFonts w:ascii="Arial" w:eastAsia="Times New Roman" w:hAnsi="Arial" w:cs="Arial"/>
          <w:sz w:val="20"/>
          <w:szCs w:val="20"/>
          <w:highlight w:val="yellow"/>
        </w:rPr>
        <w:t>, and reproductive organs.</w:t>
      </w:r>
      <w:r w:rsidRPr="002F5CB9">
        <w:rPr>
          <w:rFonts w:ascii="Arial" w:eastAsia="Times New Roman" w:hAnsi="Arial" w:cs="Arial"/>
          <w:sz w:val="20"/>
          <w:szCs w:val="20"/>
          <w:highlight w:val="yellow"/>
        </w:rPr>
        <w:t xml:space="preserve"> </w:t>
      </w:r>
      <w:r w:rsidRPr="00F03086">
        <w:rPr>
          <w:rFonts w:ascii="Arial" w:eastAsia="Times New Roman" w:hAnsi="Arial" w:cs="Arial"/>
          <w:sz w:val="20"/>
          <w:szCs w:val="20"/>
          <w:highlight w:val="yellow"/>
          <w:vertAlign w:val="superscript"/>
        </w:rPr>
        <w:t>4</w:t>
      </w:r>
      <w:r w:rsidRPr="00F03086">
        <w:rPr>
          <w:rFonts w:ascii="Times New Roman" w:eastAsia="Times New Roman" w:hAnsi="Times New Roman" w:cs="Times New Roman"/>
          <w:sz w:val="20"/>
          <w:szCs w:val="20"/>
        </w:rPr>
        <w:t xml:space="preserve"> </w:t>
      </w:r>
      <w:r w:rsidR="004B14FB">
        <w:rPr>
          <w:rFonts w:ascii="Arial" w:hAnsi="Arial" w:cs="Arial"/>
          <w:sz w:val="20"/>
          <w:szCs w:val="20"/>
        </w:rPr>
        <w:t xml:space="preserve">This can lead to neurological, blood, nephrotoxic, and reprotoxic effects, </w:t>
      </w:r>
      <w:r w:rsidR="004B14FB">
        <w:rPr>
          <w:rFonts w:ascii="Arial" w:hAnsi="Arial" w:cs="Arial"/>
          <w:sz w:val="20"/>
          <w:szCs w:val="20"/>
          <w:vertAlign w:val="superscript"/>
        </w:rPr>
        <w:t>5, 28, 45, 46</w:t>
      </w:r>
      <w:r w:rsidR="004B14FB">
        <w:rPr>
          <w:rFonts w:ascii="Arial" w:hAnsi="Arial" w:cs="Arial"/>
          <w:sz w:val="20"/>
          <w:szCs w:val="20"/>
        </w:rPr>
        <w:t xml:space="preserve"> which is a serious public health risk. </w:t>
      </w:r>
      <w:r w:rsidR="004B14FB">
        <w:rPr>
          <w:rFonts w:ascii="Arial" w:hAnsi="Arial" w:cs="Arial"/>
          <w:sz w:val="20"/>
          <w:szCs w:val="20"/>
          <w:vertAlign w:val="superscript"/>
        </w:rPr>
        <w:t>6</w:t>
      </w:r>
      <w:r w:rsidR="004B14FB">
        <w:rPr>
          <w:rFonts w:ascii="Arial" w:hAnsi="Arial" w:cs="Arial"/>
          <w:sz w:val="20"/>
          <w:szCs w:val="20"/>
        </w:rPr>
        <w:t xml:space="preserve"> </w:t>
      </w:r>
    </w:p>
    <w:p w14:paraId="5143E730" w14:textId="6D0524EE" w:rsidR="00C53CDA" w:rsidRPr="00F03086" w:rsidRDefault="00C53CDA" w:rsidP="00C53CDA">
      <w:pPr>
        <w:pStyle w:val="NoSpacing"/>
        <w:spacing w:line="480" w:lineRule="auto"/>
        <w:jc w:val="both"/>
        <w:rPr>
          <w:rFonts w:ascii="Arial" w:hAnsi="Arial" w:cs="Arial"/>
          <w:sz w:val="18"/>
          <w:szCs w:val="18"/>
        </w:rPr>
      </w:pPr>
      <w:r w:rsidRPr="00C53CDA">
        <w:rPr>
          <w:rFonts w:ascii="Arial" w:eastAsia="Times New Roman" w:hAnsi="Arial" w:cs="Arial"/>
          <w:sz w:val="20"/>
          <w:szCs w:val="20"/>
          <w:highlight w:val="yellow"/>
        </w:rPr>
        <w:t>Lead (Pb) exposure (a</w:t>
      </w:r>
      <w:r w:rsidRPr="00F03086">
        <w:rPr>
          <w:rFonts w:ascii="Arial" w:eastAsia="Times New Roman" w:hAnsi="Arial" w:cs="Arial"/>
          <w:sz w:val="20"/>
          <w:szCs w:val="20"/>
          <w:highlight w:val="yellow"/>
        </w:rPr>
        <w:t xml:space="preserve">cute </w:t>
      </w:r>
      <w:r w:rsidRPr="00C53CDA">
        <w:rPr>
          <w:rFonts w:ascii="Arial" w:eastAsia="Times New Roman" w:hAnsi="Arial" w:cs="Arial"/>
          <w:sz w:val="20"/>
          <w:szCs w:val="20"/>
          <w:highlight w:val="yellow"/>
        </w:rPr>
        <w:t xml:space="preserve">or </w:t>
      </w:r>
      <w:r w:rsidRPr="00F03086">
        <w:rPr>
          <w:rFonts w:ascii="Arial" w:eastAsia="Times New Roman" w:hAnsi="Arial" w:cs="Arial"/>
          <w:sz w:val="20"/>
          <w:szCs w:val="20"/>
          <w:highlight w:val="yellow"/>
        </w:rPr>
        <w:t>chronic</w:t>
      </w:r>
      <w:r w:rsidRPr="00C53CDA">
        <w:rPr>
          <w:rFonts w:ascii="Arial" w:eastAsia="Times New Roman" w:hAnsi="Arial" w:cs="Arial"/>
          <w:sz w:val="20"/>
          <w:szCs w:val="20"/>
          <w:highlight w:val="yellow"/>
        </w:rPr>
        <w:t>)</w:t>
      </w:r>
      <w:r w:rsidRPr="00F03086">
        <w:rPr>
          <w:rFonts w:ascii="Arial" w:eastAsia="Times New Roman" w:hAnsi="Arial" w:cs="Arial"/>
          <w:sz w:val="20"/>
          <w:szCs w:val="20"/>
          <w:highlight w:val="yellow"/>
        </w:rPr>
        <w:t xml:space="preserve"> </w:t>
      </w:r>
      <w:r w:rsidRPr="00C53CDA">
        <w:rPr>
          <w:rFonts w:ascii="Arial" w:eastAsia="Times New Roman" w:hAnsi="Arial" w:cs="Arial"/>
          <w:sz w:val="20"/>
          <w:szCs w:val="20"/>
          <w:highlight w:val="yellow"/>
        </w:rPr>
        <w:t>upsets</w:t>
      </w:r>
      <w:r w:rsidRPr="00F03086">
        <w:rPr>
          <w:rFonts w:ascii="Arial" w:eastAsia="Times New Roman" w:hAnsi="Arial" w:cs="Arial"/>
          <w:sz w:val="20"/>
          <w:szCs w:val="20"/>
          <w:highlight w:val="yellow"/>
        </w:rPr>
        <w:t xml:space="preserve"> </w:t>
      </w:r>
      <w:r w:rsidRPr="00C53CDA">
        <w:rPr>
          <w:rFonts w:ascii="Arial" w:eastAsia="Times New Roman" w:hAnsi="Arial" w:cs="Arial"/>
          <w:sz w:val="20"/>
          <w:szCs w:val="20"/>
          <w:highlight w:val="yellow"/>
        </w:rPr>
        <w:t xml:space="preserve">brain </w:t>
      </w:r>
      <w:r w:rsidRPr="00F03086">
        <w:rPr>
          <w:rFonts w:ascii="Arial" w:eastAsia="Times New Roman" w:hAnsi="Arial" w:cs="Arial"/>
          <w:sz w:val="20"/>
          <w:szCs w:val="20"/>
          <w:highlight w:val="yellow"/>
        </w:rPr>
        <w:t xml:space="preserve">transmitters </w:t>
      </w:r>
      <w:r w:rsidRPr="00C53CDA">
        <w:rPr>
          <w:rFonts w:ascii="Arial" w:eastAsia="Times New Roman" w:hAnsi="Arial" w:cs="Arial"/>
          <w:sz w:val="20"/>
          <w:szCs w:val="20"/>
          <w:highlight w:val="yellow"/>
        </w:rPr>
        <w:t xml:space="preserve">such as </w:t>
      </w:r>
      <w:r w:rsidRPr="00F03086">
        <w:rPr>
          <w:rFonts w:ascii="Arial" w:eastAsia="Times New Roman" w:hAnsi="Arial" w:cs="Arial"/>
          <w:sz w:val="20"/>
          <w:szCs w:val="20"/>
          <w:highlight w:val="yellow"/>
        </w:rPr>
        <w:t xml:space="preserve">dopamine, acetylcholine, </w:t>
      </w:r>
      <w:r w:rsidRPr="00C53CDA">
        <w:rPr>
          <w:rFonts w:ascii="Arial" w:eastAsia="Times New Roman" w:hAnsi="Arial" w:cs="Arial"/>
          <w:sz w:val="20"/>
          <w:szCs w:val="20"/>
          <w:highlight w:val="yellow"/>
        </w:rPr>
        <w:t>mutates</w:t>
      </w:r>
      <w:r w:rsidRPr="00F03086">
        <w:rPr>
          <w:rFonts w:ascii="Arial" w:eastAsia="Times New Roman" w:hAnsi="Arial" w:cs="Arial"/>
          <w:sz w:val="20"/>
          <w:szCs w:val="20"/>
          <w:highlight w:val="yellow"/>
        </w:rPr>
        <w:t xml:space="preserve"> gene expression in the </w:t>
      </w:r>
      <w:r w:rsidRPr="00C53CDA">
        <w:rPr>
          <w:rFonts w:ascii="Arial" w:eastAsia="Times New Roman" w:hAnsi="Arial" w:cs="Arial"/>
          <w:sz w:val="20"/>
          <w:szCs w:val="20"/>
          <w:highlight w:val="yellow"/>
        </w:rPr>
        <w:t>CNS</w:t>
      </w:r>
      <w:r w:rsidRPr="00F03086">
        <w:rPr>
          <w:rFonts w:ascii="Arial" w:eastAsia="Times New Roman" w:hAnsi="Arial" w:cs="Arial"/>
          <w:sz w:val="20"/>
          <w:szCs w:val="20"/>
          <w:highlight w:val="yellow"/>
        </w:rPr>
        <w:t>, induces apoptosis, and d</w:t>
      </w:r>
      <w:r w:rsidRPr="00C53CDA">
        <w:rPr>
          <w:rFonts w:ascii="Arial" w:eastAsia="Times New Roman" w:hAnsi="Arial" w:cs="Arial"/>
          <w:sz w:val="20"/>
          <w:szCs w:val="20"/>
          <w:highlight w:val="yellow"/>
        </w:rPr>
        <w:t>isrupts</w:t>
      </w:r>
      <w:r w:rsidRPr="00F03086">
        <w:rPr>
          <w:rFonts w:ascii="Arial" w:eastAsia="Times New Roman" w:hAnsi="Arial" w:cs="Arial"/>
          <w:sz w:val="20"/>
          <w:szCs w:val="20"/>
          <w:highlight w:val="yellow"/>
        </w:rPr>
        <w:t xml:space="preserve"> the hypothalamic-pituitary-adrenal axis. Experimental models</w:t>
      </w:r>
      <w:r w:rsidRPr="00C53CDA">
        <w:rPr>
          <w:rFonts w:ascii="Arial" w:eastAsia="Times New Roman" w:hAnsi="Arial" w:cs="Arial"/>
          <w:sz w:val="20"/>
          <w:szCs w:val="20"/>
          <w:highlight w:val="yellow"/>
        </w:rPr>
        <w:t xml:space="preserve"> in</w:t>
      </w:r>
      <w:r w:rsidRPr="00F03086">
        <w:rPr>
          <w:rFonts w:ascii="Arial" w:eastAsia="Times New Roman" w:hAnsi="Arial" w:cs="Arial"/>
          <w:sz w:val="20"/>
          <w:szCs w:val="20"/>
          <w:highlight w:val="yellow"/>
        </w:rPr>
        <w:t xml:space="preserve"> rats and fish, </w:t>
      </w:r>
      <w:r w:rsidRPr="00C53CDA">
        <w:rPr>
          <w:rFonts w:ascii="Arial" w:eastAsia="Times New Roman" w:hAnsi="Arial" w:cs="Arial"/>
          <w:sz w:val="20"/>
          <w:szCs w:val="20"/>
          <w:highlight w:val="yellow"/>
        </w:rPr>
        <w:t>demonstrated</w:t>
      </w:r>
      <w:r w:rsidRPr="00F03086">
        <w:rPr>
          <w:rFonts w:ascii="Arial" w:eastAsia="Times New Roman" w:hAnsi="Arial" w:cs="Arial"/>
          <w:sz w:val="20"/>
          <w:szCs w:val="20"/>
          <w:highlight w:val="yellow"/>
        </w:rPr>
        <w:t xml:space="preserve"> Pb-induced behavioral abnormalities, learning deficits, and cognitive impairment at concentrations as low as 10-100 µM.</w:t>
      </w:r>
      <w:r w:rsidRPr="00C53CDA">
        <w:rPr>
          <w:rFonts w:ascii="Arial" w:eastAsia="Times New Roman" w:hAnsi="Arial" w:cs="Arial"/>
          <w:sz w:val="20"/>
          <w:szCs w:val="20"/>
          <w:highlight w:val="yellow"/>
        </w:rPr>
        <w:t xml:space="preserve"> All of t</w:t>
      </w:r>
      <w:r w:rsidRPr="00F03086">
        <w:rPr>
          <w:rFonts w:ascii="Arial" w:eastAsia="Times New Roman" w:hAnsi="Arial" w:cs="Arial"/>
          <w:sz w:val="20"/>
          <w:szCs w:val="20"/>
          <w:highlight w:val="yellow"/>
        </w:rPr>
        <w:t xml:space="preserve">hese effects </w:t>
      </w:r>
      <w:r w:rsidRPr="00C53CDA">
        <w:rPr>
          <w:rFonts w:ascii="Arial" w:eastAsia="Times New Roman" w:hAnsi="Arial" w:cs="Arial"/>
          <w:sz w:val="20"/>
          <w:szCs w:val="20"/>
          <w:highlight w:val="yellow"/>
        </w:rPr>
        <w:t>accentuate</w:t>
      </w:r>
      <w:r w:rsidRPr="00F03086">
        <w:rPr>
          <w:rFonts w:ascii="Arial" w:eastAsia="Times New Roman" w:hAnsi="Arial" w:cs="Arial"/>
          <w:sz w:val="20"/>
          <w:szCs w:val="20"/>
          <w:highlight w:val="yellow"/>
        </w:rPr>
        <w:t xml:space="preserve"> Pb</w:t>
      </w:r>
      <w:r>
        <w:rPr>
          <w:rFonts w:ascii="Arial" w:eastAsia="Times New Roman" w:hAnsi="Arial" w:cs="Arial"/>
          <w:sz w:val="20"/>
          <w:szCs w:val="20"/>
          <w:highlight w:val="yellow"/>
        </w:rPr>
        <w:t>’</w:t>
      </w:r>
      <w:r w:rsidRPr="00F03086">
        <w:rPr>
          <w:rFonts w:ascii="Arial" w:eastAsia="Times New Roman" w:hAnsi="Arial" w:cs="Arial"/>
          <w:sz w:val="20"/>
          <w:szCs w:val="20"/>
          <w:highlight w:val="yellow"/>
        </w:rPr>
        <w:t xml:space="preserve">s </w:t>
      </w:r>
      <w:r w:rsidRPr="00C53CDA">
        <w:rPr>
          <w:rFonts w:ascii="Arial" w:eastAsia="Times New Roman" w:hAnsi="Arial" w:cs="Arial"/>
          <w:sz w:val="20"/>
          <w:szCs w:val="20"/>
          <w:highlight w:val="yellow"/>
        </w:rPr>
        <w:t>susceptibility</w:t>
      </w:r>
      <w:r w:rsidRPr="00F03086">
        <w:rPr>
          <w:rFonts w:ascii="Arial" w:eastAsia="Times New Roman" w:hAnsi="Arial" w:cs="Arial"/>
          <w:sz w:val="20"/>
          <w:szCs w:val="20"/>
          <w:highlight w:val="yellow"/>
        </w:rPr>
        <w:t xml:space="preserve"> in the nervous system compared to other organs.</w:t>
      </w:r>
      <w:r w:rsidRPr="00C53CDA">
        <w:rPr>
          <w:rFonts w:ascii="Arial" w:eastAsia="Times New Roman" w:hAnsi="Arial" w:cs="Arial"/>
          <w:sz w:val="20"/>
          <w:szCs w:val="20"/>
          <w:highlight w:val="yellow"/>
        </w:rPr>
        <w:t xml:space="preserve"> </w:t>
      </w:r>
      <w:r w:rsidRPr="00C53CDA">
        <w:rPr>
          <w:rFonts w:ascii="Arial" w:eastAsia="Times New Roman" w:hAnsi="Arial" w:cs="Arial"/>
          <w:sz w:val="20"/>
          <w:szCs w:val="20"/>
          <w:highlight w:val="yellow"/>
          <w:vertAlign w:val="superscript"/>
        </w:rPr>
        <w:t>7-11</w:t>
      </w:r>
    </w:p>
    <w:p w14:paraId="2D640875" w14:textId="77777777" w:rsidR="00C53CDA" w:rsidRDefault="00C53CDA">
      <w:pPr>
        <w:pStyle w:val="NoSpacing"/>
        <w:spacing w:line="480" w:lineRule="auto"/>
        <w:jc w:val="both"/>
        <w:rPr>
          <w:rFonts w:ascii="Arial" w:hAnsi="Arial" w:cs="Arial"/>
          <w:sz w:val="20"/>
          <w:szCs w:val="20"/>
        </w:rPr>
      </w:pPr>
    </w:p>
    <w:p w14:paraId="055F0E27" w14:textId="2AAD3EAC" w:rsidR="00D03065" w:rsidRDefault="00550B3B">
      <w:pPr>
        <w:pStyle w:val="NoSpacing"/>
        <w:spacing w:line="480" w:lineRule="auto"/>
        <w:jc w:val="both"/>
        <w:rPr>
          <w:rFonts w:ascii="Arial" w:hAnsi="Arial" w:cs="Arial"/>
          <w:sz w:val="20"/>
          <w:szCs w:val="20"/>
          <w:vertAlign w:val="superscript"/>
        </w:rPr>
      </w:pPr>
      <w:r>
        <w:rPr>
          <w:rFonts w:ascii="Arial" w:eastAsia="Times New Roman" w:hAnsi="Arial" w:cs="Arial"/>
          <w:sz w:val="20"/>
          <w:szCs w:val="20"/>
          <w:highlight w:val="yellow"/>
        </w:rPr>
        <w:t>Cadmium (</w:t>
      </w:r>
      <w:r w:rsidRPr="00F03086">
        <w:rPr>
          <w:rFonts w:ascii="Arial" w:eastAsia="Times New Roman" w:hAnsi="Arial" w:cs="Arial"/>
          <w:sz w:val="20"/>
          <w:szCs w:val="20"/>
          <w:highlight w:val="yellow"/>
        </w:rPr>
        <w:t>Cd</w:t>
      </w:r>
      <w:r>
        <w:rPr>
          <w:rFonts w:ascii="Arial" w:eastAsia="Times New Roman" w:hAnsi="Arial" w:cs="Arial"/>
          <w:sz w:val="20"/>
          <w:szCs w:val="20"/>
          <w:highlight w:val="yellow"/>
        </w:rPr>
        <w:t>)</w:t>
      </w:r>
      <w:r w:rsidRPr="00F03086">
        <w:rPr>
          <w:rFonts w:ascii="Arial" w:eastAsia="Times New Roman" w:hAnsi="Arial" w:cs="Arial"/>
          <w:sz w:val="20"/>
          <w:szCs w:val="20"/>
          <w:highlight w:val="yellow"/>
        </w:rPr>
        <w:t xml:space="preserve"> originates from smelting of zinc, copper, and lead ores, contaminating soil, water, and air</w:t>
      </w:r>
      <w:r>
        <w:rPr>
          <w:rFonts w:ascii="Arial" w:eastAsia="Times New Roman" w:hAnsi="Arial" w:cs="Arial"/>
          <w:sz w:val="20"/>
          <w:szCs w:val="20"/>
          <w:highlight w:val="yellow"/>
        </w:rPr>
        <w:t>, and it is c</w:t>
      </w:r>
      <w:r w:rsidR="0032301E" w:rsidRPr="00F03086">
        <w:rPr>
          <w:rFonts w:ascii="Arial" w:eastAsia="Times New Roman" w:hAnsi="Arial" w:cs="Arial"/>
          <w:sz w:val="20"/>
          <w:szCs w:val="20"/>
          <w:highlight w:val="yellow"/>
        </w:rPr>
        <w:t xml:space="preserve">lassified as a human carcinogen by the National Toxicology Program, </w:t>
      </w:r>
      <w:r w:rsidR="0032301E" w:rsidRPr="00F03086">
        <w:rPr>
          <w:rFonts w:ascii="Arial" w:eastAsia="Times New Roman" w:hAnsi="Arial" w:cs="Arial"/>
          <w:sz w:val="20"/>
          <w:szCs w:val="20"/>
          <w:highlight w:val="yellow"/>
          <w:vertAlign w:val="superscript"/>
        </w:rPr>
        <w:t>11</w:t>
      </w:r>
      <w:r w:rsidR="0032301E" w:rsidRPr="0032301E">
        <w:rPr>
          <w:rFonts w:ascii="Arial" w:hAnsi="Arial" w:cs="Arial"/>
          <w:sz w:val="20"/>
          <w:szCs w:val="20"/>
          <w:highlight w:val="yellow"/>
        </w:rPr>
        <w:t xml:space="preserve">, </w:t>
      </w:r>
      <w:r w:rsidR="004B14FB" w:rsidRPr="0032301E">
        <w:rPr>
          <w:rFonts w:ascii="Arial" w:hAnsi="Arial" w:cs="Arial"/>
          <w:sz w:val="20"/>
          <w:szCs w:val="20"/>
          <w:highlight w:val="yellow"/>
          <w:vertAlign w:val="superscript"/>
        </w:rPr>
        <w:t>12</w:t>
      </w:r>
      <w:r w:rsidR="004B14FB">
        <w:rPr>
          <w:rFonts w:ascii="Arial" w:hAnsi="Arial" w:cs="Arial"/>
          <w:sz w:val="20"/>
          <w:szCs w:val="20"/>
        </w:rPr>
        <w:t xml:space="preserve"> </w:t>
      </w:r>
      <w:r w:rsidR="0032301E">
        <w:rPr>
          <w:rFonts w:ascii="Arial" w:hAnsi="Arial" w:cs="Arial"/>
          <w:sz w:val="20"/>
          <w:szCs w:val="20"/>
        </w:rPr>
        <w:t>Cadmium (Cd) generate f</w:t>
      </w:r>
      <w:r w:rsidR="004B14FB">
        <w:rPr>
          <w:rFonts w:ascii="Arial" w:hAnsi="Arial" w:cs="Arial"/>
          <w:sz w:val="20"/>
          <w:szCs w:val="20"/>
        </w:rPr>
        <w:t xml:space="preserve">ree radicals that damage tissue, including hydroxyl radicals, superoxide radicals, and nitric oxide. </w:t>
      </w:r>
      <w:r w:rsidR="004B14FB">
        <w:rPr>
          <w:rFonts w:ascii="Arial" w:hAnsi="Arial" w:cs="Arial"/>
          <w:sz w:val="20"/>
          <w:szCs w:val="20"/>
          <w:vertAlign w:val="superscript"/>
        </w:rPr>
        <w:t>2, 27</w:t>
      </w:r>
      <w:r w:rsidR="004B14FB">
        <w:rPr>
          <w:rFonts w:ascii="Arial" w:hAnsi="Arial" w:cs="Arial"/>
          <w:sz w:val="20"/>
          <w:szCs w:val="20"/>
        </w:rPr>
        <w:t xml:space="preserve"> The accumulation of free radicals in animals affects many organs, including the brain. </w:t>
      </w:r>
      <w:r w:rsidR="004B14FB">
        <w:rPr>
          <w:rFonts w:ascii="Arial" w:hAnsi="Arial" w:cs="Arial"/>
          <w:sz w:val="20"/>
          <w:szCs w:val="20"/>
          <w:vertAlign w:val="superscript"/>
        </w:rPr>
        <w:t>13, 28</w:t>
      </w:r>
      <w:r w:rsidR="004B14FB">
        <w:rPr>
          <w:rFonts w:ascii="Arial" w:hAnsi="Arial" w:cs="Arial"/>
          <w:sz w:val="20"/>
          <w:szCs w:val="20"/>
        </w:rPr>
        <w:t xml:space="preserve"> Numerous epidemiological studies also demonstrated that Cd causes stomach ulcers and has a vulnerable effect on the kidneys, prostate, liver, hematopoietic system, bladder, pancreas, and testis. </w:t>
      </w:r>
      <w:r w:rsidR="004B14FB">
        <w:rPr>
          <w:rFonts w:ascii="Arial" w:hAnsi="Arial" w:cs="Arial"/>
          <w:sz w:val="20"/>
          <w:szCs w:val="20"/>
          <w:vertAlign w:val="superscript"/>
        </w:rPr>
        <w:t>13</w:t>
      </w:r>
    </w:p>
    <w:p w14:paraId="2AAE961B" w14:textId="77777777" w:rsidR="00D03065" w:rsidRDefault="004B14FB">
      <w:pPr>
        <w:pStyle w:val="NoSpacing"/>
        <w:spacing w:line="480" w:lineRule="auto"/>
        <w:jc w:val="both"/>
        <w:rPr>
          <w:rFonts w:ascii="Arial" w:hAnsi="Arial" w:cs="Arial"/>
          <w:sz w:val="20"/>
          <w:szCs w:val="20"/>
        </w:rPr>
      </w:pPr>
      <w:r>
        <w:rPr>
          <w:rFonts w:ascii="Arial" w:hAnsi="Arial" w:cs="Arial"/>
          <w:sz w:val="20"/>
          <w:szCs w:val="20"/>
        </w:rPr>
        <w:t xml:space="preserve">Through changes to the brain's neurotransmitter levels, cadmium influences the behaviour of both adult and neonatal animals. </w:t>
      </w:r>
      <w:r>
        <w:rPr>
          <w:rFonts w:ascii="Arial" w:hAnsi="Arial" w:cs="Arial"/>
          <w:sz w:val="20"/>
          <w:szCs w:val="20"/>
          <w:vertAlign w:val="superscript"/>
        </w:rPr>
        <w:t>14</w:t>
      </w:r>
      <w:r>
        <w:rPr>
          <w:rFonts w:ascii="Arial" w:hAnsi="Arial" w:cs="Arial"/>
          <w:sz w:val="20"/>
          <w:szCs w:val="20"/>
        </w:rPr>
        <w:t xml:space="preserve"> In vitro, cadmium exposure to the brain reduced spontaneous neural firing into the brain stem or cerebral cortex and blocked synaptic transmission at peripheral cholinergic synapses. </w:t>
      </w:r>
      <w:r>
        <w:rPr>
          <w:rFonts w:ascii="Arial" w:hAnsi="Arial" w:cs="Arial"/>
          <w:sz w:val="20"/>
          <w:szCs w:val="20"/>
          <w:vertAlign w:val="superscript"/>
        </w:rPr>
        <w:t>15</w:t>
      </w:r>
      <w:r>
        <w:rPr>
          <w:rFonts w:ascii="Arial" w:hAnsi="Arial" w:cs="Arial"/>
          <w:sz w:val="20"/>
          <w:szCs w:val="20"/>
        </w:rPr>
        <w:t xml:space="preserve"> In addition to the brains of young rats, the neurotoxic effects of Cd have also been documented in the brains of newborn mice. </w:t>
      </w:r>
      <w:r>
        <w:rPr>
          <w:rFonts w:ascii="Arial" w:hAnsi="Arial" w:cs="Arial"/>
          <w:sz w:val="20"/>
          <w:szCs w:val="20"/>
          <w:vertAlign w:val="superscript"/>
        </w:rPr>
        <w:t>17</w:t>
      </w:r>
    </w:p>
    <w:p w14:paraId="06C15C89" w14:textId="77777777" w:rsidR="00D03065" w:rsidRDefault="004B14FB">
      <w:pPr>
        <w:pStyle w:val="NoSpacing"/>
        <w:spacing w:line="480" w:lineRule="auto"/>
        <w:jc w:val="both"/>
        <w:rPr>
          <w:rFonts w:ascii="Arial" w:hAnsi="Arial" w:cs="Arial"/>
          <w:sz w:val="20"/>
          <w:szCs w:val="20"/>
        </w:rPr>
      </w:pPr>
      <w:r>
        <w:rPr>
          <w:rFonts w:ascii="Arial" w:hAnsi="Arial" w:cs="Arial"/>
          <w:sz w:val="20"/>
          <w:szCs w:val="20"/>
        </w:rPr>
        <w:t xml:space="preserve">Because heavy metals frequently co-occur in the environment, </w:t>
      </w:r>
      <w:r>
        <w:rPr>
          <w:rFonts w:ascii="Arial" w:hAnsi="Arial" w:cs="Arial"/>
          <w:sz w:val="20"/>
          <w:szCs w:val="20"/>
          <w:vertAlign w:val="superscript"/>
        </w:rPr>
        <w:t>18</w:t>
      </w:r>
      <w:r>
        <w:rPr>
          <w:rFonts w:ascii="Arial" w:hAnsi="Arial" w:cs="Arial"/>
          <w:sz w:val="20"/>
          <w:szCs w:val="20"/>
        </w:rPr>
        <w:t xml:space="preserve"> examining exposure to a single metal may not be sufficient to predict health risks. Numerous studies have detailed antagonistic or synergistic interactions between different metals in biological samples. </w:t>
      </w:r>
      <w:r>
        <w:rPr>
          <w:rFonts w:ascii="Arial" w:hAnsi="Arial" w:cs="Arial"/>
          <w:sz w:val="20"/>
          <w:szCs w:val="20"/>
          <w:vertAlign w:val="superscript"/>
        </w:rPr>
        <w:t>35</w:t>
      </w:r>
      <w:r>
        <w:rPr>
          <w:rFonts w:ascii="Arial" w:hAnsi="Arial" w:cs="Arial"/>
          <w:sz w:val="20"/>
          <w:szCs w:val="20"/>
        </w:rPr>
        <w:t xml:space="preserve"> After 10-13 weeks of concurrent exposure to lead, cadmium, and arsenic, Fowler </w:t>
      </w:r>
      <w:r>
        <w:rPr>
          <w:rFonts w:ascii="Arial" w:hAnsi="Arial" w:cs="Arial"/>
          <w:i/>
          <w:iCs/>
          <w:sz w:val="20"/>
          <w:szCs w:val="20"/>
        </w:rPr>
        <w:t>et al.,</w:t>
      </w:r>
      <w:r>
        <w:rPr>
          <w:rFonts w:ascii="Arial" w:hAnsi="Arial" w:cs="Arial"/>
          <w:sz w:val="20"/>
          <w:szCs w:val="20"/>
        </w:rPr>
        <w:t xml:space="preserve"> showed that toxic metal interactions changed toxicity in rats. </w:t>
      </w:r>
      <w:r>
        <w:rPr>
          <w:rFonts w:ascii="Arial" w:hAnsi="Arial" w:cs="Arial"/>
          <w:sz w:val="20"/>
          <w:szCs w:val="20"/>
          <w:vertAlign w:val="superscript"/>
        </w:rPr>
        <w:t>17</w:t>
      </w:r>
      <w:r>
        <w:rPr>
          <w:rFonts w:ascii="Arial" w:hAnsi="Arial" w:cs="Arial"/>
          <w:sz w:val="20"/>
          <w:szCs w:val="20"/>
        </w:rPr>
        <w:t xml:space="preserve"> There has been a surge in research on the mechanisms underlying interactions between heavy metals </w:t>
      </w:r>
      <w:r>
        <w:rPr>
          <w:rFonts w:ascii="Arial" w:hAnsi="Arial" w:cs="Arial"/>
          <w:sz w:val="20"/>
          <w:szCs w:val="20"/>
        </w:rPr>
        <w:lastRenderedPageBreak/>
        <w:t xml:space="preserve">in recent years. Agrawal </w:t>
      </w:r>
      <w:r>
        <w:rPr>
          <w:rFonts w:ascii="Arial" w:hAnsi="Arial" w:cs="Arial"/>
          <w:i/>
          <w:sz w:val="20"/>
          <w:szCs w:val="20"/>
        </w:rPr>
        <w:t>et al.</w:t>
      </w:r>
      <w:r>
        <w:rPr>
          <w:rFonts w:ascii="Arial" w:hAnsi="Arial" w:cs="Arial"/>
          <w:sz w:val="20"/>
          <w:szCs w:val="20"/>
        </w:rPr>
        <w:t xml:space="preserve">, </w:t>
      </w:r>
      <w:r>
        <w:rPr>
          <w:rFonts w:ascii="Arial" w:hAnsi="Arial" w:cs="Arial"/>
          <w:sz w:val="20"/>
          <w:szCs w:val="20"/>
          <w:vertAlign w:val="superscript"/>
        </w:rPr>
        <w:t xml:space="preserve">19 </w:t>
      </w:r>
      <w:r>
        <w:rPr>
          <w:rFonts w:ascii="Arial" w:hAnsi="Arial" w:cs="Arial"/>
          <w:sz w:val="20"/>
          <w:szCs w:val="20"/>
        </w:rPr>
        <w:t>found that by altering the expression of histone deacetylases, joint exposure to lead and cadmium increased neurotoxicity in rats.</w:t>
      </w:r>
    </w:p>
    <w:p w14:paraId="43079543" w14:textId="77777777" w:rsidR="00D03065" w:rsidRDefault="004B14FB">
      <w:pPr>
        <w:pStyle w:val="NoSpacing"/>
        <w:spacing w:line="480" w:lineRule="auto"/>
        <w:jc w:val="both"/>
        <w:rPr>
          <w:rFonts w:ascii="Arial" w:hAnsi="Arial" w:cs="Arial"/>
          <w:sz w:val="20"/>
          <w:szCs w:val="20"/>
        </w:rPr>
      </w:pPr>
      <w:r>
        <w:rPr>
          <w:rFonts w:ascii="Arial" w:hAnsi="Arial" w:cs="Arial"/>
          <w:sz w:val="20"/>
          <w:szCs w:val="20"/>
        </w:rPr>
        <w:t>It has been demonstrated that rats poisoned with a combination of lead, arsenic, and mercury had changed brain biogenic amines and acetylcholinesterase in their tissues.</w:t>
      </w:r>
    </w:p>
    <w:p w14:paraId="3E4E1A94" w14:textId="2806A324" w:rsidR="00D03065" w:rsidRDefault="004B14FB">
      <w:pPr>
        <w:pStyle w:val="NoSpacing"/>
        <w:spacing w:line="480" w:lineRule="auto"/>
        <w:jc w:val="both"/>
        <w:rPr>
          <w:rFonts w:ascii="Arial" w:hAnsi="Arial" w:cs="Arial"/>
          <w:sz w:val="20"/>
          <w:szCs w:val="20"/>
        </w:rPr>
      </w:pPr>
      <w:r>
        <w:rPr>
          <w:rFonts w:ascii="Arial" w:hAnsi="Arial" w:cs="Arial"/>
          <w:sz w:val="20"/>
          <w:szCs w:val="20"/>
        </w:rPr>
        <w:t xml:space="preserve">To date, it has been determined that mice exposed to a combination of Pb and Cd exhibit anxiety-like behaviour as well as impaired learning and spatial memory. </w:t>
      </w:r>
      <w:r>
        <w:rPr>
          <w:rFonts w:ascii="Arial" w:hAnsi="Arial" w:cs="Arial"/>
          <w:sz w:val="20"/>
          <w:szCs w:val="20"/>
          <w:vertAlign w:val="superscript"/>
        </w:rPr>
        <w:t>20</w:t>
      </w:r>
      <w:r>
        <w:rPr>
          <w:rFonts w:ascii="Arial" w:hAnsi="Arial" w:cs="Arial"/>
          <w:sz w:val="20"/>
          <w:szCs w:val="20"/>
        </w:rPr>
        <w:t xml:space="preserve"> There is still much space for investigating additional toxicities, even though pertinent research on the compound toxic effects of Pb and Cd on animal studies was completed. </w:t>
      </w:r>
      <w:r>
        <w:rPr>
          <w:rFonts w:ascii="Arial" w:hAnsi="Arial" w:cs="Arial"/>
          <w:sz w:val="20"/>
          <w:szCs w:val="20"/>
          <w:vertAlign w:val="superscript"/>
        </w:rPr>
        <w:t>21, 22</w:t>
      </w:r>
      <w:r>
        <w:rPr>
          <w:rFonts w:ascii="Arial" w:hAnsi="Arial" w:cs="Arial"/>
          <w:sz w:val="20"/>
          <w:szCs w:val="20"/>
        </w:rPr>
        <w:t xml:space="preserve"> Instead, single heavy metals exhibit strong neurotoxicity because the nervous system is more vulnerable to heavy metal pollutants than other organs. </w:t>
      </w:r>
      <w:r>
        <w:rPr>
          <w:rFonts w:ascii="Arial" w:hAnsi="Arial" w:cs="Arial"/>
          <w:sz w:val="20"/>
          <w:szCs w:val="20"/>
          <w:vertAlign w:val="superscript"/>
        </w:rPr>
        <w:t>23</w:t>
      </w:r>
    </w:p>
    <w:p w14:paraId="4B2ECDA4" w14:textId="6BCDD208" w:rsidR="00550B3B" w:rsidRPr="00F03086" w:rsidRDefault="00550B3B" w:rsidP="00550B3B">
      <w:pPr>
        <w:spacing w:before="100" w:beforeAutospacing="1" w:after="100" w:afterAutospacing="1" w:line="480" w:lineRule="auto"/>
        <w:jc w:val="both"/>
        <w:rPr>
          <w:rFonts w:ascii="Arial" w:eastAsia="Times New Roman" w:hAnsi="Arial" w:cs="Arial"/>
          <w:sz w:val="20"/>
          <w:szCs w:val="20"/>
          <w:highlight w:val="yellow"/>
        </w:rPr>
      </w:pPr>
      <w:r w:rsidRPr="00F03086">
        <w:rPr>
          <w:rFonts w:ascii="Arial" w:eastAsia="Times New Roman" w:hAnsi="Arial" w:cs="Arial"/>
          <w:sz w:val="20"/>
          <w:szCs w:val="20"/>
          <w:highlight w:val="yellow"/>
        </w:rPr>
        <w:t>However, gaps persist: while single-metal neurotoxicity is well-documented, the precise neurobehavioral and histopathological impacts of chronic Pb-Cd co-exposure</w:t>
      </w:r>
      <w:r>
        <w:rPr>
          <w:rFonts w:ascii="Arial" w:eastAsia="Times New Roman" w:hAnsi="Arial" w:cs="Arial"/>
          <w:sz w:val="20"/>
          <w:szCs w:val="20"/>
          <w:highlight w:val="yellow"/>
        </w:rPr>
        <w:t xml:space="preserve"> </w:t>
      </w:r>
      <w:r w:rsidRPr="00F03086">
        <w:rPr>
          <w:rFonts w:ascii="Arial" w:eastAsia="Times New Roman" w:hAnsi="Arial" w:cs="Arial"/>
          <w:sz w:val="20"/>
          <w:szCs w:val="20"/>
          <w:highlight w:val="yellow"/>
        </w:rPr>
        <w:t>and underlying mechanisms</w:t>
      </w:r>
      <w:r>
        <w:rPr>
          <w:rFonts w:ascii="Arial" w:eastAsia="Times New Roman" w:hAnsi="Arial" w:cs="Arial"/>
          <w:sz w:val="20"/>
          <w:szCs w:val="20"/>
          <w:highlight w:val="yellow"/>
        </w:rPr>
        <w:t xml:space="preserve"> </w:t>
      </w:r>
      <w:r w:rsidRPr="00F03086">
        <w:rPr>
          <w:rFonts w:ascii="Arial" w:eastAsia="Times New Roman" w:hAnsi="Arial" w:cs="Arial"/>
          <w:sz w:val="20"/>
          <w:szCs w:val="20"/>
          <w:highlight w:val="yellow"/>
        </w:rPr>
        <w:t>remain underexplored, especially in adult models.</w:t>
      </w:r>
    </w:p>
    <w:p w14:paraId="5D93F7F3" w14:textId="5A951461" w:rsidR="00550B3B" w:rsidRDefault="00550B3B" w:rsidP="00550B3B">
      <w:pPr>
        <w:spacing w:before="100" w:beforeAutospacing="1" w:after="100" w:afterAutospacing="1" w:line="480" w:lineRule="auto"/>
        <w:jc w:val="both"/>
        <w:rPr>
          <w:rFonts w:ascii="Arial" w:eastAsia="Times New Roman" w:hAnsi="Arial" w:cs="Arial"/>
          <w:sz w:val="20"/>
          <w:szCs w:val="20"/>
        </w:rPr>
      </w:pPr>
      <w:r w:rsidRPr="00F03086">
        <w:rPr>
          <w:rFonts w:ascii="Arial" w:eastAsia="Times New Roman" w:hAnsi="Arial" w:cs="Arial"/>
          <w:sz w:val="20"/>
          <w:szCs w:val="20"/>
          <w:highlight w:val="yellow"/>
        </w:rPr>
        <w:t>This underscores the need for advanced assessments using technology-assisted tools (e.g., behavioral tracking software and digital histomorphometry) to quantify subtle neurological damage.</w:t>
      </w:r>
    </w:p>
    <w:p w14:paraId="216B4615" w14:textId="77777777" w:rsidR="00550B3B" w:rsidRPr="00F03086" w:rsidRDefault="00550B3B" w:rsidP="00550B3B">
      <w:pPr>
        <w:spacing w:before="100" w:beforeAutospacing="1" w:after="100" w:afterAutospacing="1" w:line="480" w:lineRule="auto"/>
        <w:jc w:val="both"/>
        <w:rPr>
          <w:rFonts w:ascii="Arial" w:eastAsia="Times New Roman" w:hAnsi="Arial" w:cs="Arial"/>
          <w:sz w:val="20"/>
          <w:szCs w:val="20"/>
          <w:highlight w:val="yellow"/>
        </w:rPr>
      </w:pPr>
      <w:r w:rsidRPr="00F03086">
        <w:rPr>
          <w:rFonts w:ascii="Arial" w:eastAsia="Times New Roman" w:hAnsi="Arial" w:cs="Arial"/>
          <w:sz w:val="20"/>
          <w:szCs w:val="20"/>
          <w:highlight w:val="yellow"/>
        </w:rPr>
        <w:t>This study investigates the neurotoxic effects of chronic Pb and Cd exposure, alone and combined, in adult Wistar rats.</w:t>
      </w:r>
    </w:p>
    <w:p w14:paraId="2B6C671A" w14:textId="5C5AD340" w:rsidR="00550B3B" w:rsidRPr="00F03086" w:rsidRDefault="00A935CD" w:rsidP="00550B3B">
      <w:pPr>
        <w:spacing w:before="100" w:beforeAutospacing="1" w:after="100" w:afterAutospacing="1" w:line="480" w:lineRule="auto"/>
        <w:jc w:val="both"/>
        <w:rPr>
          <w:rFonts w:ascii="Arial" w:eastAsia="Times New Roman" w:hAnsi="Arial" w:cs="Arial"/>
          <w:sz w:val="20"/>
          <w:szCs w:val="20"/>
          <w:highlight w:val="yellow"/>
        </w:rPr>
      </w:pPr>
      <w:r w:rsidRPr="00A935CD">
        <w:rPr>
          <w:rFonts w:ascii="Arial" w:eastAsia="Times New Roman" w:hAnsi="Arial" w:cs="Arial"/>
          <w:b/>
          <w:bCs/>
          <w:sz w:val="20"/>
          <w:szCs w:val="20"/>
          <w:highlight w:val="yellow"/>
        </w:rPr>
        <w:t>Research o</w:t>
      </w:r>
      <w:r w:rsidR="00550B3B" w:rsidRPr="00F03086">
        <w:rPr>
          <w:rFonts w:ascii="Arial" w:eastAsia="Times New Roman" w:hAnsi="Arial" w:cs="Arial"/>
          <w:b/>
          <w:bCs/>
          <w:sz w:val="20"/>
          <w:szCs w:val="20"/>
          <w:highlight w:val="yellow"/>
        </w:rPr>
        <w:t>bjectives:</w:t>
      </w:r>
    </w:p>
    <w:p w14:paraId="78BC1141" w14:textId="77777777" w:rsidR="00550B3B" w:rsidRPr="00F03086" w:rsidRDefault="00550B3B" w:rsidP="00550B3B">
      <w:pPr>
        <w:numPr>
          <w:ilvl w:val="0"/>
          <w:numId w:val="3"/>
        </w:numPr>
        <w:spacing w:before="100" w:beforeAutospacing="1" w:after="100" w:afterAutospacing="1" w:line="480" w:lineRule="auto"/>
        <w:jc w:val="both"/>
        <w:rPr>
          <w:rFonts w:ascii="Arial" w:eastAsia="Times New Roman" w:hAnsi="Arial" w:cs="Arial"/>
          <w:sz w:val="20"/>
          <w:szCs w:val="20"/>
          <w:highlight w:val="yellow"/>
        </w:rPr>
      </w:pPr>
      <w:r w:rsidRPr="00F03086">
        <w:rPr>
          <w:rFonts w:ascii="Arial" w:eastAsia="Times New Roman" w:hAnsi="Arial" w:cs="Arial"/>
          <w:sz w:val="20"/>
          <w:szCs w:val="20"/>
          <w:highlight w:val="yellow"/>
        </w:rPr>
        <w:t>Evaluate neurobehavioral changes using technology-assisted tracking (e.g., open-field test, Morris water maze).</w:t>
      </w:r>
    </w:p>
    <w:p w14:paraId="61EEEF62" w14:textId="77777777" w:rsidR="00550B3B" w:rsidRPr="00F03086" w:rsidRDefault="00550B3B" w:rsidP="00550B3B">
      <w:pPr>
        <w:numPr>
          <w:ilvl w:val="0"/>
          <w:numId w:val="3"/>
        </w:numPr>
        <w:spacing w:before="100" w:beforeAutospacing="1" w:after="100" w:afterAutospacing="1" w:line="480" w:lineRule="auto"/>
        <w:jc w:val="both"/>
        <w:rPr>
          <w:rFonts w:ascii="Arial" w:eastAsia="Times New Roman" w:hAnsi="Arial" w:cs="Arial"/>
          <w:sz w:val="20"/>
          <w:szCs w:val="20"/>
          <w:highlight w:val="yellow"/>
        </w:rPr>
      </w:pPr>
      <w:r w:rsidRPr="00F03086">
        <w:rPr>
          <w:rFonts w:ascii="Arial" w:eastAsia="Times New Roman" w:hAnsi="Arial" w:cs="Arial"/>
          <w:sz w:val="20"/>
          <w:szCs w:val="20"/>
          <w:highlight w:val="yellow"/>
        </w:rPr>
        <w:t xml:space="preserve">Assess </w:t>
      </w:r>
      <w:proofErr w:type="spellStart"/>
      <w:r w:rsidRPr="00F03086">
        <w:rPr>
          <w:rFonts w:ascii="Arial" w:eastAsia="Times New Roman" w:hAnsi="Arial" w:cs="Arial"/>
          <w:sz w:val="20"/>
          <w:szCs w:val="20"/>
          <w:highlight w:val="yellow"/>
        </w:rPr>
        <w:t>histomorphometric</w:t>
      </w:r>
      <w:proofErr w:type="spellEnd"/>
      <w:r w:rsidRPr="00F03086">
        <w:rPr>
          <w:rFonts w:ascii="Arial" w:eastAsia="Times New Roman" w:hAnsi="Arial" w:cs="Arial"/>
          <w:sz w:val="20"/>
          <w:szCs w:val="20"/>
          <w:highlight w:val="yellow"/>
        </w:rPr>
        <w:t xml:space="preserve"> brain alterations (e.g., neuronal density, gliosis in hippocampus and cortex) via automated image analysis.</w:t>
      </w:r>
    </w:p>
    <w:p w14:paraId="26627DB6" w14:textId="646D9E9F" w:rsidR="00550B3B" w:rsidRPr="00F03086" w:rsidRDefault="00A935CD" w:rsidP="00550B3B">
      <w:pPr>
        <w:spacing w:before="100" w:beforeAutospacing="1" w:after="100" w:afterAutospacing="1" w:line="480" w:lineRule="auto"/>
        <w:jc w:val="both"/>
        <w:rPr>
          <w:rFonts w:ascii="Arial" w:eastAsia="Times New Roman" w:hAnsi="Arial" w:cs="Arial"/>
          <w:sz w:val="20"/>
          <w:szCs w:val="20"/>
          <w:highlight w:val="yellow"/>
        </w:rPr>
      </w:pPr>
      <w:r w:rsidRPr="00A935CD">
        <w:rPr>
          <w:rFonts w:ascii="Arial" w:eastAsia="Times New Roman" w:hAnsi="Arial" w:cs="Arial"/>
          <w:b/>
          <w:bCs/>
          <w:sz w:val="20"/>
          <w:szCs w:val="20"/>
          <w:highlight w:val="yellow"/>
        </w:rPr>
        <w:t>Research h</w:t>
      </w:r>
      <w:r w:rsidR="00550B3B" w:rsidRPr="00F03086">
        <w:rPr>
          <w:rFonts w:ascii="Arial" w:eastAsia="Times New Roman" w:hAnsi="Arial" w:cs="Arial"/>
          <w:b/>
          <w:bCs/>
          <w:sz w:val="20"/>
          <w:szCs w:val="20"/>
          <w:highlight w:val="yellow"/>
        </w:rPr>
        <w:t>ypotheses:</w:t>
      </w:r>
    </w:p>
    <w:p w14:paraId="2B7D734E" w14:textId="77777777" w:rsidR="00550B3B" w:rsidRPr="00F03086" w:rsidRDefault="00550B3B" w:rsidP="00A935CD">
      <w:pPr>
        <w:numPr>
          <w:ilvl w:val="0"/>
          <w:numId w:val="5"/>
        </w:numPr>
        <w:spacing w:before="100" w:beforeAutospacing="1" w:after="100" w:afterAutospacing="1" w:line="480" w:lineRule="auto"/>
        <w:jc w:val="both"/>
        <w:rPr>
          <w:rFonts w:ascii="Arial" w:eastAsia="Times New Roman" w:hAnsi="Arial" w:cs="Arial"/>
          <w:sz w:val="20"/>
          <w:szCs w:val="20"/>
          <w:highlight w:val="yellow"/>
        </w:rPr>
      </w:pPr>
      <w:r w:rsidRPr="00F03086">
        <w:rPr>
          <w:rFonts w:ascii="Arial" w:eastAsia="Times New Roman" w:hAnsi="Arial" w:cs="Arial"/>
          <w:sz w:val="20"/>
          <w:szCs w:val="20"/>
          <w:highlight w:val="yellow"/>
        </w:rPr>
        <w:t>H1: Chronic Pb or Cd exposure induces dose-dependent neurobehavioral deficits (e.g., reduced locomotion, impaired memory) and histopathological damage compared to controls.</w:t>
      </w:r>
    </w:p>
    <w:p w14:paraId="06BD360E" w14:textId="77777777" w:rsidR="00550B3B" w:rsidRPr="00F03086" w:rsidRDefault="00550B3B" w:rsidP="00A935CD">
      <w:pPr>
        <w:numPr>
          <w:ilvl w:val="0"/>
          <w:numId w:val="5"/>
        </w:numPr>
        <w:spacing w:before="100" w:beforeAutospacing="1" w:after="100" w:afterAutospacing="1" w:line="480" w:lineRule="auto"/>
        <w:jc w:val="both"/>
        <w:rPr>
          <w:rFonts w:ascii="Arial" w:eastAsia="Times New Roman" w:hAnsi="Arial" w:cs="Arial"/>
          <w:sz w:val="20"/>
          <w:szCs w:val="20"/>
          <w:highlight w:val="yellow"/>
        </w:rPr>
      </w:pPr>
      <w:r w:rsidRPr="00F03086">
        <w:rPr>
          <w:rFonts w:ascii="Arial" w:eastAsia="Times New Roman" w:hAnsi="Arial" w:cs="Arial"/>
          <w:sz w:val="20"/>
          <w:szCs w:val="20"/>
          <w:highlight w:val="yellow"/>
        </w:rPr>
        <w:t xml:space="preserve">H2: Combined Pb-Cd exposure synergistically worsens neurobehavioral and </w:t>
      </w:r>
      <w:proofErr w:type="spellStart"/>
      <w:r w:rsidRPr="00F03086">
        <w:rPr>
          <w:rFonts w:ascii="Arial" w:eastAsia="Times New Roman" w:hAnsi="Arial" w:cs="Arial"/>
          <w:sz w:val="20"/>
          <w:szCs w:val="20"/>
          <w:highlight w:val="yellow"/>
        </w:rPr>
        <w:t>histomorphometric</w:t>
      </w:r>
      <w:proofErr w:type="spellEnd"/>
      <w:r w:rsidRPr="00F03086">
        <w:rPr>
          <w:rFonts w:ascii="Arial" w:eastAsia="Times New Roman" w:hAnsi="Arial" w:cs="Arial"/>
          <w:sz w:val="20"/>
          <w:szCs w:val="20"/>
          <w:highlight w:val="yellow"/>
        </w:rPr>
        <w:t xml:space="preserve"> outcomes versus single-metal exposure.</w:t>
      </w:r>
    </w:p>
    <w:p w14:paraId="23CF6BD6" w14:textId="77777777" w:rsidR="00550B3B" w:rsidRPr="00F03086" w:rsidRDefault="00550B3B" w:rsidP="00A935CD">
      <w:pPr>
        <w:numPr>
          <w:ilvl w:val="0"/>
          <w:numId w:val="5"/>
        </w:numPr>
        <w:spacing w:before="100" w:beforeAutospacing="1" w:after="100" w:afterAutospacing="1" w:line="480" w:lineRule="auto"/>
        <w:jc w:val="both"/>
        <w:rPr>
          <w:rFonts w:ascii="Arial" w:eastAsia="Times New Roman" w:hAnsi="Arial" w:cs="Arial"/>
          <w:sz w:val="20"/>
          <w:szCs w:val="20"/>
          <w:highlight w:val="yellow"/>
        </w:rPr>
      </w:pPr>
      <w:r w:rsidRPr="00F03086">
        <w:rPr>
          <w:rFonts w:ascii="Arial" w:eastAsia="Times New Roman" w:hAnsi="Arial" w:cs="Arial"/>
          <w:sz w:val="20"/>
          <w:szCs w:val="20"/>
          <w:highlight w:val="yellow"/>
        </w:rPr>
        <w:lastRenderedPageBreak/>
        <w:t>H3: These effects correlate with oxidative stress markers and neurotransmitter disruptions in brain tissue.</w:t>
      </w:r>
    </w:p>
    <w:p w14:paraId="243BB3BE" w14:textId="77777777" w:rsidR="00550B3B" w:rsidRPr="00F03086" w:rsidRDefault="00550B3B" w:rsidP="00550B3B">
      <w:pPr>
        <w:spacing w:before="100" w:beforeAutospacing="1" w:after="100" w:afterAutospacing="1" w:line="480" w:lineRule="auto"/>
        <w:jc w:val="both"/>
        <w:rPr>
          <w:rFonts w:ascii="Arial" w:eastAsia="Times New Roman" w:hAnsi="Arial" w:cs="Arial"/>
          <w:sz w:val="20"/>
          <w:szCs w:val="20"/>
        </w:rPr>
      </w:pPr>
    </w:p>
    <w:p w14:paraId="23BC6855" w14:textId="77777777" w:rsidR="00D03065" w:rsidRDefault="004B14FB">
      <w:pPr>
        <w:pStyle w:val="NoSpacing"/>
        <w:rPr>
          <w:rFonts w:ascii="Arial" w:hAnsi="Arial" w:cs="Arial"/>
          <w:b/>
          <w:bCs/>
        </w:rPr>
      </w:pPr>
      <w:r>
        <w:rPr>
          <w:rFonts w:ascii="Arial" w:hAnsi="Arial" w:cs="Arial"/>
          <w:b/>
          <w:bCs/>
        </w:rPr>
        <w:t xml:space="preserve"> MATERIALS &amp; METHODS</w:t>
      </w:r>
    </w:p>
    <w:p w14:paraId="0DFB3908" w14:textId="77777777" w:rsidR="00D03065" w:rsidRDefault="004B14FB">
      <w:pPr>
        <w:pStyle w:val="NoSpacing"/>
        <w:rPr>
          <w:rFonts w:ascii="Arial" w:hAnsi="Arial" w:cs="Arial"/>
          <w:b/>
          <w:bCs/>
        </w:rPr>
      </w:pPr>
      <w:r>
        <w:rPr>
          <w:rFonts w:ascii="Arial" w:hAnsi="Arial" w:cs="Arial"/>
          <w:b/>
          <w:bCs/>
        </w:rPr>
        <w:t>EXPERIMENTAL ANIMALS</w:t>
      </w:r>
    </w:p>
    <w:p w14:paraId="79C7AB90" w14:textId="08869FC8" w:rsidR="00D03065" w:rsidRDefault="004B14FB">
      <w:pPr>
        <w:pStyle w:val="NoSpacing"/>
        <w:spacing w:line="480" w:lineRule="auto"/>
        <w:jc w:val="both"/>
        <w:rPr>
          <w:rFonts w:ascii="Arial" w:hAnsi="Arial" w:cs="Arial"/>
          <w:sz w:val="20"/>
          <w:szCs w:val="20"/>
        </w:rPr>
      </w:pPr>
      <w:r w:rsidRPr="00F10045">
        <w:rPr>
          <w:rFonts w:ascii="Arial" w:hAnsi="Arial" w:cs="Arial"/>
          <w:sz w:val="20"/>
          <w:szCs w:val="20"/>
          <w:highlight w:val="yellow"/>
        </w:rPr>
        <w:t xml:space="preserve">The experiment was conducted using animals weighing 100-120g that were obtained from </w:t>
      </w:r>
      <w:r w:rsidR="00945078" w:rsidRPr="00F10045">
        <w:rPr>
          <w:rFonts w:ascii="Arial" w:hAnsi="Arial" w:cs="Arial"/>
          <w:sz w:val="20"/>
          <w:szCs w:val="20"/>
          <w:highlight w:val="yellow"/>
        </w:rPr>
        <w:t>SUMAS</w:t>
      </w:r>
      <w:r w:rsidRPr="00F10045">
        <w:rPr>
          <w:rFonts w:ascii="Arial" w:hAnsi="Arial" w:cs="Arial"/>
          <w:sz w:val="20"/>
          <w:szCs w:val="20"/>
          <w:highlight w:val="yellow"/>
        </w:rPr>
        <w:t>'s Faculty of Basic Medical Sciences' animal house.</w:t>
      </w:r>
      <w:r>
        <w:rPr>
          <w:rFonts w:ascii="Arial" w:hAnsi="Arial" w:cs="Arial"/>
          <w:sz w:val="20"/>
          <w:szCs w:val="20"/>
        </w:rPr>
        <w:t xml:space="preserve"> Following their weaning, the animals were given regular laboratory rat food and unlimited water. Rats were housed in cages that were approved and maintained on a regular 12-hour light/dark cycle. The Nigerian law on laboratory animal experimentation, which is based on the US National Institutes of Health guidelines, was followed in the care of all the animals.</w:t>
      </w:r>
    </w:p>
    <w:p w14:paraId="7C0DB456" w14:textId="77777777" w:rsidR="00D03065" w:rsidRDefault="004B14FB">
      <w:pPr>
        <w:pStyle w:val="NoSpacing"/>
        <w:spacing w:line="480" w:lineRule="auto"/>
        <w:jc w:val="both"/>
        <w:rPr>
          <w:rFonts w:ascii="Arial" w:hAnsi="Arial" w:cs="Arial"/>
          <w:b/>
        </w:rPr>
      </w:pPr>
      <w:r>
        <w:rPr>
          <w:rFonts w:ascii="Arial" w:hAnsi="Arial" w:cs="Arial"/>
          <w:b/>
        </w:rPr>
        <w:t>EXPERIMENTAL ANIMAL GROUPINGS</w:t>
      </w:r>
    </w:p>
    <w:p w14:paraId="34CC3F5A" w14:textId="77777777" w:rsidR="00D03065" w:rsidRDefault="004B14FB">
      <w:pPr>
        <w:pStyle w:val="NoSpacing"/>
        <w:spacing w:line="480" w:lineRule="auto"/>
        <w:jc w:val="both"/>
        <w:rPr>
          <w:rFonts w:ascii="Arial" w:hAnsi="Arial" w:cs="Arial"/>
          <w:sz w:val="20"/>
          <w:szCs w:val="20"/>
        </w:rPr>
      </w:pPr>
      <w:r>
        <w:rPr>
          <w:rFonts w:ascii="Arial" w:hAnsi="Arial" w:cs="Arial"/>
          <w:sz w:val="20"/>
          <w:szCs w:val="20"/>
        </w:rPr>
        <w:t>A total of 20 Wistar rats weighing between 100g-120g were randomly divided into 4 groups as follows:</w:t>
      </w:r>
    </w:p>
    <w:p w14:paraId="1AA74021" w14:textId="77777777" w:rsidR="00D03065" w:rsidRDefault="004B14FB">
      <w:pPr>
        <w:pStyle w:val="NoSpacing"/>
        <w:spacing w:line="480" w:lineRule="auto"/>
        <w:jc w:val="both"/>
        <w:rPr>
          <w:rFonts w:ascii="Arial" w:hAnsi="Arial" w:cs="Arial"/>
          <w:sz w:val="20"/>
          <w:szCs w:val="20"/>
        </w:rPr>
      </w:pPr>
      <w:r>
        <w:rPr>
          <w:rFonts w:ascii="Arial" w:hAnsi="Arial" w:cs="Arial"/>
          <w:sz w:val="20"/>
          <w:szCs w:val="20"/>
        </w:rPr>
        <w:t>Group I: Control (normal animal feed and water)</w:t>
      </w:r>
    </w:p>
    <w:p w14:paraId="1D540310" w14:textId="77777777" w:rsidR="00D03065" w:rsidRDefault="004B14FB">
      <w:pPr>
        <w:pStyle w:val="NoSpacing"/>
        <w:spacing w:line="480" w:lineRule="auto"/>
        <w:jc w:val="both"/>
        <w:rPr>
          <w:rFonts w:ascii="Arial" w:hAnsi="Arial" w:cs="Arial"/>
          <w:sz w:val="20"/>
          <w:szCs w:val="20"/>
        </w:rPr>
      </w:pPr>
      <w:r>
        <w:rPr>
          <w:rFonts w:ascii="Arial" w:hAnsi="Arial" w:cs="Arial"/>
          <w:sz w:val="20"/>
          <w:szCs w:val="20"/>
        </w:rPr>
        <w:t>Group II: Treated with 40 mg/kg Cadmium chloride</w:t>
      </w:r>
    </w:p>
    <w:p w14:paraId="3B0644D2" w14:textId="77777777" w:rsidR="00D03065" w:rsidRDefault="004B14FB">
      <w:pPr>
        <w:pStyle w:val="NoSpacing"/>
        <w:spacing w:line="480" w:lineRule="auto"/>
        <w:jc w:val="both"/>
        <w:rPr>
          <w:rFonts w:ascii="Arial" w:hAnsi="Arial" w:cs="Arial"/>
          <w:sz w:val="20"/>
          <w:szCs w:val="20"/>
        </w:rPr>
      </w:pPr>
      <w:r>
        <w:rPr>
          <w:rFonts w:ascii="Arial" w:hAnsi="Arial" w:cs="Arial"/>
          <w:sz w:val="20"/>
          <w:szCs w:val="20"/>
        </w:rPr>
        <w:t>Group III: Treated with 50 mg/kg Lead</w:t>
      </w:r>
    </w:p>
    <w:p w14:paraId="7A8AF51E" w14:textId="77777777" w:rsidR="00D03065" w:rsidRDefault="004B14FB">
      <w:pPr>
        <w:pStyle w:val="NoSpacing"/>
        <w:spacing w:line="480" w:lineRule="auto"/>
        <w:jc w:val="both"/>
        <w:rPr>
          <w:rFonts w:ascii="Arial" w:hAnsi="Arial" w:cs="Arial"/>
          <w:sz w:val="20"/>
          <w:szCs w:val="20"/>
        </w:rPr>
      </w:pPr>
      <w:r>
        <w:rPr>
          <w:rFonts w:ascii="Arial" w:hAnsi="Arial" w:cs="Arial"/>
          <w:sz w:val="20"/>
          <w:szCs w:val="20"/>
        </w:rPr>
        <w:t>Group IV: Treated with 50 mg/kg Lead + 40 mg/kg Cadmium</w:t>
      </w:r>
    </w:p>
    <w:p w14:paraId="3FEA6F04" w14:textId="77777777" w:rsidR="00D03065" w:rsidRDefault="004B14FB">
      <w:pPr>
        <w:pStyle w:val="NoSpacing"/>
        <w:spacing w:line="480" w:lineRule="auto"/>
        <w:jc w:val="both"/>
        <w:rPr>
          <w:rFonts w:ascii="Arial" w:hAnsi="Arial" w:cs="Arial"/>
          <w:sz w:val="20"/>
          <w:szCs w:val="20"/>
        </w:rPr>
      </w:pPr>
      <w:r>
        <w:rPr>
          <w:rFonts w:ascii="Arial" w:hAnsi="Arial" w:cs="Arial"/>
          <w:sz w:val="20"/>
          <w:szCs w:val="20"/>
        </w:rPr>
        <w:t>Following two weeks of acclimatisation, test substance administration began and continued for four weeks, with weekly neurobehavioral testing.</w:t>
      </w:r>
    </w:p>
    <w:p w14:paraId="1FB1D4AE" w14:textId="77777777" w:rsidR="00D03065" w:rsidRDefault="004B14FB">
      <w:pPr>
        <w:pStyle w:val="NoSpacing"/>
        <w:spacing w:line="480" w:lineRule="auto"/>
        <w:jc w:val="both"/>
        <w:rPr>
          <w:rFonts w:ascii="Arial" w:hAnsi="Arial" w:cs="Arial"/>
          <w:b/>
        </w:rPr>
      </w:pPr>
      <w:r>
        <w:rPr>
          <w:rFonts w:ascii="Arial" w:hAnsi="Arial" w:cs="Arial"/>
          <w:b/>
        </w:rPr>
        <w:t>NEUROBEHAVIOURAL TEST</w:t>
      </w:r>
    </w:p>
    <w:p w14:paraId="0438E417" w14:textId="77777777" w:rsidR="00D03065" w:rsidRDefault="004B14FB">
      <w:pPr>
        <w:pStyle w:val="NoSpacing"/>
        <w:spacing w:line="480" w:lineRule="auto"/>
        <w:jc w:val="both"/>
        <w:rPr>
          <w:rFonts w:ascii="Arial" w:hAnsi="Arial" w:cs="Arial"/>
          <w:sz w:val="20"/>
          <w:szCs w:val="20"/>
        </w:rPr>
      </w:pPr>
      <w:r>
        <w:rPr>
          <w:rFonts w:ascii="Arial" w:hAnsi="Arial" w:cs="Arial"/>
          <w:sz w:val="20"/>
          <w:szCs w:val="20"/>
        </w:rPr>
        <w:t xml:space="preserve">Studies using neurobehavioral techniques were carried out using the procedures of </w:t>
      </w:r>
      <w:r>
        <w:rPr>
          <w:rFonts w:ascii="Arial" w:hAnsi="Arial" w:cs="Arial"/>
          <w:sz w:val="20"/>
          <w:szCs w:val="20"/>
          <w:vertAlign w:val="superscript"/>
        </w:rPr>
        <w:t>24, 25, 26, 49, 50</w:t>
      </w:r>
      <w:r>
        <w:rPr>
          <w:rFonts w:ascii="Arial" w:hAnsi="Arial" w:cs="Arial"/>
          <w:sz w:val="20"/>
          <w:szCs w:val="20"/>
        </w:rPr>
        <w:t xml:space="preserve"> and recorded with a digital tracking system for time and performance metrics. To determine the effects of prolonged exposure to heavy metal contamination, the following neuro-behavioral tests were employed: Beam walk test, Rotarod test, and Barnes maze.</w:t>
      </w:r>
    </w:p>
    <w:p w14:paraId="159307C5" w14:textId="77777777" w:rsidR="00D03065" w:rsidRDefault="004B14FB">
      <w:pPr>
        <w:pStyle w:val="NoSpacing"/>
        <w:spacing w:line="480" w:lineRule="auto"/>
        <w:jc w:val="both"/>
        <w:rPr>
          <w:rFonts w:ascii="Arial" w:hAnsi="Arial" w:cs="Arial"/>
          <w:b/>
        </w:rPr>
      </w:pPr>
      <w:r>
        <w:rPr>
          <w:rFonts w:ascii="Arial" w:hAnsi="Arial" w:cs="Arial"/>
          <w:b/>
        </w:rPr>
        <w:t>BARNES MAZE TEST</w:t>
      </w:r>
    </w:p>
    <w:p w14:paraId="449DD9FF" w14:textId="77777777" w:rsidR="00D03065" w:rsidRDefault="004B14FB">
      <w:pPr>
        <w:pStyle w:val="NoSpacing"/>
        <w:spacing w:line="480" w:lineRule="auto"/>
        <w:jc w:val="both"/>
        <w:rPr>
          <w:rFonts w:ascii="Arial" w:hAnsi="Arial" w:cs="Arial"/>
          <w:sz w:val="20"/>
          <w:szCs w:val="20"/>
        </w:rPr>
      </w:pPr>
      <w:r>
        <w:rPr>
          <w:rFonts w:ascii="Arial" w:hAnsi="Arial" w:cs="Arial"/>
          <w:sz w:val="20"/>
          <w:szCs w:val="20"/>
        </w:rPr>
        <w:t xml:space="preserve">The basic purpose of the Barnes maze is to measure a mouse's capacity to learn and remember the location of a target zone using a configuration of distal visual cues placed around the testing area. The maze is used in psychological laboratory experiments to measure spatial learning and memory. The test subjects are typically rodents, such as mice or lab rats, who either serve as a control or may have some genetic variable or deficiency present that will cause them to react to the maze differently. Identifying cognitive deficits in transgenic strains of rodents that model diseases like Alzheimer's disease and </w:t>
      </w:r>
      <w:r>
        <w:rPr>
          <w:rFonts w:ascii="Arial" w:hAnsi="Arial" w:cs="Arial"/>
          <w:sz w:val="20"/>
          <w:szCs w:val="20"/>
        </w:rPr>
        <w:lastRenderedPageBreak/>
        <w:t>assessing novel chemical entities for their effects on cognition are two applications for this noninvasive task. Neuroscientists also use it to assess whether learning deficits (acquisition trials) and spatial memory retention (probe) at acute and chronic time points following mild traumatic brain injury are caused by the injury. Hippocampal-dependent spatial reference memory and the subjects' innate desire to flee an unpleasant situation are both necessary for this task. Latency and errors were captured using a computer-assisted timing and video-tracking setup.</w:t>
      </w:r>
    </w:p>
    <w:p w14:paraId="76C0E5C6" w14:textId="77777777" w:rsidR="00D03065" w:rsidRDefault="004B14FB">
      <w:pPr>
        <w:pStyle w:val="NoSpacing"/>
        <w:spacing w:line="480" w:lineRule="auto"/>
        <w:jc w:val="both"/>
        <w:rPr>
          <w:rFonts w:ascii="Arial" w:hAnsi="Arial" w:cs="Arial"/>
          <w:b/>
        </w:rPr>
      </w:pPr>
      <w:r>
        <w:rPr>
          <w:rFonts w:ascii="Arial" w:hAnsi="Arial" w:cs="Arial"/>
          <w:b/>
        </w:rPr>
        <w:t>ROTAROD TEST</w:t>
      </w:r>
    </w:p>
    <w:p w14:paraId="613BCA79" w14:textId="77777777" w:rsidR="00D03065" w:rsidRDefault="004B14FB">
      <w:pPr>
        <w:pStyle w:val="NoSpacing"/>
        <w:spacing w:line="480" w:lineRule="auto"/>
        <w:jc w:val="both"/>
        <w:rPr>
          <w:rFonts w:ascii="Arial" w:hAnsi="Arial" w:cs="Arial"/>
          <w:sz w:val="20"/>
          <w:szCs w:val="20"/>
        </w:rPr>
      </w:pPr>
      <w:r>
        <w:rPr>
          <w:rFonts w:ascii="Arial" w:hAnsi="Arial" w:cs="Arial"/>
          <w:sz w:val="20"/>
          <w:szCs w:val="20"/>
        </w:rPr>
        <w:t>A rotating rod with forced motor activity applied, typically by a rodent, serves as the basis for the rotarod performance test. The test calculates metrics like endurance and riding time (seconds). Assessing the subjects' balance, grip strength, and motor coordination is one of the test's purposes; it's particularly useful for determining how experimental drugs work. A horizontally oriented, rotating cylinder (rod) suspended above a cage floor-low enough to prevent injury but high enough to encourage fall avoidance - is used to test a rodent. In order to prevent falling to the ground, rodents instinctively attempt to remain on the revolving cylinder, or rotarod. The amount of time an animal spends on this revolving rod is a gauge of its motor planning, balance, coordination, and physical health. The rotarod's mechanically driven speed can be increased or maintained at a constant level. Performance duration was recorded with digital precision using automated timing systems.</w:t>
      </w:r>
    </w:p>
    <w:p w14:paraId="4DD37360" w14:textId="77777777" w:rsidR="00D03065" w:rsidRDefault="004B14FB">
      <w:pPr>
        <w:pStyle w:val="NoSpacing"/>
        <w:spacing w:line="480" w:lineRule="auto"/>
        <w:jc w:val="both"/>
        <w:rPr>
          <w:rFonts w:ascii="Arial" w:hAnsi="Arial" w:cs="Arial"/>
          <w:b/>
        </w:rPr>
      </w:pPr>
      <w:r>
        <w:rPr>
          <w:rFonts w:ascii="Arial" w:hAnsi="Arial" w:cs="Arial"/>
          <w:b/>
        </w:rPr>
        <w:t>BEAM WALKING TEST</w:t>
      </w:r>
    </w:p>
    <w:p w14:paraId="43FE0789" w14:textId="77777777" w:rsidR="00D03065" w:rsidRDefault="004B14FB">
      <w:pPr>
        <w:pStyle w:val="NoSpacing"/>
        <w:spacing w:line="480" w:lineRule="auto"/>
        <w:jc w:val="both"/>
        <w:rPr>
          <w:rFonts w:ascii="Arial" w:hAnsi="Arial" w:cs="Arial"/>
          <w:sz w:val="20"/>
          <w:szCs w:val="20"/>
        </w:rPr>
      </w:pPr>
      <w:r>
        <w:rPr>
          <w:rFonts w:ascii="Arial" w:hAnsi="Arial" w:cs="Arial"/>
          <w:sz w:val="20"/>
          <w:szCs w:val="20"/>
        </w:rPr>
        <w:t>The beam walking test evaluates balance and motor coordination. By timing how long it takes the Wistar rats to move across the beam and how many paw slips they make, performance on this is measured. When it comes to identifying subtle deficiencies in motor skills and balance that other motor tests might miss, this task is great. Digital sensors captured traversal time and slip frequency for objective quantification.</w:t>
      </w:r>
    </w:p>
    <w:p w14:paraId="0373EE90" w14:textId="77777777" w:rsidR="00D03065" w:rsidRDefault="004B14FB">
      <w:pPr>
        <w:pStyle w:val="NoSpacing"/>
        <w:spacing w:line="480" w:lineRule="auto"/>
        <w:jc w:val="both"/>
        <w:rPr>
          <w:rFonts w:ascii="Arial" w:hAnsi="Arial" w:cs="Arial"/>
          <w:b/>
        </w:rPr>
      </w:pPr>
      <w:r>
        <w:rPr>
          <w:rFonts w:ascii="Arial" w:hAnsi="Arial" w:cs="Arial"/>
          <w:b/>
        </w:rPr>
        <w:t>COLLECTION OF SAMPLE</w:t>
      </w:r>
    </w:p>
    <w:p w14:paraId="1193AAFC" w14:textId="77777777" w:rsidR="00D03065" w:rsidRDefault="004B14FB">
      <w:pPr>
        <w:pStyle w:val="NoSpacing"/>
        <w:spacing w:line="480" w:lineRule="auto"/>
        <w:jc w:val="both"/>
        <w:rPr>
          <w:rFonts w:ascii="Arial" w:hAnsi="Arial" w:cs="Arial"/>
          <w:sz w:val="24"/>
          <w:szCs w:val="24"/>
          <w:vertAlign w:val="superscript"/>
        </w:rPr>
      </w:pPr>
      <w:r>
        <w:rPr>
          <w:rFonts w:ascii="Arial" w:hAnsi="Arial" w:cs="Arial"/>
          <w:sz w:val="20"/>
          <w:szCs w:val="20"/>
        </w:rPr>
        <w:t xml:space="preserve">The rats spent a considerable amount of time under anaesthesia in a chamber that was saturated with chloroform. The hippocampal tissue was then removed and preserved in 10% formal saline after the rats were dissected on the dissecting board using the dissecting kit. </w:t>
      </w:r>
      <w:r>
        <w:rPr>
          <w:rFonts w:ascii="Arial" w:hAnsi="Arial" w:cs="Arial"/>
          <w:sz w:val="20"/>
          <w:szCs w:val="20"/>
          <w:vertAlign w:val="superscript"/>
        </w:rPr>
        <w:t>47, 48, 51, 52, 53, 54</w:t>
      </w:r>
    </w:p>
    <w:p w14:paraId="69134083" w14:textId="77777777" w:rsidR="00D03065" w:rsidRDefault="004B14FB">
      <w:pPr>
        <w:pStyle w:val="NoSpacing"/>
        <w:spacing w:line="480" w:lineRule="auto"/>
        <w:jc w:val="both"/>
        <w:rPr>
          <w:rFonts w:ascii="Arial" w:hAnsi="Arial" w:cs="Arial"/>
          <w:b/>
        </w:rPr>
      </w:pPr>
      <w:r>
        <w:rPr>
          <w:rFonts w:ascii="Arial" w:hAnsi="Arial" w:cs="Arial"/>
          <w:b/>
        </w:rPr>
        <w:t>PREPARATION OF FIXATIVE</w:t>
      </w:r>
    </w:p>
    <w:p w14:paraId="229EDFEC" w14:textId="77777777" w:rsidR="00D03065" w:rsidRDefault="004B14FB">
      <w:pPr>
        <w:pStyle w:val="NoSpacing"/>
        <w:spacing w:line="480" w:lineRule="auto"/>
        <w:jc w:val="both"/>
        <w:rPr>
          <w:rFonts w:ascii="Arial" w:hAnsi="Arial" w:cs="Arial"/>
        </w:rPr>
      </w:pPr>
      <w:r>
        <w:rPr>
          <w:rFonts w:ascii="Arial" w:hAnsi="Arial" w:cs="Arial"/>
        </w:rPr>
        <w:t>The fixative (10% formal saline) was used to fix the collected tissue and was prepared thus:</w:t>
      </w:r>
    </w:p>
    <w:p w14:paraId="44011DA7" w14:textId="77777777" w:rsidR="00D03065" w:rsidRDefault="004B14FB">
      <w:pPr>
        <w:pStyle w:val="NoSpacing"/>
        <w:spacing w:line="480" w:lineRule="auto"/>
        <w:jc w:val="both"/>
        <w:rPr>
          <w:rFonts w:ascii="Arial" w:hAnsi="Arial" w:cs="Arial"/>
        </w:rPr>
      </w:pPr>
      <w:r>
        <w:rPr>
          <w:rFonts w:ascii="Arial" w:hAnsi="Arial" w:cs="Arial"/>
        </w:rPr>
        <w:t>90ml of distilled water was mixed with 10ml of formalin.</w:t>
      </w:r>
    </w:p>
    <w:p w14:paraId="79DB5CFE" w14:textId="77777777" w:rsidR="00D03065" w:rsidRDefault="004B14FB">
      <w:pPr>
        <w:pStyle w:val="NoSpacing"/>
        <w:spacing w:line="480" w:lineRule="auto"/>
        <w:jc w:val="both"/>
        <w:rPr>
          <w:rFonts w:ascii="Arial" w:hAnsi="Arial" w:cs="Arial"/>
          <w:b/>
        </w:rPr>
      </w:pPr>
      <w:r>
        <w:rPr>
          <w:rFonts w:ascii="Arial" w:hAnsi="Arial" w:cs="Arial"/>
          <w:b/>
        </w:rPr>
        <w:lastRenderedPageBreak/>
        <w:t>HISTOLOGICAL ANALYSIS</w:t>
      </w:r>
    </w:p>
    <w:p w14:paraId="6F8B677E" w14:textId="77777777" w:rsidR="00D03065" w:rsidRDefault="004B14FB">
      <w:pPr>
        <w:pStyle w:val="NoSpacing"/>
        <w:spacing w:line="480" w:lineRule="auto"/>
        <w:jc w:val="both"/>
        <w:rPr>
          <w:rFonts w:ascii="Arial" w:hAnsi="Arial" w:cs="Arial"/>
          <w:sz w:val="20"/>
          <w:szCs w:val="20"/>
        </w:rPr>
      </w:pPr>
      <w:r>
        <w:rPr>
          <w:rFonts w:ascii="Arial" w:hAnsi="Arial" w:cs="Arial"/>
          <w:sz w:val="20"/>
          <w:szCs w:val="20"/>
        </w:rPr>
        <w:t>Both the experimental and control groups' hippocampi were removed, and the tissues were processed for histological evaluation. This tissue processing was done to help with microscopic inspection and to give tissue a firm support medium when sections were being cut. Tissues were examined using a light microscope equipped with a digital camera and image-analysis software to assess cellular morphology and quantitatively evaluate hippocampal architecture and neuropathological changes.</w:t>
      </w:r>
    </w:p>
    <w:p w14:paraId="520E4A47" w14:textId="77777777" w:rsidR="00D03065" w:rsidRDefault="004B14FB">
      <w:pPr>
        <w:pStyle w:val="NoSpacing"/>
        <w:spacing w:line="480" w:lineRule="auto"/>
        <w:jc w:val="both"/>
        <w:rPr>
          <w:rFonts w:ascii="Arial" w:hAnsi="Arial" w:cs="Arial"/>
          <w:b/>
        </w:rPr>
      </w:pPr>
      <w:r>
        <w:rPr>
          <w:rFonts w:ascii="Arial" w:hAnsi="Arial" w:cs="Arial"/>
          <w:b/>
        </w:rPr>
        <w:t xml:space="preserve">STATISTICAL ANALYSIS </w:t>
      </w:r>
    </w:p>
    <w:p w14:paraId="0944693A" w14:textId="77777777" w:rsidR="00D03065" w:rsidRDefault="004B14FB">
      <w:pPr>
        <w:pStyle w:val="NoSpacing"/>
        <w:spacing w:line="480" w:lineRule="auto"/>
        <w:jc w:val="both"/>
        <w:rPr>
          <w:rFonts w:ascii="Arial" w:hAnsi="Arial" w:cs="Arial"/>
          <w:sz w:val="20"/>
          <w:szCs w:val="20"/>
        </w:rPr>
      </w:pPr>
      <w:r>
        <w:rPr>
          <w:rFonts w:ascii="Arial" w:hAnsi="Arial" w:cs="Arial"/>
          <w:sz w:val="20"/>
          <w:szCs w:val="20"/>
        </w:rPr>
        <w:t>Data among the groups with different concentrations of the treatment agents were analysed using one-way analysis of variance (ANOVA) in statistical software (GraphPad Prism, version 9.0). Thereafter, the post-hoc test of multiple comparisons (Newman Keuls test) was used to test the individual groups against each other. Confidence level was set at 95% and P-value &lt;0.05 was considered significant.</w:t>
      </w:r>
    </w:p>
    <w:p w14:paraId="20858AF9" w14:textId="77777777" w:rsidR="00D03065" w:rsidRDefault="004B14FB">
      <w:pPr>
        <w:pStyle w:val="NoSpacing"/>
        <w:rPr>
          <w:rFonts w:ascii="Arial" w:hAnsi="Arial" w:cs="Arial"/>
          <w:b/>
        </w:rPr>
      </w:pPr>
      <w:r>
        <w:rPr>
          <w:rFonts w:ascii="Arial" w:hAnsi="Arial" w:cs="Arial"/>
          <w:b/>
        </w:rPr>
        <w:t xml:space="preserve">RESULTS AND DISCUSSION </w:t>
      </w:r>
    </w:p>
    <w:p w14:paraId="3E312F13" w14:textId="77777777" w:rsidR="00D03065" w:rsidRDefault="004B14FB">
      <w:pPr>
        <w:pStyle w:val="NoSpacing"/>
        <w:spacing w:line="480" w:lineRule="auto"/>
        <w:jc w:val="both"/>
        <w:rPr>
          <w:rFonts w:ascii="Arial" w:hAnsi="Arial" w:cs="Arial"/>
          <w:sz w:val="20"/>
          <w:szCs w:val="20"/>
        </w:rPr>
      </w:pPr>
      <w:r>
        <w:rPr>
          <w:rFonts w:ascii="Arial" w:hAnsi="Arial" w:cs="Arial"/>
          <w:sz w:val="20"/>
          <w:szCs w:val="20"/>
        </w:rPr>
        <w:t>The integration of technology-based behavioral paradigms and digital histological imaging provided a sensitive platform to detect subtle alterations in locomotion, balance, memory, and hippocampal microarchitecture following Pb, Cd, and combined exposure. This tech-driven approach enabled precise quantification of neurobehavioral endpoints and morphological changes that might otherwise be overlooked using conventional assessment methods.</w:t>
      </w:r>
    </w:p>
    <w:p w14:paraId="7FE7C3B7" w14:textId="77777777" w:rsidR="00D03065" w:rsidRDefault="004B14FB">
      <w:pPr>
        <w:pStyle w:val="NoSpacing"/>
        <w:spacing w:line="480" w:lineRule="auto"/>
        <w:jc w:val="both"/>
        <w:rPr>
          <w:rFonts w:ascii="Arial" w:hAnsi="Arial" w:cs="Arial"/>
          <w:sz w:val="20"/>
          <w:szCs w:val="20"/>
        </w:rPr>
      </w:pPr>
      <w:r>
        <w:rPr>
          <w:rFonts w:ascii="Arial" w:hAnsi="Arial" w:cs="Arial"/>
          <w:sz w:val="20"/>
          <w:szCs w:val="20"/>
        </w:rPr>
        <w:t>The experimental rats in this study were exposed to Pb and Cd, or Pb + Cd, separately for four weeks. After four weeks of exposure, the beam walk test result revealed a markedly longer transverse traversal time through the beam. In group 4, which received a combination of lead and cadmium, this increase was greater. The animals' considerable imbalance and difficulty traversing the beam were observed during the task performance period, particularly in the third and fourth weeks following exposure.</w:t>
      </w:r>
    </w:p>
    <w:p w14:paraId="794C3F2F" w14:textId="77777777" w:rsidR="00D03065" w:rsidRDefault="004B14FB">
      <w:pPr>
        <w:pStyle w:val="NoSpacing"/>
        <w:spacing w:line="480" w:lineRule="auto"/>
        <w:jc w:val="both"/>
        <w:rPr>
          <w:rFonts w:ascii="Arial" w:hAnsi="Arial" w:cs="Arial"/>
          <w:sz w:val="20"/>
          <w:szCs w:val="20"/>
        </w:rPr>
      </w:pPr>
      <w:r>
        <w:rPr>
          <w:rFonts w:ascii="Arial" w:hAnsi="Arial" w:cs="Arial"/>
          <w:sz w:val="20"/>
          <w:szCs w:val="20"/>
        </w:rPr>
        <w:t>The Rotarod test was used to evaluate balance and motor coordination in order to determine the locomotor skills of the test groups following exposure to heavy metals. A noticeable decline in task performance was the outcome. It was clear that during weeks three and four of the test, the animals' balance significantly deteriorated and they lost all coordination.</w:t>
      </w:r>
    </w:p>
    <w:p w14:paraId="7D20EA14" w14:textId="77777777" w:rsidR="00D03065" w:rsidRDefault="004B14FB">
      <w:pPr>
        <w:pStyle w:val="NoSpacing"/>
        <w:spacing w:line="480" w:lineRule="auto"/>
        <w:jc w:val="both"/>
        <w:rPr>
          <w:rFonts w:ascii="Arial" w:hAnsi="Arial" w:cs="Arial"/>
          <w:sz w:val="20"/>
          <w:szCs w:val="20"/>
          <w:vertAlign w:val="superscript"/>
        </w:rPr>
      </w:pPr>
      <w:r>
        <w:rPr>
          <w:rFonts w:ascii="Arial" w:hAnsi="Arial" w:cs="Arial"/>
          <w:sz w:val="20"/>
          <w:szCs w:val="20"/>
        </w:rPr>
        <w:t xml:space="preserve">The results of the Barnes maze test, which evaluates memory and spatial learning, revealed that test groups took significantly longer to find the escape opening to the dark box than the control group did. This suggests that memory and spatial learning have changed, which is consistent with earlier research. </w:t>
      </w:r>
      <w:r>
        <w:rPr>
          <w:rFonts w:ascii="Arial" w:hAnsi="Arial" w:cs="Arial"/>
          <w:sz w:val="20"/>
          <w:szCs w:val="20"/>
          <w:vertAlign w:val="superscript"/>
        </w:rPr>
        <w:t>32</w:t>
      </w:r>
    </w:p>
    <w:p w14:paraId="72C0F2C7" w14:textId="77777777" w:rsidR="00D03065" w:rsidRDefault="004B14FB">
      <w:pPr>
        <w:pStyle w:val="NoSpacing"/>
        <w:spacing w:line="480" w:lineRule="auto"/>
        <w:jc w:val="both"/>
        <w:rPr>
          <w:rFonts w:ascii="Arial" w:hAnsi="Arial" w:cs="Arial"/>
          <w:sz w:val="20"/>
          <w:szCs w:val="20"/>
          <w:vertAlign w:val="superscript"/>
        </w:rPr>
      </w:pPr>
      <w:r>
        <w:rPr>
          <w:rFonts w:ascii="Arial" w:hAnsi="Arial" w:cs="Arial"/>
          <w:sz w:val="20"/>
          <w:szCs w:val="20"/>
        </w:rPr>
        <w:t xml:space="preserve">According to our findings, the rats may experience neurotoxic effects from both Pb and Cd. However, co-exposure to Pb and Cd may worsen the toxic effects on the study animals' nervous systems compared to </w:t>
      </w:r>
      <w:r>
        <w:rPr>
          <w:rFonts w:ascii="Arial" w:hAnsi="Arial" w:cs="Arial"/>
          <w:sz w:val="20"/>
          <w:szCs w:val="20"/>
        </w:rPr>
        <w:lastRenderedPageBreak/>
        <w:t xml:space="preserve">a single exposure, most likely by changing certain neurotransmitters in the rats' brains. According to our research, rats' combined exposure to heavy metals should draw attention. It has been shown that one of the most significant indicators for identifying environmental chemical neurotoxicity is the neurobehavior of the study animals. </w:t>
      </w:r>
      <w:r>
        <w:rPr>
          <w:rFonts w:ascii="Arial" w:hAnsi="Arial" w:cs="Arial"/>
          <w:sz w:val="20"/>
          <w:szCs w:val="20"/>
          <w:vertAlign w:val="superscript"/>
        </w:rPr>
        <w:t>33</w:t>
      </w:r>
      <w:r>
        <w:rPr>
          <w:rFonts w:ascii="Arial" w:hAnsi="Arial" w:cs="Arial"/>
          <w:sz w:val="20"/>
          <w:szCs w:val="20"/>
        </w:rPr>
        <w:t xml:space="preserve"> Numerous environmental pollutants can affect locomotor behaviour. </w:t>
      </w:r>
      <w:r>
        <w:rPr>
          <w:rFonts w:ascii="Arial" w:hAnsi="Arial" w:cs="Arial"/>
          <w:sz w:val="20"/>
          <w:szCs w:val="20"/>
          <w:vertAlign w:val="superscript"/>
        </w:rPr>
        <w:t>34</w:t>
      </w:r>
      <w:r>
        <w:rPr>
          <w:rFonts w:ascii="Arial" w:hAnsi="Arial" w:cs="Arial"/>
          <w:sz w:val="20"/>
          <w:szCs w:val="20"/>
        </w:rPr>
        <w:t xml:space="preserve"> The locomotive speed of the test group rats was investigated in this study, and the findings indicated that exposure to Pb or Cd may affect locomotion. Subsequent research revealed that combined exposure might make aberrant neurobehavior worse. Prior research demonstrated that mice exposed to Pb and Cd together exhibited increased anxiety, learning, memory, and other neurobehavioral abnormalities in comparison to groups treated separately, which had a direct impact on brain function. </w:t>
      </w:r>
      <w:r>
        <w:rPr>
          <w:rFonts w:ascii="Arial" w:hAnsi="Arial" w:cs="Arial"/>
          <w:sz w:val="20"/>
          <w:szCs w:val="20"/>
          <w:vertAlign w:val="superscript"/>
        </w:rPr>
        <w:t>35</w:t>
      </w:r>
    </w:p>
    <w:p w14:paraId="6F2EC3B0" w14:textId="77777777" w:rsidR="00D03065" w:rsidRDefault="00D03065">
      <w:pPr>
        <w:pStyle w:val="NoSpacing"/>
        <w:spacing w:line="480" w:lineRule="auto"/>
        <w:jc w:val="both"/>
        <w:rPr>
          <w:rFonts w:ascii="Arial" w:hAnsi="Arial" w:cs="Arial"/>
          <w:sz w:val="20"/>
          <w:szCs w:val="20"/>
        </w:rPr>
      </w:pPr>
    </w:p>
    <w:p w14:paraId="70161977" w14:textId="77777777" w:rsidR="00D03065" w:rsidRDefault="004B14FB">
      <w:pPr>
        <w:pStyle w:val="NoSpacing"/>
        <w:spacing w:line="480" w:lineRule="auto"/>
        <w:jc w:val="both"/>
        <w:rPr>
          <w:rFonts w:ascii="Arial" w:hAnsi="Arial" w:cs="Arial"/>
          <w:sz w:val="20"/>
          <w:szCs w:val="20"/>
        </w:rPr>
      </w:pPr>
      <w:r>
        <w:rPr>
          <w:rFonts w:ascii="Arial" w:hAnsi="Arial" w:cs="Arial"/>
          <w:sz w:val="20"/>
          <w:szCs w:val="20"/>
        </w:rPr>
        <w:t xml:space="preserve">Furthermore, rats exposed to Pb over an extended period of time showed increased anxiety behaviours, which may have been brought on by a disruption in the neurotransmitter system. </w:t>
      </w:r>
      <w:r>
        <w:rPr>
          <w:rFonts w:ascii="Arial" w:hAnsi="Arial" w:cs="Arial"/>
          <w:sz w:val="20"/>
          <w:szCs w:val="20"/>
          <w:vertAlign w:val="superscript"/>
        </w:rPr>
        <w:t>36</w:t>
      </w:r>
      <w:r>
        <w:rPr>
          <w:rFonts w:ascii="Arial" w:hAnsi="Arial" w:cs="Arial"/>
          <w:sz w:val="20"/>
          <w:szCs w:val="20"/>
        </w:rPr>
        <w:t xml:space="preserve"> The noteworthy decrease in the rats' locomotive speed in our study's combined exposure group might suggest that Cd and Pb work in concert to produce neurotoxicity. Brain damage has long been linked to abnormal behavior in Wistar rats. </w:t>
      </w:r>
      <w:r>
        <w:rPr>
          <w:rFonts w:ascii="Arial" w:hAnsi="Arial" w:cs="Arial"/>
          <w:sz w:val="20"/>
          <w:szCs w:val="20"/>
          <w:vertAlign w:val="superscript"/>
        </w:rPr>
        <w:t>37</w:t>
      </w:r>
    </w:p>
    <w:p w14:paraId="1ADBE50A" w14:textId="77777777" w:rsidR="00D03065" w:rsidRDefault="004B14FB">
      <w:pPr>
        <w:pStyle w:val="NoSpacing"/>
        <w:spacing w:line="480" w:lineRule="auto"/>
        <w:jc w:val="both"/>
        <w:rPr>
          <w:rFonts w:ascii="Arial" w:hAnsi="Arial" w:cs="Arial"/>
          <w:sz w:val="20"/>
          <w:szCs w:val="20"/>
        </w:rPr>
      </w:pPr>
      <w:r>
        <w:rPr>
          <w:rFonts w:ascii="Arial" w:hAnsi="Arial" w:cs="Arial"/>
          <w:sz w:val="20"/>
          <w:szCs w:val="20"/>
        </w:rPr>
        <w:t>After four weeks of exposure, histopathological brain damage was discovered in our study. Furthermore, more extensive harm may result from combined exposure.</w:t>
      </w:r>
    </w:p>
    <w:p w14:paraId="00EE7F63" w14:textId="77777777" w:rsidR="00D03065" w:rsidRDefault="004B14FB">
      <w:pPr>
        <w:pStyle w:val="NoSpacing"/>
        <w:spacing w:line="480" w:lineRule="auto"/>
        <w:jc w:val="both"/>
        <w:rPr>
          <w:rFonts w:ascii="Arial" w:hAnsi="Arial" w:cs="Arial"/>
          <w:sz w:val="20"/>
          <w:szCs w:val="20"/>
        </w:rPr>
      </w:pPr>
      <w:r>
        <w:rPr>
          <w:rFonts w:ascii="Arial" w:hAnsi="Arial" w:cs="Arial"/>
          <w:sz w:val="20"/>
          <w:szCs w:val="20"/>
        </w:rPr>
        <w:t xml:space="preserve">Ovie </w:t>
      </w:r>
      <w:r>
        <w:rPr>
          <w:rFonts w:ascii="Arial" w:hAnsi="Arial" w:cs="Arial"/>
          <w:i/>
          <w:sz w:val="20"/>
          <w:szCs w:val="20"/>
        </w:rPr>
        <w:t>et al.,</w:t>
      </w:r>
      <w:r>
        <w:rPr>
          <w:rFonts w:ascii="Arial" w:hAnsi="Arial" w:cs="Arial"/>
          <w:sz w:val="20"/>
          <w:szCs w:val="20"/>
        </w:rPr>
        <w:t xml:space="preserve"> discovered that rats' escape behaviour may change if their brain tissue is damaged. </w:t>
      </w:r>
      <w:r>
        <w:rPr>
          <w:rFonts w:ascii="Arial" w:hAnsi="Arial" w:cs="Arial"/>
          <w:sz w:val="20"/>
          <w:szCs w:val="20"/>
          <w:vertAlign w:val="superscript"/>
        </w:rPr>
        <w:t>25</w:t>
      </w:r>
      <w:r>
        <w:rPr>
          <w:rFonts w:ascii="Arial" w:hAnsi="Arial" w:cs="Arial"/>
          <w:sz w:val="20"/>
          <w:szCs w:val="20"/>
        </w:rPr>
        <w:t xml:space="preserve"> Ifedi </w:t>
      </w:r>
      <w:r>
        <w:rPr>
          <w:rFonts w:ascii="Arial" w:hAnsi="Arial" w:cs="Arial"/>
          <w:i/>
          <w:sz w:val="20"/>
          <w:szCs w:val="20"/>
        </w:rPr>
        <w:t>et al.,</w:t>
      </w:r>
      <w:r>
        <w:rPr>
          <w:rFonts w:ascii="Arial" w:hAnsi="Arial" w:cs="Arial"/>
          <w:sz w:val="20"/>
          <w:szCs w:val="20"/>
        </w:rPr>
        <w:t xml:space="preserve"> discovered that rats' brains showed signs of neuronal damage following exposure to heavy metals or other substances, which ultimately explained the behavioural variation. </w:t>
      </w:r>
      <w:r>
        <w:rPr>
          <w:rFonts w:ascii="Arial" w:hAnsi="Arial" w:cs="Arial"/>
          <w:sz w:val="20"/>
          <w:szCs w:val="20"/>
          <w:vertAlign w:val="superscript"/>
        </w:rPr>
        <w:t>24</w:t>
      </w:r>
    </w:p>
    <w:p w14:paraId="5899A8C5" w14:textId="77777777" w:rsidR="00D03065" w:rsidRDefault="004B14FB">
      <w:pPr>
        <w:pStyle w:val="NoSpacing"/>
        <w:spacing w:line="480" w:lineRule="auto"/>
        <w:jc w:val="both"/>
        <w:rPr>
          <w:rFonts w:ascii="Arial" w:hAnsi="Arial" w:cs="Arial"/>
          <w:sz w:val="20"/>
          <w:szCs w:val="20"/>
        </w:rPr>
      </w:pPr>
      <w:r>
        <w:rPr>
          <w:rFonts w:ascii="Arial" w:hAnsi="Arial" w:cs="Arial"/>
          <w:sz w:val="20"/>
          <w:szCs w:val="20"/>
        </w:rPr>
        <w:t xml:space="preserve">In line with these conclusions, the experiment's findings of aberrant neurobehavior are supported by the observation of structural alterations in the rats' brains. Our findings suggest that exposure to Cd and Pb may exacerbate brain damage and cause neurotoxicity, which in turn may increase aberrant neurobehavior. Changes in neurotransmitter levels are a major cause of heavy metal-induced neurotoxicity in lab animals. </w:t>
      </w:r>
      <w:r>
        <w:rPr>
          <w:rFonts w:ascii="Arial" w:hAnsi="Arial" w:cs="Arial"/>
          <w:sz w:val="20"/>
          <w:szCs w:val="20"/>
          <w:vertAlign w:val="superscript"/>
        </w:rPr>
        <w:t>38</w:t>
      </w:r>
      <w:r>
        <w:rPr>
          <w:rFonts w:ascii="Arial" w:hAnsi="Arial" w:cs="Arial"/>
          <w:sz w:val="20"/>
          <w:szCs w:val="20"/>
        </w:rPr>
        <w:t xml:space="preserve"> According to the findings of, </w:t>
      </w:r>
      <w:r>
        <w:rPr>
          <w:rFonts w:ascii="Arial" w:hAnsi="Arial" w:cs="Arial"/>
          <w:sz w:val="20"/>
          <w:szCs w:val="20"/>
          <w:vertAlign w:val="superscript"/>
        </w:rPr>
        <w:t>1</w:t>
      </w:r>
      <w:r>
        <w:rPr>
          <w:rFonts w:ascii="Arial" w:hAnsi="Arial" w:cs="Arial"/>
          <w:sz w:val="20"/>
          <w:szCs w:val="20"/>
        </w:rPr>
        <w:t xml:space="preserve"> the Pb + As exposure group's DA and 5-HT concentrations were lower than those of the single exposure group. Previous research indicates that neurological health impairments like movement, memory, and attention in organisms are strongly associated with malfunctions in the DA and 5-HT systems. </w:t>
      </w:r>
      <w:r>
        <w:rPr>
          <w:rFonts w:ascii="Arial" w:hAnsi="Arial" w:cs="Arial"/>
          <w:sz w:val="20"/>
          <w:szCs w:val="20"/>
          <w:vertAlign w:val="superscript"/>
        </w:rPr>
        <w:t>38</w:t>
      </w:r>
      <w:r>
        <w:rPr>
          <w:rFonts w:ascii="Arial" w:hAnsi="Arial" w:cs="Arial"/>
          <w:sz w:val="20"/>
          <w:szCs w:val="20"/>
        </w:rPr>
        <w:t xml:space="preserve"> In addition to promoting the growth of hippocampus neurones, altered neurobehavior can result from altered dopaminergic signalling.</w:t>
      </w:r>
    </w:p>
    <w:p w14:paraId="19EC6310" w14:textId="77777777" w:rsidR="00D03065" w:rsidRDefault="004B14FB">
      <w:pPr>
        <w:pStyle w:val="NoSpacing"/>
        <w:spacing w:line="480" w:lineRule="auto"/>
        <w:jc w:val="both"/>
        <w:rPr>
          <w:rFonts w:ascii="Arial" w:hAnsi="Arial" w:cs="Arial"/>
          <w:sz w:val="20"/>
          <w:szCs w:val="20"/>
          <w:vertAlign w:val="superscript"/>
        </w:rPr>
      </w:pPr>
      <w:r>
        <w:rPr>
          <w:rFonts w:ascii="Arial" w:hAnsi="Arial" w:cs="Arial"/>
          <w:sz w:val="20"/>
          <w:szCs w:val="20"/>
        </w:rPr>
        <w:lastRenderedPageBreak/>
        <w:t xml:space="preserve">Our findings are in line with a report that heavy metal exposure causes abnormal neurotransmitter and metabolite levels in organisms, which ultimately results in hypoactivity. </w:t>
      </w:r>
      <w:r>
        <w:rPr>
          <w:rFonts w:ascii="Arial" w:hAnsi="Arial" w:cs="Arial"/>
          <w:sz w:val="20"/>
          <w:szCs w:val="20"/>
          <w:vertAlign w:val="superscript"/>
        </w:rPr>
        <w:t>39</w:t>
      </w:r>
      <w:r>
        <w:rPr>
          <w:rFonts w:ascii="Arial" w:hAnsi="Arial" w:cs="Arial"/>
          <w:sz w:val="20"/>
          <w:szCs w:val="20"/>
        </w:rPr>
        <w:t xml:space="preserve"> Therefore, the reduced neurotransmitter levels in earlier research played a significant role in changing the neurobehavior of the animals. One explanation for this could be that the entry of metal ions disrupts the proper release of neurotransmitter nerves and their capacity to attach to neurotransmitter receptors, a problem that is exacerbated by exposure to two metal ions at the same time. </w:t>
      </w:r>
      <w:r>
        <w:rPr>
          <w:rFonts w:ascii="Arial" w:hAnsi="Arial" w:cs="Arial"/>
          <w:sz w:val="20"/>
          <w:szCs w:val="20"/>
          <w:vertAlign w:val="superscript"/>
        </w:rPr>
        <w:t>40</w:t>
      </w:r>
    </w:p>
    <w:p w14:paraId="1CA1256C" w14:textId="77777777" w:rsidR="00D03065" w:rsidRDefault="004B14FB">
      <w:pPr>
        <w:pStyle w:val="NoSpacing"/>
        <w:spacing w:line="480" w:lineRule="auto"/>
        <w:jc w:val="both"/>
        <w:rPr>
          <w:rFonts w:ascii="Arial" w:hAnsi="Arial" w:cs="Arial"/>
          <w:sz w:val="20"/>
          <w:szCs w:val="20"/>
        </w:rPr>
      </w:pPr>
      <w:r>
        <w:rPr>
          <w:rFonts w:ascii="Arial" w:hAnsi="Arial" w:cs="Arial"/>
          <w:sz w:val="20"/>
          <w:szCs w:val="20"/>
        </w:rPr>
        <w:t>According to our research, Pb + Cd may further change the rats' neurobehavior by disrupting the DA and 5-HT signaling pathways.</w:t>
      </w:r>
    </w:p>
    <w:p w14:paraId="6D255415" w14:textId="77777777" w:rsidR="00D03065" w:rsidRDefault="004B14FB">
      <w:pPr>
        <w:pStyle w:val="NoSpacing"/>
        <w:spacing w:line="480" w:lineRule="auto"/>
        <w:jc w:val="both"/>
        <w:rPr>
          <w:rFonts w:ascii="Arial" w:hAnsi="Arial" w:cs="Arial"/>
          <w:sz w:val="20"/>
          <w:szCs w:val="20"/>
        </w:rPr>
      </w:pPr>
      <w:r>
        <w:rPr>
          <w:rFonts w:ascii="Arial" w:hAnsi="Arial" w:cs="Arial"/>
          <w:sz w:val="20"/>
          <w:szCs w:val="20"/>
        </w:rPr>
        <w:t xml:space="preserve">The malfunction of the HPI axis is another important factor that could influence the development of neurotoxicity following heavy metal exposure. An essential component of the toxic effects is the comprehensive response that results from the activation of the HPI axis and the subsequent rise in the secretion of related hormones, which includes neurological, endocrine, and immune responses. </w:t>
      </w:r>
      <w:r>
        <w:rPr>
          <w:rFonts w:ascii="Arial" w:hAnsi="Arial" w:cs="Arial"/>
          <w:sz w:val="20"/>
          <w:szCs w:val="20"/>
          <w:vertAlign w:val="superscript"/>
        </w:rPr>
        <w:t>41</w:t>
      </w:r>
      <w:r>
        <w:rPr>
          <w:rFonts w:ascii="Arial" w:hAnsi="Arial" w:cs="Arial"/>
          <w:sz w:val="20"/>
          <w:szCs w:val="20"/>
        </w:rPr>
        <w:t xml:space="preserve"> In fact, it was suggested that increased catecholamine levels are linked to the stress response to heavy metal-induced neurotoxicity. </w:t>
      </w:r>
      <w:r>
        <w:rPr>
          <w:rFonts w:ascii="Arial" w:hAnsi="Arial" w:cs="Arial"/>
          <w:sz w:val="20"/>
          <w:szCs w:val="20"/>
          <w:vertAlign w:val="superscript"/>
        </w:rPr>
        <w:t>42</w:t>
      </w:r>
      <w:r>
        <w:rPr>
          <w:rFonts w:ascii="Arial" w:hAnsi="Arial" w:cs="Arial"/>
          <w:sz w:val="20"/>
          <w:szCs w:val="20"/>
        </w:rPr>
        <w:t xml:space="preserve"> Pb or Cd may have increased HPI axis activity in this study, which would raise the transcript levels of the crh gene and, in turn, result in noticeably higher Cor and lower EPI levels. The effects of exposure to a single metal on the HPI axis were enhanced by Pb + Cd. This is consistent with a number of previous studies that found exposure to heavy metals can increase Cor, leading to increased anxiety and neurotoxicity. </w:t>
      </w:r>
      <w:r>
        <w:rPr>
          <w:rFonts w:ascii="Arial" w:hAnsi="Arial" w:cs="Arial"/>
          <w:sz w:val="20"/>
          <w:szCs w:val="20"/>
          <w:vertAlign w:val="superscript"/>
        </w:rPr>
        <w:t>43</w:t>
      </w:r>
      <w:r>
        <w:rPr>
          <w:rFonts w:ascii="Arial" w:hAnsi="Arial" w:cs="Arial"/>
          <w:sz w:val="20"/>
          <w:szCs w:val="20"/>
        </w:rPr>
        <w:t xml:space="preserve"> Thus, it is clear that Pb + Cd might have further triggered the HPI axis, which would have resulted in abnormal brain activity. In addition to alterations in neurotransmitter levels and HPI axis function, aberrant expression of genes linked to the central nervous system (CNS) could also be a generational consequence of Pb and Cd-induced neurotoxicity. As the nervous system's handling heart, the central nervous system (CNS) serves as the primary regulator of movement. </w:t>
      </w:r>
      <w:r>
        <w:rPr>
          <w:rFonts w:ascii="Arial" w:hAnsi="Arial" w:cs="Arial"/>
          <w:sz w:val="20"/>
          <w:szCs w:val="20"/>
          <w:vertAlign w:val="superscript"/>
        </w:rPr>
        <w:t>44</w:t>
      </w:r>
    </w:p>
    <w:p w14:paraId="4C179E24" w14:textId="77777777" w:rsidR="00D03065" w:rsidRDefault="004B14FB">
      <w:pPr>
        <w:pStyle w:val="NoSpacing"/>
        <w:spacing w:line="480" w:lineRule="auto"/>
        <w:jc w:val="both"/>
        <w:rPr>
          <w:rFonts w:ascii="Arial" w:hAnsi="Arial" w:cs="Arial"/>
          <w:sz w:val="20"/>
          <w:szCs w:val="20"/>
        </w:rPr>
      </w:pPr>
      <w:r>
        <w:rPr>
          <w:rFonts w:ascii="Arial" w:hAnsi="Arial" w:cs="Arial"/>
          <w:sz w:val="20"/>
          <w:szCs w:val="20"/>
        </w:rPr>
        <w:t>These findings support the hypothesis that exposure to Pb + Cd damages the rat brain by influencing synaptogenesis, cytoskeletal regulation, neurotransmitter release, neuronal maturation, and, eventually, neurotoxicity.</w:t>
      </w:r>
    </w:p>
    <w:p w14:paraId="24158474" w14:textId="77777777" w:rsidR="0006125B" w:rsidRDefault="0006125B">
      <w:pPr>
        <w:pStyle w:val="NoSpacing"/>
        <w:spacing w:line="480" w:lineRule="auto"/>
        <w:jc w:val="both"/>
        <w:rPr>
          <w:rFonts w:ascii="Arial" w:hAnsi="Arial" w:cs="Arial"/>
          <w:sz w:val="20"/>
          <w:szCs w:val="18"/>
        </w:rPr>
      </w:pPr>
    </w:p>
    <w:p w14:paraId="21744DF5" w14:textId="77777777" w:rsidR="0006125B" w:rsidRDefault="0006125B">
      <w:pPr>
        <w:pStyle w:val="NoSpacing"/>
        <w:spacing w:line="480" w:lineRule="auto"/>
        <w:jc w:val="both"/>
        <w:rPr>
          <w:rFonts w:ascii="Arial" w:hAnsi="Arial" w:cs="Arial"/>
          <w:sz w:val="20"/>
          <w:szCs w:val="18"/>
        </w:rPr>
      </w:pPr>
    </w:p>
    <w:p w14:paraId="69876E5B" w14:textId="77777777" w:rsidR="0006125B" w:rsidRDefault="0006125B">
      <w:pPr>
        <w:pStyle w:val="NoSpacing"/>
        <w:spacing w:line="480" w:lineRule="auto"/>
        <w:jc w:val="both"/>
        <w:rPr>
          <w:rFonts w:ascii="Arial" w:hAnsi="Arial" w:cs="Arial"/>
          <w:sz w:val="20"/>
          <w:szCs w:val="18"/>
        </w:rPr>
      </w:pPr>
    </w:p>
    <w:p w14:paraId="51229547" w14:textId="77777777" w:rsidR="0006125B" w:rsidRDefault="0006125B">
      <w:pPr>
        <w:pStyle w:val="NoSpacing"/>
        <w:spacing w:line="480" w:lineRule="auto"/>
        <w:jc w:val="both"/>
        <w:rPr>
          <w:rFonts w:ascii="Arial" w:hAnsi="Arial" w:cs="Arial"/>
          <w:sz w:val="20"/>
          <w:szCs w:val="18"/>
        </w:rPr>
      </w:pPr>
    </w:p>
    <w:p w14:paraId="59743B37" w14:textId="77777777" w:rsidR="0006125B" w:rsidRDefault="0006125B">
      <w:pPr>
        <w:pStyle w:val="NoSpacing"/>
        <w:spacing w:line="480" w:lineRule="auto"/>
        <w:jc w:val="both"/>
        <w:rPr>
          <w:rFonts w:ascii="Arial" w:hAnsi="Arial" w:cs="Arial"/>
          <w:sz w:val="20"/>
          <w:szCs w:val="18"/>
        </w:rPr>
      </w:pPr>
    </w:p>
    <w:p w14:paraId="27DF6C1F" w14:textId="77777777" w:rsidR="0006125B" w:rsidRDefault="0006125B">
      <w:pPr>
        <w:pStyle w:val="NoSpacing"/>
        <w:spacing w:line="480" w:lineRule="auto"/>
        <w:jc w:val="both"/>
        <w:rPr>
          <w:rFonts w:ascii="Arial" w:hAnsi="Arial" w:cs="Arial"/>
          <w:sz w:val="20"/>
          <w:szCs w:val="18"/>
        </w:rPr>
      </w:pPr>
    </w:p>
    <w:p w14:paraId="5BF82270" w14:textId="77777777" w:rsidR="0006125B" w:rsidRDefault="0006125B">
      <w:pPr>
        <w:pStyle w:val="NoSpacing"/>
        <w:spacing w:line="480" w:lineRule="auto"/>
        <w:jc w:val="both"/>
        <w:rPr>
          <w:rFonts w:ascii="Arial" w:hAnsi="Arial" w:cs="Arial"/>
          <w:sz w:val="20"/>
          <w:szCs w:val="18"/>
        </w:rPr>
      </w:pPr>
    </w:p>
    <w:p w14:paraId="22D196B4" w14:textId="77777777" w:rsidR="0006125B" w:rsidRDefault="0006125B">
      <w:pPr>
        <w:pStyle w:val="NoSpacing"/>
        <w:spacing w:line="480" w:lineRule="auto"/>
        <w:jc w:val="both"/>
        <w:rPr>
          <w:rFonts w:ascii="Arial" w:hAnsi="Arial" w:cs="Arial"/>
          <w:sz w:val="20"/>
          <w:szCs w:val="18"/>
        </w:rPr>
      </w:pPr>
    </w:p>
    <w:p w14:paraId="5CA80790" w14:textId="77777777" w:rsidR="0006125B" w:rsidRDefault="0006125B">
      <w:pPr>
        <w:pStyle w:val="NoSpacing"/>
        <w:spacing w:line="480" w:lineRule="auto"/>
        <w:jc w:val="both"/>
        <w:rPr>
          <w:rFonts w:ascii="Arial" w:hAnsi="Arial" w:cs="Arial"/>
          <w:sz w:val="20"/>
          <w:szCs w:val="18"/>
        </w:rPr>
      </w:pPr>
    </w:p>
    <w:p w14:paraId="411AB64D" w14:textId="5D8F471D" w:rsidR="00D03065" w:rsidRDefault="004B14FB">
      <w:pPr>
        <w:pStyle w:val="NoSpacing"/>
        <w:spacing w:line="480" w:lineRule="auto"/>
        <w:jc w:val="both"/>
        <w:rPr>
          <w:rFonts w:ascii="Arial" w:hAnsi="Arial" w:cs="Arial"/>
          <w:sz w:val="20"/>
          <w:szCs w:val="20"/>
        </w:rPr>
      </w:pPr>
      <w:r>
        <w:rPr>
          <w:rFonts w:ascii="Arial" w:hAnsi="Arial" w:cs="Arial"/>
          <w:sz w:val="20"/>
          <w:szCs w:val="18"/>
        </w:rPr>
        <w:t>Table 1: Result of Barnes Test following exposure of test groups to heavy metals contaminated diet.</w:t>
      </w:r>
    </w:p>
    <w:tbl>
      <w:tblPr>
        <w:tblStyle w:val="TableGridLight1"/>
        <w:tblpPr w:leftFromText="180" w:rightFromText="180" w:vertAnchor="text" w:horzAnchor="margin" w:tblpXSpec="center" w:tblpY="302"/>
        <w:tblW w:w="10031" w:type="dxa"/>
        <w:tblLook w:val="04A0" w:firstRow="1" w:lastRow="0" w:firstColumn="1" w:lastColumn="0" w:noHBand="0" w:noVBand="1"/>
      </w:tblPr>
      <w:tblGrid>
        <w:gridCol w:w="2093"/>
        <w:gridCol w:w="2094"/>
        <w:gridCol w:w="2016"/>
        <w:gridCol w:w="2016"/>
        <w:gridCol w:w="1812"/>
      </w:tblGrid>
      <w:tr w:rsidR="00D03065" w14:paraId="31A67F05" w14:textId="77777777">
        <w:trPr>
          <w:trHeight w:val="408"/>
        </w:trPr>
        <w:tc>
          <w:tcPr>
            <w:tcW w:w="10031" w:type="dxa"/>
            <w:gridSpan w:val="5"/>
            <w:noWrap/>
            <w:hideMark/>
          </w:tcPr>
          <w:p w14:paraId="38D07F0A" w14:textId="77777777" w:rsidR="00D03065" w:rsidRDefault="004B14FB">
            <w:pPr>
              <w:spacing w:line="240" w:lineRule="auto"/>
              <w:jc w:val="center"/>
              <w:rPr>
                <w:rFonts w:ascii="SimSun" w:eastAsia="Times New Roman" w:hAnsi="SimSun"/>
                <w:b/>
                <w:sz w:val="24"/>
                <w:szCs w:val="24"/>
              </w:rPr>
            </w:pPr>
            <w:r>
              <w:rPr>
                <w:rFonts w:ascii="SimSun" w:eastAsia="Times New Roman" w:hAnsi="SimSun"/>
                <w:b/>
                <w:sz w:val="24"/>
                <w:szCs w:val="24"/>
              </w:rPr>
              <w:t xml:space="preserve">BARNES TEST </w:t>
            </w:r>
          </w:p>
        </w:tc>
      </w:tr>
      <w:tr w:rsidR="00D03065" w14:paraId="39D60550" w14:textId="77777777">
        <w:trPr>
          <w:trHeight w:val="472"/>
        </w:trPr>
        <w:tc>
          <w:tcPr>
            <w:tcW w:w="2093" w:type="dxa"/>
            <w:noWrap/>
            <w:hideMark/>
          </w:tcPr>
          <w:p w14:paraId="5B63BB3B" w14:textId="77777777" w:rsidR="00D03065" w:rsidRDefault="004B14FB">
            <w:pPr>
              <w:spacing w:line="240" w:lineRule="auto"/>
              <w:jc w:val="center"/>
              <w:rPr>
                <w:rFonts w:ascii="SimSun" w:eastAsia="Times New Roman" w:hAnsi="SimSun"/>
                <w:b/>
                <w:sz w:val="24"/>
                <w:szCs w:val="24"/>
              </w:rPr>
            </w:pPr>
            <w:r>
              <w:rPr>
                <w:rFonts w:ascii="SimSun" w:eastAsia="Times New Roman" w:hAnsi="SimSun"/>
                <w:b/>
                <w:sz w:val="24"/>
                <w:szCs w:val="24"/>
              </w:rPr>
              <w:t>GROUPS</w:t>
            </w:r>
          </w:p>
        </w:tc>
        <w:tc>
          <w:tcPr>
            <w:tcW w:w="2094" w:type="dxa"/>
            <w:noWrap/>
            <w:hideMark/>
          </w:tcPr>
          <w:p w14:paraId="1C12AD2A" w14:textId="77777777" w:rsidR="00D03065" w:rsidRDefault="004B14FB">
            <w:pPr>
              <w:spacing w:line="240" w:lineRule="auto"/>
              <w:jc w:val="center"/>
              <w:rPr>
                <w:rFonts w:ascii="SimSun" w:eastAsia="Times New Roman" w:hAnsi="SimSun"/>
                <w:b/>
                <w:sz w:val="24"/>
                <w:szCs w:val="24"/>
              </w:rPr>
            </w:pPr>
            <w:r>
              <w:rPr>
                <w:rFonts w:ascii="SimSun" w:eastAsia="Times New Roman" w:hAnsi="SimSun"/>
                <w:b/>
                <w:sz w:val="24"/>
                <w:szCs w:val="24"/>
              </w:rPr>
              <w:t>Week 1</w:t>
            </w:r>
          </w:p>
        </w:tc>
        <w:tc>
          <w:tcPr>
            <w:tcW w:w="0" w:type="auto"/>
            <w:noWrap/>
            <w:hideMark/>
          </w:tcPr>
          <w:p w14:paraId="1389D8DC" w14:textId="77777777" w:rsidR="00D03065" w:rsidRDefault="004B14FB">
            <w:pPr>
              <w:spacing w:line="240" w:lineRule="auto"/>
              <w:jc w:val="center"/>
              <w:rPr>
                <w:rFonts w:ascii="SimSun" w:eastAsia="Times New Roman" w:hAnsi="SimSun"/>
                <w:b/>
                <w:sz w:val="24"/>
                <w:szCs w:val="24"/>
              </w:rPr>
            </w:pPr>
            <w:r>
              <w:rPr>
                <w:rFonts w:ascii="SimSun" w:eastAsia="Times New Roman" w:hAnsi="SimSun"/>
                <w:b/>
                <w:sz w:val="24"/>
                <w:szCs w:val="24"/>
              </w:rPr>
              <w:t>Week 2</w:t>
            </w:r>
          </w:p>
        </w:tc>
        <w:tc>
          <w:tcPr>
            <w:tcW w:w="0" w:type="auto"/>
            <w:noWrap/>
            <w:hideMark/>
          </w:tcPr>
          <w:p w14:paraId="2A513708" w14:textId="77777777" w:rsidR="00D03065" w:rsidRDefault="004B14FB">
            <w:pPr>
              <w:spacing w:line="240" w:lineRule="auto"/>
              <w:jc w:val="center"/>
              <w:rPr>
                <w:rFonts w:ascii="SimSun" w:eastAsia="Times New Roman" w:hAnsi="SimSun"/>
                <w:b/>
                <w:sz w:val="24"/>
                <w:szCs w:val="24"/>
              </w:rPr>
            </w:pPr>
            <w:r>
              <w:rPr>
                <w:rFonts w:ascii="SimSun" w:eastAsia="Times New Roman" w:hAnsi="SimSun"/>
                <w:b/>
                <w:sz w:val="24"/>
                <w:szCs w:val="24"/>
              </w:rPr>
              <w:t>Week 3</w:t>
            </w:r>
          </w:p>
        </w:tc>
        <w:tc>
          <w:tcPr>
            <w:tcW w:w="2508" w:type="dxa"/>
          </w:tcPr>
          <w:p w14:paraId="08B8EFD9" w14:textId="77777777" w:rsidR="00D03065" w:rsidRDefault="004B14FB">
            <w:pPr>
              <w:spacing w:line="240" w:lineRule="auto"/>
              <w:jc w:val="center"/>
              <w:rPr>
                <w:rFonts w:ascii="SimSun" w:eastAsia="Times New Roman" w:hAnsi="SimSun"/>
                <w:b/>
                <w:sz w:val="24"/>
                <w:szCs w:val="24"/>
              </w:rPr>
            </w:pPr>
            <w:r>
              <w:rPr>
                <w:rFonts w:ascii="SimSun" w:eastAsia="Times New Roman" w:hAnsi="SimSun"/>
                <w:b/>
                <w:sz w:val="24"/>
                <w:szCs w:val="24"/>
              </w:rPr>
              <w:t>Week 4</w:t>
            </w:r>
          </w:p>
        </w:tc>
      </w:tr>
      <w:tr w:rsidR="00D03065" w14:paraId="1879469B" w14:textId="77777777">
        <w:trPr>
          <w:trHeight w:val="420"/>
        </w:trPr>
        <w:tc>
          <w:tcPr>
            <w:tcW w:w="2093" w:type="dxa"/>
            <w:noWrap/>
            <w:hideMark/>
          </w:tcPr>
          <w:p w14:paraId="6296B1B7" w14:textId="77777777" w:rsidR="00D03065" w:rsidRDefault="004B14FB">
            <w:pPr>
              <w:spacing w:line="240" w:lineRule="auto"/>
              <w:jc w:val="center"/>
              <w:rPr>
                <w:rFonts w:ascii="SimSun" w:eastAsia="Times New Roman" w:hAnsi="SimSun"/>
                <w:sz w:val="24"/>
                <w:szCs w:val="24"/>
              </w:rPr>
            </w:pPr>
            <w:r>
              <w:rPr>
                <w:rFonts w:ascii="SimSun" w:eastAsia="Times New Roman" w:hAnsi="SimSun"/>
                <w:sz w:val="24"/>
                <w:szCs w:val="24"/>
              </w:rPr>
              <w:t>Group 1</w:t>
            </w:r>
          </w:p>
        </w:tc>
        <w:tc>
          <w:tcPr>
            <w:tcW w:w="2094" w:type="dxa"/>
            <w:noWrap/>
            <w:hideMark/>
          </w:tcPr>
          <w:p w14:paraId="4A2CA9A6" w14:textId="77777777" w:rsidR="00D03065" w:rsidRDefault="004B14FB">
            <w:pPr>
              <w:spacing w:line="240" w:lineRule="auto"/>
              <w:jc w:val="center"/>
              <w:rPr>
                <w:rFonts w:ascii="SimSun" w:eastAsia="Times New Roman" w:hAnsi="SimSun"/>
                <w:sz w:val="24"/>
                <w:szCs w:val="24"/>
              </w:rPr>
            </w:pPr>
            <w:r>
              <w:rPr>
                <w:rFonts w:ascii="SimSun" w:eastAsia="Times New Roman" w:hAnsi="SimSun"/>
                <w:sz w:val="24"/>
                <w:szCs w:val="24"/>
              </w:rPr>
              <w:t>23.00±13.76</w:t>
            </w:r>
          </w:p>
        </w:tc>
        <w:tc>
          <w:tcPr>
            <w:tcW w:w="0" w:type="auto"/>
            <w:noWrap/>
            <w:hideMark/>
          </w:tcPr>
          <w:p w14:paraId="2E751BEC" w14:textId="77777777" w:rsidR="00D03065" w:rsidRDefault="004B14FB">
            <w:pPr>
              <w:spacing w:line="240" w:lineRule="auto"/>
              <w:jc w:val="center"/>
              <w:rPr>
                <w:rFonts w:ascii="SimSun" w:eastAsia="Times New Roman" w:hAnsi="SimSun"/>
                <w:sz w:val="24"/>
                <w:szCs w:val="24"/>
              </w:rPr>
            </w:pPr>
            <w:r>
              <w:rPr>
                <w:rFonts w:ascii="SimSun" w:eastAsia="Times New Roman" w:hAnsi="SimSun"/>
                <w:sz w:val="24"/>
                <w:szCs w:val="24"/>
              </w:rPr>
              <w:t>21.00±8.05</w:t>
            </w:r>
          </w:p>
        </w:tc>
        <w:tc>
          <w:tcPr>
            <w:tcW w:w="0" w:type="auto"/>
            <w:noWrap/>
            <w:hideMark/>
          </w:tcPr>
          <w:p w14:paraId="5DBD05AC" w14:textId="77777777" w:rsidR="00D03065" w:rsidRDefault="004B14FB">
            <w:pPr>
              <w:spacing w:line="240" w:lineRule="auto"/>
              <w:jc w:val="center"/>
              <w:rPr>
                <w:rFonts w:ascii="SimSun" w:eastAsia="Times New Roman" w:hAnsi="SimSun"/>
                <w:sz w:val="24"/>
                <w:szCs w:val="24"/>
              </w:rPr>
            </w:pPr>
            <w:r>
              <w:rPr>
                <w:rFonts w:ascii="SimSun" w:eastAsia="Times New Roman" w:hAnsi="SimSun"/>
                <w:sz w:val="24"/>
                <w:szCs w:val="24"/>
              </w:rPr>
              <w:t xml:space="preserve">21.60±4.00 </w:t>
            </w:r>
            <w:r>
              <w:rPr>
                <w:rFonts w:ascii="SimSun" w:eastAsia="Times New Roman" w:hAnsi="SimSun"/>
                <w:sz w:val="24"/>
                <w:szCs w:val="24"/>
                <w:vertAlign w:val="superscript"/>
              </w:rPr>
              <w:t xml:space="preserve"> </w:t>
            </w:r>
          </w:p>
        </w:tc>
        <w:tc>
          <w:tcPr>
            <w:tcW w:w="2508" w:type="dxa"/>
          </w:tcPr>
          <w:p w14:paraId="378F88A0" w14:textId="77777777" w:rsidR="00D03065" w:rsidRDefault="004B14FB">
            <w:pPr>
              <w:spacing w:line="240" w:lineRule="auto"/>
              <w:jc w:val="center"/>
              <w:rPr>
                <w:rFonts w:ascii="SimSun" w:eastAsia="Times New Roman" w:hAnsi="SimSun"/>
                <w:sz w:val="24"/>
                <w:szCs w:val="24"/>
              </w:rPr>
            </w:pPr>
            <w:r>
              <w:rPr>
                <w:rFonts w:ascii="SimSun" w:eastAsia="Times New Roman" w:hAnsi="SimSun"/>
                <w:sz w:val="24"/>
                <w:szCs w:val="24"/>
              </w:rPr>
              <w:t>19.8±6.01</w:t>
            </w:r>
          </w:p>
        </w:tc>
      </w:tr>
      <w:tr w:rsidR="00D03065" w14:paraId="54847980" w14:textId="77777777">
        <w:trPr>
          <w:trHeight w:val="510"/>
        </w:trPr>
        <w:tc>
          <w:tcPr>
            <w:tcW w:w="2093" w:type="dxa"/>
            <w:noWrap/>
            <w:hideMark/>
          </w:tcPr>
          <w:p w14:paraId="7F967209" w14:textId="77777777" w:rsidR="00D03065" w:rsidRDefault="004B14FB">
            <w:pPr>
              <w:spacing w:line="240" w:lineRule="auto"/>
              <w:jc w:val="center"/>
              <w:rPr>
                <w:rFonts w:ascii="SimSun" w:eastAsia="Times New Roman" w:hAnsi="SimSun"/>
                <w:sz w:val="24"/>
                <w:szCs w:val="24"/>
              </w:rPr>
            </w:pPr>
            <w:r>
              <w:rPr>
                <w:rFonts w:ascii="SimSun" w:eastAsia="Times New Roman" w:hAnsi="SimSun"/>
                <w:sz w:val="24"/>
                <w:szCs w:val="24"/>
              </w:rPr>
              <w:t>Group 2</w:t>
            </w:r>
          </w:p>
        </w:tc>
        <w:tc>
          <w:tcPr>
            <w:tcW w:w="2094" w:type="dxa"/>
            <w:noWrap/>
            <w:hideMark/>
          </w:tcPr>
          <w:p w14:paraId="49A1B948" w14:textId="77777777" w:rsidR="00D03065" w:rsidRDefault="004B14FB">
            <w:pPr>
              <w:spacing w:line="240" w:lineRule="auto"/>
              <w:jc w:val="center"/>
              <w:rPr>
                <w:rFonts w:ascii="SimSun" w:eastAsia="Times New Roman" w:hAnsi="SimSun"/>
                <w:sz w:val="24"/>
                <w:szCs w:val="24"/>
              </w:rPr>
            </w:pPr>
            <w:r>
              <w:rPr>
                <w:rFonts w:ascii="SimSun" w:eastAsia="Times New Roman" w:hAnsi="SimSun"/>
                <w:sz w:val="24"/>
                <w:szCs w:val="24"/>
              </w:rPr>
              <w:t xml:space="preserve">83.00±12.33 </w:t>
            </w:r>
            <w:r>
              <w:rPr>
                <w:rFonts w:ascii="SimSun" w:eastAsia="Times New Roman" w:hAnsi="SimSun"/>
                <w:sz w:val="24"/>
                <w:szCs w:val="24"/>
                <w:vertAlign w:val="superscript"/>
              </w:rPr>
              <w:t>a</w:t>
            </w:r>
          </w:p>
        </w:tc>
        <w:tc>
          <w:tcPr>
            <w:tcW w:w="0" w:type="auto"/>
            <w:noWrap/>
            <w:hideMark/>
          </w:tcPr>
          <w:p w14:paraId="5C4DDC4A" w14:textId="77777777" w:rsidR="00D03065" w:rsidRDefault="004B14FB">
            <w:pPr>
              <w:spacing w:line="240" w:lineRule="auto"/>
              <w:jc w:val="center"/>
              <w:rPr>
                <w:rFonts w:ascii="SimSun" w:eastAsia="Times New Roman" w:hAnsi="SimSun"/>
                <w:sz w:val="24"/>
                <w:szCs w:val="24"/>
              </w:rPr>
            </w:pPr>
            <w:r>
              <w:rPr>
                <w:rFonts w:ascii="SimSun" w:eastAsia="Times New Roman" w:hAnsi="SimSun"/>
                <w:sz w:val="24"/>
                <w:szCs w:val="24"/>
              </w:rPr>
              <w:t xml:space="preserve">98±14.81 </w:t>
            </w:r>
            <w:r>
              <w:rPr>
                <w:rFonts w:ascii="SimSun" w:eastAsia="Times New Roman" w:hAnsi="SimSun"/>
                <w:sz w:val="24"/>
                <w:szCs w:val="24"/>
                <w:vertAlign w:val="superscript"/>
              </w:rPr>
              <w:t xml:space="preserve"> a</w:t>
            </w:r>
          </w:p>
        </w:tc>
        <w:tc>
          <w:tcPr>
            <w:tcW w:w="0" w:type="auto"/>
            <w:noWrap/>
            <w:hideMark/>
          </w:tcPr>
          <w:p w14:paraId="3208FA9F" w14:textId="77777777" w:rsidR="00D03065" w:rsidRDefault="004B14FB">
            <w:pPr>
              <w:spacing w:line="240" w:lineRule="auto"/>
              <w:jc w:val="center"/>
              <w:rPr>
                <w:rFonts w:ascii="SimSun" w:eastAsia="Times New Roman" w:hAnsi="SimSun"/>
                <w:sz w:val="24"/>
                <w:szCs w:val="24"/>
              </w:rPr>
            </w:pPr>
            <w:r>
              <w:rPr>
                <w:rFonts w:ascii="SimSun" w:eastAsia="Times New Roman" w:hAnsi="SimSun"/>
                <w:sz w:val="24"/>
                <w:szCs w:val="24"/>
              </w:rPr>
              <w:t xml:space="preserve">103.00±16.15 </w:t>
            </w:r>
            <w:r>
              <w:rPr>
                <w:rFonts w:ascii="SimSun" w:eastAsia="Times New Roman" w:hAnsi="SimSun"/>
                <w:sz w:val="24"/>
                <w:szCs w:val="24"/>
                <w:vertAlign w:val="superscript"/>
              </w:rPr>
              <w:t xml:space="preserve"> a</w:t>
            </w:r>
            <w:r>
              <w:rPr>
                <w:rFonts w:ascii="SimSun" w:eastAsia="Times New Roman" w:hAnsi="SimSun"/>
                <w:sz w:val="24"/>
                <w:szCs w:val="24"/>
              </w:rPr>
              <w:t xml:space="preserve">  </w:t>
            </w:r>
          </w:p>
        </w:tc>
        <w:tc>
          <w:tcPr>
            <w:tcW w:w="2508" w:type="dxa"/>
          </w:tcPr>
          <w:p w14:paraId="1D836348" w14:textId="77777777" w:rsidR="00D03065" w:rsidRDefault="004B14FB">
            <w:pPr>
              <w:spacing w:line="240" w:lineRule="auto"/>
              <w:jc w:val="center"/>
              <w:rPr>
                <w:rFonts w:ascii="SimSun" w:eastAsia="Times New Roman" w:hAnsi="SimSun"/>
                <w:sz w:val="24"/>
                <w:szCs w:val="24"/>
              </w:rPr>
            </w:pPr>
            <w:r>
              <w:rPr>
                <w:rFonts w:ascii="SimSun" w:eastAsia="Times New Roman" w:hAnsi="SimSun"/>
                <w:sz w:val="24"/>
                <w:szCs w:val="24"/>
              </w:rPr>
              <w:t xml:space="preserve">108.00±12.00 </w:t>
            </w:r>
            <w:r>
              <w:rPr>
                <w:rFonts w:ascii="SimSun" w:eastAsia="Times New Roman" w:hAnsi="SimSun"/>
                <w:sz w:val="24"/>
                <w:szCs w:val="24"/>
                <w:vertAlign w:val="superscript"/>
              </w:rPr>
              <w:t xml:space="preserve"> a</w:t>
            </w:r>
          </w:p>
        </w:tc>
      </w:tr>
      <w:tr w:rsidR="00D03065" w14:paraId="028D7684" w14:textId="77777777">
        <w:trPr>
          <w:trHeight w:val="560"/>
        </w:trPr>
        <w:tc>
          <w:tcPr>
            <w:tcW w:w="2093" w:type="dxa"/>
            <w:noWrap/>
            <w:hideMark/>
          </w:tcPr>
          <w:p w14:paraId="7936141D" w14:textId="77777777" w:rsidR="00D03065" w:rsidRDefault="004B14FB">
            <w:pPr>
              <w:spacing w:line="240" w:lineRule="auto"/>
              <w:jc w:val="center"/>
              <w:rPr>
                <w:rFonts w:ascii="SimSun" w:eastAsia="Times New Roman" w:hAnsi="SimSun"/>
                <w:sz w:val="24"/>
                <w:szCs w:val="24"/>
              </w:rPr>
            </w:pPr>
            <w:r>
              <w:rPr>
                <w:rFonts w:ascii="SimSun" w:eastAsia="Times New Roman" w:hAnsi="SimSun"/>
                <w:sz w:val="24"/>
                <w:szCs w:val="24"/>
              </w:rPr>
              <w:t>Group 3</w:t>
            </w:r>
          </w:p>
        </w:tc>
        <w:tc>
          <w:tcPr>
            <w:tcW w:w="2094" w:type="dxa"/>
            <w:noWrap/>
            <w:hideMark/>
          </w:tcPr>
          <w:p w14:paraId="2AAE9CF7" w14:textId="77777777" w:rsidR="00D03065" w:rsidRDefault="004B14FB">
            <w:pPr>
              <w:spacing w:line="240" w:lineRule="auto"/>
              <w:jc w:val="center"/>
              <w:rPr>
                <w:rFonts w:ascii="SimSun" w:eastAsia="Times New Roman" w:hAnsi="SimSun"/>
                <w:sz w:val="24"/>
                <w:szCs w:val="24"/>
              </w:rPr>
            </w:pPr>
            <w:r>
              <w:rPr>
                <w:rFonts w:ascii="SimSun" w:eastAsia="Times New Roman" w:hAnsi="SimSun"/>
                <w:sz w:val="24"/>
                <w:szCs w:val="24"/>
              </w:rPr>
              <w:t xml:space="preserve">98.75±68.06 </w:t>
            </w:r>
            <w:r>
              <w:rPr>
                <w:rFonts w:ascii="SimSun" w:eastAsia="Times New Roman" w:hAnsi="SimSun"/>
                <w:sz w:val="24"/>
                <w:szCs w:val="24"/>
                <w:vertAlign w:val="superscript"/>
              </w:rPr>
              <w:t xml:space="preserve"> a</w:t>
            </w:r>
          </w:p>
        </w:tc>
        <w:tc>
          <w:tcPr>
            <w:tcW w:w="0" w:type="auto"/>
            <w:noWrap/>
            <w:hideMark/>
          </w:tcPr>
          <w:p w14:paraId="07C87019" w14:textId="77777777" w:rsidR="00D03065" w:rsidRDefault="004B14FB">
            <w:pPr>
              <w:spacing w:line="240" w:lineRule="auto"/>
              <w:jc w:val="center"/>
              <w:rPr>
                <w:rFonts w:ascii="SimSun" w:eastAsia="Times New Roman" w:hAnsi="SimSun"/>
                <w:sz w:val="24"/>
                <w:szCs w:val="24"/>
              </w:rPr>
            </w:pPr>
            <w:r>
              <w:rPr>
                <w:rFonts w:ascii="SimSun" w:eastAsia="Times New Roman" w:hAnsi="SimSun"/>
                <w:sz w:val="24"/>
                <w:szCs w:val="24"/>
              </w:rPr>
              <w:t xml:space="preserve">166±67.45 </w:t>
            </w:r>
            <w:r>
              <w:rPr>
                <w:rFonts w:ascii="SimSun" w:eastAsia="Times New Roman" w:hAnsi="SimSun"/>
                <w:sz w:val="24"/>
                <w:szCs w:val="24"/>
                <w:vertAlign w:val="superscript"/>
              </w:rPr>
              <w:t xml:space="preserve"> a</w:t>
            </w:r>
          </w:p>
        </w:tc>
        <w:tc>
          <w:tcPr>
            <w:tcW w:w="0" w:type="auto"/>
            <w:noWrap/>
            <w:hideMark/>
          </w:tcPr>
          <w:p w14:paraId="2F8123AF" w14:textId="77777777" w:rsidR="00D03065" w:rsidRDefault="004B14FB">
            <w:pPr>
              <w:spacing w:line="240" w:lineRule="auto"/>
              <w:jc w:val="center"/>
              <w:rPr>
                <w:rFonts w:ascii="SimSun" w:eastAsia="Times New Roman" w:hAnsi="SimSun"/>
                <w:sz w:val="24"/>
                <w:szCs w:val="24"/>
              </w:rPr>
            </w:pPr>
            <w:r>
              <w:rPr>
                <w:rFonts w:ascii="SimSun" w:eastAsia="Times New Roman" w:hAnsi="SimSun"/>
                <w:sz w:val="24"/>
                <w:szCs w:val="24"/>
              </w:rPr>
              <w:t xml:space="preserve">178.25±20.58 </w:t>
            </w:r>
            <w:r>
              <w:rPr>
                <w:rFonts w:ascii="SimSun" w:eastAsia="Times New Roman" w:hAnsi="SimSun"/>
                <w:sz w:val="24"/>
                <w:szCs w:val="24"/>
                <w:vertAlign w:val="superscript"/>
              </w:rPr>
              <w:t xml:space="preserve"> a</w:t>
            </w:r>
          </w:p>
        </w:tc>
        <w:tc>
          <w:tcPr>
            <w:tcW w:w="2508" w:type="dxa"/>
          </w:tcPr>
          <w:p w14:paraId="0842B7AF" w14:textId="77777777" w:rsidR="00D03065" w:rsidRDefault="004B14FB">
            <w:pPr>
              <w:spacing w:line="240" w:lineRule="auto"/>
              <w:jc w:val="center"/>
              <w:rPr>
                <w:rFonts w:ascii="SimSun" w:eastAsia="Times New Roman" w:hAnsi="SimSun"/>
                <w:sz w:val="24"/>
                <w:szCs w:val="24"/>
              </w:rPr>
            </w:pPr>
            <w:r>
              <w:rPr>
                <w:rFonts w:ascii="SimSun" w:eastAsia="Times New Roman" w:hAnsi="SimSun"/>
                <w:sz w:val="24"/>
                <w:szCs w:val="24"/>
              </w:rPr>
              <w:t xml:space="preserve">188.21±21.15 </w:t>
            </w:r>
            <w:r>
              <w:rPr>
                <w:rFonts w:ascii="SimSun" w:eastAsia="Times New Roman" w:hAnsi="SimSun"/>
                <w:sz w:val="24"/>
                <w:szCs w:val="24"/>
                <w:vertAlign w:val="superscript"/>
              </w:rPr>
              <w:t xml:space="preserve"> a</w:t>
            </w:r>
          </w:p>
        </w:tc>
      </w:tr>
      <w:tr w:rsidR="00D03065" w14:paraId="0052DBD8" w14:textId="77777777">
        <w:trPr>
          <w:trHeight w:val="710"/>
        </w:trPr>
        <w:tc>
          <w:tcPr>
            <w:tcW w:w="2093" w:type="dxa"/>
            <w:noWrap/>
            <w:hideMark/>
          </w:tcPr>
          <w:p w14:paraId="08085370" w14:textId="77777777" w:rsidR="00D03065" w:rsidRDefault="004B14FB">
            <w:pPr>
              <w:spacing w:line="240" w:lineRule="auto"/>
              <w:jc w:val="center"/>
              <w:rPr>
                <w:rFonts w:ascii="SimSun" w:eastAsia="Times New Roman" w:hAnsi="SimSun"/>
                <w:sz w:val="24"/>
                <w:szCs w:val="24"/>
              </w:rPr>
            </w:pPr>
            <w:r>
              <w:rPr>
                <w:rFonts w:ascii="SimSun" w:eastAsia="Times New Roman" w:hAnsi="SimSun"/>
                <w:sz w:val="24"/>
                <w:szCs w:val="24"/>
              </w:rPr>
              <w:t>Group 4</w:t>
            </w:r>
          </w:p>
        </w:tc>
        <w:tc>
          <w:tcPr>
            <w:tcW w:w="2094" w:type="dxa"/>
            <w:noWrap/>
            <w:hideMark/>
          </w:tcPr>
          <w:p w14:paraId="4275ACFB" w14:textId="77777777" w:rsidR="00D03065" w:rsidRDefault="004B14FB">
            <w:pPr>
              <w:spacing w:line="240" w:lineRule="auto"/>
              <w:jc w:val="center"/>
              <w:rPr>
                <w:rFonts w:ascii="SimSun" w:eastAsia="Times New Roman" w:hAnsi="SimSun"/>
                <w:sz w:val="24"/>
                <w:szCs w:val="24"/>
              </w:rPr>
            </w:pPr>
            <w:r>
              <w:rPr>
                <w:rFonts w:ascii="SimSun" w:eastAsia="Times New Roman" w:hAnsi="SimSun"/>
                <w:sz w:val="24"/>
                <w:szCs w:val="24"/>
              </w:rPr>
              <w:t xml:space="preserve">115.50±83.42 </w:t>
            </w:r>
            <w:r>
              <w:rPr>
                <w:rFonts w:ascii="SimSun" w:eastAsia="Times New Roman" w:hAnsi="SimSun"/>
                <w:sz w:val="24"/>
                <w:szCs w:val="24"/>
                <w:vertAlign w:val="superscript"/>
              </w:rPr>
              <w:t xml:space="preserve"> a</w:t>
            </w:r>
          </w:p>
        </w:tc>
        <w:tc>
          <w:tcPr>
            <w:tcW w:w="0" w:type="auto"/>
            <w:noWrap/>
            <w:hideMark/>
          </w:tcPr>
          <w:p w14:paraId="3779F9FC" w14:textId="77777777" w:rsidR="00D03065" w:rsidRDefault="004B14FB">
            <w:pPr>
              <w:spacing w:line="240" w:lineRule="auto"/>
              <w:jc w:val="center"/>
              <w:rPr>
                <w:rFonts w:ascii="SimSun" w:eastAsia="Times New Roman" w:hAnsi="SimSun"/>
                <w:sz w:val="24"/>
                <w:szCs w:val="24"/>
              </w:rPr>
            </w:pPr>
            <w:r>
              <w:rPr>
                <w:rFonts w:ascii="SimSun" w:eastAsia="Times New Roman" w:hAnsi="SimSun"/>
                <w:sz w:val="24"/>
                <w:szCs w:val="24"/>
              </w:rPr>
              <w:t xml:space="preserve">155.75±45.41 </w:t>
            </w:r>
            <w:r>
              <w:rPr>
                <w:rFonts w:ascii="SimSun" w:eastAsia="Times New Roman" w:hAnsi="SimSun"/>
                <w:sz w:val="24"/>
                <w:szCs w:val="24"/>
                <w:vertAlign w:val="superscript"/>
              </w:rPr>
              <w:t xml:space="preserve"> a</w:t>
            </w:r>
          </w:p>
        </w:tc>
        <w:tc>
          <w:tcPr>
            <w:tcW w:w="0" w:type="auto"/>
            <w:noWrap/>
            <w:hideMark/>
          </w:tcPr>
          <w:p w14:paraId="5D77F6D0" w14:textId="77777777" w:rsidR="00D03065" w:rsidRDefault="004B14FB">
            <w:pPr>
              <w:spacing w:line="240" w:lineRule="auto"/>
              <w:jc w:val="center"/>
              <w:rPr>
                <w:rFonts w:ascii="SimSun" w:eastAsia="Times New Roman" w:hAnsi="SimSun"/>
                <w:sz w:val="24"/>
                <w:szCs w:val="24"/>
              </w:rPr>
            </w:pPr>
            <w:r>
              <w:rPr>
                <w:rFonts w:ascii="SimSun" w:eastAsia="Times New Roman" w:hAnsi="SimSun"/>
                <w:sz w:val="24"/>
                <w:szCs w:val="24"/>
              </w:rPr>
              <w:t xml:space="preserve">173.75±72.97 </w:t>
            </w:r>
            <w:r>
              <w:rPr>
                <w:rFonts w:ascii="SimSun" w:eastAsia="Times New Roman" w:hAnsi="SimSun"/>
                <w:sz w:val="24"/>
                <w:szCs w:val="24"/>
                <w:vertAlign w:val="superscript"/>
              </w:rPr>
              <w:t xml:space="preserve"> a</w:t>
            </w:r>
          </w:p>
        </w:tc>
        <w:tc>
          <w:tcPr>
            <w:tcW w:w="2508" w:type="dxa"/>
          </w:tcPr>
          <w:p w14:paraId="5E44613A" w14:textId="77777777" w:rsidR="00D03065" w:rsidRDefault="004B14FB">
            <w:pPr>
              <w:spacing w:line="240" w:lineRule="auto"/>
              <w:jc w:val="center"/>
              <w:rPr>
                <w:rFonts w:ascii="SimSun" w:eastAsia="Times New Roman" w:hAnsi="SimSun"/>
                <w:sz w:val="24"/>
                <w:szCs w:val="24"/>
              </w:rPr>
            </w:pPr>
            <w:r>
              <w:rPr>
                <w:rFonts w:ascii="SimSun" w:eastAsia="Times New Roman" w:hAnsi="SimSun"/>
                <w:sz w:val="24"/>
                <w:szCs w:val="24"/>
              </w:rPr>
              <w:t xml:space="preserve">198.00±32.23 </w:t>
            </w:r>
            <w:r>
              <w:rPr>
                <w:rFonts w:ascii="SimSun" w:eastAsia="Times New Roman" w:hAnsi="SimSun"/>
                <w:sz w:val="24"/>
                <w:szCs w:val="24"/>
                <w:vertAlign w:val="superscript"/>
              </w:rPr>
              <w:t xml:space="preserve"> a</w:t>
            </w:r>
          </w:p>
        </w:tc>
      </w:tr>
    </w:tbl>
    <w:p w14:paraId="05C8A4EB" w14:textId="77777777" w:rsidR="00D03065" w:rsidRDefault="00D03065">
      <w:pPr>
        <w:spacing w:line="480" w:lineRule="auto"/>
        <w:rPr>
          <w:rFonts w:ascii="SimSun" w:hAnsi="SimSun"/>
          <w:sz w:val="24"/>
          <w:szCs w:val="24"/>
        </w:rPr>
      </w:pPr>
    </w:p>
    <w:p w14:paraId="41159732" w14:textId="1546BAAB" w:rsidR="00D03065" w:rsidRDefault="004B14FB" w:rsidP="0006125B">
      <w:pPr>
        <w:spacing w:line="480" w:lineRule="auto"/>
        <w:jc w:val="center"/>
        <w:rPr>
          <w:rFonts w:ascii="Arial" w:hAnsi="Arial" w:cs="Arial"/>
          <w:sz w:val="20"/>
          <w:szCs w:val="20"/>
        </w:rPr>
      </w:pPr>
      <w:r>
        <w:rPr>
          <w:rFonts w:ascii="Arial" w:hAnsi="Arial" w:cs="Arial"/>
          <w:sz w:val="20"/>
          <w:szCs w:val="20"/>
        </w:rPr>
        <w:t xml:space="preserve">Values are presented in mean ± sem, n= 5. </w:t>
      </w:r>
      <w:r>
        <w:rPr>
          <w:rFonts w:ascii="SimSun" w:eastAsia="Times New Roman" w:hAnsi="SimSun"/>
          <w:sz w:val="24"/>
          <w:szCs w:val="24"/>
          <w:vertAlign w:val="superscript"/>
        </w:rPr>
        <w:t>a</w:t>
      </w:r>
      <w:r>
        <w:rPr>
          <w:rFonts w:ascii="Arial" w:hAnsi="Arial" w:cs="Arial"/>
          <w:sz w:val="20"/>
          <w:szCs w:val="20"/>
        </w:rPr>
        <w:t xml:space="preserve"> means values are statistically significant when compared to the control</w:t>
      </w:r>
    </w:p>
    <w:p w14:paraId="745639D2" w14:textId="35370BF6" w:rsidR="00D03065" w:rsidRDefault="00D03065">
      <w:pPr>
        <w:spacing w:line="480" w:lineRule="auto"/>
        <w:jc w:val="center"/>
        <w:rPr>
          <w:rFonts w:ascii="Arial" w:hAnsi="Arial" w:cs="Arial"/>
          <w:sz w:val="20"/>
          <w:szCs w:val="20"/>
        </w:rPr>
      </w:pPr>
    </w:p>
    <w:p w14:paraId="1BD29E62" w14:textId="7A12CA0C" w:rsidR="0006125B" w:rsidRDefault="0006125B">
      <w:pPr>
        <w:spacing w:line="480" w:lineRule="auto"/>
        <w:jc w:val="center"/>
        <w:rPr>
          <w:rFonts w:ascii="Arial" w:hAnsi="Arial" w:cs="Arial"/>
          <w:sz w:val="20"/>
          <w:szCs w:val="20"/>
        </w:rPr>
      </w:pPr>
    </w:p>
    <w:p w14:paraId="3DDE3442" w14:textId="1087923C" w:rsidR="0006125B" w:rsidRDefault="0006125B">
      <w:pPr>
        <w:spacing w:line="480" w:lineRule="auto"/>
        <w:jc w:val="center"/>
        <w:rPr>
          <w:rFonts w:ascii="Arial" w:hAnsi="Arial" w:cs="Arial"/>
          <w:sz w:val="20"/>
          <w:szCs w:val="20"/>
        </w:rPr>
      </w:pPr>
    </w:p>
    <w:p w14:paraId="3C01BB7F" w14:textId="2982DDB7" w:rsidR="0006125B" w:rsidRDefault="0006125B">
      <w:pPr>
        <w:spacing w:line="480" w:lineRule="auto"/>
        <w:jc w:val="center"/>
        <w:rPr>
          <w:rFonts w:ascii="Arial" w:hAnsi="Arial" w:cs="Arial"/>
          <w:sz w:val="20"/>
          <w:szCs w:val="20"/>
        </w:rPr>
      </w:pPr>
    </w:p>
    <w:p w14:paraId="1C808282" w14:textId="091B8494" w:rsidR="0006125B" w:rsidRDefault="0006125B">
      <w:pPr>
        <w:spacing w:line="480" w:lineRule="auto"/>
        <w:jc w:val="center"/>
        <w:rPr>
          <w:rFonts w:ascii="Arial" w:hAnsi="Arial" w:cs="Arial"/>
          <w:sz w:val="20"/>
          <w:szCs w:val="20"/>
        </w:rPr>
      </w:pPr>
    </w:p>
    <w:p w14:paraId="7FB9E2F3" w14:textId="19448588" w:rsidR="0006125B" w:rsidRDefault="0006125B">
      <w:pPr>
        <w:spacing w:line="480" w:lineRule="auto"/>
        <w:jc w:val="center"/>
        <w:rPr>
          <w:rFonts w:ascii="Arial" w:hAnsi="Arial" w:cs="Arial"/>
          <w:sz w:val="20"/>
          <w:szCs w:val="20"/>
        </w:rPr>
      </w:pPr>
    </w:p>
    <w:p w14:paraId="74C3729E" w14:textId="09110ACB" w:rsidR="0006125B" w:rsidRDefault="0006125B">
      <w:pPr>
        <w:spacing w:line="480" w:lineRule="auto"/>
        <w:jc w:val="center"/>
        <w:rPr>
          <w:rFonts w:ascii="Arial" w:hAnsi="Arial" w:cs="Arial"/>
          <w:sz w:val="20"/>
          <w:szCs w:val="20"/>
        </w:rPr>
      </w:pPr>
    </w:p>
    <w:p w14:paraId="6DD7B6BB" w14:textId="078A0B7D" w:rsidR="0006125B" w:rsidRDefault="0006125B">
      <w:pPr>
        <w:spacing w:line="480" w:lineRule="auto"/>
        <w:jc w:val="center"/>
        <w:rPr>
          <w:rFonts w:ascii="Arial" w:hAnsi="Arial" w:cs="Arial"/>
          <w:sz w:val="20"/>
          <w:szCs w:val="20"/>
        </w:rPr>
      </w:pPr>
    </w:p>
    <w:p w14:paraId="55E76F15" w14:textId="2A9D6D12" w:rsidR="0006125B" w:rsidRDefault="0006125B">
      <w:pPr>
        <w:spacing w:line="480" w:lineRule="auto"/>
        <w:jc w:val="center"/>
        <w:rPr>
          <w:rFonts w:ascii="Arial" w:hAnsi="Arial" w:cs="Arial"/>
          <w:sz w:val="20"/>
          <w:szCs w:val="20"/>
        </w:rPr>
      </w:pPr>
    </w:p>
    <w:p w14:paraId="746E095A" w14:textId="3C69BC47" w:rsidR="0006125B" w:rsidRDefault="0006125B">
      <w:pPr>
        <w:spacing w:line="480" w:lineRule="auto"/>
        <w:jc w:val="center"/>
        <w:rPr>
          <w:rFonts w:ascii="Arial" w:hAnsi="Arial" w:cs="Arial"/>
          <w:sz w:val="20"/>
          <w:szCs w:val="20"/>
        </w:rPr>
      </w:pPr>
    </w:p>
    <w:p w14:paraId="3F68CFED" w14:textId="32FD92A9" w:rsidR="0006125B" w:rsidRDefault="0006125B">
      <w:pPr>
        <w:spacing w:line="480" w:lineRule="auto"/>
        <w:jc w:val="center"/>
        <w:rPr>
          <w:rFonts w:ascii="Arial" w:hAnsi="Arial" w:cs="Arial"/>
          <w:sz w:val="20"/>
          <w:szCs w:val="20"/>
        </w:rPr>
      </w:pPr>
    </w:p>
    <w:p w14:paraId="44F035E3" w14:textId="4E500CCC" w:rsidR="0006125B" w:rsidRDefault="0006125B">
      <w:pPr>
        <w:spacing w:line="480" w:lineRule="auto"/>
        <w:jc w:val="center"/>
        <w:rPr>
          <w:rFonts w:ascii="Arial" w:hAnsi="Arial" w:cs="Arial"/>
          <w:sz w:val="20"/>
          <w:szCs w:val="20"/>
        </w:rPr>
      </w:pPr>
    </w:p>
    <w:p w14:paraId="3CDB6631" w14:textId="55CD8A4C" w:rsidR="0006125B" w:rsidRPr="006C1D1F" w:rsidRDefault="006C1D1F">
      <w:pPr>
        <w:spacing w:line="480" w:lineRule="auto"/>
        <w:jc w:val="center"/>
        <w:rPr>
          <w:rFonts w:ascii="Arial" w:hAnsi="Arial" w:cs="Arial"/>
          <w:b/>
          <w:sz w:val="20"/>
          <w:szCs w:val="20"/>
        </w:rPr>
      </w:pPr>
      <w:r w:rsidRPr="006C1D1F">
        <w:rPr>
          <w:rFonts w:ascii="Arial" w:hAnsi="Arial" w:cs="Arial"/>
          <w:b/>
          <w:sz w:val="20"/>
          <w:szCs w:val="20"/>
        </w:rPr>
        <w:t>Figure 1: Bar graph Showing the Result of the beam walk test</w:t>
      </w:r>
    </w:p>
    <w:p w14:paraId="2AF51345" w14:textId="77777777" w:rsidR="00D03065" w:rsidRDefault="001A7A1F">
      <w:pPr>
        <w:spacing w:line="480" w:lineRule="auto"/>
        <w:jc w:val="center"/>
        <w:rPr>
          <w:rFonts w:ascii="SimSun" w:hAnsi="SimSun"/>
          <w:sz w:val="24"/>
          <w:szCs w:val="24"/>
        </w:rPr>
      </w:pPr>
      <w:r>
        <w:rPr>
          <w:rFonts w:ascii="SimSun" w:hAnsi="SimSun"/>
          <w:b/>
          <w:noProof/>
          <w:sz w:val="24"/>
          <w:szCs w:val="24"/>
          <w:lang w:val="en-GB" w:eastAsia="en-GB"/>
        </w:rPr>
        <w:pict w14:anchorId="308DE56E">
          <v:rect id="1026" o:spid="_x0000_s1026" style="position:absolute;left:0;text-align:left;margin-left:-29.95pt;margin-top:7pt;width:524.25pt;height:660.75pt;z-index:2;visibility:visible;mso-width-percent:0;mso-height-percent:0;mso-wrap-distance-left:0;mso-wrap-distance-right:0;mso-position-horizontal-relative:text;mso-position-vertical-relative:text;mso-width-percent:0;mso-height-percent:0;mso-width-relative:margin;mso-height-relative:margin" stroked="f" strokeweight=".5pt">
            <v:textbox>
              <w:txbxContent>
                <w:p w14:paraId="51E27F38" w14:textId="77777777" w:rsidR="00D03065" w:rsidRDefault="004B14FB">
                  <w:pPr>
                    <w:pStyle w:val="NoSpacing"/>
                    <w:jc w:val="both"/>
                  </w:pPr>
                  <w:r>
                    <w:rPr>
                      <w:noProof/>
                      <w:lang w:eastAsia="en-GB"/>
                    </w:rPr>
                    <w:drawing>
                      <wp:inline distT="0" distB="0" distL="114300" distR="114300" wp14:anchorId="51567D23" wp14:editId="0B781B4C">
                        <wp:extent cx="6257925" cy="3695700"/>
                        <wp:effectExtent l="0" t="0" r="9525" b="0"/>
                        <wp:docPr id="205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9376FF1" w14:textId="77777777" w:rsidR="00D03065" w:rsidRDefault="00D03065">
                  <w:pPr>
                    <w:pStyle w:val="NoSpacing"/>
                    <w:jc w:val="both"/>
                  </w:pPr>
                </w:p>
                <w:p w14:paraId="5ECE6044" w14:textId="77777777" w:rsidR="00D03065" w:rsidRDefault="004B14FB">
                  <w:pPr>
                    <w:pStyle w:val="NoSpacing"/>
                    <w:jc w:val="both"/>
                  </w:pPr>
                  <w:r>
                    <w:rPr>
                      <w:noProof/>
                      <w:lang w:eastAsia="en-GB"/>
                    </w:rPr>
                    <w:drawing>
                      <wp:inline distT="0" distB="0" distL="114300" distR="114300" wp14:anchorId="1E612920" wp14:editId="6A4A3318">
                        <wp:extent cx="6638925" cy="4229100"/>
                        <wp:effectExtent l="0" t="0" r="9525" b="0"/>
                        <wp:docPr id="205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E500A50" w14:textId="77777777" w:rsidR="00D03065" w:rsidRDefault="00D03065">
                  <w:pPr>
                    <w:jc w:val="both"/>
                  </w:pPr>
                </w:p>
              </w:txbxContent>
            </v:textbox>
          </v:rect>
        </w:pict>
      </w:r>
    </w:p>
    <w:p w14:paraId="16F0F9C9" w14:textId="77777777" w:rsidR="00D03065" w:rsidRDefault="00D03065">
      <w:pPr>
        <w:spacing w:line="480" w:lineRule="auto"/>
        <w:jc w:val="center"/>
        <w:rPr>
          <w:rFonts w:ascii="SimSun" w:hAnsi="SimSun"/>
          <w:b/>
          <w:sz w:val="24"/>
          <w:szCs w:val="24"/>
        </w:rPr>
      </w:pPr>
    </w:p>
    <w:p w14:paraId="35AB64F1" w14:textId="77777777" w:rsidR="00D03065" w:rsidRDefault="00D03065">
      <w:pPr>
        <w:spacing w:line="480" w:lineRule="auto"/>
        <w:jc w:val="center"/>
        <w:rPr>
          <w:rFonts w:ascii="SimSun" w:hAnsi="SimSun"/>
          <w:b/>
          <w:sz w:val="24"/>
          <w:szCs w:val="24"/>
        </w:rPr>
      </w:pPr>
    </w:p>
    <w:p w14:paraId="0B4C51FD" w14:textId="77777777" w:rsidR="00D03065" w:rsidRDefault="00D03065">
      <w:pPr>
        <w:spacing w:line="480" w:lineRule="auto"/>
        <w:jc w:val="center"/>
        <w:rPr>
          <w:rFonts w:ascii="SimSun" w:hAnsi="SimSun"/>
          <w:b/>
          <w:sz w:val="24"/>
          <w:szCs w:val="24"/>
        </w:rPr>
      </w:pPr>
    </w:p>
    <w:p w14:paraId="09F2019F" w14:textId="77777777" w:rsidR="00D03065" w:rsidRDefault="00D03065">
      <w:pPr>
        <w:spacing w:line="480" w:lineRule="auto"/>
        <w:jc w:val="center"/>
        <w:rPr>
          <w:rFonts w:ascii="SimSun" w:hAnsi="SimSun"/>
          <w:b/>
          <w:sz w:val="24"/>
          <w:szCs w:val="24"/>
        </w:rPr>
      </w:pPr>
    </w:p>
    <w:p w14:paraId="2434F8C5" w14:textId="77777777" w:rsidR="00D03065" w:rsidRDefault="00D03065">
      <w:pPr>
        <w:spacing w:line="480" w:lineRule="auto"/>
        <w:jc w:val="center"/>
        <w:rPr>
          <w:rFonts w:ascii="SimSun" w:hAnsi="SimSun"/>
          <w:b/>
          <w:sz w:val="24"/>
          <w:szCs w:val="24"/>
        </w:rPr>
      </w:pPr>
    </w:p>
    <w:p w14:paraId="1F386666" w14:textId="77777777" w:rsidR="00D03065" w:rsidRDefault="00D03065">
      <w:pPr>
        <w:spacing w:line="480" w:lineRule="auto"/>
        <w:jc w:val="center"/>
        <w:rPr>
          <w:rFonts w:ascii="SimSun" w:hAnsi="SimSun"/>
          <w:b/>
          <w:sz w:val="24"/>
          <w:szCs w:val="24"/>
        </w:rPr>
      </w:pPr>
    </w:p>
    <w:p w14:paraId="51BD1FCF" w14:textId="77777777" w:rsidR="00D03065" w:rsidRDefault="00D03065">
      <w:pPr>
        <w:spacing w:line="480" w:lineRule="auto"/>
        <w:jc w:val="center"/>
        <w:rPr>
          <w:rFonts w:ascii="SimSun" w:hAnsi="SimSun"/>
          <w:b/>
          <w:sz w:val="24"/>
          <w:szCs w:val="24"/>
        </w:rPr>
      </w:pPr>
    </w:p>
    <w:p w14:paraId="5F7A3059" w14:textId="77777777" w:rsidR="00D03065" w:rsidRDefault="00D03065">
      <w:pPr>
        <w:spacing w:line="480" w:lineRule="auto"/>
        <w:jc w:val="center"/>
        <w:rPr>
          <w:rFonts w:ascii="SimSun" w:hAnsi="SimSun"/>
          <w:b/>
          <w:sz w:val="24"/>
          <w:szCs w:val="24"/>
        </w:rPr>
      </w:pPr>
    </w:p>
    <w:p w14:paraId="6D9DB29A" w14:textId="77777777" w:rsidR="00D03065" w:rsidRDefault="00D03065">
      <w:pPr>
        <w:spacing w:line="480" w:lineRule="auto"/>
        <w:jc w:val="center"/>
        <w:rPr>
          <w:rFonts w:ascii="SimSun" w:hAnsi="SimSun"/>
          <w:b/>
          <w:sz w:val="24"/>
          <w:szCs w:val="24"/>
        </w:rPr>
      </w:pPr>
    </w:p>
    <w:p w14:paraId="55D9A9D7" w14:textId="77777777" w:rsidR="00D03065" w:rsidRDefault="00D03065">
      <w:pPr>
        <w:spacing w:line="480" w:lineRule="auto"/>
        <w:jc w:val="center"/>
        <w:rPr>
          <w:rFonts w:ascii="SimSun" w:hAnsi="SimSun"/>
          <w:b/>
          <w:sz w:val="24"/>
          <w:szCs w:val="24"/>
        </w:rPr>
      </w:pPr>
    </w:p>
    <w:p w14:paraId="1A558C87" w14:textId="77777777" w:rsidR="00D03065" w:rsidRDefault="00D03065">
      <w:pPr>
        <w:spacing w:line="480" w:lineRule="auto"/>
        <w:jc w:val="center"/>
        <w:rPr>
          <w:rFonts w:ascii="SimSun" w:hAnsi="SimSun"/>
          <w:b/>
          <w:sz w:val="24"/>
          <w:szCs w:val="24"/>
        </w:rPr>
      </w:pPr>
    </w:p>
    <w:p w14:paraId="5EFCCE57" w14:textId="77777777" w:rsidR="00D03065" w:rsidRDefault="00D03065">
      <w:pPr>
        <w:spacing w:line="480" w:lineRule="auto"/>
        <w:rPr>
          <w:rFonts w:ascii="SimSun" w:hAnsi="SimSun"/>
          <w:b/>
          <w:sz w:val="24"/>
          <w:szCs w:val="24"/>
        </w:rPr>
      </w:pPr>
    </w:p>
    <w:p w14:paraId="2384BB65" w14:textId="77777777" w:rsidR="00D03065" w:rsidRDefault="00D03065">
      <w:pPr>
        <w:spacing w:line="480" w:lineRule="auto"/>
        <w:rPr>
          <w:rFonts w:ascii="SimSun" w:hAnsi="SimSun"/>
          <w:b/>
          <w:sz w:val="24"/>
          <w:szCs w:val="24"/>
        </w:rPr>
      </w:pPr>
    </w:p>
    <w:p w14:paraId="3615D8B9" w14:textId="77777777" w:rsidR="00D03065" w:rsidRDefault="00D03065">
      <w:pPr>
        <w:spacing w:line="480" w:lineRule="auto"/>
        <w:rPr>
          <w:rFonts w:ascii="SimSun" w:hAnsi="SimSun"/>
          <w:b/>
          <w:sz w:val="24"/>
          <w:szCs w:val="24"/>
        </w:rPr>
      </w:pPr>
    </w:p>
    <w:p w14:paraId="7F281289" w14:textId="77777777" w:rsidR="00D03065" w:rsidRDefault="00D03065">
      <w:pPr>
        <w:spacing w:line="480" w:lineRule="auto"/>
        <w:rPr>
          <w:rFonts w:ascii="SimSun" w:hAnsi="SimSun"/>
          <w:b/>
          <w:sz w:val="24"/>
          <w:szCs w:val="24"/>
        </w:rPr>
      </w:pPr>
    </w:p>
    <w:p w14:paraId="3F5C1019" w14:textId="77777777" w:rsidR="00D03065" w:rsidRDefault="00D03065">
      <w:pPr>
        <w:spacing w:line="480" w:lineRule="auto"/>
        <w:rPr>
          <w:rFonts w:ascii="SimSun" w:hAnsi="SimSun"/>
          <w:b/>
          <w:sz w:val="24"/>
          <w:szCs w:val="24"/>
        </w:rPr>
      </w:pPr>
    </w:p>
    <w:p w14:paraId="49E27283" w14:textId="43FD4AA0" w:rsidR="00D03065" w:rsidRPr="006C1D1F" w:rsidRDefault="006C1D1F">
      <w:pPr>
        <w:spacing w:line="480" w:lineRule="auto"/>
        <w:rPr>
          <w:rFonts w:ascii="SimSun" w:hAnsi="SimSun"/>
          <w:b/>
          <w:sz w:val="24"/>
          <w:szCs w:val="24"/>
        </w:rPr>
      </w:pPr>
      <w:r w:rsidRPr="006C1D1F">
        <w:rPr>
          <w:rFonts w:ascii="SimSun" w:hAnsi="SimSun"/>
          <w:b/>
          <w:sz w:val="24"/>
          <w:szCs w:val="24"/>
        </w:rPr>
        <w:lastRenderedPageBreak/>
        <w:t>Figure 2: Bar graph Showing the Result of The Rotarod Test</w:t>
      </w:r>
    </w:p>
    <w:p w14:paraId="0F4FE6DB" w14:textId="77777777" w:rsidR="00D03065" w:rsidRDefault="00D03065">
      <w:pPr>
        <w:spacing w:line="480" w:lineRule="auto"/>
        <w:rPr>
          <w:rFonts w:ascii="SimSun" w:hAnsi="SimSun"/>
          <w:b/>
          <w:sz w:val="24"/>
          <w:szCs w:val="24"/>
        </w:rPr>
      </w:pPr>
    </w:p>
    <w:p w14:paraId="07581C2E" w14:textId="77777777" w:rsidR="00D03065" w:rsidRDefault="00D03065">
      <w:pPr>
        <w:spacing w:line="480" w:lineRule="auto"/>
        <w:rPr>
          <w:rFonts w:ascii="SimSun" w:hAnsi="SimSun"/>
          <w:b/>
          <w:sz w:val="24"/>
          <w:szCs w:val="24"/>
        </w:rPr>
      </w:pPr>
    </w:p>
    <w:p w14:paraId="5A3DC22A" w14:textId="77777777" w:rsidR="00D03065" w:rsidRDefault="004B14FB">
      <w:pPr>
        <w:spacing w:line="480" w:lineRule="auto"/>
        <w:rPr>
          <w:rFonts w:ascii="SimSun" w:hAnsi="SimSun"/>
          <w:b/>
          <w:sz w:val="24"/>
          <w:szCs w:val="24"/>
        </w:rPr>
      </w:pPr>
      <w:r>
        <w:rPr>
          <w:rFonts w:ascii="Times New Roman" w:hAnsi="Times New Roman"/>
          <w:b/>
          <w:noProof/>
          <w:sz w:val="24"/>
          <w:szCs w:val="24"/>
          <w:lang w:val="en-GB" w:eastAsia="en-GB"/>
        </w:rPr>
        <mc:AlternateContent>
          <mc:Choice Requires="wps">
            <w:drawing>
              <wp:anchor distT="0" distB="0" distL="0" distR="0" simplePos="0" relativeHeight="3" behindDoc="1" locked="0" layoutInCell="1" allowOverlap="1" wp14:anchorId="4EA778A3" wp14:editId="09CBF097">
                <wp:simplePos x="0" y="0"/>
                <wp:positionH relativeFrom="column">
                  <wp:posOffset>-577215</wp:posOffset>
                </wp:positionH>
                <wp:positionV relativeFrom="paragraph">
                  <wp:posOffset>50800</wp:posOffset>
                </wp:positionV>
                <wp:extent cx="7327900" cy="7927975"/>
                <wp:effectExtent l="0" t="0" r="0" b="0"/>
                <wp:wrapNone/>
                <wp:docPr id="10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27900" cy="7927975"/>
                        </a:xfrm>
                        <a:prstGeom prst="rect">
                          <a:avLst/>
                        </a:prstGeom>
                        <a:ln>
                          <a:noFill/>
                        </a:ln>
                      </wps:spPr>
                      <wps:txbx>
                        <w:txbxContent>
                          <w:p w14:paraId="0C10B4A8" w14:textId="77777777" w:rsidR="00D03065" w:rsidRDefault="004B14FB">
                            <w:pPr>
                              <w:ind w:left="993" w:hanging="284"/>
                              <w:jc w:val="center"/>
                            </w:pPr>
                            <w:r>
                              <w:rPr>
                                <w:noProof/>
                                <w:lang w:val="en-GB" w:eastAsia="en-GB"/>
                              </w:rPr>
                              <w:t xml:space="preserve">          </w:t>
                            </w:r>
                            <w:r>
                              <w:rPr>
                                <w:noProof/>
                                <w:lang w:val="en-GB" w:eastAsia="en-GB"/>
                              </w:rPr>
                              <w:drawing>
                                <wp:inline distT="0" distB="0" distL="0" distR="0" wp14:anchorId="38B3EA03" wp14:editId="69253B4C">
                                  <wp:extent cx="6197600" cy="1965726"/>
                                  <wp:effectExtent l="0" t="0" r="0" b="0"/>
                                  <wp:docPr id="2053" name="Picture 23" descr="C:\Users\CHEARLS\AppData\Local\Microsoft\Windows\Temporary Internet Files\Content.Word\Screenshot_20250210-12225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9" cstate="print"/>
                                          <a:srcRect l="3280" t="27199"/>
                                          <a:stretch/>
                                        </pic:blipFill>
                                        <pic:spPr>
                                          <a:xfrm>
                                            <a:off x="0" y="0"/>
                                            <a:ext cx="6197600" cy="1965726"/>
                                          </a:xfrm>
                                          <a:prstGeom prst="rect">
                                            <a:avLst/>
                                          </a:prstGeom>
                                          <a:ln>
                                            <a:noFill/>
                                          </a:ln>
                                        </pic:spPr>
                                      </pic:pic>
                                    </a:graphicData>
                                  </a:graphic>
                                </wp:inline>
                              </w:drawing>
                            </w:r>
                          </w:p>
                          <w:p w14:paraId="77EF3E49" w14:textId="77777777" w:rsidR="00D03065" w:rsidRDefault="004B14FB">
                            <w:pPr>
                              <w:ind w:left="993" w:hanging="284"/>
                              <w:jc w:val="center"/>
                            </w:pPr>
                            <w:r>
                              <w:rPr>
                                <w:noProof/>
                                <w:lang w:val="en-GB" w:eastAsia="en-GB"/>
                              </w:rPr>
                              <w:drawing>
                                <wp:inline distT="0" distB="0" distL="0" distR="0" wp14:anchorId="5460B404" wp14:editId="1CE6DC64">
                                  <wp:extent cx="5902036" cy="2133600"/>
                                  <wp:effectExtent l="0" t="0" r="3810" b="0"/>
                                  <wp:docPr id="2054" name="Picture 24" descr="C:\Users\CHEARLS\AppData\Local\Microsoft\Windows\Temporary Internet Files\Content.Word\Screenshot_20250210-12225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4"/>
                                          <pic:cNvPicPr/>
                                        </pic:nvPicPr>
                                        <pic:blipFill>
                                          <a:blip r:embed="rId10" cstate="print"/>
                                          <a:srcRect l="18626" t="26835" b="37626"/>
                                          <a:stretch/>
                                        </pic:blipFill>
                                        <pic:spPr>
                                          <a:xfrm>
                                            <a:off x="0" y="0"/>
                                            <a:ext cx="5902036" cy="2133600"/>
                                          </a:xfrm>
                                          <a:prstGeom prst="rect">
                                            <a:avLst/>
                                          </a:prstGeom>
                                          <a:ln>
                                            <a:noFill/>
                                          </a:ln>
                                        </pic:spPr>
                                      </pic:pic>
                                    </a:graphicData>
                                  </a:graphic>
                                </wp:inline>
                              </w:drawing>
                            </w:r>
                          </w:p>
                          <w:p w14:paraId="30356BA2" w14:textId="77777777" w:rsidR="00D03065" w:rsidRDefault="004B14FB">
                            <w:pPr>
                              <w:ind w:left="993" w:hanging="284"/>
                              <w:jc w:val="center"/>
                            </w:pPr>
                            <w:r>
                              <w:rPr>
                                <w:noProof/>
                                <w:lang w:val="en-GB" w:eastAsia="en-GB"/>
                              </w:rPr>
                              <w:drawing>
                                <wp:inline distT="0" distB="0" distL="0" distR="0" wp14:anchorId="5FA1A11F" wp14:editId="56AF1653">
                                  <wp:extent cx="5749636" cy="290945"/>
                                  <wp:effectExtent l="0" t="0" r="3810" b="0"/>
                                  <wp:docPr id="2055" name="Picture 26" descr="C:\Users\CHEARLS\AppData\Local\Microsoft\Windows\Temporary Internet Files\Content.Word\Screenshot_20250210-12225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6"/>
                                          <pic:cNvPicPr/>
                                        </pic:nvPicPr>
                                        <pic:blipFill>
                                          <a:blip r:embed="rId11" cstate="print"/>
                                          <a:srcRect/>
                                          <a:stretch/>
                                        </pic:blipFill>
                                        <pic:spPr>
                                          <a:xfrm>
                                            <a:off x="0" y="0"/>
                                            <a:ext cx="5749636" cy="290945"/>
                                          </a:xfrm>
                                          <a:prstGeom prst="rect">
                                            <a:avLst/>
                                          </a:prstGeom>
                                          <a:ln>
                                            <a:noFill/>
                                          </a:ln>
                                        </pic:spPr>
                                      </pic:pic>
                                    </a:graphicData>
                                  </a:graphic>
                                </wp:inline>
                              </w:drawing>
                            </w:r>
                          </w:p>
                          <w:p w14:paraId="0C6EFC19" w14:textId="77777777" w:rsidR="00D03065" w:rsidRDefault="004B14FB">
                            <w:pPr>
                              <w:ind w:left="993" w:hanging="284"/>
                              <w:jc w:val="center"/>
                            </w:pPr>
                            <w:r>
                              <w:rPr>
                                <w:noProof/>
                                <w:lang w:val="en-GB" w:eastAsia="en-GB"/>
                              </w:rPr>
                              <w:drawing>
                                <wp:inline distT="0" distB="0" distL="0" distR="0" wp14:anchorId="15F855DB" wp14:editId="73027504">
                                  <wp:extent cx="5985164" cy="2244436"/>
                                  <wp:effectExtent l="0" t="0" r="0" b="3810"/>
                                  <wp:docPr id="2056" name="Picture 27" descr="C:\Users\CHEARLS\AppData\Local\Microsoft\Windows\Temporary Internet Files\Content.Word\Screenshot_20250210-12231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7"/>
                                          <pic:cNvPicPr/>
                                        </pic:nvPicPr>
                                        <pic:blipFill>
                                          <a:blip r:embed="rId12" cstate="print"/>
                                          <a:srcRect l="6897"/>
                                          <a:stretch/>
                                        </pic:blipFill>
                                        <pic:spPr>
                                          <a:xfrm>
                                            <a:off x="0" y="0"/>
                                            <a:ext cx="5985164" cy="2244436"/>
                                          </a:xfrm>
                                          <a:prstGeom prst="rect">
                                            <a:avLst/>
                                          </a:prstGeom>
                                          <a:ln>
                                            <a:noFill/>
                                          </a:ln>
                                        </pic:spPr>
                                      </pic:pic>
                                    </a:graphicData>
                                  </a:graphic>
                                </wp:inline>
                              </w:drawing>
                            </w:r>
                          </w:p>
                          <w:p w14:paraId="18CA012F" w14:textId="77777777" w:rsidR="00D03065" w:rsidRDefault="004B14FB">
                            <w:pPr>
                              <w:ind w:left="993" w:hanging="284"/>
                              <w:jc w:val="center"/>
                            </w:pPr>
                            <w:r>
                              <w:rPr>
                                <w:noProof/>
                                <w:lang w:val="en-GB" w:eastAsia="en-GB"/>
                              </w:rPr>
                              <w:drawing>
                                <wp:inline distT="0" distB="0" distL="0" distR="0" wp14:anchorId="40501F14" wp14:editId="5CC50939">
                                  <wp:extent cx="5148775" cy="492368"/>
                                  <wp:effectExtent l="0" t="0" r="0" b="3175"/>
                                  <wp:docPr id="2057" name="Picture 28" descr="C:\Users\CHEARLS\AppData\Local\Microsoft\Windows\Temporary Internet Files\Content.Word\Screenshot_20250210-12231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8"/>
                                          <pic:cNvPicPr/>
                                        </pic:nvPicPr>
                                        <pic:blipFill>
                                          <a:blip r:embed="rId13" cstate="print"/>
                                          <a:srcRect/>
                                          <a:stretch/>
                                        </pic:blipFill>
                                        <pic:spPr>
                                          <a:xfrm>
                                            <a:off x="0" y="0"/>
                                            <a:ext cx="5148775" cy="492368"/>
                                          </a:xfrm>
                                          <a:prstGeom prst="rect">
                                            <a:avLst/>
                                          </a:prstGeom>
                                          <a:ln>
                                            <a:noFill/>
                                          </a:ln>
                                        </pic:spPr>
                                      </pic:pic>
                                    </a:graphicData>
                                  </a:graphic>
                                </wp:inline>
                              </w:drawing>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778A3" id="Text Box 1" o:spid="_x0000_s1026" style="position:absolute;margin-left:-45.45pt;margin-top:4pt;width:577pt;height:624.25pt;z-index:-50331647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" filled="f" stroked="f">
                <v:textbox>
                  <w:txbxContent>
                    <w:p w14:paraId="0C10B4A8" w14:textId="77777777" w:rsidR="00D03065" w:rsidRDefault="004B14FB">
                      <w:pPr>
                        <w:ind w:left="993" w:hanging="284"/>
                        <w:jc w:val="center"/>
                      </w:pPr>
                      <w:r>
                        <w:rPr>
                          <w:noProof/>
                          <w:lang w:val="en-GB" w:eastAsia="en-GB"/>
                        </w:rPr>
                        <w:t xml:space="preserve">          </w:t>
                      </w:r>
                      <w:r>
                        <w:rPr>
                          <w:noProof/>
                          <w:lang w:val="en-GB" w:eastAsia="en-GB"/>
                        </w:rPr>
                        <w:drawing>
                          <wp:inline distT="0" distB="0" distL="0" distR="0" wp14:anchorId="38B3EA03" wp14:editId="69253B4C">
                            <wp:extent cx="6197600" cy="1965726"/>
                            <wp:effectExtent l="0" t="0" r="0" b="0"/>
                            <wp:docPr id="2053" name="Picture 23" descr="C:\Users\CHEARLS\AppData\Local\Microsoft\Windows\Temporary Internet Files\Content.Word\Screenshot_20250210-12225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9" cstate="print"/>
                                    <a:srcRect l="3280" t="27199"/>
                                    <a:stretch/>
                                  </pic:blipFill>
                                  <pic:spPr>
                                    <a:xfrm>
                                      <a:off x="0" y="0"/>
                                      <a:ext cx="6197600" cy="1965726"/>
                                    </a:xfrm>
                                    <a:prstGeom prst="rect">
                                      <a:avLst/>
                                    </a:prstGeom>
                                    <a:ln>
                                      <a:noFill/>
                                    </a:ln>
                                  </pic:spPr>
                                </pic:pic>
                              </a:graphicData>
                            </a:graphic>
                          </wp:inline>
                        </w:drawing>
                      </w:r>
                    </w:p>
                    <w:p w14:paraId="77EF3E49" w14:textId="77777777" w:rsidR="00D03065" w:rsidRDefault="004B14FB">
                      <w:pPr>
                        <w:ind w:left="993" w:hanging="284"/>
                        <w:jc w:val="center"/>
                      </w:pPr>
                      <w:r>
                        <w:rPr>
                          <w:noProof/>
                          <w:lang w:val="en-GB" w:eastAsia="en-GB"/>
                        </w:rPr>
                        <w:drawing>
                          <wp:inline distT="0" distB="0" distL="0" distR="0" wp14:anchorId="5460B404" wp14:editId="1CE6DC64">
                            <wp:extent cx="5902036" cy="2133600"/>
                            <wp:effectExtent l="0" t="0" r="3810" b="0"/>
                            <wp:docPr id="2054" name="Picture 24" descr="C:\Users\CHEARLS\AppData\Local\Microsoft\Windows\Temporary Internet Files\Content.Word\Screenshot_20250210-12225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4"/>
                                    <pic:cNvPicPr/>
                                  </pic:nvPicPr>
                                  <pic:blipFill>
                                    <a:blip r:embed="rId10" cstate="print"/>
                                    <a:srcRect l="18626" t="26835" b="37626"/>
                                    <a:stretch/>
                                  </pic:blipFill>
                                  <pic:spPr>
                                    <a:xfrm>
                                      <a:off x="0" y="0"/>
                                      <a:ext cx="5902036" cy="2133600"/>
                                    </a:xfrm>
                                    <a:prstGeom prst="rect">
                                      <a:avLst/>
                                    </a:prstGeom>
                                    <a:ln>
                                      <a:noFill/>
                                    </a:ln>
                                  </pic:spPr>
                                </pic:pic>
                              </a:graphicData>
                            </a:graphic>
                          </wp:inline>
                        </w:drawing>
                      </w:r>
                    </w:p>
                    <w:p w14:paraId="30356BA2" w14:textId="77777777" w:rsidR="00D03065" w:rsidRDefault="004B14FB">
                      <w:pPr>
                        <w:ind w:left="993" w:hanging="284"/>
                        <w:jc w:val="center"/>
                      </w:pPr>
                      <w:r>
                        <w:rPr>
                          <w:noProof/>
                          <w:lang w:val="en-GB" w:eastAsia="en-GB"/>
                        </w:rPr>
                        <w:drawing>
                          <wp:inline distT="0" distB="0" distL="0" distR="0" wp14:anchorId="5FA1A11F" wp14:editId="56AF1653">
                            <wp:extent cx="5749636" cy="290945"/>
                            <wp:effectExtent l="0" t="0" r="3810" b="0"/>
                            <wp:docPr id="2055" name="Picture 26" descr="C:\Users\CHEARLS\AppData\Local\Microsoft\Windows\Temporary Internet Files\Content.Word\Screenshot_20250210-12225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6"/>
                                    <pic:cNvPicPr/>
                                  </pic:nvPicPr>
                                  <pic:blipFill>
                                    <a:blip r:embed="rId11" cstate="print"/>
                                    <a:srcRect/>
                                    <a:stretch/>
                                  </pic:blipFill>
                                  <pic:spPr>
                                    <a:xfrm>
                                      <a:off x="0" y="0"/>
                                      <a:ext cx="5749636" cy="290945"/>
                                    </a:xfrm>
                                    <a:prstGeom prst="rect">
                                      <a:avLst/>
                                    </a:prstGeom>
                                    <a:ln>
                                      <a:noFill/>
                                    </a:ln>
                                  </pic:spPr>
                                </pic:pic>
                              </a:graphicData>
                            </a:graphic>
                          </wp:inline>
                        </w:drawing>
                      </w:r>
                    </w:p>
                    <w:p w14:paraId="0C6EFC19" w14:textId="77777777" w:rsidR="00D03065" w:rsidRDefault="004B14FB">
                      <w:pPr>
                        <w:ind w:left="993" w:hanging="284"/>
                        <w:jc w:val="center"/>
                      </w:pPr>
                      <w:r>
                        <w:rPr>
                          <w:noProof/>
                          <w:lang w:val="en-GB" w:eastAsia="en-GB"/>
                        </w:rPr>
                        <w:drawing>
                          <wp:inline distT="0" distB="0" distL="0" distR="0" wp14:anchorId="15F855DB" wp14:editId="73027504">
                            <wp:extent cx="5985164" cy="2244436"/>
                            <wp:effectExtent l="0" t="0" r="0" b="3810"/>
                            <wp:docPr id="2056" name="Picture 27" descr="C:\Users\CHEARLS\AppData\Local\Microsoft\Windows\Temporary Internet Files\Content.Word\Screenshot_20250210-12231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7"/>
                                    <pic:cNvPicPr/>
                                  </pic:nvPicPr>
                                  <pic:blipFill>
                                    <a:blip r:embed="rId12" cstate="print"/>
                                    <a:srcRect l="6897"/>
                                    <a:stretch/>
                                  </pic:blipFill>
                                  <pic:spPr>
                                    <a:xfrm>
                                      <a:off x="0" y="0"/>
                                      <a:ext cx="5985164" cy="2244436"/>
                                    </a:xfrm>
                                    <a:prstGeom prst="rect">
                                      <a:avLst/>
                                    </a:prstGeom>
                                    <a:ln>
                                      <a:noFill/>
                                    </a:ln>
                                  </pic:spPr>
                                </pic:pic>
                              </a:graphicData>
                            </a:graphic>
                          </wp:inline>
                        </w:drawing>
                      </w:r>
                    </w:p>
                    <w:p w14:paraId="18CA012F" w14:textId="77777777" w:rsidR="00D03065" w:rsidRDefault="004B14FB">
                      <w:pPr>
                        <w:ind w:left="993" w:hanging="284"/>
                        <w:jc w:val="center"/>
                      </w:pPr>
                      <w:r>
                        <w:rPr>
                          <w:noProof/>
                          <w:lang w:val="en-GB" w:eastAsia="en-GB"/>
                        </w:rPr>
                        <w:drawing>
                          <wp:inline distT="0" distB="0" distL="0" distR="0" wp14:anchorId="40501F14" wp14:editId="5CC50939">
                            <wp:extent cx="5148775" cy="492368"/>
                            <wp:effectExtent l="0" t="0" r="0" b="3175"/>
                            <wp:docPr id="2057" name="Picture 28" descr="C:\Users\CHEARLS\AppData\Local\Microsoft\Windows\Temporary Internet Files\Content.Word\Screenshot_20250210-12231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8"/>
                                    <pic:cNvPicPr/>
                                  </pic:nvPicPr>
                                  <pic:blipFill>
                                    <a:blip r:embed="rId13" cstate="print"/>
                                    <a:srcRect/>
                                    <a:stretch/>
                                  </pic:blipFill>
                                  <pic:spPr>
                                    <a:xfrm>
                                      <a:off x="0" y="0"/>
                                      <a:ext cx="5148775" cy="492368"/>
                                    </a:xfrm>
                                    <a:prstGeom prst="rect">
                                      <a:avLst/>
                                    </a:prstGeom>
                                    <a:ln>
                                      <a:noFill/>
                                    </a:ln>
                                  </pic:spPr>
                                </pic:pic>
                              </a:graphicData>
                            </a:graphic>
                          </wp:inline>
                        </w:drawing>
                      </w:r>
                    </w:p>
                  </w:txbxContent>
                </v:textbox>
              </v:rect>
            </w:pict>
          </mc:Fallback>
        </mc:AlternateContent>
      </w:r>
    </w:p>
    <w:p w14:paraId="0E4E9A9B" w14:textId="77777777" w:rsidR="00D03065" w:rsidRDefault="00D03065">
      <w:pPr>
        <w:pStyle w:val="NoSpacing"/>
        <w:rPr>
          <w:sz w:val="24"/>
        </w:rPr>
      </w:pPr>
    </w:p>
    <w:p w14:paraId="788DDB83" w14:textId="77777777" w:rsidR="00D03065" w:rsidRDefault="00D03065">
      <w:pPr>
        <w:spacing w:line="360" w:lineRule="auto"/>
        <w:jc w:val="both"/>
        <w:rPr>
          <w:rFonts w:ascii="Times New Roman" w:hAnsi="Times New Roman"/>
          <w:b/>
          <w:sz w:val="24"/>
          <w:szCs w:val="24"/>
        </w:rPr>
      </w:pPr>
    </w:p>
    <w:p w14:paraId="752B1B0F" w14:textId="77777777" w:rsidR="00D03065" w:rsidRDefault="00D03065">
      <w:pPr>
        <w:spacing w:line="360" w:lineRule="auto"/>
        <w:jc w:val="both"/>
        <w:rPr>
          <w:rFonts w:ascii="Times New Roman" w:hAnsi="Times New Roman"/>
          <w:b/>
          <w:sz w:val="24"/>
          <w:szCs w:val="24"/>
        </w:rPr>
      </w:pPr>
    </w:p>
    <w:p w14:paraId="11BA1300" w14:textId="77777777" w:rsidR="00D03065" w:rsidRDefault="00D03065">
      <w:pPr>
        <w:spacing w:line="360" w:lineRule="auto"/>
        <w:jc w:val="both"/>
        <w:rPr>
          <w:rFonts w:ascii="Times New Roman" w:hAnsi="Times New Roman"/>
          <w:b/>
          <w:sz w:val="24"/>
          <w:szCs w:val="24"/>
        </w:rPr>
      </w:pPr>
    </w:p>
    <w:p w14:paraId="2A77A6EA" w14:textId="77777777" w:rsidR="00D03065" w:rsidRDefault="00D03065">
      <w:pPr>
        <w:spacing w:line="360" w:lineRule="auto"/>
        <w:jc w:val="both"/>
        <w:rPr>
          <w:rFonts w:ascii="Times New Roman" w:hAnsi="Times New Roman"/>
          <w:b/>
          <w:sz w:val="24"/>
          <w:szCs w:val="24"/>
        </w:rPr>
      </w:pPr>
    </w:p>
    <w:p w14:paraId="4B4B3686" w14:textId="77777777" w:rsidR="00D03065" w:rsidRDefault="00D03065">
      <w:pPr>
        <w:spacing w:line="360" w:lineRule="auto"/>
        <w:jc w:val="both"/>
        <w:rPr>
          <w:rFonts w:ascii="Times New Roman" w:hAnsi="Times New Roman"/>
          <w:b/>
          <w:sz w:val="24"/>
          <w:szCs w:val="24"/>
        </w:rPr>
      </w:pPr>
    </w:p>
    <w:p w14:paraId="1F779284" w14:textId="77777777" w:rsidR="00D03065" w:rsidRDefault="00D03065">
      <w:pPr>
        <w:spacing w:line="360" w:lineRule="auto"/>
        <w:jc w:val="both"/>
        <w:rPr>
          <w:rFonts w:ascii="Times New Roman" w:hAnsi="Times New Roman"/>
          <w:b/>
          <w:sz w:val="24"/>
          <w:szCs w:val="24"/>
        </w:rPr>
      </w:pPr>
    </w:p>
    <w:p w14:paraId="493C91A4" w14:textId="77777777" w:rsidR="00D03065" w:rsidRDefault="00D03065">
      <w:pPr>
        <w:spacing w:line="360" w:lineRule="auto"/>
        <w:jc w:val="both"/>
        <w:rPr>
          <w:rFonts w:ascii="Times New Roman" w:hAnsi="Times New Roman"/>
          <w:b/>
          <w:sz w:val="24"/>
          <w:szCs w:val="24"/>
        </w:rPr>
      </w:pPr>
    </w:p>
    <w:p w14:paraId="33AC298E" w14:textId="77777777" w:rsidR="00D03065" w:rsidRDefault="00D03065">
      <w:pPr>
        <w:spacing w:line="360" w:lineRule="auto"/>
        <w:jc w:val="both"/>
        <w:rPr>
          <w:rFonts w:ascii="Times New Roman" w:hAnsi="Times New Roman"/>
          <w:b/>
          <w:sz w:val="24"/>
          <w:szCs w:val="24"/>
        </w:rPr>
      </w:pPr>
    </w:p>
    <w:p w14:paraId="6EC2F26B" w14:textId="77777777" w:rsidR="00D03065" w:rsidRDefault="00D03065">
      <w:pPr>
        <w:spacing w:line="360" w:lineRule="auto"/>
        <w:jc w:val="both"/>
        <w:rPr>
          <w:rFonts w:ascii="Times New Roman" w:hAnsi="Times New Roman"/>
          <w:b/>
          <w:sz w:val="24"/>
          <w:szCs w:val="24"/>
        </w:rPr>
      </w:pPr>
    </w:p>
    <w:p w14:paraId="47DAD7CD" w14:textId="77777777" w:rsidR="00D03065" w:rsidRDefault="00D03065">
      <w:pPr>
        <w:spacing w:line="360" w:lineRule="auto"/>
        <w:jc w:val="both"/>
        <w:rPr>
          <w:rFonts w:ascii="Times New Roman" w:hAnsi="Times New Roman"/>
          <w:b/>
          <w:sz w:val="24"/>
          <w:szCs w:val="24"/>
        </w:rPr>
      </w:pPr>
    </w:p>
    <w:p w14:paraId="3195A0BA" w14:textId="77777777" w:rsidR="00D03065" w:rsidRDefault="00D03065">
      <w:pPr>
        <w:spacing w:line="360" w:lineRule="auto"/>
        <w:jc w:val="both"/>
        <w:rPr>
          <w:rFonts w:ascii="Times New Roman" w:hAnsi="Times New Roman"/>
          <w:b/>
          <w:sz w:val="24"/>
          <w:szCs w:val="24"/>
        </w:rPr>
      </w:pPr>
    </w:p>
    <w:p w14:paraId="5443BD76" w14:textId="77777777" w:rsidR="00D03065" w:rsidRDefault="00D03065">
      <w:pPr>
        <w:spacing w:line="360" w:lineRule="auto"/>
        <w:jc w:val="both"/>
        <w:rPr>
          <w:rFonts w:ascii="Times New Roman" w:hAnsi="Times New Roman"/>
          <w:b/>
          <w:sz w:val="24"/>
          <w:szCs w:val="24"/>
        </w:rPr>
      </w:pPr>
    </w:p>
    <w:p w14:paraId="45C8330E" w14:textId="77777777" w:rsidR="00D03065" w:rsidRDefault="00D03065">
      <w:pPr>
        <w:spacing w:line="360" w:lineRule="auto"/>
        <w:jc w:val="both"/>
        <w:rPr>
          <w:rFonts w:ascii="Times New Roman" w:hAnsi="Times New Roman"/>
          <w:b/>
          <w:sz w:val="24"/>
          <w:szCs w:val="24"/>
        </w:rPr>
      </w:pPr>
    </w:p>
    <w:p w14:paraId="2C5B7C19" w14:textId="77777777" w:rsidR="00D03065" w:rsidRDefault="00D03065">
      <w:pPr>
        <w:spacing w:line="360" w:lineRule="auto"/>
        <w:jc w:val="both"/>
        <w:rPr>
          <w:rFonts w:ascii="Times New Roman" w:hAnsi="Times New Roman"/>
          <w:b/>
          <w:sz w:val="24"/>
          <w:szCs w:val="24"/>
        </w:rPr>
      </w:pPr>
    </w:p>
    <w:p w14:paraId="4CB4A705" w14:textId="77777777" w:rsidR="00D03065" w:rsidRDefault="00D03065">
      <w:pPr>
        <w:spacing w:line="360" w:lineRule="auto"/>
        <w:jc w:val="both"/>
        <w:rPr>
          <w:rFonts w:ascii="Times New Roman" w:hAnsi="Times New Roman"/>
          <w:b/>
          <w:sz w:val="24"/>
          <w:szCs w:val="24"/>
        </w:rPr>
      </w:pPr>
    </w:p>
    <w:p w14:paraId="49783FC9" w14:textId="77777777" w:rsidR="00D03065" w:rsidRDefault="00D03065">
      <w:pPr>
        <w:spacing w:line="360" w:lineRule="auto"/>
        <w:jc w:val="both"/>
        <w:rPr>
          <w:rFonts w:ascii="Times New Roman" w:hAnsi="Times New Roman"/>
          <w:b/>
          <w:sz w:val="24"/>
          <w:szCs w:val="24"/>
        </w:rPr>
      </w:pPr>
    </w:p>
    <w:p w14:paraId="2533DB1C" w14:textId="77777777" w:rsidR="00D03065" w:rsidRDefault="00D03065">
      <w:pPr>
        <w:spacing w:line="360" w:lineRule="auto"/>
        <w:jc w:val="both"/>
        <w:rPr>
          <w:rFonts w:ascii="Times New Roman" w:hAnsi="Times New Roman"/>
          <w:b/>
          <w:sz w:val="24"/>
          <w:szCs w:val="24"/>
        </w:rPr>
      </w:pPr>
    </w:p>
    <w:p w14:paraId="516999E3" w14:textId="77777777" w:rsidR="00D03065" w:rsidRDefault="00D03065">
      <w:pPr>
        <w:spacing w:line="360" w:lineRule="auto"/>
        <w:jc w:val="both"/>
        <w:rPr>
          <w:rFonts w:ascii="Times New Roman" w:hAnsi="Times New Roman"/>
          <w:b/>
          <w:sz w:val="24"/>
          <w:szCs w:val="24"/>
        </w:rPr>
      </w:pPr>
    </w:p>
    <w:p w14:paraId="5B4175B3" w14:textId="77777777" w:rsidR="00D03065" w:rsidRDefault="00D03065">
      <w:pPr>
        <w:spacing w:line="360" w:lineRule="auto"/>
        <w:jc w:val="both"/>
        <w:rPr>
          <w:rFonts w:ascii="Times New Roman" w:hAnsi="Times New Roman"/>
          <w:b/>
          <w:sz w:val="24"/>
          <w:szCs w:val="24"/>
        </w:rPr>
      </w:pPr>
    </w:p>
    <w:p w14:paraId="794D44DE" w14:textId="77777777" w:rsidR="00D03065" w:rsidRDefault="00D03065">
      <w:pPr>
        <w:spacing w:line="360" w:lineRule="auto"/>
        <w:jc w:val="both"/>
        <w:rPr>
          <w:rFonts w:ascii="Times New Roman" w:hAnsi="Times New Roman"/>
          <w:b/>
          <w:sz w:val="24"/>
          <w:szCs w:val="24"/>
        </w:rPr>
      </w:pPr>
    </w:p>
    <w:p w14:paraId="2457E79F" w14:textId="77777777" w:rsidR="00D03065" w:rsidRDefault="00D03065">
      <w:pPr>
        <w:spacing w:line="360" w:lineRule="auto"/>
        <w:jc w:val="both"/>
        <w:rPr>
          <w:rFonts w:ascii="Times New Roman" w:hAnsi="Times New Roman"/>
          <w:b/>
          <w:sz w:val="24"/>
          <w:szCs w:val="24"/>
        </w:rPr>
      </w:pPr>
    </w:p>
    <w:p w14:paraId="5B5D72B0" w14:textId="77777777" w:rsidR="00D03065" w:rsidRDefault="00D03065">
      <w:pPr>
        <w:spacing w:line="360" w:lineRule="auto"/>
        <w:jc w:val="both"/>
        <w:rPr>
          <w:rFonts w:ascii="Times New Roman" w:hAnsi="Times New Roman"/>
          <w:b/>
          <w:sz w:val="24"/>
          <w:szCs w:val="24"/>
        </w:rPr>
      </w:pPr>
    </w:p>
    <w:p w14:paraId="2B059F0F" w14:textId="77777777" w:rsidR="00D03065" w:rsidRDefault="00D03065">
      <w:pPr>
        <w:spacing w:line="360" w:lineRule="auto"/>
        <w:jc w:val="both"/>
        <w:rPr>
          <w:rFonts w:ascii="Times New Roman" w:hAnsi="Times New Roman"/>
          <w:b/>
          <w:sz w:val="24"/>
          <w:szCs w:val="24"/>
        </w:rPr>
      </w:pPr>
    </w:p>
    <w:p w14:paraId="11B3C31E" w14:textId="77777777" w:rsidR="00D03065" w:rsidRDefault="00D03065">
      <w:pPr>
        <w:spacing w:line="360" w:lineRule="auto"/>
        <w:jc w:val="both"/>
        <w:rPr>
          <w:rFonts w:ascii="Times New Roman" w:hAnsi="Times New Roman"/>
          <w:b/>
          <w:sz w:val="24"/>
          <w:szCs w:val="24"/>
        </w:rPr>
      </w:pPr>
    </w:p>
    <w:p w14:paraId="38510002" w14:textId="77777777" w:rsidR="00D03065" w:rsidRDefault="004B14FB">
      <w:pPr>
        <w:spacing w:line="360" w:lineRule="auto"/>
        <w:jc w:val="both"/>
        <w:rPr>
          <w:rFonts w:ascii="Times New Roman" w:hAnsi="Times New Roman"/>
          <w:b/>
          <w:sz w:val="24"/>
          <w:szCs w:val="24"/>
        </w:rPr>
      </w:pPr>
      <w:r>
        <w:rPr>
          <w:rFonts w:ascii="Times New Roman" w:hAnsi="Times New Roman"/>
          <w:b/>
          <w:noProof/>
          <w:sz w:val="24"/>
          <w:szCs w:val="24"/>
          <w:lang w:val="en-GB" w:eastAsia="en-GB"/>
        </w:rPr>
        <mc:AlternateContent>
          <mc:Choice Requires="wps">
            <w:drawing>
              <wp:anchor distT="0" distB="0" distL="0" distR="0" simplePos="0" relativeHeight="4" behindDoc="0" locked="0" layoutInCell="1" allowOverlap="1" wp14:anchorId="6FD98F7E" wp14:editId="0862CF49">
                <wp:simplePos x="0" y="0"/>
                <wp:positionH relativeFrom="column">
                  <wp:posOffset>-436099</wp:posOffset>
                </wp:positionH>
                <wp:positionV relativeFrom="paragraph">
                  <wp:posOffset>-196948</wp:posOffset>
                </wp:positionV>
                <wp:extent cx="5978769" cy="3756073"/>
                <wp:effectExtent l="0" t="0" r="0" b="0"/>
                <wp:wrapNone/>
                <wp:docPr id="10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769" cy="3756073"/>
                        </a:xfrm>
                        <a:prstGeom prst="rect">
                          <a:avLst/>
                        </a:prstGeom>
                        <a:ln>
                          <a:noFill/>
                        </a:ln>
                      </wps:spPr>
                      <wps:txbx>
                        <w:txbxContent>
                          <w:p w14:paraId="38AE7853" w14:textId="77777777" w:rsidR="00D03065" w:rsidRDefault="00D03065"/>
                          <w:p w14:paraId="184AE37E" w14:textId="77777777" w:rsidR="00D03065" w:rsidRDefault="004B14FB">
                            <w:pPr>
                              <w:jc w:val="center"/>
                            </w:pPr>
                            <w:r>
                              <w:rPr>
                                <w:noProof/>
                                <w:lang w:val="en-GB" w:eastAsia="en-GB"/>
                              </w:rPr>
                              <w:drawing>
                                <wp:inline distT="0" distB="0" distL="0" distR="0" wp14:anchorId="0DFFAA13" wp14:editId="242C50A1">
                                  <wp:extent cx="5807075" cy="2907386"/>
                                  <wp:effectExtent l="0" t="0" r="3175" b="7620"/>
                                  <wp:docPr id="2058" name="Picture 16" descr="C:\Users\CHEARLS\AppData\Local\Microsoft\Windows\Temporary Internet Files\Content.Word\Screenshot_20250210-12231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6"/>
                                          <pic:cNvPicPr/>
                                        </pic:nvPicPr>
                                        <pic:blipFill>
                                          <a:blip r:embed="rId14" cstate="print"/>
                                          <a:srcRect/>
                                          <a:stretch/>
                                        </pic:blipFill>
                                        <pic:spPr>
                                          <a:xfrm>
                                            <a:off x="0" y="0"/>
                                            <a:ext cx="5807075" cy="2907386"/>
                                          </a:xfrm>
                                          <a:prstGeom prst="rect">
                                            <a:avLst/>
                                          </a:prstGeom>
                                          <a:ln>
                                            <a:noFill/>
                                          </a:ln>
                                        </pic:spPr>
                                      </pic:pic>
                                    </a:graphicData>
                                  </a:graphic>
                                </wp:inline>
                              </w:drawing>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98F7E" id="Text Box 8" o:spid="_x0000_s1027" style="position:absolute;left:0;text-align:left;margin-left:-34.35pt;margin-top:-15.5pt;width:470.75pt;height:295.75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" filled="f" stroked="f">
                <v:textbox>
                  <w:txbxContent>
                    <w:p w14:paraId="38AE7853" w14:textId="77777777" w:rsidR="00D03065" w:rsidRDefault="00D03065"/>
                    <w:p w14:paraId="184AE37E" w14:textId="77777777" w:rsidR="00D03065" w:rsidRDefault="004B14FB">
                      <w:pPr>
                        <w:jc w:val="center"/>
                      </w:pPr>
                      <w:r>
                        <w:rPr>
                          <w:noProof/>
                          <w:lang w:val="en-GB" w:eastAsia="en-GB"/>
                        </w:rPr>
                        <w:drawing>
                          <wp:inline distT="0" distB="0" distL="0" distR="0" wp14:anchorId="0DFFAA13" wp14:editId="242C50A1">
                            <wp:extent cx="5807075" cy="2907386"/>
                            <wp:effectExtent l="0" t="0" r="3175" b="7620"/>
                            <wp:docPr id="2058" name="Picture 16" descr="C:\Users\CHEARLS\AppData\Local\Microsoft\Windows\Temporary Internet Files\Content.Word\Screenshot_20250210-12231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6"/>
                                    <pic:cNvPicPr/>
                                  </pic:nvPicPr>
                                  <pic:blipFill>
                                    <a:blip r:embed="rId14" cstate="print"/>
                                    <a:srcRect/>
                                    <a:stretch/>
                                  </pic:blipFill>
                                  <pic:spPr>
                                    <a:xfrm>
                                      <a:off x="0" y="0"/>
                                      <a:ext cx="5807075" cy="2907386"/>
                                    </a:xfrm>
                                    <a:prstGeom prst="rect">
                                      <a:avLst/>
                                    </a:prstGeom>
                                    <a:ln>
                                      <a:noFill/>
                                    </a:ln>
                                  </pic:spPr>
                                </pic:pic>
                              </a:graphicData>
                            </a:graphic>
                          </wp:inline>
                        </w:drawing>
                      </w:r>
                    </w:p>
                  </w:txbxContent>
                </v:textbox>
              </v:rect>
            </w:pict>
          </mc:Fallback>
        </mc:AlternateContent>
      </w:r>
    </w:p>
    <w:p w14:paraId="167A29B7" w14:textId="77777777" w:rsidR="00D03065" w:rsidRDefault="00D03065">
      <w:pPr>
        <w:spacing w:line="360" w:lineRule="auto"/>
        <w:jc w:val="both"/>
        <w:rPr>
          <w:rFonts w:ascii="Times New Roman" w:hAnsi="Times New Roman"/>
          <w:b/>
          <w:sz w:val="24"/>
          <w:szCs w:val="24"/>
        </w:rPr>
      </w:pPr>
    </w:p>
    <w:p w14:paraId="679F14EA" w14:textId="77777777" w:rsidR="00D03065" w:rsidRDefault="00D03065">
      <w:pPr>
        <w:spacing w:line="360" w:lineRule="auto"/>
        <w:jc w:val="both"/>
        <w:rPr>
          <w:rFonts w:ascii="Times New Roman" w:hAnsi="Times New Roman"/>
          <w:b/>
          <w:sz w:val="24"/>
          <w:szCs w:val="24"/>
        </w:rPr>
      </w:pPr>
    </w:p>
    <w:p w14:paraId="5CF24121" w14:textId="77777777" w:rsidR="00D03065" w:rsidRDefault="00D03065">
      <w:pPr>
        <w:spacing w:line="360" w:lineRule="auto"/>
        <w:jc w:val="both"/>
        <w:rPr>
          <w:rFonts w:ascii="Times New Roman" w:hAnsi="Times New Roman"/>
          <w:b/>
          <w:sz w:val="24"/>
          <w:szCs w:val="24"/>
        </w:rPr>
      </w:pPr>
    </w:p>
    <w:p w14:paraId="54B96CF3" w14:textId="77777777" w:rsidR="00D03065" w:rsidRDefault="00D03065">
      <w:pPr>
        <w:spacing w:line="360" w:lineRule="auto"/>
        <w:jc w:val="both"/>
        <w:rPr>
          <w:rFonts w:ascii="Times New Roman" w:hAnsi="Times New Roman"/>
          <w:b/>
          <w:sz w:val="24"/>
          <w:szCs w:val="24"/>
        </w:rPr>
      </w:pPr>
    </w:p>
    <w:p w14:paraId="68957793" w14:textId="77777777" w:rsidR="00D03065" w:rsidRDefault="00D03065">
      <w:pPr>
        <w:spacing w:line="360" w:lineRule="auto"/>
        <w:jc w:val="both"/>
        <w:rPr>
          <w:rFonts w:ascii="Times New Roman" w:hAnsi="Times New Roman"/>
          <w:b/>
          <w:sz w:val="24"/>
          <w:szCs w:val="24"/>
        </w:rPr>
      </w:pPr>
    </w:p>
    <w:p w14:paraId="49191F50" w14:textId="77777777" w:rsidR="00D03065" w:rsidRDefault="00D03065">
      <w:pPr>
        <w:spacing w:line="360" w:lineRule="auto"/>
        <w:jc w:val="both"/>
        <w:rPr>
          <w:rFonts w:ascii="Times New Roman" w:hAnsi="Times New Roman"/>
          <w:b/>
          <w:sz w:val="24"/>
          <w:szCs w:val="24"/>
        </w:rPr>
      </w:pPr>
    </w:p>
    <w:p w14:paraId="63D322E4" w14:textId="77777777" w:rsidR="00D03065" w:rsidRDefault="00D03065">
      <w:pPr>
        <w:spacing w:line="360" w:lineRule="auto"/>
        <w:jc w:val="both"/>
        <w:rPr>
          <w:rFonts w:ascii="Times New Roman" w:hAnsi="Times New Roman"/>
          <w:b/>
          <w:sz w:val="24"/>
          <w:szCs w:val="24"/>
        </w:rPr>
      </w:pPr>
    </w:p>
    <w:p w14:paraId="35EE7512" w14:textId="77777777" w:rsidR="00D03065" w:rsidRDefault="004B14FB">
      <w:pPr>
        <w:spacing w:line="360" w:lineRule="auto"/>
        <w:jc w:val="both"/>
        <w:rPr>
          <w:rFonts w:ascii="Times New Roman" w:hAnsi="Times New Roman"/>
          <w:b/>
          <w:sz w:val="24"/>
          <w:szCs w:val="24"/>
        </w:rPr>
      </w:pPr>
      <w:r>
        <w:rPr>
          <w:rFonts w:ascii="Times New Roman" w:hAnsi="Times New Roman"/>
          <w:b/>
          <w:noProof/>
          <w:sz w:val="24"/>
          <w:szCs w:val="24"/>
          <w:lang w:val="en-GB" w:eastAsia="en-GB"/>
        </w:rPr>
        <mc:AlternateContent>
          <mc:Choice Requires="wps">
            <w:drawing>
              <wp:anchor distT="0" distB="0" distL="0" distR="0" simplePos="0" relativeHeight="5" behindDoc="0" locked="0" layoutInCell="1" allowOverlap="1" wp14:anchorId="51B6D665" wp14:editId="6E4BC757">
                <wp:simplePos x="0" y="0"/>
                <wp:positionH relativeFrom="column">
                  <wp:posOffset>-247426</wp:posOffset>
                </wp:positionH>
                <wp:positionV relativeFrom="paragraph">
                  <wp:posOffset>237267</wp:posOffset>
                </wp:positionV>
                <wp:extent cx="6206789" cy="2183802"/>
                <wp:effectExtent l="0" t="0" r="22860" b="26035"/>
                <wp:wrapNone/>
                <wp:docPr id="102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6789" cy="2183802"/>
                        </a:xfrm>
                        <a:prstGeom prst="rect">
                          <a:avLst/>
                        </a:prstGeom>
                        <a:solidFill>
                          <a:srgbClr val="FFFFFF"/>
                        </a:solidFill>
                        <a:ln w="6350" cap="flat" cmpd="sng">
                          <a:solidFill>
                            <a:srgbClr val="000000"/>
                          </a:solidFill>
                          <a:prstDash val="solid"/>
                          <a:round/>
                          <a:headEnd/>
                          <a:tailEnd/>
                        </a:ln>
                      </wps:spPr>
                      <wps:txbx>
                        <w:txbxContent>
                          <w:p w14:paraId="617AC91D" w14:textId="77777777" w:rsidR="00D03065" w:rsidRDefault="004B14FB">
                            <w:pPr>
                              <w:pStyle w:val="NoSpacing"/>
                              <w:jc w:val="center"/>
                              <w:rPr>
                                <w:rFonts w:ascii="Times New Roman" w:hAnsi="Times New Roman"/>
                                <w:sz w:val="20"/>
                              </w:rPr>
                            </w:pPr>
                            <w:r>
                              <w:rPr>
                                <w:rFonts w:ascii="Times New Roman" w:hAnsi="Times New Roman"/>
                                <w:sz w:val="20"/>
                              </w:rPr>
                              <w:t xml:space="preserve">Histological examination of hematoxylin and eosin sections as shown in the photomicrograph of plate 1 (the control group) with magnification of (X400) showed essentially normal histoarchitecture of hippocampus. It’s observed a well delineated dentate gyrus with </w:t>
                            </w:r>
                            <w:r>
                              <w:rPr>
                                <w:rFonts w:ascii="Times New Roman" w:hAnsi="Times New Roman"/>
                                <w:i/>
                                <w:iCs/>
                                <w:sz w:val="20"/>
                              </w:rPr>
                              <w:t>Cornu Ammonis</w:t>
                            </w:r>
                            <w:r>
                              <w:rPr>
                                <w:rFonts w:ascii="Times New Roman" w:hAnsi="Times New Roman"/>
                                <w:sz w:val="20"/>
                              </w:rPr>
                              <w:t xml:space="preserve"> and cells in the molecular and pyramidal layers. It’s observed presence of densely filled stratum radiate which showed an evidence of normal cellular activities. The cortical thickness and cortical layers were seen to be normal. From the photomicrograph of plate 2 Group (Treated with 40mg/kg Cadmium chloride) it’s observed that there was a marked reduction and clustered aggregation of cells at the stratum pyramidal. This is an indication of progressive cellular assault in the pyramidal layer. It’s observed that cellular population in the stratum radiata was very sparse. This was accompanied by ill define cellular outline and poorly distinct architecture of cellular nuclei. The group 3 (Treated with  50mg/kg ) Lead showed marked depletion of pyramidal layer with significance level of apoptosis. The corona radiata showed deranged cellular activities</w:t>
                            </w:r>
                            <w:r>
                              <w:rPr>
                                <w:rFonts w:ascii="Times New Roman" w:hAnsi="Times New Roman"/>
                                <w:color w:val="000000"/>
                                <w:sz w:val="20"/>
                              </w:rPr>
                              <w:t xml:space="preserve">. From the photomicrograph of plate 4 </w:t>
                            </w:r>
                            <w:r>
                              <w:rPr>
                                <w:rFonts w:ascii="Times New Roman" w:hAnsi="Times New Roman"/>
                                <w:sz w:val="20"/>
                              </w:rPr>
                              <w:t>(Treated 50mg/kg Lead+Cadmium</w:t>
                            </w:r>
                            <w:r>
                              <w:rPr>
                                <w:rFonts w:ascii="Times New Roman" w:hAnsi="Times New Roman"/>
                                <w:color w:val="000000"/>
                                <w:sz w:val="20"/>
                              </w:rPr>
                              <w:t xml:space="preserve"> ) its observed</w:t>
                            </w:r>
                            <w:r>
                              <w:rPr>
                                <w:rFonts w:ascii="Times New Roman" w:hAnsi="Times New Roman"/>
                                <w:sz w:val="20"/>
                              </w:rPr>
                              <w:t xml:space="preserve"> </w:t>
                            </w:r>
                            <w:r>
                              <w:rPr>
                                <w:rFonts w:ascii="Times New Roman" w:hAnsi="Times New Roman"/>
                                <w:color w:val="000000"/>
                                <w:sz w:val="20"/>
                              </w:rPr>
                              <w:t>marked depletion of pyramidal cell layers. It’s also observed that there is bursting and shrinking of cells of molecular, pyramidal and multiform cell layers. There is also observed loss of cell contents in the above named cell layers. This could be as a result of loss of cell membrane integrity. The cells of the above cell layers are disorganized, vacuolated and apoptotic.</w:t>
                            </w:r>
                          </w:p>
                          <w:p w14:paraId="3E82599E" w14:textId="77777777" w:rsidR="00D03065" w:rsidRDefault="00D03065">
                            <w:pPr>
                              <w:pStyle w:val="NoSpacing"/>
                              <w:jc w:val="center"/>
                              <w:rPr>
                                <w:rFonts w:ascii="Times New Roman" w:hAnsi="Times New Roman"/>
                                <w:sz w:val="14"/>
                              </w:rPr>
                            </w:pP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6D665" id="Text Box 18" o:spid="_x0000_s1028" style="position:absolute;left:0;text-align:left;margin-left:-19.5pt;margin-top:18.7pt;width:488.7pt;height:171.95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" strokeweight=".5pt">
                <v:stroke joinstyle="round"/>
                <v:path arrowok="t"/>
                <v:textbox>
                  <w:txbxContent>
                    <w:p w14:paraId="617AC91D" w14:textId="77777777" w:rsidR="00D03065" w:rsidRDefault="004B14FB">
                      <w:pPr>
                        <w:pStyle w:val="NoSpacing"/>
                        <w:jc w:val="center"/>
                        <w:rPr>
                          <w:rFonts w:ascii="Times New Roman" w:hAnsi="Times New Roman"/>
                          <w:sz w:val="20"/>
                        </w:rPr>
                      </w:pPr>
                      <w:r>
                        <w:rPr>
                          <w:rFonts w:ascii="Times New Roman" w:hAnsi="Times New Roman"/>
                          <w:sz w:val="20"/>
                        </w:rPr>
                        <w:t xml:space="preserve">Histological examination of hematoxylin and eosin sections as shown in the photomicrograph of plate 1 (the control group) with magnification of (X400) showed essentially normal histoarchitecture of hippocampus. It’s observed a well delineated dentate gyrus with </w:t>
                      </w:r>
                      <w:r>
                        <w:rPr>
                          <w:rFonts w:ascii="Times New Roman" w:hAnsi="Times New Roman"/>
                          <w:i/>
                          <w:iCs/>
                          <w:sz w:val="20"/>
                        </w:rPr>
                        <w:t>Cornu Ammonis</w:t>
                      </w:r>
                      <w:r>
                        <w:rPr>
                          <w:rFonts w:ascii="Times New Roman" w:hAnsi="Times New Roman"/>
                          <w:sz w:val="20"/>
                        </w:rPr>
                        <w:t xml:space="preserve"> and cells in the molecular and pyramidal layers. It’s observed presence of densely filled stratum radiate which showed an evidence of normal cellular activities. The cortical thickness and cortical layers were seen to be normal. From the photomicrograph of plate 2 Group (Treated with 40mg/kg Cadmium chloride) it’s observed that there was a marked reduction and clustered aggregation of cells at the stratum pyramidal. This is an indication of progressive cellular assault in the pyramidal layer. It’s observed that cellular population in the stratum radiata was very sparse. This was accompanied by ill define cellular outline and poorly distinct architecture of cellular nuclei. The group 3 (Treated with  50mg/kg ) Lead showed marked depletion of pyramidal layer with significance level of apoptosis. The corona radiata showed deranged cellular activities</w:t>
                      </w:r>
                      <w:r>
                        <w:rPr>
                          <w:rFonts w:ascii="Times New Roman" w:hAnsi="Times New Roman"/>
                          <w:color w:val="000000"/>
                          <w:sz w:val="20"/>
                        </w:rPr>
                        <w:t xml:space="preserve">. From the photomicrograph of plate 4 </w:t>
                      </w:r>
                      <w:r>
                        <w:rPr>
                          <w:rFonts w:ascii="Times New Roman" w:hAnsi="Times New Roman"/>
                          <w:sz w:val="20"/>
                        </w:rPr>
                        <w:t>(Treated 50mg/kg Lead+Cadmium</w:t>
                      </w:r>
                      <w:r>
                        <w:rPr>
                          <w:rFonts w:ascii="Times New Roman" w:hAnsi="Times New Roman"/>
                          <w:color w:val="000000"/>
                          <w:sz w:val="20"/>
                        </w:rPr>
                        <w:t xml:space="preserve"> ) its observed</w:t>
                      </w:r>
                      <w:r>
                        <w:rPr>
                          <w:rFonts w:ascii="Times New Roman" w:hAnsi="Times New Roman"/>
                          <w:sz w:val="20"/>
                        </w:rPr>
                        <w:t xml:space="preserve"> </w:t>
                      </w:r>
                      <w:r>
                        <w:rPr>
                          <w:rFonts w:ascii="Times New Roman" w:hAnsi="Times New Roman"/>
                          <w:color w:val="000000"/>
                          <w:sz w:val="20"/>
                        </w:rPr>
                        <w:t>marked depletion of pyramidal cell layers. It’s also observed that there is bursting and shrinking of cells of molecular, pyramidal and multiform cell layers. There is also observed loss of cell contents in the above named cell layers. This could be as a result of loss of cell membrane integrity. The cells of the above cell layers are disorganized, vacuolated and apoptotic.</w:t>
                      </w:r>
                    </w:p>
                    <w:p w14:paraId="3E82599E" w14:textId="77777777" w:rsidR="00D03065" w:rsidRDefault="00D03065">
                      <w:pPr>
                        <w:pStyle w:val="NoSpacing"/>
                        <w:jc w:val="center"/>
                        <w:rPr>
                          <w:rFonts w:ascii="Times New Roman" w:hAnsi="Times New Roman"/>
                          <w:sz w:val="14"/>
                        </w:rPr>
                      </w:pPr>
                    </w:p>
                  </w:txbxContent>
                </v:textbox>
              </v:rect>
            </w:pict>
          </mc:Fallback>
        </mc:AlternateContent>
      </w:r>
    </w:p>
    <w:p w14:paraId="180E1121" w14:textId="77777777" w:rsidR="00D03065" w:rsidRDefault="00D03065">
      <w:pPr>
        <w:spacing w:line="360" w:lineRule="auto"/>
        <w:jc w:val="both"/>
        <w:rPr>
          <w:rFonts w:ascii="Times New Roman" w:hAnsi="Times New Roman"/>
          <w:b/>
          <w:sz w:val="24"/>
          <w:szCs w:val="24"/>
        </w:rPr>
      </w:pPr>
    </w:p>
    <w:p w14:paraId="6EB3CD71" w14:textId="77777777" w:rsidR="00D03065" w:rsidRDefault="00D03065">
      <w:pPr>
        <w:spacing w:line="360" w:lineRule="auto"/>
        <w:jc w:val="both"/>
        <w:rPr>
          <w:rFonts w:ascii="Times New Roman" w:hAnsi="Times New Roman"/>
          <w:b/>
          <w:sz w:val="24"/>
          <w:szCs w:val="24"/>
        </w:rPr>
      </w:pPr>
    </w:p>
    <w:p w14:paraId="02DD5992" w14:textId="77777777" w:rsidR="00D03065" w:rsidRDefault="00D03065">
      <w:pPr>
        <w:spacing w:line="360" w:lineRule="auto"/>
        <w:jc w:val="both"/>
        <w:rPr>
          <w:rFonts w:ascii="Times New Roman" w:hAnsi="Times New Roman"/>
          <w:b/>
          <w:sz w:val="24"/>
          <w:szCs w:val="24"/>
        </w:rPr>
      </w:pPr>
    </w:p>
    <w:p w14:paraId="00C1F0B6" w14:textId="77777777" w:rsidR="00D03065" w:rsidRDefault="00D03065">
      <w:pPr>
        <w:spacing w:line="360" w:lineRule="auto"/>
        <w:jc w:val="both"/>
        <w:rPr>
          <w:rFonts w:ascii="Times New Roman" w:hAnsi="Times New Roman"/>
          <w:b/>
          <w:sz w:val="24"/>
          <w:szCs w:val="24"/>
        </w:rPr>
      </w:pPr>
    </w:p>
    <w:p w14:paraId="2B3C3237" w14:textId="77777777" w:rsidR="00D03065" w:rsidRDefault="00D03065">
      <w:pPr>
        <w:spacing w:line="360" w:lineRule="auto"/>
        <w:jc w:val="both"/>
        <w:rPr>
          <w:rFonts w:ascii="Times New Roman" w:hAnsi="Times New Roman"/>
          <w:b/>
          <w:sz w:val="24"/>
          <w:szCs w:val="24"/>
        </w:rPr>
      </w:pPr>
    </w:p>
    <w:p w14:paraId="3F5F2604" w14:textId="77777777" w:rsidR="00D03065" w:rsidRDefault="00D03065">
      <w:pPr>
        <w:spacing w:line="360" w:lineRule="auto"/>
        <w:jc w:val="both"/>
        <w:rPr>
          <w:rFonts w:ascii="Times New Roman" w:hAnsi="Times New Roman"/>
          <w:b/>
          <w:sz w:val="24"/>
          <w:szCs w:val="24"/>
        </w:rPr>
      </w:pPr>
    </w:p>
    <w:p w14:paraId="40423D6F" w14:textId="77777777" w:rsidR="00D03065" w:rsidRDefault="00D03065">
      <w:pPr>
        <w:pStyle w:val="NoSpacing"/>
        <w:spacing w:line="480" w:lineRule="auto"/>
        <w:jc w:val="both"/>
        <w:rPr>
          <w:rFonts w:ascii="Times New Roman" w:hAnsi="Times New Roman" w:cs="Times New Roman"/>
          <w:sz w:val="24"/>
          <w:szCs w:val="24"/>
        </w:rPr>
      </w:pPr>
    </w:p>
    <w:p w14:paraId="483BA28A" w14:textId="77777777" w:rsidR="00D03065" w:rsidRDefault="00D03065">
      <w:pPr>
        <w:pStyle w:val="NoSpacing"/>
        <w:spacing w:line="480" w:lineRule="auto"/>
        <w:jc w:val="both"/>
        <w:rPr>
          <w:rFonts w:ascii="Arial" w:hAnsi="Arial" w:cs="Arial"/>
          <w:sz w:val="20"/>
          <w:szCs w:val="20"/>
        </w:rPr>
      </w:pPr>
    </w:p>
    <w:p w14:paraId="32D77275" w14:textId="77777777" w:rsidR="00D03065" w:rsidRDefault="004B14FB">
      <w:pPr>
        <w:pStyle w:val="NoSpacing"/>
        <w:spacing w:line="480" w:lineRule="auto"/>
        <w:jc w:val="both"/>
        <w:rPr>
          <w:rFonts w:ascii="Arial" w:hAnsi="Arial" w:cs="Arial"/>
          <w:b/>
        </w:rPr>
      </w:pPr>
      <w:r>
        <w:rPr>
          <w:rFonts w:ascii="Arial" w:hAnsi="Arial" w:cs="Arial"/>
          <w:b/>
        </w:rPr>
        <w:t>CONCLUSION</w:t>
      </w:r>
    </w:p>
    <w:p w14:paraId="0E4EC2AE" w14:textId="121C1F72" w:rsidR="00D03065" w:rsidRDefault="004B14FB">
      <w:pPr>
        <w:pStyle w:val="NoSpacing"/>
        <w:spacing w:line="480" w:lineRule="auto"/>
        <w:jc w:val="both"/>
        <w:rPr>
          <w:rFonts w:ascii="Arial" w:hAnsi="Arial" w:cs="Arial"/>
          <w:sz w:val="20"/>
          <w:szCs w:val="20"/>
        </w:rPr>
      </w:pPr>
      <w:r>
        <w:rPr>
          <w:rFonts w:ascii="Arial" w:hAnsi="Arial" w:cs="Arial"/>
          <w:sz w:val="20"/>
          <w:szCs w:val="20"/>
        </w:rPr>
        <w:t>Consumption of the heavy metals lead and cadmium damaged the integrity of the hippocampus cells' cell membranes, according to histological analysis of the hematoxylin and eosin section of the brain. Fluid flooded into the cytoplasm of the cells as a result, causing them to enlarge, burst, shrink, and lose their contents. As a result, rats' motor coordination, balance, spatial learning, and memory response were all compromised.</w:t>
      </w:r>
    </w:p>
    <w:p w14:paraId="58D2591A" w14:textId="77777777" w:rsidR="007B28E9" w:rsidRDefault="007B28E9" w:rsidP="007B28E9">
      <w:pPr>
        <w:pStyle w:val="NoSpacing"/>
        <w:spacing w:line="480" w:lineRule="auto"/>
        <w:jc w:val="both"/>
        <w:rPr>
          <w:rFonts w:ascii="Arial" w:hAnsi="Arial" w:cs="Arial"/>
          <w:sz w:val="20"/>
          <w:szCs w:val="20"/>
        </w:rPr>
      </w:pPr>
    </w:p>
    <w:p w14:paraId="74871B41" w14:textId="77777777" w:rsidR="007B28E9" w:rsidRDefault="007B28E9" w:rsidP="007B28E9">
      <w:pPr>
        <w:pStyle w:val="NoSpacing"/>
        <w:spacing w:line="480" w:lineRule="auto"/>
        <w:jc w:val="both"/>
        <w:rPr>
          <w:rFonts w:ascii="Arial" w:hAnsi="Arial" w:cs="Arial"/>
          <w:b/>
        </w:rPr>
      </w:pPr>
    </w:p>
    <w:p w14:paraId="31556425" w14:textId="77777777" w:rsidR="007B28E9" w:rsidRDefault="007B28E9" w:rsidP="007B28E9">
      <w:pPr>
        <w:pStyle w:val="NoSpacing"/>
        <w:spacing w:line="480" w:lineRule="auto"/>
        <w:jc w:val="both"/>
        <w:rPr>
          <w:rFonts w:ascii="Arial" w:hAnsi="Arial" w:cs="Arial"/>
          <w:b/>
        </w:rPr>
      </w:pPr>
    </w:p>
    <w:p w14:paraId="18B120B5" w14:textId="7E2D77AF" w:rsidR="007B28E9" w:rsidRDefault="007B28E9" w:rsidP="007B28E9">
      <w:pPr>
        <w:pStyle w:val="NoSpacing"/>
        <w:spacing w:line="480" w:lineRule="auto"/>
        <w:jc w:val="both"/>
        <w:rPr>
          <w:rFonts w:ascii="Arial" w:hAnsi="Arial" w:cs="Arial"/>
          <w:b/>
        </w:rPr>
      </w:pPr>
      <w:r w:rsidRPr="00CE1F05">
        <w:rPr>
          <w:rFonts w:ascii="Arial" w:hAnsi="Arial" w:cs="Arial"/>
          <w:b/>
          <w:highlight w:val="yellow"/>
        </w:rPr>
        <w:t>LIMITATIONS OF THE STUDY</w:t>
      </w:r>
    </w:p>
    <w:p w14:paraId="5BEF1B66" w14:textId="28751E7A" w:rsidR="00D77A95" w:rsidRPr="007B28E9" w:rsidRDefault="00D77A95">
      <w:pPr>
        <w:pStyle w:val="NoSpacing"/>
        <w:spacing w:line="480" w:lineRule="auto"/>
        <w:jc w:val="both"/>
        <w:rPr>
          <w:rFonts w:ascii="Arial" w:hAnsi="Arial" w:cs="Arial"/>
          <w:sz w:val="18"/>
          <w:szCs w:val="18"/>
        </w:rPr>
      </w:pPr>
    </w:p>
    <w:p w14:paraId="301EFD12" w14:textId="092A1A7A" w:rsidR="007B28E9" w:rsidRPr="007B28E9" w:rsidRDefault="007B28E9" w:rsidP="007B28E9">
      <w:pPr>
        <w:pStyle w:val="NoSpacing"/>
        <w:numPr>
          <w:ilvl w:val="0"/>
          <w:numId w:val="6"/>
        </w:numPr>
        <w:spacing w:line="480" w:lineRule="auto"/>
        <w:jc w:val="both"/>
        <w:rPr>
          <w:rFonts w:ascii="Arial" w:hAnsi="Arial" w:cs="Arial"/>
          <w:sz w:val="20"/>
          <w:szCs w:val="20"/>
          <w:highlight w:val="yellow"/>
        </w:rPr>
      </w:pPr>
      <w:r w:rsidRPr="007B28E9">
        <w:rPr>
          <w:rFonts w:ascii="Arial" w:hAnsi="Arial" w:cs="Arial"/>
          <w:sz w:val="20"/>
          <w:szCs w:val="20"/>
          <w:highlight w:val="yellow"/>
        </w:rPr>
        <w:t>This study focused on hippocampus toxicity limiting systemic interaction insights.</w:t>
      </w:r>
    </w:p>
    <w:p w14:paraId="18BB6C32" w14:textId="09F222D0" w:rsidR="007B28E9" w:rsidRDefault="007B28E9" w:rsidP="007B28E9">
      <w:pPr>
        <w:pStyle w:val="NoSpacing"/>
        <w:numPr>
          <w:ilvl w:val="0"/>
          <w:numId w:val="6"/>
        </w:numPr>
        <w:spacing w:line="480" w:lineRule="auto"/>
        <w:jc w:val="both"/>
        <w:rPr>
          <w:rFonts w:ascii="Arial" w:hAnsi="Arial" w:cs="Arial"/>
          <w:sz w:val="20"/>
          <w:szCs w:val="20"/>
        </w:rPr>
      </w:pPr>
      <w:r w:rsidRPr="007B28E9">
        <w:rPr>
          <w:rFonts w:ascii="Arial" w:hAnsi="Arial" w:cs="Arial"/>
          <w:sz w:val="20"/>
          <w:szCs w:val="20"/>
          <w:highlight w:val="yellow"/>
        </w:rPr>
        <w:t>Group sizes, though powered for key endpoints, may limit detection of subtle sex- or age-related differences. Inter-animal variability in gut absorption or metabolism could influence outcomes</w:t>
      </w:r>
      <w:r>
        <w:rPr>
          <w:rFonts w:ascii="Georgia" w:hAnsi="Georgia"/>
        </w:rPr>
        <w:t>.</w:t>
      </w:r>
    </w:p>
    <w:p w14:paraId="292E45A1" w14:textId="77777777" w:rsidR="007B28E9" w:rsidRPr="007B28E9" w:rsidRDefault="007B28E9" w:rsidP="007B28E9">
      <w:pPr>
        <w:pStyle w:val="NoSpacing"/>
        <w:spacing w:line="480" w:lineRule="auto"/>
        <w:ind w:left="720"/>
        <w:jc w:val="both"/>
        <w:rPr>
          <w:rFonts w:ascii="Arial" w:hAnsi="Arial" w:cs="Arial"/>
          <w:sz w:val="20"/>
          <w:szCs w:val="20"/>
        </w:rPr>
      </w:pPr>
      <w:bookmarkStart w:id="1" w:name="_GoBack"/>
      <w:bookmarkEnd w:id="1"/>
    </w:p>
    <w:p w14:paraId="467E0E8E" w14:textId="1C136131" w:rsidR="007B28E9" w:rsidRPr="007B28E9" w:rsidRDefault="007B28E9" w:rsidP="007B28E9">
      <w:pPr>
        <w:pStyle w:val="NoSpacing"/>
        <w:spacing w:line="480" w:lineRule="auto"/>
        <w:jc w:val="both"/>
        <w:rPr>
          <w:rFonts w:ascii="Arial" w:hAnsi="Arial" w:cs="Arial"/>
          <w:b/>
          <w:sz w:val="20"/>
          <w:szCs w:val="20"/>
          <w:highlight w:val="yellow"/>
        </w:rPr>
      </w:pPr>
      <w:r w:rsidRPr="007B28E9">
        <w:rPr>
          <w:rFonts w:ascii="Arial" w:hAnsi="Arial" w:cs="Arial"/>
          <w:b/>
          <w:sz w:val="20"/>
          <w:szCs w:val="20"/>
          <w:highlight w:val="yellow"/>
        </w:rPr>
        <w:t>RECOMMENDATIONS</w:t>
      </w:r>
    </w:p>
    <w:p w14:paraId="62424792" w14:textId="0EAE6A4B" w:rsidR="007B28E9" w:rsidRPr="007B28E9" w:rsidRDefault="007B28E9" w:rsidP="007B28E9">
      <w:pPr>
        <w:pStyle w:val="NoSpacing"/>
        <w:spacing w:line="480" w:lineRule="auto"/>
        <w:jc w:val="both"/>
        <w:rPr>
          <w:rFonts w:ascii="Arial" w:hAnsi="Arial" w:cs="Arial"/>
          <w:sz w:val="18"/>
          <w:szCs w:val="18"/>
        </w:rPr>
      </w:pPr>
      <w:r w:rsidRPr="007B28E9">
        <w:rPr>
          <w:rFonts w:ascii="Arial" w:hAnsi="Arial" w:cs="Arial"/>
          <w:sz w:val="20"/>
          <w:szCs w:val="20"/>
          <w:highlight w:val="yellow"/>
        </w:rPr>
        <w:t>These gaps inform future directions, such as multi-dose longitudinal studies with biomarkers.</w:t>
      </w:r>
    </w:p>
    <w:p w14:paraId="7C4554AF" w14:textId="267EA958" w:rsidR="00945078" w:rsidRPr="00945078" w:rsidRDefault="00F93D71" w:rsidP="00945078">
      <w:pPr>
        <w:spacing w:before="100" w:beforeAutospacing="1" w:after="100" w:afterAutospacing="1" w:line="480" w:lineRule="auto"/>
        <w:rPr>
          <w:rFonts w:ascii="Arial" w:hAnsi="Arial" w:cs="Arial"/>
          <w:sz w:val="22"/>
        </w:rPr>
      </w:pPr>
      <w:r w:rsidRPr="00F93D71">
        <w:rPr>
          <w:rFonts w:ascii="Arial" w:hAnsi="Arial" w:cs="Arial"/>
          <w:b/>
          <w:sz w:val="22"/>
          <w:highlight w:val="yellow"/>
        </w:rPr>
        <w:t>ETHICAL APPROVAL</w:t>
      </w:r>
    </w:p>
    <w:p w14:paraId="593C6040" w14:textId="442F1202" w:rsidR="00945078" w:rsidRDefault="00945078" w:rsidP="00F93D71">
      <w:pPr>
        <w:pStyle w:val="PlainText"/>
        <w:spacing w:line="480" w:lineRule="auto"/>
        <w:jc w:val="both"/>
        <w:rPr>
          <w:rFonts w:ascii="Arial" w:hAnsi="Arial" w:cs="Arial"/>
          <w:sz w:val="20"/>
          <w:szCs w:val="20"/>
          <w:vertAlign w:val="superscript"/>
        </w:rPr>
      </w:pPr>
      <w:r w:rsidRPr="00F93D71">
        <w:rPr>
          <w:rFonts w:ascii="Arial" w:hAnsi="Arial" w:cs="Arial"/>
          <w:sz w:val="20"/>
          <w:szCs w:val="20"/>
          <w:highlight w:val="yellow"/>
        </w:rPr>
        <w:t xml:space="preserve">The Ethics Committee of the Faculty of Basic Medical Science at SUMAS's College of Medicine, Igbo-Eno, granted ethical permission for this study (Reference Number: SUMAS/FBMS/2025/003). The Wistar rats were handled and treated in accordance with the National Institutes of Health's guidelines for the management and care of laboratory animals.  </w:t>
      </w:r>
      <w:r w:rsidR="00F93D71">
        <w:rPr>
          <w:rFonts w:ascii="Arial" w:hAnsi="Arial" w:cs="Arial"/>
          <w:sz w:val="20"/>
          <w:szCs w:val="20"/>
          <w:highlight w:val="yellow"/>
          <w:vertAlign w:val="superscript"/>
        </w:rPr>
        <w:t>55</w:t>
      </w:r>
    </w:p>
    <w:p w14:paraId="413B638F" w14:textId="77777777" w:rsidR="00F93D71" w:rsidRPr="007B28E9" w:rsidRDefault="00F93D71" w:rsidP="007B28E9">
      <w:pPr>
        <w:pStyle w:val="PlainText"/>
        <w:spacing w:line="480" w:lineRule="auto"/>
        <w:jc w:val="both"/>
        <w:rPr>
          <w:rFonts w:ascii="Arial" w:hAnsi="Arial" w:cs="Arial"/>
          <w:sz w:val="20"/>
          <w:szCs w:val="20"/>
          <w:vertAlign w:val="superscript"/>
        </w:rPr>
      </w:pPr>
    </w:p>
    <w:p w14:paraId="5ABC9A12" w14:textId="3E54BC6D" w:rsidR="00D03065" w:rsidRPr="007B28E9" w:rsidRDefault="00F93D71" w:rsidP="007B28E9">
      <w:pPr>
        <w:spacing w:line="480" w:lineRule="auto"/>
        <w:jc w:val="both"/>
        <w:rPr>
          <w:rFonts w:ascii="Arial" w:hAnsi="Arial" w:cs="Arial"/>
          <w:b/>
          <w:sz w:val="20"/>
          <w:szCs w:val="20"/>
          <w:highlight w:val="yellow"/>
        </w:rPr>
      </w:pPr>
      <w:r w:rsidRPr="007B28E9">
        <w:rPr>
          <w:rFonts w:ascii="Arial" w:hAnsi="Arial" w:cs="Arial"/>
          <w:b/>
          <w:sz w:val="20"/>
          <w:szCs w:val="20"/>
          <w:highlight w:val="yellow"/>
        </w:rPr>
        <w:t>DISCLAIMER (ARTIFICIAL INTELLIGENCE)</w:t>
      </w:r>
    </w:p>
    <w:p w14:paraId="106F8F2A" w14:textId="2CB5B3AD" w:rsidR="00D03065" w:rsidRPr="007B28E9" w:rsidRDefault="00F93D71" w:rsidP="007B28E9">
      <w:pPr>
        <w:spacing w:line="480" w:lineRule="auto"/>
        <w:jc w:val="both"/>
        <w:rPr>
          <w:rFonts w:ascii="Arial" w:hAnsi="Arial" w:cs="Arial"/>
          <w:sz w:val="20"/>
          <w:szCs w:val="20"/>
          <w:highlight w:val="yellow"/>
        </w:rPr>
      </w:pPr>
      <w:r w:rsidRPr="007B28E9">
        <w:rPr>
          <w:rFonts w:ascii="Arial" w:hAnsi="Arial" w:cs="Arial"/>
          <w:sz w:val="20"/>
          <w:szCs w:val="20"/>
          <w:highlight w:val="yellow"/>
        </w:rPr>
        <w:t>The a</w:t>
      </w:r>
      <w:r w:rsidR="004B14FB" w:rsidRPr="007B28E9">
        <w:rPr>
          <w:rFonts w:ascii="Arial" w:hAnsi="Arial" w:cs="Arial"/>
          <w:sz w:val="20"/>
          <w:szCs w:val="20"/>
          <w:highlight w:val="yellow"/>
        </w:rPr>
        <w:t xml:space="preserve">uthor(s) hereby declare that NO generative AI technologies such as Large Language Models (ChatGPT, COPILOT, etc.) and text-to-image generators have been used during the writing or editing of this manuscript. </w:t>
      </w:r>
    </w:p>
    <w:p w14:paraId="22D403F1" w14:textId="77777777" w:rsidR="00D03065" w:rsidRDefault="00D03065">
      <w:pPr>
        <w:pStyle w:val="NoSpacing"/>
        <w:spacing w:line="480" w:lineRule="auto"/>
        <w:jc w:val="both"/>
        <w:rPr>
          <w:rFonts w:ascii="Arial" w:hAnsi="Arial" w:cs="Arial"/>
          <w:sz w:val="20"/>
          <w:szCs w:val="20"/>
        </w:rPr>
      </w:pPr>
    </w:p>
    <w:p w14:paraId="3AA80B8B" w14:textId="77777777" w:rsidR="00D03065" w:rsidRDefault="00D03065">
      <w:pPr>
        <w:pStyle w:val="NoSpacing"/>
        <w:jc w:val="both"/>
        <w:rPr>
          <w:rFonts w:ascii="Times New Roman" w:hAnsi="Times New Roman" w:cs="Times New Roman"/>
          <w:sz w:val="24"/>
          <w:szCs w:val="24"/>
        </w:rPr>
      </w:pPr>
    </w:p>
    <w:p w14:paraId="5BCFA8EA" w14:textId="77777777" w:rsidR="00D03065" w:rsidRDefault="004B14FB">
      <w:pPr>
        <w:pStyle w:val="NoSpacing"/>
        <w:jc w:val="both"/>
        <w:rPr>
          <w:rFonts w:ascii="Arial" w:hAnsi="Arial" w:cs="Arial"/>
          <w:b/>
        </w:rPr>
      </w:pPr>
      <w:r>
        <w:rPr>
          <w:rFonts w:ascii="Arial" w:hAnsi="Arial" w:cs="Arial"/>
          <w:b/>
        </w:rPr>
        <w:t>REFERENCES</w:t>
      </w:r>
    </w:p>
    <w:p w14:paraId="488FF58B" w14:textId="77777777" w:rsidR="00D03065" w:rsidRDefault="00D03065"/>
    <w:p w14:paraId="55CBBBD9" w14:textId="77777777" w:rsidR="00D03065" w:rsidRDefault="00D03065">
      <w:pPr>
        <w:rPr>
          <w:rFonts w:ascii="Arial" w:hAnsi="Arial" w:cs="Arial"/>
          <w:sz w:val="20"/>
          <w:szCs w:val="20"/>
        </w:rPr>
      </w:pPr>
    </w:p>
    <w:p w14:paraId="03F25252" w14:textId="77777777" w:rsidR="00D03065" w:rsidRDefault="004B14FB">
      <w:pPr>
        <w:pStyle w:val="NoSpacing"/>
        <w:jc w:val="both"/>
        <w:rPr>
          <w:rFonts w:ascii="Arial" w:hAnsi="Arial" w:cs="Arial"/>
          <w:sz w:val="20"/>
          <w:szCs w:val="20"/>
        </w:rPr>
      </w:pPr>
      <w:r>
        <w:rPr>
          <w:rFonts w:ascii="Arial" w:hAnsi="Arial" w:cs="Arial"/>
          <w:sz w:val="20"/>
          <w:szCs w:val="20"/>
        </w:rPr>
        <w:t>1. Liu M, Deng P, Li G, Liu H, Zuo J, Cui W, Zhang H, Chen X, Yao J, Peng X. Neurotoxicity of Combined Exposure to the Heavy Metals (Pb and As) in Zebrafish (Danio rerio). Toxics 2024, 12, 282.</w:t>
      </w:r>
    </w:p>
    <w:p w14:paraId="024CC924" w14:textId="77777777" w:rsidR="00D03065" w:rsidRDefault="00D03065">
      <w:pPr>
        <w:pStyle w:val="NoSpacing"/>
        <w:jc w:val="both"/>
        <w:rPr>
          <w:rFonts w:ascii="Arial" w:hAnsi="Arial" w:cs="Arial"/>
          <w:sz w:val="20"/>
          <w:szCs w:val="20"/>
        </w:rPr>
      </w:pPr>
    </w:p>
    <w:p w14:paraId="56CD2A24" w14:textId="77777777" w:rsidR="00D03065" w:rsidRDefault="004B14FB">
      <w:pPr>
        <w:pStyle w:val="NoSpacing"/>
        <w:jc w:val="both"/>
        <w:rPr>
          <w:rFonts w:ascii="Arial" w:hAnsi="Arial" w:cs="Arial"/>
          <w:sz w:val="20"/>
          <w:szCs w:val="20"/>
        </w:rPr>
      </w:pPr>
      <w:r>
        <w:rPr>
          <w:rFonts w:ascii="Arial" w:hAnsi="Arial" w:cs="Arial"/>
          <w:sz w:val="20"/>
          <w:szCs w:val="20"/>
        </w:rPr>
        <w:t>2. Wu, Y.; Li, X.; Yu, L.; Wang, T.; Wang, J.; Liu, T. Review of soil heavy metal pollution in China: Spatial distribution, primary sources, and remediation alternatives. Resour. Conserv. Recycl. 2022, 181, 106261.</w:t>
      </w:r>
    </w:p>
    <w:p w14:paraId="17D68C89" w14:textId="77777777" w:rsidR="00D03065" w:rsidRDefault="00D03065">
      <w:pPr>
        <w:pStyle w:val="NoSpacing"/>
        <w:jc w:val="both"/>
        <w:rPr>
          <w:rFonts w:ascii="Arial" w:hAnsi="Arial" w:cs="Arial"/>
          <w:sz w:val="20"/>
          <w:szCs w:val="20"/>
        </w:rPr>
      </w:pPr>
    </w:p>
    <w:p w14:paraId="1CDA2C01" w14:textId="77777777" w:rsidR="00D03065" w:rsidRDefault="004B14FB">
      <w:pPr>
        <w:pStyle w:val="NoSpacing"/>
        <w:jc w:val="both"/>
        <w:rPr>
          <w:rFonts w:ascii="Arial" w:hAnsi="Arial" w:cs="Arial"/>
          <w:sz w:val="20"/>
          <w:szCs w:val="20"/>
        </w:rPr>
      </w:pPr>
      <w:r>
        <w:rPr>
          <w:rFonts w:ascii="Arial" w:hAnsi="Arial" w:cs="Arial"/>
          <w:sz w:val="20"/>
          <w:szCs w:val="20"/>
        </w:rPr>
        <w:lastRenderedPageBreak/>
        <w:t>3. Liu, J.; Liao, G.; Tu, H.; Huang, Y.; Peng, T.; Xu, Y.; Chen, X.; Huang, Z.; Zhang, Y.; Meng, X.; et al. A protective role of autophagy in Pb-induced developmental neurotoxicity in zebrafish. Chemosphere 2019, 235, 1050–1058.</w:t>
      </w:r>
    </w:p>
    <w:p w14:paraId="78D6D9BB" w14:textId="77777777" w:rsidR="00D03065" w:rsidRDefault="00D03065">
      <w:pPr>
        <w:pStyle w:val="NoSpacing"/>
        <w:jc w:val="both"/>
        <w:rPr>
          <w:rFonts w:ascii="Arial" w:hAnsi="Arial" w:cs="Arial"/>
          <w:sz w:val="20"/>
          <w:szCs w:val="20"/>
        </w:rPr>
      </w:pPr>
    </w:p>
    <w:p w14:paraId="656BE40D" w14:textId="77777777" w:rsidR="00D03065" w:rsidRDefault="004B14FB">
      <w:pPr>
        <w:pStyle w:val="NoSpacing"/>
        <w:jc w:val="both"/>
        <w:rPr>
          <w:rFonts w:ascii="Arial" w:hAnsi="Arial" w:cs="Arial"/>
          <w:sz w:val="20"/>
          <w:szCs w:val="20"/>
        </w:rPr>
      </w:pPr>
      <w:r>
        <w:rPr>
          <w:rFonts w:ascii="Arial" w:hAnsi="Arial" w:cs="Arial"/>
          <w:sz w:val="20"/>
          <w:szCs w:val="20"/>
        </w:rPr>
        <w:t>4. Satarug, S.; Gobe, G.C.; Vesey, D.A.; Phelps, K.R. Cadmium and Lead Exposure, Nephrotoxicity, and Mortality. Toxics 2020, 8, 86.</w:t>
      </w:r>
    </w:p>
    <w:p w14:paraId="7718B025" w14:textId="77777777" w:rsidR="00D03065" w:rsidRDefault="00D03065">
      <w:pPr>
        <w:pStyle w:val="NoSpacing"/>
        <w:jc w:val="both"/>
        <w:rPr>
          <w:rFonts w:ascii="Arial" w:hAnsi="Arial" w:cs="Arial"/>
          <w:sz w:val="20"/>
          <w:szCs w:val="20"/>
        </w:rPr>
      </w:pPr>
    </w:p>
    <w:p w14:paraId="092A6B17" w14:textId="77777777" w:rsidR="00D03065" w:rsidRDefault="004B14FB">
      <w:pPr>
        <w:pStyle w:val="NoSpacing"/>
        <w:jc w:val="both"/>
        <w:rPr>
          <w:rFonts w:ascii="Arial" w:hAnsi="Arial" w:cs="Arial"/>
          <w:sz w:val="20"/>
          <w:szCs w:val="20"/>
        </w:rPr>
      </w:pPr>
      <w:r>
        <w:rPr>
          <w:rFonts w:ascii="Arial" w:hAnsi="Arial" w:cs="Arial"/>
          <w:sz w:val="20"/>
          <w:szCs w:val="20"/>
        </w:rPr>
        <w:t>5. Andrade, V.; Mateus, M.L.; Santos, D.; Aschner, M.; Batoreu, M.C.; dos Santos, A.P.M. Arsenic and Manganese Alter Lead Deposition in the Rat. Biol. Trace Element Res. 2014, 158, 384–391.</w:t>
      </w:r>
    </w:p>
    <w:p w14:paraId="3B5AF758" w14:textId="77777777" w:rsidR="00D03065" w:rsidRDefault="00D03065">
      <w:pPr>
        <w:pStyle w:val="NoSpacing"/>
        <w:jc w:val="both"/>
        <w:rPr>
          <w:rFonts w:ascii="Arial" w:hAnsi="Arial" w:cs="Arial"/>
          <w:sz w:val="20"/>
          <w:szCs w:val="20"/>
        </w:rPr>
      </w:pPr>
    </w:p>
    <w:p w14:paraId="2BCFC855" w14:textId="77777777" w:rsidR="00D03065" w:rsidRDefault="004B14FB">
      <w:pPr>
        <w:pStyle w:val="NoSpacing"/>
        <w:jc w:val="both"/>
        <w:rPr>
          <w:rFonts w:ascii="Arial" w:hAnsi="Arial" w:cs="Arial"/>
          <w:sz w:val="20"/>
          <w:szCs w:val="20"/>
        </w:rPr>
      </w:pPr>
      <w:r>
        <w:rPr>
          <w:rFonts w:ascii="Arial" w:hAnsi="Arial" w:cs="Arial"/>
          <w:sz w:val="20"/>
          <w:szCs w:val="20"/>
        </w:rPr>
        <w:t>6. Liu, M.; Song, S.; Hu, C.; Tang, L.; Lam, J.C.; Lam, P.K.; Chen, L. Dietary administration of probiotic Lactobacillus rhamnosus modulates the neurological toxicities of perfluorobutanesulfonate in zebrafish. Environ. Pollut. 2020, 265, 114832.</w:t>
      </w:r>
    </w:p>
    <w:p w14:paraId="5D4524CB" w14:textId="77777777" w:rsidR="00D03065" w:rsidRDefault="00D03065">
      <w:pPr>
        <w:pStyle w:val="NoSpacing"/>
        <w:jc w:val="both"/>
        <w:rPr>
          <w:rFonts w:ascii="Arial" w:hAnsi="Arial" w:cs="Arial"/>
          <w:sz w:val="20"/>
          <w:szCs w:val="20"/>
        </w:rPr>
      </w:pPr>
    </w:p>
    <w:p w14:paraId="40A15743" w14:textId="77777777" w:rsidR="00D03065" w:rsidRDefault="004B14FB">
      <w:pPr>
        <w:pStyle w:val="NoSpacing"/>
        <w:jc w:val="both"/>
        <w:rPr>
          <w:rFonts w:ascii="Arial" w:hAnsi="Arial" w:cs="Arial"/>
          <w:sz w:val="20"/>
          <w:szCs w:val="20"/>
        </w:rPr>
      </w:pPr>
      <w:r>
        <w:rPr>
          <w:rFonts w:ascii="Arial" w:hAnsi="Arial" w:cs="Arial"/>
          <w:sz w:val="20"/>
          <w:szCs w:val="20"/>
        </w:rPr>
        <w:t>7. Lee, J.-W.; Choi, H.; Hwang, U.-K.; Kang, J.-C.; Kang, Y.J.; Kim, K.I.; Kim, J.-H. Toxic effects of lead exposure on bioaccumulation, oxidative stress, neurotoxicity, and immune responses in fish: A review. Environ. Toxicol. Pharmacol. 2019, 68, 101–108.</w:t>
      </w:r>
    </w:p>
    <w:p w14:paraId="089D852D" w14:textId="77777777" w:rsidR="00D03065" w:rsidRDefault="00D03065">
      <w:pPr>
        <w:pStyle w:val="NoSpacing"/>
        <w:jc w:val="both"/>
        <w:rPr>
          <w:rFonts w:ascii="Arial" w:hAnsi="Arial" w:cs="Arial"/>
          <w:sz w:val="20"/>
          <w:szCs w:val="20"/>
        </w:rPr>
      </w:pPr>
    </w:p>
    <w:p w14:paraId="1E0ACF0A" w14:textId="77777777" w:rsidR="00D03065" w:rsidRDefault="004B14FB">
      <w:pPr>
        <w:pStyle w:val="NoSpacing"/>
        <w:jc w:val="both"/>
        <w:rPr>
          <w:rFonts w:ascii="Arial" w:hAnsi="Arial" w:cs="Arial"/>
          <w:sz w:val="20"/>
          <w:szCs w:val="20"/>
        </w:rPr>
      </w:pPr>
      <w:r>
        <w:rPr>
          <w:rFonts w:ascii="Arial" w:hAnsi="Arial" w:cs="Arial"/>
          <w:sz w:val="20"/>
          <w:szCs w:val="20"/>
        </w:rPr>
        <w:t>8. Neal, A.P.; Stansfield, K.H.; Worley, P.F.; Thompson, R.E.; Guilarte, T.R. Lead Exposure during Synaptogenesis Alters Vesicular Proteins and Impairs Vesicular Release: Potential Role of NMDA Receptor–Dependent BDNF Signaling. Toxicol. Sci. 2010, 116, 249–263.</w:t>
      </w:r>
    </w:p>
    <w:p w14:paraId="1FB5753F" w14:textId="77777777" w:rsidR="00D03065" w:rsidRDefault="00D03065">
      <w:pPr>
        <w:pStyle w:val="NoSpacing"/>
        <w:jc w:val="both"/>
        <w:rPr>
          <w:rFonts w:ascii="Arial" w:hAnsi="Arial" w:cs="Arial"/>
          <w:sz w:val="20"/>
          <w:szCs w:val="20"/>
        </w:rPr>
      </w:pPr>
    </w:p>
    <w:p w14:paraId="0F5FB7B9" w14:textId="77777777" w:rsidR="00D03065" w:rsidRDefault="004B14FB">
      <w:pPr>
        <w:pStyle w:val="NoSpacing"/>
        <w:jc w:val="both"/>
        <w:rPr>
          <w:rFonts w:ascii="Arial" w:hAnsi="Arial" w:cs="Arial"/>
          <w:sz w:val="20"/>
          <w:szCs w:val="20"/>
        </w:rPr>
      </w:pPr>
      <w:r>
        <w:rPr>
          <w:rFonts w:ascii="Arial" w:hAnsi="Arial" w:cs="Arial"/>
          <w:sz w:val="20"/>
          <w:szCs w:val="20"/>
        </w:rPr>
        <w:t>9. Rai, A.; Maurya, S.K.; Khare, P.; Srivastava, A.; Bandyopadhyay, S. Characterization of Developmental Neurotoxicity of As, Cd, and Pb Mixture: Synergistic Action of Metal Mixture in Glial and Neuronal Functions. Toxicol. Sci. 2010, 118, 586–601.</w:t>
      </w:r>
    </w:p>
    <w:p w14:paraId="6617F2C5" w14:textId="77777777" w:rsidR="00D03065" w:rsidRDefault="00D03065">
      <w:pPr>
        <w:pStyle w:val="NoSpacing"/>
        <w:jc w:val="both"/>
        <w:rPr>
          <w:rFonts w:ascii="Arial" w:hAnsi="Arial" w:cs="Arial"/>
          <w:sz w:val="20"/>
          <w:szCs w:val="20"/>
        </w:rPr>
      </w:pPr>
    </w:p>
    <w:p w14:paraId="3FC9631B" w14:textId="77777777" w:rsidR="00D03065" w:rsidRDefault="004B14FB">
      <w:pPr>
        <w:pStyle w:val="NoSpacing"/>
        <w:jc w:val="both"/>
        <w:rPr>
          <w:rFonts w:ascii="Arial" w:hAnsi="Arial" w:cs="Arial"/>
          <w:sz w:val="20"/>
          <w:szCs w:val="20"/>
        </w:rPr>
      </w:pPr>
      <w:r>
        <w:rPr>
          <w:rFonts w:ascii="Arial" w:hAnsi="Arial" w:cs="Arial"/>
          <w:sz w:val="20"/>
          <w:szCs w:val="20"/>
        </w:rPr>
        <w:t>10. De León, J.; Cotto, M.D.C.; Olivo, C.J.; Márquez, F.M. Effects of chronic environmental exposure to waterborne lead and copper on the dopaminergic and serotonergic systems of zebrafish. Toxicol. Environ. Health Sci. 2020, 12, 265–272.</w:t>
      </w:r>
    </w:p>
    <w:p w14:paraId="2BEBE019" w14:textId="77777777" w:rsidR="00D03065" w:rsidRDefault="00D03065">
      <w:pPr>
        <w:pStyle w:val="NoSpacing"/>
        <w:jc w:val="both"/>
        <w:rPr>
          <w:rFonts w:ascii="Arial" w:hAnsi="Arial" w:cs="Arial"/>
          <w:sz w:val="20"/>
          <w:szCs w:val="20"/>
        </w:rPr>
      </w:pPr>
    </w:p>
    <w:p w14:paraId="1300D808" w14:textId="77777777" w:rsidR="00D03065" w:rsidRDefault="004B14FB">
      <w:pPr>
        <w:pStyle w:val="NoSpacing"/>
        <w:jc w:val="both"/>
        <w:rPr>
          <w:rFonts w:ascii="Arial" w:hAnsi="Arial" w:cs="Arial"/>
          <w:sz w:val="20"/>
          <w:szCs w:val="20"/>
        </w:rPr>
      </w:pPr>
      <w:r>
        <w:rPr>
          <w:rFonts w:ascii="Arial" w:hAnsi="Arial" w:cs="Arial"/>
          <w:sz w:val="20"/>
          <w:szCs w:val="20"/>
        </w:rPr>
        <w:t>11. Cory-Slechta, D.A.; Virgolini, M.B.; Rossi-George, A.; Thiruchelvam, M.; Lisek, R.; Weston, D. Lifetime Consequences of Combined Maternal Lead and Stress. Basic Clin. Pharmacol. Toxicol. 2008, 102, 218–227.</w:t>
      </w:r>
    </w:p>
    <w:p w14:paraId="226C602F" w14:textId="77777777" w:rsidR="00D03065" w:rsidRDefault="00D03065">
      <w:pPr>
        <w:pStyle w:val="NoSpacing"/>
        <w:jc w:val="both"/>
        <w:rPr>
          <w:rFonts w:ascii="Arial" w:hAnsi="Arial" w:cs="Arial"/>
          <w:sz w:val="20"/>
          <w:szCs w:val="20"/>
        </w:rPr>
      </w:pPr>
    </w:p>
    <w:p w14:paraId="32B2A42C" w14:textId="77777777" w:rsidR="00D03065" w:rsidRDefault="004B14FB">
      <w:pPr>
        <w:pStyle w:val="NoSpacing"/>
        <w:jc w:val="both"/>
        <w:rPr>
          <w:rFonts w:ascii="Arial" w:hAnsi="Arial" w:cs="Arial"/>
          <w:sz w:val="20"/>
          <w:szCs w:val="20"/>
        </w:rPr>
      </w:pPr>
      <w:r>
        <w:rPr>
          <w:rFonts w:ascii="Arial" w:hAnsi="Arial" w:cs="Arial"/>
          <w:sz w:val="20"/>
          <w:szCs w:val="20"/>
        </w:rPr>
        <w:t>12. Wu X, Cobbina SJ, Mao G, Xu H, Zhang Z, Yang L. A review of toxicity and mechanisms of individual and mixtures of heavy metals in the environment. Environment Science Pollution Research International. 2016b;23(9):8244-8259.</w:t>
      </w:r>
    </w:p>
    <w:p w14:paraId="0A50EF33" w14:textId="77777777" w:rsidR="00D03065" w:rsidRDefault="00D03065">
      <w:pPr>
        <w:pStyle w:val="NoSpacing"/>
        <w:jc w:val="both"/>
        <w:rPr>
          <w:rFonts w:ascii="Arial" w:hAnsi="Arial" w:cs="Arial"/>
          <w:sz w:val="20"/>
          <w:szCs w:val="20"/>
        </w:rPr>
      </w:pPr>
    </w:p>
    <w:p w14:paraId="5DF52861" w14:textId="77777777" w:rsidR="00D03065" w:rsidRDefault="004B14FB">
      <w:pPr>
        <w:pStyle w:val="NoSpacing"/>
        <w:jc w:val="both"/>
        <w:rPr>
          <w:rFonts w:ascii="Arial" w:hAnsi="Arial" w:cs="Arial"/>
          <w:sz w:val="20"/>
          <w:szCs w:val="20"/>
        </w:rPr>
      </w:pPr>
      <w:r>
        <w:rPr>
          <w:rFonts w:ascii="Arial" w:hAnsi="Arial" w:cs="Arial"/>
          <w:sz w:val="20"/>
          <w:szCs w:val="20"/>
        </w:rPr>
        <w:t>13. Rehman, K.; Fatima, F.; Waheed, I.; Akash, M.S.H. Prevalence of exposure of heavy metals and their impact on health consequences. J. Cell. Biochem. 2018, 119, 157–184.</w:t>
      </w:r>
    </w:p>
    <w:p w14:paraId="211AFB90" w14:textId="77777777" w:rsidR="00D03065" w:rsidRDefault="00D03065">
      <w:pPr>
        <w:pStyle w:val="NoSpacing"/>
        <w:jc w:val="both"/>
        <w:rPr>
          <w:rFonts w:ascii="Arial" w:hAnsi="Arial" w:cs="Arial"/>
          <w:sz w:val="20"/>
          <w:szCs w:val="20"/>
        </w:rPr>
      </w:pPr>
    </w:p>
    <w:p w14:paraId="2331937D" w14:textId="77777777" w:rsidR="00D03065" w:rsidRDefault="004B14FB">
      <w:pPr>
        <w:pStyle w:val="NoSpacing"/>
        <w:jc w:val="both"/>
        <w:rPr>
          <w:rFonts w:ascii="Arial" w:hAnsi="Arial" w:cs="Arial"/>
          <w:sz w:val="20"/>
          <w:szCs w:val="20"/>
        </w:rPr>
      </w:pPr>
      <w:r>
        <w:rPr>
          <w:rFonts w:ascii="Arial" w:hAnsi="Arial" w:cs="Arial"/>
          <w:sz w:val="20"/>
          <w:szCs w:val="20"/>
        </w:rPr>
        <w:t>14. Jarup, L. Hazards of heavy metal contamination. Br. Med. Bull. 2003, 68, 167–182.</w:t>
      </w:r>
    </w:p>
    <w:p w14:paraId="3FF3E386" w14:textId="77777777" w:rsidR="00D03065" w:rsidRDefault="00D03065">
      <w:pPr>
        <w:pStyle w:val="NoSpacing"/>
        <w:jc w:val="both"/>
        <w:rPr>
          <w:rFonts w:ascii="Arial" w:hAnsi="Arial" w:cs="Arial"/>
          <w:sz w:val="20"/>
          <w:szCs w:val="20"/>
        </w:rPr>
      </w:pPr>
    </w:p>
    <w:p w14:paraId="0A6C5F9A" w14:textId="77777777" w:rsidR="00D03065" w:rsidRDefault="004B14FB">
      <w:pPr>
        <w:pStyle w:val="NoSpacing"/>
        <w:jc w:val="both"/>
        <w:rPr>
          <w:rFonts w:ascii="Arial" w:hAnsi="Arial" w:cs="Arial"/>
          <w:sz w:val="20"/>
          <w:szCs w:val="20"/>
        </w:rPr>
      </w:pPr>
      <w:r>
        <w:rPr>
          <w:rFonts w:ascii="Arial" w:hAnsi="Arial" w:cs="Arial"/>
          <w:sz w:val="20"/>
          <w:szCs w:val="20"/>
        </w:rPr>
        <w:t>15. Satarug, S.; Gobe, G.C.; Vesey, D.A.; Phelps, K.R. Cadmium and Lead Exposure, Nephrotoxicity, and Mortality. Toxics 2020, 8, 86.</w:t>
      </w:r>
    </w:p>
    <w:p w14:paraId="7A9C5B34" w14:textId="77777777" w:rsidR="00D03065" w:rsidRDefault="00D03065">
      <w:pPr>
        <w:pStyle w:val="NoSpacing"/>
        <w:jc w:val="both"/>
        <w:rPr>
          <w:rFonts w:ascii="Arial" w:hAnsi="Arial" w:cs="Arial"/>
          <w:sz w:val="20"/>
          <w:szCs w:val="20"/>
        </w:rPr>
      </w:pPr>
    </w:p>
    <w:p w14:paraId="5B63C5F0" w14:textId="77777777" w:rsidR="00D03065" w:rsidRDefault="004B14FB">
      <w:pPr>
        <w:pStyle w:val="NoSpacing"/>
        <w:jc w:val="both"/>
        <w:rPr>
          <w:rFonts w:ascii="Arial" w:hAnsi="Arial" w:cs="Arial"/>
          <w:sz w:val="20"/>
          <w:szCs w:val="20"/>
        </w:rPr>
      </w:pPr>
      <w:r>
        <w:rPr>
          <w:rFonts w:ascii="Arial" w:hAnsi="Arial" w:cs="Arial"/>
          <w:sz w:val="20"/>
          <w:szCs w:val="20"/>
        </w:rPr>
        <w:t>16. Rai, A.; Maurya, S.K.; Khare, P.; Srivastava, A.; Bandyopadhyay, S. Characterization of Developmental Neurotoxicity of As, Cd, and Pb Mixture: Synergistic Action of Metal Mixture in Glial and Neuronal Functions. Toxicol. Sci. 2010, 118, 586–601.</w:t>
      </w:r>
    </w:p>
    <w:p w14:paraId="1DAD5F55" w14:textId="77777777" w:rsidR="00D03065" w:rsidRDefault="00D03065">
      <w:pPr>
        <w:pStyle w:val="NoSpacing"/>
        <w:jc w:val="both"/>
        <w:rPr>
          <w:rFonts w:ascii="Arial" w:hAnsi="Arial" w:cs="Arial"/>
          <w:sz w:val="20"/>
          <w:szCs w:val="20"/>
        </w:rPr>
      </w:pPr>
    </w:p>
    <w:p w14:paraId="1F2EFCDF" w14:textId="77777777" w:rsidR="00D03065" w:rsidRDefault="004B14FB">
      <w:pPr>
        <w:pStyle w:val="NoSpacing"/>
        <w:jc w:val="both"/>
        <w:rPr>
          <w:rFonts w:ascii="Arial" w:hAnsi="Arial" w:cs="Arial"/>
          <w:sz w:val="20"/>
          <w:szCs w:val="20"/>
        </w:rPr>
      </w:pPr>
      <w:r>
        <w:rPr>
          <w:rFonts w:ascii="Arial" w:hAnsi="Arial" w:cs="Arial"/>
          <w:sz w:val="20"/>
          <w:szCs w:val="20"/>
        </w:rPr>
        <w:t>17. Fowler, B.A.; Whittaker, M.H.; Lipsky, M.; Wang, G.; Chen, X.-Q. Oxidative stress induced by lead, cadmium and arsenic mixtures: 30-day, 90-day, and 180-day drinking water studies in rats: An overview. BioMetals 2004, 17, 567–568.</w:t>
      </w:r>
    </w:p>
    <w:p w14:paraId="68A7CB4E" w14:textId="77777777" w:rsidR="00D03065" w:rsidRDefault="00D03065">
      <w:pPr>
        <w:pStyle w:val="NoSpacing"/>
        <w:jc w:val="both"/>
        <w:rPr>
          <w:rFonts w:ascii="Arial" w:hAnsi="Arial" w:cs="Arial"/>
          <w:sz w:val="20"/>
          <w:szCs w:val="20"/>
        </w:rPr>
      </w:pPr>
    </w:p>
    <w:p w14:paraId="082F5671" w14:textId="77777777" w:rsidR="00D03065" w:rsidRDefault="004B14FB">
      <w:pPr>
        <w:pStyle w:val="NoSpacing"/>
        <w:jc w:val="both"/>
        <w:rPr>
          <w:rFonts w:ascii="Arial" w:hAnsi="Arial" w:cs="Arial"/>
          <w:sz w:val="20"/>
          <w:szCs w:val="20"/>
        </w:rPr>
      </w:pPr>
      <w:r>
        <w:rPr>
          <w:rFonts w:ascii="Arial" w:hAnsi="Arial" w:cs="Arial"/>
          <w:sz w:val="20"/>
          <w:szCs w:val="20"/>
        </w:rPr>
        <w:t>18. Scherer, G. Biomonitoring of inhaled complex mixtures—Ambient air, diesel exhaust and cigarette smoke. Exp. Toxicol. Pathol. 2005, 57, 75–110.</w:t>
      </w:r>
    </w:p>
    <w:p w14:paraId="1B13DE22" w14:textId="77777777" w:rsidR="00D03065" w:rsidRDefault="00D03065">
      <w:pPr>
        <w:pStyle w:val="NoSpacing"/>
        <w:jc w:val="both"/>
        <w:rPr>
          <w:rFonts w:ascii="Arial" w:hAnsi="Arial" w:cs="Arial"/>
          <w:sz w:val="20"/>
          <w:szCs w:val="20"/>
        </w:rPr>
      </w:pPr>
    </w:p>
    <w:p w14:paraId="643D70DA" w14:textId="77777777" w:rsidR="00D03065" w:rsidRDefault="004B14FB">
      <w:pPr>
        <w:pStyle w:val="NoSpacing"/>
        <w:jc w:val="both"/>
        <w:rPr>
          <w:rFonts w:ascii="Arial" w:hAnsi="Arial" w:cs="Arial"/>
          <w:sz w:val="20"/>
          <w:szCs w:val="20"/>
        </w:rPr>
      </w:pPr>
      <w:r>
        <w:rPr>
          <w:rFonts w:ascii="Arial" w:hAnsi="Arial" w:cs="Arial"/>
          <w:sz w:val="20"/>
          <w:szCs w:val="20"/>
        </w:rPr>
        <w:t>19. Agrawal, S.; Bhatnagar, P.; Flora, S. Changes in tissue oxidative stress, brain biogenic amines and acetylcholinesterase following co-exposure to lead, arsenic and mercury in rats. Food Chem. Toxicol. 2015, 86, 208–216.</w:t>
      </w:r>
    </w:p>
    <w:p w14:paraId="241F455F" w14:textId="77777777" w:rsidR="00D03065" w:rsidRDefault="00D03065">
      <w:pPr>
        <w:pStyle w:val="NoSpacing"/>
        <w:jc w:val="both"/>
        <w:rPr>
          <w:rFonts w:ascii="Arial" w:hAnsi="Arial" w:cs="Arial"/>
          <w:sz w:val="20"/>
          <w:szCs w:val="20"/>
        </w:rPr>
      </w:pPr>
    </w:p>
    <w:p w14:paraId="5EB50FBF" w14:textId="77777777" w:rsidR="00D03065" w:rsidRDefault="004B14FB">
      <w:pPr>
        <w:pStyle w:val="NoSpacing"/>
        <w:jc w:val="both"/>
        <w:rPr>
          <w:rFonts w:ascii="Arial" w:hAnsi="Arial" w:cs="Arial"/>
          <w:sz w:val="20"/>
          <w:szCs w:val="20"/>
        </w:rPr>
      </w:pPr>
      <w:r>
        <w:rPr>
          <w:rFonts w:ascii="Arial" w:hAnsi="Arial" w:cs="Arial"/>
          <w:sz w:val="20"/>
          <w:szCs w:val="20"/>
        </w:rPr>
        <w:t>20. Aktar, S.; Jahan, M.; Alam, S.; Mohanto, N.C.; Arefin, A.; Rahman, A.; Haque, A.; Himeno, S.; Hossain, K.; Alam Saud, Z. Individual and Combined Effects of Arsenic and Lead on Behavioral and Biochemical Changes in Mice. Biol. Trace Element Res. 2016, 177, 288–296.</w:t>
      </w:r>
    </w:p>
    <w:p w14:paraId="632A021A" w14:textId="77777777" w:rsidR="00D03065" w:rsidRDefault="00D03065">
      <w:pPr>
        <w:pStyle w:val="NoSpacing"/>
        <w:jc w:val="both"/>
        <w:rPr>
          <w:rFonts w:ascii="Arial" w:hAnsi="Arial" w:cs="Arial"/>
          <w:sz w:val="20"/>
          <w:szCs w:val="20"/>
        </w:rPr>
      </w:pPr>
    </w:p>
    <w:p w14:paraId="5D9F98FA" w14:textId="77777777" w:rsidR="00D03065" w:rsidRDefault="004B14FB">
      <w:pPr>
        <w:pStyle w:val="NoSpacing"/>
        <w:jc w:val="both"/>
        <w:rPr>
          <w:rFonts w:ascii="Arial" w:hAnsi="Arial" w:cs="Arial"/>
          <w:sz w:val="20"/>
          <w:szCs w:val="20"/>
        </w:rPr>
      </w:pPr>
      <w:r>
        <w:rPr>
          <w:rFonts w:ascii="Arial" w:hAnsi="Arial" w:cs="Arial"/>
          <w:sz w:val="20"/>
          <w:szCs w:val="20"/>
        </w:rPr>
        <w:t>21. Toma, N.J.; Anwar, S.; Kabir, T.; Hosen, M.J. Lead and lead–arsenic combined exposure induces mortality and developmental impairments in zebrafish embryos: A study using wild-caught zebrafish from Bangladesh. Drug Chem. Toxicol. 2021, 45, 2833–2842.</w:t>
      </w:r>
    </w:p>
    <w:p w14:paraId="4EBCA07C" w14:textId="77777777" w:rsidR="00D03065" w:rsidRDefault="00D03065">
      <w:pPr>
        <w:pStyle w:val="NoSpacing"/>
        <w:jc w:val="both"/>
        <w:rPr>
          <w:rFonts w:ascii="Arial" w:hAnsi="Arial" w:cs="Arial"/>
          <w:sz w:val="20"/>
          <w:szCs w:val="20"/>
        </w:rPr>
      </w:pPr>
    </w:p>
    <w:p w14:paraId="3565A3F1" w14:textId="77777777" w:rsidR="00D03065" w:rsidRDefault="004B14FB">
      <w:pPr>
        <w:pStyle w:val="NoSpacing"/>
        <w:jc w:val="both"/>
        <w:rPr>
          <w:rFonts w:ascii="Arial" w:hAnsi="Arial" w:cs="Arial"/>
          <w:sz w:val="20"/>
          <w:szCs w:val="20"/>
        </w:rPr>
      </w:pPr>
      <w:r>
        <w:rPr>
          <w:rFonts w:ascii="Arial" w:hAnsi="Arial" w:cs="Arial"/>
          <w:sz w:val="20"/>
          <w:szCs w:val="20"/>
        </w:rPr>
        <w:t>22. Kiper, K.; Freeman, J.L. Joint Action Toxicity of Arsenic (As) and Lead (Pb) Mixtures in Developing Zebrafish. Biomolecules 2022, 12, 1833.</w:t>
      </w:r>
    </w:p>
    <w:p w14:paraId="174F27CD" w14:textId="77777777" w:rsidR="00D03065" w:rsidRDefault="00D03065">
      <w:pPr>
        <w:pStyle w:val="NoSpacing"/>
        <w:jc w:val="both"/>
        <w:rPr>
          <w:rFonts w:ascii="Arial" w:hAnsi="Arial" w:cs="Arial"/>
          <w:sz w:val="20"/>
          <w:szCs w:val="20"/>
        </w:rPr>
      </w:pPr>
    </w:p>
    <w:p w14:paraId="52B68F61" w14:textId="77777777" w:rsidR="00D03065" w:rsidRDefault="004B14FB">
      <w:pPr>
        <w:pStyle w:val="NoSpacing"/>
        <w:jc w:val="both"/>
        <w:rPr>
          <w:rFonts w:ascii="Arial" w:hAnsi="Arial" w:cs="Arial"/>
          <w:sz w:val="20"/>
          <w:szCs w:val="20"/>
        </w:rPr>
      </w:pPr>
      <w:r>
        <w:rPr>
          <w:rFonts w:ascii="Arial" w:hAnsi="Arial" w:cs="Arial"/>
          <w:sz w:val="20"/>
          <w:szCs w:val="20"/>
        </w:rPr>
        <w:t>23. Scinicariello, F.; Buser, M.C. Blood cadmium and depressive symptoms in young adults (aged 20–39 years). Psychol. Med. 2014, 45, 807–815.</w:t>
      </w:r>
    </w:p>
    <w:p w14:paraId="40A76703" w14:textId="77777777" w:rsidR="00D03065" w:rsidRDefault="00D03065">
      <w:pPr>
        <w:pStyle w:val="NoSpacing"/>
        <w:jc w:val="both"/>
        <w:rPr>
          <w:rFonts w:ascii="Arial" w:hAnsi="Arial" w:cs="Arial"/>
          <w:sz w:val="20"/>
          <w:szCs w:val="20"/>
        </w:rPr>
      </w:pPr>
    </w:p>
    <w:p w14:paraId="7127B1B5" w14:textId="77777777" w:rsidR="00D03065" w:rsidRDefault="004B14FB">
      <w:pPr>
        <w:pStyle w:val="NoSpacing"/>
        <w:jc w:val="both"/>
        <w:rPr>
          <w:rFonts w:ascii="Arial" w:hAnsi="Arial" w:cs="Arial"/>
          <w:sz w:val="20"/>
          <w:szCs w:val="20"/>
        </w:rPr>
      </w:pPr>
      <w:r>
        <w:rPr>
          <w:rFonts w:ascii="Arial" w:hAnsi="Arial" w:cs="Arial"/>
          <w:sz w:val="20"/>
          <w:szCs w:val="20"/>
        </w:rPr>
        <w:t>24. Ifedi I. Charles , Nwafor C. Charles , Ihezuruoha C. Salomea , Ovie F. O , Ifedi O. Blessing and Igwedibia C. Paul: The Effects of Mkpuru Mmiri Consumption on Cognitive Performance and Brain Histology in an Animal Study. *Journal of Pharmaceutical Research International*. 2024; 36 (6), 43-53.</w:t>
      </w:r>
    </w:p>
    <w:p w14:paraId="1AD961DF" w14:textId="77777777" w:rsidR="00D03065" w:rsidRDefault="00D03065">
      <w:pPr>
        <w:pStyle w:val="NoSpacing"/>
        <w:jc w:val="both"/>
        <w:rPr>
          <w:rFonts w:ascii="Arial" w:hAnsi="Arial" w:cs="Arial"/>
          <w:sz w:val="20"/>
          <w:szCs w:val="20"/>
        </w:rPr>
      </w:pPr>
    </w:p>
    <w:p w14:paraId="208C57E5" w14:textId="77777777" w:rsidR="00D03065" w:rsidRDefault="004B14FB">
      <w:pPr>
        <w:pStyle w:val="NoSpacing"/>
        <w:jc w:val="both"/>
        <w:rPr>
          <w:rFonts w:ascii="Arial" w:hAnsi="Arial" w:cs="Arial"/>
          <w:sz w:val="20"/>
          <w:szCs w:val="20"/>
        </w:rPr>
      </w:pPr>
      <w:r>
        <w:rPr>
          <w:rFonts w:ascii="Arial" w:hAnsi="Arial" w:cs="Arial"/>
          <w:sz w:val="20"/>
          <w:szCs w:val="20"/>
        </w:rPr>
        <w:t xml:space="preserve">25. Ovie FO, Charles C. Nwafor, Aguwa US, Oliver NL, Onyewuchi MO, Preyor E. Inhalation of Sniper and Passive Smoking Disrupt Motor Activity and Spatial Memory in Female Wistar Rats. Asian Journal of Research and Reports in Neurology. 2021;4(2):111-121. Article no.AJORRIN.78069. </w:t>
      </w:r>
    </w:p>
    <w:p w14:paraId="4314A24A" w14:textId="77777777" w:rsidR="00D03065" w:rsidRDefault="00D03065">
      <w:pPr>
        <w:pStyle w:val="NoSpacing"/>
        <w:jc w:val="both"/>
        <w:rPr>
          <w:rFonts w:ascii="Arial" w:hAnsi="Arial" w:cs="Arial"/>
          <w:sz w:val="20"/>
          <w:szCs w:val="20"/>
        </w:rPr>
      </w:pPr>
    </w:p>
    <w:p w14:paraId="09A2D045" w14:textId="77777777" w:rsidR="00D03065" w:rsidRDefault="004B14FB">
      <w:pPr>
        <w:pStyle w:val="NoSpacing"/>
        <w:jc w:val="both"/>
        <w:rPr>
          <w:rFonts w:ascii="Arial" w:hAnsi="Arial" w:cs="Arial"/>
          <w:sz w:val="20"/>
          <w:szCs w:val="20"/>
        </w:rPr>
      </w:pPr>
      <w:r>
        <w:rPr>
          <w:rFonts w:ascii="Arial" w:hAnsi="Arial" w:cs="Arial"/>
          <w:sz w:val="20"/>
          <w:szCs w:val="20"/>
        </w:rPr>
        <w:t xml:space="preserve">26. Ogbo Felix Ovie, Obi Kelvin Chukwuemeka, Nwafor Charles, Okpala Onyedikachukwu Precious, Chidimma Angela Irozuoke and Ebuoh Maryann Chiamaka. Neuroprotective Properties of the Aqueous and Ethanolic Extracts of Artocarpus heterophyllus (Jack Fruit) on the Cerebral Cortex and Hippocampus of Mercury Chloride-Induced Neurotoxicity in Adult Male Wistar Rats. *Newport International Journal Of Scientific And Experimental Sciences* (NIJSES). 2024, 5 (1). </w:t>
      </w:r>
    </w:p>
    <w:p w14:paraId="461CA34F" w14:textId="77777777" w:rsidR="00D03065" w:rsidRDefault="00D03065">
      <w:pPr>
        <w:pStyle w:val="NoSpacing"/>
        <w:jc w:val="both"/>
        <w:rPr>
          <w:rFonts w:ascii="Arial" w:hAnsi="Arial" w:cs="Arial"/>
          <w:sz w:val="20"/>
          <w:szCs w:val="20"/>
        </w:rPr>
      </w:pPr>
    </w:p>
    <w:p w14:paraId="53B1E909" w14:textId="77777777" w:rsidR="00D03065" w:rsidRDefault="00D03065">
      <w:pPr>
        <w:pStyle w:val="NoSpacing"/>
        <w:jc w:val="both"/>
        <w:rPr>
          <w:rFonts w:ascii="Arial" w:hAnsi="Arial" w:cs="Arial"/>
          <w:sz w:val="20"/>
          <w:szCs w:val="20"/>
        </w:rPr>
      </w:pPr>
    </w:p>
    <w:p w14:paraId="6B45E837" w14:textId="77777777" w:rsidR="00D03065" w:rsidRDefault="004B14FB">
      <w:pPr>
        <w:pStyle w:val="NoSpacing"/>
        <w:jc w:val="both"/>
        <w:rPr>
          <w:rFonts w:ascii="Arial" w:hAnsi="Arial" w:cs="Arial"/>
          <w:sz w:val="20"/>
          <w:szCs w:val="20"/>
        </w:rPr>
      </w:pPr>
      <w:r>
        <w:rPr>
          <w:rFonts w:ascii="Arial" w:hAnsi="Arial" w:cs="Arial"/>
          <w:sz w:val="20"/>
          <w:szCs w:val="20"/>
        </w:rPr>
        <w:t xml:space="preserve">27. Nwafor C. Charles, Ovie F. Ogbo and Peters K. Dell. Reproductive Analysis of Bryophyllum pinnatum Leaf extract against Cadmium Induced Testicular Damage. *Research Output Journal of Public Health and Medicine.* 2024; 3(2):75-81. </w:t>
      </w:r>
    </w:p>
    <w:p w14:paraId="73EA8009" w14:textId="77777777" w:rsidR="00D03065" w:rsidRDefault="00D03065">
      <w:pPr>
        <w:pStyle w:val="NoSpacing"/>
        <w:jc w:val="both"/>
        <w:rPr>
          <w:rFonts w:ascii="Arial" w:hAnsi="Arial" w:cs="Arial"/>
          <w:sz w:val="20"/>
          <w:szCs w:val="20"/>
        </w:rPr>
      </w:pPr>
    </w:p>
    <w:p w14:paraId="063ED56E" w14:textId="77777777" w:rsidR="00D03065" w:rsidRDefault="004B14FB">
      <w:pPr>
        <w:pStyle w:val="NoSpacing"/>
        <w:jc w:val="both"/>
        <w:rPr>
          <w:rFonts w:ascii="Arial" w:hAnsi="Arial" w:cs="Arial"/>
          <w:sz w:val="20"/>
          <w:szCs w:val="20"/>
        </w:rPr>
      </w:pPr>
      <w:r>
        <w:rPr>
          <w:rFonts w:ascii="Arial" w:hAnsi="Arial" w:cs="Arial"/>
          <w:sz w:val="20"/>
          <w:szCs w:val="20"/>
        </w:rPr>
        <w:t>28. Nwafor CC, Amah-Tariah FS, Dapper DV. Effect of hydroethanolic extract of Fleurya aestuans on haematological parameters and oxidative indices of phenylhydrazineinduced toxicity. Int J Res Rep Hematol. 2021;4 (3):17–27.</w:t>
      </w:r>
    </w:p>
    <w:p w14:paraId="338E8FB0" w14:textId="77777777" w:rsidR="00D03065" w:rsidRDefault="00D03065">
      <w:pPr>
        <w:pStyle w:val="NoSpacing"/>
        <w:jc w:val="both"/>
        <w:rPr>
          <w:rFonts w:ascii="Arial" w:hAnsi="Arial" w:cs="Arial"/>
          <w:sz w:val="20"/>
          <w:szCs w:val="20"/>
        </w:rPr>
      </w:pPr>
    </w:p>
    <w:p w14:paraId="7F2B2BA6" w14:textId="77777777" w:rsidR="00D03065" w:rsidRDefault="004B14FB">
      <w:pPr>
        <w:pStyle w:val="NoSpacing"/>
        <w:jc w:val="both"/>
        <w:rPr>
          <w:rFonts w:ascii="Arial" w:hAnsi="Arial" w:cs="Arial"/>
          <w:sz w:val="20"/>
          <w:szCs w:val="20"/>
        </w:rPr>
      </w:pPr>
      <w:r>
        <w:rPr>
          <w:rFonts w:ascii="Arial" w:hAnsi="Arial" w:cs="Arial"/>
          <w:sz w:val="20"/>
          <w:szCs w:val="20"/>
        </w:rPr>
        <w:t xml:space="preserve">29. Ifedi IC, Ugwuishi E, Blessing IO, Nwafor CC, Okeke CC, Okoye OF, Ihezuruoha SC. Hormonal and morphological effects of Averrhoea carambola fruit extract on female reproduction. J Adv Med Med Res. 2023;35(19):305–13. </w:t>
      </w:r>
    </w:p>
    <w:p w14:paraId="363681E8" w14:textId="77777777" w:rsidR="00D03065" w:rsidRDefault="00D03065">
      <w:pPr>
        <w:pStyle w:val="NoSpacing"/>
        <w:jc w:val="both"/>
        <w:rPr>
          <w:rFonts w:ascii="Arial" w:hAnsi="Arial" w:cs="Arial"/>
          <w:sz w:val="20"/>
          <w:szCs w:val="20"/>
        </w:rPr>
      </w:pPr>
    </w:p>
    <w:p w14:paraId="64226BD5" w14:textId="77777777" w:rsidR="00D03065" w:rsidRDefault="004B14FB">
      <w:pPr>
        <w:pStyle w:val="NoSpacing"/>
        <w:jc w:val="both"/>
        <w:rPr>
          <w:rFonts w:ascii="Arial" w:hAnsi="Arial" w:cs="Arial"/>
          <w:sz w:val="20"/>
          <w:szCs w:val="20"/>
        </w:rPr>
      </w:pPr>
      <w:r>
        <w:rPr>
          <w:rFonts w:ascii="Arial" w:hAnsi="Arial" w:cs="Arial"/>
          <w:sz w:val="20"/>
          <w:szCs w:val="20"/>
        </w:rPr>
        <w:t xml:space="preserve">30. Nwafor CC, Osakwe FU, Umanah MG, Inyang EP, Dell PK. Effect of hydroethanol leaf extract of Fleurya aestuans on histological and renal function test of an alloxan induced diabetic Wistar rats. Int J Adv Nephrol Res. 2022;5(1):56–63. </w:t>
      </w:r>
    </w:p>
    <w:p w14:paraId="178FC052" w14:textId="77777777" w:rsidR="00D03065" w:rsidRDefault="00D03065">
      <w:pPr>
        <w:pStyle w:val="NoSpacing"/>
        <w:jc w:val="both"/>
        <w:rPr>
          <w:rFonts w:ascii="Arial" w:hAnsi="Arial" w:cs="Arial"/>
          <w:sz w:val="20"/>
          <w:szCs w:val="20"/>
        </w:rPr>
      </w:pPr>
    </w:p>
    <w:p w14:paraId="00D1B986" w14:textId="77777777" w:rsidR="00D03065" w:rsidRDefault="004B14FB">
      <w:pPr>
        <w:pStyle w:val="NoSpacing"/>
        <w:jc w:val="both"/>
        <w:rPr>
          <w:rFonts w:ascii="Arial" w:hAnsi="Arial" w:cs="Arial"/>
          <w:sz w:val="20"/>
          <w:szCs w:val="20"/>
        </w:rPr>
      </w:pPr>
      <w:r>
        <w:rPr>
          <w:rFonts w:ascii="Arial" w:hAnsi="Arial" w:cs="Arial"/>
          <w:sz w:val="20"/>
          <w:szCs w:val="20"/>
        </w:rPr>
        <w:t xml:space="preserve">31. Charles C N, Ovie F O, Oliver NL, and Onyewuchi. Haemato-Protective Efficacies Of Hydroethanolic Extract Of Fleurya Aestuans Leaves Against Alloxan Induced Toxicity. *World Journal Of Pharmacy And Pharmaceutical Sciences.* 2021; 10(11), 23-34. : </w:t>
      </w:r>
    </w:p>
    <w:p w14:paraId="08C6F1D8" w14:textId="77777777" w:rsidR="00D03065" w:rsidRDefault="00D03065">
      <w:pPr>
        <w:pStyle w:val="NoSpacing"/>
        <w:jc w:val="both"/>
        <w:rPr>
          <w:rFonts w:ascii="Arial" w:hAnsi="Arial" w:cs="Arial"/>
          <w:sz w:val="20"/>
          <w:szCs w:val="20"/>
        </w:rPr>
      </w:pPr>
    </w:p>
    <w:p w14:paraId="5338ACBB" w14:textId="77777777" w:rsidR="00D03065" w:rsidRDefault="004B14FB">
      <w:pPr>
        <w:pStyle w:val="NoSpacing"/>
        <w:jc w:val="both"/>
        <w:rPr>
          <w:rFonts w:ascii="Arial" w:hAnsi="Arial" w:cs="Arial"/>
          <w:sz w:val="20"/>
          <w:szCs w:val="20"/>
        </w:rPr>
      </w:pPr>
      <w:r>
        <w:rPr>
          <w:rFonts w:ascii="Arial" w:hAnsi="Arial" w:cs="Arial"/>
          <w:sz w:val="20"/>
          <w:szCs w:val="20"/>
        </w:rPr>
        <w:t xml:space="preserve">32. Ifedi I. Charles , Okoye O. Fidelis , Emeka Ugwuishi, Nwafor C. Charles , Ifedi O. Blessing and Okeke B. Chidimma; Cannabis sativa Boosts Brain Functions and Ameliorate Anxiety, when used Sensibly and not Abusively. *European Journal of Medicinal Plants*. 2024; 35 (2), 46-53. </w:t>
      </w:r>
    </w:p>
    <w:p w14:paraId="40476F4B" w14:textId="77777777" w:rsidR="00D03065" w:rsidRDefault="00D03065">
      <w:pPr>
        <w:pStyle w:val="NoSpacing"/>
        <w:jc w:val="both"/>
        <w:rPr>
          <w:rFonts w:ascii="Arial" w:hAnsi="Arial" w:cs="Arial"/>
          <w:sz w:val="20"/>
          <w:szCs w:val="20"/>
        </w:rPr>
      </w:pPr>
    </w:p>
    <w:p w14:paraId="0F855AE1" w14:textId="77777777" w:rsidR="00D03065" w:rsidRDefault="004B14FB">
      <w:pPr>
        <w:pStyle w:val="NoSpacing"/>
        <w:jc w:val="both"/>
        <w:rPr>
          <w:rFonts w:ascii="Arial" w:hAnsi="Arial" w:cs="Arial"/>
          <w:sz w:val="20"/>
          <w:szCs w:val="20"/>
        </w:rPr>
      </w:pPr>
      <w:r>
        <w:rPr>
          <w:rFonts w:ascii="Arial" w:hAnsi="Arial" w:cs="Arial"/>
          <w:sz w:val="20"/>
          <w:szCs w:val="20"/>
        </w:rPr>
        <w:t>33. Hu, C.; Bai, Y.; Sun, B.; Zhou, X.; Chen, L. Exposure to methylparaben at environmentally realistic concentrations significantly impairs neuronal health in adult zebrafish. J. Environ. Sci. 2023, 132, 134–144.</w:t>
      </w:r>
    </w:p>
    <w:p w14:paraId="09FC19EC" w14:textId="77777777" w:rsidR="00D03065" w:rsidRDefault="00D03065">
      <w:pPr>
        <w:pStyle w:val="NoSpacing"/>
        <w:jc w:val="both"/>
        <w:rPr>
          <w:rFonts w:ascii="Arial" w:hAnsi="Arial" w:cs="Arial"/>
          <w:sz w:val="20"/>
          <w:szCs w:val="20"/>
        </w:rPr>
      </w:pPr>
    </w:p>
    <w:p w14:paraId="277B1E58" w14:textId="77777777" w:rsidR="00D03065" w:rsidRDefault="004B14FB">
      <w:pPr>
        <w:pStyle w:val="NoSpacing"/>
        <w:jc w:val="both"/>
        <w:rPr>
          <w:rFonts w:ascii="Arial" w:hAnsi="Arial" w:cs="Arial"/>
          <w:sz w:val="20"/>
          <w:szCs w:val="20"/>
        </w:rPr>
      </w:pPr>
      <w:r>
        <w:rPr>
          <w:rFonts w:ascii="Arial" w:hAnsi="Arial" w:cs="Arial"/>
          <w:sz w:val="20"/>
          <w:szCs w:val="20"/>
        </w:rPr>
        <w:t>34. Tian, J.; Hu, J.; Liu, D.; Yin, J.; Chen, M.; Zhou, L.; Yin, H. Cadmium chloride-induced transgenerational neurotoxicity in zebrafish development. Environ. Toxicol. Pharmacol. 2021, 81, 103545.</w:t>
      </w:r>
    </w:p>
    <w:p w14:paraId="3947E4DE" w14:textId="77777777" w:rsidR="00D03065" w:rsidRDefault="00D03065">
      <w:pPr>
        <w:pStyle w:val="NoSpacing"/>
        <w:jc w:val="both"/>
        <w:rPr>
          <w:rFonts w:ascii="Arial" w:hAnsi="Arial" w:cs="Arial"/>
          <w:sz w:val="20"/>
          <w:szCs w:val="20"/>
        </w:rPr>
      </w:pPr>
    </w:p>
    <w:p w14:paraId="1623FCC1" w14:textId="77777777" w:rsidR="00D03065" w:rsidRDefault="004B14FB">
      <w:pPr>
        <w:pStyle w:val="NoSpacing"/>
        <w:jc w:val="both"/>
        <w:rPr>
          <w:rFonts w:ascii="Arial" w:hAnsi="Arial" w:cs="Arial"/>
          <w:sz w:val="20"/>
          <w:szCs w:val="20"/>
        </w:rPr>
      </w:pPr>
      <w:r>
        <w:rPr>
          <w:rFonts w:ascii="Arial" w:hAnsi="Arial" w:cs="Arial"/>
          <w:sz w:val="20"/>
          <w:szCs w:val="20"/>
        </w:rPr>
        <w:t>35. Dwivedi, N.; Flora, S.J. Concomitant exposure to arsenic and organophosphates on tissue oxidative stress in rats. Food Chem. Toxicol. 2011, 49, 1152–1159.</w:t>
      </w:r>
    </w:p>
    <w:p w14:paraId="7DA4455C" w14:textId="77777777" w:rsidR="00D03065" w:rsidRDefault="00D03065">
      <w:pPr>
        <w:pStyle w:val="NoSpacing"/>
        <w:jc w:val="both"/>
        <w:rPr>
          <w:rFonts w:ascii="Arial" w:hAnsi="Arial" w:cs="Arial"/>
          <w:sz w:val="20"/>
          <w:szCs w:val="20"/>
        </w:rPr>
      </w:pPr>
    </w:p>
    <w:p w14:paraId="2205E50B" w14:textId="77777777" w:rsidR="00D03065" w:rsidRDefault="004B14FB">
      <w:pPr>
        <w:pStyle w:val="NoSpacing"/>
        <w:jc w:val="both"/>
        <w:rPr>
          <w:rFonts w:ascii="Arial" w:hAnsi="Arial" w:cs="Arial"/>
          <w:sz w:val="20"/>
          <w:szCs w:val="20"/>
        </w:rPr>
      </w:pPr>
      <w:r>
        <w:rPr>
          <w:rFonts w:ascii="Arial" w:hAnsi="Arial" w:cs="Arial"/>
          <w:sz w:val="20"/>
          <w:szCs w:val="20"/>
        </w:rPr>
        <w:t>36. Valles, S.; Hernández-Sánchez, J.; Dipp, V.R.; Huerta-González, D.; Olivares-Bañuelos, T.N.; González-Fraga, J.; Bardullas, U. Exposure to low doses of inorganic arsenic induces transgenerational changes on behavioral and epigenetic markers in zebrafish (Danio rerio). Toxicol. Appl. Pharmacol. 2020, 396, 115002.</w:t>
      </w:r>
    </w:p>
    <w:p w14:paraId="57308BF8" w14:textId="77777777" w:rsidR="00D03065" w:rsidRDefault="00D03065">
      <w:pPr>
        <w:pStyle w:val="NoSpacing"/>
        <w:jc w:val="both"/>
        <w:rPr>
          <w:rFonts w:ascii="Arial" w:hAnsi="Arial" w:cs="Arial"/>
          <w:sz w:val="20"/>
          <w:szCs w:val="20"/>
        </w:rPr>
      </w:pPr>
    </w:p>
    <w:p w14:paraId="7C76930A" w14:textId="77777777" w:rsidR="00D03065" w:rsidRDefault="004B14FB">
      <w:pPr>
        <w:pStyle w:val="NoSpacing"/>
        <w:jc w:val="both"/>
        <w:rPr>
          <w:rFonts w:ascii="Arial" w:hAnsi="Arial" w:cs="Arial"/>
          <w:sz w:val="20"/>
          <w:szCs w:val="20"/>
        </w:rPr>
      </w:pPr>
      <w:r>
        <w:rPr>
          <w:rFonts w:ascii="Arial" w:hAnsi="Arial" w:cs="Arial"/>
          <w:sz w:val="20"/>
          <w:szCs w:val="20"/>
        </w:rPr>
        <w:t>37. Li, G.; Cai, F.; Yan, W.; Li, C.; Wang, J. A Proteomic Analysis of MCLR-induced Neurotoxicity: Implications for Alzheimer's Disease. Toxicol. Sci. 2012, 127, 485–495.</w:t>
      </w:r>
    </w:p>
    <w:p w14:paraId="6BF3E0B0" w14:textId="77777777" w:rsidR="00D03065" w:rsidRDefault="00D03065">
      <w:pPr>
        <w:pStyle w:val="NoSpacing"/>
        <w:jc w:val="both"/>
        <w:rPr>
          <w:rFonts w:ascii="Arial" w:hAnsi="Arial" w:cs="Arial"/>
          <w:sz w:val="20"/>
          <w:szCs w:val="20"/>
        </w:rPr>
      </w:pPr>
    </w:p>
    <w:p w14:paraId="05FFBC19" w14:textId="77777777" w:rsidR="00D03065" w:rsidRDefault="004B14FB">
      <w:pPr>
        <w:pStyle w:val="NoSpacing"/>
        <w:jc w:val="both"/>
        <w:rPr>
          <w:rFonts w:ascii="Arial" w:hAnsi="Arial" w:cs="Arial"/>
          <w:sz w:val="20"/>
          <w:szCs w:val="20"/>
        </w:rPr>
      </w:pPr>
      <w:r>
        <w:rPr>
          <w:rFonts w:ascii="Arial" w:hAnsi="Arial" w:cs="Arial"/>
          <w:sz w:val="20"/>
          <w:szCs w:val="20"/>
        </w:rPr>
        <w:t>38. Aduema W, Ifedi IC, Agbai JU and Amah AK. Assessing the Effect of Anxiety Related Behaviour Following Repeated Administration of 5-Hydroxytryptophan In Mice. International Journal of Herbs and Pharmacological Research. 2017, 6(1): 25 - 30</w:t>
      </w:r>
    </w:p>
    <w:p w14:paraId="3EDFBDCF" w14:textId="77777777" w:rsidR="00D03065" w:rsidRDefault="00D03065">
      <w:pPr>
        <w:pStyle w:val="NoSpacing"/>
        <w:jc w:val="both"/>
        <w:rPr>
          <w:rFonts w:ascii="Arial" w:hAnsi="Arial" w:cs="Arial"/>
          <w:sz w:val="20"/>
          <w:szCs w:val="20"/>
        </w:rPr>
      </w:pPr>
    </w:p>
    <w:p w14:paraId="288186EB" w14:textId="77777777" w:rsidR="00D03065" w:rsidRDefault="004B14FB">
      <w:pPr>
        <w:pStyle w:val="NoSpacing"/>
        <w:jc w:val="both"/>
        <w:rPr>
          <w:rFonts w:ascii="Arial" w:hAnsi="Arial" w:cs="Arial"/>
          <w:sz w:val="20"/>
          <w:szCs w:val="20"/>
        </w:rPr>
      </w:pPr>
      <w:r>
        <w:rPr>
          <w:rFonts w:ascii="Arial" w:hAnsi="Arial" w:cs="Arial"/>
          <w:sz w:val="20"/>
          <w:szCs w:val="20"/>
        </w:rPr>
        <w:t>39. Li, P.; Li, Z.-H. Environmental co-exposure to TBT and Cd caused neurotoxicity and thyroid endocrine disruption in zebrafish, a three-generation study in a simulated environment. Environ. Pollut. 2020, 259, 113868.</w:t>
      </w:r>
    </w:p>
    <w:p w14:paraId="0C219B3F" w14:textId="77777777" w:rsidR="00D03065" w:rsidRDefault="00D03065">
      <w:pPr>
        <w:pStyle w:val="NoSpacing"/>
        <w:jc w:val="both"/>
        <w:rPr>
          <w:rFonts w:ascii="Arial" w:hAnsi="Arial" w:cs="Arial"/>
          <w:sz w:val="20"/>
          <w:szCs w:val="20"/>
        </w:rPr>
      </w:pPr>
    </w:p>
    <w:p w14:paraId="004D8A5F" w14:textId="77777777" w:rsidR="00D03065" w:rsidRDefault="004B14FB">
      <w:pPr>
        <w:pStyle w:val="NoSpacing"/>
        <w:jc w:val="both"/>
        <w:rPr>
          <w:rFonts w:ascii="Arial" w:hAnsi="Arial" w:cs="Arial"/>
          <w:sz w:val="20"/>
          <w:szCs w:val="20"/>
        </w:rPr>
      </w:pPr>
      <w:r>
        <w:rPr>
          <w:rFonts w:ascii="Arial" w:hAnsi="Arial" w:cs="Arial"/>
          <w:sz w:val="20"/>
          <w:szCs w:val="20"/>
        </w:rPr>
        <w:t>40. da Rocha, A.; Kist, L.; Almeida, E.; Silva, D.; Bonan, C.; Altenhofen, S.; Kaufmann, C.; Bogo, M.; Barros, D.; Oliveira, S.; et al. Neurotoxicity in zebrafish exposed to carbon nanotubes: Effects on neurotransmitters levels and antioxidant system. Comp. Biochem. Physiol. Part C Toxicol. Pharmacol. 2019, 218, 30–35.</w:t>
      </w:r>
    </w:p>
    <w:p w14:paraId="39C200C1" w14:textId="77777777" w:rsidR="00D03065" w:rsidRDefault="00D03065">
      <w:pPr>
        <w:pStyle w:val="NoSpacing"/>
        <w:jc w:val="both"/>
        <w:rPr>
          <w:rFonts w:ascii="Arial" w:hAnsi="Arial" w:cs="Arial"/>
          <w:sz w:val="20"/>
          <w:szCs w:val="20"/>
        </w:rPr>
      </w:pPr>
    </w:p>
    <w:p w14:paraId="62A3C654" w14:textId="77777777" w:rsidR="00D03065" w:rsidRDefault="004B14FB">
      <w:pPr>
        <w:pStyle w:val="NoSpacing"/>
        <w:jc w:val="both"/>
        <w:rPr>
          <w:rFonts w:ascii="Arial" w:hAnsi="Arial" w:cs="Arial"/>
          <w:sz w:val="20"/>
          <w:szCs w:val="20"/>
        </w:rPr>
      </w:pPr>
      <w:r>
        <w:rPr>
          <w:rFonts w:ascii="Arial" w:hAnsi="Arial" w:cs="Arial"/>
          <w:sz w:val="20"/>
          <w:szCs w:val="20"/>
        </w:rPr>
        <w:t>41. Mukherjee, K.; Knisely, A.; Jacobson, L. Partial Glucocorticoid Agonist-Like Effects of Imipramine on Hypothalamic-Pituitary-Adrenocortical Activity, Thymus Weight, and Hippocampal Glucocorticoid Receptors in Male C57BL/6 Mice. Endocrinology 2004, 145, 4185–4191.</w:t>
      </w:r>
    </w:p>
    <w:p w14:paraId="3FFC610D" w14:textId="77777777" w:rsidR="00D03065" w:rsidRDefault="00D03065">
      <w:pPr>
        <w:pStyle w:val="NoSpacing"/>
        <w:jc w:val="both"/>
        <w:rPr>
          <w:rFonts w:ascii="Arial" w:hAnsi="Arial" w:cs="Arial"/>
          <w:sz w:val="20"/>
          <w:szCs w:val="20"/>
        </w:rPr>
      </w:pPr>
    </w:p>
    <w:p w14:paraId="50241613" w14:textId="77777777" w:rsidR="00D03065" w:rsidRDefault="004B14FB">
      <w:pPr>
        <w:pStyle w:val="NoSpacing"/>
        <w:jc w:val="both"/>
        <w:rPr>
          <w:rFonts w:ascii="Arial" w:hAnsi="Arial" w:cs="Arial"/>
          <w:sz w:val="20"/>
          <w:szCs w:val="20"/>
        </w:rPr>
      </w:pPr>
      <w:r>
        <w:rPr>
          <w:rFonts w:ascii="Arial" w:hAnsi="Arial" w:cs="Arial"/>
          <w:sz w:val="20"/>
          <w:szCs w:val="20"/>
        </w:rPr>
        <w:t>42. Berridge, C.W.; Devilbiss, D.M.; Martin, A.J.; Spencer, R.C.; Jenison, R.L. Stress degrades working memory-related frontostriatal circuit function. Cereb. Cortex 2023, 33, 7857–7869.</w:t>
      </w:r>
    </w:p>
    <w:p w14:paraId="136FB564" w14:textId="77777777" w:rsidR="00D03065" w:rsidRDefault="00D03065">
      <w:pPr>
        <w:pStyle w:val="NoSpacing"/>
        <w:jc w:val="both"/>
        <w:rPr>
          <w:rFonts w:ascii="Arial" w:hAnsi="Arial" w:cs="Arial"/>
          <w:sz w:val="20"/>
          <w:szCs w:val="20"/>
        </w:rPr>
      </w:pPr>
    </w:p>
    <w:p w14:paraId="3F8E72AD" w14:textId="77777777" w:rsidR="00D03065" w:rsidRDefault="004B14FB">
      <w:pPr>
        <w:pStyle w:val="NoSpacing"/>
        <w:jc w:val="both"/>
        <w:rPr>
          <w:rFonts w:ascii="Arial" w:hAnsi="Arial" w:cs="Arial"/>
          <w:sz w:val="20"/>
          <w:szCs w:val="20"/>
        </w:rPr>
      </w:pPr>
      <w:r>
        <w:rPr>
          <w:rFonts w:ascii="Arial" w:hAnsi="Arial" w:cs="Arial"/>
          <w:sz w:val="20"/>
          <w:szCs w:val="20"/>
        </w:rPr>
        <w:t>43. Tolins, M.; Ruchirawat, M.; Landrigan, P. The developmental neurotoxicity of arsenic: Cognitive and behavioral consequences of early life exposure. Ann. Glob. Health 2014, 80, 303–314.</w:t>
      </w:r>
    </w:p>
    <w:p w14:paraId="56D23D46" w14:textId="77777777" w:rsidR="00D03065" w:rsidRDefault="00D03065">
      <w:pPr>
        <w:pStyle w:val="NoSpacing"/>
        <w:jc w:val="both"/>
        <w:rPr>
          <w:rFonts w:ascii="Arial" w:hAnsi="Arial" w:cs="Arial"/>
          <w:sz w:val="20"/>
          <w:szCs w:val="20"/>
        </w:rPr>
      </w:pPr>
    </w:p>
    <w:p w14:paraId="5A858BE2" w14:textId="77777777" w:rsidR="00D03065" w:rsidRDefault="004B14FB">
      <w:pPr>
        <w:pStyle w:val="NoSpacing"/>
        <w:jc w:val="both"/>
        <w:rPr>
          <w:rFonts w:ascii="Arial" w:hAnsi="Arial" w:cs="Arial"/>
          <w:sz w:val="20"/>
          <w:szCs w:val="20"/>
        </w:rPr>
      </w:pPr>
      <w:r>
        <w:rPr>
          <w:rFonts w:ascii="Arial" w:hAnsi="Arial" w:cs="Arial"/>
          <w:sz w:val="20"/>
          <w:szCs w:val="20"/>
        </w:rPr>
        <w:t>44. Wang, Q.; Lam, J.C.-W.; Man, Y.-C.; Lai, N.L.-S.; Kwok, K.Y.; Guo, Y.Y.; Lam, P.K.-S.; Zhou, B. Bioconcentration, metabolism and neurotoxicity of the organophorous flame retardant 1,3-dichloro 2-propyl phosphate (TDCPP) to zebrafish. Aquat. Toxicol. 2015, 158, 108–115.</w:t>
      </w:r>
    </w:p>
    <w:p w14:paraId="505434B1" w14:textId="77777777" w:rsidR="00D03065" w:rsidRDefault="00D03065">
      <w:pPr>
        <w:pStyle w:val="NoSpacing"/>
        <w:jc w:val="both"/>
        <w:rPr>
          <w:rFonts w:ascii="Arial" w:hAnsi="Arial" w:cs="Arial"/>
          <w:sz w:val="20"/>
          <w:szCs w:val="20"/>
        </w:rPr>
      </w:pPr>
    </w:p>
    <w:p w14:paraId="4976511A" w14:textId="77777777" w:rsidR="00D03065" w:rsidRDefault="004B14FB">
      <w:pPr>
        <w:pStyle w:val="NoSpacing"/>
        <w:jc w:val="both"/>
        <w:rPr>
          <w:rFonts w:ascii="Arial" w:hAnsi="Arial" w:cs="Arial"/>
          <w:sz w:val="20"/>
          <w:szCs w:val="20"/>
        </w:rPr>
      </w:pPr>
      <w:r>
        <w:rPr>
          <w:rFonts w:ascii="Arial" w:hAnsi="Arial" w:cs="Arial"/>
          <w:sz w:val="20"/>
          <w:szCs w:val="20"/>
        </w:rPr>
        <w:t xml:space="preserve">45. Ovie FO, Nwanama EK, Nwafor CC, Mbang JE, Mayaki EO, Nnachi IS, Ugwu VI. Nephroprotective Effects of Cajanus cajan on Lead acetate-Induced Kidney Damage of Male Wistar Rats. J Exp Clin Anat. 2023; 20(2):50-54. </w:t>
      </w:r>
    </w:p>
    <w:p w14:paraId="5B123460" w14:textId="77777777" w:rsidR="00D03065" w:rsidRDefault="00D03065">
      <w:pPr>
        <w:pStyle w:val="NoSpacing"/>
        <w:jc w:val="both"/>
        <w:rPr>
          <w:rFonts w:ascii="Arial" w:hAnsi="Arial" w:cs="Arial"/>
          <w:sz w:val="20"/>
          <w:szCs w:val="20"/>
        </w:rPr>
      </w:pPr>
    </w:p>
    <w:p w14:paraId="64703039" w14:textId="77777777" w:rsidR="00D03065" w:rsidRDefault="004B14FB">
      <w:pPr>
        <w:pStyle w:val="NoSpacing"/>
        <w:jc w:val="both"/>
        <w:rPr>
          <w:rFonts w:ascii="Arial" w:hAnsi="Arial" w:cs="Arial"/>
          <w:sz w:val="20"/>
          <w:szCs w:val="20"/>
        </w:rPr>
      </w:pPr>
      <w:r>
        <w:rPr>
          <w:rFonts w:ascii="Arial" w:hAnsi="Arial" w:cs="Arial"/>
          <w:sz w:val="20"/>
          <w:szCs w:val="20"/>
        </w:rPr>
        <w:t xml:space="preserve">46. Nwafor CC, Ifedi IC, Inyang EP, Uvoh SM, Ogwihi OK, Ebiyemzi AB. Fleurya aestuans leaves and tetrahydroxyflavone mitigate lead-induced testicular toxicity in Wistar rats. J Adv Med Pharm Sci. 2021;23(10):35–47. </w:t>
      </w:r>
    </w:p>
    <w:p w14:paraId="3EF6E362" w14:textId="77777777" w:rsidR="00D03065" w:rsidRDefault="00D03065">
      <w:pPr>
        <w:pStyle w:val="NoSpacing"/>
        <w:jc w:val="both"/>
        <w:rPr>
          <w:rFonts w:ascii="Arial" w:hAnsi="Arial" w:cs="Arial"/>
          <w:sz w:val="20"/>
          <w:szCs w:val="20"/>
        </w:rPr>
      </w:pPr>
    </w:p>
    <w:p w14:paraId="207DF6ED" w14:textId="77777777" w:rsidR="00D03065" w:rsidRDefault="004B14FB">
      <w:pPr>
        <w:pStyle w:val="NoSpacing"/>
        <w:jc w:val="both"/>
        <w:rPr>
          <w:rFonts w:ascii="Arial" w:hAnsi="Arial" w:cs="Arial"/>
          <w:sz w:val="20"/>
          <w:szCs w:val="20"/>
        </w:rPr>
      </w:pPr>
      <w:r>
        <w:rPr>
          <w:rFonts w:ascii="Arial" w:hAnsi="Arial" w:cs="Arial"/>
          <w:sz w:val="20"/>
          <w:szCs w:val="20"/>
        </w:rPr>
        <w:t xml:space="preserve">47. Green IK, Kinikanwo CC, Nwafor CC, Iyke WI. Attenuation of reproductive dysfunctions by hydroethanolic leaf extract of Fleurya aestuans in diabetic rats. Asian Res J Gynaecol Obstet. 2021;6(2):24–31. </w:t>
      </w:r>
    </w:p>
    <w:p w14:paraId="1B76B126" w14:textId="77777777" w:rsidR="00D03065" w:rsidRDefault="00D03065">
      <w:pPr>
        <w:pStyle w:val="NoSpacing"/>
        <w:jc w:val="both"/>
        <w:rPr>
          <w:rFonts w:ascii="Arial" w:hAnsi="Arial" w:cs="Arial"/>
          <w:sz w:val="20"/>
          <w:szCs w:val="20"/>
        </w:rPr>
      </w:pPr>
    </w:p>
    <w:p w14:paraId="3376CA7C" w14:textId="77777777" w:rsidR="00D03065" w:rsidRDefault="004B14FB">
      <w:pPr>
        <w:pStyle w:val="NoSpacing"/>
        <w:jc w:val="both"/>
        <w:rPr>
          <w:rFonts w:ascii="Arial" w:hAnsi="Arial" w:cs="Arial"/>
          <w:sz w:val="20"/>
          <w:szCs w:val="20"/>
        </w:rPr>
      </w:pPr>
      <w:r>
        <w:rPr>
          <w:rFonts w:ascii="Arial" w:hAnsi="Arial" w:cs="Arial"/>
          <w:sz w:val="20"/>
          <w:szCs w:val="20"/>
        </w:rPr>
        <w:t>48. Okafor K. Oluchi , Nwafor C. Charles, Ifedi I. Charles , Ovie F. O , Agbor Joseph and Nwachukwu C. Daneil: Metformin and Caffeine's Influence on Lipid Profile Indices of Streptozotocin-Induced Dyslipidemia in an Animal Model. Journal of Pharmaceutical Research International. 2024; 36 (10), 24-38</w:t>
      </w:r>
    </w:p>
    <w:p w14:paraId="6F42BC0E" w14:textId="77777777" w:rsidR="00D03065" w:rsidRDefault="00D03065">
      <w:pPr>
        <w:pStyle w:val="NoSpacing"/>
        <w:jc w:val="both"/>
        <w:rPr>
          <w:rFonts w:ascii="Arial" w:hAnsi="Arial" w:cs="Arial"/>
          <w:sz w:val="20"/>
          <w:szCs w:val="20"/>
        </w:rPr>
      </w:pPr>
    </w:p>
    <w:p w14:paraId="6E354A16" w14:textId="77777777" w:rsidR="00D03065" w:rsidRDefault="004B14FB">
      <w:pPr>
        <w:pStyle w:val="NoSpacing"/>
        <w:jc w:val="both"/>
        <w:rPr>
          <w:rFonts w:ascii="Arial" w:hAnsi="Arial" w:cs="Arial"/>
          <w:sz w:val="20"/>
          <w:szCs w:val="20"/>
        </w:rPr>
      </w:pPr>
      <w:r>
        <w:rPr>
          <w:rFonts w:ascii="Arial" w:hAnsi="Arial" w:cs="Arial"/>
          <w:sz w:val="20"/>
          <w:szCs w:val="20"/>
        </w:rPr>
        <w:t xml:space="preserve">49. Izunwanne DI , Mobisson SK, Nwafor CC , Ifedi IC, Onwukaike CI and Izunwanne HA. Excitatory Effect of Urtica dioica on Locomotor Behaviour of Mice Using the Open Field Maze Task. *Journal of Complementary and Alternative Medical Research. 2024;* 25 (2), 34-42. </w:t>
      </w:r>
    </w:p>
    <w:p w14:paraId="0D682881" w14:textId="77777777" w:rsidR="00D03065" w:rsidRDefault="00D03065">
      <w:pPr>
        <w:pStyle w:val="NoSpacing"/>
        <w:jc w:val="both"/>
        <w:rPr>
          <w:rFonts w:ascii="Arial" w:hAnsi="Arial" w:cs="Arial"/>
          <w:sz w:val="20"/>
          <w:szCs w:val="20"/>
        </w:rPr>
      </w:pPr>
    </w:p>
    <w:p w14:paraId="6FE68FBD" w14:textId="77777777" w:rsidR="00D03065" w:rsidRDefault="004B14FB">
      <w:pPr>
        <w:pStyle w:val="NoSpacing"/>
        <w:jc w:val="both"/>
        <w:rPr>
          <w:rFonts w:ascii="Arial" w:hAnsi="Arial" w:cs="Arial"/>
          <w:sz w:val="20"/>
          <w:szCs w:val="20"/>
        </w:rPr>
      </w:pPr>
      <w:r>
        <w:rPr>
          <w:rFonts w:ascii="Arial" w:hAnsi="Arial" w:cs="Arial"/>
          <w:sz w:val="20"/>
          <w:szCs w:val="20"/>
        </w:rPr>
        <w:lastRenderedPageBreak/>
        <w:t xml:space="preserve">50. Ifedi Izuchukwu C, Chuemere AN, and Olorunfemi O J. Investigation of Cortisol Pattern Oxidative Stress Markers' Activity In Anxiety/Depressive States Of Stress-Evoked Wistar Rats. 2021; 10(10), 174-187. </w:t>
      </w:r>
    </w:p>
    <w:p w14:paraId="7B252C4F" w14:textId="77777777" w:rsidR="00D03065" w:rsidRDefault="00D03065">
      <w:pPr>
        <w:pStyle w:val="NoSpacing"/>
        <w:jc w:val="both"/>
        <w:rPr>
          <w:rFonts w:ascii="Arial" w:hAnsi="Arial" w:cs="Arial"/>
          <w:sz w:val="20"/>
          <w:szCs w:val="20"/>
        </w:rPr>
      </w:pPr>
    </w:p>
    <w:p w14:paraId="5C21CD35" w14:textId="77777777" w:rsidR="00D03065" w:rsidRDefault="004B14FB">
      <w:pPr>
        <w:pStyle w:val="NoSpacing"/>
        <w:jc w:val="both"/>
        <w:rPr>
          <w:rFonts w:ascii="Arial" w:hAnsi="Arial" w:cs="Arial"/>
          <w:sz w:val="20"/>
          <w:szCs w:val="20"/>
        </w:rPr>
      </w:pPr>
      <w:r>
        <w:rPr>
          <w:rFonts w:ascii="Arial" w:hAnsi="Arial" w:cs="Arial"/>
          <w:sz w:val="20"/>
          <w:szCs w:val="20"/>
        </w:rPr>
        <w:t xml:space="preserve">51. Ifedi IC, Ezeokafor EN, Dim CN, Dike CC, Eyeghre OA, Hudu AA and Okoye KP. Hypoglycemic and Hepatocurative Activities of Aju-Mbaise on Alloxan-Diabetic Model In Male Wistar Rat. *International Journal of Science Academic Research.* 2021; 2(5), 1515-1520. </w:t>
      </w:r>
    </w:p>
    <w:p w14:paraId="17CA437F" w14:textId="77777777" w:rsidR="00D03065" w:rsidRDefault="00D03065">
      <w:pPr>
        <w:pStyle w:val="NoSpacing"/>
        <w:jc w:val="both"/>
        <w:rPr>
          <w:rFonts w:ascii="Arial" w:hAnsi="Arial" w:cs="Arial"/>
          <w:sz w:val="20"/>
          <w:szCs w:val="20"/>
        </w:rPr>
      </w:pPr>
    </w:p>
    <w:p w14:paraId="458C1F6D" w14:textId="77777777" w:rsidR="00D03065" w:rsidRDefault="004B14FB">
      <w:pPr>
        <w:pStyle w:val="NoSpacing"/>
        <w:jc w:val="both"/>
        <w:rPr>
          <w:rFonts w:ascii="Arial" w:hAnsi="Arial" w:cs="Arial"/>
          <w:sz w:val="20"/>
          <w:szCs w:val="20"/>
        </w:rPr>
      </w:pPr>
      <w:r>
        <w:rPr>
          <w:rFonts w:ascii="Arial" w:hAnsi="Arial" w:cs="Arial"/>
          <w:sz w:val="20"/>
          <w:szCs w:val="20"/>
        </w:rPr>
        <w:t>52. Oguwike FN, Offor CC , Igwedibia CP, Ifedi IC , Usige E, Okeke J. Potentiality of Combined Aqueous Extracts of Ginger, Garlic and Lemon Juice in Controlling Obesity and Diabetes Mellitus in Albino Wistar Rats. *Greener Journal of Medical Sciences.* 2021; 11(1), 1-7.</w:t>
      </w:r>
    </w:p>
    <w:p w14:paraId="2B9E6C98" w14:textId="77777777" w:rsidR="00D03065" w:rsidRDefault="00D03065">
      <w:pPr>
        <w:pStyle w:val="NoSpacing"/>
        <w:jc w:val="both"/>
        <w:rPr>
          <w:rFonts w:ascii="Arial" w:hAnsi="Arial" w:cs="Arial"/>
          <w:sz w:val="20"/>
          <w:szCs w:val="20"/>
        </w:rPr>
      </w:pPr>
    </w:p>
    <w:p w14:paraId="77B8CE72" w14:textId="77777777" w:rsidR="00D03065" w:rsidRDefault="004B14FB">
      <w:pPr>
        <w:pStyle w:val="NoSpacing"/>
        <w:jc w:val="both"/>
        <w:rPr>
          <w:rFonts w:ascii="Arial" w:hAnsi="Arial" w:cs="Arial"/>
          <w:sz w:val="20"/>
          <w:szCs w:val="20"/>
        </w:rPr>
      </w:pPr>
      <w:r>
        <w:rPr>
          <w:rFonts w:ascii="Arial" w:hAnsi="Arial" w:cs="Arial"/>
          <w:sz w:val="20"/>
          <w:szCs w:val="20"/>
        </w:rPr>
        <w:t>53. Michael O. Onyewuchi , Ovie F. Ogbo , Charles C. Nwafor , Oliver N. Lilian and W. Ikpama. Apoptotic and Structural Changes in Lungs Tissues of Toluene Induced Respiratory Injury in Wistar Rats. *Asian Journal of Research in Nursing and Health.* 2022, 5(1): 9-17.</w:t>
      </w:r>
    </w:p>
    <w:p w14:paraId="07D4D358" w14:textId="77777777" w:rsidR="00D03065" w:rsidRDefault="00D03065">
      <w:pPr>
        <w:pStyle w:val="NoSpacing"/>
        <w:jc w:val="both"/>
        <w:rPr>
          <w:rFonts w:ascii="Arial" w:hAnsi="Arial" w:cs="Arial"/>
          <w:sz w:val="20"/>
          <w:szCs w:val="20"/>
        </w:rPr>
      </w:pPr>
    </w:p>
    <w:p w14:paraId="762EC1B3" w14:textId="77777777" w:rsidR="00F93D71" w:rsidRDefault="004B14FB" w:rsidP="00F93D71">
      <w:pPr>
        <w:pStyle w:val="NoSpacing"/>
        <w:jc w:val="both"/>
        <w:rPr>
          <w:rFonts w:ascii="Arial" w:hAnsi="Arial" w:cs="Arial"/>
          <w:sz w:val="20"/>
          <w:szCs w:val="20"/>
        </w:rPr>
      </w:pPr>
      <w:r>
        <w:rPr>
          <w:rFonts w:ascii="Arial" w:hAnsi="Arial" w:cs="Arial"/>
          <w:sz w:val="20"/>
          <w:szCs w:val="20"/>
        </w:rPr>
        <w:t>54. Charles II, Charles CN, Augustina UE, Blessing OI, Immaculata MO, Maduka LN. Lupinus arboreus Leaf Extract Modulates Haematosuppression by Cyclophosphamide Toxicity in Wistar Rats. Tropical Journal of Natural Product Research. 2026; 10(1): 6922 – 6926</w:t>
      </w:r>
    </w:p>
    <w:p w14:paraId="3187885F" w14:textId="77777777" w:rsidR="00F93D71" w:rsidRDefault="00F93D71" w:rsidP="00F93D71">
      <w:pPr>
        <w:pStyle w:val="NoSpacing"/>
        <w:jc w:val="both"/>
        <w:rPr>
          <w:rFonts w:ascii="Arial" w:hAnsi="Arial" w:cs="Arial"/>
          <w:sz w:val="20"/>
          <w:szCs w:val="20"/>
        </w:rPr>
      </w:pPr>
    </w:p>
    <w:p w14:paraId="0D98F1F1" w14:textId="67AFD108" w:rsidR="00F93D71" w:rsidRPr="00F93D71" w:rsidRDefault="00F93D71" w:rsidP="00F93D71">
      <w:pPr>
        <w:pStyle w:val="NoSpacing"/>
        <w:jc w:val="both"/>
        <w:rPr>
          <w:rFonts w:ascii="Arial" w:hAnsi="Arial" w:cs="Arial"/>
          <w:sz w:val="20"/>
          <w:szCs w:val="20"/>
        </w:rPr>
      </w:pPr>
      <w:r w:rsidRPr="00F93D71">
        <w:rPr>
          <w:rFonts w:ascii="Arial" w:hAnsi="Arial" w:cs="Arial"/>
          <w:sz w:val="20"/>
          <w:szCs w:val="20"/>
          <w:highlight w:val="yellow"/>
        </w:rPr>
        <w:t xml:space="preserve">55. </w:t>
      </w:r>
      <w:r w:rsidRPr="00F93D71">
        <w:rPr>
          <w:rFonts w:ascii="Times New Roman" w:hAnsi="Times New Roman" w:cs="Times New Roman"/>
          <w:sz w:val="24"/>
          <w:szCs w:val="24"/>
          <w:highlight w:val="yellow"/>
        </w:rPr>
        <w:t>National Institute of Health. Laboratory animal welfare. U.S Dept Health Hum Serv. 1985; 14, 8.</w:t>
      </w:r>
    </w:p>
    <w:p w14:paraId="6788D2E3" w14:textId="6EA36650" w:rsidR="00F93D71" w:rsidRDefault="00F93D71">
      <w:pPr>
        <w:pStyle w:val="NoSpacing"/>
        <w:jc w:val="both"/>
        <w:rPr>
          <w:rFonts w:ascii="Arial" w:hAnsi="Arial" w:cs="Arial"/>
          <w:sz w:val="20"/>
          <w:szCs w:val="20"/>
        </w:rPr>
      </w:pPr>
    </w:p>
    <w:p w14:paraId="7DBC0D39" w14:textId="77777777" w:rsidR="00D03065" w:rsidRDefault="00D03065">
      <w:pPr>
        <w:pStyle w:val="NoSpacing"/>
        <w:jc w:val="both"/>
        <w:rPr>
          <w:rFonts w:ascii="Arial" w:hAnsi="Arial" w:cs="Arial"/>
          <w:sz w:val="20"/>
          <w:szCs w:val="20"/>
        </w:rPr>
      </w:pPr>
    </w:p>
    <w:p w14:paraId="32542DE2" w14:textId="77777777" w:rsidR="00D03065" w:rsidRDefault="00D03065">
      <w:pPr>
        <w:pStyle w:val="NoSpacing"/>
        <w:jc w:val="both"/>
        <w:rPr>
          <w:rFonts w:ascii="Arial" w:hAnsi="Arial" w:cs="Arial"/>
          <w:sz w:val="20"/>
          <w:szCs w:val="20"/>
        </w:rPr>
      </w:pPr>
    </w:p>
    <w:p w14:paraId="6270F969" w14:textId="77777777" w:rsidR="00D03065" w:rsidRDefault="00D03065">
      <w:pPr>
        <w:rPr>
          <w:rFonts w:ascii="Arial" w:hAnsi="Arial" w:cs="Arial"/>
          <w:sz w:val="20"/>
          <w:szCs w:val="20"/>
        </w:rPr>
      </w:pPr>
    </w:p>
    <w:p w14:paraId="231D27D5" w14:textId="77777777" w:rsidR="00D03065" w:rsidRDefault="00D03065">
      <w:pPr>
        <w:pStyle w:val="NoSpacing"/>
        <w:jc w:val="both"/>
        <w:rPr>
          <w:rFonts w:ascii="Arial" w:hAnsi="Arial" w:cs="Arial"/>
          <w:sz w:val="20"/>
          <w:szCs w:val="20"/>
        </w:rPr>
      </w:pPr>
    </w:p>
    <w:sectPr w:rsidR="00D03065">
      <w:headerReference w:type="even" r:id="rId15"/>
      <w:headerReference w:type="default" r:id="rId16"/>
      <w:footerReference w:type="even" r:id="rId17"/>
      <w:footerReference w:type="default" r:id="rId18"/>
      <w:headerReference w:type="first" r:id="rId19"/>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AF448" w14:textId="77777777" w:rsidR="001A7A1F" w:rsidRDefault="001A7A1F">
      <w:pPr>
        <w:spacing w:after="0" w:line="240" w:lineRule="auto"/>
      </w:pPr>
      <w:r>
        <w:separator/>
      </w:r>
    </w:p>
  </w:endnote>
  <w:endnote w:type="continuationSeparator" w:id="0">
    <w:p w14:paraId="38B9A275" w14:textId="77777777" w:rsidR="001A7A1F" w:rsidRDefault="001A7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9E714" w14:textId="77777777" w:rsidR="00D03065" w:rsidRDefault="00D03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186AC" w14:textId="77777777" w:rsidR="00D03065" w:rsidRDefault="00D03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0924E" w14:textId="77777777" w:rsidR="001A7A1F" w:rsidRDefault="001A7A1F">
      <w:pPr>
        <w:spacing w:after="0" w:line="240" w:lineRule="auto"/>
      </w:pPr>
      <w:r>
        <w:separator/>
      </w:r>
    </w:p>
  </w:footnote>
  <w:footnote w:type="continuationSeparator" w:id="0">
    <w:p w14:paraId="63C33815" w14:textId="77777777" w:rsidR="001A7A1F" w:rsidRDefault="001A7A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74275" w14:textId="77777777" w:rsidR="00D03065" w:rsidRDefault="001A7A1F">
    <w:pPr>
      <w:pStyle w:val="Header"/>
    </w:pPr>
    <w:r>
      <w:rPr>
        <w:noProof/>
      </w:rPr>
      <w:pict w14:anchorId="2E2992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89.05pt;height:62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Georg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6210B" w14:textId="77777777" w:rsidR="00D03065" w:rsidRDefault="001A7A1F">
    <w:pPr>
      <w:pStyle w:val="Header"/>
    </w:pPr>
    <w:r>
      <w:rPr>
        <w:noProof/>
      </w:rPr>
      <w:pict w14:anchorId="0BD32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89.05pt;height:62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Georg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CDB3F" w14:textId="77777777" w:rsidR="00D03065" w:rsidRDefault="001A7A1F">
    <w:pPr>
      <w:pStyle w:val="Header"/>
    </w:pPr>
    <w:r>
      <w:rPr>
        <w:noProof/>
      </w:rPr>
      <w:pict w14:anchorId="3F9F0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89.05pt;height:62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Georg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252B3"/>
    <w:multiLevelType w:val="multilevel"/>
    <w:tmpl w:val="C3C6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B30FC"/>
    <w:multiLevelType w:val="multilevel"/>
    <w:tmpl w:val="D1207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0E0439"/>
    <w:multiLevelType w:val="hybridMultilevel"/>
    <w:tmpl w:val="F176068A"/>
    <w:lvl w:ilvl="0" w:tplc="53821322">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250681"/>
    <w:multiLevelType w:val="hybridMultilevel"/>
    <w:tmpl w:val="4B903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8600D8"/>
    <w:multiLevelType w:val="hybridMultilevel"/>
    <w:tmpl w:val="28B634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5A7471"/>
    <w:multiLevelType w:val="multilevel"/>
    <w:tmpl w:val="EE62DEB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065"/>
    <w:rsid w:val="0006125B"/>
    <w:rsid w:val="001A7A1F"/>
    <w:rsid w:val="002F5CB9"/>
    <w:rsid w:val="0032301E"/>
    <w:rsid w:val="00442100"/>
    <w:rsid w:val="00464DE2"/>
    <w:rsid w:val="00472981"/>
    <w:rsid w:val="004B14FB"/>
    <w:rsid w:val="00550B3B"/>
    <w:rsid w:val="006227A7"/>
    <w:rsid w:val="006C1D1F"/>
    <w:rsid w:val="007B28E9"/>
    <w:rsid w:val="00945078"/>
    <w:rsid w:val="00A10B9C"/>
    <w:rsid w:val="00A820A8"/>
    <w:rsid w:val="00A92BED"/>
    <w:rsid w:val="00A935CD"/>
    <w:rsid w:val="00C53CDA"/>
    <w:rsid w:val="00CE1F05"/>
    <w:rsid w:val="00D03065"/>
    <w:rsid w:val="00D77A95"/>
    <w:rsid w:val="00E648B0"/>
    <w:rsid w:val="00F10045"/>
    <w:rsid w:val="00F7684F"/>
    <w:rsid w:val="00F93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18CE0F"/>
  <w15:docId w15:val="{62F8C124-8CCE-4B3E-BF0E-080BAC5C1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line="240" w:lineRule="atLeast"/>
    </w:pPr>
    <w:rPr>
      <w:rFonts w:ascii="Georgia"/>
      <w:sz w:val="21"/>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pPr>
      <w:spacing w:after="0" w:line="240" w:lineRule="auto"/>
    </w:pPr>
    <w:rPr>
      <w:rFonts w:ascii="Consolas" w:hAnsi="Consolas" w:cs="Consolas"/>
      <w:szCs w:val="21"/>
      <w:lang w:val="en-GB"/>
    </w:rPr>
  </w:style>
  <w:style w:type="character" w:customStyle="1" w:styleId="PlainTextChar">
    <w:name w:val="Plain Text Char"/>
    <w:basedOn w:val="DefaultParagraphFont"/>
    <w:link w:val="PlainText"/>
    <w:uiPriority w:val="99"/>
    <w:rPr>
      <w:rFonts w:ascii="Consolas" w:hAnsi="Consolas" w:cs="Consolas"/>
      <w:sz w:val="21"/>
      <w:szCs w:val="21"/>
    </w:rPr>
  </w:style>
  <w:style w:type="paragraph" w:styleId="NoSpacing">
    <w:name w:val="No Spacing"/>
    <w:link w:val="NoSpacingChar"/>
    <w:uiPriority w:val="1"/>
    <w:qFormat/>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US"/>
    </w:rPr>
  </w:style>
  <w:style w:type="table" w:customStyle="1" w:styleId="PlainTable51">
    <w:name w:val="Plain Table 51"/>
    <w:basedOn w:val="TableNormal"/>
    <w:uiPriority w:val="45"/>
    <w:pPr>
      <w:spacing w:after="0" w:line="240" w:lineRule="auto"/>
    </w:pPr>
    <w:tblPr>
      <w:tblStyleRowBandSize w:val="1"/>
      <w:tblStyleColBandSize w:val="1"/>
    </w:tblPr>
    <w:tblStylePr w:type="firstRow">
      <w:rPr>
        <w:rFonts w:ascii="Cambria" w:eastAsia="SimSun" w:hAnsi="Cambria" w:cs="SimSun"/>
        <w:i/>
        <w:iCs/>
        <w:sz w:val="26"/>
      </w:rPr>
      <w:tblPr/>
      <w:tcPr>
        <w:tcBorders>
          <w:bottom w:val="single" w:sz="4" w:space="0" w:color="7F7F7F"/>
        </w:tcBorders>
        <w:shd w:val="clear" w:color="auto" w:fill="FFFFFF"/>
      </w:tcPr>
    </w:tblStylePr>
    <w:tblStylePr w:type="lastRow">
      <w:rPr>
        <w:rFonts w:ascii="Cambria" w:eastAsia="SimSun" w:hAnsi="Cambria" w:cs="SimSun"/>
        <w:i/>
        <w:iCs/>
        <w:sz w:val="26"/>
      </w:rPr>
      <w:tblPr/>
      <w:tcPr>
        <w:tcBorders>
          <w:top w:val="single" w:sz="4" w:space="0" w:color="7F7F7F"/>
        </w:tcBorders>
        <w:shd w:val="clear" w:color="auto" w:fill="FFFFFF"/>
      </w:tcPr>
    </w:tblStylePr>
    <w:tblStylePr w:type="firstCol">
      <w:pPr>
        <w:jc w:val="right"/>
      </w:pPr>
      <w:rPr>
        <w:rFonts w:ascii="Cambria" w:eastAsia="SimSun" w:hAnsi="Cambria" w:cs="SimSun"/>
        <w:i/>
        <w:iCs/>
        <w:sz w:val="26"/>
      </w:rPr>
      <w:tblPr/>
      <w:tcPr>
        <w:tcBorders>
          <w:right w:val="single" w:sz="4" w:space="0" w:color="7F7F7F"/>
        </w:tcBorders>
        <w:shd w:val="clear" w:color="auto" w:fill="FFFFFF"/>
      </w:tcPr>
    </w:tblStylePr>
    <w:tblStylePr w:type="lastCol">
      <w:rPr>
        <w:rFonts w:ascii="Cambria" w:eastAsia="SimSun" w:hAnsi="Cambria" w:cs="SimSu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ListParagraph">
    <w:name w:val="List Paragraph"/>
    <w:basedOn w:val="Normal"/>
    <w:uiPriority w:val="34"/>
    <w:qFormat/>
    <w:pPr>
      <w:spacing w:after="200" w:line="276" w:lineRule="auto"/>
      <w:ind w:left="720"/>
      <w:contextualSpacing/>
    </w:pPr>
    <w:rPr>
      <w:rFonts w:ascii="Calibri"/>
      <w:sz w:val="22"/>
    </w:r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Georgia"/>
      <w:sz w:val="21"/>
      <w:lang w:val="en-US"/>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Georgia"/>
      <w:sz w:val="21"/>
      <w:lang w:val="en-US"/>
    </w:rPr>
  </w:style>
  <w:style w:type="character" w:customStyle="1" w:styleId="NoSpacingChar">
    <w:name w:val="No Spacing Char"/>
    <w:link w:val="NoSpacing"/>
    <w:uiPriority w:val="1"/>
    <w:locked/>
    <w:rsid w:val="00F93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763561">
      <w:bodyDiv w:val="1"/>
      <w:marLeft w:val="0"/>
      <w:marRight w:val="0"/>
      <w:marTop w:val="0"/>
      <w:marBottom w:val="0"/>
      <w:divBdr>
        <w:top w:val="none" w:sz="0" w:space="0" w:color="auto"/>
        <w:left w:val="none" w:sz="0" w:space="0" w:color="auto"/>
        <w:bottom w:val="none" w:sz="0" w:space="0" w:color="auto"/>
        <w:right w:val="none" w:sz="0" w:space="0" w:color="auto"/>
      </w:divBdr>
    </w:div>
    <w:div w:id="943270168">
      <w:bodyDiv w:val="1"/>
      <w:marLeft w:val="0"/>
      <w:marRight w:val="0"/>
      <w:marTop w:val="0"/>
      <w:marBottom w:val="0"/>
      <w:divBdr>
        <w:top w:val="none" w:sz="0" w:space="0" w:color="auto"/>
        <w:left w:val="none" w:sz="0" w:space="0" w:color="auto"/>
        <w:bottom w:val="none" w:sz="0" w:space="0" w:color="auto"/>
        <w:right w:val="none" w:sz="0" w:space="0" w:color="auto"/>
      </w:divBdr>
    </w:div>
    <w:div w:id="1384019155">
      <w:bodyDiv w:val="1"/>
      <w:marLeft w:val="0"/>
      <w:marRight w:val="0"/>
      <w:marTop w:val="0"/>
      <w:marBottom w:val="0"/>
      <w:divBdr>
        <w:top w:val="none" w:sz="0" w:space="0" w:color="auto"/>
        <w:left w:val="none" w:sz="0" w:space="0" w:color="auto"/>
        <w:bottom w:val="none" w:sz="0" w:space="0" w:color="auto"/>
        <w:right w:val="none" w:sz="0" w:space="0" w:color="auto"/>
      </w:divBdr>
    </w:div>
    <w:div w:id="1635480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charts/_rels/chart1.xml.rels><?xml version="1.0" encoding="UTF-8" standalone="yes"?>
<Relationships xmlns="http://schemas.openxmlformats.org/package/2006/relationships"><Relationship Id="rId3" Type="http://schemas.openxmlformats.org/officeDocument/2006/relationships/oleObject" Target="C:/Users/SIR%20B/Documents/B.%20UKORO%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Users/SIR%20B/Documents/B.%20UKORO%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195397024518844E-2"/>
          <c:y val="0.11174589481411867"/>
          <c:w val="0.87827298666793563"/>
          <c:h val="0.35348254022594999"/>
        </c:manualLayout>
      </c:layout>
      <c:bar3DChart>
        <c:barDir val="col"/>
        <c:grouping val="clustered"/>
        <c:varyColors val="0"/>
        <c:ser>
          <c:idx val="1"/>
          <c:order val="0"/>
          <c:tx>
            <c:strRef>
              <c:f>Sheet1!$A$5</c:f>
              <c:strCache>
                <c:ptCount val="1"/>
                <c:pt idx="0">
                  <c:v>Group2 (Cadmium only)</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multiLvlStrRef>
              <c:f>Sheet1!$B$2:$M$3</c:f>
              <c:multiLvlStrCache>
                <c:ptCount val="12"/>
                <c:lvl>
                  <c:pt idx="0">
                    <c:v>Trial1</c:v>
                  </c:pt>
                  <c:pt idx="1">
                    <c:v>Trial2</c:v>
                  </c:pt>
                  <c:pt idx="2">
                    <c:v>Trial3</c:v>
                  </c:pt>
                  <c:pt idx="3">
                    <c:v>Trial1</c:v>
                  </c:pt>
                  <c:pt idx="4">
                    <c:v>Trial2</c:v>
                  </c:pt>
                  <c:pt idx="5">
                    <c:v>Trial3</c:v>
                  </c:pt>
                  <c:pt idx="6">
                    <c:v>Trial1</c:v>
                  </c:pt>
                  <c:pt idx="7">
                    <c:v>Trial2</c:v>
                  </c:pt>
                  <c:pt idx="8">
                    <c:v>Trial3</c:v>
                  </c:pt>
                  <c:pt idx="9">
                    <c:v>Trial1</c:v>
                  </c:pt>
                  <c:pt idx="10">
                    <c:v>Trial2</c:v>
                  </c:pt>
                  <c:pt idx="11">
                    <c:v>Trial3</c:v>
                  </c:pt>
                </c:lvl>
                <c:lvl>
                  <c:pt idx="0">
                    <c:v>Week1</c:v>
                  </c:pt>
                  <c:pt idx="3">
                    <c:v>Week2</c:v>
                  </c:pt>
                  <c:pt idx="6">
                    <c:v>Week3</c:v>
                  </c:pt>
                  <c:pt idx="9">
                    <c:v>Week4</c:v>
                  </c:pt>
                </c:lvl>
              </c:multiLvlStrCache>
            </c:multiLvlStrRef>
          </c:cat>
          <c:val>
            <c:numRef>
              <c:f>Sheet1!$B$5:$M$5</c:f>
              <c:numCache>
                <c:formatCode>General</c:formatCode>
                <c:ptCount val="12"/>
                <c:pt idx="0">
                  <c:v>92</c:v>
                </c:pt>
                <c:pt idx="1">
                  <c:v>107.2</c:v>
                </c:pt>
                <c:pt idx="2">
                  <c:v>77.599999999999994</c:v>
                </c:pt>
                <c:pt idx="3">
                  <c:v>99.4</c:v>
                </c:pt>
                <c:pt idx="4">
                  <c:v>82.4</c:v>
                </c:pt>
                <c:pt idx="5">
                  <c:v>103.4</c:v>
                </c:pt>
                <c:pt idx="6">
                  <c:v>112</c:v>
                </c:pt>
                <c:pt idx="7">
                  <c:v>125.4</c:v>
                </c:pt>
                <c:pt idx="8">
                  <c:v>191</c:v>
                </c:pt>
                <c:pt idx="9">
                  <c:v>216.6</c:v>
                </c:pt>
                <c:pt idx="10">
                  <c:v>128</c:v>
                </c:pt>
                <c:pt idx="11">
                  <c:v>191.2</c:v>
                </c:pt>
              </c:numCache>
            </c:numRef>
          </c:val>
          <c:extLst>
            <c:ext xmlns:c16="http://schemas.microsoft.com/office/drawing/2014/chart" uri="{C3380CC4-5D6E-409C-BE32-E72D297353CC}">
              <c16:uniqueId val="{00000000-64BB-4F1A-92D8-7BBDCF131E67}"/>
            </c:ext>
          </c:extLst>
        </c:ser>
        <c:ser>
          <c:idx val="2"/>
          <c:order val="1"/>
          <c:tx>
            <c:strRef>
              <c:f>Sheet1!$A$6</c:f>
              <c:strCache>
                <c:ptCount val="1"/>
                <c:pt idx="0">
                  <c:v>Group3 (Lead only)</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multiLvlStrRef>
              <c:f>Sheet1!$B$2:$M$3</c:f>
              <c:multiLvlStrCache>
                <c:ptCount val="12"/>
                <c:lvl>
                  <c:pt idx="0">
                    <c:v>Trial1</c:v>
                  </c:pt>
                  <c:pt idx="1">
                    <c:v>Trial2</c:v>
                  </c:pt>
                  <c:pt idx="2">
                    <c:v>Trial3</c:v>
                  </c:pt>
                  <c:pt idx="3">
                    <c:v>Trial1</c:v>
                  </c:pt>
                  <c:pt idx="4">
                    <c:v>Trial2</c:v>
                  </c:pt>
                  <c:pt idx="5">
                    <c:v>Trial3</c:v>
                  </c:pt>
                  <c:pt idx="6">
                    <c:v>Trial1</c:v>
                  </c:pt>
                  <c:pt idx="7">
                    <c:v>Trial2</c:v>
                  </c:pt>
                  <c:pt idx="8">
                    <c:v>Trial3</c:v>
                  </c:pt>
                  <c:pt idx="9">
                    <c:v>Trial1</c:v>
                  </c:pt>
                  <c:pt idx="10">
                    <c:v>Trial2</c:v>
                  </c:pt>
                  <c:pt idx="11">
                    <c:v>Trial3</c:v>
                  </c:pt>
                </c:lvl>
                <c:lvl>
                  <c:pt idx="0">
                    <c:v>Week1</c:v>
                  </c:pt>
                  <c:pt idx="3">
                    <c:v>Week2</c:v>
                  </c:pt>
                  <c:pt idx="6">
                    <c:v>Week3</c:v>
                  </c:pt>
                  <c:pt idx="9">
                    <c:v>Week4</c:v>
                  </c:pt>
                </c:lvl>
              </c:multiLvlStrCache>
            </c:multiLvlStrRef>
          </c:cat>
          <c:val>
            <c:numRef>
              <c:f>Sheet1!$B$6:$M$6</c:f>
              <c:numCache>
                <c:formatCode>General</c:formatCode>
                <c:ptCount val="12"/>
                <c:pt idx="0">
                  <c:v>161</c:v>
                </c:pt>
                <c:pt idx="1">
                  <c:v>154.6</c:v>
                </c:pt>
                <c:pt idx="2">
                  <c:v>145.19999999999999</c:v>
                </c:pt>
                <c:pt idx="3">
                  <c:v>157</c:v>
                </c:pt>
                <c:pt idx="4">
                  <c:v>168.8</c:v>
                </c:pt>
                <c:pt idx="5">
                  <c:v>147</c:v>
                </c:pt>
                <c:pt idx="6">
                  <c:v>300</c:v>
                </c:pt>
                <c:pt idx="7">
                  <c:v>300</c:v>
                </c:pt>
                <c:pt idx="8">
                  <c:v>240</c:v>
                </c:pt>
                <c:pt idx="9">
                  <c:v>234.4</c:v>
                </c:pt>
                <c:pt idx="10">
                  <c:v>300</c:v>
                </c:pt>
                <c:pt idx="11">
                  <c:v>298</c:v>
                </c:pt>
              </c:numCache>
            </c:numRef>
          </c:val>
          <c:extLst>
            <c:ext xmlns:c16="http://schemas.microsoft.com/office/drawing/2014/chart" uri="{C3380CC4-5D6E-409C-BE32-E72D297353CC}">
              <c16:uniqueId val="{00000001-64BB-4F1A-92D8-7BBDCF131E67}"/>
            </c:ext>
          </c:extLst>
        </c:ser>
        <c:ser>
          <c:idx val="3"/>
          <c:order val="2"/>
          <c:tx>
            <c:strRef>
              <c:f>Sheet1!$A$7</c:f>
              <c:strCache>
                <c:ptCount val="1"/>
                <c:pt idx="0">
                  <c:v>Group4 (Lead+Cadmium)</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multiLvlStrRef>
              <c:f>Sheet1!$B$2:$M$3</c:f>
              <c:multiLvlStrCache>
                <c:ptCount val="12"/>
                <c:lvl>
                  <c:pt idx="0">
                    <c:v>Trial1</c:v>
                  </c:pt>
                  <c:pt idx="1">
                    <c:v>Trial2</c:v>
                  </c:pt>
                  <c:pt idx="2">
                    <c:v>Trial3</c:v>
                  </c:pt>
                  <c:pt idx="3">
                    <c:v>Trial1</c:v>
                  </c:pt>
                  <c:pt idx="4">
                    <c:v>Trial2</c:v>
                  </c:pt>
                  <c:pt idx="5">
                    <c:v>Trial3</c:v>
                  </c:pt>
                  <c:pt idx="6">
                    <c:v>Trial1</c:v>
                  </c:pt>
                  <c:pt idx="7">
                    <c:v>Trial2</c:v>
                  </c:pt>
                  <c:pt idx="8">
                    <c:v>Trial3</c:v>
                  </c:pt>
                  <c:pt idx="9">
                    <c:v>Trial1</c:v>
                  </c:pt>
                  <c:pt idx="10">
                    <c:v>Trial2</c:v>
                  </c:pt>
                  <c:pt idx="11">
                    <c:v>Trial3</c:v>
                  </c:pt>
                </c:lvl>
                <c:lvl>
                  <c:pt idx="0">
                    <c:v>Week1</c:v>
                  </c:pt>
                  <c:pt idx="3">
                    <c:v>Week2</c:v>
                  </c:pt>
                  <c:pt idx="6">
                    <c:v>Week3</c:v>
                  </c:pt>
                  <c:pt idx="9">
                    <c:v>Week4</c:v>
                  </c:pt>
                </c:lvl>
              </c:multiLvlStrCache>
            </c:multiLvlStrRef>
          </c:cat>
          <c:val>
            <c:numRef>
              <c:f>Sheet1!$B$7:$M$7</c:f>
              <c:numCache>
                <c:formatCode>General</c:formatCode>
                <c:ptCount val="12"/>
                <c:pt idx="0">
                  <c:v>212.6</c:v>
                </c:pt>
                <c:pt idx="1">
                  <c:v>228.8</c:v>
                </c:pt>
                <c:pt idx="2">
                  <c:v>228</c:v>
                </c:pt>
                <c:pt idx="3">
                  <c:v>242.8</c:v>
                </c:pt>
                <c:pt idx="4">
                  <c:v>270.60000000000002</c:v>
                </c:pt>
                <c:pt idx="5">
                  <c:v>117</c:v>
                </c:pt>
                <c:pt idx="6">
                  <c:v>263.8</c:v>
                </c:pt>
                <c:pt idx="7">
                  <c:v>300</c:v>
                </c:pt>
                <c:pt idx="8">
                  <c:v>253.4</c:v>
                </c:pt>
                <c:pt idx="9">
                  <c:v>300</c:v>
                </c:pt>
                <c:pt idx="10">
                  <c:v>300</c:v>
                </c:pt>
                <c:pt idx="11">
                  <c:v>274.2</c:v>
                </c:pt>
              </c:numCache>
            </c:numRef>
          </c:val>
          <c:extLst>
            <c:ext xmlns:c16="http://schemas.microsoft.com/office/drawing/2014/chart" uri="{C3380CC4-5D6E-409C-BE32-E72D297353CC}">
              <c16:uniqueId val="{00000002-64BB-4F1A-92D8-7BBDCF131E67}"/>
            </c:ext>
          </c:extLst>
        </c:ser>
        <c:ser>
          <c:idx val="4"/>
          <c:order val="3"/>
          <c:tx>
            <c:strRef>
              <c:f>Sheet1!$A$8</c:f>
              <c:strCache>
                <c:ptCount val="1"/>
                <c:pt idx="0">
                  <c:v>Group5 (CPZ) </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multiLvlStrRef>
              <c:f>Sheet1!$B$2:$M$3</c:f>
              <c:multiLvlStrCache>
                <c:ptCount val="12"/>
                <c:lvl>
                  <c:pt idx="0">
                    <c:v>Trial1</c:v>
                  </c:pt>
                  <c:pt idx="1">
                    <c:v>Trial2</c:v>
                  </c:pt>
                  <c:pt idx="2">
                    <c:v>Trial3</c:v>
                  </c:pt>
                  <c:pt idx="3">
                    <c:v>Trial1</c:v>
                  </c:pt>
                  <c:pt idx="4">
                    <c:v>Trial2</c:v>
                  </c:pt>
                  <c:pt idx="5">
                    <c:v>Trial3</c:v>
                  </c:pt>
                  <c:pt idx="6">
                    <c:v>Trial1</c:v>
                  </c:pt>
                  <c:pt idx="7">
                    <c:v>Trial2</c:v>
                  </c:pt>
                  <c:pt idx="8">
                    <c:v>Trial3</c:v>
                  </c:pt>
                  <c:pt idx="9">
                    <c:v>Trial1</c:v>
                  </c:pt>
                  <c:pt idx="10">
                    <c:v>Trial2</c:v>
                  </c:pt>
                  <c:pt idx="11">
                    <c:v>Trial3</c:v>
                  </c:pt>
                </c:lvl>
                <c:lvl>
                  <c:pt idx="0">
                    <c:v>Week1</c:v>
                  </c:pt>
                  <c:pt idx="3">
                    <c:v>Week2</c:v>
                  </c:pt>
                  <c:pt idx="6">
                    <c:v>Week3</c:v>
                  </c:pt>
                  <c:pt idx="9">
                    <c:v>Week4</c:v>
                  </c:pt>
                </c:lvl>
              </c:multiLvlStrCache>
            </c:multiLvlStrRef>
          </c:cat>
          <c:val>
            <c:numRef>
              <c:f>Sheet1!$B$8:$M$8</c:f>
              <c:numCache>
                <c:formatCode>General</c:formatCode>
                <c:ptCount val="12"/>
                <c:pt idx="0">
                  <c:v>192</c:v>
                </c:pt>
                <c:pt idx="1">
                  <c:v>188.2</c:v>
                </c:pt>
                <c:pt idx="2">
                  <c:v>150.32</c:v>
                </c:pt>
                <c:pt idx="3">
                  <c:v>232.8</c:v>
                </c:pt>
                <c:pt idx="4">
                  <c:v>233.4</c:v>
                </c:pt>
                <c:pt idx="5">
                  <c:v>212.6</c:v>
                </c:pt>
                <c:pt idx="6">
                  <c:v>250.8</c:v>
                </c:pt>
                <c:pt idx="7">
                  <c:v>300</c:v>
                </c:pt>
                <c:pt idx="8">
                  <c:v>264</c:v>
                </c:pt>
                <c:pt idx="9">
                  <c:v>234.4</c:v>
                </c:pt>
                <c:pt idx="10">
                  <c:v>300</c:v>
                </c:pt>
                <c:pt idx="11">
                  <c:v>300</c:v>
                </c:pt>
              </c:numCache>
            </c:numRef>
          </c:val>
          <c:extLst>
            <c:ext xmlns:c16="http://schemas.microsoft.com/office/drawing/2014/chart" uri="{C3380CC4-5D6E-409C-BE32-E72D297353CC}">
              <c16:uniqueId val="{00000003-64BB-4F1A-92D8-7BBDCF131E67}"/>
            </c:ext>
          </c:extLst>
        </c:ser>
        <c:dLbls>
          <c:showLegendKey val="0"/>
          <c:showVal val="0"/>
          <c:showCatName val="0"/>
          <c:showSerName val="0"/>
          <c:showPercent val="0"/>
          <c:showBubbleSize val="0"/>
        </c:dLbls>
        <c:gapWidth val="150"/>
        <c:shape val="box"/>
        <c:axId val="156725632"/>
        <c:axId val="156727168"/>
        <c:axId val="0"/>
      </c:bar3DChart>
      <c:catAx>
        <c:axId val="156725632"/>
        <c:scaling>
          <c:orientation val="minMax"/>
        </c:scaling>
        <c:delete val="0"/>
        <c:axPos val="b"/>
        <c:numFmt formatCode="General" sourceLinked="0"/>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6727168"/>
        <c:crosses val="autoZero"/>
        <c:auto val="1"/>
        <c:lblAlgn val="ctr"/>
        <c:lblOffset val="100"/>
        <c:noMultiLvlLbl val="0"/>
      </c:catAx>
      <c:valAx>
        <c:axId val="15672716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56725632"/>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2594270465050323E-2"/>
          <c:y val="0.16962716056579655"/>
          <c:w val="0.91964241182180995"/>
          <c:h val="0.4400885298064644"/>
        </c:manualLayout>
      </c:layout>
      <c:bar3DChart>
        <c:barDir val="col"/>
        <c:grouping val="clustered"/>
        <c:varyColors val="0"/>
        <c:ser>
          <c:idx val="0"/>
          <c:order val="0"/>
          <c:tx>
            <c:strRef>
              <c:f>Sheet3!$A$4</c:f>
              <c:strCache>
                <c:ptCount val="1"/>
                <c:pt idx="0">
                  <c:v>Group1  (Control)</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multiLvlStrRef>
              <c:f>Sheet3!$B$2:$M$3</c:f>
              <c:multiLvlStrCache>
                <c:ptCount val="12"/>
                <c:lvl>
                  <c:pt idx="0">
                    <c:v>Trial1</c:v>
                  </c:pt>
                  <c:pt idx="1">
                    <c:v>Trial2</c:v>
                  </c:pt>
                  <c:pt idx="2">
                    <c:v>Trial3</c:v>
                  </c:pt>
                  <c:pt idx="3">
                    <c:v>Trial1</c:v>
                  </c:pt>
                  <c:pt idx="4">
                    <c:v>Trial2</c:v>
                  </c:pt>
                  <c:pt idx="5">
                    <c:v>Trial3</c:v>
                  </c:pt>
                  <c:pt idx="6">
                    <c:v>Trial1</c:v>
                  </c:pt>
                  <c:pt idx="7">
                    <c:v>Trial2</c:v>
                  </c:pt>
                  <c:pt idx="8">
                    <c:v>Trial3</c:v>
                  </c:pt>
                  <c:pt idx="9">
                    <c:v>Trial1</c:v>
                  </c:pt>
                  <c:pt idx="10">
                    <c:v>Trial2</c:v>
                  </c:pt>
                  <c:pt idx="11">
                    <c:v>Trial3</c:v>
                  </c:pt>
                </c:lvl>
                <c:lvl>
                  <c:pt idx="0">
                    <c:v>Week1</c:v>
                  </c:pt>
                  <c:pt idx="3">
                    <c:v>Week2</c:v>
                  </c:pt>
                  <c:pt idx="6">
                    <c:v>Week3</c:v>
                  </c:pt>
                  <c:pt idx="9">
                    <c:v>Week4</c:v>
                  </c:pt>
                </c:lvl>
              </c:multiLvlStrCache>
            </c:multiLvlStrRef>
          </c:cat>
          <c:val>
            <c:numRef>
              <c:f>Sheet3!$B$4:$M$4</c:f>
              <c:numCache>
                <c:formatCode>General</c:formatCode>
                <c:ptCount val="12"/>
                <c:pt idx="0">
                  <c:v>17.8</c:v>
                </c:pt>
                <c:pt idx="1">
                  <c:v>18.2</c:v>
                </c:pt>
                <c:pt idx="2">
                  <c:v>19.600000000000001</c:v>
                </c:pt>
                <c:pt idx="3">
                  <c:v>29.8</c:v>
                </c:pt>
                <c:pt idx="4">
                  <c:v>25.2</c:v>
                </c:pt>
                <c:pt idx="5">
                  <c:v>32.200000000000003</c:v>
                </c:pt>
                <c:pt idx="6">
                  <c:v>24</c:v>
                </c:pt>
                <c:pt idx="7">
                  <c:v>26</c:v>
                </c:pt>
                <c:pt idx="8">
                  <c:v>36.4</c:v>
                </c:pt>
                <c:pt idx="9">
                  <c:v>26.8</c:v>
                </c:pt>
                <c:pt idx="10">
                  <c:v>38.200000000000003</c:v>
                </c:pt>
                <c:pt idx="11">
                  <c:v>26.8</c:v>
                </c:pt>
              </c:numCache>
            </c:numRef>
          </c:val>
          <c:extLst>
            <c:ext xmlns:c16="http://schemas.microsoft.com/office/drawing/2014/chart" uri="{C3380CC4-5D6E-409C-BE32-E72D297353CC}">
              <c16:uniqueId val="{00000000-58D5-4DD4-B4DA-5E090B9F064F}"/>
            </c:ext>
          </c:extLst>
        </c:ser>
        <c:ser>
          <c:idx val="1"/>
          <c:order val="1"/>
          <c:tx>
            <c:strRef>
              <c:f>Sheet3!$A$5</c:f>
              <c:strCache>
                <c:ptCount val="1"/>
                <c:pt idx="0">
                  <c:v>Group2 (Cadmium only)</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multiLvlStrRef>
              <c:f>Sheet3!$B$2:$M$3</c:f>
              <c:multiLvlStrCache>
                <c:ptCount val="12"/>
                <c:lvl>
                  <c:pt idx="0">
                    <c:v>Trial1</c:v>
                  </c:pt>
                  <c:pt idx="1">
                    <c:v>Trial2</c:v>
                  </c:pt>
                  <c:pt idx="2">
                    <c:v>Trial3</c:v>
                  </c:pt>
                  <c:pt idx="3">
                    <c:v>Trial1</c:v>
                  </c:pt>
                  <c:pt idx="4">
                    <c:v>Trial2</c:v>
                  </c:pt>
                  <c:pt idx="5">
                    <c:v>Trial3</c:v>
                  </c:pt>
                  <c:pt idx="6">
                    <c:v>Trial1</c:v>
                  </c:pt>
                  <c:pt idx="7">
                    <c:v>Trial2</c:v>
                  </c:pt>
                  <c:pt idx="8">
                    <c:v>Trial3</c:v>
                  </c:pt>
                  <c:pt idx="9">
                    <c:v>Trial1</c:v>
                  </c:pt>
                  <c:pt idx="10">
                    <c:v>Trial2</c:v>
                  </c:pt>
                  <c:pt idx="11">
                    <c:v>Trial3</c:v>
                  </c:pt>
                </c:lvl>
                <c:lvl>
                  <c:pt idx="0">
                    <c:v>Week1</c:v>
                  </c:pt>
                  <c:pt idx="3">
                    <c:v>Week2</c:v>
                  </c:pt>
                  <c:pt idx="6">
                    <c:v>Week3</c:v>
                  </c:pt>
                  <c:pt idx="9">
                    <c:v>Week4</c:v>
                  </c:pt>
                </c:lvl>
              </c:multiLvlStrCache>
            </c:multiLvlStrRef>
          </c:cat>
          <c:val>
            <c:numRef>
              <c:f>Sheet3!$B$5:$M$5</c:f>
              <c:numCache>
                <c:formatCode>General</c:formatCode>
                <c:ptCount val="12"/>
                <c:pt idx="0">
                  <c:v>19.399999999999999</c:v>
                </c:pt>
                <c:pt idx="1">
                  <c:v>26.6</c:v>
                </c:pt>
                <c:pt idx="2">
                  <c:v>17.8</c:v>
                </c:pt>
                <c:pt idx="3">
                  <c:v>18.2</c:v>
                </c:pt>
                <c:pt idx="4">
                  <c:v>18</c:v>
                </c:pt>
                <c:pt idx="5">
                  <c:v>10</c:v>
                </c:pt>
                <c:pt idx="6">
                  <c:v>11.8</c:v>
                </c:pt>
                <c:pt idx="7">
                  <c:v>12.8</c:v>
                </c:pt>
                <c:pt idx="8">
                  <c:v>8.4</c:v>
                </c:pt>
                <c:pt idx="9">
                  <c:v>10</c:v>
                </c:pt>
                <c:pt idx="10">
                  <c:v>9.1999999999999993</c:v>
                </c:pt>
                <c:pt idx="11">
                  <c:v>10</c:v>
                </c:pt>
              </c:numCache>
            </c:numRef>
          </c:val>
          <c:extLst>
            <c:ext xmlns:c16="http://schemas.microsoft.com/office/drawing/2014/chart" uri="{C3380CC4-5D6E-409C-BE32-E72D297353CC}">
              <c16:uniqueId val="{00000001-58D5-4DD4-B4DA-5E090B9F064F}"/>
            </c:ext>
          </c:extLst>
        </c:ser>
        <c:ser>
          <c:idx val="2"/>
          <c:order val="2"/>
          <c:tx>
            <c:strRef>
              <c:f>Sheet3!$A$6</c:f>
              <c:strCache>
                <c:ptCount val="1"/>
                <c:pt idx="0">
                  <c:v>Group3 (Lead only)</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multiLvlStrRef>
              <c:f>Sheet3!$B$2:$M$3</c:f>
              <c:multiLvlStrCache>
                <c:ptCount val="12"/>
                <c:lvl>
                  <c:pt idx="0">
                    <c:v>Trial1</c:v>
                  </c:pt>
                  <c:pt idx="1">
                    <c:v>Trial2</c:v>
                  </c:pt>
                  <c:pt idx="2">
                    <c:v>Trial3</c:v>
                  </c:pt>
                  <c:pt idx="3">
                    <c:v>Trial1</c:v>
                  </c:pt>
                  <c:pt idx="4">
                    <c:v>Trial2</c:v>
                  </c:pt>
                  <c:pt idx="5">
                    <c:v>Trial3</c:v>
                  </c:pt>
                  <c:pt idx="6">
                    <c:v>Trial1</c:v>
                  </c:pt>
                  <c:pt idx="7">
                    <c:v>Trial2</c:v>
                  </c:pt>
                  <c:pt idx="8">
                    <c:v>Trial3</c:v>
                  </c:pt>
                  <c:pt idx="9">
                    <c:v>Trial1</c:v>
                  </c:pt>
                  <c:pt idx="10">
                    <c:v>Trial2</c:v>
                  </c:pt>
                  <c:pt idx="11">
                    <c:v>Trial3</c:v>
                  </c:pt>
                </c:lvl>
                <c:lvl>
                  <c:pt idx="0">
                    <c:v>Week1</c:v>
                  </c:pt>
                  <c:pt idx="3">
                    <c:v>Week2</c:v>
                  </c:pt>
                  <c:pt idx="6">
                    <c:v>Week3</c:v>
                  </c:pt>
                  <c:pt idx="9">
                    <c:v>Week4</c:v>
                  </c:pt>
                </c:lvl>
              </c:multiLvlStrCache>
            </c:multiLvlStrRef>
          </c:cat>
          <c:val>
            <c:numRef>
              <c:f>Sheet3!$B$6:$M$6</c:f>
              <c:numCache>
                <c:formatCode>General</c:formatCode>
                <c:ptCount val="12"/>
                <c:pt idx="0">
                  <c:v>12</c:v>
                </c:pt>
                <c:pt idx="1">
                  <c:v>18.2</c:v>
                </c:pt>
                <c:pt idx="2">
                  <c:v>14.4</c:v>
                </c:pt>
                <c:pt idx="3">
                  <c:v>13.6</c:v>
                </c:pt>
                <c:pt idx="4">
                  <c:v>8.4</c:v>
                </c:pt>
                <c:pt idx="5">
                  <c:v>12.4</c:v>
                </c:pt>
                <c:pt idx="6">
                  <c:v>13.8</c:v>
                </c:pt>
                <c:pt idx="7">
                  <c:v>13.8</c:v>
                </c:pt>
                <c:pt idx="8">
                  <c:v>11.6</c:v>
                </c:pt>
                <c:pt idx="9">
                  <c:v>9.6</c:v>
                </c:pt>
                <c:pt idx="10">
                  <c:v>10.199999999999999</c:v>
                </c:pt>
                <c:pt idx="11">
                  <c:v>8.4</c:v>
                </c:pt>
              </c:numCache>
            </c:numRef>
          </c:val>
          <c:extLst>
            <c:ext xmlns:c16="http://schemas.microsoft.com/office/drawing/2014/chart" uri="{C3380CC4-5D6E-409C-BE32-E72D297353CC}">
              <c16:uniqueId val="{00000002-58D5-4DD4-B4DA-5E090B9F064F}"/>
            </c:ext>
          </c:extLst>
        </c:ser>
        <c:ser>
          <c:idx val="3"/>
          <c:order val="3"/>
          <c:tx>
            <c:strRef>
              <c:f>Sheet3!$A$7</c:f>
              <c:strCache>
                <c:ptCount val="1"/>
                <c:pt idx="0">
                  <c:v>Group4 (Lead+Cadmium)</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multiLvlStrRef>
              <c:f>Sheet3!$B$2:$M$3</c:f>
              <c:multiLvlStrCache>
                <c:ptCount val="12"/>
                <c:lvl>
                  <c:pt idx="0">
                    <c:v>Trial1</c:v>
                  </c:pt>
                  <c:pt idx="1">
                    <c:v>Trial2</c:v>
                  </c:pt>
                  <c:pt idx="2">
                    <c:v>Trial3</c:v>
                  </c:pt>
                  <c:pt idx="3">
                    <c:v>Trial1</c:v>
                  </c:pt>
                  <c:pt idx="4">
                    <c:v>Trial2</c:v>
                  </c:pt>
                  <c:pt idx="5">
                    <c:v>Trial3</c:v>
                  </c:pt>
                  <c:pt idx="6">
                    <c:v>Trial1</c:v>
                  </c:pt>
                  <c:pt idx="7">
                    <c:v>Trial2</c:v>
                  </c:pt>
                  <c:pt idx="8">
                    <c:v>Trial3</c:v>
                  </c:pt>
                  <c:pt idx="9">
                    <c:v>Trial1</c:v>
                  </c:pt>
                  <c:pt idx="10">
                    <c:v>Trial2</c:v>
                  </c:pt>
                  <c:pt idx="11">
                    <c:v>Trial3</c:v>
                  </c:pt>
                </c:lvl>
                <c:lvl>
                  <c:pt idx="0">
                    <c:v>Week1</c:v>
                  </c:pt>
                  <c:pt idx="3">
                    <c:v>Week2</c:v>
                  </c:pt>
                  <c:pt idx="6">
                    <c:v>Week3</c:v>
                  </c:pt>
                  <c:pt idx="9">
                    <c:v>Week4</c:v>
                  </c:pt>
                </c:lvl>
              </c:multiLvlStrCache>
            </c:multiLvlStrRef>
          </c:cat>
          <c:val>
            <c:numRef>
              <c:f>Sheet3!$B$7:$M$7</c:f>
              <c:numCache>
                <c:formatCode>General</c:formatCode>
                <c:ptCount val="12"/>
                <c:pt idx="0">
                  <c:v>18.399999999999999</c:v>
                </c:pt>
                <c:pt idx="1">
                  <c:v>18.2</c:v>
                </c:pt>
                <c:pt idx="2">
                  <c:v>20.399999999999999</c:v>
                </c:pt>
                <c:pt idx="3">
                  <c:v>20.6</c:v>
                </c:pt>
                <c:pt idx="4">
                  <c:v>26.4</c:v>
                </c:pt>
                <c:pt idx="5">
                  <c:v>16.8</c:v>
                </c:pt>
                <c:pt idx="6">
                  <c:v>13.2</c:v>
                </c:pt>
                <c:pt idx="7">
                  <c:v>12.8</c:v>
                </c:pt>
                <c:pt idx="8">
                  <c:v>13</c:v>
                </c:pt>
                <c:pt idx="9">
                  <c:v>12.8</c:v>
                </c:pt>
                <c:pt idx="10">
                  <c:v>9.4</c:v>
                </c:pt>
                <c:pt idx="11">
                  <c:v>7</c:v>
                </c:pt>
              </c:numCache>
            </c:numRef>
          </c:val>
          <c:extLst>
            <c:ext xmlns:c16="http://schemas.microsoft.com/office/drawing/2014/chart" uri="{C3380CC4-5D6E-409C-BE32-E72D297353CC}">
              <c16:uniqueId val="{00000003-58D5-4DD4-B4DA-5E090B9F064F}"/>
            </c:ext>
          </c:extLst>
        </c:ser>
        <c:dLbls>
          <c:showLegendKey val="0"/>
          <c:showVal val="0"/>
          <c:showCatName val="0"/>
          <c:showSerName val="0"/>
          <c:showPercent val="0"/>
          <c:showBubbleSize val="0"/>
        </c:dLbls>
        <c:gapWidth val="150"/>
        <c:shape val="box"/>
        <c:axId val="168057088"/>
        <c:axId val="168067072"/>
        <c:axId val="0"/>
      </c:bar3DChart>
      <c:catAx>
        <c:axId val="168057088"/>
        <c:scaling>
          <c:orientation val="minMax"/>
        </c:scaling>
        <c:delete val="0"/>
        <c:axPos val="b"/>
        <c:numFmt formatCode="General" sourceLinked="0"/>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68067072"/>
        <c:crosses val="autoZero"/>
        <c:auto val="1"/>
        <c:lblAlgn val="ctr"/>
        <c:lblOffset val="100"/>
        <c:noMultiLvlLbl val="0"/>
      </c:catAx>
      <c:valAx>
        <c:axId val="16806707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68057088"/>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851</TotalTime>
  <Pages>17</Pages>
  <Words>5179</Words>
  <Characters>29524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CHEARLS</dc:creator>
  <cp:lastModifiedBy>Editor-1183</cp:lastModifiedBy>
  <cp:revision>11</cp:revision>
  <dcterms:created xsi:type="dcterms:W3CDTF">2026-04-03T21:23:00Z</dcterms:created>
  <dcterms:modified xsi:type="dcterms:W3CDTF">2026-04-06T11:15:00Z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d33911f1b641425fbaebddda1970d35e</vt:lpwstr>
  </property>
</Properties>
</file>