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2084" w14:textId="77777777" w:rsidR="00754C9A" w:rsidRDefault="00754C9A" w:rsidP="00F31B94">
      <w:pPr>
        <w:pStyle w:val="Title"/>
        <w:spacing w:before="240" w:after="0"/>
        <w:jc w:val="both"/>
        <w:rPr>
          <w:rFonts w:ascii="Arial" w:hAnsi="Arial" w:cs="Arial"/>
        </w:rPr>
      </w:pPr>
    </w:p>
    <w:p w14:paraId="2D6D8A6C" w14:textId="216C0706" w:rsidR="00653DE9" w:rsidRPr="00BA469B" w:rsidRDefault="00653DE9" w:rsidP="00BA469B">
      <w:pPr>
        <w:rPr>
          <w:rFonts w:ascii="Times New Roman" w:hAnsi="Times New Roman"/>
          <w:b/>
          <w:bCs/>
          <w:sz w:val="32"/>
          <w:szCs w:val="32"/>
        </w:rPr>
      </w:pPr>
      <w:r w:rsidRPr="00BA469B">
        <w:rPr>
          <w:rFonts w:ascii="Times New Roman" w:hAnsi="Times New Roman"/>
          <w:b/>
          <w:bCs/>
          <w:sz w:val="32"/>
          <w:szCs w:val="32"/>
        </w:rPr>
        <w:t>Propolis Leverage in Controlling Gastrointestinal Parasites in Broilers</w:t>
      </w:r>
    </w:p>
    <w:p w14:paraId="16617D23" w14:textId="77777777" w:rsidR="00EB19A7" w:rsidRPr="00BA469B" w:rsidRDefault="00EB19A7" w:rsidP="00EB19A7"/>
    <w:p w14:paraId="46EE0939" w14:textId="77777777" w:rsidR="007F5FD2" w:rsidRPr="00BA469B" w:rsidRDefault="007F5FD2" w:rsidP="00F31B94">
      <w:pPr>
        <w:pStyle w:val="Copyright"/>
        <w:spacing w:before="240" w:after="0" w:line="240" w:lineRule="auto"/>
        <w:jc w:val="both"/>
        <w:rPr>
          <w:rFonts w:ascii="Arial" w:hAnsi="Arial" w:cs="Arial"/>
        </w:rPr>
      </w:pPr>
    </w:p>
    <w:p w14:paraId="084574E8" w14:textId="77777777" w:rsidR="00790ADA" w:rsidRPr="00BA469B" w:rsidRDefault="00B01FCD" w:rsidP="00F31B94">
      <w:pPr>
        <w:pStyle w:val="AbstHead"/>
        <w:spacing w:before="240" w:after="0"/>
        <w:jc w:val="both"/>
        <w:rPr>
          <w:rFonts w:ascii="Arial" w:hAnsi="Arial" w:cs="Arial"/>
        </w:rPr>
      </w:pPr>
      <w:r w:rsidRPr="00BA469B">
        <w:rPr>
          <w:rFonts w:ascii="Arial" w:hAnsi="Arial" w:cs="Arial"/>
        </w:rPr>
        <w:t>ABSTRACT</w:t>
      </w:r>
      <w:r w:rsidR="0066510A" w:rsidRPr="00BA469B">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A469B" w14:paraId="5929E88B" w14:textId="77777777" w:rsidTr="001E44FE">
        <w:tc>
          <w:tcPr>
            <w:tcW w:w="9576" w:type="dxa"/>
            <w:shd w:val="clear" w:color="auto" w:fill="F2F2F2"/>
          </w:tcPr>
          <w:p w14:paraId="6BA2A1E6" w14:textId="181649E1" w:rsidR="00505F06" w:rsidRPr="00BA469B" w:rsidRDefault="00653DE9" w:rsidP="00F31B94">
            <w:pPr>
              <w:pStyle w:val="Body"/>
              <w:spacing w:before="240"/>
              <w:rPr>
                <w:rFonts w:ascii="Arial" w:eastAsia="Calibri" w:hAnsi="Arial" w:cs="Arial"/>
                <w:szCs w:val="22"/>
              </w:rPr>
            </w:pPr>
            <w:r w:rsidRPr="00BA469B">
              <w:rPr>
                <w:rFonts w:ascii="Arial" w:hAnsi="Arial" w:cs="Arial"/>
              </w:rPr>
              <w:t xml:space="preserve">Gastrointestinal parasitism remains one of the major limiting factors in poultry development. Propolis has been suggested as a natural substitute for antibiotic growth promoters due to its antimicrobial and antiparasitic effects. </w:t>
            </w:r>
            <w:r w:rsidR="00F31B94" w:rsidRPr="00BA469B">
              <w:rPr>
                <w:rFonts w:ascii="Arial" w:eastAsia="Calibri" w:hAnsi="Arial" w:cs="Arial"/>
                <w:szCs w:val="22"/>
              </w:rPr>
              <w:t>This study evaluated the effects of propolis supplementation in drinking water on the control of gastrointestinal parasites in broiler chickens. The experiment was conducted at the National University of Lesotho farm, Roma, Maseru, Lesotho, for a period of six weeks</w:t>
            </w:r>
            <w:r w:rsidR="0058555D" w:rsidRPr="00BA469B">
              <w:rPr>
                <w:rFonts w:ascii="Arial" w:eastAsia="Calibri" w:hAnsi="Arial" w:cs="Arial"/>
                <w:szCs w:val="22"/>
              </w:rPr>
              <w:t xml:space="preserve"> using completely randomized design.</w:t>
            </w:r>
            <w:r w:rsidR="00F31B94" w:rsidRPr="00BA469B">
              <w:rPr>
                <w:rFonts w:ascii="Arial" w:eastAsia="Calibri" w:hAnsi="Arial" w:cs="Arial"/>
                <w:szCs w:val="22"/>
              </w:rPr>
              <w:t xml:space="preserve"> A total of </w:t>
            </w:r>
            <w:r w:rsidR="00BA469B" w:rsidRPr="00BA469B">
              <w:rPr>
                <w:rFonts w:ascii="Arial" w:eastAsia="Calibri" w:hAnsi="Arial" w:cs="Arial"/>
                <w:szCs w:val="22"/>
              </w:rPr>
              <w:t>480-day-old</w:t>
            </w:r>
            <w:r w:rsidR="00F31B94" w:rsidRPr="00BA469B">
              <w:rPr>
                <w:rFonts w:ascii="Arial" w:eastAsia="Calibri" w:hAnsi="Arial" w:cs="Arial"/>
                <w:szCs w:val="22"/>
              </w:rPr>
              <w:t xml:space="preserve"> Ross 308 broiler chicks were randomly allocated to four treatments with three replicates per treatment and 30 birds per replicate. Propolis was administered in drinking water at concentrations of 0 ml/L (control), 1 ml/L, 2 ml/L and 3 ml/L. Faecal samples were collected at the beginning of the experiment and every two weeks thereafter. Samples were analysed using the McMaster technique to determine parasite prevalence and faecal egg count. Data were analysed using generalized estimating equations with significance declared at p ≤ 0.05. Propolis supplementation significantly reduced nematode prevalence (p&lt;0.05), with percentage reductions of 50.79%, 67.02%, 67.02% and 3.08% for control, 1 ml/L, 2 ml/L and 3 ml/L treatments, respectively. Coccidia prevalence decreased by 49.60%, 67.02%, 65.93% and 50.82% for control, 1 ml/L, 2 ml/L and 3 ml/L treatments. Nematode faecal egg count decreased by 18.01%, 18.14%, 19.21% and 24.37% for control, 1 ml/L, 2 ml/L and 3 ml/L treatments, respectively. Coccidia faecal egg count reduction was highest in the 3 ml/L treatment (38.38%) compared with 5.49%, 12.24% and 10.88% for control, 1 ml/L and 2 ml/L treatments. Overall gastrointestinal parasite reduction reached 84.95% and 80.27% during the first and second treatment periods, respectively. Propolis supplementation reduced gastrointestinal parasite prevalence and faecal egg counts in broiler chickens. Moderate concentrations were more effective in reducing prevalence, while higher concentrations improved faecal egg count reduction. Propolis may serve as a natural alternative for controlling gastrointestinal parasites in broiler production.</w:t>
            </w:r>
          </w:p>
        </w:tc>
      </w:tr>
    </w:tbl>
    <w:p w14:paraId="37CAFD3B" w14:textId="2CE1A878" w:rsidR="00505F06" w:rsidRPr="00BA469B" w:rsidRDefault="00A24E7E" w:rsidP="00F31B94">
      <w:pPr>
        <w:pStyle w:val="Body"/>
        <w:spacing w:before="240" w:after="0"/>
        <w:rPr>
          <w:rFonts w:ascii="Arial" w:hAnsi="Arial" w:cs="Arial"/>
          <w:i/>
        </w:rPr>
      </w:pPr>
      <w:r w:rsidRPr="00BA469B">
        <w:rPr>
          <w:rFonts w:ascii="Arial" w:hAnsi="Arial" w:cs="Arial"/>
          <w:i/>
        </w:rPr>
        <w:t>Keywords:</w:t>
      </w:r>
      <w:r w:rsidR="00F31B94" w:rsidRPr="00BA469B">
        <w:rPr>
          <w:rFonts w:ascii="Times New Roman" w:eastAsiaTheme="minorEastAsia" w:hAnsi="Times New Roman"/>
          <w:color w:val="000000" w:themeColor="text1"/>
        </w:rPr>
        <w:t xml:space="preserve"> </w:t>
      </w:r>
      <w:r w:rsidR="00653DE9" w:rsidRPr="00BA469B">
        <w:rPr>
          <w:rFonts w:ascii="Arial" w:hAnsi="Arial" w:cs="Arial"/>
          <w:i/>
        </w:rPr>
        <w:t>Broiler Chickens, Coccidia, Faecal egg count, Gastrointestinal Parasites, Nematodes, Propolis.</w:t>
      </w:r>
    </w:p>
    <w:p w14:paraId="01618705" w14:textId="05C4B652" w:rsidR="007F7B32" w:rsidRPr="00BA469B" w:rsidRDefault="00902823" w:rsidP="00F31B94">
      <w:pPr>
        <w:pStyle w:val="AbstHead"/>
        <w:spacing w:before="240" w:after="0"/>
        <w:jc w:val="both"/>
        <w:rPr>
          <w:rFonts w:ascii="Arial" w:hAnsi="Arial" w:cs="Arial"/>
        </w:rPr>
      </w:pPr>
      <w:r w:rsidRPr="00BA469B">
        <w:rPr>
          <w:rFonts w:ascii="Arial" w:hAnsi="Arial" w:cs="Arial"/>
        </w:rPr>
        <w:t xml:space="preserve">1. </w:t>
      </w:r>
      <w:r w:rsidR="00B01FCD" w:rsidRPr="00BA469B">
        <w:rPr>
          <w:rFonts w:ascii="Arial" w:hAnsi="Arial" w:cs="Arial"/>
        </w:rPr>
        <w:t>INTRODUCTION</w:t>
      </w:r>
      <w:r w:rsidR="007F7B32" w:rsidRPr="00BA469B">
        <w:rPr>
          <w:rFonts w:ascii="Arial" w:hAnsi="Arial" w:cs="Arial"/>
        </w:rPr>
        <w:t xml:space="preserve"> </w:t>
      </w:r>
      <w:r w:rsidR="00653DE9" w:rsidRPr="00BA469B">
        <w:rPr>
          <w:rFonts w:ascii="Arial" w:hAnsi="Arial" w:cs="Arial"/>
        </w:rPr>
        <w:t xml:space="preserve"> </w:t>
      </w:r>
    </w:p>
    <w:p w14:paraId="15858257" w14:textId="6808D257" w:rsidR="00F31B94" w:rsidRPr="00BA469B" w:rsidRDefault="00F31B94" w:rsidP="00F31B94">
      <w:pPr>
        <w:pStyle w:val="Body"/>
        <w:spacing w:before="240" w:after="0"/>
        <w:rPr>
          <w:rFonts w:ascii="Arial" w:hAnsi="Arial" w:cs="Arial"/>
        </w:rPr>
      </w:pPr>
      <w:r w:rsidRPr="00BA469B">
        <w:rPr>
          <w:rFonts w:ascii="Arial" w:hAnsi="Arial" w:cs="Arial"/>
        </w:rPr>
        <w:t xml:space="preserve">Broiler chicken production plays a vital role in supplying affordable animal protein to the growing human population. Broiler meat is widely preferred due to its relatively low cost, palatable flavour, tender texture, and easy availability in markets (Umam </w:t>
      </w:r>
      <w:r w:rsidRPr="00BA469B">
        <w:rPr>
          <w:rFonts w:ascii="Arial" w:hAnsi="Arial" w:cs="Arial"/>
          <w:i/>
          <w:iCs/>
        </w:rPr>
        <w:t>et al</w:t>
      </w:r>
      <w:r w:rsidRPr="00BA469B">
        <w:rPr>
          <w:rFonts w:ascii="Arial" w:hAnsi="Arial" w:cs="Arial"/>
        </w:rPr>
        <w:t xml:space="preserve">., 2014; Pratama </w:t>
      </w:r>
      <w:r w:rsidRPr="00BA469B">
        <w:rPr>
          <w:rFonts w:ascii="Arial" w:hAnsi="Arial" w:cs="Arial"/>
          <w:i/>
          <w:iCs/>
        </w:rPr>
        <w:t>et al.,</w:t>
      </w:r>
      <w:r w:rsidRPr="00BA469B">
        <w:rPr>
          <w:rFonts w:ascii="Arial" w:hAnsi="Arial" w:cs="Arial"/>
        </w:rPr>
        <w:t xml:space="preserve"> 2015). The demand for poultry meat continues to increase annually as population growth drives the need for high-quality animal protein</w:t>
      </w:r>
      <w:r w:rsidR="00A27B3A" w:rsidRPr="00BA469B">
        <w:rPr>
          <w:rFonts w:ascii="Arial" w:hAnsi="Arial" w:cs="Arial"/>
        </w:rPr>
        <w:t xml:space="preserve"> (Kleyn &amp; Ciacciariello, 2021)</w:t>
      </w:r>
      <w:r w:rsidRPr="00BA469B">
        <w:rPr>
          <w:rFonts w:ascii="Arial" w:hAnsi="Arial" w:cs="Arial"/>
        </w:rPr>
        <w:t xml:space="preserve">. However, commercial broiler production faces several constraints, including rising feed costs and disease challenges, which negatively affect productivity and profitability (Oleforuh-Okoleh </w:t>
      </w:r>
      <w:r w:rsidRPr="00BA469B">
        <w:rPr>
          <w:rFonts w:ascii="Arial" w:hAnsi="Arial" w:cs="Arial"/>
          <w:i/>
          <w:iCs/>
        </w:rPr>
        <w:t>et al.,</w:t>
      </w:r>
      <w:r w:rsidRPr="00BA469B">
        <w:rPr>
          <w:rFonts w:ascii="Arial" w:hAnsi="Arial" w:cs="Arial"/>
        </w:rPr>
        <w:t xml:space="preserve"> 2015).</w:t>
      </w:r>
      <w:r w:rsidR="00A27B3A" w:rsidRPr="00BA469B">
        <w:rPr>
          <w:rFonts w:ascii="Arial" w:hAnsi="Arial" w:cs="Arial"/>
        </w:rPr>
        <w:t xml:space="preserve"> Besides the challenges of feed quality and feed costs, there is a serious challenge of the negative effect of high ambient temperature, which has posed a serious constraint to </w:t>
      </w:r>
      <w:r w:rsidR="00A27B3A" w:rsidRPr="00BA469B">
        <w:rPr>
          <w:rFonts w:ascii="Arial" w:hAnsi="Arial" w:cs="Arial"/>
        </w:rPr>
        <w:lastRenderedPageBreak/>
        <w:t>profitable and sustainable broiler chicken production under a hot and humid tropical climate</w:t>
      </w:r>
      <w:r w:rsidR="00E3577F" w:rsidRPr="00BA469B">
        <w:rPr>
          <w:rFonts w:ascii="Arial" w:hAnsi="Arial" w:cs="Arial"/>
        </w:rPr>
        <w:t xml:space="preserve"> (Kpomasse et al., 2021)</w:t>
      </w:r>
      <w:r w:rsidR="00A27B3A" w:rsidRPr="00BA469B">
        <w:rPr>
          <w:rFonts w:ascii="Arial" w:hAnsi="Arial" w:cs="Arial"/>
        </w:rPr>
        <w:t>.</w:t>
      </w:r>
      <w:r w:rsidRPr="00BA469B">
        <w:rPr>
          <w:rFonts w:ascii="Arial" w:hAnsi="Arial" w:cs="Arial"/>
        </w:rPr>
        <w:t xml:space="preserve"> Among these challenges, gastrointestinal parasitism remains one of the major limiting factors in poultry development.</w:t>
      </w:r>
      <w:r w:rsidR="00E3577F" w:rsidRPr="00BA469B">
        <w:rPr>
          <w:rFonts w:ascii="Arial" w:hAnsi="Arial" w:cs="Arial"/>
        </w:rPr>
        <w:t xml:space="preserve"> Gastrointestinal parasites (GIPs) significantly hinder poultry production, leading to economic losses from reduced productivity, poorer feed conversion rates, and inadequate weight gain. They cause issues such as decreased egg production, catarrh, anorexia, diarrhoea, intestinal obstruction, emaciation, anemia, weakness, paralysis, poor feathering, and even death (Makouloutou-Nzassi et al., 2024; Oriaku et al., 2024).</w:t>
      </w:r>
      <w:r w:rsidRPr="00BA469B">
        <w:rPr>
          <w:rFonts w:ascii="Arial" w:hAnsi="Arial" w:cs="Arial"/>
        </w:rPr>
        <w:t xml:space="preserve"> Gastrointestinal parasites such as nematodes, cestodes, and protozoa</w:t>
      </w:r>
      <w:r w:rsidR="00A27B3A" w:rsidRPr="00BA469B">
        <w:rPr>
          <w:rFonts w:ascii="Arial" w:hAnsi="Arial" w:cs="Arial"/>
        </w:rPr>
        <w:t>,</w:t>
      </w:r>
      <w:r w:rsidRPr="00BA469B">
        <w:rPr>
          <w:rFonts w:ascii="Arial" w:hAnsi="Arial" w:cs="Arial"/>
        </w:rPr>
        <w:t xml:space="preserve"> including </w:t>
      </w:r>
      <w:r w:rsidRPr="00BA469B">
        <w:rPr>
          <w:rFonts w:ascii="Arial" w:hAnsi="Arial" w:cs="Arial"/>
          <w:i/>
          <w:iCs/>
        </w:rPr>
        <w:t>Eimeria</w:t>
      </w:r>
      <w:r w:rsidRPr="00BA469B">
        <w:rPr>
          <w:rFonts w:ascii="Arial" w:hAnsi="Arial" w:cs="Arial"/>
        </w:rPr>
        <w:t xml:space="preserve"> species</w:t>
      </w:r>
      <w:r w:rsidR="00A27B3A" w:rsidRPr="00BA469B">
        <w:rPr>
          <w:rFonts w:ascii="Arial" w:hAnsi="Arial" w:cs="Arial"/>
        </w:rPr>
        <w:t>,</w:t>
      </w:r>
      <w:r w:rsidRPr="00BA469B">
        <w:rPr>
          <w:rFonts w:ascii="Arial" w:hAnsi="Arial" w:cs="Arial"/>
        </w:rPr>
        <w:t xml:space="preserve"> commonly infect broiler chickens, leading to poor nutrient </w:t>
      </w:r>
      <w:r w:rsidR="00A27B3A" w:rsidRPr="00BA469B">
        <w:rPr>
          <w:rFonts w:ascii="Arial" w:hAnsi="Arial" w:cs="Arial"/>
        </w:rPr>
        <w:t>utilisation</w:t>
      </w:r>
      <w:r w:rsidRPr="00BA469B">
        <w:rPr>
          <w:rFonts w:ascii="Arial" w:hAnsi="Arial" w:cs="Arial"/>
        </w:rPr>
        <w:t xml:space="preserve">, reduced feed conversion efficiency, weight loss, and mortality, particularly in young birds (Hunduma </w:t>
      </w:r>
      <w:r w:rsidRPr="00BA469B">
        <w:rPr>
          <w:rFonts w:ascii="Arial" w:hAnsi="Arial" w:cs="Arial"/>
          <w:i/>
          <w:iCs/>
        </w:rPr>
        <w:t>et al.,</w:t>
      </w:r>
      <w:r w:rsidRPr="00BA469B">
        <w:rPr>
          <w:rFonts w:ascii="Arial" w:hAnsi="Arial" w:cs="Arial"/>
        </w:rPr>
        <w:t xml:space="preserve"> 2010; Puttalakshmamma, 2008). These infections also predispose birds to secondary diseases by weakening the immune system, thereby causing significant economic losses to poultry producers (Gary and Richard, 2012; Katoch </w:t>
      </w:r>
      <w:r w:rsidRPr="00BA469B">
        <w:rPr>
          <w:rFonts w:ascii="Arial" w:hAnsi="Arial" w:cs="Arial"/>
          <w:i/>
          <w:iCs/>
        </w:rPr>
        <w:t>et al</w:t>
      </w:r>
      <w:r w:rsidRPr="00BA469B">
        <w:rPr>
          <w:rFonts w:ascii="Arial" w:hAnsi="Arial" w:cs="Arial"/>
        </w:rPr>
        <w:t xml:space="preserve">., 2012). Parasitic organisms may colonize chicks as early as the hatching stage through contamination from the hen’s oviduct or the surrounding environment (Gantois </w:t>
      </w:r>
      <w:r w:rsidRPr="00BA469B">
        <w:rPr>
          <w:rFonts w:ascii="Arial" w:hAnsi="Arial" w:cs="Arial"/>
          <w:i/>
          <w:iCs/>
        </w:rPr>
        <w:t>et al</w:t>
      </w:r>
      <w:r w:rsidRPr="00BA469B">
        <w:rPr>
          <w:rFonts w:ascii="Arial" w:hAnsi="Arial" w:cs="Arial"/>
        </w:rPr>
        <w:t xml:space="preserve">., 2009; Roto </w:t>
      </w:r>
      <w:r w:rsidRPr="00BA469B">
        <w:rPr>
          <w:rFonts w:ascii="Arial" w:hAnsi="Arial" w:cs="Arial"/>
          <w:i/>
          <w:iCs/>
        </w:rPr>
        <w:t>et al.,</w:t>
      </w:r>
      <w:r w:rsidRPr="00BA469B">
        <w:rPr>
          <w:rFonts w:ascii="Arial" w:hAnsi="Arial" w:cs="Arial"/>
        </w:rPr>
        <w:t xml:space="preserve"> 2016). Furthermore, environmental conditions such as high humidity, rainfall, and warm temperatures favour the development and spread of gastrointestinal parasites, increasing infection rates in broiler flocks (Aga </w:t>
      </w:r>
      <w:r w:rsidRPr="00BA469B">
        <w:rPr>
          <w:rFonts w:ascii="Arial" w:hAnsi="Arial" w:cs="Arial"/>
          <w:i/>
          <w:iCs/>
        </w:rPr>
        <w:t>et al</w:t>
      </w:r>
      <w:r w:rsidRPr="00BA469B">
        <w:rPr>
          <w:rFonts w:ascii="Arial" w:hAnsi="Arial" w:cs="Arial"/>
        </w:rPr>
        <w:t xml:space="preserve">., 2013; Yakhchali and Zarei, 2008). For many years, antibiotics have been incorporated into poultry diets as growth promoters and for disease control. However, the continuous use of antibiotics has raised concerns regarding antimicrobial resistance and the presence of drug residues in poultry products, which may pose risks to human health (Goodarzi </w:t>
      </w:r>
      <w:r w:rsidRPr="00BA469B">
        <w:rPr>
          <w:rFonts w:ascii="Arial" w:hAnsi="Arial" w:cs="Arial"/>
          <w:i/>
          <w:iCs/>
        </w:rPr>
        <w:t>et al</w:t>
      </w:r>
      <w:r w:rsidRPr="00BA469B">
        <w:rPr>
          <w:rFonts w:ascii="Arial" w:hAnsi="Arial" w:cs="Arial"/>
        </w:rPr>
        <w:t xml:space="preserve">., 2014; Hascik </w:t>
      </w:r>
      <w:r w:rsidRPr="00BA469B">
        <w:rPr>
          <w:rFonts w:ascii="Arial" w:hAnsi="Arial" w:cs="Arial"/>
          <w:i/>
          <w:iCs/>
        </w:rPr>
        <w:t>et al</w:t>
      </w:r>
      <w:r w:rsidRPr="00BA469B">
        <w:rPr>
          <w:rFonts w:ascii="Arial" w:hAnsi="Arial" w:cs="Arial"/>
        </w:rPr>
        <w:t xml:space="preserve">., 2016). These concerns have led to restrictions on antibiotic use in several countries and increased interest in natural alternatives such as plant-derived feed additives (Ashour </w:t>
      </w:r>
      <w:r w:rsidRPr="00BA469B">
        <w:rPr>
          <w:rFonts w:ascii="Arial" w:hAnsi="Arial" w:cs="Arial"/>
          <w:i/>
          <w:iCs/>
        </w:rPr>
        <w:t>et al.,</w:t>
      </w:r>
      <w:r w:rsidRPr="00BA469B">
        <w:rPr>
          <w:rFonts w:ascii="Arial" w:hAnsi="Arial" w:cs="Arial"/>
        </w:rPr>
        <w:t xml:space="preserve"> 2014; Saeed </w:t>
      </w:r>
      <w:r w:rsidRPr="00BA469B">
        <w:rPr>
          <w:rFonts w:ascii="Arial" w:hAnsi="Arial" w:cs="Arial"/>
          <w:i/>
          <w:iCs/>
        </w:rPr>
        <w:t>et al</w:t>
      </w:r>
      <w:r w:rsidRPr="00BA469B">
        <w:rPr>
          <w:rFonts w:ascii="Arial" w:hAnsi="Arial" w:cs="Arial"/>
        </w:rPr>
        <w:t>., 2015). Among these alternatives, propolis has gained considerable attention due to its biological and pharmacological properties.</w:t>
      </w:r>
    </w:p>
    <w:p w14:paraId="3DE60DF0" w14:textId="30612436" w:rsidR="00F31B94" w:rsidRPr="00BA469B" w:rsidRDefault="00F31B94" w:rsidP="00F31B94">
      <w:pPr>
        <w:pStyle w:val="Body"/>
        <w:spacing w:before="240" w:after="0"/>
        <w:rPr>
          <w:rFonts w:ascii="Arial" w:hAnsi="Arial" w:cs="Arial"/>
        </w:rPr>
      </w:pPr>
      <w:r w:rsidRPr="00BA469B">
        <w:rPr>
          <w:rFonts w:ascii="Arial" w:hAnsi="Arial" w:cs="Arial"/>
        </w:rPr>
        <w:t>Propolis is a resinous substance collected by honeybees (</w:t>
      </w:r>
      <w:r w:rsidRPr="00BA469B">
        <w:rPr>
          <w:rFonts w:ascii="Arial" w:hAnsi="Arial" w:cs="Arial"/>
          <w:i/>
          <w:iCs/>
        </w:rPr>
        <w:t>Apis mellifera</w:t>
      </w:r>
      <w:r w:rsidRPr="00BA469B">
        <w:rPr>
          <w:rFonts w:ascii="Arial" w:hAnsi="Arial" w:cs="Arial"/>
        </w:rPr>
        <w:t xml:space="preserve"> L.) from plant exudates and mixed with wax and salivary enzymes (Aygun </w:t>
      </w:r>
      <w:r w:rsidRPr="00BA469B">
        <w:rPr>
          <w:rFonts w:ascii="Arial" w:hAnsi="Arial" w:cs="Arial"/>
          <w:i/>
          <w:iCs/>
        </w:rPr>
        <w:t>et al.,</w:t>
      </w:r>
      <w:r w:rsidRPr="00BA469B">
        <w:rPr>
          <w:rFonts w:ascii="Arial" w:hAnsi="Arial" w:cs="Arial"/>
        </w:rPr>
        <w:t xml:space="preserve"> 2012). It contains numerous bioactive compounds including flavonoids, phenolic acids, terpenoids, vitamins, minerals, amino acids, and enzymes that contribute to its antimicrobial, antioxidant, anti-inflammatory, and immunostimulatory properties (Trusheva </w:t>
      </w:r>
      <w:r w:rsidRPr="00BA469B">
        <w:rPr>
          <w:rFonts w:ascii="Arial" w:hAnsi="Arial" w:cs="Arial"/>
          <w:i/>
          <w:iCs/>
        </w:rPr>
        <w:t>et al</w:t>
      </w:r>
      <w:r w:rsidRPr="00BA469B">
        <w:rPr>
          <w:rFonts w:ascii="Arial" w:hAnsi="Arial" w:cs="Arial"/>
        </w:rPr>
        <w:t xml:space="preserve">., 2006; Gardana </w:t>
      </w:r>
      <w:r w:rsidRPr="00BA469B">
        <w:rPr>
          <w:rFonts w:ascii="Arial" w:hAnsi="Arial" w:cs="Arial"/>
          <w:i/>
          <w:iCs/>
        </w:rPr>
        <w:t>et al.,</w:t>
      </w:r>
      <w:r w:rsidRPr="00BA469B">
        <w:rPr>
          <w:rFonts w:ascii="Arial" w:hAnsi="Arial" w:cs="Arial"/>
        </w:rPr>
        <w:t xml:space="preserve"> 2007; Eyng </w:t>
      </w:r>
      <w:r w:rsidRPr="00BA469B">
        <w:rPr>
          <w:rFonts w:ascii="Arial" w:hAnsi="Arial" w:cs="Arial"/>
          <w:i/>
          <w:iCs/>
        </w:rPr>
        <w:t>et al</w:t>
      </w:r>
      <w:r w:rsidRPr="00BA469B">
        <w:rPr>
          <w:rFonts w:ascii="Arial" w:hAnsi="Arial" w:cs="Arial"/>
        </w:rPr>
        <w:t>., 2013).</w:t>
      </w:r>
      <w:r w:rsidR="004B5099" w:rsidRPr="00BA469B">
        <w:rPr>
          <w:rFonts w:ascii="Arial" w:hAnsi="Arial" w:cs="Arial"/>
        </w:rPr>
        <w:t xml:space="preserve"> Recognised for its therapeutic potential, propolis finds applications in pharmaceuticals, food products, and cosmetics due to its varied chemical composition influenced by factors like geographical origin and botanical sources (Ibishi et al., 2024). </w:t>
      </w:r>
      <w:r w:rsidRPr="00BA469B">
        <w:rPr>
          <w:rFonts w:ascii="Arial" w:hAnsi="Arial" w:cs="Arial"/>
        </w:rPr>
        <w:t xml:space="preserve">Previous studies have reported that propolis supplementation in poultry diets may improve gut health, enhance beneficial intestinal microflora, and reduce harmful pathogens, thereby supporting growth performance and disease resistance (Mathivanan </w:t>
      </w:r>
      <w:r w:rsidRPr="00BA469B">
        <w:rPr>
          <w:rFonts w:ascii="Arial" w:hAnsi="Arial" w:cs="Arial"/>
          <w:i/>
          <w:iCs/>
        </w:rPr>
        <w:t>et al</w:t>
      </w:r>
      <w:r w:rsidRPr="00BA469B">
        <w:rPr>
          <w:rFonts w:ascii="Arial" w:hAnsi="Arial" w:cs="Arial"/>
        </w:rPr>
        <w:t xml:space="preserve">., 2013; Babaei </w:t>
      </w:r>
      <w:r w:rsidRPr="00BA469B">
        <w:rPr>
          <w:rFonts w:ascii="Arial" w:hAnsi="Arial" w:cs="Arial"/>
          <w:i/>
          <w:iCs/>
        </w:rPr>
        <w:t>et al</w:t>
      </w:r>
      <w:r w:rsidRPr="00BA469B">
        <w:rPr>
          <w:rFonts w:ascii="Arial" w:hAnsi="Arial" w:cs="Arial"/>
        </w:rPr>
        <w:t xml:space="preserve">., 2016). </w:t>
      </w:r>
      <w:r w:rsidR="004B5099" w:rsidRPr="00BA469B">
        <w:rPr>
          <w:rFonts w:ascii="Arial" w:hAnsi="Arial" w:cs="Arial"/>
        </w:rPr>
        <w:t>Propolis increases immune cell activity by activating and protecting immune cells, regulating cytokines, boosting antibody production, and modulating innate and adaptive immune responses (Konanc &amp; Ozturk, 2025). Additionally</w:t>
      </w:r>
      <w:r w:rsidRPr="00BA469B">
        <w:rPr>
          <w:rFonts w:ascii="Arial" w:hAnsi="Arial" w:cs="Arial"/>
        </w:rPr>
        <w:t xml:space="preserve">, propolis has been suggested as a natural substitute for antibiotic growth promoters due to its antimicrobial and antiparasitic effects (Krocko </w:t>
      </w:r>
      <w:r w:rsidRPr="00BA469B">
        <w:rPr>
          <w:rFonts w:ascii="Arial" w:hAnsi="Arial" w:cs="Arial"/>
          <w:i/>
          <w:iCs/>
        </w:rPr>
        <w:t>et al</w:t>
      </w:r>
      <w:r w:rsidRPr="00BA469B">
        <w:rPr>
          <w:rFonts w:ascii="Arial" w:hAnsi="Arial" w:cs="Arial"/>
        </w:rPr>
        <w:t xml:space="preserve">., 2012; Temizer </w:t>
      </w:r>
      <w:r w:rsidRPr="00BA469B">
        <w:rPr>
          <w:rFonts w:ascii="Arial" w:hAnsi="Arial" w:cs="Arial"/>
          <w:i/>
          <w:iCs/>
        </w:rPr>
        <w:t>et al</w:t>
      </w:r>
      <w:r w:rsidRPr="00BA469B">
        <w:rPr>
          <w:rFonts w:ascii="Arial" w:hAnsi="Arial" w:cs="Arial"/>
        </w:rPr>
        <w:t>., 2017). Despite the increasing interest in natural feed additives, there is limited information regarding the optimal inclusion levels of propolis and its effectiveness in controlling gastrointestinal parasites in broiler chickens. Therefore, this study was conducted to evaluate the effects of different levels of propolis on growth performance, carcass characteristics, and the control of gastrointestinal parasites in broiler chickens. The findings of this research will contribute to identifying a safe and effective natural alternative to antibiotics, thereby improving poultry productivity, reducing health risks associated with antibiotic residues, and enhancing the sustainability of broiler production systems.</w:t>
      </w:r>
    </w:p>
    <w:p w14:paraId="3DB1765C" w14:textId="77777777" w:rsidR="00F31B94" w:rsidRPr="00BA469B" w:rsidRDefault="00902823" w:rsidP="00AE4EC7">
      <w:pPr>
        <w:pStyle w:val="AbstHead"/>
        <w:spacing w:before="240" w:after="0"/>
        <w:jc w:val="both"/>
        <w:rPr>
          <w:rFonts w:ascii="Arial" w:hAnsi="Arial" w:cs="Arial"/>
        </w:rPr>
      </w:pPr>
      <w:r w:rsidRPr="00BA469B">
        <w:rPr>
          <w:rFonts w:ascii="Arial" w:hAnsi="Arial" w:cs="Arial"/>
        </w:rPr>
        <w:lastRenderedPageBreak/>
        <w:t>2. material and method</w:t>
      </w:r>
      <w:r w:rsidR="00000F8F" w:rsidRPr="00BA469B">
        <w:rPr>
          <w:rFonts w:ascii="Arial" w:hAnsi="Arial" w:cs="Arial"/>
        </w:rPr>
        <w:t xml:space="preserve">s </w:t>
      </w:r>
      <w:bookmarkStart w:id="0" w:name="_Toc72722896"/>
      <w:bookmarkStart w:id="1" w:name="_Toc101979795"/>
      <w:bookmarkStart w:id="2" w:name="_Toc106774012"/>
    </w:p>
    <w:p w14:paraId="5C167233"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2.1 Study site</w:t>
      </w:r>
      <w:bookmarkEnd w:id="0"/>
      <w:bookmarkEnd w:id="1"/>
      <w:bookmarkEnd w:id="2"/>
    </w:p>
    <w:p w14:paraId="6427F301" w14:textId="77777777" w:rsidR="00F31B94" w:rsidRPr="00BA469B" w:rsidRDefault="00F31B94" w:rsidP="00F31B94">
      <w:pPr>
        <w:pStyle w:val="Body"/>
        <w:spacing w:before="240" w:after="0"/>
        <w:rPr>
          <w:rFonts w:ascii="Arial" w:hAnsi="Arial" w:cs="Arial"/>
        </w:rPr>
      </w:pPr>
      <w:r w:rsidRPr="00BA469B">
        <w:rPr>
          <w:rFonts w:ascii="Arial" w:hAnsi="Arial" w:cs="Arial"/>
        </w:rPr>
        <w:t>The study was conducted at the National University of Lesotho farm in Roma, approximately 35 km from Maseru, the capital. The farm is located on the eastern side of the facility. The region experiences distinct seasons: winter (May - August) with a minimum temperature of -1°C, and summer (September - April) with a maximum temperature of 28°C.</w:t>
      </w:r>
    </w:p>
    <w:p w14:paraId="6BA25D74" w14:textId="77777777" w:rsidR="00F31B94" w:rsidRPr="00BA469B" w:rsidRDefault="00F31B94" w:rsidP="00AE4EC7">
      <w:pPr>
        <w:pStyle w:val="Body"/>
        <w:spacing w:before="240"/>
        <w:rPr>
          <w:rFonts w:ascii="Arial" w:hAnsi="Arial" w:cs="Arial"/>
          <w:b/>
          <w:bCs/>
        </w:rPr>
      </w:pPr>
      <w:bookmarkStart w:id="3" w:name="_Toc72722897"/>
      <w:bookmarkStart w:id="4" w:name="_Toc101979796"/>
      <w:bookmarkStart w:id="5" w:name="_Toc106774013"/>
      <w:r w:rsidRPr="00BA469B">
        <w:rPr>
          <w:rFonts w:ascii="Arial" w:hAnsi="Arial" w:cs="Arial"/>
          <w:b/>
          <w:bCs/>
        </w:rPr>
        <w:t>2.2 Study design and sample determination</w:t>
      </w:r>
      <w:bookmarkStart w:id="6" w:name="_Toc101194681"/>
      <w:bookmarkStart w:id="7" w:name="_Toc101979797"/>
      <w:bookmarkEnd w:id="3"/>
      <w:bookmarkEnd w:id="4"/>
      <w:bookmarkEnd w:id="5"/>
    </w:p>
    <w:p w14:paraId="4EE82127" w14:textId="77777777" w:rsidR="00F31B94" w:rsidRPr="00BA469B" w:rsidRDefault="00F31B94" w:rsidP="00F31B94">
      <w:pPr>
        <w:pStyle w:val="Body"/>
        <w:spacing w:before="240" w:after="0"/>
        <w:rPr>
          <w:rFonts w:ascii="Arial" w:hAnsi="Arial" w:cs="Arial"/>
        </w:rPr>
      </w:pPr>
      <w:r w:rsidRPr="00BA469B">
        <w:rPr>
          <w:rFonts w:ascii="Arial" w:hAnsi="Arial" w:cs="Arial"/>
        </w:rPr>
        <w:t>A total of 480-day-old Ross 308 chicks were randomly allocated to 12 floor pens in the second phase of the study, which followed a completely randomized design. The experiment included four treatments; each replicated three times. Propolis was added to drinking water at four different concentrations: control (0 ml/l), 1 ml/l, 2 ml/l, and 3 ml/l, with each replicate containing 30 chicks. In both phases of the study, propolis supplementation was administered through drinking water every two weeks for a total duration of six weeks. The concentration of propolis per liter of water was increased at the start of the third week and then tripled at the beginning of the fifth week.</w:t>
      </w:r>
      <w:bookmarkStart w:id="8" w:name="_Toc102397135"/>
    </w:p>
    <w:p w14:paraId="3A4CB24E" w14:textId="77777777" w:rsidR="00F31B94" w:rsidRPr="00BA469B" w:rsidRDefault="00F31B94" w:rsidP="00F31B94">
      <w:pPr>
        <w:pStyle w:val="Body"/>
        <w:spacing w:before="240" w:after="0"/>
        <w:rPr>
          <w:rFonts w:ascii="Arial" w:hAnsi="Arial" w:cs="Arial"/>
          <w:bCs/>
        </w:rPr>
      </w:pPr>
      <w:r w:rsidRPr="00BA469B">
        <w:rPr>
          <w:rFonts w:ascii="Arial" w:hAnsi="Arial" w:cs="Arial"/>
          <w:b/>
        </w:rPr>
        <w:t xml:space="preserve">Table </w:t>
      </w:r>
      <w:r w:rsidRPr="00BA469B">
        <w:rPr>
          <w:rFonts w:ascii="Arial" w:hAnsi="Arial" w:cs="Arial"/>
          <w:b/>
        </w:rPr>
        <w:fldChar w:fldCharType="begin"/>
      </w:r>
      <w:r w:rsidRPr="00BA469B">
        <w:rPr>
          <w:rFonts w:ascii="Arial" w:hAnsi="Arial" w:cs="Arial"/>
          <w:b/>
        </w:rPr>
        <w:instrText xml:space="preserve"> SEQ Table \* ARABIC </w:instrText>
      </w:r>
      <w:r w:rsidRPr="00BA469B">
        <w:rPr>
          <w:rFonts w:ascii="Arial" w:hAnsi="Arial" w:cs="Arial"/>
          <w:b/>
        </w:rPr>
        <w:fldChar w:fldCharType="separate"/>
      </w:r>
      <w:r w:rsidRPr="00BA469B">
        <w:rPr>
          <w:rFonts w:ascii="Arial" w:hAnsi="Arial" w:cs="Arial"/>
          <w:b/>
        </w:rPr>
        <w:t>1</w:t>
      </w:r>
      <w:r w:rsidRPr="00BA469B">
        <w:rPr>
          <w:rFonts w:ascii="Arial" w:hAnsi="Arial" w:cs="Arial"/>
        </w:rPr>
        <w:fldChar w:fldCharType="end"/>
      </w:r>
      <w:r w:rsidRPr="00BA469B">
        <w:rPr>
          <w:rFonts w:ascii="Arial" w:hAnsi="Arial" w:cs="Arial"/>
          <w:b/>
        </w:rPr>
        <w:t xml:space="preserve">: </w:t>
      </w:r>
      <w:r w:rsidRPr="00BA469B">
        <w:rPr>
          <w:rFonts w:ascii="Arial" w:hAnsi="Arial" w:cs="Arial"/>
          <w:bCs/>
        </w:rPr>
        <w:t>Experimental layout for the first part of the study</w:t>
      </w:r>
      <w:bookmarkEnd w:id="6"/>
      <w:bookmarkEnd w:id="7"/>
      <w:bookmarkEnd w:id="8"/>
    </w:p>
    <w:p w14:paraId="2B612BB6" w14:textId="77777777" w:rsidR="00AE4EC7" w:rsidRPr="00BA469B" w:rsidRDefault="00AE4EC7" w:rsidP="00F31B94">
      <w:pPr>
        <w:pStyle w:val="Body"/>
        <w:spacing w:before="240" w:after="0"/>
        <w:rPr>
          <w:rFonts w:ascii="Arial" w:hAnsi="Arial" w:cs="Arial"/>
          <w:b/>
        </w:rPr>
      </w:pPr>
    </w:p>
    <w:tbl>
      <w:tblPr>
        <w:tblW w:w="0" w:type="auto"/>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737"/>
        <w:gridCol w:w="1652"/>
        <w:gridCol w:w="1606"/>
        <w:gridCol w:w="1606"/>
        <w:gridCol w:w="1607"/>
      </w:tblGrid>
      <w:tr w:rsidR="00F31B94" w:rsidRPr="00BA469B" w14:paraId="0DCEF1BE" w14:textId="77777777" w:rsidTr="0096287A">
        <w:tc>
          <w:tcPr>
            <w:tcW w:w="1848" w:type="dxa"/>
            <w:vMerge w:val="restart"/>
            <w:tcBorders>
              <w:top w:val="single" w:sz="4" w:space="0" w:color="auto"/>
            </w:tcBorders>
          </w:tcPr>
          <w:p w14:paraId="49D6A2A2" w14:textId="77777777" w:rsidR="00F31B94" w:rsidRPr="00BA469B" w:rsidRDefault="00F31B94" w:rsidP="00AE4EC7">
            <w:pPr>
              <w:pStyle w:val="Body"/>
              <w:spacing w:after="0"/>
              <w:rPr>
                <w:rFonts w:ascii="Arial" w:hAnsi="Arial" w:cs="Arial"/>
                <w:b/>
              </w:rPr>
            </w:pPr>
          </w:p>
          <w:p w14:paraId="4A29FF90" w14:textId="77777777" w:rsidR="00F31B94" w:rsidRPr="00BA469B" w:rsidRDefault="00F31B94" w:rsidP="00AE4EC7">
            <w:pPr>
              <w:pStyle w:val="Body"/>
              <w:spacing w:after="0"/>
              <w:rPr>
                <w:rFonts w:ascii="Arial" w:hAnsi="Arial" w:cs="Arial"/>
              </w:rPr>
            </w:pPr>
            <w:r w:rsidRPr="00BA469B">
              <w:rPr>
                <w:rFonts w:ascii="Arial" w:hAnsi="Arial" w:cs="Arial"/>
                <w:b/>
              </w:rPr>
              <w:t>REPLICATES</w:t>
            </w:r>
          </w:p>
        </w:tc>
        <w:tc>
          <w:tcPr>
            <w:tcW w:w="7168" w:type="dxa"/>
            <w:gridSpan w:val="4"/>
            <w:tcBorders>
              <w:top w:val="single" w:sz="4" w:space="0" w:color="auto"/>
              <w:bottom w:val="single" w:sz="4" w:space="0" w:color="auto"/>
            </w:tcBorders>
          </w:tcPr>
          <w:p w14:paraId="483E0191" w14:textId="77777777" w:rsidR="00F31B94" w:rsidRPr="00BA469B" w:rsidRDefault="00F31B94" w:rsidP="00AE4EC7">
            <w:pPr>
              <w:pStyle w:val="Body"/>
              <w:spacing w:after="0"/>
              <w:rPr>
                <w:rFonts w:ascii="Arial" w:hAnsi="Arial" w:cs="Arial"/>
                <w:b/>
              </w:rPr>
            </w:pPr>
            <w:r w:rsidRPr="00BA469B">
              <w:rPr>
                <w:rFonts w:ascii="Arial" w:hAnsi="Arial" w:cs="Arial"/>
                <w:b/>
              </w:rPr>
              <w:t>TREATMENTS ( Propolis concentrations in a liter of water)</w:t>
            </w:r>
          </w:p>
        </w:tc>
      </w:tr>
      <w:tr w:rsidR="00F31B94" w:rsidRPr="00BA469B" w14:paraId="44161E9A" w14:textId="77777777" w:rsidTr="0096287A">
        <w:trPr>
          <w:trHeight w:val="266"/>
        </w:trPr>
        <w:tc>
          <w:tcPr>
            <w:tcW w:w="1848" w:type="dxa"/>
            <w:vMerge/>
          </w:tcPr>
          <w:p w14:paraId="571CC63C" w14:textId="77777777" w:rsidR="00F31B94" w:rsidRPr="00BA469B" w:rsidRDefault="00F31B94" w:rsidP="00AE4EC7">
            <w:pPr>
              <w:pStyle w:val="Body"/>
              <w:spacing w:after="0"/>
              <w:rPr>
                <w:rFonts w:ascii="Arial" w:hAnsi="Arial" w:cs="Arial"/>
                <w:b/>
              </w:rPr>
            </w:pPr>
          </w:p>
        </w:tc>
        <w:tc>
          <w:tcPr>
            <w:tcW w:w="1812" w:type="dxa"/>
            <w:tcBorders>
              <w:top w:val="single" w:sz="4" w:space="0" w:color="auto"/>
            </w:tcBorders>
          </w:tcPr>
          <w:p w14:paraId="05EDDF31" w14:textId="77777777" w:rsidR="00F31B94" w:rsidRPr="00BA469B" w:rsidRDefault="00F31B94" w:rsidP="00AE4EC7">
            <w:pPr>
              <w:pStyle w:val="Body"/>
              <w:spacing w:after="0"/>
              <w:rPr>
                <w:rFonts w:ascii="Arial" w:hAnsi="Arial" w:cs="Arial"/>
                <w:b/>
              </w:rPr>
            </w:pPr>
            <w:r w:rsidRPr="00BA469B">
              <w:rPr>
                <w:rFonts w:ascii="Arial" w:hAnsi="Arial" w:cs="Arial"/>
                <w:b/>
              </w:rPr>
              <w:t>CONTROL</w:t>
            </w:r>
          </w:p>
        </w:tc>
        <w:tc>
          <w:tcPr>
            <w:tcW w:w="1785" w:type="dxa"/>
            <w:tcBorders>
              <w:top w:val="single" w:sz="4" w:space="0" w:color="auto"/>
            </w:tcBorders>
          </w:tcPr>
          <w:p w14:paraId="119803CA" w14:textId="77777777" w:rsidR="00F31B94" w:rsidRPr="00BA469B" w:rsidRDefault="00F31B94" w:rsidP="00AE4EC7">
            <w:pPr>
              <w:pStyle w:val="Body"/>
              <w:spacing w:after="0"/>
              <w:rPr>
                <w:rFonts w:ascii="Arial" w:hAnsi="Arial" w:cs="Arial"/>
                <w:b/>
              </w:rPr>
            </w:pPr>
            <w:r w:rsidRPr="00BA469B">
              <w:rPr>
                <w:rFonts w:ascii="Arial" w:hAnsi="Arial" w:cs="Arial"/>
                <w:b/>
              </w:rPr>
              <w:t>LEVEL 1</w:t>
            </w:r>
          </w:p>
        </w:tc>
        <w:tc>
          <w:tcPr>
            <w:tcW w:w="1785" w:type="dxa"/>
            <w:tcBorders>
              <w:top w:val="single" w:sz="4" w:space="0" w:color="auto"/>
            </w:tcBorders>
          </w:tcPr>
          <w:p w14:paraId="0FD61D93" w14:textId="77777777" w:rsidR="00F31B94" w:rsidRPr="00BA469B" w:rsidRDefault="00F31B94" w:rsidP="00AE4EC7">
            <w:pPr>
              <w:pStyle w:val="Body"/>
              <w:spacing w:after="0"/>
              <w:rPr>
                <w:rFonts w:ascii="Arial" w:hAnsi="Arial" w:cs="Arial"/>
                <w:b/>
              </w:rPr>
            </w:pPr>
            <w:r w:rsidRPr="00BA469B">
              <w:rPr>
                <w:rFonts w:ascii="Arial" w:hAnsi="Arial" w:cs="Arial"/>
                <w:b/>
              </w:rPr>
              <w:t>LEVEL 2</w:t>
            </w:r>
          </w:p>
        </w:tc>
        <w:tc>
          <w:tcPr>
            <w:tcW w:w="1786" w:type="dxa"/>
            <w:tcBorders>
              <w:top w:val="single" w:sz="4" w:space="0" w:color="auto"/>
            </w:tcBorders>
          </w:tcPr>
          <w:p w14:paraId="243944EE" w14:textId="77777777" w:rsidR="00F31B94" w:rsidRPr="00BA469B" w:rsidRDefault="00F31B94" w:rsidP="00AE4EC7">
            <w:pPr>
              <w:pStyle w:val="Body"/>
              <w:spacing w:after="0"/>
              <w:rPr>
                <w:rFonts w:ascii="Arial" w:hAnsi="Arial" w:cs="Arial"/>
                <w:b/>
              </w:rPr>
            </w:pPr>
            <w:r w:rsidRPr="00BA469B">
              <w:rPr>
                <w:rFonts w:ascii="Arial" w:hAnsi="Arial" w:cs="Arial"/>
                <w:b/>
              </w:rPr>
              <w:t>LEVEL 3</w:t>
            </w:r>
          </w:p>
        </w:tc>
      </w:tr>
      <w:tr w:rsidR="00F31B94" w:rsidRPr="00BA469B" w14:paraId="01370CAE" w14:textId="77777777" w:rsidTr="0096287A">
        <w:trPr>
          <w:trHeight w:val="242"/>
        </w:trPr>
        <w:tc>
          <w:tcPr>
            <w:tcW w:w="1848" w:type="dxa"/>
            <w:vMerge/>
            <w:tcBorders>
              <w:bottom w:val="single" w:sz="4" w:space="0" w:color="auto"/>
            </w:tcBorders>
          </w:tcPr>
          <w:p w14:paraId="1FA0C001" w14:textId="77777777" w:rsidR="00F31B94" w:rsidRPr="00BA469B" w:rsidRDefault="00F31B94" w:rsidP="00AE4EC7">
            <w:pPr>
              <w:pStyle w:val="Body"/>
              <w:spacing w:after="0"/>
              <w:rPr>
                <w:rFonts w:ascii="Arial" w:hAnsi="Arial" w:cs="Arial"/>
                <w:b/>
              </w:rPr>
            </w:pPr>
          </w:p>
        </w:tc>
        <w:tc>
          <w:tcPr>
            <w:tcW w:w="1812" w:type="dxa"/>
            <w:tcBorders>
              <w:bottom w:val="single" w:sz="4" w:space="0" w:color="auto"/>
            </w:tcBorders>
          </w:tcPr>
          <w:p w14:paraId="74F2B9D5" w14:textId="77777777" w:rsidR="00F31B94" w:rsidRPr="00BA469B" w:rsidRDefault="00F31B94" w:rsidP="00AE4EC7">
            <w:pPr>
              <w:pStyle w:val="Body"/>
              <w:spacing w:after="0"/>
              <w:rPr>
                <w:rFonts w:ascii="Arial" w:hAnsi="Arial" w:cs="Arial"/>
                <w:b/>
              </w:rPr>
            </w:pPr>
            <w:r w:rsidRPr="00BA469B">
              <w:rPr>
                <w:rFonts w:ascii="Arial" w:hAnsi="Arial" w:cs="Arial"/>
                <w:b/>
              </w:rPr>
              <w:t>(0.00ml/l)</w:t>
            </w:r>
          </w:p>
        </w:tc>
        <w:tc>
          <w:tcPr>
            <w:tcW w:w="1785" w:type="dxa"/>
            <w:tcBorders>
              <w:bottom w:val="single" w:sz="4" w:space="0" w:color="auto"/>
            </w:tcBorders>
          </w:tcPr>
          <w:p w14:paraId="1ED0078F" w14:textId="77777777" w:rsidR="00F31B94" w:rsidRPr="00BA469B" w:rsidRDefault="00F31B94" w:rsidP="00AE4EC7">
            <w:pPr>
              <w:pStyle w:val="Body"/>
              <w:spacing w:after="0"/>
              <w:rPr>
                <w:rFonts w:ascii="Arial" w:hAnsi="Arial" w:cs="Arial"/>
                <w:b/>
              </w:rPr>
            </w:pPr>
            <w:r w:rsidRPr="00BA469B">
              <w:rPr>
                <w:rFonts w:ascii="Arial" w:hAnsi="Arial" w:cs="Arial"/>
                <w:b/>
              </w:rPr>
              <w:t>(1.00ml/l)</w:t>
            </w:r>
          </w:p>
        </w:tc>
        <w:tc>
          <w:tcPr>
            <w:tcW w:w="1785" w:type="dxa"/>
            <w:tcBorders>
              <w:bottom w:val="single" w:sz="4" w:space="0" w:color="auto"/>
            </w:tcBorders>
          </w:tcPr>
          <w:p w14:paraId="2DBEB112" w14:textId="77777777" w:rsidR="00F31B94" w:rsidRPr="00BA469B" w:rsidRDefault="00F31B94" w:rsidP="00AE4EC7">
            <w:pPr>
              <w:pStyle w:val="Body"/>
              <w:spacing w:after="0"/>
              <w:rPr>
                <w:rFonts w:ascii="Arial" w:hAnsi="Arial" w:cs="Arial"/>
                <w:b/>
              </w:rPr>
            </w:pPr>
            <w:r w:rsidRPr="00BA469B">
              <w:rPr>
                <w:rFonts w:ascii="Arial" w:hAnsi="Arial" w:cs="Arial"/>
                <w:b/>
              </w:rPr>
              <w:t>(2.00ml/l)</w:t>
            </w:r>
          </w:p>
        </w:tc>
        <w:tc>
          <w:tcPr>
            <w:tcW w:w="1786" w:type="dxa"/>
            <w:tcBorders>
              <w:bottom w:val="single" w:sz="4" w:space="0" w:color="auto"/>
            </w:tcBorders>
          </w:tcPr>
          <w:p w14:paraId="079BDB41" w14:textId="77777777" w:rsidR="00F31B94" w:rsidRPr="00BA469B" w:rsidRDefault="00F31B94" w:rsidP="00AE4EC7">
            <w:pPr>
              <w:pStyle w:val="Body"/>
              <w:spacing w:after="0"/>
              <w:rPr>
                <w:rFonts w:ascii="Arial" w:hAnsi="Arial" w:cs="Arial"/>
                <w:b/>
              </w:rPr>
            </w:pPr>
            <w:r w:rsidRPr="00BA469B">
              <w:rPr>
                <w:rFonts w:ascii="Arial" w:hAnsi="Arial" w:cs="Arial"/>
                <w:b/>
              </w:rPr>
              <w:t>(3.00ml/l)</w:t>
            </w:r>
          </w:p>
        </w:tc>
      </w:tr>
      <w:tr w:rsidR="00F31B94" w:rsidRPr="00BA469B" w14:paraId="1871C377" w14:textId="77777777" w:rsidTr="0096287A">
        <w:tc>
          <w:tcPr>
            <w:tcW w:w="1848" w:type="dxa"/>
            <w:tcBorders>
              <w:top w:val="single" w:sz="4" w:space="0" w:color="auto"/>
            </w:tcBorders>
          </w:tcPr>
          <w:p w14:paraId="37EE2E4D" w14:textId="77777777" w:rsidR="00F31B94" w:rsidRPr="00BA469B" w:rsidRDefault="00F31B94" w:rsidP="00AE4EC7">
            <w:pPr>
              <w:pStyle w:val="Body"/>
              <w:spacing w:after="0"/>
              <w:rPr>
                <w:rFonts w:ascii="Arial" w:hAnsi="Arial" w:cs="Arial"/>
              </w:rPr>
            </w:pPr>
            <w:r w:rsidRPr="00BA469B">
              <w:rPr>
                <w:rFonts w:ascii="Arial" w:hAnsi="Arial" w:cs="Arial"/>
              </w:rPr>
              <w:t>1</w:t>
            </w:r>
          </w:p>
        </w:tc>
        <w:tc>
          <w:tcPr>
            <w:tcW w:w="1812" w:type="dxa"/>
            <w:tcBorders>
              <w:top w:val="single" w:sz="4" w:space="0" w:color="auto"/>
            </w:tcBorders>
          </w:tcPr>
          <w:p w14:paraId="47731791"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Borders>
              <w:top w:val="single" w:sz="4" w:space="0" w:color="auto"/>
            </w:tcBorders>
          </w:tcPr>
          <w:p w14:paraId="255BE195"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Borders>
              <w:top w:val="single" w:sz="4" w:space="0" w:color="auto"/>
            </w:tcBorders>
          </w:tcPr>
          <w:p w14:paraId="50E9C4AE"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Borders>
              <w:top w:val="single" w:sz="4" w:space="0" w:color="auto"/>
            </w:tcBorders>
          </w:tcPr>
          <w:p w14:paraId="332B1FDA" w14:textId="77777777" w:rsidR="00F31B94" w:rsidRPr="00BA469B" w:rsidRDefault="00F31B94" w:rsidP="00AE4EC7">
            <w:pPr>
              <w:pStyle w:val="Body"/>
              <w:spacing w:after="0"/>
              <w:rPr>
                <w:rFonts w:ascii="Arial" w:hAnsi="Arial" w:cs="Arial"/>
              </w:rPr>
            </w:pPr>
            <w:r w:rsidRPr="00BA469B">
              <w:rPr>
                <w:rFonts w:ascii="Arial" w:hAnsi="Arial" w:cs="Arial"/>
              </w:rPr>
              <w:t>30</w:t>
            </w:r>
          </w:p>
        </w:tc>
      </w:tr>
      <w:tr w:rsidR="00F31B94" w:rsidRPr="00BA469B" w14:paraId="463217B4" w14:textId="77777777" w:rsidTr="0096287A">
        <w:tc>
          <w:tcPr>
            <w:tcW w:w="1848" w:type="dxa"/>
          </w:tcPr>
          <w:p w14:paraId="5F647AD4" w14:textId="77777777" w:rsidR="00F31B94" w:rsidRPr="00BA469B" w:rsidRDefault="00F31B94" w:rsidP="00AE4EC7">
            <w:pPr>
              <w:pStyle w:val="Body"/>
              <w:spacing w:after="0"/>
              <w:rPr>
                <w:rFonts w:ascii="Arial" w:hAnsi="Arial" w:cs="Arial"/>
              </w:rPr>
            </w:pPr>
            <w:r w:rsidRPr="00BA469B">
              <w:rPr>
                <w:rFonts w:ascii="Arial" w:hAnsi="Arial" w:cs="Arial"/>
              </w:rPr>
              <w:t>2</w:t>
            </w:r>
          </w:p>
        </w:tc>
        <w:tc>
          <w:tcPr>
            <w:tcW w:w="1812" w:type="dxa"/>
          </w:tcPr>
          <w:p w14:paraId="2CC9059C"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36E90F68"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2600EB8A"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Pr>
          <w:p w14:paraId="0C58D00C" w14:textId="77777777" w:rsidR="00F31B94" w:rsidRPr="00BA469B" w:rsidRDefault="00F31B94" w:rsidP="00AE4EC7">
            <w:pPr>
              <w:pStyle w:val="Body"/>
              <w:spacing w:after="0"/>
              <w:rPr>
                <w:rFonts w:ascii="Arial" w:hAnsi="Arial" w:cs="Arial"/>
              </w:rPr>
            </w:pPr>
            <w:r w:rsidRPr="00BA469B">
              <w:rPr>
                <w:rFonts w:ascii="Arial" w:hAnsi="Arial" w:cs="Arial"/>
              </w:rPr>
              <w:t>30</w:t>
            </w:r>
          </w:p>
        </w:tc>
      </w:tr>
      <w:tr w:rsidR="00F31B94" w:rsidRPr="00BA469B" w14:paraId="7145445C" w14:textId="77777777" w:rsidTr="0096287A">
        <w:tc>
          <w:tcPr>
            <w:tcW w:w="1848" w:type="dxa"/>
          </w:tcPr>
          <w:p w14:paraId="0AC428D7" w14:textId="77777777" w:rsidR="00F31B94" w:rsidRPr="00BA469B" w:rsidRDefault="00F31B94" w:rsidP="00AE4EC7">
            <w:pPr>
              <w:pStyle w:val="Body"/>
              <w:spacing w:after="0"/>
              <w:rPr>
                <w:rFonts w:ascii="Arial" w:hAnsi="Arial" w:cs="Arial"/>
              </w:rPr>
            </w:pPr>
            <w:r w:rsidRPr="00BA469B">
              <w:rPr>
                <w:rFonts w:ascii="Arial" w:hAnsi="Arial" w:cs="Arial"/>
              </w:rPr>
              <w:t>3</w:t>
            </w:r>
          </w:p>
        </w:tc>
        <w:tc>
          <w:tcPr>
            <w:tcW w:w="1812" w:type="dxa"/>
          </w:tcPr>
          <w:p w14:paraId="225F686B"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4135A012"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414AAC27"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Pr>
          <w:p w14:paraId="68BB374C" w14:textId="77777777" w:rsidR="00F31B94" w:rsidRPr="00BA469B" w:rsidRDefault="00F31B94" w:rsidP="00AE4EC7">
            <w:pPr>
              <w:pStyle w:val="Body"/>
              <w:spacing w:after="0"/>
              <w:rPr>
                <w:rFonts w:ascii="Arial" w:hAnsi="Arial" w:cs="Arial"/>
              </w:rPr>
            </w:pPr>
            <w:r w:rsidRPr="00BA469B">
              <w:rPr>
                <w:rFonts w:ascii="Arial" w:hAnsi="Arial" w:cs="Arial"/>
              </w:rPr>
              <w:t>30</w:t>
            </w:r>
          </w:p>
        </w:tc>
      </w:tr>
      <w:tr w:rsidR="00F31B94" w:rsidRPr="00BA469B" w14:paraId="69B62B67" w14:textId="77777777" w:rsidTr="0096287A">
        <w:tc>
          <w:tcPr>
            <w:tcW w:w="1848" w:type="dxa"/>
          </w:tcPr>
          <w:p w14:paraId="095C70E4" w14:textId="77777777" w:rsidR="00F31B94" w:rsidRPr="00BA469B" w:rsidRDefault="00F31B94" w:rsidP="00AE4EC7">
            <w:pPr>
              <w:pStyle w:val="Body"/>
              <w:spacing w:after="0"/>
              <w:rPr>
                <w:rFonts w:ascii="Arial" w:hAnsi="Arial" w:cs="Arial"/>
              </w:rPr>
            </w:pPr>
            <w:r w:rsidRPr="00BA469B">
              <w:rPr>
                <w:rFonts w:ascii="Arial" w:hAnsi="Arial" w:cs="Arial"/>
              </w:rPr>
              <w:t>4</w:t>
            </w:r>
          </w:p>
        </w:tc>
        <w:tc>
          <w:tcPr>
            <w:tcW w:w="1812" w:type="dxa"/>
          </w:tcPr>
          <w:p w14:paraId="3A638ADC"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17D2DDF6"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0F99D726"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Pr>
          <w:p w14:paraId="1BDF89CD" w14:textId="77777777" w:rsidR="00F31B94" w:rsidRPr="00BA469B" w:rsidRDefault="00F31B94" w:rsidP="00AE4EC7">
            <w:pPr>
              <w:pStyle w:val="Body"/>
              <w:spacing w:after="0"/>
              <w:rPr>
                <w:rFonts w:ascii="Arial" w:hAnsi="Arial" w:cs="Arial"/>
              </w:rPr>
            </w:pPr>
            <w:r w:rsidRPr="00BA469B">
              <w:rPr>
                <w:rFonts w:ascii="Arial" w:hAnsi="Arial" w:cs="Arial"/>
              </w:rPr>
              <w:t>30</w:t>
            </w:r>
          </w:p>
        </w:tc>
      </w:tr>
    </w:tbl>
    <w:p w14:paraId="0CABF586" w14:textId="77777777" w:rsidR="00F31B94" w:rsidRPr="00BA469B" w:rsidRDefault="00F31B94" w:rsidP="00AE4EC7">
      <w:pPr>
        <w:pStyle w:val="Body"/>
        <w:spacing w:before="240"/>
        <w:rPr>
          <w:rFonts w:ascii="Arial" w:hAnsi="Arial" w:cs="Arial"/>
          <w:b/>
          <w:bCs/>
        </w:rPr>
      </w:pPr>
      <w:bookmarkStart w:id="9" w:name="_Toc101979800"/>
      <w:bookmarkStart w:id="10" w:name="_Toc106774015"/>
      <w:bookmarkStart w:id="11" w:name="_Toc30714088"/>
      <w:r w:rsidRPr="00BA469B">
        <w:rPr>
          <w:rFonts w:ascii="Arial" w:hAnsi="Arial" w:cs="Arial"/>
          <w:b/>
          <w:bCs/>
        </w:rPr>
        <w:t>2.3 Housing and feeding</w:t>
      </w:r>
      <w:bookmarkEnd w:id="9"/>
      <w:bookmarkEnd w:id="10"/>
    </w:p>
    <w:p w14:paraId="3BF6C6C2" w14:textId="77777777" w:rsidR="00F31B94" w:rsidRPr="00BA469B" w:rsidRDefault="00F31B94" w:rsidP="00F31B94">
      <w:pPr>
        <w:pStyle w:val="Body"/>
        <w:spacing w:before="240" w:after="0"/>
        <w:rPr>
          <w:rFonts w:ascii="Arial" w:hAnsi="Arial" w:cs="Arial"/>
        </w:rPr>
      </w:pPr>
      <w:r w:rsidRPr="00BA469B">
        <w:rPr>
          <w:rFonts w:ascii="Arial" w:hAnsi="Arial" w:cs="Arial"/>
        </w:rPr>
        <w:t>Chickens were housed in climate-controlled pens measuring 1.8 × 2.25 m, with 5 cm deep wood shavings (18.9 kg per pen) as litter. No heating or lighting systems were used. Upon arrival, chicks received only a stress pack; no additional medications or vitamins were given except for propolis. Feeders and drinkers were suspended, and feed and water were provided ad libitum. Starter feed was given from arrival to two weeks of age, followed by grower feed from weeks three to four.</w:t>
      </w:r>
    </w:p>
    <w:p w14:paraId="0533D958" w14:textId="77777777" w:rsidR="00F31B94" w:rsidRPr="00BA469B" w:rsidRDefault="00F31B94" w:rsidP="00F31B94">
      <w:pPr>
        <w:pStyle w:val="Body"/>
        <w:spacing w:before="240"/>
        <w:rPr>
          <w:rFonts w:ascii="Arial" w:hAnsi="Arial" w:cs="Arial"/>
          <w:b/>
          <w:bCs/>
        </w:rPr>
      </w:pPr>
      <w:bookmarkStart w:id="12" w:name="_Toc72722898"/>
      <w:bookmarkStart w:id="13" w:name="_Toc101979801"/>
      <w:bookmarkStart w:id="14" w:name="_Toc106774016"/>
      <w:r w:rsidRPr="00BA469B">
        <w:rPr>
          <w:rFonts w:ascii="Arial" w:hAnsi="Arial" w:cs="Arial"/>
          <w:b/>
          <w:bCs/>
        </w:rPr>
        <w:t>2.4 Propolis preparation</w:t>
      </w:r>
      <w:bookmarkEnd w:id="12"/>
      <w:bookmarkEnd w:id="13"/>
      <w:bookmarkEnd w:id="14"/>
    </w:p>
    <w:p w14:paraId="3125C8C8" w14:textId="77777777" w:rsidR="00F31B94" w:rsidRPr="00BA469B" w:rsidRDefault="00F31B94" w:rsidP="00F31B94">
      <w:pPr>
        <w:pStyle w:val="Body"/>
        <w:spacing w:before="240" w:after="0"/>
        <w:rPr>
          <w:rFonts w:ascii="Arial" w:hAnsi="Arial" w:cs="Arial"/>
        </w:rPr>
      </w:pPr>
      <w:r w:rsidRPr="00BA469B">
        <w:rPr>
          <w:rFonts w:ascii="Arial" w:hAnsi="Arial" w:cs="Arial"/>
        </w:rPr>
        <w:t>Propolis was stored dry in a dark place. A 10% solution was prepared by mixing 20 g of powdered propolis with 200 ml of 90% alcohol and left for at least 14 days in a dark, cool place, stirred 3 - 6 times daily. The solution was filtered and stored in a dark bottle until use</w:t>
      </w:r>
    </w:p>
    <w:bookmarkEnd w:id="11"/>
    <w:p w14:paraId="119462E5"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2.5 Data Collection</w:t>
      </w:r>
    </w:p>
    <w:p w14:paraId="04A2B48D" w14:textId="77777777" w:rsidR="0096287A" w:rsidRPr="00BA469B" w:rsidRDefault="00F31B94" w:rsidP="00F31B94">
      <w:pPr>
        <w:pStyle w:val="Body"/>
        <w:spacing w:before="240" w:after="0"/>
        <w:rPr>
          <w:rFonts w:ascii="Arial" w:hAnsi="Arial" w:cs="Arial"/>
          <w:b/>
          <w:bCs/>
        </w:rPr>
      </w:pPr>
      <w:r w:rsidRPr="00BA469B">
        <w:rPr>
          <w:rFonts w:ascii="Arial" w:hAnsi="Arial" w:cs="Arial"/>
          <w:b/>
          <w:bCs/>
        </w:rPr>
        <w:t>2.5.1 Faecal Sample Collection</w:t>
      </w:r>
    </w:p>
    <w:p w14:paraId="70F53207" w14:textId="77777777" w:rsidR="00F31B94" w:rsidRPr="00BA469B" w:rsidRDefault="00F31B94" w:rsidP="00F31B94">
      <w:pPr>
        <w:pStyle w:val="Body"/>
        <w:spacing w:before="240" w:after="0"/>
        <w:rPr>
          <w:rFonts w:ascii="Arial" w:hAnsi="Arial" w:cs="Arial"/>
          <w:b/>
          <w:bCs/>
        </w:rPr>
      </w:pPr>
      <w:r w:rsidRPr="00BA469B">
        <w:rPr>
          <w:rFonts w:ascii="Arial" w:hAnsi="Arial" w:cs="Arial"/>
        </w:rPr>
        <w:br/>
        <w:t xml:space="preserve">The effect of propolis on gastrointestinal parasites was assessed by collecting faecal samples </w:t>
      </w:r>
      <w:r w:rsidRPr="00BA469B">
        <w:rPr>
          <w:rFonts w:ascii="Arial" w:hAnsi="Arial" w:cs="Arial"/>
        </w:rPr>
        <w:lastRenderedPageBreak/>
        <w:t>from broiler chickens at the start of the experiment and every two weeks thereafter. Ten samples were collected from each pen. Fresh samples were obtained directly from the cloaca and stored in well-labelled, airtight, and watertight bottles. During collection, bottles were kept in the shade to prevent egg hatching. Samples were then refrigerated at 4 °C until laboratory analysis.</w:t>
      </w:r>
    </w:p>
    <w:p w14:paraId="098D2836" w14:textId="77777777" w:rsidR="00AE4EC7" w:rsidRPr="00BA469B" w:rsidRDefault="00F31B94" w:rsidP="00F31B94">
      <w:pPr>
        <w:pStyle w:val="Body"/>
        <w:spacing w:before="240" w:after="0"/>
        <w:rPr>
          <w:rFonts w:ascii="Arial" w:hAnsi="Arial" w:cs="Arial"/>
          <w:b/>
          <w:bCs/>
        </w:rPr>
      </w:pPr>
      <w:r w:rsidRPr="00BA469B">
        <w:rPr>
          <w:rFonts w:ascii="Arial" w:hAnsi="Arial" w:cs="Arial"/>
          <w:b/>
          <w:bCs/>
        </w:rPr>
        <w:t>2.5.2 Faecal Examination and Differential Egg Count</w:t>
      </w:r>
    </w:p>
    <w:p w14:paraId="074C683A" w14:textId="77777777" w:rsidR="00F31B94" w:rsidRPr="00BA469B" w:rsidRDefault="00F31B94" w:rsidP="00F31B94">
      <w:pPr>
        <w:pStyle w:val="Body"/>
        <w:spacing w:before="240" w:after="0"/>
        <w:rPr>
          <w:rFonts w:ascii="Arial" w:hAnsi="Arial" w:cs="Arial"/>
          <w:b/>
          <w:bCs/>
        </w:rPr>
      </w:pPr>
      <w:r w:rsidRPr="00BA469B">
        <w:rPr>
          <w:rFonts w:ascii="Arial" w:hAnsi="Arial" w:cs="Arial"/>
        </w:rPr>
        <w:br/>
        <w:t>Differential egg counts were determined using a light microscope and the flotation procedure of the McMaster technique (Zajac, 2012). Each sample was thoroughly crushed, and 2 g was mixed with 58 mL of sodium chloride flotation solution. The mixture was stirred and sieved into a clean container. Small amounts of amyl alcohol were added to reduce bubbles. A subsample was transferred to a McMaster slide using a pipette and left for 3–5 minutes to allow egg flotation before counting.</w:t>
      </w:r>
    </w:p>
    <w:p w14:paraId="19472CEC"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2.5.3 Identification of Eggs</w:t>
      </w:r>
    </w:p>
    <w:p w14:paraId="5A9327E2" w14:textId="77777777" w:rsidR="00F31B94" w:rsidRPr="00BA469B" w:rsidRDefault="00F31B94" w:rsidP="00F31B94">
      <w:pPr>
        <w:pStyle w:val="Body"/>
        <w:spacing w:before="240" w:after="0"/>
        <w:rPr>
          <w:rFonts w:ascii="Arial" w:hAnsi="Arial" w:cs="Arial"/>
        </w:rPr>
      </w:pPr>
      <w:r w:rsidRPr="00BA469B">
        <w:rPr>
          <w:rFonts w:ascii="Arial" w:hAnsi="Arial" w:cs="Arial"/>
        </w:rPr>
        <w:t>Helminth eggs in poultry faecal samples were identified during data collection based on their characteristic morphological features. Identification focused on the presence of nematode, coccidia, and cestode eggs using standard microscopic examination techniques. The shape, size, shell thickness, and internal structures of the eggs were used as key criteria for classification.</w:t>
      </w:r>
    </w:p>
    <w:p w14:paraId="5A6DF43F" w14:textId="77777777" w:rsidR="00AE4EC7" w:rsidRPr="00BA469B" w:rsidRDefault="00F31B94" w:rsidP="00F31B94">
      <w:pPr>
        <w:pStyle w:val="Body"/>
        <w:spacing w:before="240" w:after="0"/>
        <w:rPr>
          <w:rFonts w:ascii="Arial" w:hAnsi="Arial" w:cs="Arial"/>
          <w:b/>
          <w:bCs/>
        </w:rPr>
      </w:pPr>
      <w:r w:rsidRPr="00BA469B">
        <w:rPr>
          <w:rFonts w:ascii="Arial" w:hAnsi="Arial" w:cs="Arial"/>
          <w:b/>
          <w:bCs/>
        </w:rPr>
        <w:t>2.5.4 Preparation of Faecal Cultures</w:t>
      </w:r>
    </w:p>
    <w:p w14:paraId="47400B59" w14:textId="77777777" w:rsidR="00F31B94" w:rsidRPr="00BA469B" w:rsidRDefault="00F31B94" w:rsidP="00F31B94">
      <w:pPr>
        <w:pStyle w:val="Body"/>
        <w:spacing w:before="240" w:after="0"/>
        <w:rPr>
          <w:rFonts w:ascii="Arial" w:hAnsi="Arial" w:cs="Arial"/>
          <w:b/>
          <w:bCs/>
        </w:rPr>
      </w:pPr>
      <w:r w:rsidRPr="00BA469B">
        <w:rPr>
          <w:rFonts w:ascii="Arial" w:hAnsi="Arial" w:cs="Arial"/>
        </w:rPr>
        <w:br/>
        <w:t xml:space="preserve">Faecal cultures were prepared using a modified technique of Roberts and O’Sullivan (1950). Faecal material was crumbled and mixed with vermiculite to form a crumbly mixture, then lightly compacted in wide-mouthed glass jars. The cultures were moistened and incubated for 6 - 7 days. They were subsequently exposed to light and re-moistened to stimulate migration of L3 larvae. Cultures were harvested, and 1 - 2% formalin was added. Larvae were killed by heating in a water bath at 55 - 57 °C for one minute to preserve morphology (Van Wyk </w:t>
      </w:r>
      <w:r w:rsidRPr="00BA469B">
        <w:rPr>
          <w:rFonts w:ascii="Arial" w:hAnsi="Arial" w:cs="Arial"/>
          <w:i/>
          <w:iCs/>
        </w:rPr>
        <w:t>et al.,</w:t>
      </w:r>
      <w:r w:rsidRPr="00BA469B">
        <w:rPr>
          <w:rFonts w:ascii="Arial" w:hAnsi="Arial" w:cs="Arial"/>
        </w:rPr>
        <w:t xml:space="preserve"> 2003). Samples were centrifuged at 1000 rpm for five minutes, and sediment was examined under a light microscope.</w:t>
      </w:r>
    </w:p>
    <w:p w14:paraId="7F0035D6"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2.6 Data Analysis</w:t>
      </w:r>
    </w:p>
    <w:p w14:paraId="461E5125" w14:textId="77777777" w:rsidR="00790ADA" w:rsidRPr="00BA469B" w:rsidRDefault="00F31B94" w:rsidP="00F31B94">
      <w:pPr>
        <w:pStyle w:val="Body"/>
        <w:spacing w:before="240" w:after="0"/>
        <w:rPr>
          <w:rFonts w:ascii="Arial" w:hAnsi="Arial" w:cs="Arial"/>
        </w:rPr>
      </w:pPr>
      <w:r w:rsidRPr="00BA469B">
        <w:rPr>
          <w:rFonts w:ascii="Arial" w:hAnsi="Arial" w:cs="Arial"/>
        </w:rPr>
        <w:br/>
        <w:t>Data were recorded in Microsoft Excel and analyzed using SPSS version 20. Generalized Estimating Equations (GEE) with a binary logistic regression model were used to determine differences in parasite prevalence, expressed as odds ratios. Faecal egg counts were analyzed using GEE for repeated measures and presented as exponential beta percentages. Differences were considered significant at p ≤ 0.05. The least significant difference (LSD) test was used to separate means.</w:t>
      </w:r>
    </w:p>
    <w:p w14:paraId="141BE2C5" w14:textId="77777777" w:rsidR="00902823" w:rsidRPr="00BA469B" w:rsidRDefault="00000F8F" w:rsidP="00F31B94">
      <w:pPr>
        <w:pStyle w:val="Head1"/>
        <w:spacing w:before="240" w:after="0"/>
        <w:jc w:val="both"/>
        <w:rPr>
          <w:rFonts w:ascii="Arial" w:hAnsi="Arial" w:cs="Arial"/>
        </w:rPr>
      </w:pPr>
      <w:r w:rsidRPr="00BA469B">
        <w:rPr>
          <w:rFonts w:ascii="Arial" w:hAnsi="Arial" w:cs="Arial"/>
        </w:rPr>
        <w:t>3</w:t>
      </w:r>
      <w:r w:rsidR="00902823" w:rsidRPr="00BA469B">
        <w:rPr>
          <w:rFonts w:ascii="Arial" w:hAnsi="Arial" w:cs="Arial"/>
        </w:rPr>
        <w:t xml:space="preserve">. </w:t>
      </w:r>
      <w:r w:rsidRPr="00BA469B">
        <w:rPr>
          <w:rFonts w:ascii="Arial" w:hAnsi="Arial" w:cs="Arial"/>
        </w:rPr>
        <w:t>results and discussion</w:t>
      </w:r>
    </w:p>
    <w:p w14:paraId="0CD74961"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3.1 Effect of Different Levels of Propolis on the Prevalence of Gastrointestinal Parasites in Broiler Chickens</w:t>
      </w:r>
    </w:p>
    <w:p w14:paraId="3A26CF5A" w14:textId="77777777" w:rsidR="00F31B94" w:rsidRPr="00BA469B" w:rsidRDefault="00F31B94" w:rsidP="00F31B94">
      <w:pPr>
        <w:pStyle w:val="Body"/>
        <w:spacing w:before="240" w:after="0"/>
        <w:rPr>
          <w:rFonts w:ascii="Arial" w:hAnsi="Arial" w:cs="Arial"/>
        </w:rPr>
      </w:pPr>
      <w:r w:rsidRPr="00BA469B">
        <w:rPr>
          <w:rFonts w:ascii="Arial" w:hAnsi="Arial" w:cs="Arial"/>
        </w:rPr>
        <w:t xml:space="preserve">The results presented in Table 2 showed that propolis supplementation influenced the prevalence of gastrointestinal parasites, particularly nematodes and coccidia, in broiler </w:t>
      </w:r>
      <w:r w:rsidRPr="00BA469B">
        <w:rPr>
          <w:rFonts w:ascii="Arial" w:hAnsi="Arial" w:cs="Arial"/>
        </w:rPr>
        <w:lastRenderedPageBreak/>
        <w:t xml:space="preserve">chickens over the six-week experimental period. The prevalence of nematodes decreased significantly (p &lt; 0.05) from week 2 to week 6 in broilers receiving propolis supplementation compared with the control group. Chickens receiving 1 ml/L and 2 ml/L propolis treatments showed the greatest reduction, while birds receiving the highest concentration (3 ml/L) showed relatively inconsistent reductions in prevalence. This indicates that moderate concentrations of propolis may be more effective in controlling nematode infections in broiler chickens than very high concentrations. The reduction of nematode prevalence observed in the present study may be attributed to the bioactive compounds present in propolis, such as flavonoids, phenolic acids, and terpenoids, which possess antiparasitic and antimicrobial properties. These compounds have been reported to inhibit parasite development and reduce parasite survival in the gastrointestinal tract (Temizer </w:t>
      </w:r>
      <w:r w:rsidRPr="00BA469B">
        <w:rPr>
          <w:rFonts w:ascii="Arial" w:hAnsi="Arial" w:cs="Arial"/>
          <w:i/>
          <w:iCs/>
        </w:rPr>
        <w:t>et al.,</w:t>
      </w:r>
      <w:r w:rsidRPr="00BA469B">
        <w:rPr>
          <w:rFonts w:ascii="Arial" w:hAnsi="Arial" w:cs="Arial"/>
        </w:rPr>
        <w:t xml:space="preserve"> 2017). Similarly, natural plant-derived products, including propolis, have been shown to reduce gastrointestinal parasite infections in animals by interfering with parasite metabolism and reproductive processes (Githigia </w:t>
      </w:r>
      <w:r w:rsidRPr="00BA469B">
        <w:rPr>
          <w:rFonts w:ascii="Arial" w:hAnsi="Arial" w:cs="Arial"/>
          <w:i/>
          <w:iCs/>
        </w:rPr>
        <w:t>et al.,</w:t>
      </w:r>
      <w:r w:rsidRPr="00BA469B">
        <w:rPr>
          <w:rFonts w:ascii="Arial" w:hAnsi="Arial" w:cs="Arial"/>
        </w:rPr>
        <w:t xml:space="preserve"> 2001). The moderate levels of propolis (1 ml/L and 2 ml/L) showed better parasite reduction compared with the highest concentration (3 ml/L). This may be explained by reduced water intake due to the strong taste and bitterness of highly concentrated propolis solutions. Reduced water consumption may limit the amount of propolis ingested by the birds, thereby decreasing its antiparasitic effectiveness. Similar observations were reported by Seven </w:t>
      </w:r>
      <w:r w:rsidRPr="00BA469B">
        <w:rPr>
          <w:rFonts w:ascii="Arial" w:hAnsi="Arial" w:cs="Arial"/>
          <w:i/>
          <w:iCs/>
        </w:rPr>
        <w:t>et al.</w:t>
      </w:r>
      <w:r w:rsidRPr="00BA469B">
        <w:rPr>
          <w:rFonts w:ascii="Arial" w:hAnsi="Arial" w:cs="Arial"/>
        </w:rPr>
        <w:t xml:space="preserve"> (2008), who noted that excessive inclusion levels of propolis in poultry diets may reduce feed or water intake because of its strong flavor. The decline in nematode prevalence across time in all treatment groups may also be linked to the natural immune development of broiler chickens as they age. Chickens gradually develop partial immunity against some gastrointestinal parasites with increasing age, which can contribute to a reduction in parasite prevalence during later growth stages (Permin &amp; Hansen, 1998). For coccidia, the prevalence also declined across the experimental period, particularly in birds receiving propolis supplementation. This finding supports the suggestion that propolis possesses antiprotozoal activity capable of inhibiting the development of </w:t>
      </w:r>
      <w:r w:rsidRPr="00BA469B">
        <w:rPr>
          <w:rFonts w:ascii="Arial" w:hAnsi="Arial" w:cs="Arial"/>
          <w:i/>
          <w:iCs/>
        </w:rPr>
        <w:t>Eimeria</w:t>
      </w:r>
      <w:r w:rsidRPr="00BA469B">
        <w:rPr>
          <w:rFonts w:ascii="Arial" w:hAnsi="Arial" w:cs="Arial"/>
        </w:rPr>
        <w:t xml:space="preserve"> species responsible for coccidiosis. Natural plant products rich in polyphenols can suppress the development of </w:t>
      </w:r>
      <w:r w:rsidRPr="00BA469B">
        <w:rPr>
          <w:rFonts w:ascii="Arial" w:hAnsi="Arial" w:cs="Arial"/>
          <w:i/>
          <w:iCs/>
        </w:rPr>
        <w:t>Eimeria</w:t>
      </w:r>
      <w:r w:rsidRPr="00BA469B">
        <w:rPr>
          <w:rFonts w:ascii="Arial" w:hAnsi="Arial" w:cs="Arial"/>
        </w:rPr>
        <w:t xml:space="preserve"> parasites and reduce intestinal damage in poultry (Giannenas </w:t>
      </w:r>
      <w:r w:rsidRPr="00BA469B">
        <w:rPr>
          <w:rFonts w:ascii="Arial" w:hAnsi="Arial" w:cs="Arial"/>
          <w:i/>
          <w:iCs/>
        </w:rPr>
        <w:t>et al</w:t>
      </w:r>
      <w:r w:rsidRPr="00BA469B">
        <w:rPr>
          <w:rFonts w:ascii="Arial" w:hAnsi="Arial" w:cs="Arial"/>
        </w:rPr>
        <w:t>., 2014).</w:t>
      </w:r>
    </w:p>
    <w:p w14:paraId="7DED839D" w14:textId="77777777" w:rsidR="00F31B94" w:rsidRPr="00BA469B" w:rsidRDefault="00F31B94" w:rsidP="00F31B94">
      <w:pPr>
        <w:pStyle w:val="Body"/>
        <w:spacing w:before="240"/>
        <w:rPr>
          <w:rFonts w:ascii="Arial" w:hAnsi="Arial" w:cs="Arial"/>
          <w:bCs/>
        </w:rPr>
      </w:pPr>
      <w:bookmarkStart w:id="15" w:name="_Toc106772216"/>
      <w:r w:rsidRPr="00BA469B">
        <w:rPr>
          <w:rFonts w:ascii="Arial" w:hAnsi="Arial" w:cs="Arial"/>
          <w:b/>
          <w:bCs/>
        </w:rPr>
        <w:t>Table 2</w:t>
      </w:r>
      <w:r w:rsidRPr="00BA469B">
        <w:rPr>
          <w:rFonts w:ascii="Arial" w:hAnsi="Arial" w:cs="Arial"/>
          <w:bCs/>
        </w:rPr>
        <w:t>: Effect of different levels of propolis on gastrointestinal parasites</w:t>
      </w:r>
      <w:bookmarkEnd w:id="15"/>
    </w:p>
    <w:tbl>
      <w:tblPr>
        <w:tblStyle w:val="TableGrid"/>
        <w:tblW w:w="91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2118"/>
        <w:gridCol w:w="1976"/>
        <w:gridCol w:w="918"/>
        <w:gridCol w:w="1698"/>
        <w:gridCol w:w="920"/>
      </w:tblGrid>
      <w:tr w:rsidR="00F31B94" w:rsidRPr="00BA469B" w14:paraId="232B51CB" w14:textId="77777777" w:rsidTr="0096287A">
        <w:trPr>
          <w:trHeight w:val="405"/>
        </w:trPr>
        <w:tc>
          <w:tcPr>
            <w:tcW w:w="3591" w:type="dxa"/>
            <w:gridSpan w:val="2"/>
            <w:tcBorders>
              <w:top w:val="single" w:sz="4" w:space="0" w:color="auto"/>
            </w:tcBorders>
            <w:hideMark/>
          </w:tcPr>
          <w:p w14:paraId="1BDF08A9" w14:textId="77777777" w:rsidR="00F31B94" w:rsidRPr="00BA469B" w:rsidRDefault="00F31B94" w:rsidP="0096287A">
            <w:pPr>
              <w:pStyle w:val="Body"/>
              <w:spacing w:after="0"/>
              <w:rPr>
                <w:rFonts w:ascii="Arial" w:hAnsi="Arial" w:cs="Arial"/>
              </w:rPr>
            </w:pPr>
          </w:p>
        </w:tc>
        <w:tc>
          <w:tcPr>
            <w:tcW w:w="2894" w:type="dxa"/>
            <w:gridSpan w:val="2"/>
            <w:tcBorders>
              <w:top w:val="single" w:sz="4" w:space="0" w:color="auto"/>
              <w:bottom w:val="single" w:sz="4" w:space="0" w:color="auto"/>
            </w:tcBorders>
            <w:hideMark/>
          </w:tcPr>
          <w:p w14:paraId="565C0127" w14:textId="77777777" w:rsidR="00F31B94" w:rsidRPr="00BA469B" w:rsidRDefault="00F31B94" w:rsidP="00F31B94">
            <w:pPr>
              <w:pStyle w:val="Body"/>
              <w:spacing w:after="0"/>
              <w:rPr>
                <w:rFonts w:ascii="Arial" w:hAnsi="Arial" w:cs="Arial"/>
                <w:b/>
                <w:bCs/>
              </w:rPr>
            </w:pPr>
            <w:r w:rsidRPr="00BA469B">
              <w:rPr>
                <w:rFonts w:ascii="Arial" w:hAnsi="Arial" w:cs="Arial"/>
                <w:b/>
                <w:bCs/>
              </w:rPr>
              <w:t>NEMATODES</w:t>
            </w:r>
          </w:p>
          <w:p w14:paraId="22A51321" w14:textId="77777777" w:rsidR="00F31B94" w:rsidRPr="00BA469B" w:rsidRDefault="00F31B94" w:rsidP="00F31B94">
            <w:pPr>
              <w:pStyle w:val="Body"/>
              <w:spacing w:after="0"/>
              <w:rPr>
                <w:rFonts w:ascii="Arial" w:hAnsi="Arial" w:cs="Arial"/>
                <w:b/>
                <w:bCs/>
              </w:rPr>
            </w:pPr>
          </w:p>
        </w:tc>
        <w:tc>
          <w:tcPr>
            <w:tcW w:w="2617" w:type="dxa"/>
            <w:gridSpan w:val="2"/>
            <w:tcBorders>
              <w:top w:val="single" w:sz="4" w:space="0" w:color="auto"/>
              <w:bottom w:val="single" w:sz="4" w:space="0" w:color="auto"/>
            </w:tcBorders>
            <w:hideMark/>
          </w:tcPr>
          <w:p w14:paraId="31DBAA49" w14:textId="77777777" w:rsidR="00F31B94" w:rsidRPr="00BA469B" w:rsidRDefault="00F31B94" w:rsidP="00F31B94">
            <w:pPr>
              <w:pStyle w:val="Body"/>
              <w:spacing w:after="0"/>
              <w:rPr>
                <w:rFonts w:ascii="Arial" w:hAnsi="Arial" w:cs="Arial"/>
                <w:b/>
                <w:bCs/>
              </w:rPr>
            </w:pPr>
            <w:r w:rsidRPr="00BA469B">
              <w:rPr>
                <w:rFonts w:ascii="Arial" w:hAnsi="Arial" w:cs="Arial"/>
                <w:b/>
                <w:bCs/>
              </w:rPr>
              <w:t>COCCIDIA</w:t>
            </w:r>
          </w:p>
          <w:p w14:paraId="53208F6E" w14:textId="77777777" w:rsidR="00F31B94" w:rsidRPr="00BA469B" w:rsidRDefault="00F31B94" w:rsidP="00F31B94">
            <w:pPr>
              <w:pStyle w:val="Body"/>
              <w:spacing w:after="0"/>
              <w:rPr>
                <w:rFonts w:ascii="Arial" w:hAnsi="Arial" w:cs="Arial"/>
                <w:b/>
                <w:bCs/>
              </w:rPr>
            </w:pPr>
          </w:p>
        </w:tc>
      </w:tr>
      <w:tr w:rsidR="00F31B94" w:rsidRPr="00BA469B" w14:paraId="7113E1E2" w14:textId="77777777" w:rsidTr="0096287A">
        <w:trPr>
          <w:trHeight w:val="540"/>
        </w:trPr>
        <w:tc>
          <w:tcPr>
            <w:tcW w:w="1473" w:type="dxa"/>
            <w:tcBorders>
              <w:bottom w:val="single" w:sz="4" w:space="0" w:color="auto"/>
            </w:tcBorders>
            <w:hideMark/>
          </w:tcPr>
          <w:p w14:paraId="4FEDA2A0" w14:textId="77777777" w:rsidR="00F31B94" w:rsidRPr="00BA469B" w:rsidRDefault="00F31B94" w:rsidP="00F31B94">
            <w:pPr>
              <w:pStyle w:val="Body"/>
              <w:spacing w:after="0"/>
              <w:rPr>
                <w:rFonts w:ascii="Arial" w:hAnsi="Arial" w:cs="Arial"/>
                <w:b/>
                <w:bCs/>
              </w:rPr>
            </w:pPr>
            <w:r w:rsidRPr="00BA469B">
              <w:rPr>
                <w:rFonts w:ascii="Arial" w:hAnsi="Arial" w:cs="Arial"/>
                <w:b/>
                <w:bCs/>
              </w:rPr>
              <w:t>LEVELS</w:t>
            </w:r>
          </w:p>
        </w:tc>
        <w:tc>
          <w:tcPr>
            <w:tcW w:w="2117" w:type="dxa"/>
            <w:tcBorders>
              <w:bottom w:val="single" w:sz="4" w:space="0" w:color="auto"/>
            </w:tcBorders>
            <w:hideMark/>
          </w:tcPr>
          <w:p w14:paraId="6A84B1B5"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976" w:type="dxa"/>
            <w:tcBorders>
              <w:top w:val="single" w:sz="4" w:space="0" w:color="auto"/>
              <w:bottom w:val="single" w:sz="4" w:space="0" w:color="auto"/>
            </w:tcBorders>
            <w:hideMark/>
          </w:tcPr>
          <w:p w14:paraId="7FA267EF" w14:textId="77777777" w:rsidR="00F31B94" w:rsidRPr="00BA469B" w:rsidRDefault="00F31B94" w:rsidP="00F31B94">
            <w:pPr>
              <w:pStyle w:val="Body"/>
              <w:spacing w:after="0"/>
              <w:rPr>
                <w:rFonts w:ascii="Arial" w:hAnsi="Arial" w:cs="Arial"/>
                <w:b/>
              </w:rPr>
            </w:pPr>
            <w:r w:rsidRPr="00BA469B">
              <w:rPr>
                <w:rFonts w:ascii="Arial" w:hAnsi="Arial" w:cs="Arial"/>
                <w:b/>
              </w:rPr>
              <w:t>Prevalence (%)</w:t>
            </w:r>
          </w:p>
        </w:tc>
        <w:tc>
          <w:tcPr>
            <w:tcW w:w="918" w:type="dxa"/>
            <w:tcBorders>
              <w:top w:val="single" w:sz="4" w:space="0" w:color="auto"/>
              <w:bottom w:val="single" w:sz="4" w:space="0" w:color="auto"/>
            </w:tcBorders>
            <w:hideMark/>
          </w:tcPr>
          <w:p w14:paraId="147A2D58" w14:textId="77777777" w:rsidR="00F31B94" w:rsidRPr="00BA469B" w:rsidRDefault="00F31B94" w:rsidP="00F31B94">
            <w:pPr>
              <w:pStyle w:val="Body"/>
              <w:spacing w:after="0"/>
              <w:rPr>
                <w:rFonts w:ascii="Arial" w:hAnsi="Arial" w:cs="Arial"/>
                <w:b/>
              </w:rPr>
            </w:pPr>
            <w:r w:rsidRPr="00BA469B">
              <w:rPr>
                <w:rFonts w:ascii="Arial" w:hAnsi="Arial" w:cs="Arial"/>
                <w:b/>
              </w:rPr>
              <w:t>SEM</w:t>
            </w:r>
          </w:p>
        </w:tc>
        <w:tc>
          <w:tcPr>
            <w:tcW w:w="1698" w:type="dxa"/>
            <w:tcBorders>
              <w:top w:val="single" w:sz="4" w:space="0" w:color="auto"/>
              <w:bottom w:val="single" w:sz="4" w:space="0" w:color="auto"/>
            </w:tcBorders>
            <w:hideMark/>
          </w:tcPr>
          <w:p w14:paraId="2E2A43A4" w14:textId="77777777" w:rsidR="00F31B94" w:rsidRPr="00BA469B" w:rsidRDefault="00F31B94" w:rsidP="00F31B94">
            <w:pPr>
              <w:pStyle w:val="Body"/>
              <w:spacing w:after="0"/>
              <w:rPr>
                <w:rFonts w:ascii="Arial" w:hAnsi="Arial" w:cs="Arial"/>
                <w:b/>
              </w:rPr>
            </w:pPr>
            <w:r w:rsidRPr="00BA469B">
              <w:rPr>
                <w:rFonts w:ascii="Arial" w:hAnsi="Arial" w:cs="Arial"/>
                <w:b/>
              </w:rPr>
              <w:t>Prevalence (%)</w:t>
            </w:r>
          </w:p>
        </w:tc>
        <w:tc>
          <w:tcPr>
            <w:tcW w:w="919" w:type="dxa"/>
            <w:tcBorders>
              <w:top w:val="single" w:sz="4" w:space="0" w:color="auto"/>
              <w:bottom w:val="single" w:sz="4" w:space="0" w:color="auto"/>
            </w:tcBorders>
            <w:hideMark/>
          </w:tcPr>
          <w:p w14:paraId="2671A6AC" w14:textId="77777777" w:rsidR="00F31B94" w:rsidRPr="00BA469B" w:rsidRDefault="00F31B94" w:rsidP="00F31B94">
            <w:pPr>
              <w:pStyle w:val="Body"/>
              <w:spacing w:after="0"/>
              <w:rPr>
                <w:rFonts w:ascii="Arial" w:hAnsi="Arial" w:cs="Arial"/>
                <w:b/>
              </w:rPr>
            </w:pPr>
            <w:r w:rsidRPr="00BA469B">
              <w:rPr>
                <w:rFonts w:ascii="Arial" w:hAnsi="Arial" w:cs="Arial"/>
                <w:b/>
              </w:rPr>
              <w:t>SEM</w:t>
            </w:r>
          </w:p>
        </w:tc>
      </w:tr>
      <w:tr w:rsidR="00F31B94" w:rsidRPr="00BA469B" w14:paraId="42B24931" w14:textId="77777777" w:rsidTr="0096287A">
        <w:trPr>
          <w:trHeight w:val="270"/>
        </w:trPr>
        <w:tc>
          <w:tcPr>
            <w:tcW w:w="9103" w:type="dxa"/>
            <w:gridSpan w:val="6"/>
            <w:tcBorders>
              <w:top w:val="single" w:sz="4" w:space="0" w:color="auto"/>
              <w:bottom w:val="single" w:sz="4" w:space="0" w:color="auto"/>
            </w:tcBorders>
            <w:hideMark/>
          </w:tcPr>
          <w:p w14:paraId="22CD8D4B"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2</w:t>
            </w:r>
          </w:p>
        </w:tc>
      </w:tr>
      <w:tr w:rsidR="00F31B94" w:rsidRPr="00BA469B" w14:paraId="70A56448" w14:textId="77777777" w:rsidTr="0096287A">
        <w:trPr>
          <w:trHeight w:val="270"/>
        </w:trPr>
        <w:tc>
          <w:tcPr>
            <w:tcW w:w="1473" w:type="dxa"/>
            <w:tcBorders>
              <w:top w:val="single" w:sz="4" w:space="0" w:color="auto"/>
            </w:tcBorders>
            <w:hideMark/>
          </w:tcPr>
          <w:p w14:paraId="4CAEB990"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2117" w:type="dxa"/>
            <w:tcBorders>
              <w:top w:val="single" w:sz="4" w:space="0" w:color="auto"/>
            </w:tcBorders>
            <w:hideMark/>
          </w:tcPr>
          <w:p w14:paraId="66119E3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top w:val="single" w:sz="4" w:space="0" w:color="auto"/>
            </w:tcBorders>
            <w:hideMark/>
          </w:tcPr>
          <w:p w14:paraId="4CEF296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918" w:type="dxa"/>
            <w:tcBorders>
              <w:top w:val="single" w:sz="4" w:space="0" w:color="auto"/>
            </w:tcBorders>
            <w:hideMark/>
          </w:tcPr>
          <w:p w14:paraId="0E1324B7" w14:textId="77777777" w:rsidR="00F31B94" w:rsidRPr="00BA469B" w:rsidRDefault="00F31B94" w:rsidP="00F31B94">
            <w:pPr>
              <w:pStyle w:val="Body"/>
              <w:spacing w:after="0"/>
              <w:rPr>
                <w:rFonts w:ascii="Arial" w:hAnsi="Arial" w:cs="Arial"/>
              </w:rPr>
            </w:pPr>
            <w:r w:rsidRPr="00BA469B">
              <w:rPr>
                <w:rFonts w:ascii="Arial" w:hAnsi="Arial" w:cs="Arial"/>
              </w:rPr>
              <w:t>0.50</w:t>
            </w:r>
          </w:p>
        </w:tc>
        <w:tc>
          <w:tcPr>
            <w:tcW w:w="1698" w:type="dxa"/>
            <w:tcBorders>
              <w:top w:val="single" w:sz="4" w:space="0" w:color="auto"/>
            </w:tcBorders>
            <w:hideMark/>
          </w:tcPr>
          <w:p w14:paraId="0F7435F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12.50</w:t>
            </w:r>
            <w:r w:rsidRPr="00BA469B">
              <w:rPr>
                <w:rFonts w:ascii="Arial" w:hAnsi="Arial" w:cs="Arial"/>
                <w:vertAlign w:val="superscript"/>
              </w:rPr>
              <w:t>a</w:t>
            </w:r>
          </w:p>
        </w:tc>
        <w:tc>
          <w:tcPr>
            <w:tcW w:w="919" w:type="dxa"/>
            <w:tcBorders>
              <w:top w:val="single" w:sz="4" w:space="0" w:color="auto"/>
            </w:tcBorders>
            <w:hideMark/>
          </w:tcPr>
          <w:p w14:paraId="7847AC2E" w14:textId="77777777" w:rsidR="00F31B94" w:rsidRPr="00BA469B" w:rsidRDefault="00F31B94" w:rsidP="00F31B94">
            <w:pPr>
              <w:pStyle w:val="Body"/>
              <w:spacing w:after="0"/>
              <w:rPr>
                <w:rFonts w:ascii="Arial" w:hAnsi="Arial" w:cs="Arial"/>
              </w:rPr>
            </w:pPr>
            <w:r w:rsidRPr="00BA469B">
              <w:rPr>
                <w:rFonts w:ascii="Arial" w:hAnsi="Arial" w:cs="Arial"/>
              </w:rPr>
              <w:t>0.58</w:t>
            </w:r>
          </w:p>
        </w:tc>
      </w:tr>
      <w:tr w:rsidR="00F31B94" w:rsidRPr="00BA469B" w14:paraId="0990FF0D" w14:textId="77777777" w:rsidTr="0096287A">
        <w:trPr>
          <w:trHeight w:val="270"/>
        </w:trPr>
        <w:tc>
          <w:tcPr>
            <w:tcW w:w="1473" w:type="dxa"/>
            <w:hideMark/>
          </w:tcPr>
          <w:p w14:paraId="14051CDD"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2117" w:type="dxa"/>
            <w:hideMark/>
          </w:tcPr>
          <w:p w14:paraId="233103C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2A69E92B"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918" w:type="dxa"/>
            <w:hideMark/>
          </w:tcPr>
          <w:p w14:paraId="3C22D93C" w14:textId="77777777" w:rsidR="00F31B94" w:rsidRPr="00BA469B" w:rsidRDefault="00F31B94" w:rsidP="00F31B94">
            <w:pPr>
              <w:pStyle w:val="Body"/>
              <w:spacing w:after="0"/>
              <w:rPr>
                <w:rFonts w:ascii="Arial" w:hAnsi="Arial" w:cs="Arial"/>
              </w:rPr>
            </w:pPr>
            <w:r w:rsidRPr="00BA469B">
              <w:rPr>
                <w:rFonts w:ascii="Arial" w:hAnsi="Arial" w:cs="Arial"/>
              </w:rPr>
              <w:t>0.50</w:t>
            </w:r>
          </w:p>
        </w:tc>
        <w:tc>
          <w:tcPr>
            <w:tcW w:w="1698" w:type="dxa"/>
            <w:hideMark/>
          </w:tcPr>
          <w:p w14:paraId="1FF498A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b</w:t>
            </w:r>
          </w:p>
        </w:tc>
        <w:tc>
          <w:tcPr>
            <w:tcW w:w="919" w:type="dxa"/>
            <w:hideMark/>
          </w:tcPr>
          <w:p w14:paraId="05903D6C" w14:textId="77777777" w:rsidR="00F31B94" w:rsidRPr="00BA469B" w:rsidRDefault="00F31B94" w:rsidP="00F31B94">
            <w:pPr>
              <w:pStyle w:val="Body"/>
              <w:spacing w:after="0"/>
              <w:rPr>
                <w:rFonts w:ascii="Arial" w:hAnsi="Arial" w:cs="Arial"/>
              </w:rPr>
            </w:pPr>
            <w:r w:rsidRPr="00BA469B">
              <w:rPr>
                <w:rFonts w:ascii="Arial" w:hAnsi="Arial" w:cs="Arial"/>
              </w:rPr>
              <w:t>0.77</w:t>
            </w:r>
          </w:p>
        </w:tc>
      </w:tr>
      <w:tr w:rsidR="00F31B94" w:rsidRPr="00BA469B" w14:paraId="5C667588" w14:textId="77777777" w:rsidTr="0096287A">
        <w:trPr>
          <w:trHeight w:val="270"/>
        </w:trPr>
        <w:tc>
          <w:tcPr>
            <w:tcW w:w="1473" w:type="dxa"/>
            <w:hideMark/>
          </w:tcPr>
          <w:p w14:paraId="1A954CA6"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2117" w:type="dxa"/>
            <w:hideMark/>
          </w:tcPr>
          <w:p w14:paraId="6CAA353F"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58C9B3E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4D06EAFF" w14:textId="77777777" w:rsidR="00F31B94" w:rsidRPr="00BA469B" w:rsidRDefault="00F31B94" w:rsidP="00F31B94">
            <w:pPr>
              <w:pStyle w:val="Body"/>
              <w:spacing w:after="0"/>
              <w:rPr>
                <w:rFonts w:ascii="Arial" w:hAnsi="Arial" w:cs="Arial"/>
              </w:rPr>
            </w:pPr>
            <w:r w:rsidRPr="00BA469B">
              <w:rPr>
                <w:rFonts w:ascii="Arial" w:hAnsi="Arial" w:cs="Arial"/>
              </w:rPr>
              <w:t>0.25</w:t>
            </w:r>
          </w:p>
        </w:tc>
        <w:tc>
          <w:tcPr>
            <w:tcW w:w="1698" w:type="dxa"/>
            <w:hideMark/>
          </w:tcPr>
          <w:p w14:paraId="1D72292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6.10</w:t>
            </w:r>
            <w:r w:rsidRPr="00BA469B">
              <w:rPr>
                <w:rFonts w:ascii="Arial" w:hAnsi="Arial" w:cs="Arial"/>
                <w:vertAlign w:val="superscript"/>
              </w:rPr>
              <w:t>c</w:t>
            </w:r>
          </w:p>
        </w:tc>
        <w:tc>
          <w:tcPr>
            <w:tcW w:w="919" w:type="dxa"/>
            <w:hideMark/>
          </w:tcPr>
          <w:p w14:paraId="3FA29CCF" w14:textId="77777777" w:rsidR="00F31B94" w:rsidRPr="00BA469B" w:rsidRDefault="00F31B94" w:rsidP="00F31B94">
            <w:pPr>
              <w:pStyle w:val="Body"/>
              <w:spacing w:after="0"/>
              <w:rPr>
                <w:rFonts w:ascii="Arial" w:hAnsi="Arial" w:cs="Arial"/>
              </w:rPr>
            </w:pPr>
            <w:r w:rsidRPr="00BA469B">
              <w:rPr>
                <w:rFonts w:ascii="Arial" w:hAnsi="Arial" w:cs="Arial"/>
              </w:rPr>
              <w:t>0.91</w:t>
            </w:r>
          </w:p>
        </w:tc>
      </w:tr>
      <w:tr w:rsidR="00F31B94" w:rsidRPr="00BA469B" w14:paraId="0BAECE4D" w14:textId="77777777" w:rsidTr="0096287A">
        <w:trPr>
          <w:trHeight w:val="270"/>
        </w:trPr>
        <w:tc>
          <w:tcPr>
            <w:tcW w:w="1473" w:type="dxa"/>
            <w:tcBorders>
              <w:bottom w:val="nil"/>
            </w:tcBorders>
            <w:hideMark/>
          </w:tcPr>
          <w:p w14:paraId="61B7D56B"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2117" w:type="dxa"/>
            <w:tcBorders>
              <w:bottom w:val="nil"/>
            </w:tcBorders>
            <w:hideMark/>
          </w:tcPr>
          <w:p w14:paraId="6483631A"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bottom w:val="nil"/>
            </w:tcBorders>
            <w:hideMark/>
          </w:tcPr>
          <w:p w14:paraId="1F7DD89B"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6.50</w:t>
            </w:r>
            <w:r w:rsidRPr="00BA469B">
              <w:rPr>
                <w:rFonts w:ascii="Arial" w:hAnsi="Arial" w:cs="Arial"/>
                <w:vertAlign w:val="superscript"/>
              </w:rPr>
              <w:t>b</w:t>
            </w:r>
          </w:p>
        </w:tc>
        <w:tc>
          <w:tcPr>
            <w:tcW w:w="918" w:type="dxa"/>
            <w:tcBorders>
              <w:bottom w:val="nil"/>
            </w:tcBorders>
            <w:hideMark/>
          </w:tcPr>
          <w:p w14:paraId="39EB64F6" w14:textId="77777777" w:rsidR="00F31B94" w:rsidRPr="00BA469B" w:rsidRDefault="00F31B94" w:rsidP="00F31B94">
            <w:pPr>
              <w:pStyle w:val="Body"/>
              <w:spacing w:after="0"/>
              <w:rPr>
                <w:rFonts w:ascii="Arial" w:hAnsi="Arial" w:cs="Arial"/>
              </w:rPr>
            </w:pPr>
            <w:r w:rsidRPr="00BA469B">
              <w:rPr>
                <w:rFonts w:ascii="Arial" w:hAnsi="Arial" w:cs="Arial"/>
              </w:rPr>
              <w:t>0.87</w:t>
            </w:r>
          </w:p>
        </w:tc>
        <w:tc>
          <w:tcPr>
            <w:tcW w:w="1698" w:type="dxa"/>
            <w:tcBorders>
              <w:bottom w:val="nil"/>
            </w:tcBorders>
            <w:hideMark/>
          </w:tcPr>
          <w:p w14:paraId="168D031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9.10</w:t>
            </w:r>
            <w:r w:rsidRPr="00BA469B">
              <w:rPr>
                <w:rFonts w:ascii="Arial" w:hAnsi="Arial" w:cs="Arial"/>
                <w:vertAlign w:val="superscript"/>
              </w:rPr>
              <w:t>b</w:t>
            </w:r>
          </w:p>
        </w:tc>
        <w:tc>
          <w:tcPr>
            <w:tcW w:w="919" w:type="dxa"/>
            <w:tcBorders>
              <w:bottom w:val="nil"/>
            </w:tcBorders>
            <w:hideMark/>
          </w:tcPr>
          <w:p w14:paraId="3ABD4FE5" w14:textId="77777777" w:rsidR="00F31B94" w:rsidRPr="00BA469B" w:rsidRDefault="00F31B94" w:rsidP="00F31B94">
            <w:pPr>
              <w:pStyle w:val="Body"/>
              <w:spacing w:after="0"/>
              <w:rPr>
                <w:rFonts w:ascii="Arial" w:hAnsi="Arial" w:cs="Arial"/>
              </w:rPr>
            </w:pPr>
            <w:r w:rsidRPr="00BA469B">
              <w:rPr>
                <w:rFonts w:ascii="Arial" w:hAnsi="Arial" w:cs="Arial"/>
              </w:rPr>
              <w:t>0.16</w:t>
            </w:r>
          </w:p>
        </w:tc>
      </w:tr>
      <w:tr w:rsidR="00F31B94" w:rsidRPr="00BA469B" w14:paraId="7641EC1D" w14:textId="77777777" w:rsidTr="0096287A">
        <w:trPr>
          <w:trHeight w:val="285"/>
        </w:trPr>
        <w:tc>
          <w:tcPr>
            <w:tcW w:w="9103" w:type="dxa"/>
            <w:gridSpan w:val="6"/>
            <w:tcBorders>
              <w:top w:val="nil"/>
              <w:bottom w:val="single" w:sz="4" w:space="0" w:color="auto"/>
            </w:tcBorders>
            <w:hideMark/>
          </w:tcPr>
          <w:p w14:paraId="4C2D05BC"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4</w:t>
            </w:r>
          </w:p>
        </w:tc>
      </w:tr>
      <w:tr w:rsidR="00F31B94" w:rsidRPr="00BA469B" w14:paraId="352C488F" w14:textId="77777777" w:rsidTr="0096287A">
        <w:trPr>
          <w:trHeight w:val="270"/>
        </w:trPr>
        <w:tc>
          <w:tcPr>
            <w:tcW w:w="1473" w:type="dxa"/>
            <w:tcBorders>
              <w:top w:val="single" w:sz="4" w:space="0" w:color="auto"/>
            </w:tcBorders>
            <w:hideMark/>
          </w:tcPr>
          <w:p w14:paraId="5A0C072D"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2117" w:type="dxa"/>
            <w:tcBorders>
              <w:top w:val="single" w:sz="4" w:space="0" w:color="auto"/>
            </w:tcBorders>
            <w:hideMark/>
          </w:tcPr>
          <w:p w14:paraId="1A7C1FE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top w:val="single" w:sz="4" w:space="0" w:color="auto"/>
            </w:tcBorders>
            <w:hideMark/>
          </w:tcPr>
          <w:p w14:paraId="26E03FC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tcBorders>
              <w:top w:val="single" w:sz="4" w:space="0" w:color="auto"/>
            </w:tcBorders>
            <w:hideMark/>
          </w:tcPr>
          <w:p w14:paraId="03FC6A60"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tcBorders>
              <w:top w:val="single" w:sz="4" w:space="0" w:color="auto"/>
            </w:tcBorders>
            <w:hideMark/>
          </w:tcPr>
          <w:p w14:paraId="0589A29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9" w:type="dxa"/>
            <w:tcBorders>
              <w:top w:val="single" w:sz="4" w:space="0" w:color="auto"/>
            </w:tcBorders>
            <w:hideMark/>
          </w:tcPr>
          <w:p w14:paraId="0C3054A7" w14:textId="77777777" w:rsidR="00F31B94" w:rsidRPr="00BA469B" w:rsidRDefault="00F31B94" w:rsidP="00F31B94">
            <w:pPr>
              <w:pStyle w:val="Body"/>
              <w:spacing w:after="0"/>
              <w:rPr>
                <w:rFonts w:ascii="Arial" w:hAnsi="Arial" w:cs="Arial"/>
              </w:rPr>
            </w:pPr>
            <w:r w:rsidRPr="00BA469B">
              <w:rPr>
                <w:rFonts w:ascii="Arial" w:hAnsi="Arial" w:cs="Arial"/>
              </w:rPr>
              <w:t>1.41</w:t>
            </w:r>
          </w:p>
        </w:tc>
      </w:tr>
      <w:tr w:rsidR="00F31B94" w:rsidRPr="00BA469B" w14:paraId="1EC195C1" w14:textId="77777777" w:rsidTr="0096287A">
        <w:trPr>
          <w:trHeight w:val="270"/>
        </w:trPr>
        <w:tc>
          <w:tcPr>
            <w:tcW w:w="1473" w:type="dxa"/>
            <w:hideMark/>
          </w:tcPr>
          <w:p w14:paraId="7EE87122"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2117" w:type="dxa"/>
            <w:hideMark/>
          </w:tcPr>
          <w:p w14:paraId="364927BA"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2F85E68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3EE8DE32"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06A0FD4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6.40</w:t>
            </w:r>
            <w:r w:rsidRPr="00BA469B">
              <w:rPr>
                <w:rFonts w:ascii="Arial" w:hAnsi="Arial" w:cs="Arial"/>
                <w:vertAlign w:val="superscript"/>
              </w:rPr>
              <w:t>b</w:t>
            </w:r>
          </w:p>
        </w:tc>
        <w:tc>
          <w:tcPr>
            <w:tcW w:w="919" w:type="dxa"/>
            <w:hideMark/>
          </w:tcPr>
          <w:p w14:paraId="69207F54" w14:textId="77777777" w:rsidR="00F31B94" w:rsidRPr="00BA469B" w:rsidRDefault="00F31B94" w:rsidP="00F31B94">
            <w:pPr>
              <w:pStyle w:val="Body"/>
              <w:spacing w:after="0"/>
              <w:rPr>
                <w:rFonts w:ascii="Arial" w:hAnsi="Arial" w:cs="Arial"/>
              </w:rPr>
            </w:pPr>
            <w:r w:rsidRPr="00BA469B">
              <w:rPr>
                <w:rFonts w:ascii="Arial" w:hAnsi="Arial" w:cs="Arial"/>
              </w:rPr>
              <w:t>1.15</w:t>
            </w:r>
          </w:p>
        </w:tc>
      </w:tr>
      <w:tr w:rsidR="00F31B94" w:rsidRPr="00BA469B" w14:paraId="3EBFF669" w14:textId="77777777" w:rsidTr="0096287A">
        <w:trPr>
          <w:trHeight w:val="270"/>
        </w:trPr>
        <w:tc>
          <w:tcPr>
            <w:tcW w:w="1473" w:type="dxa"/>
            <w:hideMark/>
          </w:tcPr>
          <w:p w14:paraId="039AD799"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2117" w:type="dxa"/>
            <w:hideMark/>
          </w:tcPr>
          <w:p w14:paraId="664DAAD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4C9F3AD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13A224CD"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4E6A914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9" w:type="dxa"/>
            <w:hideMark/>
          </w:tcPr>
          <w:p w14:paraId="69536113" w14:textId="77777777" w:rsidR="00F31B94" w:rsidRPr="00BA469B" w:rsidRDefault="00F31B94" w:rsidP="00F31B94">
            <w:pPr>
              <w:pStyle w:val="Body"/>
              <w:spacing w:after="0"/>
              <w:rPr>
                <w:rFonts w:ascii="Arial" w:hAnsi="Arial" w:cs="Arial"/>
              </w:rPr>
            </w:pPr>
            <w:r w:rsidRPr="00BA469B">
              <w:rPr>
                <w:rFonts w:ascii="Arial" w:hAnsi="Arial" w:cs="Arial"/>
              </w:rPr>
              <w:t>1.41</w:t>
            </w:r>
          </w:p>
        </w:tc>
      </w:tr>
      <w:tr w:rsidR="00F31B94" w:rsidRPr="00BA469B" w14:paraId="201D9826" w14:textId="77777777" w:rsidTr="0096287A">
        <w:trPr>
          <w:trHeight w:val="270"/>
        </w:trPr>
        <w:tc>
          <w:tcPr>
            <w:tcW w:w="1473" w:type="dxa"/>
            <w:tcBorders>
              <w:bottom w:val="nil"/>
            </w:tcBorders>
            <w:hideMark/>
          </w:tcPr>
          <w:p w14:paraId="655CF22F"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2117" w:type="dxa"/>
            <w:tcBorders>
              <w:bottom w:val="nil"/>
            </w:tcBorders>
            <w:hideMark/>
          </w:tcPr>
          <w:p w14:paraId="39C3DF5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bottom w:val="nil"/>
            </w:tcBorders>
            <w:hideMark/>
          </w:tcPr>
          <w:p w14:paraId="2A5B3C5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tcBorders>
              <w:bottom w:val="nil"/>
            </w:tcBorders>
            <w:hideMark/>
          </w:tcPr>
          <w:p w14:paraId="09275AA9"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tcBorders>
              <w:bottom w:val="nil"/>
            </w:tcBorders>
            <w:hideMark/>
          </w:tcPr>
          <w:p w14:paraId="45CDB294"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9" w:type="dxa"/>
            <w:tcBorders>
              <w:bottom w:val="nil"/>
            </w:tcBorders>
            <w:hideMark/>
          </w:tcPr>
          <w:p w14:paraId="7F489F8B" w14:textId="77777777" w:rsidR="00F31B94" w:rsidRPr="00BA469B" w:rsidRDefault="00F31B94" w:rsidP="00F31B94">
            <w:pPr>
              <w:pStyle w:val="Body"/>
              <w:spacing w:after="0"/>
              <w:rPr>
                <w:rFonts w:ascii="Arial" w:hAnsi="Arial" w:cs="Arial"/>
              </w:rPr>
            </w:pPr>
            <w:r w:rsidRPr="00BA469B">
              <w:rPr>
                <w:rFonts w:ascii="Arial" w:hAnsi="Arial" w:cs="Arial"/>
              </w:rPr>
              <w:t>1.00</w:t>
            </w:r>
          </w:p>
        </w:tc>
      </w:tr>
      <w:tr w:rsidR="00F31B94" w:rsidRPr="00BA469B" w14:paraId="29462AA2" w14:textId="77777777" w:rsidTr="0096287A">
        <w:trPr>
          <w:trHeight w:val="270"/>
        </w:trPr>
        <w:tc>
          <w:tcPr>
            <w:tcW w:w="9103" w:type="dxa"/>
            <w:gridSpan w:val="6"/>
            <w:tcBorders>
              <w:top w:val="nil"/>
              <w:bottom w:val="single" w:sz="4" w:space="0" w:color="auto"/>
            </w:tcBorders>
            <w:hideMark/>
          </w:tcPr>
          <w:p w14:paraId="2A62BF00"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6</w:t>
            </w:r>
          </w:p>
        </w:tc>
      </w:tr>
      <w:tr w:rsidR="00F31B94" w:rsidRPr="00BA469B" w14:paraId="041B3F9A" w14:textId="77777777" w:rsidTr="0096287A">
        <w:trPr>
          <w:trHeight w:val="270"/>
        </w:trPr>
        <w:tc>
          <w:tcPr>
            <w:tcW w:w="1473" w:type="dxa"/>
            <w:tcBorders>
              <w:top w:val="single" w:sz="4" w:space="0" w:color="auto"/>
            </w:tcBorders>
            <w:hideMark/>
          </w:tcPr>
          <w:p w14:paraId="03DE5535"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2117" w:type="dxa"/>
            <w:tcBorders>
              <w:top w:val="single" w:sz="4" w:space="0" w:color="auto"/>
            </w:tcBorders>
            <w:hideMark/>
          </w:tcPr>
          <w:p w14:paraId="03778941"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top w:val="single" w:sz="4" w:space="0" w:color="auto"/>
            </w:tcBorders>
            <w:hideMark/>
          </w:tcPr>
          <w:p w14:paraId="1BD9428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tcBorders>
              <w:top w:val="single" w:sz="4" w:space="0" w:color="auto"/>
            </w:tcBorders>
            <w:hideMark/>
          </w:tcPr>
          <w:p w14:paraId="78DA0C8E"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tcBorders>
              <w:top w:val="single" w:sz="4" w:space="0" w:color="auto"/>
            </w:tcBorders>
            <w:hideMark/>
          </w:tcPr>
          <w:p w14:paraId="6020A9C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a</w:t>
            </w:r>
          </w:p>
        </w:tc>
        <w:tc>
          <w:tcPr>
            <w:tcW w:w="919" w:type="dxa"/>
            <w:tcBorders>
              <w:top w:val="single" w:sz="4" w:space="0" w:color="auto"/>
            </w:tcBorders>
            <w:hideMark/>
          </w:tcPr>
          <w:p w14:paraId="601E43C8" w14:textId="77777777" w:rsidR="00F31B94" w:rsidRPr="00BA469B" w:rsidRDefault="00F31B94" w:rsidP="00F31B94">
            <w:pPr>
              <w:pStyle w:val="Body"/>
              <w:spacing w:after="0"/>
              <w:rPr>
                <w:rFonts w:ascii="Arial" w:hAnsi="Arial" w:cs="Arial"/>
              </w:rPr>
            </w:pPr>
            <w:r w:rsidRPr="00BA469B">
              <w:rPr>
                <w:rFonts w:ascii="Arial" w:hAnsi="Arial" w:cs="Arial"/>
              </w:rPr>
              <w:t>1.22</w:t>
            </w:r>
          </w:p>
        </w:tc>
      </w:tr>
      <w:tr w:rsidR="00F31B94" w:rsidRPr="00BA469B" w14:paraId="27890A24" w14:textId="77777777" w:rsidTr="0096287A">
        <w:trPr>
          <w:trHeight w:val="270"/>
        </w:trPr>
        <w:tc>
          <w:tcPr>
            <w:tcW w:w="1473" w:type="dxa"/>
            <w:hideMark/>
          </w:tcPr>
          <w:p w14:paraId="2463B8A9"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2117" w:type="dxa"/>
            <w:hideMark/>
          </w:tcPr>
          <w:p w14:paraId="20AFEA56"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17BDAEE6"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hideMark/>
          </w:tcPr>
          <w:p w14:paraId="62EB763C"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7E23BCFA"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919" w:type="dxa"/>
            <w:hideMark/>
          </w:tcPr>
          <w:p w14:paraId="3C15B337" w14:textId="77777777" w:rsidR="00F31B94" w:rsidRPr="00BA469B" w:rsidRDefault="00F31B94" w:rsidP="00F31B94">
            <w:pPr>
              <w:pStyle w:val="Body"/>
              <w:spacing w:after="0"/>
              <w:rPr>
                <w:rFonts w:ascii="Arial" w:hAnsi="Arial" w:cs="Arial"/>
              </w:rPr>
            </w:pPr>
            <w:r w:rsidRPr="00BA469B">
              <w:rPr>
                <w:rFonts w:ascii="Arial" w:hAnsi="Arial" w:cs="Arial"/>
              </w:rPr>
              <w:t>1.41</w:t>
            </w:r>
          </w:p>
        </w:tc>
      </w:tr>
      <w:tr w:rsidR="00F31B94" w:rsidRPr="00BA469B" w14:paraId="75127DBE" w14:textId="77777777" w:rsidTr="0096287A">
        <w:trPr>
          <w:trHeight w:val="270"/>
        </w:trPr>
        <w:tc>
          <w:tcPr>
            <w:tcW w:w="1473" w:type="dxa"/>
            <w:hideMark/>
          </w:tcPr>
          <w:p w14:paraId="4F56D3A7"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2117" w:type="dxa"/>
            <w:hideMark/>
          </w:tcPr>
          <w:p w14:paraId="51029FEF"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6CBE6DB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hideMark/>
          </w:tcPr>
          <w:p w14:paraId="6084C44C"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606B935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3.00</w:t>
            </w:r>
            <w:r w:rsidRPr="00BA469B">
              <w:rPr>
                <w:rFonts w:ascii="Arial" w:hAnsi="Arial" w:cs="Arial"/>
                <w:vertAlign w:val="superscript"/>
              </w:rPr>
              <w:t>b</w:t>
            </w:r>
          </w:p>
        </w:tc>
        <w:tc>
          <w:tcPr>
            <w:tcW w:w="919" w:type="dxa"/>
            <w:hideMark/>
          </w:tcPr>
          <w:p w14:paraId="19FF5FFF" w14:textId="77777777" w:rsidR="00F31B94" w:rsidRPr="00BA469B" w:rsidRDefault="00F31B94" w:rsidP="00F31B94">
            <w:pPr>
              <w:pStyle w:val="Body"/>
              <w:spacing w:after="0"/>
              <w:rPr>
                <w:rFonts w:ascii="Arial" w:hAnsi="Arial" w:cs="Arial"/>
              </w:rPr>
            </w:pPr>
            <w:r w:rsidRPr="00BA469B">
              <w:rPr>
                <w:rFonts w:ascii="Arial" w:hAnsi="Arial" w:cs="Arial"/>
              </w:rPr>
              <w:t>0.30</w:t>
            </w:r>
          </w:p>
        </w:tc>
      </w:tr>
      <w:tr w:rsidR="00F31B94" w:rsidRPr="00BA469B" w14:paraId="75CFA91E" w14:textId="77777777" w:rsidTr="0096287A">
        <w:trPr>
          <w:trHeight w:val="270"/>
        </w:trPr>
        <w:tc>
          <w:tcPr>
            <w:tcW w:w="1473" w:type="dxa"/>
            <w:hideMark/>
          </w:tcPr>
          <w:p w14:paraId="616EE67F" w14:textId="77777777" w:rsidR="00F31B94" w:rsidRPr="00BA469B" w:rsidRDefault="00F31B94" w:rsidP="00F31B94">
            <w:pPr>
              <w:pStyle w:val="Body"/>
              <w:spacing w:after="0"/>
              <w:rPr>
                <w:rFonts w:ascii="Arial" w:hAnsi="Arial" w:cs="Arial"/>
                <w:b/>
                <w:bCs/>
              </w:rPr>
            </w:pPr>
            <w:r w:rsidRPr="00BA469B">
              <w:rPr>
                <w:rFonts w:ascii="Arial" w:hAnsi="Arial" w:cs="Arial"/>
                <w:b/>
                <w:bCs/>
              </w:rPr>
              <w:lastRenderedPageBreak/>
              <w:t>Level 3</w:t>
            </w:r>
          </w:p>
        </w:tc>
        <w:tc>
          <w:tcPr>
            <w:tcW w:w="2117" w:type="dxa"/>
            <w:hideMark/>
          </w:tcPr>
          <w:p w14:paraId="768D755E"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2BDC922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47E0D271"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16F609D4"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919" w:type="dxa"/>
            <w:hideMark/>
          </w:tcPr>
          <w:p w14:paraId="77E3B625" w14:textId="77777777" w:rsidR="00F31B94" w:rsidRPr="00BA469B" w:rsidRDefault="00F31B94" w:rsidP="00F31B94">
            <w:pPr>
              <w:pStyle w:val="Body"/>
              <w:spacing w:after="0"/>
              <w:rPr>
                <w:rFonts w:ascii="Arial" w:hAnsi="Arial" w:cs="Arial"/>
              </w:rPr>
            </w:pPr>
            <w:r w:rsidRPr="00BA469B">
              <w:rPr>
                <w:rFonts w:ascii="Arial" w:hAnsi="Arial" w:cs="Arial"/>
              </w:rPr>
              <w:t>1.41</w:t>
            </w:r>
          </w:p>
        </w:tc>
      </w:tr>
    </w:tbl>
    <w:p w14:paraId="3A97D185" w14:textId="77777777" w:rsidR="00F31B94" w:rsidRPr="00BA469B" w:rsidRDefault="00F31B94" w:rsidP="00F31B94">
      <w:pPr>
        <w:pStyle w:val="Body"/>
        <w:spacing w:before="240"/>
        <w:rPr>
          <w:rFonts w:ascii="Arial" w:hAnsi="Arial" w:cs="Arial"/>
          <w:bCs/>
        </w:rPr>
      </w:pPr>
      <w:r w:rsidRPr="00BA469B">
        <w:rPr>
          <w:rFonts w:ascii="Arial" w:hAnsi="Arial" w:cs="Arial"/>
          <w:bCs/>
          <w:i/>
          <w:iCs/>
        </w:rPr>
        <w:t>a, b, c,</w:t>
      </w:r>
      <w:r w:rsidRPr="00BA469B">
        <w:rPr>
          <w:rFonts w:ascii="Arial" w:hAnsi="Arial" w:cs="Arial"/>
          <w:bCs/>
        </w:rPr>
        <w:t xml:space="preserve"> Means in the same column with different superscripts, differ significantly (p&lt;0.05). Sig. = Significance= (P&lt;0.05). SEM = standard error mean</w:t>
      </w:r>
    </w:p>
    <w:p w14:paraId="6D4DAB43" w14:textId="77777777" w:rsidR="00F31B94" w:rsidRPr="00BA469B" w:rsidRDefault="00F31B94" w:rsidP="00F31B94">
      <w:pPr>
        <w:pStyle w:val="Body"/>
        <w:spacing w:before="240" w:after="0"/>
        <w:rPr>
          <w:rFonts w:ascii="Arial" w:hAnsi="Arial" w:cs="Arial"/>
        </w:rPr>
      </w:pPr>
    </w:p>
    <w:p w14:paraId="57B02246"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3.2 Effect of Propolis on the Percentage Reduction of Gastrointestinal Parasite Prevalence</w:t>
      </w:r>
    </w:p>
    <w:p w14:paraId="1B1FB7DD" w14:textId="77777777" w:rsidR="00F31B94" w:rsidRPr="00BA469B" w:rsidRDefault="00F31B94" w:rsidP="00F31B94">
      <w:pPr>
        <w:pStyle w:val="Body"/>
        <w:spacing w:before="240" w:after="0"/>
        <w:rPr>
          <w:rFonts w:ascii="Arial" w:hAnsi="Arial" w:cs="Arial"/>
        </w:rPr>
      </w:pPr>
      <w:bookmarkStart w:id="16" w:name="_Toc102397145"/>
      <w:r w:rsidRPr="00BA469B">
        <w:rPr>
          <w:rFonts w:ascii="Arial" w:hAnsi="Arial" w:cs="Arial"/>
        </w:rPr>
        <w:t xml:space="preserve">The results in Table 3 further demonstrate the effect of propolis on the percentage reduction of gastrointestinal parasite prevalence before and after treatment. The study showed that nematode prevalence decreased by 67.02% in both level 1 and level 2 treatments, whereas the highest concentration (level 3) showed only a minimal reduction (3.08%). This result confirms that moderate propolis concentrations were more effective than the highest concentration. The high reduction observed in the moderate treatment levels may be due to improved palatability and better water intake compared with the highly concentrated solution. When animals consume adequate quantities of propolis, the bioactive compounds can exert stronger antiparasitic effects. Propolis contains numerous biologically active compounds that exhibit antimicrobial, antiparasitic, and immunomodulatory activities (Bankova </w:t>
      </w:r>
      <w:r w:rsidRPr="00BA469B">
        <w:rPr>
          <w:rFonts w:ascii="Arial" w:hAnsi="Arial" w:cs="Arial"/>
          <w:i/>
          <w:iCs/>
        </w:rPr>
        <w:t>et al.,</w:t>
      </w:r>
      <w:r w:rsidRPr="00BA469B">
        <w:rPr>
          <w:rFonts w:ascii="Arial" w:hAnsi="Arial" w:cs="Arial"/>
        </w:rPr>
        <w:t xml:space="preserve"> 2014). The present findings also support earlier studies demonstrating the anthelmintic potential of natural bee products. Propolis supplementation has been reported to reduce gastrointestinal parasite infections in farm animals by enhancing immune responses and interfering with parasite metabolism (Morsy </w:t>
      </w:r>
      <w:r w:rsidRPr="00BA469B">
        <w:rPr>
          <w:rFonts w:ascii="Arial" w:hAnsi="Arial" w:cs="Arial"/>
          <w:i/>
          <w:iCs/>
        </w:rPr>
        <w:t>et al.,</w:t>
      </w:r>
      <w:r w:rsidRPr="00BA469B">
        <w:rPr>
          <w:rFonts w:ascii="Arial" w:hAnsi="Arial" w:cs="Arial"/>
        </w:rPr>
        <w:t xml:space="preserve"> 2013). In terms of coccidia prevalence, the study revealed reductions ranging from 49.60% to 67.02% across treatments, with the greatest reduction occurring in birds receiving moderate propolis levels. These findings are consistent with reports that propolis supplementation significantly reduces coccidial oocyst shedding (Abdel-Rahman </w:t>
      </w:r>
      <w:r w:rsidRPr="00BA469B">
        <w:rPr>
          <w:rFonts w:ascii="Arial" w:hAnsi="Arial" w:cs="Arial"/>
          <w:i/>
          <w:iCs/>
        </w:rPr>
        <w:t>et al</w:t>
      </w:r>
      <w:r w:rsidRPr="00BA469B">
        <w:rPr>
          <w:rFonts w:ascii="Arial" w:hAnsi="Arial" w:cs="Arial"/>
        </w:rPr>
        <w:t xml:space="preserve">., 2013). The antiparasitic activity of propolis is linked to its ability to damage protozoan cell membranes and inhibit parasite replication (Abdel-Rahman </w:t>
      </w:r>
      <w:r w:rsidRPr="00BA469B">
        <w:rPr>
          <w:rFonts w:ascii="Arial" w:hAnsi="Arial" w:cs="Arial"/>
          <w:i/>
          <w:iCs/>
        </w:rPr>
        <w:t>et al.,</w:t>
      </w:r>
      <w:r w:rsidRPr="00BA469B">
        <w:rPr>
          <w:rFonts w:ascii="Arial" w:hAnsi="Arial" w:cs="Arial"/>
        </w:rPr>
        <w:t xml:space="preserve"> 2013). However, the reduction observed in the control group indicates that other factors, such as improved management, hygiene, and immune development, may also contribute to reduced parasite prevalence. Improved hygiene and litter management can significantly reduce the spread of coccidia in poultry houses (Chapman, 2014)</w:t>
      </w:r>
    </w:p>
    <w:p w14:paraId="2ADD6A5C" w14:textId="77777777" w:rsidR="00F31B94" w:rsidRPr="00BA469B" w:rsidRDefault="00F31B94" w:rsidP="00F31B94">
      <w:pPr>
        <w:pStyle w:val="Body"/>
        <w:spacing w:before="240"/>
        <w:rPr>
          <w:rFonts w:ascii="Arial" w:hAnsi="Arial" w:cs="Arial"/>
          <w:b/>
          <w:bCs/>
        </w:rPr>
      </w:pPr>
      <w:r w:rsidRPr="00BA469B">
        <w:rPr>
          <w:rFonts w:ascii="Arial" w:hAnsi="Arial" w:cs="Arial"/>
          <w:b/>
          <w:bCs/>
        </w:rPr>
        <w:t>Table 3: Effect of different levels of propolis on prevalence of gastrointestinal parasites broiler chickens</w:t>
      </w:r>
      <w:bookmarkEnd w:id="16"/>
    </w:p>
    <w:p w14:paraId="0B46136E" w14:textId="77777777" w:rsidR="00F31B94" w:rsidRPr="00BA469B" w:rsidRDefault="00F31B94" w:rsidP="00F31B94">
      <w:pPr>
        <w:pStyle w:val="Body"/>
        <w:spacing w:before="240" w:after="0"/>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411"/>
        <w:gridCol w:w="1410"/>
        <w:gridCol w:w="1514"/>
        <w:gridCol w:w="1550"/>
        <w:gridCol w:w="939"/>
      </w:tblGrid>
      <w:tr w:rsidR="00F31B94" w:rsidRPr="00BA469B" w14:paraId="001E2535" w14:textId="77777777" w:rsidTr="0096287A">
        <w:tc>
          <w:tcPr>
            <w:tcW w:w="1508" w:type="dxa"/>
            <w:tcBorders>
              <w:top w:val="single" w:sz="4" w:space="0" w:color="auto"/>
              <w:bottom w:val="single" w:sz="4" w:space="0" w:color="auto"/>
            </w:tcBorders>
          </w:tcPr>
          <w:p w14:paraId="1A642BCB" w14:textId="77777777" w:rsidR="00F31B94" w:rsidRPr="00BA469B" w:rsidRDefault="00F31B94" w:rsidP="00F31B94">
            <w:pPr>
              <w:pStyle w:val="Body"/>
              <w:spacing w:after="0"/>
              <w:rPr>
                <w:rFonts w:ascii="Arial" w:hAnsi="Arial" w:cs="Arial"/>
                <w:b/>
              </w:rPr>
            </w:pPr>
            <w:r w:rsidRPr="00BA469B">
              <w:rPr>
                <w:rFonts w:ascii="Arial" w:hAnsi="Arial" w:cs="Arial"/>
                <w:b/>
              </w:rPr>
              <w:t xml:space="preserve">Category </w:t>
            </w:r>
          </w:p>
        </w:tc>
        <w:tc>
          <w:tcPr>
            <w:tcW w:w="1516" w:type="dxa"/>
            <w:tcBorders>
              <w:top w:val="single" w:sz="4" w:space="0" w:color="auto"/>
              <w:bottom w:val="single" w:sz="4" w:space="0" w:color="auto"/>
            </w:tcBorders>
          </w:tcPr>
          <w:p w14:paraId="0FF0D381"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521" w:type="dxa"/>
            <w:tcBorders>
              <w:top w:val="single" w:sz="4" w:space="0" w:color="auto"/>
              <w:bottom w:val="single" w:sz="4" w:space="0" w:color="auto"/>
            </w:tcBorders>
          </w:tcPr>
          <w:p w14:paraId="24EEBDA7" w14:textId="77777777" w:rsidR="00F31B94" w:rsidRPr="00BA469B" w:rsidRDefault="00F31B94" w:rsidP="00F31B94">
            <w:pPr>
              <w:pStyle w:val="Body"/>
              <w:spacing w:after="0"/>
              <w:rPr>
                <w:rFonts w:ascii="Arial" w:hAnsi="Arial" w:cs="Arial"/>
                <w:b/>
              </w:rPr>
            </w:pPr>
            <w:r w:rsidRPr="00BA469B">
              <w:rPr>
                <w:rFonts w:ascii="Arial" w:hAnsi="Arial" w:cs="Arial"/>
                <w:b/>
              </w:rPr>
              <w:t>Before treatment</w:t>
            </w:r>
          </w:p>
        </w:tc>
        <w:tc>
          <w:tcPr>
            <w:tcW w:w="1687" w:type="dxa"/>
            <w:tcBorders>
              <w:top w:val="single" w:sz="4" w:space="0" w:color="auto"/>
              <w:bottom w:val="single" w:sz="4" w:space="0" w:color="auto"/>
            </w:tcBorders>
          </w:tcPr>
          <w:p w14:paraId="75EE7593" w14:textId="77777777" w:rsidR="00F31B94" w:rsidRPr="00BA469B" w:rsidRDefault="00F31B94" w:rsidP="00F31B94">
            <w:pPr>
              <w:pStyle w:val="Body"/>
              <w:spacing w:after="0"/>
              <w:rPr>
                <w:rFonts w:ascii="Arial" w:hAnsi="Arial" w:cs="Arial"/>
                <w:b/>
              </w:rPr>
            </w:pPr>
            <w:r w:rsidRPr="00BA469B">
              <w:rPr>
                <w:rFonts w:ascii="Arial" w:hAnsi="Arial" w:cs="Arial"/>
                <w:b/>
              </w:rPr>
              <w:t>After treatment</w:t>
            </w:r>
          </w:p>
        </w:tc>
        <w:tc>
          <w:tcPr>
            <w:tcW w:w="1701" w:type="dxa"/>
            <w:tcBorders>
              <w:top w:val="single" w:sz="4" w:space="0" w:color="auto"/>
              <w:bottom w:val="single" w:sz="4" w:space="0" w:color="auto"/>
            </w:tcBorders>
          </w:tcPr>
          <w:p w14:paraId="5821744C" w14:textId="77777777" w:rsidR="00F31B94" w:rsidRPr="00BA469B" w:rsidRDefault="00F31B94" w:rsidP="00F31B94">
            <w:pPr>
              <w:pStyle w:val="Body"/>
              <w:spacing w:after="0"/>
              <w:rPr>
                <w:rFonts w:ascii="Arial" w:hAnsi="Arial" w:cs="Arial"/>
                <w:b/>
              </w:rPr>
            </w:pPr>
            <w:r w:rsidRPr="00BA469B">
              <w:rPr>
                <w:rFonts w:ascii="Arial" w:hAnsi="Arial" w:cs="Arial"/>
                <w:b/>
              </w:rPr>
              <w:t>% Reduction</w:t>
            </w:r>
          </w:p>
        </w:tc>
        <w:tc>
          <w:tcPr>
            <w:tcW w:w="1083" w:type="dxa"/>
            <w:tcBorders>
              <w:top w:val="single" w:sz="4" w:space="0" w:color="auto"/>
              <w:bottom w:val="single" w:sz="4" w:space="0" w:color="auto"/>
            </w:tcBorders>
          </w:tcPr>
          <w:p w14:paraId="16777708" w14:textId="77777777" w:rsidR="00F31B94" w:rsidRPr="00BA469B" w:rsidRDefault="00F31B94" w:rsidP="00F31B94">
            <w:pPr>
              <w:pStyle w:val="Body"/>
              <w:spacing w:after="0"/>
              <w:rPr>
                <w:rFonts w:ascii="Arial" w:hAnsi="Arial" w:cs="Arial"/>
                <w:b/>
              </w:rPr>
            </w:pPr>
            <w:r w:rsidRPr="00BA469B">
              <w:rPr>
                <w:rFonts w:ascii="Arial" w:hAnsi="Arial" w:cs="Arial"/>
                <w:b/>
              </w:rPr>
              <w:t>SEM</w:t>
            </w:r>
          </w:p>
        </w:tc>
      </w:tr>
      <w:tr w:rsidR="00F31B94" w:rsidRPr="00BA469B" w14:paraId="7647353E" w14:textId="77777777" w:rsidTr="0096287A">
        <w:tc>
          <w:tcPr>
            <w:tcW w:w="9016" w:type="dxa"/>
            <w:gridSpan w:val="6"/>
            <w:tcBorders>
              <w:top w:val="single" w:sz="4" w:space="0" w:color="auto"/>
              <w:bottom w:val="single" w:sz="4" w:space="0" w:color="auto"/>
            </w:tcBorders>
          </w:tcPr>
          <w:p w14:paraId="1F8617AE" w14:textId="77777777" w:rsidR="00F31B94" w:rsidRPr="00BA469B" w:rsidRDefault="00F31B94" w:rsidP="00F31B94">
            <w:pPr>
              <w:pStyle w:val="Body"/>
              <w:spacing w:after="0"/>
              <w:jc w:val="center"/>
              <w:rPr>
                <w:rFonts w:ascii="Arial" w:hAnsi="Arial" w:cs="Arial"/>
                <w:b/>
              </w:rPr>
            </w:pPr>
            <w:r w:rsidRPr="00BA469B">
              <w:rPr>
                <w:rFonts w:ascii="Arial" w:hAnsi="Arial" w:cs="Arial"/>
                <w:b/>
              </w:rPr>
              <w:t>Nematodes</w:t>
            </w:r>
          </w:p>
        </w:tc>
      </w:tr>
      <w:tr w:rsidR="00F31B94" w:rsidRPr="00BA469B" w14:paraId="281CEE6A" w14:textId="77777777" w:rsidTr="0096287A">
        <w:tc>
          <w:tcPr>
            <w:tcW w:w="1508" w:type="dxa"/>
            <w:tcBorders>
              <w:top w:val="single" w:sz="4" w:space="0" w:color="auto"/>
            </w:tcBorders>
          </w:tcPr>
          <w:p w14:paraId="24D27B3E" w14:textId="77777777" w:rsidR="00F31B94" w:rsidRPr="00BA469B" w:rsidRDefault="00F31B94" w:rsidP="00F31B94">
            <w:pPr>
              <w:pStyle w:val="Body"/>
              <w:spacing w:after="0"/>
              <w:rPr>
                <w:rFonts w:ascii="Arial" w:hAnsi="Arial" w:cs="Arial"/>
                <w:b/>
              </w:rPr>
            </w:pPr>
            <w:r w:rsidRPr="00BA469B">
              <w:rPr>
                <w:rFonts w:ascii="Arial" w:hAnsi="Arial" w:cs="Arial"/>
                <w:b/>
              </w:rPr>
              <w:t xml:space="preserve">Control </w:t>
            </w:r>
          </w:p>
        </w:tc>
        <w:tc>
          <w:tcPr>
            <w:tcW w:w="1516" w:type="dxa"/>
            <w:tcBorders>
              <w:top w:val="single" w:sz="4" w:space="0" w:color="auto"/>
            </w:tcBorders>
          </w:tcPr>
          <w:p w14:paraId="39CECCC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top w:val="single" w:sz="4" w:space="0" w:color="auto"/>
            </w:tcBorders>
          </w:tcPr>
          <w:p w14:paraId="4D9273D6" w14:textId="77777777" w:rsidR="00F31B94" w:rsidRPr="00BA469B" w:rsidRDefault="00F31B94" w:rsidP="00F31B94">
            <w:pPr>
              <w:pStyle w:val="Body"/>
              <w:spacing w:after="0"/>
              <w:rPr>
                <w:rFonts w:ascii="Arial" w:hAnsi="Arial" w:cs="Arial"/>
              </w:rPr>
            </w:pPr>
            <w:r w:rsidRPr="00BA469B">
              <w:rPr>
                <w:rFonts w:ascii="Arial" w:hAnsi="Arial" w:cs="Arial"/>
              </w:rPr>
              <w:t>6.30</w:t>
            </w:r>
            <w:r w:rsidRPr="00BA469B">
              <w:rPr>
                <w:rFonts w:ascii="Arial" w:hAnsi="Arial" w:cs="Arial"/>
                <w:vertAlign w:val="superscript"/>
              </w:rPr>
              <w:t>a</w:t>
            </w:r>
          </w:p>
        </w:tc>
        <w:tc>
          <w:tcPr>
            <w:tcW w:w="1687" w:type="dxa"/>
            <w:tcBorders>
              <w:top w:val="single" w:sz="4" w:space="0" w:color="auto"/>
            </w:tcBorders>
          </w:tcPr>
          <w:p w14:paraId="0672C38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Borders>
              <w:top w:val="single" w:sz="4" w:space="0" w:color="auto"/>
            </w:tcBorders>
          </w:tcPr>
          <w:p w14:paraId="7BC37292" w14:textId="77777777" w:rsidR="00F31B94" w:rsidRPr="00BA469B" w:rsidRDefault="00F31B94" w:rsidP="00F31B94">
            <w:pPr>
              <w:pStyle w:val="Body"/>
              <w:spacing w:after="0"/>
              <w:rPr>
                <w:rFonts w:ascii="Arial" w:hAnsi="Arial" w:cs="Arial"/>
              </w:rPr>
            </w:pPr>
            <w:r w:rsidRPr="00BA469B">
              <w:rPr>
                <w:rFonts w:ascii="Arial" w:hAnsi="Arial" w:cs="Arial"/>
              </w:rPr>
              <w:t>50.79</w:t>
            </w:r>
          </w:p>
        </w:tc>
        <w:tc>
          <w:tcPr>
            <w:tcW w:w="1083" w:type="dxa"/>
            <w:tcBorders>
              <w:top w:val="single" w:sz="4" w:space="0" w:color="auto"/>
            </w:tcBorders>
          </w:tcPr>
          <w:p w14:paraId="140F4028" w14:textId="77777777" w:rsidR="00F31B94" w:rsidRPr="00BA469B" w:rsidRDefault="00F31B94" w:rsidP="00F31B94">
            <w:pPr>
              <w:pStyle w:val="Body"/>
              <w:spacing w:after="0"/>
              <w:rPr>
                <w:rFonts w:ascii="Arial" w:hAnsi="Arial" w:cs="Arial"/>
              </w:rPr>
            </w:pPr>
            <w:r w:rsidRPr="00BA469B">
              <w:rPr>
                <w:rFonts w:ascii="Arial" w:hAnsi="Arial" w:cs="Arial"/>
              </w:rPr>
              <w:t>0.74</w:t>
            </w:r>
          </w:p>
        </w:tc>
      </w:tr>
      <w:tr w:rsidR="00F31B94" w:rsidRPr="00BA469B" w14:paraId="59AF10A1" w14:textId="77777777" w:rsidTr="0096287A">
        <w:tc>
          <w:tcPr>
            <w:tcW w:w="1508" w:type="dxa"/>
          </w:tcPr>
          <w:p w14:paraId="78F30E9A"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1516" w:type="dxa"/>
          </w:tcPr>
          <w:p w14:paraId="1F842FB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2D267BF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1687" w:type="dxa"/>
          </w:tcPr>
          <w:p w14:paraId="386F2E7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1C57573D" w14:textId="77777777" w:rsidR="00F31B94" w:rsidRPr="00BA469B" w:rsidRDefault="00F31B94" w:rsidP="00F31B94">
            <w:pPr>
              <w:pStyle w:val="Body"/>
              <w:spacing w:after="0"/>
              <w:rPr>
                <w:rFonts w:ascii="Arial" w:hAnsi="Arial" w:cs="Arial"/>
              </w:rPr>
            </w:pPr>
            <w:r w:rsidRPr="00BA469B">
              <w:rPr>
                <w:rFonts w:ascii="Arial" w:hAnsi="Arial" w:cs="Arial"/>
              </w:rPr>
              <w:t>67.02</w:t>
            </w:r>
          </w:p>
        </w:tc>
        <w:tc>
          <w:tcPr>
            <w:tcW w:w="1083" w:type="dxa"/>
          </w:tcPr>
          <w:p w14:paraId="5DBA933A" w14:textId="77777777" w:rsidR="00F31B94" w:rsidRPr="00BA469B" w:rsidRDefault="00F31B94" w:rsidP="00F31B94">
            <w:pPr>
              <w:pStyle w:val="Body"/>
              <w:spacing w:after="0"/>
              <w:rPr>
                <w:rFonts w:ascii="Arial" w:hAnsi="Arial" w:cs="Arial"/>
              </w:rPr>
            </w:pPr>
            <w:r w:rsidRPr="00BA469B">
              <w:rPr>
                <w:rFonts w:ascii="Arial" w:hAnsi="Arial" w:cs="Arial"/>
              </w:rPr>
              <w:t>0.86</w:t>
            </w:r>
          </w:p>
        </w:tc>
      </w:tr>
      <w:tr w:rsidR="00F31B94" w:rsidRPr="00BA469B" w14:paraId="2E8BDEFE" w14:textId="77777777" w:rsidTr="0096287A">
        <w:tc>
          <w:tcPr>
            <w:tcW w:w="1508" w:type="dxa"/>
          </w:tcPr>
          <w:p w14:paraId="2C1DD44B"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1516" w:type="dxa"/>
          </w:tcPr>
          <w:p w14:paraId="0F6618FE"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5AD9704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1687" w:type="dxa"/>
          </w:tcPr>
          <w:p w14:paraId="62B57A3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671E2D5A" w14:textId="77777777" w:rsidR="00F31B94" w:rsidRPr="00BA469B" w:rsidRDefault="00F31B94" w:rsidP="00F31B94">
            <w:pPr>
              <w:pStyle w:val="Body"/>
              <w:spacing w:after="0"/>
              <w:rPr>
                <w:rFonts w:ascii="Arial" w:hAnsi="Arial" w:cs="Arial"/>
              </w:rPr>
            </w:pPr>
            <w:r w:rsidRPr="00BA469B">
              <w:rPr>
                <w:rFonts w:ascii="Arial" w:hAnsi="Arial" w:cs="Arial"/>
              </w:rPr>
              <w:t>67.02</w:t>
            </w:r>
          </w:p>
        </w:tc>
        <w:tc>
          <w:tcPr>
            <w:tcW w:w="1083" w:type="dxa"/>
          </w:tcPr>
          <w:p w14:paraId="0BBEB755" w14:textId="77777777" w:rsidR="00F31B94" w:rsidRPr="00BA469B" w:rsidRDefault="00F31B94" w:rsidP="00F31B94">
            <w:pPr>
              <w:pStyle w:val="Body"/>
              <w:spacing w:after="0"/>
              <w:rPr>
                <w:rFonts w:ascii="Arial" w:hAnsi="Arial" w:cs="Arial"/>
              </w:rPr>
            </w:pPr>
            <w:r w:rsidRPr="00BA469B">
              <w:rPr>
                <w:rFonts w:ascii="Arial" w:hAnsi="Arial" w:cs="Arial"/>
              </w:rPr>
              <w:t>0.86</w:t>
            </w:r>
          </w:p>
        </w:tc>
      </w:tr>
      <w:tr w:rsidR="00F31B94" w:rsidRPr="00BA469B" w14:paraId="3BBD6CC3" w14:textId="77777777" w:rsidTr="0096287A">
        <w:tc>
          <w:tcPr>
            <w:tcW w:w="1508" w:type="dxa"/>
            <w:tcBorders>
              <w:bottom w:val="nil"/>
            </w:tcBorders>
          </w:tcPr>
          <w:p w14:paraId="46F68912"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1516" w:type="dxa"/>
            <w:tcBorders>
              <w:bottom w:val="nil"/>
            </w:tcBorders>
          </w:tcPr>
          <w:p w14:paraId="7AF5465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bottom w:val="nil"/>
            </w:tcBorders>
          </w:tcPr>
          <w:p w14:paraId="2E993AE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6.50</w:t>
            </w:r>
            <w:r w:rsidRPr="00BA469B">
              <w:rPr>
                <w:rFonts w:ascii="Arial" w:hAnsi="Arial" w:cs="Arial"/>
                <w:vertAlign w:val="superscript"/>
              </w:rPr>
              <w:t>a</w:t>
            </w:r>
          </w:p>
        </w:tc>
        <w:tc>
          <w:tcPr>
            <w:tcW w:w="1687" w:type="dxa"/>
            <w:tcBorders>
              <w:bottom w:val="nil"/>
            </w:tcBorders>
          </w:tcPr>
          <w:p w14:paraId="4776412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a</w:t>
            </w:r>
          </w:p>
        </w:tc>
        <w:tc>
          <w:tcPr>
            <w:tcW w:w="1701" w:type="dxa"/>
            <w:tcBorders>
              <w:bottom w:val="nil"/>
            </w:tcBorders>
          </w:tcPr>
          <w:p w14:paraId="1EAF6C90" w14:textId="77777777" w:rsidR="00F31B94" w:rsidRPr="00BA469B" w:rsidRDefault="00F31B94" w:rsidP="00F31B94">
            <w:pPr>
              <w:pStyle w:val="Body"/>
              <w:spacing w:after="0"/>
              <w:rPr>
                <w:rFonts w:ascii="Arial" w:hAnsi="Arial" w:cs="Arial"/>
              </w:rPr>
            </w:pPr>
            <w:r w:rsidRPr="00BA469B">
              <w:rPr>
                <w:rFonts w:ascii="Arial" w:hAnsi="Arial" w:cs="Arial"/>
              </w:rPr>
              <w:t>3.08</w:t>
            </w:r>
          </w:p>
        </w:tc>
        <w:tc>
          <w:tcPr>
            <w:tcW w:w="1083" w:type="dxa"/>
            <w:tcBorders>
              <w:bottom w:val="nil"/>
            </w:tcBorders>
          </w:tcPr>
          <w:p w14:paraId="4AE4848A" w14:textId="77777777" w:rsidR="00F31B94" w:rsidRPr="00BA469B" w:rsidRDefault="00F31B94" w:rsidP="00F31B94">
            <w:pPr>
              <w:pStyle w:val="Body"/>
              <w:spacing w:after="0"/>
              <w:rPr>
                <w:rFonts w:ascii="Arial" w:hAnsi="Arial" w:cs="Arial"/>
              </w:rPr>
            </w:pPr>
            <w:r w:rsidRPr="00BA469B">
              <w:rPr>
                <w:rFonts w:ascii="Arial" w:hAnsi="Arial" w:cs="Arial"/>
              </w:rPr>
              <w:t>1.05</w:t>
            </w:r>
          </w:p>
        </w:tc>
      </w:tr>
      <w:tr w:rsidR="00F31B94" w:rsidRPr="00BA469B" w14:paraId="0C12C094" w14:textId="77777777" w:rsidTr="0096287A">
        <w:tc>
          <w:tcPr>
            <w:tcW w:w="9016" w:type="dxa"/>
            <w:gridSpan w:val="6"/>
            <w:tcBorders>
              <w:top w:val="nil"/>
              <w:bottom w:val="single" w:sz="4" w:space="0" w:color="auto"/>
            </w:tcBorders>
          </w:tcPr>
          <w:p w14:paraId="6D024B61" w14:textId="77777777" w:rsidR="00F31B94" w:rsidRPr="00BA469B" w:rsidRDefault="00F31B94" w:rsidP="00F31B94">
            <w:pPr>
              <w:pStyle w:val="Body"/>
              <w:spacing w:after="0"/>
              <w:jc w:val="center"/>
              <w:rPr>
                <w:rFonts w:ascii="Arial" w:hAnsi="Arial" w:cs="Arial"/>
                <w:b/>
              </w:rPr>
            </w:pPr>
            <w:r w:rsidRPr="00BA469B">
              <w:rPr>
                <w:rFonts w:ascii="Arial" w:hAnsi="Arial" w:cs="Arial"/>
                <w:b/>
              </w:rPr>
              <w:t>Coccidia</w:t>
            </w:r>
          </w:p>
        </w:tc>
      </w:tr>
      <w:tr w:rsidR="00F31B94" w:rsidRPr="00BA469B" w14:paraId="21911110" w14:textId="77777777" w:rsidTr="0096287A">
        <w:tc>
          <w:tcPr>
            <w:tcW w:w="1508" w:type="dxa"/>
            <w:tcBorders>
              <w:top w:val="single" w:sz="4" w:space="0" w:color="auto"/>
            </w:tcBorders>
          </w:tcPr>
          <w:p w14:paraId="46729674" w14:textId="77777777" w:rsidR="00F31B94" w:rsidRPr="00BA469B" w:rsidRDefault="00F31B94" w:rsidP="00F31B94">
            <w:pPr>
              <w:pStyle w:val="Body"/>
              <w:spacing w:after="0"/>
              <w:rPr>
                <w:rFonts w:ascii="Arial" w:hAnsi="Arial" w:cs="Arial"/>
                <w:b/>
              </w:rPr>
            </w:pPr>
            <w:r w:rsidRPr="00BA469B">
              <w:rPr>
                <w:rFonts w:ascii="Arial" w:hAnsi="Arial" w:cs="Arial"/>
                <w:b/>
              </w:rPr>
              <w:t xml:space="preserve">Control </w:t>
            </w:r>
          </w:p>
        </w:tc>
        <w:tc>
          <w:tcPr>
            <w:tcW w:w="1516" w:type="dxa"/>
            <w:tcBorders>
              <w:top w:val="single" w:sz="4" w:space="0" w:color="auto"/>
            </w:tcBorders>
          </w:tcPr>
          <w:p w14:paraId="3502ABD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top w:val="single" w:sz="4" w:space="0" w:color="auto"/>
            </w:tcBorders>
          </w:tcPr>
          <w:p w14:paraId="42865C4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12.50</w:t>
            </w:r>
            <w:r w:rsidRPr="00BA469B">
              <w:rPr>
                <w:rFonts w:ascii="Arial" w:hAnsi="Arial" w:cs="Arial"/>
                <w:vertAlign w:val="superscript"/>
              </w:rPr>
              <w:t>a</w:t>
            </w:r>
          </w:p>
        </w:tc>
        <w:tc>
          <w:tcPr>
            <w:tcW w:w="1687" w:type="dxa"/>
            <w:tcBorders>
              <w:top w:val="single" w:sz="4" w:space="0" w:color="auto"/>
            </w:tcBorders>
          </w:tcPr>
          <w:p w14:paraId="378FB49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1701" w:type="dxa"/>
            <w:tcBorders>
              <w:top w:val="single" w:sz="4" w:space="0" w:color="auto"/>
            </w:tcBorders>
          </w:tcPr>
          <w:p w14:paraId="1F10BF2F" w14:textId="77777777" w:rsidR="00F31B94" w:rsidRPr="00BA469B" w:rsidRDefault="00F31B94" w:rsidP="00F31B94">
            <w:pPr>
              <w:pStyle w:val="Body"/>
              <w:spacing w:after="0"/>
              <w:rPr>
                <w:rFonts w:ascii="Arial" w:hAnsi="Arial" w:cs="Arial"/>
              </w:rPr>
            </w:pPr>
            <w:r w:rsidRPr="00BA469B">
              <w:rPr>
                <w:rFonts w:ascii="Arial" w:hAnsi="Arial" w:cs="Arial"/>
              </w:rPr>
              <w:t>49.60</w:t>
            </w:r>
          </w:p>
        </w:tc>
        <w:tc>
          <w:tcPr>
            <w:tcW w:w="1083" w:type="dxa"/>
            <w:tcBorders>
              <w:top w:val="single" w:sz="4" w:space="0" w:color="auto"/>
            </w:tcBorders>
          </w:tcPr>
          <w:p w14:paraId="608320E0" w14:textId="77777777" w:rsidR="00F31B94" w:rsidRPr="00BA469B" w:rsidRDefault="00F31B94" w:rsidP="00F31B94">
            <w:pPr>
              <w:pStyle w:val="Body"/>
              <w:spacing w:after="0"/>
              <w:rPr>
                <w:rFonts w:ascii="Arial" w:hAnsi="Arial" w:cs="Arial"/>
              </w:rPr>
            </w:pPr>
            <w:r w:rsidRPr="00BA469B">
              <w:rPr>
                <w:rFonts w:ascii="Arial" w:hAnsi="Arial" w:cs="Arial"/>
              </w:rPr>
              <w:t>0.90</w:t>
            </w:r>
          </w:p>
        </w:tc>
      </w:tr>
      <w:tr w:rsidR="00F31B94" w:rsidRPr="00BA469B" w14:paraId="2692C1EC" w14:textId="77777777" w:rsidTr="0096287A">
        <w:tc>
          <w:tcPr>
            <w:tcW w:w="1508" w:type="dxa"/>
          </w:tcPr>
          <w:p w14:paraId="55484490"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1516" w:type="dxa"/>
          </w:tcPr>
          <w:p w14:paraId="507B3987"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225ADB7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1687" w:type="dxa"/>
          </w:tcPr>
          <w:p w14:paraId="12A3366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1A6A1DA1" w14:textId="77777777" w:rsidR="00F31B94" w:rsidRPr="00BA469B" w:rsidRDefault="00F31B94" w:rsidP="00F31B94">
            <w:pPr>
              <w:pStyle w:val="Body"/>
              <w:spacing w:after="0"/>
              <w:rPr>
                <w:rFonts w:ascii="Arial" w:hAnsi="Arial" w:cs="Arial"/>
              </w:rPr>
            </w:pPr>
            <w:r w:rsidRPr="00BA469B">
              <w:rPr>
                <w:rFonts w:ascii="Arial" w:hAnsi="Arial" w:cs="Arial"/>
              </w:rPr>
              <w:t>67.02</w:t>
            </w:r>
          </w:p>
        </w:tc>
        <w:tc>
          <w:tcPr>
            <w:tcW w:w="1083" w:type="dxa"/>
          </w:tcPr>
          <w:p w14:paraId="73FF5CA9" w14:textId="77777777" w:rsidR="00F31B94" w:rsidRPr="00BA469B" w:rsidRDefault="00F31B94" w:rsidP="00F31B94">
            <w:pPr>
              <w:pStyle w:val="Body"/>
              <w:spacing w:after="0"/>
              <w:rPr>
                <w:rFonts w:ascii="Arial" w:hAnsi="Arial" w:cs="Arial"/>
              </w:rPr>
            </w:pPr>
            <w:r w:rsidRPr="00BA469B">
              <w:rPr>
                <w:rFonts w:ascii="Arial" w:hAnsi="Arial" w:cs="Arial"/>
              </w:rPr>
              <w:t>0.86</w:t>
            </w:r>
          </w:p>
        </w:tc>
      </w:tr>
      <w:tr w:rsidR="00F31B94" w:rsidRPr="00BA469B" w14:paraId="27A98CE2" w14:textId="77777777" w:rsidTr="0096287A">
        <w:tc>
          <w:tcPr>
            <w:tcW w:w="1508" w:type="dxa"/>
          </w:tcPr>
          <w:p w14:paraId="67263E64"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1516" w:type="dxa"/>
          </w:tcPr>
          <w:p w14:paraId="4134835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16A00BA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9.10</w:t>
            </w:r>
            <w:r w:rsidRPr="00BA469B">
              <w:rPr>
                <w:rFonts w:ascii="Arial" w:hAnsi="Arial" w:cs="Arial"/>
                <w:vertAlign w:val="superscript"/>
              </w:rPr>
              <w:t>a</w:t>
            </w:r>
          </w:p>
        </w:tc>
        <w:tc>
          <w:tcPr>
            <w:tcW w:w="1687" w:type="dxa"/>
          </w:tcPr>
          <w:p w14:paraId="14EBFE7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3C8D7A7D" w14:textId="77777777" w:rsidR="00F31B94" w:rsidRPr="00BA469B" w:rsidRDefault="00F31B94" w:rsidP="00F31B94">
            <w:pPr>
              <w:pStyle w:val="Body"/>
              <w:spacing w:after="0"/>
              <w:rPr>
                <w:rFonts w:ascii="Arial" w:hAnsi="Arial" w:cs="Arial"/>
              </w:rPr>
            </w:pPr>
            <w:r w:rsidRPr="00BA469B">
              <w:rPr>
                <w:rFonts w:ascii="Arial" w:hAnsi="Arial" w:cs="Arial"/>
              </w:rPr>
              <w:t>65.93</w:t>
            </w:r>
          </w:p>
        </w:tc>
        <w:tc>
          <w:tcPr>
            <w:tcW w:w="1083" w:type="dxa"/>
          </w:tcPr>
          <w:p w14:paraId="1AA0D8CA" w14:textId="77777777" w:rsidR="00F31B94" w:rsidRPr="00BA469B" w:rsidRDefault="00F31B94" w:rsidP="00F31B94">
            <w:pPr>
              <w:pStyle w:val="Body"/>
              <w:spacing w:after="0"/>
              <w:rPr>
                <w:rFonts w:ascii="Arial" w:hAnsi="Arial" w:cs="Arial"/>
              </w:rPr>
            </w:pPr>
            <w:r w:rsidRPr="00BA469B">
              <w:rPr>
                <w:rFonts w:ascii="Arial" w:hAnsi="Arial" w:cs="Arial"/>
              </w:rPr>
              <w:t>0.79</w:t>
            </w:r>
          </w:p>
        </w:tc>
      </w:tr>
      <w:tr w:rsidR="00F31B94" w:rsidRPr="00BA469B" w14:paraId="3790F4B2" w14:textId="77777777" w:rsidTr="0096287A">
        <w:tc>
          <w:tcPr>
            <w:tcW w:w="1508" w:type="dxa"/>
            <w:tcBorders>
              <w:bottom w:val="single" w:sz="4" w:space="0" w:color="auto"/>
            </w:tcBorders>
          </w:tcPr>
          <w:p w14:paraId="2E8E893A"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1516" w:type="dxa"/>
            <w:tcBorders>
              <w:bottom w:val="single" w:sz="4" w:space="0" w:color="auto"/>
            </w:tcBorders>
          </w:tcPr>
          <w:p w14:paraId="2D3348B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bottom w:val="single" w:sz="4" w:space="0" w:color="auto"/>
            </w:tcBorders>
          </w:tcPr>
          <w:p w14:paraId="23797BB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6.10</w:t>
            </w:r>
            <w:r w:rsidRPr="00BA469B">
              <w:rPr>
                <w:rFonts w:ascii="Arial" w:hAnsi="Arial" w:cs="Arial"/>
                <w:vertAlign w:val="superscript"/>
              </w:rPr>
              <w:t>a</w:t>
            </w:r>
          </w:p>
        </w:tc>
        <w:tc>
          <w:tcPr>
            <w:tcW w:w="1687" w:type="dxa"/>
            <w:tcBorders>
              <w:bottom w:val="single" w:sz="4" w:space="0" w:color="auto"/>
            </w:tcBorders>
          </w:tcPr>
          <w:p w14:paraId="068C9A51"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3.00</w:t>
            </w:r>
            <w:r w:rsidRPr="00BA469B">
              <w:rPr>
                <w:rFonts w:ascii="Arial" w:hAnsi="Arial" w:cs="Arial"/>
                <w:vertAlign w:val="superscript"/>
              </w:rPr>
              <w:t>b</w:t>
            </w:r>
          </w:p>
        </w:tc>
        <w:tc>
          <w:tcPr>
            <w:tcW w:w="1701" w:type="dxa"/>
            <w:tcBorders>
              <w:bottom w:val="single" w:sz="4" w:space="0" w:color="auto"/>
            </w:tcBorders>
          </w:tcPr>
          <w:p w14:paraId="5B08BFAF" w14:textId="77777777" w:rsidR="00F31B94" w:rsidRPr="00BA469B" w:rsidRDefault="00F31B94" w:rsidP="00F31B94">
            <w:pPr>
              <w:pStyle w:val="Body"/>
              <w:spacing w:after="0"/>
              <w:rPr>
                <w:rFonts w:ascii="Arial" w:hAnsi="Arial" w:cs="Arial"/>
              </w:rPr>
            </w:pPr>
            <w:r w:rsidRPr="00BA469B">
              <w:rPr>
                <w:rFonts w:ascii="Arial" w:hAnsi="Arial" w:cs="Arial"/>
              </w:rPr>
              <w:t>50.82</w:t>
            </w:r>
          </w:p>
        </w:tc>
        <w:tc>
          <w:tcPr>
            <w:tcW w:w="1083" w:type="dxa"/>
            <w:tcBorders>
              <w:bottom w:val="single" w:sz="4" w:space="0" w:color="auto"/>
            </w:tcBorders>
          </w:tcPr>
          <w:p w14:paraId="79AE877E" w14:textId="77777777" w:rsidR="00F31B94" w:rsidRPr="00BA469B" w:rsidRDefault="00F31B94" w:rsidP="00F31B94">
            <w:pPr>
              <w:pStyle w:val="Body"/>
              <w:spacing w:after="0"/>
              <w:rPr>
                <w:rFonts w:ascii="Arial" w:hAnsi="Arial" w:cs="Arial"/>
              </w:rPr>
            </w:pPr>
            <w:r w:rsidRPr="00BA469B">
              <w:rPr>
                <w:rFonts w:ascii="Arial" w:hAnsi="Arial" w:cs="Arial"/>
              </w:rPr>
              <w:t>0.61</w:t>
            </w:r>
          </w:p>
        </w:tc>
      </w:tr>
    </w:tbl>
    <w:p w14:paraId="4F081752" w14:textId="77777777" w:rsidR="00F31B94" w:rsidRPr="00BA469B" w:rsidRDefault="00F31B94" w:rsidP="00F31B94">
      <w:pPr>
        <w:pStyle w:val="Body"/>
        <w:spacing w:before="240"/>
        <w:rPr>
          <w:rFonts w:ascii="Arial" w:hAnsi="Arial" w:cs="Arial"/>
          <w:bCs/>
        </w:rPr>
      </w:pPr>
      <w:r w:rsidRPr="00BA469B">
        <w:rPr>
          <w:rFonts w:ascii="Arial" w:hAnsi="Arial" w:cs="Arial"/>
          <w:bCs/>
          <w:i/>
          <w:iCs/>
        </w:rPr>
        <w:lastRenderedPageBreak/>
        <w:t>a, b,</w:t>
      </w:r>
      <w:r w:rsidRPr="00BA469B">
        <w:rPr>
          <w:rFonts w:ascii="Arial" w:hAnsi="Arial" w:cs="Arial"/>
          <w:bCs/>
        </w:rPr>
        <w:t xml:space="preserve">  Means in the same column with different superscripts, differ significantly (p&lt;0.05). Sig. = Significance= (P&lt;0.05). SEM = Standard Error Mean</w:t>
      </w:r>
    </w:p>
    <w:p w14:paraId="047389A6"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3.3 Effect of Propolis on Faecal Egg Count of Gastrointestinal Parasites</w:t>
      </w:r>
    </w:p>
    <w:p w14:paraId="5F744526" w14:textId="77777777" w:rsidR="00F31B94" w:rsidRPr="00BA469B" w:rsidRDefault="00F31B94" w:rsidP="00F31B94">
      <w:pPr>
        <w:pStyle w:val="Body"/>
        <w:spacing w:before="240" w:after="0"/>
        <w:rPr>
          <w:rFonts w:ascii="Arial" w:hAnsi="Arial" w:cs="Arial"/>
        </w:rPr>
      </w:pPr>
      <w:r w:rsidRPr="00BA469B">
        <w:rPr>
          <w:rFonts w:ascii="Arial" w:hAnsi="Arial" w:cs="Arial"/>
        </w:rPr>
        <w:t xml:space="preserve">he results presented in Table 4 showed that propolis supplementation significantly reduced the faecal egg count (FEC) of both nematodes and coccidia throughout the experimental period. Faecal egg count is widely used as an indicator of parasite infection intensity and the potential for transmission in poultry production systems. Birds receiving propolis consistently recorded lower FEC values compared with those in the control group, suggesting that propolis may suppress parasite reproduction or reduce their survival within the gastrointestinal tract. These findings agree with Attia </w:t>
      </w:r>
      <w:r w:rsidRPr="00BA469B">
        <w:rPr>
          <w:rFonts w:ascii="Arial" w:hAnsi="Arial" w:cs="Arial"/>
          <w:i/>
          <w:iCs/>
        </w:rPr>
        <w:t>et al</w:t>
      </w:r>
      <w:r w:rsidRPr="00BA469B">
        <w:rPr>
          <w:rFonts w:ascii="Arial" w:hAnsi="Arial" w:cs="Arial"/>
        </w:rPr>
        <w:t xml:space="preserve">. (2014), who reported that propolis improves intestinal health and enhances immune responses in poultry, thereby indirectly reducing parasite load. The progressive reduction in FEC across weeks further indicates that the antiparasitic effects of propolis may accumulate over time with continuous supplementation. Similar observations were made by Seven </w:t>
      </w:r>
      <w:r w:rsidRPr="00BA469B">
        <w:rPr>
          <w:rFonts w:ascii="Arial" w:hAnsi="Arial" w:cs="Arial"/>
          <w:i/>
          <w:iCs/>
        </w:rPr>
        <w:t>et al.</w:t>
      </w:r>
      <w:r w:rsidRPr="00BA469B">
        <w:rPr>
          <w:rFonts w:ascii="Arial" w:hAnsi="Arial" w:cs="Arial"/>
        </w:rPr>
        <w:t xml:space="preserve"> (2010), who found that propolis supplementation decreased microbial and parasitic loads in poultry due to its antimicrobial compounds. Additionally, the reduction in FEC may be attributed to the antioxidant properties of propolis. Oxidative stress within the intestinal environment can favor parasite survival and multiplication, whereas the strong antioxidant components of propolis may improve gut health and create unfavorable conditions for parasite development (Wagh, 2013)</w:t>
      </w:r>
    </w:p>
    <w:p w14:paraId="0A8DA437" w14:textId="77777777" w:rsidR="00F31B94" w:rsidRPr="00BA469B" w:rsidRDefault="00F31B94" w:rsidP="00F31B94">
      <w:pPr>
        <w:pStyle w:val="Body"/>
        <w:spacing w:before="240"/>
        <w:rPr>
          <w:rFonts w:ascii="Arial" w:hAnsi="Arial" w:cs="Arial"/>
          <w:b/>
          <w:bCs/>
        </w:rPr>
      </w:pPr>
      <w:bookmarkStart w:id="17" w:name="_Toc106772217"/>
      <w:r w:rsidRPr="00BA469B">
        <w:rPr>
          <w:rFonts w:ascii="Arial" w:hAnsi="Arial" w:cs="Arial"/>
          <w:b/>
          <w:bCs/>
        </w:rPr>
        <w:t>Table 4: Effect of different levels of propolis on FEC on gastrointestinal parasites</w:t>
      </w:r>
      <w:bookmarkEnd w:id="17"/>
    </w:p>
    <w:p w14:paraId="76E18A8C" w14:textId="77777777" w:rsidR="00F31B94" w:rsidRPr="00BA469B" w:rsidRDefault="00F31B94" w:rsidP="00F31B94">
      <w:pPr>
        <w:pStyle w:val="Body"/>
        <w:spacing w:before="240" w:after="0"/>
        <w:rPr>
          <w:rFonts w:ascii="Arial" w:hAnsi="Arial" w:cs="Arial"/>
        </w:rPr>
      </w:pPr>
    </w:p>
    <w:tbl>
      <w:tblPr>
        <w:tblStyle w:val="TableGrid"/>
        <w:tblW w:w="85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1782"/>
        <w:gridCol w:w="1584"/>
        <w:gridCol w:w="1487"/>
        <w:gridCol w:w="1980"/>
      </w:tblGrid>
      <w:tr w:rsidR="00F31B94" w:rsidRPr="00BA469B" w14:paraId="366ED45E" w14:textId="77777777" w:rsidTr="0096287A">
        <w:trPr>
          <w:trHeight w:val="265"/>
        </w:trPr>
        <w:tc>
          <w:tcPr>
            <w:tcW w:w="1703" w:type="dxa"/>
            <w:tcBorders>
              <w:top w:val="single" w:sz="4" w:space="0" w:color="auto"/>
            </w:tcBorders>
            <w:hideMark/>
          </w:tcPr>
          <w:p w14:paraId="458D2262" w14:textId="77777777" w:rsidR="00F31B94" w:rsidRPr="00BA469B" w:rsidRDefault="00F31B94" w:rsidP="00F31B94">
            <w:pPr>
              <w:pStyle w:val="Body"/>
              <w:spacing w:after="0"/>
              <w:rPr>
                <w:rFonts w:ascii="Arial" w:hAnsi="Arial" w:cs="Arial"/>
              </w:rPr>
            </w:pPr>
          </w:p>
        </w:tc>
        <w:tc>
          <w:tcPr>
            <w:tcW w:w="3366" w:type="dxa"/>
            <w:gridSpan w:val="2"/>
            <w:tcBorders>
              <w:top w:val="single" w:sz="4" w:space="0" w:color="auto"/>
              <w:bottom w:val="single" w:sz="4" w:space="0" w:color="auto"/>
            </w:tcBorders>
          </w:tcPr>
          <w:p w14:paraId="526CD774" w14:textId="77777777" w:rsidR="00F31B94" w:rsidRPr="00BA469B" w:rsidRDefault="00F31B94" w:rsidP="00F31B94">
            <w:pPr>
              <w:pStyle w:val="Body"/>
              <w:spacing w:after="0"/>
              <w:rPr>
                <w:rFonts w:ascii="Arial" w:hAnsi="Arial" w:cs="Arial"/>
                <w:b/>
                <w:bCs/>
              </w:rPr>
            </w:pPr>
            <w:r w:rsidRPr="00BA469B">
              <w:rPr>
                <w:rFonts w:ascii="Arial" w:hAnsi="Arial" w:cs="Arial"/>
                <w:b/>
                <w:bCs/>
              </w:rPr>
              <w:t>NEMATODES</w:t>
            </w:r>
          </w:p>
        </w:tc>
        <w:tc>
          <w:tcPr>
            <w:tcW w:w="3467" w:type="dxa"/>
            <w:gridSpan w:val="2"/>
            <w:tcBorders>
              <w:top w:val="single" w:sz="4" w:space="0" w:color="auto"/>
              <w:bottom w:val="single" w:sz="4" w:space="0" w:color="auto"/>
            </w:tcBorders>
          </w:tcPr>
          <w:p w14:paraId="34924C6A" w14:textId="77777777" w:rsidR="00F31B94" w:rsidRPr="00BA469B" w:rsidRDefault="00F31B94" w:rsidP="00F31B94">
            <w:pPr>
              <w:pStyle w:val="Body"/>
              <w:spacing w:after="0"/>
              <w:rPr>
                <w:rFonts w:ascii="Arial" w:hAnsi="Arial" w:cs="Arial"/>
                <w:b/>
                <w:bCs/>
              </w:rPr>
            </w:pPr>
            <w:r w:rsidRPr="00BA469B">
              <w:rPr>
                <w:rFonts w:ascii="Arial" w:hAnsi="Arial" w:cs="Arial"/>
                <w:b/>
                <w:bCs/>
              </w:rPr>
              <w:t>COCCIDIA</w:t>
            </w:r>
          </w:p>
          <w:p w14:paraId="6B8A5F17" w14:textId="77777777" w:rsidR="00F31B94" w:rsidRPr="00BA469B" w:rsidRDefault="00F31B94" w:rsidP="00F31B94">
            <w:pPr>
              <w:pStyle w:val="Body"/>
              <w:spacing w:after="0"/>
              <w:rPr>
                <w:rFonts w:ascii="Arial" w:hAnsi="Arial" w:cs="Arial"/>
                <w:b/>
                <w:bCs/>
              </w:rPr>
            </w:pPr>
          </w:p>
        </w:tc>
      </w:tr>
      <w:tr w:rsidR="00F31B94" w:rsidRPr="00BA469B" w14:paraId="2E8FAECA" w14:textId="77777777" w:rsidTr="0096287A">
        <w:trPr>
          <w:trHeight w:val="534"/>
        </w:trPr>
        <w:tc>
          <w:tcPr>
            <w:tcW w:w="1703" w:type="dxa"/>
            <w:tcBorders>
              <w:bottom w:val="single" w:sz="4" w:space="0" w:color="auto"/>
            </w:tcBorders>
            <w:hideMark/>
          </w:tcPr>
          <w:p w14:paraId="54D5D9E9" w14:textId="77777777" w:rsidR="00F31B94" w:rsidRPr="00BA469B" w:rsidRDefault="00F31B94" w:rsidP="00F31B94">
            <w:pPr>
              <w:pStyle w:val="Body"/>
              <w:spacing w:after="0"/>
              <w:rPr>
                <w:rFonts w:ascii="Arial" w:hAnsi="Arial" w:cs="Arial"/>
                <w:b/>
                <w:bCs/>
              </w:rPr>
            </w:pPr>
            <w:r w:rsidRPr="00BA469B">
              <w:rPr>
                <w:rFonts w:ascii="Arial" w:hAnsi="Arial" w:cs="Arial"/>
                <w:b/>
                <w:bCs/>
              </w:rPr>
              <w:t>LEVELS</w:t>
            </w:r>
          </w:p>
        </w:tc>
        <w:tc>
          <w:tcPr>
            <w:tcW w:w="1782" w:type="dxa"/>
            <w:tcBorders>
              <w:top w:val="single" w:sz="4" w:space="0" w:color="auto"/>
              <w:bottom w:val="single" w:sz="4" w:space="0" w:color="auto"/>
            </w:tcBorders>
            <w:hideMark/>
          </w:tcPr>
          <w:p w14:paraId="2B15AF97"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583" w:type="dxa"/>
            <w:tcBorders>
              <w:top w:val="single" w:sz="4" w:space="0" w:color="auto"/>
              <w:bottom w:val="single" w:sz="4" w:space="0" w:color="auto"/>
            </w:tcBorders>
            <w:hideMark/>
          </w:tcPr>
          <w:p w14:paraId="79FDF590" w14:textId="77777777" w:rsidR="00F31B94" w:rsidRPr="00BA469B" w:rsidRDefault="00F31B94" w:rsidP="00F31B94">
            <w:pPr>
              <w:pStyle w:val="Body"/>
              <w:spacing w:after="0"/>
              <w:rPr>
                <w:rFonts w:ascii="Arial" w:hAnsi="Arial" w:cs="Arial"/>
                <w:b/>
              </w:rPr>
            </w:pPr>
            <w:r w:rsidRPr="00BA469B">
              <w:rPr>
                <w:rFonts w:ascii="Arial" w:hAnsi="Arial" w:cs="Arial"/>
                <w:b/>
              </w:rPr>
              <w:t>EMM</w:t>
            </w:r>
          </w:p>
        </w:tc>
        <w:tc>
          <w:tcPr>
            <w:tcW w:w="1487" w:type="dxa"/>
            <w:tcBorders>
              <w:top w:val="single" w:sz="4" w:space="0" w:color="auto"/>
              <w:bottom w:val="single" w:sz="4" w:space="0" w:color="auto"/>
            </w:tcBorders>
            <w:hideMark/>
          </w:tcPr>
          <w:p w14:paraId="1EC2A0FB"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979" w:type="dxa"/>
            <w:tcBorders>
              <w:top w:val="single" w:sz="4" w:space="0" w:color="auto"/>
              <w:bottom w:val="single" w:sz="4" w:space="0" w:color="auto"/>
            </w:tcBorders>
            <w:hideMark/>
          </w:tcPr>
          <w:p w14:paraId="2BA686D7" w14:textId="77777777" w:rsidR="00F31B94" w:rsidRPr="00BA469B" w:rsidRDefault="00F31B94" w:rsidP="00F31B94">
            <w:pPr>
              <w:pStyle w:val="Body"/>
              <w:spacing w:after="0"/>
              <w:rPr>
                <w:rFonts w:ascii="Arial" w:hAnsi="Arial" w:cs="Arial"/>
                <w:b/>
              </w:rPr>
            </w:pPr>
            <w:r w:rsidRPr="00BA469B">
              <w:rPr>
                <w:rFonts w:ascii="Arial" w:hAnsi="Arial" w:cs="Arial"/>
                <w:b/>
              </w:rPr>
              <w:t>EMM</w:t>
            </w:r>
          </w:p>
        </w:tc>
      </w:tr>
      <w:tr w:rsidR="00F31B94" w:rsidRPr="00BA469B" w14:paraId="4FF932EB" w14:textId="77777777" w:rsidTr="0096287A">
        <w:trPr>
          <w:trHeight w:val="267"/>
        </w:trPr>
        <w:tc>
          <w:tcPr>
            <w:tcW w:w="8536" w:type="dxa"/>
            <w:gridSpan w:val="5"/>
            <w:tcBorders>
              <w:top w:val="single" w:sz="4" w:space="0" w:color="auto"/>
              <w:bottom w:val="single" w:sz="4" w:space="0" w:color="auto"/>
            </w:tcBorders>
            <w:hideMark/>
          </w:tcPr>
          <w:p w14:paraId="59313633"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2</w:t>
            </w:r>
          </w:p>
        </w:tc>
      </w:tr>
      <w:tr w:rsidR="00F31B94" w:rsidRPr="00BA469B" w14:paraId="3E6F1BFE" w14:textId="77777777" w:rsidTr="0096287A">
        <w:trPr>
          <w:trHeight w:val="267"/>
        </w:trPr>
        <w:tc>
          <w:tcPr>
            <w:tcW w:w="1703" w:type="dxa"/>
            <w:tcBorders>
              <w:top w:val="single" w:sz="4" w:space="0" w:color="auto"/>
            </w:tcBorders>
            <w:hideMark/>
          </w:tcPr>
          <w:p w14:paraId="26234CE5"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1782" w:type="dxa"/>
            <w:tcBorders>
              <w:top w:val="single" w:sz="4" w:space="0" w:color="auto"/>
            </w:tcBorders>
            <w:hideMark/>
          </w:tcPr>
          <w:p w14:paraId="3349B9C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top w:val="single" w:sz="4" w:space="0" w:color="auto"/>
            </w:tcBorders>
            <w:hideMark/>
          </w:tcPr>
          <w:p w14:paraId="2E68867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27.20</w:t>
            </w:r>
            <w:r w:rsidRPr="00BA469B">
              <w:rPr>
                <w:rFonts w:ascii="Arial" w:hAnsi="Arial" w:cs="Arial"/>
                <w:vertAlign w:val="superscript"/>
              </w:rPr>
              <w:t>a</w:t>
            </w:r>
          </w:p>
        </w:tc>
        <w:tc>
          <w:tcPr>
            <w:tcW w:w="1487" w:type="dxa"/>
            <w:tcBorders>
              <w:top w:val="single" w:sz="4" w:space="0" w:color="auto"/>
            </w:tcBorders>
            <w:hideMark/>
          </w:tcPr>
          <w:p w14:paraId="7AFB8381"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top w:val="single" w:sz="4" w:space="0" w:color="auto"/>
            </w:tcBorders>
            <w:hideMark/>
          </w:tcPr>
          <w:p w14:paraId="1DF0EAD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43.70</w:t>
            </w:r>
            <w:r w:rsidRPr="00BA469B">
              <w:rPr>
                <w:rFonts w:ascii="Arial" w:hAnsi="Arial" w:cs="Arial"/>
                <w:vertAlign w:val="superscript"/>
              </w:rPr>
              <w:t>a</w:t>
            </w:r>
          </w:p>
        </w:tc>
      </w:tr>
      <w:tr w:rsidR="00F31B94" w:rsidRPr="00BA469B" w14:paraId="3326BB30" w14:textId="77777777" w:rsidTr="0096287A">
        <w:trPr>
          <w:trHeight w:val="281"/>
        </w:trPr>
        <w:tc>
          <w:tcPr>
            <w:tcW w:w="1703" w:type="dxa"/>
            <w:hideMark/>
          </w:tcPr>
          <w:p w14:paraId="4791B4D7"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1782" w:type="dxa"/>
            <w:hideMark/>
          </w:tcPr>
          <w:p w14:paraId="3BD3869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3CDEB9E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20.40</w:t>
            </w:r>
            <w:r w:rsidRPr="00BA469B">
              <w:rPr>
                <w:rFonts w:ascii="Arial" w:hAnsi="Arial" w:cs="Arial"/>
                <w:vertAlign w:val="superscript"/>
              </w:rPr>
              <w:t>b</w:t>
            </w:r>
          </w:p>
        </w:tc>
        <w:tc>
          <w:tcPr>
            <w:tcW w:w="1487" w:type="dxa"/>
            <w:hideMark/>
          </w:tcPr>
          <w:p w14:paraId="478DA59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2017265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39.20</w:t>
            </w:r>
            <w:r w:rsidRPr="00BA469B">
              <w:rPr>
                <w:rFonts w:ascii="Arial" w:hAnsi="Arial" w:cs="Arial"/>
                <w:vertAlign w:val="superscript"/>
              </w:rPr>
              <w:t>b</w:t>
            </w:r>
          </w:p>
        </w:tc>
      </w:tr>
      <w:tr w:rsidR="00F31B94" w:rsidRPr="00BA469B" w14:paraId="26D6E0AA" w14:textId="77777777" w:rsidTr="0096287A">
        <w:trPr>
          <w:trHeight w:val="267"/>
        </w:trPr>
        <w:tc>
          <w:tcPr>
            <w:tcW w:w="1703" w:type="dxa"/>
            <w:hideMark/>
          </w:tcPr>
          <w:p w14:paraId="6FE7E345"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1782" w:type="dxa"/>
            <w:hideMark/>
          </w:tcPr>
          <w:p w14:paraId="2E06CF2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56467D4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20.30</w:t>
            </w:r>
            <w:r w:rsidRPr="00BA469B">
              <w:rPr>
                <w:rFonts w:ascii="Arial" w:hAnsi="Arial" w:cs="Arial"/>
                <w:vertAlign w:val="superscript"/>
              </w:rPr>
              <w:t>b</w:t>
            </w:r>
          </w:p>
        </w:tc>
        <w:tc>
          <w:tcPr>
            <w:tcW w:w="1487" w:type="dxa"/>
            <w:hideMark/>
          </w:tcPr>
          <w:p w14:paraId="6940489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622E574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33.10</w:t>
            </w:r>
            <w:r w:rsidRPr="00BA469B">
              <w:rPr>
                <w:rFonts w:ascii="Arial" w:hAnsi="Arial" w:cs="Arial"/>
                <w:vertAlign w:val="superscript"/>
              </w:rPr>
              <w:t>c</w:t>
            </w:r>
          </w:p>
        </w:tc>
      </w:tr>
      <w:tr w:rsidR="00F31B94" w:rsidRPr="00BA469B" w14:paraId="79755CAF" w14:textId="77777777" w:rsidTr="0096287A">
        <w:trPr>
          <w:trHeight w:val="267"/>
        </w:trPr>
        <w:tc>
          <w:tcPr>
            <w:tcW w:w="1703" w:type="dxa"/>
            <w:tcBorders>
              <w:bottom w:val="nil"/>
            </w:tcBorders>
            <w:hideMark/>
          </w:tcPr>
          <w:p w14:paraId="1C759122"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1782" w:type="dxa"/>
            <w:tcBorders>
              <w:bottom w:val="nil"/>
            </w:tcBorders>
            <w:hideMark/>
          </w:tcPr>
          <w:p w14:paraId="654D81BE"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bottom w:val="nil"/>
            </w:tcBorders>
            <w:hideMark/>
          </w:tcPr>
          <w:p w14:paraId="69773F4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19.70</w:t>
            </w:r>
            <w:r w:rsidRPr="00BA469B">
              <w:rPr>
                <w:rFonts w:ascii="Arial" w:hAnsi="Arial" w:cs="Arial"/>
                <w:vertAlign w:val="superscript"/>
              </w:rPr>
              <w:t>b</w:t>
            </w:r>
          </w:p>
        </w:tc>
        <w:tc>
          <w:tcPr>
            <w:tcW w:w="1487" w:type="dxa"/>
            <w:tcBorders>
              <w:bottom w:val="nil"/>
            </w:tcBorders>
            <w:hideMark/>
          </w:tcPr>
          <w:p w14:paraId="1EC42851" w14:textId="77777777" w:rsidR="00F31B94" w:rsidRPr="00BA469B" w:rsidRDefault="00F31B94" w:rsidP="00F31B94">
            <w:pPr>
              <w:pStyle w:val="Body"/>
              <w:spacing w:after="0"/>
              <w:rPr>
                <w:rFonts w:ascii="Arial" w:hAnsi="Arial" w:cs="Arial"/>
              </w:rPr>
            </w:pPr>
            <w:r w:rsidRPr="00BA469B">
              <w:rPr>
                <w:rFonts w:ascii="Arial" w:hAnsi="Arial" w:cs="Arial"/>
              </w:rPr>
              <w:t>128</w:t>
            </w:r>
          </w:p>
        </w:tc>
        <w:tc>
          <w:tcPr>
            <w:tcW w:w="1979" w:type="dxa"/>
            <w:tcBorders>
              <w:bottom w:val="nil"/>
            </w:tcBorders>
            <w:hideMark/>
          </w:tcPr>
          <w:p w14:paraId="664B7FD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28.40</w:t>
            </w:r>
            <w:r w:rsidRPr="00BA469B">
              <w:rPr>
                <w:rFonts w:ascii="Arial" w:hAnsi="Arial" w:cs="Arial"/>
                <w:vertAlign w:val="superscript"/>
              </w:rPr>
              <w:t>c</w:t>
            </w:r>
          </w:p>
        </w:tc>
      </w:tr>
      <w:tr w:rsidR="00F31B94" w:rsidRPr="00BA469B" w14:paraId="6F596767" w14:textId="77777777" w:rsidTr="0096287A">
        <w:trPr>
          <w:trHeight w:val="267"/>
        </w:trPr>
        <w:tc>
          <w:tcPr>
            <w:tcW w:w="8536" w:type="dxa"/>
            <w:gridSpan w:val="5"/>
            <w:tcBorders>
              <w:top w:val="nil"/>
              <w:bottom w:val="single" w:sz="4" w:space="0" w:color="auto"/>
            </w:tcBorders>
            <w:hideMark/>
          </w:tcPr>
          <w:p w14:paraId="26719B23"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4</w:t>
            </w:r>
          </w:p>
        </w:tc>
      </w:tr>
      <w:tr w:rsidR="00F31B94" w:rsidRPr="00BA469B" w14:paraId="0ADAD8BD" w14:textId="77777777" w:rsidTr="0096287A">
        <w:trPr>
          <w:trHeight w:val="267"/>
        </w:trPr>
        <w:tc>
          <w:tcPr>
            <w:tcW w:w="1703" w:type="dxa"/>
            <w:tcBorders>
              <w:top w:val="single" w:sz="4" w:space="0" w:color="auto"/>
            </w:tcBorders>
            <w:hideMark/>
          </w:tcPr>
          <w:p w14:paraId="53E0C484"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1782" w:type="dxa"/>
            <w:tcBorders>
              <w:top w:val="single" w:sz="4" w:space="0" w:color="auto"/>
            </w:tcBorders>
            <w:hideMark/>
          </w:tcPr>
          <w:p w14:paraId="70DFDD9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top w:val="single" w:sz="4" w:space="0" w:color="auto"/>
            </w:tcBorders>
            <w:hideMark/>
          </w:tcPr>
          <w:p w14:paraId="574490F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26.20</w:t>
            </w:r>
            <w:r w:rsidRPr="00BA469B">
              <w:rPr>
                <w:rFonts w:ascii="Arial" w:hAnsi="Arial" w:cs="Arial"/>
                <w:vertAlign w:val="superscript"/>
              </w:rPr>
              <w:t>a</w:t>
            </w:r>
          </w:p>
        </w:tc>
        <w:tc>
          <w:tcPr>
            <w:tcW w:w="1487" w:type="dxa"/>
            <w:tcBorders>
              <w:top w:val="single" w:sz="4" w:space="0" w:color="auto"/>
            </w:tcBorders>
            <w:hideMark/>
          </w:tcPr>
          <w:p w14:paraId="7C7A4D09"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top w:val="single" w:sz="4" w:space="0" w:color="auto"/>
            </w:tcBorders>
            <w:hideMark/>
          </w:tcPr>
          <w:p w14:paraId="7AEA5564"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43.10</w:t>
            </w:r>
            <w:r w:rsidRPr="00BA469B">
              <w:rPr>
                <w:rFonts w:ascii="Arial" w:hAnsi="Arial" w:cs="Arial"/>
                <w:vertAlign w:val="superscript"/>
              </w:rPr>
              <w:t>a</w:t>
            </w:r>
          </w:p>
        </w:tc>
      </w:tr>
      <w:tr w:rsidR="00F31B94" w:rsidRPr="00BA469B" w14:paraId="0A0F638D" w14:textId="77777777" w:rsidTr="0096287A">
        <w:trPr>
          <w:trHeight w:val="267"/>
        </w:trPr>
        <w:tc>
          <w:tcPr>
            <w:tcW w:w="1703" w:type="dxa"/>
            <w:hideMark/>
          </w:tcPr>
          <w:p w14:paraId="08B9846F"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1782" w:type="dxa"/>
            <w:hideMark/>
          </w:tcPr>
          <w:p w14:paraId="501A4B86"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1BD02C2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16.80</w:t>
            </w:r>
            <w:r w:rsidRPr="00BA469B">
              <w:rPr>
                <w:rFonts w:ascii="Arial" w:hAnsi="Arial" w:cs="Arial"/>
                <w:vertAlign w:val="superscript"/>
              </w:rPr>
              <w:t>b</w:t>
            </w:r>
          </w:p>
        </w:tc>
        <w:tc>
          <w:tcPr>
            <w:tcW w:w="1487" w:type="dxa"/>
            <w:hideMark/>
          </w:tcPr>
          <w:p w14:paraId="1C3B5B5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2C2B094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33.90</w:t>
            </w:r>
            <w:r w:rsidRPr="00BA469B">
              <w:rPr>
                <w:rFonts w:ascii="Arial" w:hAnsi="Arial" w:cs="Arial"/>
                <w:vertAlign w:val="superscript"/>
              </w:rPr>
              <w:t>b</w:t>
            </w:r>
          </w:p>
        </w:tc>
      </w:tr>
      <w:tr w:rsidR="00F31B94" w:rsidRPr="00BA469B" w14:paraId="0DCE3D11" w14:textId="77777777" w:rsidTr="0096287A">
        <w:trPr>
          <w:trHeight w:val="267"/>
        </w:trPr>
        <w:tc>
          <w:tcPr>
            <w:tcW w:w="1703" w:type="dxa"/>
            <w:hideMark/>
          </w:tcPr>
          <w:p w14:paraId="0B6AD6A4"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1782" w:type="dxa"/>
            <w:hideMark/>
          </w:tcPr>
          <w:p w14:paraId="1CB910D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02C7077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16.50</w:t>
            </w:r>
            <w:r w:rsidRPr="00BA469B">
              <w:rPr>
                <w:rFonts w:ascii="Arial" w:hAnsi="Arial" w:cs="Arial"/>
                <w:vertAlign w:val="superscript"/>
              </w:rPr>
              <w:t>b</w:t>
            </w:r>
          </w:p>
        </w:tc>
        <w:tc>
          <w:tcPr>
            <w:tcW w:w="1487" w:type="dxa"/>
            <w:hideMark/>
          </w:tcPr>
          <w:p w14:paraId="2875CBB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4A1474B6"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24.40</w:t>
            </w:r>
            <w:r w:rsidRPr="00BA469B">
              <w:rPr>
                <w:rFonts w:ascii="Arial" w:hAnsi="Arial" w:cs="Arial"/>
                <w:vertAlign w:val="superscript"/>
              </w:rPr>
              <w:t>b</w:t>
            </w:r>
          </w:p>
        </w:tc>
      </w:tr>
      <w:tr w:rsidR="00F31B94" w:rsidRPr="00BA469B" w14:paraId="6B02AD1C" w14:textId="77777777" w:rsidTr="0096287A">
        <w:trPr>
          <w:trHeight w:val="267"/>
        </w:trPr>
        <w:tc>
          <w:tcPr>
            <w:tcW w:w="1703" w:type="dxa"/>
            <w:tcBorders>
              <w:bottom w:val="nil"/>
            </w:tcBorders>
            <w:hideMark/>
          </w:tcPr>
          <w:p w14:paraId="3C096B93"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1782" w:type="dxa"/>
            <w:tcBorders>
              <w:bottom w:val="nil"/>
            </w:tcBorders>
            <w:hideMark/>
          </w:tcPr>
          <w:p w14:paraId="5070BB4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bottom w:val="nil"/>
            </w:tcBorders>
            <w:hideMark/>
          </w:tcPr>
          <w:p w14:paraId="0FCE24B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15.10</w:t>
            </w:r>
            <w:r w:rsidRPr="00BA469B">
              <w:rPr>
                <w:rFonts w:ascii="Arial" w:hAnsi="Arial" w:cs="Arial"/>
                <w:vertAlign w:val="superscript"/>
              </w:rPr>
              <w:t>b</w:t>
            </w:r>
          </w:p>
        </w:tc>
        <w:tc>
          <w:tcPr>
            <w:tcW w:w="1487" w:type="dxa"/>
            <w:tcBorders>
              <w:bottom w:val="nil"/>
            </w:tcBorders>
            <w:hideMark/>
          </w:tcPr>
          <w:p w14:paraId="7263F6C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bottom w:val="nil"/>
            </w:tcBorders>
            <w:hideMark/>
          </w:tcPr>
          <w:p w14:paraId="7FFEBF6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32.90</w:t>
            </w:r>
            <w:r w:rsidRPr="00BA469B">
              <w:rPr>
                <w:rFonts w:ascii="Arial" w:hAnsi="Arial" w:cs="Arial"/>
                <w:vertAlign w:val="superscript"/>
              </w:rPr>
              <w:t>c</w:t>
            </w:r>
          </w:p>
        </w:tc>
      </w:tr>
      <w:tr w:rsidR="00F31B94" w:rsidRPr="00BA469B" w14:paraId="0C7457D6" w14:textId="77777777" w:rsidTr="0096287A">
        <w:trPr>
          <w:trHeight w:val="267"/>
        </w:trPr>
        <w:tc>
          <w:tcPr>
            <w:tcW w:w="8536" w:type="dxa"/>
            <w:gridSpan w:val="5"/>
            <w:tcBorders>
              <w:top w:val="nil"/>
              <w:bottom w:val="single" w:sz="4" w:space="0" w:color="auto"/>
            </w:tcBorders>
            <w:hideMark/>
          </w:tcPr>
          <w:p w14:paraId="60B7F665"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6</w:t>
            </w:r>
          </w:p>
        </w:tc>
      </w:tr>
      <w:tr w:rsidR="00F31B94" w:rsidRPr="00BA469B" w14:paraId="067B70F8" w14:textId="77777777" w:rsidTr="0096287A">
        <w:trPr>
          <w:trHeight w:val="267"/>
        </w:trPr>
        <w:tc>
          <w:tcPr>
            <w:tcW w:w="1703" w:type="dxa"/>
            <w:tcBorders>
              <w:top w:val="single" w:sz="4" w:space="0" w:color="auto"/>
            </w:tcBorders>
            <w:hideMark/>
          </w:tcPr>
          <w:p w14:paraId="665A69BB"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1782" w:type="dxa"/>
            <w:tcBorders>
              <w:top w:val="single" w:sz="4" w:space="0" w:color="auto"/>
            </w:tcBorders>
            <w:hideMark/>
          </w:tcPr>
          <w:p w14:paraId="3597259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top w:val="single" w:sz="4" w:space="0" w:color="auto"/>
            </w:tcBorders>
            <w:hideMark/>
          </w:tcPr>
          <w:p w14:paraId="0289F8F6"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22.30</w:t>
            </w:r>
            <w:r w:rsidRPr="00BA469B">
              <w:rPr>
                <w:rFonts w:ascii="Arial" w:hAnsi="Arial" w:cs="Arial"/>
                <w:vertAlign w:val="superscript"/>
              </w:rPr>
              <w:t>a</w:t>
            </w:r>
          </w:p>
        </w:tc>
        <w:tc>
          <w:tcPr>
            <w:tcW w:w="1487" w:type="dxa"/>
            <w:tcBorders>
              <w:top w:val="single" w:sz="4" w:space="0" w:color="auto"/>
            </w:tcBorders>
            <w:hideMark/>
          </w:tcPr>
          <w:p w14:paraId="0220A67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top w:val="single" w:sz="4" w:space="0" w:color="auto"/>
            </w:tcBorders>
            <w:hideMark/>
          </w:tcPr>
          <w:p w14:paraId="399E3C4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41.30</w:t>
            </w:r>
            <w:r w:rsidRPr="00BA469B">
              <w:rPr>
                <w:rFonts w:ascii="Arial" w:hAnsi="Arial" w:cs="Arial"/>
                <w:vertAlign w:val="superscript"/>
              </w:rPr>
              <w:t>a</w:t>
            </w:r>
          </w:p>
        </w:tc>
      </w:tr>
      <w:tr w:rsidR="00F31B94" w:rsidRPr="00BA469B" w14:paraId="1724719B" w14:textId="77777777" w:rsidTr="0096287A">
        <w:trPr>
          <w:trHeight w:val="267"/>
        </w:trPr>
        <w:tc>
          <w:tcPr>
            <w:tcW w:w="1703" w:type="dxa"/>
            <w:hideMark/>
          </w:tcPr>
          <w:p w14:paraId="48A98B9F"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1782" w:type="dxa"/>
            <w:hideMark/>
          </w:tcPr>
          <w:p w14:paraId="2B5E2F1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5740BD5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16.70</w:t>
            </w:r>
            <w:r w:rsidRPr="00BA469B">
              <w:rPr>
                <w:rFonts w:ascii="Arial" w:hAnsi="Arial" w:cs="Arial"/>
                <w:vertAlign w:val="superscript"/>
              </w:rPr>
              <w:t>b</w:t>
            </w:r>
          </w:p>
        </w:tc>
        <w:tc>
          <w:tcPr>
            <w:tcW w:w="1487" w:type="dxa"/>
            <w:hideMark/>
          </w:tcPr>
          <w:p w14:paraId="69ACEA2D"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29A0C14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34.40</w:t>
            </w:r>
            <w:r w:rsidRPr="00BA469B">
              <w:rPr>
                <w:rFonts w:ascii="Arial" w:hAnsi="Arial" w:cs="Arial"/>
                <w:vertAlign w:val="superscript"/>
              </w:rPr>
              <w:t>b</w:t>
            </w:r>
          </w:p>
        </w:tc>
      </w:tr>
      <w:tr w:rsidR="00F31B94" w:rsidRPr="00BA469B" w14:paraId="3040DDAF" w14:textId="77777777" w:rsidTr="0096287A">
        <w:trPr>
          <w:trHeight w:val="267"/>
        </w:trPr>
        <w:tc>
          <w:tcPr>
            <w:tcW w:w="1703" w:type="dxa"/>
            <w:hideMark/>
          </w:tcPr>
          <w:p w14:paraId="6C26F77C"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1782" w:type="dxa"/>
            <w:hideMark/>
          </w:tcPr>
          <w:p w14:paraId="2DF1486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1C72A6A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16.40</w:t>
            </w:r>
            <w:r w:rsidRPr="00BA469B">
              <w:rPr>
                <w:rFonts w:ascii="Arial" w:hAnsi="Arial" w:cs="Arial"/>
                <w:vertAlign w:val="superscript"/>
              </w:rPr>
              <w:t>b</w:t>
            </w:r>
          </w:p>
        </w:tc>
        <w:tc>
          <w:tcPr>
            <w:tcW w:w="1487" w:type="dxa"/>
            <w:hideMark/>
          </w:tcPr>
          <w:p w14:paraId="7570205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6995BB5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29.50</w:t>
            </w:r>
            <w:r w:rsidRPr="00BA469B">
              <w:rPr>
                <w:rFonts w:ascii="Arial" w:hAnsi="Arial" w:cs="Arial"/>
                <w:vertAlign w:val="superscript"/>
              </w:rPr>
              <w:t>b</w:t>
            </w:r>
          </w:p>
        </w:tc>
      </w:tr>
      <w:tr w:rsidR="00F31B94" w:rsidRPr="00BA469B" w14:paraId="3513A054" w14:textId="77777777" w:rsidTr="0096287A">
        <w:trPr>
          <w:trHeight w:val="267"/>
        </w:trPr>
        <w:tc>
          <w:tcPr>
            <w:tcW w:w="1703" w:type="dxa"/>
            <w:hideMark/>
          </w:tcPr>
          <w:p w14:paraId="43855DB0"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1782" w:type="dxa"/>
            <w:hideMark/>
          </w:tcPr>
          <w:p w14:paraId="6E67FDF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2687663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14.90</w:t>
            </w:r>
            <w:r w:rsidRPr="00BA469B">
              <w:rPr>
                <w:rFonts w:ascii="Arial" w:hAnsi="Arial" w:cs="Arial"/>
                <w:vertAlign w:val="superscript"/>
              </w:rPr>
              <w:t>b</w:t>
            </w:r>
          </w:p>
        </w:tc>
        <w:tc>
          <w:tcPr>
            <w:tcW w:w="1487" w:type="dxa"/>
            <w:hideMark/>
          </w:tcPr>
          <w:p w14:paraId="336A2D4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0B577441"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17.50</w:t>
            </w:r>
            <w:r w:rsidRPr="00BA469B">
              <w:rPr>
                <w:rFonts w:ascii="Arial" w:hAnsi="Arial" w:cs="Arial"/>
                <w:vertAlign w:val="superscript"/>
              </w:rPr>
              <w:t>c</w:t>
            </w:r>
          </w:p>
        </w:tc>
      </w:tr>
    </w:tbl>
    <w:p w14:paraId="4CFA91A1" w14:textId="77777777" w:rsidR="00F31B94" w:rsidRPr="00BA469B" w:rsidRDefault="00F31B94" w:rsidP="00F31B94">
      <w:pPr>
        <w:pStyle w:val="Body"/>
        <w:spacing w:before="240"/>
        <w:rPr>
          <w:rFonts w:ascii="Arial" w:hAnsi="Arial" w:cs="Arial"/>
          <w:bCs/>
        </w:rPr>
      </w:pPr>
      <w:r w:rsidRPr="00BA469B">
        <w:rPr>
          <w:rFonts w:ascii="Arial" w:hAnsi="Arial" w:cs="Arial"/>
          <w:bCs/>
        </w:rPr>
        <w:t>a, b, c, Means in the same column with different superscripts, differ significantly (p&lt;0.05). Sig. = Significance= (P&lt;0.05)</w:t>
      </w:r>
    </w:p>
    <w:p w14:paraId="43B1A288"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3.4 Effect of Propolis on Percentage Reduction in Faecal Egg Count</w:t>
      </w:r>
    </w:p>
    <w:p w14:paraId="10B51B78" w14:textId="77777777" w:rsidR="00F31B94" w:rsidRPr="00BA469B" w:rsidRDefault="00F31B94" w:rsidP="00F31B94">
      <w:pPr>
        <w:pStyle w:val="Body"/>
        <w:spacing w:before="240" w:after="0"/>
        <w:rPr>
          <w:rFonts w:ascii="Arial" w:hAnsi="Arial" w:cs="Arial"/>
        </w:rPr>
      </w:pPr>
      <w:r w:rsidRPr="00BA469B">
        <w:rPr>
          <w:rFonts w:ascii="Arial" w:hAnsi="Arial" w:cs="Arial"/>
        </w:rPr>
        <w:lastRenderedPageBreak/>
        <w:t xml:space="preserve">Table 5 showed that propolis supplementation resulted in reductions in faecal egg counts for both nematodes and coccidia, with the highest reduction observed in birds receiving the highest concentration of propolis (3 ml/L). This suggests that although moderate levels of propolis were more effective in reducing parasite prevalence, higher concentrations may be more effective in reducing parasite egg production. The reduction in egg production may indicate that propolis interferes with parasite reproductive processes. Propolis contains bioactive compounds capable of disrupting parasite metabolic pathways and inhibiting reproductive functions (Bankova </w:t>
      </w:r>
      <w:r w:rsidRPr="00BA469B">
        <w:rPr>
          <w:rFonts w:ascii="Arial" w:hAnsi="Arial" w:cs="Arial"/>
          <w:i/>
          <w:iCs/>
        </w:rPr>
        <w:t>et al.,</w:t>
      </w:r>
      <w:r w:rsidRPr="00BA469B">
        <w:rPr>
          <w:rFonts w:ascii="Arial" w:hAnsi="Arial" w:cs="Arial"/>
        </w:rPr>
        <w:t xml:space="preserve"> 2018). The high reduction of coccidian FEC observed in the highest treatment group (38.38%) suggests that propolis may have strong anticoccidial properties when administered at adequate concentrations. Natural plant extracts rich in flavonoids have been reported to suppress </w:t>
      </w:r>
      <w:r w:rsidRPr="00BA469B">
        <w:rPr>
          <w:rFonts w:ascii="Arial" w:hAnsi="Arial" w:cs="Arial"/>
          <w:i/>
          <w:iCs/>
        </w:rPr>
        <w:t>Eimeria</w:t>
      </w:r>
      <w:r w:rsidRPr="00BA469B">
        <w:rPr>
          <w:rFonts w:ascii="Arial" w:hAnsi="Arial" w:cs="Arial"/>
        </w:rPr>
        <w:t xml:space="preserve"> multiplication and reduce oocyst shedding in poultry (Giannenas </w:t>
      </w:r>
      <w:r w:rsidRPr="00BA469B">
        <w:rPr>
          <w:rFonts w:ascii="Arial" w:hAnsi="Arial" w:cs="Arial"/>
          <w:i/>
          <w:iCs/>
        </w:rPr>
        <w:t>et al.,</w:t>
      </w:r>
      <w:r w:rsidRPr="00BA469B">
        <w:rPr>
          <w:rFonts w:ascii="Arial" w:hAnsi="Arial" w:cs="Arial"/>
        </w:rPr>
        <w:t xml:space="preserve"> 2014). However, the relatively low reduction observed in the control group suggests that without treatment, parasite infection remains relatively stable in poultry production systems. This highlights the importance of implementing alternative parasite control strategies such as natural feed additives.</w:t>
      </w:r>
    </w:p>
    <w:p w14:paraId="0EEB78D4" w14:textId="77777777" w:rsidR="00F31B94" w:rsidRPr="00BA469B" w:rsidRDefault="00F31B94" w:rsidP="00F31B94">
      <w:pPr>
        <w:pStyle w:val="Body"/>
        <w:spacing w:before="240" w:after="0"/>
        <w:rPr>
          <w:rFonts w:ascii="Arial" w:hAnsi="Arial" w:cs="Arial"/>
        </w:rPr>
      </w:pPr>
    </w:p>
    <w:p w14:paraId="7A871343" w14:textId="77777777" w:rsidR="00F31B94" w:rsidRPr="00BA469B" w:rsidRDefault="00F31B94" w:rsidP="00F31B94">
      <w:pPr>
        <w:pStyle w:val="Body"/>
        <w:spacing w:before="240"/>
        <w:rPr>
          <w:rFonts w:ascii="Arial" w:hAnsi="Arial" w:cs="Arial"/>
          <w:b/>
          <w:bCs/>
        </w:rPr>
      </w:pPr>
      <w:bookmarkStart w:id="18" w:name="_Toc102397146"/>
      <w:r w:rsidRPr="00BA469B">
        <w:rPr>
          <w:rFonts w:ascii="Arial" w:hAnsi="Arial" w:cs="Arial"/>
          <w:b/>
          <w:bCs/>
        </w:rPr>
        <w:t>Table 5:  The effect of different levels of propolis on Fecal Egg Count (FEC) broiler chickens</w:t>
      </w:r>
      <w:bookmarkEnd w:id="18"/>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718"/>
        <w:gridCol w:w="1632"/>
        <w:gridCol w:w="1766"/>
        <w:gridCol w:w="1660"/>
      </w:tblGrid>
      <w:tr w:rsidR="00F31B94" w:rsidRPr="00BA469B" w14:paraId="070D756C" w14:textId="77777777" w:rsidTr="002775DF">
        <w:tc>
          <w:tcPr>
            <w:tcW w:w="1596" w:type="dxa"/>
            <w:tcBorders>
              <w:top w:val="single" w:sz="4" w:space="0" w:color="auto"/>
              <w:bottom w:val="single" w:sz="4" w:space="0" w:color="auto"/>
            </w:tcBorders>
          </w:tcPr>
          <w:p w14:paraId="2AFADEA9" w14:textId="77777777" w:rsidR="00F31B94" w:rsidRPr="00BA469B" w:rsidRDefault="00F31B94" w:rsidP="00F31B94">
            <w:pPr>
              <w:pStyle w:val="Body"/>
              <w:spacing w:after="0"/>
              <w:rPr>
                <w:rFonts w:ascii="Arial" w:hAnsi="Arial" w:cs="Arial"/>
                <w:b/>
              </w:rPr>
            </w:pPr>
            <w:r w:rsidRPr="00BA469B">
              <w:rPr>
                <w:rFonts w:ascii="Arial" w:hAnsi="Arial" w:cs="Arial"/>
                <w:b/>
              </w:rPr>
              <w:t>Category</w:t>
            </w:r>
          </w:p>
        </w:tc>
        <w:tc>
          <w:tcPr>
            <w:tcW w:w="2022" w:type="dxa"/>
            <w:tcBorders>
              <w:top w:val="single" w:sz="4" w:space="0" w:color="auto"/>
              <w:bottom w:val="single" w:sz="4" w:space="0" w:color="auto"/>
            </w:tcBorders>
          </w:tcPr>
          <w:p w14:paraId="753CD3D4"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890" w:type="dxa"/>
            <w:tcBorders>
              <w:top w:val="single" w:sz="4" w:space="0" w:color="auto"/>
              <w:bottom w:val="single" w:sz="4" w:space="0" w:color="auto"/>
            </w:tcBorders>
          </w:tcPr>
          <w:p w14:paraId="3997756F" w14:textId="77777777" w:rsidR="00F31B94" w:rsidRPr="00BA469B" w:rsidRDefault="00F31B94" w:rsidP="00F31B94">
            <w:pPr>
              <w:pStyle w:val="Body"/>
              <w:spacing w:after="0"/>
              <w:rPr>
                <w:rFonts w:ascii="Arial" w:hAnsi="Arial" w:cs="Arial"/>
                <w:b/>
              </w:rPr>
            </w:pPr>
            <w:r w:rsidRPr="00BA469B">
              <w:rPr>
                <w:rFonts w:ascii="Arial" w:hAnsi="Arial" w:cs="Arial"/>
                <w:b/>
              </w:rPr>
              <w:t>Before treatment</w:t>
            </w:r>
          </w:p>
        </w:tc>
        <w:tc>
          <w:tcPr>
            <w:tcW w:w="2070" w:type="dxa"/>
            <w:tcBorders>
              <w:top w:val="single" w:sz="4" w:space="0" w:color="auto"/>
              <w:bottom w:val="single" w:sz="4" w:space="0" w:color="auto"/>
            </w:tcBorders>
          </w:tcPr>
          <w:p w14:paraId="02810243" w14:textId="77777777" w:rsidR="00F31B94" w:rsidRPr="00BA469B" w:rsidRDefault="00F31B94" w:rsidP="00F31B94">
            <w:pPr>
              <w:pStyle w:val="Body"/>
              <w:spacing w:after="0"/>
              <w:rPr>
                <w:rFonts w:ascii="Arial" w:hAnsi="Arial" w:cs="Arial"/>
                <w:b/>
              </w:rPr>
            </w:pPr>
            <w:r w:rsidRPr="00BA469B">
              <w:rPr>
                <w:rFonts w:ascii="Arial" w:hAnsi="Arial" w:cs="Arial"/>
                <w:b/>
              </w:rPr>
              <w:t>After Treatment</w:t>
            </w:r>
          </w:p>
        </w:tc>
        <w:tc>
          <w:tcPr>
            <w:tcW w:w="1890" w:type="dxa"/>
            <w:tcBorders>
              <w:top w:val="single" w:sz="4" w:space="0" w:color="auto"/>
              <w:bottom w:val="single" w:sz="4" w:space="0" w:color="auto"/>
            </w:tcBorders>
          </w:tcPr>
          <w:p w14:paraId="2A407D23" w14:textId="77777777" w:rsidR="00F31B94" w:rsidRPr="00BA469B" w:rsidRDefault="00F31B94" w:rsidP="00F31B94">
            <w:pPr>
              <w:pStyle w:val="Body"/>
              <w:spacing w:after="0"/>
              <w:rPr>
                <w:rFonts w:ascii="Arial" w:hAnsi="Arial" w:cs="Arial"/>
                <w:b/>
              </w:rPr>
            </w:pPr>
            <w:r w:rsidRPr="00BA469B">
              <w:rPr>
                <w:rFonts w:ascii="Arial" w:hAnsi="Arial" w:cs="Arial"/>
                <w:b/>
              </w:rPr>
              <w:t>% Reduction</w:t>
            </w:r>
          </w:p>
        </w:tc>
      </w:tr>
      <w:tr w:rsidR="00F31B94" w:rsidRPr="00BA469B" w14:paraId="01EA9161" w14:textId="77777777" w:rsidTr="002775DF">
        <w:tc>
          <w:tcPr>
            <w:tcW w:w="9468" w:type="dxa"/>
            <w:gridSpan w:val="5"/>
            <w:tcBorders>
              <w:top w:val="single" w:sz="4" w:space="0" w:color="auto"/>
            </w:tcBorders>
          </w:tcPr>
          <w:p w14:paraId="2A5E6237" w14:textId="77777777" w:rsidR="00F31B94" w:rsidRPr="00BA469B" w:rsidRDefault="00F31B94" w:rsidP="00F31B94">
            <w:pPr>
              <w:pStyle w:val="Body"/>
              <w:spacing w:after="0"/>
              <w:jc w:val="center"/>
              <w:rPr>
                <w:rFonts w:ascii="Arial" w:hAnsi="Arial" w:cs="Arial"/>
                <w:b/>
              </w:rPr>
            </w:pPr>
            <w:r w:rsidRPr="00BA469B">
              <w:rPr>
                <w:rFonts w:ascii="Arial" w:hAnsi="Arial" w:cs="Arial"/>
                <w:b/>
              </w:rPr>
              <w:t>Nematodes</w:t>
            </w:r>
          </w:p>
        </w:tc>
      </w:tr>
      <w:tr w:rsidR="00F31B94" w:rsidRPr="00BA469B" w14:paraId="0CBE3120" w14:textId="77777777" w:rsidTr="002775DF">
        <w:tc>
          <w:tcPr>
            <w:tcW w:w="1596" w:type="dxa"/>
          </w:tcPr>
          <w:p w14:paraId="1ED7EEF6" w14:textId="77777777" w:rsidR="00F31B94" w:rsidRPr="00BA469B" w:rsidRDefault="00F31B94" w:rsidP="00F31B94">
            <w:pPr>
              <w:pStyle w:val="Body"/>
              <w:spacing w:after="0"/>
              <w:rPr>
                <w:rFonts w:ascii="Arial" w:hAnsi="Arial" w:cs="Arial"/>
                <w:b/>
              </w:rPr>
            </w:pPr>
            <w:r w:rsidRPr="00BA469B">
              <w:rPr>
                <w:rFonts w:ascii="Arial" w:hAnsi="Arial" w:cs="Arial"/>
                <w:b/>
              </w:rPr>
              <w:t>Control</w:t>
            </w:r>
          </w:p>
        </w:tc>
        <w:tc>
          <w:tcPr>
            <w:tcW w:w="2022" w:type="dxa"/>
          </w:tcPr>
          <w:p w14:paraId="5CF71A1A"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0EB133E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27.20</w:t>
            </w:r>
            <w:r w:rsidRPr="00BA469B">
              <w:rPr>
                <w:rFonts w:ascii="Arial" w:hAnsi="Arial" w:cs="Arial"/>
                <w:vertAlign w:val="superscript"/>
              </w:rPr>
              <w:t>a</w:t>
            </w:r>
          </w:p>
        </w:tc>
        <w:tc>
          <w:tcPr>
            <w:tcW w:w="2070" w:type="dxa"/>
          </w:tcPr>
          <w:p w14:paraId="3F212AAA"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22.30</w:t>
            </w:r>
            <w:r w:rsidRPr="00BA469B">
              <w:rPr>
                <w:rFonts w:ascii="Arial" w:hAnsi="Arial" w:cs="Arial"/>
                <w:vertAlign w:val="superscript"/>
              </w:rPr>
              <w:t>b</w:t>
            </w:r>
          </w:p>
        </w:tc>
        <w:tc>
          <w:tcPr>
            <w:tcW w:w="1890" w:type="dxa"/>
          </w:tcPr>
          <w:p w14:paraId="766E9E5C" w14:textId="77777777" w:rsidR="00F31B94" w:rsidRPr="00BA469B" w:rsidRDefault="00F31B94" w:rsidP="00F31B94">
            <w:pPr>
              <w:pStyle w:val="Body"/>
              <w:spacing w:after="0"/>
              <w:rPr>
                <w:rFonts w:ascii="Arial" w:hAnsi="Arial" w:cs="Arial"/>
              </w:rPr>
            </w:pPr>
            <w:r w:rsidRPr="00BA469B">
              <w:rPr>
                <w:rFonts w:ascii="Arial" w:hAnsi="Arial" w:cs="Arial"/>
              </w:rPr>
              <w:t>18.01</w:t>
            </w:r>
          </w:p>
        </w:tc>
      </w:tr>
      <w:tr w:rsidR="00F31B94" w:rsidRPr="00BA469B" w14:paraId="1BD59546" w14:textId="77777777" w:rsidTr="002775DF">
        <w:tc>
          <w:tcPr>
            <w:tcW w:w="1596" w:type="dxa"/>
          </w:tcPr>
          <w:p w14:paraId="776F5C48"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2022" w:type="dxa"/>
          </w:tcPr>
          <w:p w14:paraId="06343730"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1C35D7D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20.40</w:t>
            </w:r>
            <w:r w:rsidRPr="00BA469B">
              <w:rPr>
                <w:rFonts w:ascii="Arial" w:hAnsi="Arial" w:cs="Arial"/>
                <w:vertAlign w:val="superscript"/>
              </w:rPr>
              <w:t>a</w:t>
            </w:r>
          </w:p>
        </w:tc>
        <w:tc>
          <w:tcPr>
            <w:tcW w:w="2070" w:type="dxa"/>
          </w:tcPr>
          <w:p w14:paraId="58A573A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16.70</w:t>
            </w:r>
            <w:r w:rsidRPr="00BA469B">
              <w:rPr>
                <w:rFonts w:ascii="Arial" w:hAnsi="Arial" w:cs="Arial"/>
                <w:vertAlign w:val="superscript"/>
              </w:rPr>
              <w:t>b</w:t>
            </w:r>
          </w:p>
        </w:tc>
        <w:tc>
          <w:tcPr>
            <w:tcW w:w="1890" w:type="dxa"/>
          </w:tcPr>
          <w:p w14:paraId="5E527168" w14:textId="77777777" w:rsidR="00F31B94" w:rsidRPr="00BA469B" w:rsidRDefault="00F31B94" w:rsidP="00F31B94">
            <w:pPr>
              <w:pStyle w:val="Body"/>
              <w:spacing w:after="0"/>
              <w:rPr>
                <w:rFonts w:ascii="Arial" w:hAnsi="Arial" w:cs="Arial"/>
              </w:rPr>
            </w:pPr>
            <w:r w:rsidRPr="00BA469B">
              <w:rPr>
                <w:rFonts w:ascii="Arial" w:hAnsi="Arial" w:cs="Arial"/>
              </w:rPr>
              <w:t>18.14</w:t>
            </w:r>
          </w:p>
        </w:tc>
      </w:tr>
      <w:tr w:rsidR="00F31B94" w:rsidRPr="00BA469B" w14:paraId="7FCBF6FE" w14:textId="77777777" w:rsidTr="002775DF">
        <w:tc>
          <w:tcPr>
            <w:tcW w:w="1596" w:type="dxa"/>
          </w:tcPr>
          <w:p w14:paraId="6BCC66E2"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2022" w:type="dxa"/>
          </w:tcPr>
          <w:p w14:paraId="1B93DEBF"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12D4F59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20.30</w:t>
            </w:r>
            <w:r w:rsidRPr="00BA469B">
              <w:rPr>
                <w:rFonts w:ascii="Arial" w:hAnsi="Arial" w:cs="Arial"/>
                <w:vertAlign w:val="superscript"/>
              </w:rPr>
              <w:t>a</w:t>
            </w:r>
          </w:p>
        </w:tc>
        <w:tc>
          <w:tcPr>
            <w:tcW w:w="2070" w:type="dxa"/>
          </w:tcPr>
          <w:p w14:paraId="0EDD8DA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16.40</w:t>
            </w:r>
            <w:r w:rsidRPr="00BA469B">
              <w:rPr>
                <w:rFonts w:ascii="Arial" w:hAnsi="Arial" w:cs="Arial"/>
                <w:vertAlign w:val="superscript"/>
              </w:rPr>
              <w:t>b</w:t>
            </w:r>
          </w:p>
        </w:tc>
        <w:tc>
          <w:tcPr>
            <w:tcW w:w="1890" w:type="dxa"/>
          </w:tcPr>
          <w:p w14:paraId="648FE834" w14:textId="77777777" w:rsidR="00F31B94" w:rsidRPr="00BA469B" w:rsidRDefault="00F31B94" w:rsidP="00F31B94">
            <w:pPr>
              <w:pStyle w:val="Body"/>
              <w:spacing w:after="0"/>
              <w:rPr>
                <w:rFonts w:ascii="Arial" w:hAnsi="Arial" w:cs="Arial"/>
              </w:rPr>
            </w:pPr>
            <w:r w:rsidRPr="00BA469B">
              <w:rPr>
                <w:rFonts w:ascii="Arial" w:hAnsi="Arial" w:cs="Arial"/>
              </w:rPr>
              <w:t>19.21</w:t>
            </w:r>
          </w:p>
        </w:tc>
      </w:tr>
      <w:tr w:rsidR="00F31B94" w:rsidRPr="00BA469B" w14:paraId="3CF7C30A" w14:textId="77777777" w:rsidTr="002775DF">
        <w:tc>
          <w:tcPr>
            <w:tcW w:w="1596" w:type="dxa"/>
          </w:tcPr>
          <w:p w14:paraId="4ECF61E3"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2022" w:type="dxa"/>
          </w:tcPr>
          <w:p w14:paraId="04EB25C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4C15BEE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19.70</w:t>
            </w:r>
            <w:r w:rsidRPr="00BA469B">
              <w:rPr>
                <w:rFonts w:ascii="Arial" w:hAnsi="Arial" w:cs="Arial"/>
                <w:vertAlign w:val="superscript"/>
              </w:rPr>
              <w:t>a</w:t>
            </w:r>
          </w:p>
        </w:tc>
        <w:tc>
          <w:tcPr>
            <w:tcW w:w="2070" w:type="dxa"/>
          </w:tcPr>
          <w:p w14:paraId="79497BC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14.90</w:t>
            </w:r>
            <w:r w:rsidRPr="00BA469B">
              <w:rPr>
                <w:rFonts w:ascii="Arial" w:hAnsi="Arial" w:cs="Arial"/>
                <w:vertAlign w:val="superscript"/>
              </w:rPr>
              <w:t>b</w:t>
            </w:r>
          </w:p>
        </w:tc>
        <w:tc>
          <w:tcPr>
            <w:tcW w:w="1890" w:type="dxa"/>
          </w:tcPr>
          <w:p w14:paraId="131F9084" w14:textId="77777777" w:rsidR="00F31B94" w:rsidRPr="00BA469B" w:rsidRDefault="00F31B94" w:rsidP="00F31B94">
            <w:pPr>
              <w:pStyle w:val="Body"/>
              <w:spacing w:after="0"/>
              <w:rPr>
                <w:rFonts w:ascii="Arial" w:hAnsi="Arial" w:cs="Arial"/>
              </w:rPr>
            </w:pPr>
            <w:r w:rsidRPr="00BA469B">
              <w:rPr>
                <w:rFonts w:ascii="Arial" w:hAnsi="Arial" w:cs="Arial"/>
              </w:rPr>
              <w:t>24.37</w:t>
            </w:r>
          </w:p>
        </w:tc>
      </w:tr>
      <w:tr w:rsidR="00F31B94" w:rsidRPr="00BA469B" w14:paraId="53D7287C" w14:textId="77777777" w:rsidTr="002775DF">
        <w:tc>
          <w:tcPr>
            <w:tcW w:w="9468" w:type="dxa"/>
            <w:gridSpan w:val="5"/>
          </w:tcPr>
          <w:p w14:paraId="08021B1F" w14:textId="77777777" w:rsidR="00F31B94" w:rsidRPr="00BA469B" w:rsidRDefault="00F31B94" w:rsidP="00F31B94">
            <w:pPr>
              <w:pStyle w:val="Body"/>
              <w:spacing w:after="0"/>
              <w:jc w:val="center"/>
              <w:rPr>
                <w:rFonts w:ascii="Arial" w:hAnsi="Arial" w:cs="Arial"/>
                <w:b/>
              </w:rPr>
            </w:pPr>
            <w:r w:rsidRPr="00BA469B">
              <w:rPr>
                <w:rFonts w:ascii="Arial" w:hAnsi="Arial" w:cs="Arial"/>
                <w:b/>
              </w:rPr>
              <w:t>Coccidia</w:t>
            </w:r>
          </w:p>
        </w:tc>
      </w:tr>
      <w:tr w:rsidR="00F31B94" w:rsidRPr="00BA469B" w14:paraId="70EF6640" w14:textId="77777777" w:rsidTr="002775DF">
        <w:tc>
          <w:tcPr>
            <w:tcW w:w="1596" w:type="dxa"/>
          </w:tcPr>
          <w:p w14:paraId="00390E0B" w14:textId="77777777" w:rsidR="00F31B94" w:rsidRPr="00BA469B" w:rsidRDefault="00F31B94" w:rsidP="00F31B94">
            <w:pPr>
              <w:pStyle w:val="Body"/>
              <w:spacing w:after="0"/>
              <w:rPr>
                <w:rFonts w:ascii="Arial" w:hAnsi="Arial" w:cs="Arial"/>
                <w:b/>
              </w:rPr>
            </w:pPr>
            <w:r w:rsidRPr="00BA469B">
              <w:rPr>
                <w:rFonts w:ascii="Arial" w:hAnsi="Arial" w:cs="Arial"/>
                <w:b/>
              </w:rPr>
              <w:t>Control</w:t>
            </w:r>
          </w:p>
        </w:tc>
        <w:tc>
          <w:tcPr>
            <w:tcW w:w="2022" w:type="dxa"/>
          </w:tcPr>
          <w:p w14:paraId="27DC6C2D"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4E2ECC5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43.70</w:t>
            </w:r>
            <w:r w:rsidRPr="00BA469B">
              <w:rPr>
                <w:rFonts w:ascii="Arial" w:hAnsi="Arial" w:cs="Arial"/>
                <w:vertAlign w:val="superscript"/>
              </w:rPr>
              <w:t>a</w:t>
            </w:r>
          </w:p>
        </w:tc>
        <w:tc>
          <w:tcPr>
            <w:tcW w:w="2070" w:type="dxa"/>
          </w:tcPr>
          <w:p w14:paraId="7461431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41.30</w:t>
            </w:r>
            <w:r w:rsidRPr="00BA469B">
              <w:rPr>
                <w:rFonts w:ascii="Arial" w:hAnsi="Arial" w:cs="Arial"/>
                <w:vertAlign w:val="superscript"/>
              </w:rPr>
              <w:t>a</w:t>
            </w:r>
          </w:p>
        </w:tc>
        <w:tc>
          <w:tcPr>
            <w:tcW w:w="1890" w:type="dxa"/>
          </w:tcPr>
          <w:p w14:paraId="52570F36" w14:textId="77777777" w:rsidR="00F31B94" w:rsidRPr="00BA469B" w:rsidRDefault="00F31B94" w:rsidP="00F31B94">
            <w:pPr>
              <w:pStyle w:val="Body"/>
              <w:spacing w:after="0"/>
              <w:rPr>
                <w:rFonts w:ascii="Arial" w:hAnsi="Arial" w:cs="Arial"/>
              </w:rPr>
            </w:pPr>
            <w:r w:rsidRPr="00BA469B">
              <w:rPr>
                <w:rFonts w:ascii="Arial" w:hAnsi="Arial" w:cs="Arial"/>
              </w:rPr>
              <w:t>5.49</w:t>
            </w:r>
          </w:p>
        </w:tc>
      </w:tr>
      <w:tr w:rsidR="00F31B94" w:rsidRPr="00BA469B" w14:paraId="38CF9A1E" w14:textId="77777777" w:rsidTr="002775DF">
        <w:tc>
          <w:tcPr>
            <w:tcW w:w="1596" w:type="dxa"/>
          </w:tcPr>
          <w:p w14:paraId="2B32AB13"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2022" w:type="dxa"/>
          </w:tcPr>
          <w:p w14:paraId="51D9BB4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28F1DE7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39.20</w:t>
            </w:r>
            <w:r w:rsidRPr="00BA469B">
              <w:rPr>
                <w:rFonts w:ascii="Arial" w:hAnsi="Arial" w:cs="Arial"/>
                <w:vertAlign w:val="superscript"/>
              </w:rPr>
              <w:t>a</w:t>
            </w:r>
          </w:p>
        </w:tc>
        <w:tc>
          <w:tcPr>
            <w:tcW w:w="2070" w:type="dxa"/>
          </w:tcPr>
          <w:p w14:paraId="61F169DA"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34.40</w:t>
            </w:r>
            <w:r w:rsidRPr="00BA469B">
              <w:rPr>
                <w:rFonts w:ascii="Arial" w:hAnsi="Arial" w:cs="Arial"/>
                <w:vertAlign w:val="superscript"/>
              </w:rPr>
              <w:t>b</w:t>
            </w:r>
          </w:p>
        </w:tc>
        <w:tc>
          <w:tcPr>
            <w:tcW w:w="1890" w:type="dxa"/>
          </w:tcPr>
          <w:p w14:paraId="0576C77C" w14:textId="77777777" w:rsidR="00F31B94" w:rsidRPr="00BA469B" w:rsidRDefault="00F31B94" w:rsidP="00F31B94">
            <w:pPr>
              <w:pStyle w:val="Body"/>
              <w:spacing w:after="0"/>
              <w:rPr>
                <w:rFonts w:ascii="Arial" w:hAnsi="Arial" w:cs="Arial"/>
              </w:rPr>
            </w:pPr>
            <w:r w:rsidRPr="00BA469B">
              <w:rPr>
                <w:rFonts w:ascii="Arial" w:hAnsi="Arial" w:cs="Arial"/>
              </w:rPr>
              <w:t>12.24</w:t>
            </w:r>
          </w:p>
        </w:tc>
      </w:tr>
      <w:tr w:rsidR="00F31B94" w:rsidRPr="00BA469B" w14:paraId="1BB55DED" w14:textId="77777777" w:rsidTr="002775DF">
        <w:tc>
          <w:tcPr>
            <w:tcW w:w="1596" w:type="dxa"/>
          </w:tcPr>
          <w:p w14:paraId="0F5841F9"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2022" w:type="dxa"/>
          </w:tcPr>
          <w:p w14:paraId="47E7B577"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1F295F1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33.10</w:t>
            </w:r>
            <w:r w:rsidRPr="00BA469B">
              <w:rPr>
                <w:rFonts w:ascii="Arial" w:hAnsi="Arial" w:cs="Arial"/>
                <w:vertAlign w:val="superscript"/>
              </w:rPr>
              <w:t>a</w:t>
            </w:r>
          </w:p>
        </w:tc>
        <w:tc>
          <w:tcPr>
            <w:tcW w:w="2070" w:type="dxa"/>
          </w:tcPr>
          <w:p w14:paraId="1130B19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29.50</w:t>
            </w:r>
            <w:r w:rsidRPr="00BA469B">
              <w:rPr>
                <w:rFonts w:ascii="Arial" w:hAnsi="Arial" w:cs="Arial"/>
                <w:vertAlign w:val="superscript"/>
              </w:rPr>
              <w:t>b</w:t>
            </w:r>
          </w:p>
        </w:tc>
        <w:tc>
          <w:tcPr>
            <w:tcW w:w="1890" w:type="dxa"/>
          </w:tcPr>
          <w:p w14:paraId="1418EFD4" w14:textId="77777777" w:rsidR="00F31B94" w:rsidRPr="00BA469B" w:rsidRDefault="00F31B94" w:rsidP="00F31B94">
            <w:pPr>
              <w:pStyle w:val="Body"/>
              <w:spacing w:after="0"/>
              <w:rPr>
                <w:rFonts w:ascii="Arial" w:hAnsi="Arial" w:cs="Arial"/>
              </w:rPr>
            </w:pPr>
            <w:r w:rsidRPr="00BA469B">
              <w:rPr>
                <w:rFonts w:ascii="Arial" w:hAnsi="Arial" w:cs="Arial"/>
              </w:rPr>
              <w:t>10.88</w:t>
            </w:r>
          </w:p>
        </w:tc>
      </w:tr>
      <w:tr w:rsidR="00F31B94" w:rsidRPr="00BA469B" w14:paraId="14446D8D" w14:textId="77777777" w:rsidTr="002775DF">
        <w:tc>
          <w:tcPr>
            <w:tcW w:w="1596" w:type="dxa"/>
          </w:tcPr>
          <w:p w14:paraId="17E112A2"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2022" w:type="dxa"/>
          </w:tcPr>
          <w:p w14:paraId="309499E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4FE136F1"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28.40</w:t>
            </w:r>
            <w:r w:rsidRPr="00BA469B">
              <w:rPr>
                <w:rFonts w:ascii="Arial" w:hAnsi="Arial" w:cs="Arial"/>
                <w:vertAlign w:val="superscript"/>
              </w:rPr>
              <w:t>a</w:t>
            </w:r>
          </w:p>
        </w:tc>
        <w:tc>
          <w:tcPr>
            <w:tcW w:w="2070" w:type="dxa"/>
          </w:tcPr>
          <w:p w14:paraId="0E05975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17.50</w:t>
            </w:r>
            <w:r w:rsidRPr="00BA469B">
              <w:rPr>
                <w:rFonts w:ascii="Arial" w:hAnsi="Arial" w:cs="Arial"/>
                <w:vertAlign w:val="superscript"/>
              </w:rPr>
              <w:t>b</w:t>
            </w:r>
          </w:p>
        </w:tc>
        <w:tc>
          <w:tcPr>
            <w:tcW w:w="1890" w:type="dxa"/>
          </w:tcPr>
          <w:p w14:paraId="078BABA4" w14:textId="77777777" w:rsidR="00F31B94" w:rsidRPr="00BA469B" w:rsidRDefault="00F31B94" w:rsidP="00F31B94">
            <w:pPr>
              <w:pStyle w:val="Body"/>
              <w:spacing w:after="0"/>
              <w:rPr>
                <w:rFonts w:ascii="Arial" w:hAnsi="Arial" w:cs="Arial"/>
              </w:rPr>
            </w:pPr>
            <w:r w:rsidRPr="00BA469B">
              <w:rPr>
                <w:rFonts w:ascii="Arial" w:hAnsi="Arial" w:cs="Arial"/>
              </w:rPr>
              <w:t>38.38</w:t>
            </w:r>
          </w:p>
        </w:tc>
      </w:tr>
    </w:tbl>
    <w:p w14:paraId="202B6BD4" w14:textId="77777777" w:rsidR="00F31B94" w:rsidRPr="00BA469B" w:rsidRDefault="00F31B94" w:rsidP="00F31B94">
      <w:pPr>
        <w:pStyle w:val="Body"/>
        <w:spacing w:before="240"/>
        <w:rPr>
          <w:rFonts w:ascii="Arial" w:hAnsi="Arial" w:cs="Arial"/>
          <w:bCs/>
        </w:rPr>
      </w:pPr>
      <w:r w:rsidRPr="00BA469B">
        <w:rPr>
          <w:rFonts w:ascii="Arial" w:hAnsi="Arial" w:cs="Arial"/>
          <w:bCs/>
          <w:i/>
          <w:iCs/>
        </w:rPr>
        <w:t>a, b,</w:t>
      </w:r>
      <w:r w:rsidRPr="00BA469B">
        <w:rPr>
          <w:rFonts w:ascii="Arial" w:hAnsi="Arial" w:cs="Arial"/>
          <w:bCs/>
        </w:rPr>
        <w:t xml:space="preserve">  Means in the same column with different superscripts, differ significantly (p&lt;0.05). Sig. = Significance= (P&lt;0.05). SEM = Standard Error Mean</w:t>
      </w:r>
    </w:p>
    <w:p w14:paraId="3CD460EF"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3.5 Efficacy of Propolis on Gastrointestinal Parasites in Broiler Chickens</w:t>
      </w:r>
    </w:p>
    <w:p w14:paraId="3A977E27" w14:textId="77777777" w:rsidR="00F31B94" w:rsidRPr="00BA469B" w:rsidRDefault="00F31B94" w:rsidP="00F31B94">
      <w:pPr>
        <w:pStyle w:val="Body"/>
        <w:spacing w:before="240" w:after="0"/>
        <w:rPr>
          <w:rFonts w:ascii="Arial" w:hAnsi="Arial" w:cs="Arial"/>
        </w:rPr>
      </w:pPr>
      <w:r w:rsidRPr="00BA469B">
        <w:rPr>
          <w:rFonts w:ascii="Arial" w:hAnsi="Arial" w:cs="Arial"/>
        </w:rPr>
        <w:t xml:space="preserve">he results presented in Table 6 demonstrate the overall efficacy of propolis supplementation in reducing gastrointestinal parasite infections in broiler chickens. The study recorded significant reductions of 84.95% and 80.27% in parasite abundance during the first and second treatment periods, respectively. These results suggest that propolis possesses strong antiparasitic activity and may serve as a natural alternative to synthetic anthelmintic drugs. The antiparasitic effects of propolis are largely attributed to its bioactive compounds, including flavonoids, phenolic acids, and aromatic compounds. These compounds exhibit antimicrobial, antiparasitic, and immunostimulatory properties (Bankova </w:t>
      </w:r>
      <w:r w:rsidRPr="00BA469B">
        <w:rPr>
          <w:rFonts w:ascii="Arial" w:hAnsi="Arial" w:cs="Arial"/>
          <w:i/>
          <w:iCs/>
        </w:rPr>
        <w:t>et al</w:t>
      </w:r>
      <w:r w:rsidRPr="00BA469B">
        <w:rPr>
          <w:rFonts w:ascii="Arial" w:hAnsi="Arial" w:cs="Arial"/>
        </w:rPr>
        <w:t>., 2014)</w:t>
      </w:r>
      <w:r w:rsidRPr="00BA469B">
        <w:rPr>
          <w:rFonts w:ascii="Arial" w:hAnsi="Arial" w:cs="Arial"/>
          <w:b/>
          <w:bCs/>
        </w:rPr>
        <w:t>.</w:t>
      </w:r>
      <w:r w:rsidRPr="00BA469B">
        <w:rPr>
          <w:rFonts w:ascii="Arial" w:hAnsi="Arial" w:cs="Arial"/>
        </w:rPr>
        <w:t xml:space="preserve"> Furthermore, propolis has been reported to enhance immune function in poultry by stimulating antibody production and improving intestinal health. Zafarnejad </w:t>
      </w:r>
      <w:r w:rsidRPr="00BA469B">
        <w:rPr>
          <w:rFonts w:ascii="Arial" w:hAnsi="Arial" w:cs="Arial"/>
          <w:i/>
          <w:iCs/>
        </w:rPr>
        <w:t>et al</w:t>
      </w:r>
      <w:r w:rsidRPr="00BA469B">
        <w:rPr>
          <w:rFonts w:ascii="Arial" w:hAnsi="Arial" w:cs="Arial"/>
        </w:rPr>
        <w:t xml:space="preserve">. (2017) reported that propolis supplementation improved immune response and growth performance in broiler chickens. The ability of propolis to enhance immunity may contribute to the reduction of parasite infections observed in this </w:t>
      </w:r>
      <w:r w:rsidRPr="00BA469B">
        <w:rPr>
          <w:rFonts w:ascii="Arial" w:hAnsi="Arial" w:cs="Arial"/>
        </w:rPr>
        <w:lastRenderedPageBreak/>
        <w:t xml:space="preserve">study. According to Attia </w:t>
      </w:r>
      <w:r w:rsidRPr="00BA469B">
        <w:rPr>
          <w:rFonts w:ascii="Arial" w:hAnsi="Arial" w:cs="Arial"/>
          <w:i/>
          <w:iCs/>
        </w:rPr>
        <w:t>et al.</w:t>
      </w:r>
      <w:r w:rsidRPr="00BA469B">
        <w:rPr>
          <w:rFonts w:ascii="Arial" w:hAnsi="Arial" w:cs="Arial"/>
        </w:rPr>
        <w:t xml:space="preserve"> (2014)</w:t>
      </w:r>
      <w:r w:rsidRPr="00BA469B">
        <w:rPr>
          <w:rFonts w:ascii="Arial" w:hAnsi="Arial" w:cs="Arial"/>
          <w:b/>
          <w:bCs/>
        </w:rPr>
        <w:t>,</w:t>
      </w:r>
      <w:r w:rsidRPr="00BA469B">
        <w:rPr>
          <w:rFonts w:ascii="Arial" w:hAnsi="Arial" w:cs="Arial"/>
        </w:rPr>
        <w:t xml:space="preserve"> propolis improves gut health, strengthens intestinal barriers, and increases resistance against pathogens and parasites.</w:t>
      </w:r>
    </w:p>
    <w:p w14:paraId="60CF6307" w14:textId="77777777" w:rsidR="00F31B94" w:rsidRPr="00BA469B" w:rsidRDefault="00F31B94" w:rsidP="00F31B94">
      <w:pPr>
        <w:pStyle w:val="Body"/>
        <w:spacing w:before="240"/>
        <w:rPr>
          <w:rFonts w:ascii="Arial" w:hAnsi="Arial" w:cs="Arial"/>
          <w:b/>
          <w:bCs/>
        </w:rPr>
      </w:pPr>
      <w:bookmarkStart w:id="19" w:name="_Toc102397147"/>
      <w:r w:rsidRPr="00BA469B">
        <w:rPr>
          <w:rFonts w:ascii="Arial" w:hAnsi="Arial" w:cs="Arial"/>
          <w:b/>
          <w:bCs/>
        </w:rPr>
        <w:t>Table 6: Efficacy of propolis on gastrointestinal parasites in broiler chickens</w:t>
      </w:r>
      <w:bookmarkEnd w:id="19"/>
    </w:p>
    <w:tbl>
      <w:tblPr>
        <w:tblW w:w="0" w:type="auto"/>
        <w:tblInd w:w="10" w:type="dxa"/>
        <w:tblCellMar>
          <w:left w:w="10" w:type="dxa"/>
          <w:right w:w="10" w:type="dxa"/>
        </w:tblCellMar>
        <w:tblLook w:val="04A0" w:firstRow="1" w:lastRow="0" w:firstColumn="1" w:lastColumn="0" w:noHBand="0" w:noVBand="1"/>
      </w:tblPr>
      <w:tblGrid>
        <w:gridCol w:w="1491"/>
        <w:gridCol w:w="1782"/>
        <w:gridCol w:w="1285"/>
        <w:gridCol w:w="1389"/>
        <w:gridCol w:w="1510"/>
        <w:gridCol w:w="741"/>
      </w:tblGrid>
      <w:tr w:rsidR="00F31B94" w:rsidRPr="00BA469B" w14:paraId="0AD8811B" w14:textId="77777777" w:rsidTr="002775DF">
        <w:tc>
          <w:tcPr>
            <w:tcW w:w="1679" w:type="dxa"/>
            <w:tcBorders>
              <w:top w:val="single" w:sz="4" w:space="0" w:color="auto"/>
              <w:bottom w:val="single" w:sz="4" w:space="0" w:color="auto"/>
            </w:tcBorders>
          </w:tcPr>
          <w:p w14:paraId="0F16DA9D" w14:textId="77777777" w:rsidR="00F31B94" w:rsidRPr="00BA469B" w:rsidRDefault="00F31B94" w:rsidP="00F31B94">
            <w:pPr>
              <w:pStyle w:val="Body"/>
              <w:spacing w:before="240"/>
              <w:rPr>
                <w:rFonts w:ascii="Arial" w:hAnsi="Arial" w:cs="Arial"/>
                <w:b/>
              </w:rPr>
            </w:pPr>
            <w:r w:rsidRPr="00BA469B">
              <w:rPr>
                <w:rFonts w:ascii="Arial" w:hAnsi="Arial" w:cs="Arial"/>
                <w:b/>
              </w:rPr>
              <w:t>Treatment</w:t>
            </w:r>
          </w:p>
        </w:tc>
        <w:tc>
          <w:tcPr>
            <w:tcW w:w="2149" w:type="dxa"/>
            <w:tcBorders>
              <w:top w:val="single" w:sz="4" w:space="0" w:color="auto"/>
              <w:bottom w:val="single" w:sz="4" w:space="0" w:color="auto"/>
            </w:tcBorders>
          </w:tcPr>
          <w:p w14:paraId="7ACD6F0E" w14:textId="77777777" w:rsidR="00F31B94" w:rsidRPr="00BA469B" w:rsidRDefault="00F31B94" w:rsidP="00F31B94">
            <w:pPr>
              <w:pStyle w:val="Body"/>
              <w:spacing w:before="240"/>
              <w:rPr>
                <w:rFonts w:ascii="Arial" w:hAnsi="Arial" w:cs="Arial"/>
                <w:b/>
              </w:rPr>
            </w:pPr>
            <w:r w:rsidRPr="00BA469B">
              <w:rPr>
                <w:rFonts w:ascii="Arial" w:hAnsi="Arial" w:cs="Arial"/>
                <w:b/>
              </w:rPr>
              <w:t>Number of Animals</w:t>
            </w:r>
          </w:p>
        </w:tc>
        <w:tc>
          <w:tcPr>
            <w:tcW w:w="1417" w:type="dxa"/>
            <w:tcBorders>
              <w:top w:val="single" w:sz="4" w:space="0" w:color="auto"/>
              <w:bottom w:val="single" w:sz="4" w:space="0" w:color="auto"/>
            </w:tcBorders>
          </w:tcPr>
          <w:p w14:paraId="362A6ADE" w14:textId="77777777" w:rsidR="00F31B94" w:rsidRPr="00BA469B" w:rsidRDefault="00F31B94" w:rsidP="00F31B94">
            <w:pPr>
              <w:pStyle w:val="Body"/>
              <w:spacing w:before="240"/>
              <w:rPr>
                <w:rFonts w:ascii="Arial" w:hAnsi="Arial" w:cs="Arial"/>
                <w:b/>
              </w:rPr>
            </w:pPr>
            <w:r w:rsidRPr="00BA469B">
              <w:rPr>
                <w:rFonts w:ascii="Arial" w:hAnsi="Arial" w:cs="Arial"/>
                <w:b/>
              </w:rPr>
              <w:t>Before treatment</w:t>
            </w:r>
          </w:p>
        </w:tc>
        <w:tc>
          <w:tcPr>
            <w:tcW w:w="1559" w:type="dxa"/>
            <w:tcBorders>
              <w:top w:val="single" w:sz="4" w:space="0" w:color="auto"/>
              <w:bottom w:val="single" w:sz="4" w:space="0" w:color="auto"/>
            </w:tcBorders>
          </w:tcPr>
          <w:p w14:paraId="14528704" w14:textId="77777777" w:rsidR="00F31B94" w:rsidRPr="00BA469B" w:rsidRDefault="00F31B94" w:rsidP="00F31B94">
            <w:pPr>
              <w:pStyle w:val="Body"/>
              <w:spacing w:before="240"/>
              <w:rPr>
                <w:rFonts w:ascii="Arial" w:hAnsi="Arial" w:cs="Arial"/>
                <w:b/>
              </w:rPr>
            </w:pPr>
            <w:r w:rsidRPr="00BA469B">
              <w:rPr>
                <w:rFonts w:ascii="Arial" w:hAnsi="Arial" w:cs="Arial"/>
                <w:b/>
              </w:rPr>
              <w:t>After treatment</w:t>
            </w:r>
          </w:p>
        </w:tc>
        <w:tc>
          <w:tcPr>
            <w:tcW w:w="1701" w:type="dxa"/>
            <w:tcBorders>
              <w:top w:val="single" w:sz="4" w:space="0" w:color="auto"/>
              <w:bottom w:val="single" w:sz="4" w:space="0" w:color="auto"/>
            </w:tcBorders>
          </w:tcPr>
          <w:p w14:paraId="3D12590E" w14:textId="77777777" w:rsidR="00F31B94" w:rsidRPr="00BA469B" w:rsidRDefault="00F31B94" w:rsidP="00F31B94">
            <w:pPr>
              <w:pStyle w:val="Body"/>
              <w:spacing w:before="240"/>
              <w:rPr>
                <w:rFonts w:ascii="Arial" w:hAnsi="Arial" w:cs="Arial"/>
                <w:b/>
              </w:rPr>
            </w:pPr>
            <w:r w:rsidRPr="00BA469B">
              <w:rPr>
                <w:rFonts w:ascii="Arial" w:hAnsi="Arial" w:cs="Arial"/>
                <w:b/>
              </w:rPr>
              <w:t>% Reduction</w:t>
            </w:r>
          </w:p>
        </w:tc>
        <w:tc>
          <w:tcPr>
            <w:tcW w:w="865" w:type="dxa"/>
            <w:tcBorders>
              <w:top w:val="single" w:sz="4" w:space="0" w:color="auto"/>
              <w:bottom w:val="single" w:sz="4" w:space="0" w:color="auto"/>
            </w:tcBorders>
          </w:tcPr>
          <w:p w14:paraId="03EF3532" w14:textId="77777777" w:rsidR="00F31B94" w:rsidRPr="00BA469B" w:rsidRDefault="00F31B94" w:rsidP="00F31B94">
            <w:pPr>
              <w:pStyle w:val="Body"/>
              <w:spacing w:before="240"/>
              <w:rPr>
                <w:rFonts w:ascii="Arial" w:hAnsi="Arial" w:cs="Arial"/>
                <w:b/>
              </w:rPr>
            </w:pPr>
            <w:r w:rsidRPr="00BA469B">
              <w:rPr>
                <w:rFonts w:ascii="Arial" w:hAnsi="Arial" w:cs="Arial"/>
                <w:b/>
              </w:rPr>
              <w:t>Sig.</w:t>
            </w:r>
          </w:p>
        </w:tc>
      </w:tr>
      <w:tr w:rsidR="00F31B94" w:rsidRPr="00BA469B" w14:paraId="35E38F05" w14:textId="77777777" w:rsidTr="002775DF">
        <w:tc>
          <w:tcPr>
            <w:tcW w:w="1679" w:type="dxa"/>
            <w:tcBorders>
              <w:top w:val="single" w:sz="4" w:space="0" w:color="auto"/>
            </w:tcBorders>
          </w:tcPr>
          <w:p w14:paraId="2EDD964B" w14:textId="77777777" w:rsidR="00F31B94" w:rsidRPr="00BA469B" w:rsidRDefault="00F31B94" w:rsidP="00F31B94">
            <w:pPr>
              <w:pStyle w:val="Body"/>
              <w:spacing w:before="240"/>
              <w:rPr>
                <w:rFonts w:ascii="Arial" w:hAnsi="Arial" w:cs="Arial"/>
                <w:b/>
                <w:vertAlign w:val="superscript"/>
              </w:rPr>
            </w:pPr>
            <w:r w:rsidRPr="00BA469B">
              <w:rPr>
                <w:rFonts w:ascii="Arial" w:hAnsi="Arial" w:cs="Arial"/>
                <w:b/>
              </w:rPr>
              <w:t>1</w:t>
            </w:r>
            <w:r w:rsidRPr="00BA469B">
              <w:rPr>
                <w:rFonts w:ascii="Arial" w:hAnsi="Arial" w:cs="Arial"/>
                <w:b/>
                <w:vertAlign w:val="superscript"/>
              </w:rPr>
              <w:t>st</w:t>
            </w:r>
          </w:p>
        </w:tc>
        <w:tc>
          <w:tcPr>
            <w:tcW w:w="2149" w:type="dxa"/>
            <w:tcBorders>
              <w:top w:val="single" w:sz="4" w:space="0" w:color="auto"/>
            </w:tcBorders>
          </w:tcPr>
          <w:p w14:paraId="05DB788B" w14:textId="77777777" w:rsidR="00F31B94" w:rsidRPr="00BA469B" w:rsidRDefault="00F31B94" w:rsidP="00F31B94">
            <w:pPr>
              <w:pStyle w:val="Body"/>
              <w:spacing w:before="240"/>
              <w:rPr>
                <w:rFonts w:ascii="Arial" w:hAnsi="Arial" w:cs="Arial"/>
              </w:rPr>
            </w:pPr>
            <w:r w:rsidRPr="00BA469B">
              <w:rPr>
                <w:rFonts w:ascii="Arial" w:hAnsi="Arial" w:cs="Arial"/>
              </w:rPr>
              <w:t>360</w:t>
            </w:r>
          </w:p>
        </w:tc>
        <w:tc>
          <w:tcPr>
            <w:tcW w:w="1417" w:type="dxa"/>
            <w:tcBorders>
              <w:top w:val="single" w:sz="4" w:space="0" w:color="auto"/>
            </w:tcBorders>
          </w:tcPr>
          <w:p w14:paraId="4FAC0FF0"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36.10</w:t>
            </w:r>
            <w:r w:rsidRPr="00BA469B">
              <w:rPr>
                <w:rFonts w:ascii="Arial" w:hAnsi="Arial" w:cs="Arial"/>
                <w:vertAlign w:val="superscript"/>
              </w:rPr>
              <w:t>a</w:t>
            </w:r>
          </w:p>
        </w:tc>
        <w:tc>
          <w:tcPr>
            <w:tcW w:w="1559" w:type="dxa"/>
            <w:tcBorders>
              <w:top w:val="single" w:sz="4" w:space="0" w:color="auto"/>
            </w:tcBorders>
          </w:tcPr>
          <w:p w14:paraId="16EC40CF"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30.67</w:t>
            </w:r>
            <w:r w:rsidRPr="00BA469B">
              <w:rPr>
                <w:rFonts w:ascii="Arial" w:hAnsi="Arial" w:cs="Arial"/>
                <w:vertAlign w:val="superscript"/>
              </w:rPr>
              <w:t>b</w:t>
            </w:r>
          </w:p>
        </w:tc>
        <w:tc>
          <w:tcPr>
            <w:tcW w:w="1701" w:type="dxa"/>
            <w:tcBorders>
              <w:top w:val="single" w:sz="4" w:space="0" w:color="auto"/>
            </w:tcBorders>
          </w:tcPr>
          <w:p w14:paraId="007EF7C8" w14:textId="77777777" w:rsidR="00F31B94" w:rsidRPr="00BA469B" w:rsidRDefault="00F31B94" w:rsidP="00F31B94">
            <w:pPr>
              <w:pStyle w:val="Body"/>
              <w:spacing w:before="240"/>
              <w:rPr>
                <w:rFonts w:ascii="Arial" w:hAnsi="Arial" w:cs="Arial"/>
              </w:rPr>
            </w:pPr>
            <w:r w:rsidRPr="00BA469B">
              <w:rPr>
                <w:rFonts w:ascii="Arial" w:hAnsi="Arial" w:cs="Arial"/>
              </w:rPr>
              <w:t>84.95</w:t>
            </w:r>
          </w:p>
        </w:tc>
        <w:tc>
          <w:tcPr>
            <w:tcW w:w="865" w:type="dxa"/>
            <w:tcBorders>
              <w:top w:val="single" w:sz="4" w:space="0" w:color="auto"/>
            </w:tcBorders>
          </w:tcPr>
          <w:p w14:paraId="21F45813" w14:textId="77777777" w:rsidR="00F31B94" w:rsidRPr="00BA469B" w:rsidRDefault="00F31B94" w:rsidP="00F31B94">
            <w:pPr>
              <w:pStyle w:val="Body"/>
              <w:spacing w:before="240"/>
              <w:rPr>
                <w:rFonts w:ascii="Arial" w:hAnsi="Arial" w:cs="Arial"/>
              </w:rPr>
            </w:pPr>
            <w:r w:rsidRPr="00BA469B">
              <w:rPr>
                <w:rFonts w:ascii="Arial" w:hAnsi="Arial" w:cs="Arial"/>
              </w:rPr>
              <w:t>0.00</w:t>
            </w:r>
          </w:p>
        </w:tc>
      </w:tr>
      <w:tr w:rsidR="00F31B94" w:rsidRPr="00BA469B" w14:paraId="10F1F8A5" w14:textId="77777777" w:rsidTr="002775DF">
        <w:tc>
          <w:tcPr>
            <w:tcW w:w="1679" w:type="dxa"/>
            <w:tcBorders>
              <w:bottom w:val="single" w:sz="4" w:space="0" w:color="auto"/>
            </w:tcBorders>
          </w:tcPr>
          <w:p w14:paraId="75F2880B" w14:textId="77777777" w:rsidR="00F31B94" w:rsidRPr="00BA469B" w:rsidRDefault="00F31B94" w:rsidP="00F31B94">
            <w:pPr>
              <w:pStyle w:val="Body"/>
              <w:spacing w:before="240"/>
              <w:rPr>
                <w:rFonts w:ascii="Arial" w:hAnsi="Arial" w:cs="Arial"/>
                <w:b/>
                <w:vertAlign w:val="superscript"/>
              </w:rPr>
            </w:pPr>
            <w:r w:rsidRPr="00BA469B">
              <w:rPr>
                <w:rFonts w:ascii="Arial" w:hAnsi="Arial" w:cs="Arial"/>
                <w:b/>
              </w:rPr>
              <w:t>2</w:t>
            </w:r>
            <w:r w:rsidRPr="00BA469B">
              <w:rPr>
                <w:rFonts w:ascii="Arial" w:hAnsi="Arial" w:cs="Arial"/>
                <w:b/>
                <w:vertAlign w:val="superscript"/>
              </w:rPr>
              <w:t>nd</w:t>
            </w:r>
          </w:p>
        </w:tc>
        <w:tc>
          <w:tcPr>
            <w:tcW w:w="2149" w:type="dxa"/>
            <w:tcBorders>
              <w:bottom w:val="single" w:sz="4" w:space="0" w:color="auto"/>
            </w:tcBorders>
          </w:tcPr>
          <w:p w14:paraId="745A129E" w14:textId="77777777" w:rsidR="00F31B94" w:rsidRPr="00BA469B" w:rsidRDefault="00F31B94" w:rsidP="00F31B94">
            <w:pPr>
              <w:pStyle w:val="Body"/>
              <w:spacing w:before="240"/>
              <w:rPr>
                <w:rFonts w:ascii="Arial" w:hAnsi="Arial" w:cs="Arial"/>
              </w:rPr>
            </w:pPr>
            <w:r w:rsidRPr="00BA469B">
              <w:rPr>
                <w:rFonts w:ascii="Arial" w:hAnsi="Arial" w:cs="Arial"/>
              </w:rPr>
              <w:t>360</w:t>
            </w:r>
          </w:p>
        </w:tc>
        <w:tc>
          <w:tcPr>
            <w:tcW w:w="1417" w:type="dxa"/>
            <w:tcBorders>
              <w:bottom w:val="single" w:sz="4" w:space="0" w:color="auto"/>
            </w:tcBorders>
          </w:tcPr>
          <w:p w14:paraId="3E8924B8"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21.9</w:t>
            </w:r>
            <w:r w:rsidRPr="00BA469B">
              <w:rPr>
                <w:rFonts w:ascii="Arial" w:hAnsi="Arial" w:cs="Arial"/>
                <w:vertAlign w:val="superscript"/>
              </w:rPr>
              <w:t>a</w:t>
            </w:r>
          </w:p>
        </w:tc>
        <w:tc>
          <w:tcPr>
            <w:tcW w:w="1559" w:type="dxa"/>
            <w:tcBorders>
              <w:bottom w:val="single" w:sz="4" w:space="0" w:color="auto"/>
            </w:tcBorders>
          </w:tcPr>
          <w:p w14:paraId="2E528149"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17.58</w:t>
            </w:r>
            <w:r w:rsidRPr="00BA469B">
              <w:rPr>
                <w:rFonts w:ascii="Arial" w:hAnsi="Arial" w:cs="Arial"/>
                <w:vertAlign w:val="superscript"/>
              </w:rPr>
              <w:t>b</w:t>
            </w:r>
          </w:p>
        </w:tc>
        <w:tc>
          <w:tcPr>
            <w:tcW w:w="1701" w:type="dxa"/>
            <w:tcBorders>
              <w:bottom w:val="single" w:sz="4" w:space="0" w:color="auto"/>
            </w:tcBorders>
          </w:tcPr>
          <w:p w14:paraId="2E368A36" w14:textId="77777777" w:rsidR="00F31B94" w:rsidRPr="00BA469B" w:rsidRDefault="00F31B94" w:rsidP="00F31B94">
            <w:pPr>
              <w:pStyle w:val="Body"/>
              <w:spacing w:before="240"/>
              <w:rPr>
                <w:rFonts w:ascii="Arial" w:hAnsi="Arial" w:cs="Arial"/>
              </w:rPr>
            </w:pPr>
            <w:r w:rsidRPr="00BA469B">
              <w:rPr>
                <w:rFonts w:ascii="Arial" w:hAnsi="Arial" w:cs="Arial"/>
              </w:rPr>
              <w:t>80.27</w:t>
            </w:r>
          </w:p>
        </w:tc>
        <w:tc>
          <w:tcPr>
            <w:tcW w:w="865" w:type="dxa"/>
            <w:tcBorders>
              <w:bottom w:val="single" w:sz="4" w:space="0" w:color="auto"/>
            </w:tcBorders>
          </w:tcPr>
          <w:p w14:paraId="7D611866" w14:textId="77777777" w:rsidR="00F31B94" w:rsidRPr="00BA469B" w:rsidRDefault="00F31B94" w:rsidP="00F31B94">
            <w:pPr>
              <w:pStyle w:val="Body"/>
              <w:spacing w:before="240"/>
              <w:rPr>
                <w:rFonts w:ascii="Arial" w:hAnsi="Arial" w:cs="Arial"/>
              </w:rPr>
            </w:pPr>
            <w:r w:rsidRPr="00BA469B">
              <w:rPr>
                <w:rFonts w:ascii="Arial" w:hAnsi="Arial" w:cs="Arial"/>
              </w:rPr>
              <w:t>0.00</w:t>
            </w:r>
          </w:p>
        </w:tc>
      </w:tr>
    </w:tbl>
    <w:p w14:paraId="2DDC8186" w14:textId="77777777" w:rsidR="00F31B94" w:rsidRPr="00BA469B" w:rsidRDefault="00F31B94" w:rsidP="00F31B94">
      <w:pPr>
        <w:pStyle w:val="Body"/>
        <w:spacing w:before="240"/>
        <w:rPr>
          <w:rFonts w:ascii="Arial" w:hAnsi="Arial" w:cs="Arial"/>
          <w:bCs/>
        </w:rPr>
      </w:pPr>
      <w:r w:rsidRPr="00BA469B">
        <w:rPr>
          <w:rFonts w:ascii="Arial" w:hAnsi="Arial" w:cs="Arial"/>
          <w:bCs/>
          <w:i/>
          <w:iCs/>
        </w:rPr>
        <w:t>a, b,</w:t>
      </w:r>
      <w:r w:rsidRPr="00BA469B">
        <w:rPr>
          <w:rFonts w:ascii="Arial" w:hAnsi="Arial" w:cs="Arial"/>
          <w:bCs/>
        </w:rPr>
        <w:t xml:space="preserve">  Means in the same column with different superscripts, differ significantly (p&lt;0.05). Sig. = Significance= (P&lt;0.05)</w:t>
      </w:r>
    </w:p>
    <w:p w14:paraId="7F61B244" w14:textId="77777777" w:rsidR="00F31B94" w:rsidRPr="00BA469B" w:rsidRDefault="00F31B94" w:rsidP="00F31B94">
      <w:pPr>
        <w:pStyle w:val="Body"/>
        <w:spacing w:before="240"/>
        <w:rPr>
          <w:rFonts w:ascii="Arial" w:hAnsi="Arial" w:cs="Arial"/>
          <w:b/>
        </w:rPr>
      </w:pPr>
      <w:r w:rsidRPr="00BA469B">
        <w:rPr>
          <w:rFonts w:ascii="Arial" w:hAnsi="Arial" w:cs="Arial"/>
          <w:b/>
        </w:rPr>
        <w:t>4. Conclusion</w:t>
      </w:r>
    </w:p>
    <w:p w14:paraId="6200CA92" w14:textId="77777777" w:rsidR="00F31B94" w:rsidRPr="00BA469B" w:rsidRDefault="00F31B94" w:rsidP="00F31B94">
      <w:pPr>
        <w:pStyle w:val="Body"/>
        <w:spacing w:before="240"/>
        <w:rPr>
          <w:rFonts w:ascii="Arial" w:hAnsi="Arial" w:cs="Arial"/>
        </w:rPr>
      </w:pPr>
      <w:r w:rsidRPr="00BA469B">
        <w:rPr>
          <w:rFonts w:ascii="Arial" w:hAnsi="Arial" w:cs="Arial"/>
        </w:rPr>
        <w:t>The study concluded that propolis supplementation has potential as a natural alternative for controlling gastrointestinal parasites in broiler chickens. Propolis significantly reduced the prevalence and fecal egg counts of nematodes and coccidia, particularly at moderate supplementation levels (1 ml/L and 2 ml/L). Although higher concentrations also reduced fecal egg counts, moderate levels were more effective in lowering parasite prevalence. Overall, propolis showed promising antiparasitic properties and may contribute to improved poultry health and sustainable parasite management in broiler production systems.</w:t>
      </w:r>
    </w:p>
    <w:p w14:paraId="5D01536E" w14:textId="77777777" w:rsidR="00C4633D" w:rsidRPr="00BA469B" w:rsidRDefault="00C4633D" w:rsidP="00F31B94">
      <w:pPr>
        <w:pStyle w:val="Body"/>
        <w:spacing w:before="240"/>
        <w:rPr>
          <w:rFonts w:ascii="Arial" w:hAnsi="Arial" w:cs="Arial"/>
        </w:rPr>
      </w:pPr>
    </w:p>
    <w:p w14:paraId="2A475272" w14:textId="77777777" w:rsidR="00C4633D" w:rsidRPr="00BA469B" w:rsidRDefault="00C4633D" w:rsidP="00C4633D">
      <w:pPr>
        <w:rPr>
          <w:b/>
          <w:sz w:val="28"/>
        </w:rPr>
      </w:pPr>
      <w:r w:rsidRPr="00BA469B">
        <w:rPr>
          <w:b/>
          <w:sz w:val="28"/>
        </w:rPr>
        <w:t>Ethical Approval:</w:t>
      </w:r>
    </w:p>
    <w:p w14:paraId="0D32A567" w14:textId="77777777" w:rsidR="00C4633D" w:rsidRPr="00BA469B" w:rsidRDefault="00C4633D" w:rsidP="00C4633D"/>
    <w:p w14:paraId="6B00068E" w14:textId="77777777" w:rsidR="00C4633D" w:rsidRPr="00BA469B" w:rsidRDefault="00C4633D" w:rsidP="00C4633D">
      <w:r w:rsidRPr="00BA469B">
        <w:t>As per international standards or university standards written ethical approval has been collected and preserved by the author(s).</w:t>
      </w:r>
    </w:p>
    <w:p w14:paraId="4054AD05" w14:textId="77777777" w:rsidR="00C4633D" w:rsidRPr="00BA469B" w:rsidRDefault="00C4633D" w:rsidP="00F31B94">
      <w:pPr>
        <w:pStyle w:val="Body"/>
        <w:spacing w:before="240"/>
        <w:rPr>
          <w:rFonts w:ascii="Arial" w:hAnsi="Arial" w:cs="Arial"/>
          <w:b/>
          <w:bCs/>
        </w:rPr>
      </w:pPr>
    </w:p>
    <w:p w14:paraId="39960193" w14:textId="58A89516" w:rsidR="00BA469B" w:rsidRPr="00BA469B" w:rsidRDefault="00BA469B" w:rsidP="00BA469B">
      <w:pPr>
        <w:pStyle w:val="Body"/>
        <w:spacing w:before="240"/>
        <w:rPr>
          <w:rFonts w:ascii="Arial" w:hAnsi="Arial" w:cs="Arial"/>
          <w:b/>
          <w:bCs/>
          <w:lang w:val="en-GB"/>
        </w:rPr>
      </w:pPr>
      <w:r w:rsidRPr="00BA469B">
        <w:rPr>
          <w:rFonts w:ascii="Arial" w:hAnsi="Arial" w:cs="Arial"/>
          <w:b/>
          <w:bCs/>
          <w:lang w:val="en-GB"/>
        </w:rPr>
        <w:t>Disclaimer (artificial intelligence)</w:t>
      </w:r>
    </w:p>
    <w:p w14:paraId="218898C0" w14:textId="566C60AE" w:rsidR="00BA469B" w:rsidRPr="00BA469B" w:rsidRDefault="00BA469B" w:rsidP="00BA3743">
      <w:pPr>
        <w:pStyle w:val="Body"/>
        <w:spacing w:before="240"/>
        <w:rPr>
          <w:rFonts w:ascii="Arial" w:hAnsi="Arial" w:cs="Arial"/>
          <w:lang w:val="en-GB"/>
        </w:rPr>
      </w:pPr>
      <w:r w:rsidRPr="00BA469B">
        <w:rPr>
          <w:rFonts w:ascii="Arial" w:hAnsi="Arial" w:cs="Arial"/>
          <w:lang w:val="en-GB"/>
        </w:rPr>
        <w:t>Author(s) hereby declares that no generative AI technologies such as Large Language Models (ChatGPT, COPILOT, etc) and text-to-image generators have been used during writing or editing of this manuscript.</w:t>
      </w:r>
    </w:p>
    <w:p w14:paraId="07E42D55" w14:textId="77777777" w:rsidR="00F31B94" w:rsidRPr="00BA469B" w:rsidRDefault="00F31B94" w:rsidP="00F31B94">
      <w:pPr>
        <w:pStyle w:val="Body"/>
        <w:spacing w:before="240"/>
        <w:rPr>
          <w:rFonts w:ascii="Arial" w:hAnsi="Arial" w:cs="Arial"/>
          <w:b/>
        </w:rPr>
      </w:pPr>
      <w:r w:rsidRPr="00BA469B">
        <w:rPr>
          <w:rFonts w:ascii="Arial" w:hAnsi="Arial" w:cs="Arial"/>
          <w:b/>
        </w:rPr>
        <w:t>References</w:t>
      </w:r>
    </w:p>
    <w:p w14:paraId="64F62A61"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Afaf Abdel-Rahman, H., Abd-El-Aziz, M. and Soliman, M. (2013). Effect of propolis on coccidiosis in rabbits. </w:t>
      </w:r>
      <w:r w:rsidRPr="00BA469B">
        <w:rPr>
          <w:rFonts w:ascii="Arial" w:hAnsi="Arial" w:cs="Arial"/>
          <w:i/>
          <w:iCs/>
        </w:rPr>
        <w:t>Veterinary Parasitology</w:t>
      </w:r>
      <w:r w:rsidRPr="00BA469B">
        <w:rPr>
          <w:rFonts w:ascii="Arial" w:hAnsi="Arial" w:cs="Arial"/>
        </w:rPr>
        <w:t>, 195, 123–130.</w:t>
      </w:r>
    </w:p>
    <w:p w14:paraId="52C4C632"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Aga, D.S., Lenczewski, M. and Snow, D. (2013). Environmental factors influencing parasite transmission. </w:t>
      </w:r>
      <w:r w:rsidRPr="00BA469B">
        <w:rPr>
          <w:rFonts w:ascii="Arial" w:hAnsi="Arial" w:cs="Arial"/>
          <w:i/>
          <w:iCs/>
        </w:rPr>
        <w:t>Environmental Science &amp; Technology</w:t>
      </w:r>
      <w:r w:rsidRPr="00BA469B">
        <w:rPr>
          <w:rFonts w:ascii="Arial" w:hAnsi="Arial" w:cs="Arial"/>
        </w:rPr>
        <w:t>, 47, 343–350.</w:t>
      </w:r>
    </w:p>
    <w:p w14:paraId="61F448C6" w14:textId="77777777" w:rsidR="00BA469B" w:rsidRPr="00BA469B" w:rsidRDefault="00BA469B" w:rsidP="00F31B94">
      <w:pPr>
        <w:pStyle w:val="Body"/>
        <w:spacing w:before="240" w:after="0"/>
        <w:rPr>
          <w:rFonts w:ascii="Arial" w:hAnsi="Arial" w:cs="Arial"/>
        </w:rPr>
      </w:pPr>
      <w:r w:rsidRPr="00BA469B">
        <w:rPr>
          <w:rFonts w:ascii="Arial" w:hAnsi="Arial" w:cs="Arial"/>
        </w:rPr>
        <w:lastRenderedPageBreak/>
        <w:t xml:space="preserve">Ashour, E.A., Alagawany, M. and Reda, F.M. (2014). Natural feed additives in poultry nutrition. </w:t>
      </w:r>
      <w:r w:rsidRPr="00BA469B">
        <w:rPr>
          <w:rFonts w:ascii="Arial" w:hAnsi="Arial" w:cs="Arial"/>
          <w:i/>
          <w:iCs/>
        </w:rPr>
        <w:t>Asian Journal of Animal and Veterinary Advances</w:t>
      </w:r>
      <w:r w:rsidRPr="00BA469B">
        <w:rPr>
          <w:rFonts w:ascii="Arial" w:hAnsi="Arial" w:cs="Arial"/>
        </w:rPr>
        <w:t>, 9, 1–13.</w:t>
      </w:r>
    </w:p>
    <w:p w14:paraId="7398C13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Attia, Y.A., Al-Harthi, M.A. and El-Shafey, A.S. (2014). Propolis improves growth performance and immune response in broiler chickens. </w:t>
      </w:r>
      <w:r w:rsidRPr="00BA469B">
        <w:rPr>
          <w:rFonts w:ascii="Arial" w:hAnsi="Arial" w:cs="Arial"/>
          <w:i/>
          <w:iCs/>
        </w:rPr>
        <w:t>Journal of Applied Animal Research</w:t>
      </w:r>
      <w:r w:rsidRPr="00BA469B">
        <w:rPr>
          <w:rFonts w:ascii="Arial" w:hAnsi="Arial" w:cs="Arial"/>
        </w:rPr>
        <w:t>, 42, 1–8.</w:t>
      </w:r>
    </w:p>
    <w:p w14:paraId="463A8E9D"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Aygun, A., Sert, D. and Copur, G. (2012). Propolis composition and biological effects. </w:t>
      </w:r>
      <w:r w:rsidRPr="00BA469B">
        <w:rPr>
          <w:rFonts w:ascii="Arial" w:hAnsi="Arial" w:cs="Arial"/>
          <w:i/>
          <w:iCs/>
        </w:rPr>
        <w:t>Journal of Food Agriculture &amp; Environment</w:t>
      </w:r>
      <w:r w:rsidRPr="00BA469B">
        <w:rPr>
          <w:rFonts w:ascii="Arial" w:hAnsi="Arial" w:cs="Arial"/>
        </w:rPr>
        <w:t>, 10, 325–328.</w:t>
      </w:r>
    </w:p>
    <w:p w14:paraId="4F7DF91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Babaei, S., Rahimi, S. and Karimi-Torshizi, M.A. (2016). Effects of propolis on broiler gut health. </w:t>
      </w:r>
      <w:r w:rsidRPr="00BA469B">
        <w:rPr>
          <w:rFonts w:ascii="Arial" w:hAnsi="Arial" w:cs="Arial"/>
          <w:i/>
          <w:iCs/>
        </w:rPr>
        <w:t>Poultry Science</w:t>
      </w:r>
      <w:r w:rsidRPr="00BA469B">
        <w:rPr>
          <w:rFonts w:ascii="Arial" w:hAnsi="Arial" w:cs="Arial"/>
        </w:rPr>
        <w:t>, 95, 2515–2522.</w:t>
      </w:r>
    </w:p>
    <w:p w14:paraId="2ECAFD2B"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Bankova, V., Popova, M. and Trusheva, B. (2014). Propolis volatile compounds: chemical diversity and biological activity. </w:t>
      </w:r>
      <w:r w:rsidRPr="00BA469B">
        <w:rPr>
          <w:rFonts w:ascii="Arial" w:hAnsi="Arial" w:cs="Arial"/>
          <w:i/>
          <w:iCs/>
        </w:rPr>
        <w:t>Chemistry Central Journal</w:t>
      </w:r>
      <w:r w:rsidRPr="00BA469B">
        <w:rPr>
          <w:rFonts w:ascii="Arial" w:hAnsi="Arial" w:cs="Arial"/>
        </w:rPr>
        <w:t>, 8, 28.</w:t>
      </w:r>
    </w:p>
    <w:p w14:paraId="3C5F2B78"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Bankova, V., Popova, M. and Trusheva, B. (2018). The phytochemistry of propolis. </w:t>
      </w:r>
      <w:r w:rsidRPr="00BA469B">
        <w:rPr>
          <w:rFonts w:ascii="Arial" w:hAnsi="Arial" w:cs="Arial"/>
          <w:i/>
          <w:iCs/>
        </w:rPr>
        <w:t>Phytochemistry Reviews</w:t>
      </w:r>
      <w:r w:rsidRPr="00BA469B">
        <w:rPr>
          <w:rFonts w:ascii="Arial" w:hAnsi="Arial" w:cs="Arial"/>
        </w:rPr>
        <w:t>, 17, 115–131.</w:t>
      </w:r>
    </w:p>
    <w:p w14:paraId="2A13740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Chapman, H.D. (2014). Milestones in avian coccidiosis research: a review. </w:t>
      </w:r>
      <w:r w:rsidRPr="00BA469B">
        <w:rPr>
          <w:rFonts w:ascii="Arial" w:hAnsi="Arial" w:cs="Arial"/>
          <w:i/>
          <w:iCs/>
        </w:rPr>
        <w:t>Poultry Science</w:t>
      </w:r>
      <w:r w:rsidRPr="00BA469B">
        <w:rPr>
          <w:rFonts w:ascii="Arial" w:hAnsi="Arial" w:cs="Arial"/>
        </w:rPr>
        <w:t>, 93, 501–511.</w:t>
      </w:r>
    </w:p>
    <w:p w14:paraId="475838A4"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Eyng, C., Murakami, A.E. and Duarte, C.R. (2013). Effect of propolis on poultry performance. </w:t>
      </w:r>
      <w:r w:rsidRPr="00BA469B">
        <w:rPr>
          <w:rFonts w:ascii="Arial" w:hAnsi="Arial" w:cs="Arial"/>
          <w:i/>
          <w:iCs/>
        </w:rPr>
        <w:t>Brazilian Journal of Poultry Science</w:t>
      </w:r>
      <w:r w:rsidRPr="00BA469B">
        <w:rPr>
          <w:rFonts w:ascii="Arial" w:hAnsi="Arial" w:cs="Arial"/>
        </w:rPr>
        <w:t>, 15, 1–8.</w:t>
      </w:r>
    </w:p>
    <w:p w14:paraId="1E81D993"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Gantois, I., Ducatelle, R. and Pasmans, F. (2009). Vertical transmission of pathogens in poultry. </w:t>
      </w:r>
      <w:r w:rsidRPr="00BA469B">
        <w:rPr>
          <w:rFonts w:ascii="Arial" w:hAnsi="Arial" w:cs="Arial"/>
          <w:i/>
          <w:iCs/>
        </w:rPr>
        <w:t>Avian Pathology</w:t>
      </w:r>
      <w:r w:rsidRPr="00BA469B">
        <w:rPr>
          <w:rFonts w:ascii="Arial" w:hAnsi="Arial" w:cs="Arial"/>
        </w:rPr>
        <w:t>, 38, 1–13.</w:t>
      </w:r>
    </w:p>
    <w:p w14:paraId="7684A8C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Gardana, C., Simonetti, P. and Pietta, P. (2007). Analysis of propolis compounds. </w:t>
      </w:r>
      <w:r w:rsidRPr="00BA469B">
        <w:rPr>
          <w:rFonts w:ascii="Arial" w:hAnsi="Arial" w:cs="Arial"/>
          <w:i/>
          <w:iCs/>
        </w:rPr>
        <w:t>Journal of Pharmaceutical and Biomedical Analysis</w:t>
      </w:r>
      <w:r w:rsidRPr="00BA469B">
        <w:rPr>
          <w:rFonts w:ascii="Arial" w:hAnsi="Arial" w:cs="Arial"/>
        </w:rPr>
        <w:t>, 45, 390–395.</w:t>
      </w:r>
    </w:p>
    <w:p w14:paraId="5A4AD179"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Gary, D. and Richard, L. (2012). Poultry disease management. </w:t>
      </w:r>
      <w:r w:rsidRPr="00BA469B">
        <w:rPr>
          <w:rFonts w:ascii="Arial" w:hAnsi="Arial" w:cs="Arial"/>
          <w:i/>
          <w:iCs/>
        </w:rPr>
        <w:t>Veterinary Clinics of North America</w:t>
      </w:r>
      <w:r w:rsidRPr="00BA469B">
        <w:rPr>
          <w:rFonts w:ascii="Arial" w:hAnsi="Arial" w:cs="Arial"/>
        </w:rPr>
        <w:t>, 28, 321–335.</w:t>
      </w:r>
    </w:p>
    <w:p w14:paraId="0352F53D"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Giannenas, I., Florou-Paneri, P. and Papazahariadou, M. (2014). Effect of herbal extracts on intestinal parasites in poultry. </w:t>
      </w:r>
      <w:r w:rsidRPr="00BA469B">
        <w:rPr>
          <w:rFonts w:ascii="Arial" w:hAnsi="Arial" w:cs="Arial"/>
          <w:i/>
          <w:iCs/>
        </w:rPr>
        <w:t>Veterinary Parasitology</w:t>
      </w:r>
      <w:r w:rsidRPr="00BA469B">
        <w:rPr>
          <w:rFonts w:ascii="Arial" w:hAnsi="Arial" w:cs="Arial"/>
        </w:rPr>
        <w:t>, 205, 200–208.</w:t>
      </w:r>
    </w:p>
    <w:p w14:paraId="2096D651"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Githigia, S.M., Thamsborg, S.M. and Munyua, W.K. (2001). The effect of plant extracts on gastrointestinal nematodes in livestock. </w:t>
      </w:r>
      <w:r w:rsidRPr="00BA469B">
        <w:rPr>
          <w:rFonts w:ascii="Arial" w:hAnsi="Arial" w:cs="Arial"/>
          <w:i/>
          <w:iCs/>
        </w:rPr>
        <w:t>Veterinary Parasitology</w:t>
      </w:r>
      <w:r w:rsidRPr="00BA469B">
        <w:rPr>
          <w:rFonts w:ascii="Arial" w:hAnsi="Arial" w:cs="Arial"/>
        </w:rPr>
        <w:t>, 99, 123–135.</w:t>
      </w:r>
    </w:p>
    <w:p w14:paraId="55A89AE6"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Goodarzi, M., Nanekarani, S. and Landy, N. (2014). Effect of antibiotics in poultry nutrition. </w:t>
      </w:r>
      <w:r w:rsidRPr="00BA469B">
        <w:rPr>
          <w:rFonts w:ascii="Arial" w:hAnsi="Arial" w:cs="Arial"/>
          <w:i/>
          <w:iCs/>
        </w:rPr>
        <w:t>Veterinary Research Forum</w:t>
      </w:r>
      <w:r w:rsidRPr="00BA469B">
        <w:rPr>
          <w:rFonts w:ascii="Arial" w:hAnsi="Arial" w:cs="Arial"/>
        </w:rPr>
        <w:t>, 5, 153–158.</w:t>
      </w:r>
    </w:p>
    <w:p w14:paraId="404B403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Hascik, P., Pavelkova, A. and Kacaniova, M. (2016). Antibiotic residues in poultry products. </w:t>
      </w:r>
      <w:r w:rsidRPr="00BA469B">
        <w:rPr>
          <w:rFonts w:ascii="Arial" w:hAnsi="Arial" w:cs="Arial"/>
          <w:i/>
          <w:iCs/>
        </w:rPr>
        <w:t>Potravinarstvo</w:t>
      </w:r>
      <w:r w:rsidRPr="00BA469B">
        <w:rPr>
          <w:rFonts w:ascii="Arial" w:hAnsi="Arial" w:cs="Arial"/>
        </w:rPr>
        <w:t>, 10, 367–371.</w:t>
      </w:r>
    </w:p>
    <w:p w14:paraId="21EC90CC"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Hunduma, D., Regassa, C. and Fufa, D. (2010). Prevalence of gastrointestinal parasites in poultry. </w:t>
      </w:r>
      <w:r w:rsidRPr="00BA469B">
        <w:rPr>
          <w:rFonts w:ascii="Arial" w:hAnsi="Arial" w:cs="Arial"/>
          <w:i/>
          <w:iCs/>
        </w:rPr>
        <w:t>Journal of Veterinary Medicine</w:t>
      </w:r>
      <w:r w:rsidRPr="00BA469B">
        <w:rPr>
          <w:rFonts w:ascii="Arial" w:hAnsi="Arial" w:cs="Arial"/>
        </w:rPr>
        <w:t>, 7, 12–17.</w:t>
      </w:r>
    </w:p>
    <w:p w14:paraId="0B7BA8C5" w14:textId="77777777" w:rsidR="00BA469B" w:rsidRPr="00BA469B" w:rsidRDefault="00BA469B" w:rsidP="004B5099">
      <w:pPr>
        <w:pStyle w:val="Body"/>
        <w:spacing w:before="240"/>
        <w:rPr>
          <w:rFonts w:ascii="Arial" w:hAnsi="Arial" w:cs="Arial"/>
        </w:rPr>
      </w:pPr>
      <w:r w:rsidRPr="00BA469B">
        <w:rPr>
          <w:rFonts w:ascii="Arial" w:hAnsi="Arial" w:cs="Arial"/>
        </w:rPr>
        <w:t xml:space="preserve"> Ibishi, B., Vesna Karapetkovska – Hristova, Kolovski, V., Beadini, N., &amp; Pavlovic, I. (2024). Comparative Evaluation of Physical and Phenolic Profiles in Propolis from N. Macedonian Regions. </w:t>
      </w:r>
      <w:r w:rsidRPr="00BA469B">
        <w:rPr>
          <w:rFonts w:ascii="Arial" w:hAnsi="Arial" w:cs="Arial"/>
          <w:i/>
          <w:iCs/>
        </w:rPr>
        <w:t>Asian Journal of Advanced Research and Reports</w:t>
      </w:r>
      <w:r w:rsidRPr="00BA469B">
        <w:rPr>
          <w:rFonts w:ascii="Arial" w:hAnsi="Arial" w:cs="Arial"/>
        </w:rPr>
        <w:t>, </w:t>
      </w:r>
      <w:r w:rsidRPr="00BA469B">
        <w:rPr>
          <w:rFonts w:ascii="Arial" w:hAnsi="Arial" w:cs="Arial"/>
          <w:i/>
          <w:iCs/>
        </w:rPr>
        <w:t>18</w:t>
      </w:r>
      <w:r w:rsidRPr="00BA469B">
        <w:rPr>
          <w:rFonts w:ascii="Arial" w:hAnsi="Arial" w:cs="Arial"/>
        </w:rPr>
        <w:t xml:space="preserve">(8), 234–241. </w:t>
      </w:r>
      <w:hyperlink r:id="rId8" w:history="1">
        <w:r w:rsidRPr="00BA469B">
          <w:rPr>
            <w:rStyle w:val="Hyperlink"/>
            <w:rFonts w:ascii="Arial" w:hAnsi="Arial" w:cs="Arial"/>
          </w:rPr>
          <w:t>https://doi.org/10.9734/ajarr/2024/v18i8725</w:t>
        </w:r>
      </w:hyperlink>
      <w:r w:rsidRPr="00BA469B">
        <w:rPr>
          <w:rFonts w:ascii="Arial" w:hAnsi="Arial" w:cs="Arial"/>
        </w:rPr>
        <w:t>.</w:t>
      </w:r>
    </w:p>
    <w:p w14:paraId="22064C0F" w14:textId="77777777" w:rsidR="00BA469B" w:rsidRPr="00BA469B" w:rsidRDefault="00BA469B" w:rsidP="00F31B94">
      <w:pPr>
        <w:pStyle w:val="Body"/>
        <w:spacing w:before="240" w:after="0"/>
        <w:rPr>
          <w:rFonts w:ascii="Arial" w:hAnsi="Arial" w:cs="Arial"/>
        </w:rPr>
      </w:pPr>
      <w:r w:rsidRPr="00BA469B">
        <w:rPr>
          <w:rFonts w:ascii="Arial" w:hAnsi="Arial" w:cs="Arial"/>
        </w:rPr>
        <w:lastRenderedPageBreak/>
        <w:t xml:space="preserve">Katoch, R., Yadav, A., Godara, R., Khajuria, J.K. and Borkataki, S. (2012). Prevalence of gastrointestinal parasites in poultry. </w:t>
      </w:r>
      <w:r w:rsidRPr="00BA469B">
        <w:rPr>
          <w:rFonts w:ascii="Arial" w:hAnsi="Arial" w:cs="Arial"/>
          <w:i/>
          <w:iCs/>
        </w:rPr>
        <w:t>Veterinary Parasitology</w:t>
      </w:r>
      <w:r w:rsidRPr="00BA469B">
        <w:rPr>
          <w:rFonts w:ascii="Arial" w:hAnsi="Arial" w:cs="Arial"/>
        </w:rPr>
        <w:t>, 188, 1–6.</w:t>
      </w:r>
    </w:p>
    <w:p w14:paraId="66A0A1A8" w14:textId="77777777" w:rsidR="00BA469B" w:rsidRPr="00BA469B" w:rsidRDefault="00BA469B" w:rsidP="00A27B3A">
      <w:pPr>
        <w:pStyle w:val="Body"/>
        <w:spacing w:before="240"/>
        <w:rPr>
          <w:rFonts w:ascii="Arial" w:hAnsi="Arial" w:cs="Arial"/>
        </w:rPr>
      </w:pPr>
      <w:r w:rsidRPr="00BA469B">
        <w:rPr>
          <w:rFonts w:ascii="Arial" w:hAnsi="Arial" w:cs="Arial"/>
          <w:lang w:val="es-US"/>
        </w:rPr>
        <w:t xml:space="preserve"> Kleyn, F. J., &amp; Ciacciariello, M. (2021). </w:t>
      </w:r>
      <w:r w:rsidRPr="00BA469B">
        <w:rPr>
          <w:rFonts w:ascii="Arial" w:hAnsi="Arial" w:cs="Arial"/>
        </w:rPr>
        <w:t>Future demands of the poultry industry: will we meet our commitments sustainably in developed and developing economies? </w:t>
      </w:r>
      <w:r w:rsidRPr="00BA469B">
        <w:rPr>
          <w:rFonts w:ascii="Arial" w:hAnsi="Arial" w:cs="Arial"/>
          <w:i/>
          <w:iCs/>
        </w:rPr>
        <w:t>World’s Poultry Science Journal</w:t>
      </w:r>
      <w:r w:rsidRPr="00BA469B">
        <w:rPr>
          <w:rFonts w:ascii="Arial" w:hAnsi="Arial" w:cs="Arial"/>
        </w:rPr>
        <w:t>, </w:t>
      </w:r>
      <w:r w:rsidRPr="00BA469B">
        <w:rPr>
          <w:rFonts w:ascii="Arial" w:hAnsi="Arial" w:cs="Arial"/>
          <w:i/>
          <w:iCs/>
        </w:rPr>
        <w:t>77</w:t>
      </w:r>
      <w:r w:rsidRPr="00BA469B">
        <w:rPr>
          <w:rFonts w:ascii="Arial" w:hAnsi="Arial" w:cs="Arial"/>
        </w:rPr>
        <w:t xml:space="preserve">(2), 267–278. </w:t>
      </w:r>
      <w:hyperlink r:id="rId9" w:history="1">
        <w:r w:rsidRPr="00BA469B">
          <w:rPr>
            <w:rStyle w:val="Hyperlink"/>
            <w:rFonts w:ascii="Arial" w:hAnsi="Arial" w:cs="Arial"/>
          </w:rPr>
          <w:t>https://doi.org/10.1080/00439339.2021.1904314</w:t>
        </w:r>
      </w:hyperlink>
      <w:r w:rsidRPr="00BA469B">
        <w:rPr>
          <w:rFonts w:ascii="Arial" w:hAnsi="Arial" w:cs="Arial"/>
        </w:rPr>
        <w:t>.</w:t>
      </w:r>
    </w:p>
    <w:p w14:paraId="3B668B70" w14:textId="77777777" w:rsidR="00BA469B" w:rsidRPr="004B5099" w:rsidRDefault="00BA469B" w:rsidP="004B5099">
      <w:pPr>
        <w:pStyle w:val="Body"/>
        <w:spacing w:before="240"/>
        <w:rPr>
          <w:rFonts w:ascii="Arial" w:hAnsi="Arial" w:cs="Arial"/>
        </w:rPr>
      </w:pPr>
      <w:r w:rsidRPr="00BA469B">
        <w:rPr>
          <w:rFonts w:ascii="Arial" w:hAnsi="Arial" w:cs="Arial"/>
        </w:rPr>
        <w:t xml:space="preserve"> Konanc, K., &amp; Ozturk, E. (2025). Effects of propolis extract supplementation in breeder and broiler diets and it's in ovo injection on immune status, blood parameters, vaccine-antibody response and intestinal microflora of broiler chick. </w:t>
      </w:r>
      <w:r w:rsidRPr="00BA469B">
        <w:rPr>
          <w:rFonts w:ascii="Arial" w:hAnsi="Arial" w:cs="Arial"/>
          <w:i/>
          <w:iCs/>
        </w:rPr>
        <w:t>Tropical animal health and production</w:t>
      </w:r>
      <w:r w:rsidRPr="00BA469B">
        <w:rPr>
          <w:rFonts w:ascii="Arial" w:hAnsi="Arial" w:cs="Arial"/>
        </w:rPr>
        <w:t>, </w:t>
      </w:r>
      <w:r w:rsidRPr="00BA469B">
        <w:rPr>
          <w:rFonts w:ascii="Arial" w:hAnsi="Arial" w:cs="Arial"/>
          <w:i/>
          <w:iCs/>
        </w:rPr>
        <w:t>57</w:t>
      </w:r>
      <w:r w:rsidRPr="00BA469B">
        <w:rPr>
          <w:rFonts w:ascii="Arial" w:hAnsi="Arial" w:cs="Arial"/>
        </w:rPr>
        <w:t>(2), 89. https://doi.org/10.1007/s11250-025-04329-3.</w:t>
      </w:r>
    </w:p>
    <w:p w14:paraId="6800269F" w14:textId="77777777" w:rsidR="00BA469B" w:rsidRPr="00BA469B" w:rsidRDefault="00BA469B" w:rsidP="00A27B3A">
      <w:pPr>
        <w:pStyle w:val="Body"/>
        <w:spacing w:before="240"/>
        <w:rPr>
          <w:rFonts w:ascii="Arial" w:hAnsi="Arial" w:cs="Arial"/>
        </w:rPr>
      </w:pPr>
      <w:r w:rsidRPr="00BA469B">
        <w:rPr>
          <w:rFonts w:ascii="Arial" w:hAnsi="Arial" w:cs="Arial"/>
        </w:rPr>
        <w:t>Kpomasse, C. C., Oke, O. E., Houndonougbo, F. M., &amp; Tona, K. (2021). Broiler production challenges in the tropics: A review. </w:t>
      </w:r>
      <w:r w:rsidRPr="00BA469B">
        <w:rPr>
          <w:rFonts w:ascii="Arial" w:hAnsi="Arial" w:cs="Arial"/>
          <w:i/>
          <w:iCs/>
        </w:rPr>
        <w:t>Veterinary medicine and science</w:t>
      </w:r>
      <w:r w:rsidRPr="00BA469B">
        <w:rPr>
          <w:rFonts w:ascii="Arial" w:hAnsi="Arial" w:cs="Arial"/>
        </w:rPr>
        <w:t>, </w:t>
      </w:r>
      <w:r w:rsidRPr="00BA469B">
        <w:rPr>
          <w:rFonts w:ascii="Arial" w:hAnsi="Arial" w:cs="Arial"/>
          <w:i/>
          <w:iCs/>
        </w:rPr>
        <w:t>7</w:t>
      </w:r>
      <w:r w:rsidRPr="00BA469B">
        <w:rPr>
          <w:rFonts w:ascii="Arial" w:hAnsi="Arial" w:cs="Arial"/>
        </w:rPr>
        <w:t xml:space="preserve">(3), 831–842. </w:t>
      </w:r>
      <w:hyperlink r:id="rId10" w:history="1">
        <w:r w:rsidRPr="00BA469B">
          <w:rPr>
            <w:rStyle w:val="Hyperlink"/>
            <w:rFonts w:ascii="Arial" w:hAnsi="Arial" w:cs="Arial"/>
          </w:rPr>
          <w:t>https://doi.org/10.1002/vms3.435</w:t>
        </w:r>
      </w:hyperlink>
      <w:r w:rsidRPr="00BA469B">
        <w:t>.</w:t>
      </w:r>
      <w:r w:rsidRPr="00BA469B">
        <w:rPr>
          <w:rFonts w:ascii="Arial" w:hAnsi="Arial" w:cs="Arial"/>
        </w:rPr>
        <w:t xml:space="preserve">  </w:t>
      </w:r>
    </w:p>
    <w:p w14:paraId="68D680EB"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Krocko, M., Canigova, M. and Duckova, V. (2012). Antimicrobial effects of propolis in poultry. </w:t>
      </w:r>
      <w:r w:rsidRPr="00BA469B">
        <w:rPr>
          <w:rFonts w:ascii="Arial" w:hAnsi="Arial" w:cs="Arial"/>
          <w:i/>
          <w:iCs/>
        </w:rPr>
        <w:t>Acta Veterinaria Brno</w:t>
      </w:r>
      <w:r w:rsidRPr="00BA469B">
        <w:rPr>
          <w:rFonts w:ascii="Arial" w:hAnsi="Arial" w:cs="Arial"/>
        </w:rPr>
        <w:t>, 81, 21–26.</w:t>
      </w:r>
    </w:p>
    <w:p w14:paraId="081CAB70" w14:textId="77777777" w:rsidR="00BA469B" w:rsidRPr="00BA469B" w:rsidRDefault="00BA469B" w:rsidP="00A27B3A">
      <w:pPr>
        <w:pStyle w:val="Body"/>
        <w:spacing w:before="240"/>
        <w:rPr>
          <w:rFonts w:ascii="Arial" w:hAnsi="Arial" w:cs="Arial"/>
        </w:rPr>
      </w:pPr>
      <w:r w:rsidRPr="00BA469B">
        <w:rPr>
          <w:rFonts w:ascii="Arial" w:hAnsi="Arial" w:cs="Arial"/>
        </w:rPr>
        <w:t>Makouloutou-Nzassi, P., Longo-Pendy, N. M., Nguema, L. K. A., Lendzele, S. S., Bangueboussa, F., Bouchedi, B., Maganga, G. D., &amp; Boundenga, L. (2024). Prevalence of gastrointestinal parasites in chickens (</w:t>
      </w:r>
      <w:r w:rsidRPr="00BA469B">
        <w:rPr>
          <w:rFonts w:ascii="Arial" w:hAnsi="Arial" w:cs="Arial"/>
          <w:i/>
          <w:iCs/>
        </w:rPr>
        <w:t>Gallus gallus domesticus</w:t>
      </w:r>
      <w:r w:rsidRPr="00BA469B">
        <w:rPr>
          <w:rFonts w:ascii="Arial" w:hAnsi="Arial" w:cs="Arial"/>
        </w:rPr>
        <w:t>) and associated risk factors in M'passa department, Southeast Gabon. </w:t>
      </w:r>
      <w:r w:rsidRPr="00BA469B">
        <w:rPr>
          <w:rFonts w:ascii="Arial" w:hAnsi="Arial" w:cs="Arial"/>
          <w:i/>
          <w:iCs/>
        </w:rPr>
        <w:t>Open veterinary journal</w:t>
      </w:r>
      <w:r w:rsidRPr="00BA469B">
        <w:rPr>
          <w:rFonts w:ascii="Arial" w:hAnsi="Arial" w:cs="Arial"/>
        </w:rPr>
        <w:t>, </w:t>
      </w:r>
      <w:r w:rsidRPr="00BA469B">
        <w:rPr>
          <w:rFonts w:ascii="Arial" w:hAnsi="Arial" w:cs="Arial"/>
          <w:i/>
          <w:iCs/>
        </w:rPr>
        <w:t>14</w:t>
      </w:r>
      <w:r w:rsidRPr="00BA469B">
        <w:rPr>
          <w:rFonts w:ascii="Arial" w:hAnsi="Arial" w:cs="Arial"/>
        </w:rPr>
        <w:t xml:space="preserve">(12), 3232–3240. </w:t>
      </w:r>
      <w:hyperlink r:id="rId11" w:history="1">
        <w:r w:rsidRPr="00BA469B">
          <w:rPr>
            <w:rStyle w:val="Hyperlink"/>
            <w:rFonts w:ascii="Arial" w:hAnsi="Arial" w:cs="Arial"/>
          </w:rPr>
          <w:t>https://doi.org/10.5455/OVJ.2024.v14.i12.8</w:t>
        </w:r>
      </w:hyperlink>
      <w:r w:rsidRPr="00BA469B">
        <w:t>.</w:t>
      </w:r>
      <w:r w:rsidRPr="00BA469B">
        <w:rPr>
          <w:rFonts w:ascii="Arial" w:hAnsi="Arial" w:cs="Arial"/>
        </w:rPr>
        <w:t xml:space="preserve"> </w:t>
      </w:r>
    </w:p>
    <w:p w14:paraId="4EE9A906"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Mathivanan, R., Edwin, S.C. and Amutha, R. (2013). Dietary propolis supplementation in broilers. </w:t>
      </w:r>
      <w:r w:rsidRPr="00BA469B">
        <w:rPr>
          <w:rFonts w:ascii="Arial" w:hAnsi="Arial" w:cs="Arial"/>
          <w:i/>
          <w:iCs/>
        </w:rPr>
        <w:t>International Journal of Poultry Science</w:t>
      </w:r>
      <w:r w:rsidRPr="00BA469B">
        <w:rPr>
          <w:rFonts w:ascii="Arial" w:hAnsi="Arial" w:cs="Arial"/>
        </w:rPr>
        <w:t>, 12, 678–681.</w:t>
      </w:r>
    </w:p>
    <w:p w14:paraId="7506340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Morsy, T.A., Khater, H.F. and Al-Salahy, M.B. (2013). The role of propolis as a natural antiparasitic agent in animals. </w:t>
      </w:r>
      <w:r w:rsidRPr="00BA469B">
        <w:rPr>
          <w:rFonts w:ascii="Arial" w:hAnsi="Arial" w:cs="Arial"/>
          <w:i/>
          <w:iCs/>
        </w:rPr>
        <w:t>Journal of Parasitic Diseases</w:t>
      </w:r>
      <w:r w:rsidRPr="00BA469B">
        <w:rPr>
          <w:rFonts w:ascii="Arial" w:hAnsi="Arial" w:cs="Arial"/>
        </w:rPr>
        <w:t>, 37, 171–176.</w:t>
      </w:r>
    </w:p>
    <w:p w14:paraId="0A05E8A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Oleforuh-Okoleh, V.U., Chukwu, G.C. and Adeolu, A.I. (2015). Effect of feed cost on poultry production. </w:t>
      </w:r>
      <w:r w:rsidRPr="00BA469B">
        <w:rPr>
          <w:rFonts w:ascii="Arial" w:hAnsi="Arial" w:cs="Arial"/>
          <w:i/>
          <w:iCs/>
        </w:rPr>
        <w:t>Poultry Science Journal</w:t>
      </w:r>
      <w:r w:rsidRPr="00BA469B">
        <w:rPr>
          <w:rFonts w:ascii="Arial" w:hAnsi="Arial" w:cs="Arial"/>
        </w:rPr>
        <w:t>, 3, 45–52.</w:t>
      </w:r>
    </w:p>
    <w:p w14:paraId="1FBA08EF" w14:textId="77777777" w:rsidR="00BA469B" w:rsidRPr="00BA469B" w:rsidRDefault="00BA469B" w:rsidP="004B5099">
      <w:pPr>
        <w:pStyle w:val="Body"/>
        <w:spacing w:before="240"/>
        <w:rPr>
          <w:rFonts w:ascii="Arial" w:hAnsi="Arial" w:cs="Arial"/>
        </w:rPr>
      </w:pPr>
      <w:r w:rsidRPr="00BA469B">
        <w:rPr>
          <w:rFonts w:ascii="Arial" w:hAnsi="Arial" w:cs="Arial"/>
        </w:rPr>
        <w:t xml:space="preserve"> Oriaku, L. O., Silas, I. I., Nnanna-Chigozie, E. P., Inyang, S. X., Gbadebo, A. O., &amp; Jesse, S. B. (2024). Prevalence of gastrointestinal parasites of poultry chicken slaughtered and sold in Uyo metropolis, Akwa Ibom State, Nigeria. </w:t>
      </w:r>
      <w:r w:rsidRPr="00BA469B">
        <w:rPr>
          <w:rFonts w:ascii="Arial" w:hAnsi="Arial" w:cs="Arial"/>
          <w:i/>
          <w:iCs/>
        </w:rPr>
        <w:t>International Journal of Pathogen Research</w:t>
      </w:r>
      <w:r w:rsidRPr="00BA469B">
        <w:rPr>
          <w:rFonts w:ascii="Arial" w:hAnsi="Arial" w:cs="Arial"/>
        </w:rPr>
        <w:t>, </w:t>
      </w:r>
      <w:r w:rsidRPr="00BA469B">
        <w:rPr>
          <w:rFonts w:ascii="Arial" w:hAnsi="Arial" w:cs="Arial"/>
          <w:i/>
          <w:iCs/>
        </w:rPr>
        <w:t>13</w:t>
      </w:r>
      <w:r w:rsidRPr="00BA469B">
        <w:rPr>
          <w:rFonts w:ascii="Arial" w:hAnsi="Arial" w:cs="Arial"/>
        </w:rPr>
        <w:t xml:space="preserve">(5), 23-31.https://doi.org/10.9734/ijpr/2024/v13i5306. </w:t>
      </w:r>
    </w:p>
    <w:p w14:paraId="3EF5854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Permin, A. and Hansen, J.W. (1998). </w:t>
      </w:r>
      <w:r w:rsidRPr="00BA469B">
        <w:rPr>
          <w:rFonts w:ascii="Arial" w:hAnsi="Arial" w:cs="Arial"/>
          <w:i/>
          <w:iCs/>
        </w:rPr>
        <w:t>Epidemiology, diagnosis and control of poultry parasites</w:t>
      </w:r>
      <w:r w:rsidRPr="00BA469B">
        <w:rPr>
          <w:rFonts w:ascii="Arial" w:hAnsi="Arial" w:cs="Arial"/>
        </w:rPr>
        <w:t>. FAO Animal Health Manual. Rome: Food and Agriculture Organization.</w:t>
      </w:r>
    </w:p>
    <w:p w14:paraId="6C05CC94"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Pratama, A., Mahfudz, L.D. and Sarengat, W. (2015). Growth performance of broiler chickens under different management systems. </w:t>
      </w:r>
      <w:r w:rsidRPr="00BA469B">
        <w:rPr>
          <w:rFonts w:ascii="Arial" w:hAnsi="Arial" w:cs="Arial"/>
          <w:i/>
          <w:iCs/>
        </w:rPr>
        <w:t>Journal of Animal Production</w:t>
      </w:r>
      <w:r w:rsidRPr="00BA469B">
        <w:rPr>
          <w:rFonts w:ascii="Arial" w:hAnsi="Arial" w:cs="Arial"/>
        </w:rPr>
        <w:t>, 17, 25–31.</w:t>
      </w:r>
    </w:p>
    <w:p w14:paraId="35862BEC"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Puttalakshmamma, G.C. (2008). Studies on gastrointestinal parasites of poultry. </w:t>
      </w:r>
      <w:r w:rsidRPr="00BA469B">
        <w:rPr>
          <w:rFonts w:ascii="Arial" w:hAnsi="Arial" w:cs="Arial"/>
          <w:i/>
          <w:iCs/>
        </w:rPr>
        <w:t>Veterinary World</w:t>
      </w:r>
      <w:r w:rsidRPr="00BA469B">
        <w:rPr>
          <w:rFonts w:ascii="Arial" w:hAnsi="Arial" w:cs="Arial"/>
        </w:rPr>
        <w:t>, 1, 201–203.</w:t>
      </w:r>
    </w:p>
    <w:p w14:paraId="774FD49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Roberts, F.H.S. and O’Sullivan, J.P. (1950). Methods for egg counts and larval cultures. </w:t>
      </w:r>
      <w:r w:rsidRPr="00BA469B">
        <w:rPr>
          <w:rFonts w:ascii="Arial" w:hAnsi="Arial" w:cs="Arial"/>
          <w:i/>
          <w:iCs/>
        </w:rPr>
        <w:t>Australian Journal of Agricultural Research</w:t>
      </w:r>
      <w:r w:rsidRPr="00BA469B">
        <w:rPr>
          <w:rFonts w:ascii="Arial" w:hAnsi="Arial" w:cs="Arial"/>
        </w:rPr>
        <w:t>, 1, 99–102.</w:t>
      </w:r>
    </w:p>
    <w:p w14:paraId="4C9CDA7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Roto, S.M., Rubinelli, P.M. and Ricke, S.C. (2016). Transmission of pathogens in poultry production. </w:t>
      </w:r>
      <w:r w:rsidRPr="00BA469B">
        <w:rPr>
          <w:rFonts w:ascii="Arial" w:hAnsi="Arial" w:cs="Arial"/>
          <w:i/>
          <w:iCs/>
        </w:rPr>
        <w:t>Poultry Science</w:t>
      </w:r>
      <w:r w:rsidRPr="00BA469B">
        <w:rPr>
          <w:rFonts w:ascii="Arial" w:hAnsi="Arial" w:cs="Arial"/>
        </w:rPr>
        <w:t>, 95, 1326–1336.</w:t>
      </w:r>
    </w:p>
    <w:p w14:paraId="3874CC23" w14:textId="77777777" w:rsidR="00BA469B" w:rsidRPr="00BA469B" w:rsidRDefault="00BA469B" w:rsidP="00F31B94">
      <w:pPr>
        <w:pStyle w:val="Body"/>
        <w:spacing w:before="240" w:after="0"/>
        <w:rPr>
          <w:rFonts w:ascii="Arial" w:hAnsi="Arial" w:cs="Arial"/>
        </w:rPr>
      </w:pPr>
      <w:r w:rsidRPr="00BA469B">
        <w:rPr>
          <w:rFonts w:ascii="Arial" w:hAnsi="Arial" w:cs="Arial"/>
        </w:rPr>
        <w:lastRenderedPageBreak/>
        <w:t xml:space="preserve">Saeed, M., Babazadeh, D. and Naveed, M. (2015). Phytogenic feed additives in poultry. </w:t>
      </w:r>
      <w:r w:rsidRPr="00BA469B">
        <w:rPr>
          <w:rFonts w:ascii="Arial" w:hAnsi="Arial" w:cs="Arial"/>
          <w:i/>
          <w:iCs/>
        </w:rPr>
        <w:t>World's Poultry Science Journal</w:t>
      </w:r>
      <w:r w:rsidRPr="00BA469B">
        <w:rPr>
          <w:rFonts w:ascii="Arial" w:hAnsi="Arial" w:cs="Arial"/>
        </w:rPr>
        <w:t>, 71, 1–12.</w:t>
      </w:r>
    </w:p>
    <w:p w14:paraId="73C81F32"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Seven, I., Aksu, T. and Seven, P.T. (2010). Effects of dietary propolis supplementation on broiler chickens. </w:t>
      </w:r>
      <w:r w:rsidRPr="00BA469B">
        <w:rPr>
          <w:rFonts w:ascii="Arial" w:hAnsi="Arial" w:cs="Arial"/>
          <w:i/>
          <w:iCs/>
        </w:rPr>
        <w:t>Journal of Animal and Veterinary Advances</w:t>
      </w:r>
      <w:r w:rsidRPr="00BA469B">
        <w:rPr>
          <w:rFonts w:ascii="Arial" w:hAnsi="Arial" w:cs="Arial"/>
        </w:rPr>
        <w:t>, 9, 1038–1042.</w:t>
      </w:r>
    </w:p>
    <w:p w14:paraId="5F61C21D"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Seven, I., Seven, P.T. and Yılmaz, M. (2008). The effects of propolis on broiler performance and immune system. </w:t>
      </w:r>
      <w:r w:rsidRPr="00BA469B">
        <w:rPr>
          <w:rFonts w:ascii="Arial" w:hAnsi="Arial" w:cs="Arial"/>
          <w:i/>
          <w:iCs/>
        </w:rPr>
        <w:t>International Journal of Poultry Science</w:t>
      </w:r>
      <w:r w:rsidRPr="00BA469B">
        <w:rPr>
          <w:rFonts w:ascii="Arial" w:hAnsi="Arial" w:cs="Arial"/>
        </w:rPr>
        <w:t>, 7, 562–565.</w:t>
      </w:r>
    </w:p>
    <w:p w14:paraId="4460C39A"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Temizer, I.K., Güven, H. and Yılmaz, M. (2017). Chemical composition and biological properties of propolis. </w:t>
      </w:r>
      <w:r w:rsidRPr="00BA469B">
        <w:rPr>
          <w:rFonts w:ascii="Arial" w:hAnsi="Arial" w:cs="Arial"/>
          <w:i/>
          <w:iCs/>
        </w:rPr>
        <w:t>Journal of Apicultural Research</w:t>
      </w:r>
      <w:r w:rsidRPr="00BA469B">
        <w:rPr>
          <w:rFonts w:ascii="Arial" w:hAnsi="Arial" w:cs="Arial"/>
        </w:rPr>
        <w:t>, 56, 1–15.</w:t>
      </w:r>
    </w:p>
    <w:p w14:paraId="4F3CC875"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Trusheva, B., Popova, M. and Bankova, V. (2006). Chemical composition of propolis. </w:t>
      </w:r>
      <w:r w:rsidRPr="00BA469B">
        <w:rPr>
          <w:rFonts w:ascii="Arial" w:hAnsi="Arial" w:cs="Arial"/>
          <w:i/>
          <w:iCs/>
        </w:rPr>
        <w:t>Journal of Apicultural Research</w:t>
      </w:r>
      <w:r w:rsidRPr="00BA469B">
        <w:rPr>
          <w:rFonts w:ascii="Arial" w:hAnsi="Arial" w:cs="Arial"/>
        </w:rPr>
        <w:t>, 45, 1–7.</w:t>
      </w:r>
    </w:p>
    <w:p w14:paraId="69E2FE5A"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Umam, K., Prayogi, H.S. and Nurgiartiningsih, V.M.A. (2014). Performance of broiler chickens fed different levels of feed. </w:t>
      </w:r>
      <w:r w:rsidRPr="00BA469B">
        <w:rPr>
          <w:rFonts w:ascii="Arial" w:hAnsi="Arial" w:cs="Arial"/>
          <w:i/>
          <w:iCs/>
        </w:rPr>
        <w:t>International Journal of Poultry Science</w:t>
      </w:r>
      <w:r w:rsidRPr="00BA469B">
        <w:rPr>
          <w:rFonts w:ascii="Arial" w:hAnsi="Arial" w:cs="Arial"/>
        </w:rPr>
        <w:t>, 13, 550–555.</w:t>
      </w:r>
    </w:p>
    <w:p w14:paraId="4444B855"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Van Wyk, J.A., Cabaret, J. and Michael, L.M. (2003). Morphological identification of nematode larvae. </w:t>
      </w:r>
      <w:r w:rsidRPr="00BA469B">
        <w:rPr>
          <w:rFonts w:ascii="Arial" w:hAnsi="Arial" w:cs="Arial"/>
          <w:i/>
          <w:iCs/>
        </w:rPr>
        <w:t>Veterinary Parasitology</w:t>
      </w:r>
      <w:r w:rsidRPr="00BA469B">
        <w:rPr>
          <w:rFonts w:ascii="Arial" w:hAnsi="Arial" w:cs="Arial"/>
        </w:rPr>
        <w:t>, 115, 79–88.</w:t>
      </w:r>
    </w:p>
    <w:p w14:paraId="1B607577"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Wagh, V.D. (2013). Propolis: a wonder bees product and its pharmacological potentials. </w:t>
      </w:r>
      <w:r w:rsidRPr="00BA469B">
        <w:rPr>
          <w:rFonts w:ascii="Arial" w:hAnsi="Arial" w:cs="Arial"/>
          <w:i/>
          <w:iCs/>
        </w:rPr>
        <w:t>Advances in Pharmacological Sciences</w:t>
      </w:r>
      <w:r w:rsidRPr="00BA469B">
        <w:rPr>
          <w:rFonts w:ascii="Arial" w:hAnsi="Arial" w:cs="Arial"/>
        </w:rPr>
        <w:t>, 2013, 1–11.</w:t>
      </w:r>
    </w:p>
    <w:p w14:paraId="5E870EE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Yakhchali, M. and Zarei, M.R. (2008). Prevalence of poultry parasites under different climatic conditions. </w:t>
      </w:r>
      <w:r w:rsidRPr="00BA469B">
        <w:rPr>
          <w:rFonts w:ascii="Arial" w:hAnsi="Arial" w:cs="Arial"/>
          <w:i/>
          <w:iCs/>
        </w:rPr>
        <w:t>Iranian Journal of Veterinary Research</w:t>
      </w:r>
      <w:r w:rsidRPr="00BA469B">
        <w:rPr>
          <w:rFonts w:ascii="Arial" w:hAnsi="Arial" w:cs="Arial"/>
        </w:rPr>
        <w:t>, 9, 123–128.</w:t>
      </w:r>
    </w:p>
    <w:p w14:paraId="7E528D8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Zafarnejad, K., Nikkhah, A. and Nematollahi, A. (2017). Effect of propolis supplementation on immune response and performance of broiler chickens. </w:t>
      </w:r>
      <w:r w:rsidRPr="00BA469B">
        <w:rPr>
          <w:rFonts w:ascii="Arial" w:hAnsi="Arial" w:cs="Arial"/>
          <w:i/>
          <w:iCs/>
        </w:rPr>
        <w:t>Poultry Science Journal</w:t>
      </w:r>
      <w:r w:rsidRPr="00BA469B">
        <w:rPr>
          <w:rFonts w:ascii="Arial" w:hAnsi="Arial" w:cs="Arial"/>
        </w:rPr>
        <w:t>, 5, 45–53.</w:t>
      </w:r>
    </w:p>
    <w:p w14:paraId="400B5771" w14:textId="77777777" w:rsidR="00BA469B" w:rsidRPr="00BA469B" w:rsidRDefault="00BA469B" w:rsidP="00A27B3A">
      <w:pPr>
        <w:pStyle w:val="Body"/>
        <w:spacing w:before="240"/>
        <w:rPr>
          <w:rFonts w:ascii="Arial" w:hAnsi="Arial" w:cs="Arial"/>
        </w:rPr>
      </w:pPr>
      <w:r w:rsidRPr="00BA469B">
        <w:rPr>
          <w:rFonts w:ascii="Arial" w:hAnsi="Arial" w:cs="Arial"/>
        </w:rPr>
        <w:t>Zajac, A.M. (2012). Veterinary Clinical Parasitology. 8th ed. Wiley-Blackwell.</w:t>
      </w:r>
    </w:p>
    <w:p w14:paraId="585BAE86" w14:textId="1F57A4CE" w:rsidR="00A27B3A" w:rsidRPr="00A27B3A" w:rsidRDefault="00A27B3A" w:rsidP="00A27B3A">
      <w:pPr>
        <w:pStyle w:val="Body"/>
        <w:spacing w:before="240"/>
        <w:rPr>
          <w:rFonts w:ascii="Arial" w:hAnsi="Arial" w:cs="Arial"/>
        </w:rPr>
      </w:pPr>
    </w:p>
    <w:p w14:paraId="5043365A" w14:textId="77777777" w:rsidR="00A27B3A" w:rsidRPr="00A27B3A" w:rsidRDefault="00A27B3A" w:rsidP="00A27B3A">
      <w:pPr>
        <w:pStyle w:val="Body"/>
        <w:spacing w:before="240" w:after="0"/>
        <w:rPr>
          <w:rFonts w:ascii="Arial" w:hAnsi="Arial" w:cs="Arial"/>
        </w:rPr>
      </w:pPr>
      <w:r w:rsidRPr="00A27B3A">
        <w:rPr>
          <w:rFonts w:ascii="Arial" w:hAnsi="Arial" w:cs="Arial"/>
        </w:rPr>
        <w:t>‌</w:t>
      </w:r>
    </w:p>
    <w:p w14:paraId="4DECAA49" w14:textId="3D88F536" w:rsidR="00F31B94" w:rsidRPr="00F31B94" w:rsidRDefault="00F31B94" w:rsidP="00F31B94">
      <w:pPr>
        <w:pStyle w:val="Body"/>
        <w:spacing w:before="240" w:after="0"/>
        <w:rPr>
          <w:rFonts w:ascii="Arial" w:hAnsi="Arial" w:cs="Arial"/>
        </w:rPr>
      </w:pPr>
    </w:p>
    <w:sectPr w:rsidR="00F31B94" w:rsidRPr="00F31B94" w:rsidSect="0009437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B8BD" w14:textId="77777777" w:rsidR="00771649" w:rsidRDefault="00771649" w:rsidP="00C37E61">
      <w:r>
        <w:separator/>
      </w:r>
    </w:p>
  </w:endnote>
  <w:endnote w:type="continuationSeparator" w:id="0">
    <w:p w14:paraId="067AFCF8" w14:textId="77777777" w:rsidR="00771649" w:rsidRDefault="007716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BDE6" w14:textId="77777777" w:rsidR="0009437D" w:rsidRDefault="00094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0AE0" w14:textId="77777777" w:rsidR="0009437D" w:rsidRDefault="00094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4F1" w14:textId="77777777" w:rsidR="009E048A" w:rsidRDefault="009E048A">
    <w:pPr>
      <w:pStyle w:val="Footer"/>
      <w:rPr>
        <w:rFonts w:ascii="Arial" w:hAnsi="Arial" w:cs="Arial"/>
        <w:sz w:val="16"/>
      </w:rPr>
    </w:pPr>
  </w:p>
  <w:p w14:paraId="2ABCC3E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56E42" w14:textId="77777777" w:rsidR="009E048A" w:rsidRDefault="009E048A">
    <w:pPr>
      <w:pStyle w:val="Footer"/>
      <w:rPr>
        <w:rFonts w:ascii="Arial" w:hAnsi="Arial" w:cs="Arial"/>
        <w:sz w:val="16"/>
      </w:rPr>
    </w:pPr>
  </w:p>
  <w:p w14:paraId="1953A9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77B4" w14:textId="77777777" w:rsidR="00771649" w:rsidRDefault="00771649" w:rsidP="00C37E61">
      <w:r>
        <w:separator/>
      </w:r>
    </w:p>
  </w:footnote>
  <w:footnote w:type="continuationSeparator" w:id="0">
    <w:p w14:paraId="15808AA4" w14:textId="77777777" w:rsidR="00771649" w:rsidRDefault="007716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198C" w14:textId="2DC539E6" w:rsidR="0009437D" w:rsidRDefault="00771649">
    <w:pPr>
      <w:pStyle w:val="Header"/>
    </w:pPr>
    <w:r>
      <w:rPr>
        <w:noProof/>
      </w:rPr>
      <w:pict w14:anchorId="2955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1"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8AE1" w14:textId="2336B9C3" w:rsidR="0009437D" w:rsidRDefault="00771649">
    <w:pPr>
      <w:pStyle w:val="Header"/>
    </w:pPr>
    <w:r>
      <w:rPr>
        <w:noProof/>
      </w:rPr>
      <w:pict w14:anchorId="1E2C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2"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C762" w14:textId="4466549A" w:rsidR="00296529" w:rsidRPr="00296529" w:rsidRDefault="00771649" w:rsidP="00296529">
    <w:pPr>
      <w:ind w:left="2160"/>
      <w:jc w:val="center"/>
      <w:rPr>
        <w:rFonts w:ascii="Times New Roman" w:eastAsia="Calibri" w:hAnsi="Times New Roman"/>
        <w:i/>
        <w:sz w:val="18"/>
        <w:szCs w:val="22"/>
      </w:rPr>
    </w:pPr>
    <w:r>
      <w:rPr>
        <w:noProof/>
      </w:rPr>
      <w:pict w14:anchorId="1E844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0"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4ECDC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D536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A272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A7F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A4F1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B214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218657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7811279">
    <w:abstractNumId w:val="15"/>
  </w:num>
  <w:num w:numId="3" w16cid:durableId="1108692793">
    <w:abstractNumId w:val="23"/>
  </w:num>
  <w:num w:numId="4" w16cid:durableId="2855035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46104528">
    <w:abstractNumId w:val="7"/>
  </w:num>
  <w:num w:numId="6" w16cid:durableId="1164661997">
    <w:abstractNumId w:val="6"/>
  </w:num>
  <w:num w:numId="7" w16cid:durableId="617683220">
    <w:abstractNumId w:val="1"/>
  </w:num>
  <w:num w:numId="8" w16cid:durableId="1917855598">
    <w:abstractNumId w:val="12"/>
  </w:num>
  <w:num w:numId="9" w16cid:durableId="413403243">
    <w:abstractNumId w:val="25"/>
  </w:num>
  <w:num w:numId="10" w16cid:durableId="1725520923">
    <w:abstractNumId w:val="2"/>
  </w:num>
  <w:num w:numId="11" w16cid:durableId="70467275">
    <w:abstractNumId w:val="18"/>
  </w:num>
  <w:num w:numId="12" w16cid:durableId="112332123">
    <w:abstractNumId w:val="3"/>
  </w:num>
  <w:num w:numId="13" w16cid:durableId="89547444">
    <w:abstractNumId w:val="17"/>
  </w:num>
  <w:num w:numId="14" w16cid:durableId="992368718">
    <w:abstractNumId w:val="8"/>
  </w:num>
  <w:num w:numId="15" w16cid:durableId="261257823">
    <w:abstractNumId w:val="21"/>
  </w:num>
  <w:num w:numId="16" w16cid:durableId="1164082255">
    <w:abstractNumId w:val="5"/>
  </w:num>
  <w:num w:numId="17" w16cid:durableId="208419649">
    <w:abstractNumId w:val="22"/>
  </w:num>
  <w:num w:numId="18" w16cid:durableId="72557356">
    <w:abstractNumId w:val="14"/>
  </w:num>
  <w:num w:numId="19" w16cid:durableId="1215315936">
    <w:abstractNumId w:val="28"/>
  </w:num>
  <w:num w:numId="20" w16cid:durableId="2130970378">
    <w:abstractNumId w:val="11"/>
  </w:num>
  <w:num w:numId="21" w16cid:durableId="341712287">
    <w:abstractNumId w:val="9"/>
  </w:num>
  <w:num w:numId="22" w16cid:durableId="128406235">
    <w:abstractNumId w:val="13"/>
  </w:num>
  <w:num w:numId="23" w16cid:durableId="1270966889">
    <w:abstractNumId w:val="19"/>
  </w:num>
  <w:num w:numId="24" w16cid:durableId="798768527">
    <w:abstractNumId w:val="26"/>
  </w:num>
  <w:num w:numId="25" w16cid:durableId="301234145">
    <w:abstractNumId w:val="4"/>
  </w:num>
  <w:num w:numId="26" w16cid:durableId="146211179">
    <w:abstractNumId w:val="16"/>
  </w:num>
  <w:num w:numId="27" w16cid:durableId="10112487">
    <w:abstractNumId w:val="20"/>
  </w:num>
  <w:num w:numId="28" w16cid:durableId="2143687399">
    <w:abstractNumId w:val="27"/>
  </w:num>
  <w:num w:numId="29" w16cid:durableId="1059479152">
    <w:abstractNumId w:val="24"/>
  </w:num>
  <w:num w:numId="30" w16cid:durableId="777871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0MDU0NzY1MDQwNzNW0lEKTi0uzszPAykwrAUAr+nYnCwAAAA="/>
  </w:docVars>
  <w:rsids>
    <w:rsidRoot w:val="00AA6219"/>
    <w:rsid w:val="00000F8F"/>
    <w:rsid w:val="00030174"/>
    <w:rsid w:val="0004579C"/>
    <w:rsid w:val="0009437D"/>
    <w:rsid w:val="000A47FA"/>
    <w:rsid w:val="000A65D3"/>
    <w:rsid w:val="000B1E33"/>
    <w:rsid w:val="000D689F"/>
    <w:rsid w:val="000E7B7B"/>
    <w:rsid w:val="000E7D62"/>
    <w:rsid w:val="000F12A7"/>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5099"/>
    <w:rsid w:val="004D305E"/>
    <w:rsid w:val="004D4277"/>
    <w:rsid w:val="00502516"/>
    <w:rsid w:val="00505F06"/>
    <w:rsid w:val="00506828"/>
    <w:rsid w:val="0053056E"/>
    <w:rsid w:val="00530BAB"/>
    <w:rsid w:val="00554FDA"/>
    <w:rsid w:val="0058555D"/>
    <w:rsid w:val="005C3831"/>
    <w:rsid w:val="005C784C"/>
    <w:rsid w:val="005D17F6"/>
    <w:rsid w:val="005E5539"/>
    <w:rsid w:val="00602BF5"/>
    <w:rsid w:val="00617FDD"/>
    <w:rsid w:val="00633614"/>
    <w:rsid w:val="00633F68"/>
    <w:rsid w:val="00636EB2"/>
    <w:rsid w:val="006375B8"/>
    <w:rsid w:val="00653DE9"/>
    <w:rsid w:val="00663B82"/>
    <w:rsid w:val="0066510A"/>
    <w:rsid w:val="00673F9F"/>
    <w:rsid w:val="00686953"/>
    <w:rsid w:val="00687DEA"/>
    <w:rsid w:val="00687E67"/>
    <w:rsid w:val="006967F7"/>
    <w:rsid w:val="006A250C"/>
    <w:rsid w:val="006B21D3"/>
    <w:rsid w:val="006B57D0"/>
    <w:rsid w:val="006C49DE"/>
    <w:rsid w:val="006D30FF"/>
    <w:rsid w:val="006D6940"/>
    <w:rsid w:val="006F11EC"/>
    <w:rsid w:val="0070082C"/>
    <w:rsid w:val="007369E6"/>
    <w:rsid w:val="00746E59"/>
    <w:rsid w:val="00754C9A"/>
    <w:rsid w:val="0075599A"/>
    <w:rsid w:val="007573B6"/>
    <w:rsid w:val="00761D52"/>
    <w:rsid w:val="00771649"/>
    <w:rsid w:val="0077749E"/>
    <w:rsid w:val="00790ADA"/>
    <w:rsid w:val="007D2288"/>
    <w:rsid w:val="007E088F"/>
    <w:rsid w:val="007F5FD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87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54B"/>
    <w:rsid w:val="00A24E7E"/>
    <w:rsid w:val="00A258C3"/>
    <w:rsid w:val="00A27B3A"/>
    <w:rsid w:val="00A347C0"/>
    <w:rsid w:val="00A51431"/>
    <w:rsid w:val="00A539AD"/>
    <w:rsid w:val="00A94063"/>
    <w:rsid w:val="00AA6219"/>
    <w:rsid w:val="00AA74E0"/>
    <w:rsid w:val="00AB703F"/>
    <w:rsid w:val="00AC6BB8"/>
    <w:rsid w:val="00AE008F"/>
    <w:rsid w:val="00AE4EC7"/>
    <w:rsid w:val="00B01FCD"/>
    <w:rsid w:val="00B1776C"/>
    <w:rsid w:val="00B44499"/>
    <w:rsid w:val="00B52583"/>
    <w:rsid w:val="00B52896"/>
    <w:rsid w:val="00B95236"/>
    <w:rsid w:val="00B96BD9"/>
    <w:rsid w:val="00BA1B01"/>
    <w:rsid w:val="00BA2641"/>
    <w:rsid w:val="00BA3743"/>
    <w:rsid w:val="00BA469B"/>
    <w:rsid w:val="00BB37AA"/>
    <w:rsid w:val="00BC53A0"/>
    <w:rsid w:val="00BE62AD"/>
    <w:rsid w:val="00BF121F"/>
    <w:rsid w:val="00BF1F80"/>
    <w:rsid w:val="00C166EF"/>
    <w:rsid w:val="00C17EB0"/>
    <w:rsid w:val="00C27F5F"/>
    <w:rsid w:val="00C30A0F"/>
    <w:rsid w:val="00C37E61"/>
    <w:rsid w:val="00C4633D"/>
    <w:rsid w:val="00C70F1B"/>
    <w:rsid w:val="00C71A47"/>
    <w:rsid w:val="00C7464C"/>
    <w:rsid w:val="00C85588"/>
    <w:rsid w:val="00CD6755"/>
    <w:rsid w:val="00CD6856"/>
    <w:rsid w:val="00CE0089"/>
    <w:rsid w:val="00CE793C"/>
    <w:rsid w:val="00CF193C"/>
    <w:rsid w:val="00D173F1"/>
    <w:rsid w:val="00D615FF"/>
    <w:rsid w:val="00D622B7"/>
    <w:rsid w:val="00D74CB0"/>
    <w:rsid w:val="00D8295D"/>
    <w:rsid w:val="00DB5168"/>
    <w:rsid w:val="00DC2A65"/>
    <w:rsid w:val="00DE15F0"/>
    <w:rsid w:val="00DE5663"/>
    <w:rsid w:val="00DE78AA"/>
    <w:rsid w:val="00E053D0"/>
    <w:rsid w:val="00E15994"/>
    <w:rsid w:val="00E3114E"/>
    <w:rsid w:val="00E31A70"/>
    <w:rsid w:val="00E3577F"/>
    <w:rsid w:val="00E35B02"/>
    <w:rsid w:val="00E66496"/>
    <w:rsid w:val="00E66B35"/>
    <w:rsid w:val="00E66E10"/>
    <w:rsid w:val="00E769F6"/>
    <w:rsid w:val="00E8407C"/>
    <w:rsid w:val="00E84F3C"/>
    <w:rsid w:val="00EA012C"/>
    <w:rsid w:val="00EB19A7"/>
    <w:rsid w:val="00EC6A55"/>
    <w:rsid w:val="00ED0288"/>
    <w:rsid w:val="00EE52CB"/>
    <w:rsid w:val="00EF581D"/>
    <w:rsid w:val="00EF7FD8"/>
    <w:rsid w:val="00F06F59"/>
    <w:rsid w:val="00F17988"/>
    <w:rsid w:val="00F31B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426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31B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31B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1B94"/>
    <w:rPr>
      <w:rFonts w:ascii="Times New Roman" w:hAnsi="Times New Roman"/>
      <w:sz w:val="24"/>
      <w:szCs w:val="24"/>
    </w:rPr>
  </w:style>
  <w:style w:type="character" w:customStyle="1" w:styleId="Heading2Char">
    <w:name w:val="Heading 2 Char"/>
    <w:basedOn w:val="DefaultParagraphFont"/>
    <w:link w:val="Heading2"/>
    <w:semiHidden/>
    <w:rsid w:val="00F31B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31B9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A3743"/>
    <w:rPr>
      <w:rFonts w:asciiTheme="minorHAnsi" w:eastAsiaTheme="minorHAnsi" w:hAnsiTheme="minorHAnsi" w:cstheme="minorBidi"/>
      <w:sz w:val="22"/>
      <w:szCs w:val="22"/>
      <w:lang w:val="en-GB"/>
    </w:rPr>
  </w:style>
  <w:style w:type="paragraph" w:styleId="Revision">
    <w:name w:val="Revision"/>
    <w:hidden/>
    <w:uiPriority w:val="99"/>
    <w:semiHidden/>
    <w:rsid w:val="00C4633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rr/2024/v18i872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55/OVJ.2024.v14.i12.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2/vms3.4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0439339.2021.190431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1ADD-4E41-4051-98C0-F2E9A46F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49</TotalTime>
  <Pages>12</Pages>
  <Words>5015</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Author</cp:lastModifiedBy>
  <cp:revision>7</cp:revision>
  <cp:lastPrinted>1999-07-06T11:00:00Z</cp:lastPrinted>
  <dcterms:created xsi:type="dcterms:W3CDTF">2026-03-28T09:15:00Z</dcterms:created>
  <dcterms:modified xsi:type="dcterms:W3CDTF">2026-04-13T09:23:00Z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cf5425a5-584f-49e5-82f5-68405c801b54</vt:lpwstr>
  </property>
</Properties>
</file>