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8B31" w14:textId="77777777" w:rsidR="00C55D99" w:rsidRPr="002C5E6E" w:rsidRDefault="00C55D99" w:rsidP="00C55D99">
      <w:pPr>
        <w:pStyle w:val="Author"/>
        <w:rPr>
          <w:rFonts w:ascii="Arial" w:hAnsi="Arial" w:cs="Arial"/>
          <w:bCs/>
          <w:i/>
          <w:iCs/>
          <w:kern w:val="28"/>
          <w:sz w:val="18"/>
          <w:szCs w:val="18"/>
          <w:u w:val="single"/>
        </w:rPr>
      </w:pPr>
      <w:r w:rsidRPr="002C5E6E">
        <w:rPr>
          <w:rFonts w:ascii="Arial" w:hAnsi="Arial" w:cs="Arial"/>
          <w:bCs/>
          <w:i/>
          <w:iCs/>
          <w:kern w:val="28"/>
          <w:sz w:val="18"/>
          <w:szCs w:val="18"/>
          <w:u w:val="single"/>
        </w:rPr>
        <w:t>Original Research Article</w:t>
      </w:r>
    </w:p>
    <w:p w14:paraId="584EE93C" w14:textId="29C162AF" w:rsidR="00CE7112" w:rsidRPr="00DB7001" w:rsidRDefault="003506A5" w:rsidP="00CE7112">
      <w:pPr>
        <w:pStyle w:val="Author"/>
        <w:spacing w:line="240" w:lineRule="auto"/>
        <w:rPr>
          <w:rFonts w:ascii="Arial" w:hAnsi="Arial" w:cs="Arial"/>
          <w:bCs/>
          <w:iCs/>
          <w:color w:val="0000CC"/>
          <w:kern w:val="28"/>
          <w:sz w:val="36"/>
        </w:rPr>
      </w:pPr>
      <w:r w:rsidRPr="00DB7001">
        <w:rPr>
          <w:rFonts w:ascii="Arial" w:hAnsi="Arial" w:cs="Arial"/>
          <w:bCs/>
          <w:iCs/>
          <w:color w:val="0000CC"/>
          <w:kern w:val="28"/>
          <w:sz w:val="36"/>
        </w:rPr>
        <w:t xml:space="preserve">Preventive and Therapeutic Efficacy of Aqueous Extract of </w:t>
      </w:r>
      <w:r w:rsidRPr="00DB7001">
        <w:rPr>
          <w:rFonts w:ascii="Arial" w:hAnsi="Arial" w:cs="Arial"/>
          <w:bCs/>
          <w:i/>
          <w:color w:val="0000CC"/>
          <w:kern w:val="28"/>
          <w:sz w:val="36"/>
        </w:rPr>
        <w:t>Cordyceps bassiana</w:t>
      </w:r>
      <w:r w:rsidRPr="00DB7001">
        <w:rPr>
          <w:rFonts w:ascii="Arial" w:hAnsi="Arial" w:cs="Arial"/>
          <w:bCs/>
          <w:iCs/>
          <w:color w:val="0000CC"/>
          <w:kern w:val="28"/>
          <w:sz w:val="36"/>
        </w:rPr>
        <w:t xml:space="preserve"> spore powder on Gentamicin- and Cisplatin-Induced Renal Cell Injury</w:t>
      </w:r>
    </w:p>
    <w:p w14:paraId="66569104" w14:textId="77777777" w:rsidR="00CE7112" w:rsidRPr="002C5E6E" w:rsidRDefault="00CE7112" w:rsidP="00CE7112">
      <w:pPr>
        <w:pStyle w:val="Author"/>
        <w:spacing w:line="240" w:lineRule="auto"/>
        <w:rPr>
          <w:rFonts w:ascii="Arial" w:hAnsi="Arial" w:cs="Arial"/>
          <w:bCs/>
          <w:iCs/>
          <w:color w:val="0000CC"/>
          <w:kern w:val="28"/>
          <w:sz w:val="36"/>
        </w:rPr>
      </w:pPr>
    </w:p>
    <w:p w14:paraId="25662276" w14:textId="77777777" w:rsidR="00CE7112" w:rsidRPr="002C5E6E" w:rsidRDefault="00CE7112" w:rsidP="00CE7112">
      <w:pPr>
        <w:pStyle w:val="Author"/>
        <w:spacing w:line="240" w:lineRule="auto"/>
        <w:rPr>
          <w:rFonts w:ascii="Arial" w:hAnsi="Arial" w:cs="Arial"/>
          <w:bCs/>
          <w:iCs/>
          <w:color w:val="0000CC"/>
          <w:kern w:val="28"/>
          <w:sz w:val="36"/>
        </w:rPr>
      </w:pPr>
    </w:p>
    <w:p w14:paraId="0FDF4EC9" w14:textId="77777777" w:rsidR="001A7D87" w:rsidRPr="002C5E6E" w:rsidRDefault="001A7D87" w:rsidP="001A7D87">
      <w:pPr>
        <w:pStyle w:val="Affiliation"/>
        <w:spacing w:after="0"/>
        <w:rPr>
          <w:rFonts w:ascii="Arial" w:hAnsi="Arial" w:cs="Arial"/>
        </w:rPr>
      </w:pPr>
    </w:p>
    <w:p w14:paraId="72F76B24" w14:textId="77777777" w:rsidR="00B01FCD" w:rsidRPr="002C5E6E" w:rsidRDefault="00573148" w:rsidP="00441B6F">
      <w:pPr>
        <w:pStyle w:val="Copyright"/>
        <w:spacing w:after="0" w:line="240" w:lineRule="auto"/>
        <w:jc w:val="both"/>
        <w:rPr>
          <w:rFonts w:ascii="Arial" w:hAnsi="Arial" w:cs="Arial"/>
        </w:rPr>
        <w:sectPr w:rsidR="00B01FCD" w:rsidRPr="002C5E6E" w:rsidSect="001B39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0D2EDE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C5E6E">
        <w:rPr>
          <w:rFonts w:ascii="Arial" w:hAnsi="Arial" w:cs="Arial"/>
        </w:rPr>
        <w:t>.</w:t>
      </w:r>
    </w:p>
    <w:p w14:paraId="22E16793" w14:textId="77777777" w:rsidR="00CE7112" w:rsidRPr="002C5E6E" w:rsidRDefault="00CE7112" w:rsidP="00CE7112">
      <w:pPr>
        <w:pStyle w:val="AbstHead"/>
        <w:spacing w:after="0"/>
        <w:jc w:val="both"/>
        <w:rPr>
          <w:rFonts w:ascii="Arial" w:hAnsi="Arial" w:cs="Arial"/>
        </w:rPr>
      </w:pPr>
      <w:r w:rsidRPr="002C5E6E">
        <w:rPr>
          <w:rFonts w:ascii="Arial" w:hAnsi="Arial" w:cs="Arial"/>
        </w:rPr>
        <w:t xml:space="preserve">ABSTRACT </w:t>
      </w:r>
    </w:p>
    <w:p w14:paraId="3C4F2594" w14:textId="77777777" w:rsidR="00CE7112" w:rsidRPr="002C5E6E" w:rsidRDefault="00CE7112" w:rsidP="00CE711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CE7112" w:rsidRPr="002C5E6E" w14:paraId="10C836AF" w14:textId="77777777" w:rsidTr="00E37AB3">
        <w:trPr>
          <w:trHeight w:val="4218"/>
        </w:trPr>
        <w:tc>
          <w:tcPr>
            <w:tcW w:w="9576" w:type="dxa"/>
            <w:shd w:val="clear" w:color="auto" w:fill="F2F2F2"/>
          </w:tcPr>
          <w:p w14:paraId="43617AED" w14:textId="0106774B" w:rsidR="00CE7112" w:rsidRPr="002C5E6E" w:rsidRDefault="00CE7112" w:rsidP="00E37AB3">
            <w:pPr>
              <w:pStyle w:val="Body"/>
              <w:spacing w:after="0"/>
              <w:rPr>
                <w:rFonts w:ascii="Arial" w:eastAsia="Calibri" w:hAnsi="Arial" w:cs="Arial"/>
                <w:b/>
                <w:szCs w:val="22"/>
              </w:rPr>
            </w:pPr>
            <w:r w:rsidRPr="002C5E6E">
              <w:rPr>
                <w:rFonts w:ascii="Arial" w:eastAsia="Calibri" w:hAnsi="Arial" w:cs="Arial"/>
                <w:b/>
                <w:szCs w:val="22"/>
              </w:rPr>
              <w:t xml:space="preserve">Aims: </w:t>
            </w:r>
            <w:r w:rsidR="003506A5" w:rsidRPr="002C5E6E">
              <w:rPr>
                <w:rFonts w:ascii="Arial" w:eastAsia="Calibri" w:hAnsi="Arial" w:cs="Arial"/>
                <w:szCs w:val="22"/>
              </w:rPr>
              <w:t xml:space="preserve">This study evaluated the preventive and therapeutic efficacy of the aqueous extract of </w:t>
            </w:r>
            <w:r w:rsidR="003506A5" w:rsidRPr="002C5E6E">
              <w:rPr>
                <w:rFonts w:ascii="Arial" w:eastAsia="Calibri" w:hAnsi="Arial" w:cs="Arial"/>
                <w:i/>
                <w:iCs/>
                <w:szCs w:val="22"/>
              </w:rPr>
              <w:t xml:space="preserve">Cordyceps </w:t>
            </w:r>
            <w:r w:rsidR="009A7B09" w:rsidRPr="002C5E6E">
              <w:rPr>
                <w:rFonts w:ascii="Arial" w:hAnsi="Arial" w:cs="Arial" w:hint="eastAsia"/>
                <w:i/>
                <w:iCs/>
              </w:rPr>
              <w:t>bassiana</w:t>
            </w:r>
            <w:r w:rsidR="003506A5" w:rsidRPr="002C5E6E">
              <w:rPr>
                <w:rFonts w:ascii="Arial" w:eastAsia="Calibri" w:hAnsi="Arial" w:cs="Arial"/>
                <w:szCs w:val="22"/>
              </w:rPr>
              <w:t xml:space="preserve"> spore powder (AE-CBSP) against chemically induced acute kidney injury (AKI).</w:t>
            </w:r>
          </w:p>
          <w:p w14:paraId="0DB5BFFA" w14:textId="00E6201C" w:rsidR="00CE7112" w:rsidRPr="002C5E6E" w:rsidRDefault="00CE7112" w:rsidP="00E37AB3">
            <w:pPr>
              <w:pStyle w:val="Body"/>
              <w:spacing w:after="0"/>
              <w:rPr>
                <w:rFonts w:ascii="Arial" w:eastAsia="Calibri" w:hAnsi="Arial" w:cs="Arial"/>
                <w:szCs w:val="22"/>
              </w:rPr>
            </w:pPr>
            <w:r w:rsidRPr="002C5E6E">
              <w:rPr>
                <w:rFonts w:ascii="Arial" w:eastAsia="Calibri" w:hAnsi="Arial" w:cs="Arial"/>
                <w:b/>
                <w:bCs/>
                <w:szCs w:val="22"/>
              </w:rPr>
              <w:t>Methodology:</w:t>
            </w:r>
            <w:r w:rsidRPr="002C5E6E">
              <w:rPr>
                <w:rFonts w:ascii="Arial" w:eastAsia="Calibri" w:hAnsi="Arial" w:cs="Arial"/>
                <w:szCs w:val="22"/>
              </w:rPr>
              <w:t xml:space="preserve"> </w:t>
            </w:r>
            <w:r w:rsidR="003506A5" w:rsidRPr="002C5E6E">
              <w:rPr>
                <w:rFonts w:ascii="Arial" w:eastAsia="Calibri" w:hAnsi="Arial" w:cs="Arial"/>
                <w:szCs w:val="22"/>
              </w:rPr>
              <w:t xml:space="preserve">AE-CBSP was prepared via aqueous boiling, and its nucleosides were quantified using high-performance liquid chromatography (HPLC). Human renal proximal tubular epithelial (HK-2) cells were used to establish in vitro AKI models induced by gentamicin (GEN) and cisplatin (DDP). The cytoprotective effects of AE-CBSP (50–800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/mL) were assessed in preventive (pre-treatment) and therapeutic (post-treatment) paradigms utilizing Cell Counting Kit-8 viability assays</w:t>
            </w:r>
            <w:r w:rsidR="003818C6" w:rsidRPr="002C5E6E">
              <w:rPr>
                <w:rFonts w:ascii="Arial" w:eastAsia="Calibri" w:hAnsi="Arial" w:cs="Arial"/>
                <w:szCs w:val="22"/>
              </w:rPr>
              <w:t>.</w:t>
            </w:r>
          </w:p>
          <w:p w14:paraId="10928030" w14:textId="01DB3894" w:rsidR="00CE7112" w:rsidRPr="002C5E6E" w:rsidRDefault="00CE7112" w:rsidP="00E37AB3">
            <w:pPr>
              <w:pStyle w:val="Body"/>
              <w:spacing w:after="0"/>
              <w:rPr>
                <w:rFonts w:ascii="Arial" w:eastAsia="Calibri" w:hAnsi="Arial" w:cs="Arial"/>
                <w:b/>
                <w:bCs/>
                <w:szCs w:val="22"/>
              </w:rPr>
            </w:pPr>
            <w:r w:rsidRPr="002C5E6E">
              <w:rPr>
                <w:rFonts w:ascii="Arial" w:eastAsia="Calibri" w:hAnsi="Arial" w:cs="Arial"/>
                <w:b/>
                <w:bCs/>
                <w:szCs w:val="22"/>
              </w:rPr>
              <w:t>Results:</w:t>
            </w:r>
            <w:r w:rsidRPr="002C5E6E">
              <w:rPr>
                <w:rFonts w:ascii="Arial" w:eastAsia="Calibri" w:hAnsi="Arial" w:cs="Arial"/>
                <w:szCs w:val="22"/>
              </w:rPr>
              <w:t xml:space="preserve"> </w:t>
            </w:r>
            <w:r w:rsidR="003506A5" w:rsidRPr="002C5E6E">
              <w:rPr>
                <w:rFonts w:ascii="Arial" w:eastAsia="Calibri" w:hAnsi="Arial" w:cs="Arial"/>
                <w:szCs w:val="22"/>
              </w:rPr>
              <w:t xml:space="preserve">HPLC analysis confirmed AE-CBSP is abundant in nucleosides, including adenosine (980.96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 xml:space="preserve">/g) and guanosine (353.96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 xml:space="preserve">/g). Cytotoxicity screening demonstrated AE-CBSP is safe for HK-2 cells up to 800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w:t>
            </w:r>
            <w:proofErr w:type="spellStart"/>
            <w:r w:rsidR="003506A5" w:rsidRPr="002C5E6E">
              <w:rPr>
                <w:rFonts w:ascii="Arial" w:eastAsia="Calibri" w:hAnsi="Arial" w:cs="Arial"/>
                <w:szCs w:val="22"/>
              </w:rPr>
              <w:t>mL.</w:t>
            </w:r>
            <w:proofErr w:type="spellEnd"/>
            <w:r w:rsidR="003506A5" w:rsidRPr="002C5E6E">
              <w:rPr>
                <w:rFonts w:ascii="Arial" w:eastAsia="Calibri" w:hAnsi="Arial" w:cs="Arial"/>
                <w:szCs w:val="22"/>
              </w:rPr>
              <w:t xml:space="preserve"> In the 5 mM GEN-induced AKI model, AE-CBSP exhibited significant dose-dependent protection. Specifically, pre-treatment and post-treatment with 800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 xml:space="preserve">/mL AE-CBSP significantly elevated </w:t>
            </w:r>
            <w:r w:rsidR="00AB6E27" w:rsidRPr="002C5E6E">
              <w:rPr>
                <w:rFonts w:ascii="Arial" w:eastAsia="Calibri" w:hAnsi="Arial" w:cs="Arial"/>
                <w:szCs w:val="22"/>
              </w:rPr>
              <w:t>cell viability</w:t>
            </w:r>
            <w:r w:rsidR="003506A5" w:rsidRPr="002C5E6E">
              <w:rPr>
                <w:rFonts w:ascii="Arial" w:eastAsia="Calibri" w:hAnsi="Arial" w:cs="Arial"/>
                <w:szCs w:val="22"/>
              </w:rPr>
              <w:t xml:space="preserve"> by 14.18% and 10.86% (P&lt;0.05), respectively. Conversely, in the 5 </w:t>
            </w:r>
            <w:proofErr w:type="spellStart"/>
            <w:r w:rsidR="003506A5" w:rsidRPr="002C5E6E">
              <w:rPr>
                <w:rFonts w:ascii="Arial" w:eastAsia="Calibri" w:hAnsi="Arial" w:cs="Arial"/>
                <w:szCs w:val="22"/>
              </w:rPr>
              <w:t>μM</w:t>
            </w:r>
            <w:proofErr w:type="spellEnd"/>
            <w:r w:rsidR="003506A5" w:rsidRPr="002C5E6E">
              <w:rPr>
                <w:rFonts w:ascii="Arial" w:eastAsia="Calibri" w:hAnsi="Arial" w:cs="Arial"/>
                <w:szCs w:val="22"/>
              </w:rPr>
              <w:t xml:space="preserve"> DDP-induced model, neither preventive nor therapeutic AE-CBSP administration mitigated cytotoxicity.</w:t>
            </w:r>
          </w:p>
          <w:p w14:paraId="5F4C64E9" w14:textId="76B684B7" w:rsidR="00CE7112" w:rsidRPr="002C5E6E" w:rsidRDefault="00CE7112" w:rsidP="00E37AB3">
            <w:pPr>
              <w:pStyle w:val="Body"/>
              <w:spacing w:after="0"/>
              <w:rPr>
                <w:rFonts w:ascii="Arial" w:eastAsia="Calibri" w:hAnsi="Arial" w:cs="Arial"/>
                <w:szCs w:val="22"/>
              </w:rPr>
            </w:pPr>
            <w:r w:rsidRPr="002C5E6E">
              <w:rPr>
                <w:rFonts w:ascii="Arial" w:eastAsia="Calibri" w:hAnsi="Arial" w:cs="Arial"/>
                <w:b/>
                <w:bCs/>
                <w:szCs w:val="22"/>
              </w:rPr>
              <w:t>Conclusion:</w:t>
            </w:r>
            <w:r w:rsidRPr="002C5E6E">
              <w:rPr>
                <w:rFonts w:ascii="Arial" w:eastAsia="Calibri" w:hAnsi="Arial" w:cs="Arial"/>
                <w:szCs w:val="22"/>
              </w:rPr>
              <w:t xml:space="preserve"> </w:t>
            </w:r>
            <w:r w:rsidR="003506A5" w:rsidRPr="002C5E6E">
              <w:rPr>
                <w:rFonts w:ascii="Arial" w:eastAsia="Calibri" w:hAnsi="Arial" w:cs="Arial"/>
                <w:szCs w:val="22"/>
              </w:rPr>
              <w:t xml:space="preserve">AE-CBSP exerts significant preventive and therapeutic protection against GEN-induced renal tubular epithelial cell injury but lacks efficacy against DDP-induced damage. These findings suggest that the </w:t>
            </w:r>
            <w:proofErr w:type="spellStart"/>
            <w:r w:rsidR="003506A5" w:rsidRPr="002C5E6E">
              <w:rPr>
                <w:rFonts w:ascii="Arial" w:eastAsia="Calibri" w:hAnsi="Arial" w:cs="Arial"/>
                <w:szCs w:val="22"/>
              </w:rPr>
              <w:t>renoprotective</w:t>
            </w:r>
            <w:proofErr w:type="spellEnd"/>
            <w:r w:rsidR="003506A5" w:rsidRPr="002C5E6E">
              <w:rPr>
                <w:rFonts w:ascii="Arial" w:eastAsia="Calibri" w:hAnsi="Arial" w:cs="Arial"/>
                <w:szCs w:val="22"/>
              </w:rPr>
              <w:t xml:space="preserve"> utility of AE-CBSP depends heavily on the specific nephrotoxic mechanism, providing an in vitro pharmacological basis for developing targeted treatments for aminoglycoside-induced AKI.</w:t>
            </w:r>
          </w:p>
        </w:tc>
      </w:tr>
    </w:tbl>
    <w:p w14:paraId="6BE68A99" w14:textId="77777777" w:rsidR="00CE7112" w:rsidRPr="002C5E6E" w:rsidRDefault="00CE7112" w:rsidP="00CE7112">
      <w:pPr>
        <w:pStyle w:val="Body"/>
        <w:spacing w:after="0"/>
        <w:rPr>
          <w:rFonts w:ascii="Arial" w:hAnsi="Arial" w:cs="Arial"/>
          <w:i/>
        </w:rPr>
      </w:pPr>
    </w:p>
    <w:p w14:paraId="0660042D" w14:textId="66476292" w:rsidR="00CE7112" w:rsidRPr="002C5E6E" w:rsidRDefault="00CE7112" w:rsidP="00CE7112">
      <w:pPr>
        <w:pStyle w:val="Body"/>
        <w:spacing w:after="0"/>
        <w:rPr>
          <w:rFonts w:ascii="Arial" w:hAnsi="Arial" w:cs="Arial"/>
          <w:i/>
        </w:rPr>
      </w:pPr>
      <w:r w:rsidRPr="002C5E6E">
        <w:rPr>
          <w:rFonts w:ascii="Arial" w:hAnsi="Arial" w:cs="Arial"/>
          <w:i/>
        </w:rPr>
        <w:t xml:space="preserve">Keywords: </w:t>
      </w:r>
      <w:r w:rsidR="003506A5" w:rsidRPr="002C5E6E">
        <w:rPr>
          <w:rFonts w:ascii="Arial" w:hAnsi="Arial" w:cs="Arial"/>
          <w:i/>
        </w:rPr>
        <w:t>Cordyceps bassiana</w:t>
      </w:r>
      <w:r w:rsidRPr="002C5E6E">
        <w:rPr>
          <w:rFonts w:ascii="Arial" w:hAnsi="Arial" w:cs="Arial"/>
          <w:i/>
        </w:rPr>
        <w:t xml:space="preserve">; </w:t>
      </w:r>
      <w:r w:rsidR="003506A5" w:rsidRPr="002C5E6E">
        <w:rPr>
          <w:rFonts w:ascii="Arial" w:hAnsi="Arial" w:cs="Arial"/>
          <w:i/>
        </w:rPr>
        <w:t>acute kidney injury</w:t>
      </w:r>
      <w:r w:rsidRPr="002C5E6E">
        <w:rPr>
          <w:rFonts w:ascii="Arial" w:hAnsi="Arial" w:cs="Arial"/>
          <w:i/>
        </w:rPr>
        <w:t xml:space="preserve">; </w:t>
      </w:r>
      <w:r w:rsidR="003506A5" w:rsidRPr="002C5E6E">
        <w:rPr>
          <w:rFonts w:ascii="Arial" w:hAnsi="Arial" w:cs="Arial"/>
          <w:i/>
        </w:rPr>
        <w:t>HK-2 cell</w:t>
      </w:r>
      <w:r w:rsidRPr="002C5E6E">
        <w:rPr>
          <w:rFonts w:ascii="Arial" w:hAnsi="Arial" w:cs="Arial"/>
          <w:i/>
        </w:rPr>
        <w:t xml:space="preserve">; </w:t>
      </w:r>
      <w:r w:rsidR="00AB6E27" w:rsidRPr="002C5E6E">
        <w:rPr>
          <w:rFonts w:ascii="Arial" w:hAnsi="Arial" w:cs="Arial"/>
          <w:i/>
        </w:rPr>
        <w:t>cell viability</w:t>
      </w:r>
    </w:p>
    <w:p w14:paraId="2C8CD7BD" w14:textId="77777777" w:rsidR="00CE7112" w:rsidRPr="002C5E6E" w:rsidRDefault="00CE7112" w:rsidP="00CE7112">
      <w:pPr>
        <w:pStyle w:val="Body"/>
        <w:spacing w:after="0"/>
        <w:rPr>
          <w:rFonts w:ascii="Arial" w:hAnsi="Arial" w:cs="Arial"/>
          <w:i/>
        </w:rPr>
      </w:pPr>
    </w:p>
    <w:p w14:paraId="323D39A3" w14:textId="77777777" w:rsidR="00CE7112" w:rsidRPr="002C5E6E" w:rsidRDefault="00CE7112" w:rsidP="00CE7112">
      <w:pPr>
        <w:pStyle w:val="AbstHead"/>
        <w:spacing w:after="0"/>
        <w:jc w:val="both"/>
        <w:rPr>
          <w:rFonts w:ascii="Arial" w:hAnsi="Arial" w:cs="Arial"/>
        </w:rPr>
      </w:pPr>
      <w:r w:rsidRPr="002C5E6E">
        <w:rPr>
          <w:rFonts w:ascii="Arial" w:hAnsi="Arial" w:cs="Arial"/>
        </w:rPr>
        <w:t xml:space="preserve">1. INTRODUCTION </w:t>
      </w:r>
    </w:p>
    <w:p w14:paraId="71D90318" w14:textId="77777777" w:rsidR="00CE7112" w:rsidRPr="002C5E6E" w:rsidRDefault="00CE7112" w:rsidP="00CE7112">
      <w:pPr>
        <w:pStyle w:val="AbstHead"/>
        <w:spacing w:after="0"/>
        <w:jc w:val="both"/>
        <w:rPr>
          <w:rFonts w:ascii="Arial" w:hAnsi="Arial" w:cs="Arial"/>
        </w:rPr>
      </w:pPr>
    </w:p>
    <w:p w14:paraId="72E24B34" w14:textId="71A5B3B4" w:rsidR="002755E9" w:rsidRPr="002C5E6E" w:rsidRDefault="00CC252E" w:rsidP="002755E9">
      <w:pPr>
        <w:pStyle w:val="Body"/>
        <w:rPr>
          <w:rFonts w:ascii="Arial" w:hAnsi="Arial" w:cs="Arial"/>
        </w:rPr>
      </w:pPr>
      <w:r w:rsidRPr="002C5E6E">
        <w:rPr>
          <w:rFonts w:ascii="Arial" w:hAnsi="Arial" w:cs="Arial"/>
        </w:rPr>
        <w:t xml:space="preserve">Acute kidney injury (AKI) is a complex clinical syndrome with multifactorial etiologies. Its underlying pathophysiology is primarily characterized by renal tubular epithelial cell injury, oxidative stress, inflammatory cascades, and mitochondrial dysfunction </w:t>
      </w:r>
      <w:r w:rsidR="000676B2" w:rsidRPr="002C5E6E">
        <w:rPr>
          <w:rFonts w:ascii="Arial" w:hAnsi="Arial" w:cs="Arial"/>
        </w:rPr>
        <w:t>(</w:t>
      </w:r>
      <w:r w:rsidRPr="002C5E6E">
        <w:rPr>
          <w:rFonts w:ascii="Arial" w:hAnsi="Arial" w:cs="Arial"/>
        </w:rPr>
        <w:t xml:space="preserve">Li et al., 2022; Aranda-Rivera et al., 2021; </w:t>
      </w:r>
      <w:proofErr w:type="spellStart"/>
      <w:r w:rsidRPr="002C5E6E">
        <w:rPr>
          <w:rFonts w:ascii="Arial" w:hAnsi="Arial" w:cs="Arial"/>
        </w:rPr>
        <w:t>Perazella</w:t>
      </w:r>
      <w:proofErr w:type="spellEnd"/>
      <w:r w:rsidRPr="002C5E6E">
        <w:rPr>
          <w:rFonts w:ascii="Arial" w:hAnsi="Arial" w:cs="Arial"/>
        </w:rPr>
        <w:t xml:space="preserve"> and Rosner, 2022</w:t>
      </w:r>
      <w:r w:rsidR="000676B2" w:rsidRPr="002C5E6E">
        <w:rPr>
          <w:rFonts w:ascii="Arial" w:hAnsi="Arial" w:cs="Arial"/>
        </w:rPr>
        <w:t>)</w:t>
      </w:r>
      <w:r w:rsidRPr="002C5E6E">
        <w:rPr>
          <w:rFonts w:ascii="Arial" w:hAnsi="Arial" w:cs="Arial"/>
        </w:rPr>
        <w:t xml:space="preserve">. Among various instigating factors, nephrotoxicity induced by chemotherapeutic agents (e.g., </w:t>
      </w:r>
      <w:r w:rsidR="00DB7001" w:rsidRPr="00DB7001">
        <w:rPr>
          <w:rFonts w:ascii="Arial" w:hAnsi="Arial" w:cs="Arial"/>
          <w:color w:val="0000CC"/>
        </w:rPr>
        <w:t>DDP</w:t>
      </w:r>
      <w:r w:rsidRPr="002C5E6E">
        <w:rPr>
          <w:rFonts w:ascii="Arial" w:hAnsi="Arial" w:cs="Arial"/>
        </w:rPr>
        <w:t xml:space="preserve">) and aminoglycoside antibiotics (e.g., </w:t>
      </w:r>
      <w:r w:rsidR="00DB7001" w:rsidRPr="00DB7001">
        <w:rPr>
          <w:rFonts w:ascii="Arial" w:hAnsi="Arial" w:cs="Arial"/>
          <w:color w:val="0000CC"/>
        </w:rPr>
        <w:t>GEN</w:t>
      </w:r>
      <w:r w:rsidRPr="002C5E6E">
        <w:rPr>
          <w:rFonts w:ascii="Arial" w:hAnsi="Arial" w:cs="Arial"/>
        </w:rPr>
        <w:t xml:space="preserve">) is particularly prevalent. </w:t>
      </w:r>
      <w:r w:rsidR="00DB7001">
        <w:rPr>
          <w:rFonts w:ascii="Arial" w:hAnsi="Arial" w:cs="Arial"/>
        </w:rPr>
        <w:t>DDP</w:t>
      </w:r>
      <w:r w:rsidRPr="002C5E6E">
        <w:rPr>
          <w:rFonts w:ascii="Arial" w:hAnsi="Arial" w:cs="Arial"/>
        </w:rPr>
        <w:t xml:space="preserve"> enters proximal tubular epithelial cells via specific basolateral membrane receptors, such as OCT2, thereby inducing mitochondrial damage and subsequent apoptosis </w:t>
      </w:r>
      <w:r w:rsidR="000676B2" w:rsidRPr="002C5E6E">
        <w:rPr>
          <w:rFonts w:ascii="Arial" w:hAnsi="Arial" w:cs="Arial"/>
        </w:rPr>
        <w:t>(</w:t>
      </w:r>
      <w:r w:rsidRPr="002C5E6E">
        <w:rPr>
          <w:rFonts w:ascii="Arial" w:hAnsi="Arial" w:cs="Arial"/>
        </w:rPr>
        <w:t>Costa et al., 2014</w:t>
      </w:r>
      <w:r w:rsidR="000676B2" w:rsidRPr="002C5E6E">
        <w:rPr>
          <w:rFonts w:ascii="Arial" w:hAnsi="Arial" w:cs="Arial"/>
        </w:rPr>
        <w:t>)</w:t>
      </w:r>
      <w:r w:rsidRPr="002C5E6E">
        <w:rPr>
          <w:rFonts w:ascii="Arial" w:hAnsi="Arial" w:cs="Arial"/>
        </w:rPr>
        <w:t xml:space="preserve">. Conversely, the high-concentration accumulation of </w:t>
      </w:r>
      <w:r w:rsidR="00DC493F" w:rsidRPr="00DC493F">
        <w:rPr>
          <w:rFonts w:ascii="Arial" w:hAnsi="Arial" w:cs="Arial"/>
          <w:color w:val="0000CC"/>
        </w:rPr>
        <w:t>GEN</w:t>
      </w:r>
      <w:r w:rsidRPr="002C5E6E">
        <w:rPr>
          <w:rFonts w:ascii="Arial" w:hAnsi="Arial" w:cs="Arial"/>
        </w:rPr>
        <w:t xml:space="preserve"> in the proximal tubules triggers a cascade of pathological reactions, culminating in the degeneration, necrosis, and desquamation of renal tubular epithelial cells </w:t>
      </w:r>
      <w:r w:rsidR="000676B2" w:rsidRPr="002C5E6E">
        <w:rPr>
          <w:rFonts w:ascii="Arial" w:hAnsi="Arial" w:cs="Arial"/>
        </w:rPr>
        <w:t>(</w:t>
      </w:r>
      <w:r w:rsidRPr="002C5E6E">
        <w:rPr>
          <w:rFonts w:ascii="Arial" w:hAnsi="Arial" w:cs="Arial"/>
        </w:rPr>
        <w:t>Jia and Ding, 2016; Igwebuike et al., 2020</w:t>
      </w:r>
      <w:r w:rsidR="000676B2" w:rsidRPr="002C5E6E">
        <w:rPr>
          <w:rFonts w:ascii="Arial" w:hAnsi="Arial" w:cs="Arial"/>
        </w:rPr>
        <w:t>)</w:t>
      </w:r>
      <w:r w:rsidRPr="002C5E6E">
        <w:rPr>
          <w:rFonts w:ascii="Arial" w:hAnsi="Arial" w:cs="Arial"/>
        </w:rPr>
        <w:t>. Although novel biomarkers, including KIM-1, IL-</w:t>
      </w:r>
      <w:r w:rsidRPr="002C5E6E">
        <w:rPr>
          <w:rFonts w:ascii="Arial" w:hAnsi="Arial" w:cs="Arial"/>
        </w:rPr>
        <w:lastRenderedPageBreak/>
        <w:t xml:space="preserve">18, and NGAL, have been clinically adopted for the early diagnosis of AKI, specific targeted pharmacotherapies remain elusive </w:t>
      </w:r>
      <w:r w:rsidR="000676B2" w:rsidRPr="002C5E6E">
        <w:rPr>
          <w:rFonts w:ascii="Arial" w:hAnsi="Arial" w:cs="Arial"/>
        </w:rPr>
        <w:t>(</w:t>
      </w:r>
      <w:proofErr w:type="spellStart"/>
      <w:r w:rsidRPr="002C5E6E">
        <w:rPr>
          <w:rFonts w:ascii="Arial" w:hAnsi="Arial" w:cs="Arial"/>
        </w:rPr>
        <w:t>Strauß</w:t>
      </w:r>
      <w:proofErr w:type="spellEnd"/>
      <w:r w:rsidRPr="002C5E6E">
        <w:rPr>
          <w:rFonts w:ascii="Arial" w:hAnsi="Arial" w:cs="Arial"/>
        </w:rPr>
        <w:t xml:space="preserve"> et al., 2024</w:t>
      </w:r>
      <w:r w:rsidR="000676B2" w:rsidRPr="002C5E6E">
        <w:rPr>
          <w:rFonts w:ascii="Arial" w:hAnsi="Arial" w:cs="Arial"/>
        </w:rPr>
        <w:t>)</w:t>
      </w:r>
      <w:r w:rsidRPr="002C5E6E">
        <w:rPr>
          <w:rFonts w:ascii="Arial" w:hAnsi="Arial" w:cs="Arial"/>
        </w:rPr>
        <w:t>. Consequently, identifying safe and effective preventive and therapeutic interventions is an urgent priority in nephrology</w:t>
      </w:r>
      <w:r w:rsidR="002755E9" w:rsidRPr="002C5E6E">
        <w:rPr>
          <w:rFonts w:ascii="Arial" w:hAnsi="Arial" w:cs="Arial"/>
        </w:rPr>
        <w:t>.</w:t>
      </w:r>
    </w:p>
    <w:p w14:paraId="0C91B104" w14:textId="2440FD51" w:rsidR="00CC252E" w:rsidRPr="002C5E6E" w:rsidRDefault="00CC252E" w:rsidP="002755E9">
      <w:pPr>
        <w:pStyle w:val="Body"/>
        <w:rPr>
          <w:rFonts w:ascii="Arial" w:hAnsi="Arial" w:cs="Arial"/>
        </w:rPr>
      </w:pPr>
      <w:r w:rsidRPr="002C5E6E">
        <w:rPr>
          <w:rFonts w:ascii="Arial" w:hAnsi="Arial" w:cs="Arial" w:hint="eastAsia"/>
        </w:rPr>
        <w:t xml:space="preserve">In recent years, Traditional Chinese Medicine (TCM) has demonstrated broad translational prospects and distinct advantages in the management of renal pathologies </w:t>
      </w:r>
      <w:r w:rsidR="000676B2" w:rsidRPr="002C5E6E">
        <w:rPr>
          <w:rFonts w:ascii="Arial" w:hAnsi="Arial" w:cs="Arial" w:hint="eastAsia"/>
        </w:rPr>
        <w:t>(</w:t>
      </w:r>
      <w:r w:rsidRPr="002C5E6E">
        <w:rPr>
          <w:rFonts w:ascii="Arial" w:hAnsi="Arial" w:cs="Arial" w:hint="eastAsia"/>
        </w:rPr>
        <w:t>Wang et al., 2025</w:t>
      </w:r>
      <w:r w:rsidR="000676B2" w:rsidRPr="002C5E6E">
        <w:rPr>
          <w:rFonts w:ascii="Arial" w:hAnsi="Arial" w:cs="Arial" w:hint="eastAsia"/>
        </w:rPr>
        <w:t>)</w:t>
      </w:r>
      <w:r w:rsidRPr="002C5E6E">
        <w:rPr>
          <w:rFonts w:ascii="Arial" w:hAnsi="Arial" w:cs="Arial" w:hint="eastAsia"/>
        </w:rPr>
        <w:t xml:space="preserve">. </w:t>
      </w:r>
      <w:r w:rsidRPr="002C5E6E">
        <w:rPr>
          <w:rFonts w:ascii="Arial" w:hAnsi="Arial" w:cs="Arial" w:hint="eastAsia"/>
          <w:i/>
          <w:iCs/>
        </w:rPr>
        <w:t>C. bassiana</w:t>
      </w:r>
      <w:r w:rsidRPr="002C5E6E">
        <w:rPr>
          <w:rFonts w:ascii="Arial" w:hAnsi="Arial" w:cs="Arial" w:hint="eastAsia"/>
        </w:rPr>
        <w:t xml:space="preserve"> (also known as </w:t>
      </w:r>
      <w:r w:rsidR="007A41D0" w:rsidRPr="002C5E6E">
        <w:rPr>
          <w:rFonts w:ascii="Arial" w:hAnsi="Arial" w:cs="Arial"/>
        </w:rPr>
        <w:t xml:space="preserve">Cicada Flower </w:t>
      </w:r>
      <w:r w:rsidRPr="002C5E6E">
        <w:rPr>
          <w:rFonts w:ascii="Arial" w:hAnsi="Arial" w:cs="Arial" w:hint="eastAsia"/>
        </w:rPr>
        <w:t>Chan Hua), a highly valued traditional fungu</w:t>
      </w:r>
      <w:r w:rsidRPr="002C5E6E">
        <w:rPr>
          <w:rFonts w:ascii="Arial" w:hAnsi="Arial" w:cs="Arial"/>
        </w:rPr>
        <w:t>s utilized for both medicinal and culinary purposes, is enriched with diverse bioactive compounds, including myriocin, polysaccharides, and nucleosides such as cordycepin, adenosine, and N</w:t>
      </w:r>
      <w:r w:rsidRPr="002C5E6E">
        <w:rPr>
          <w:rFonts w:ascii="Arial" w:hAnsi="Arial" w:cs="Arial"/>
          <w:vertAlign w:val="superscript"/>
        </w:rPr>
        <w:t>6</w:t>
      </w:r>
      <w:r w:rsidRPr="002C5E6E">
        <w:rPr>
          <w:rFonts w:ascii="Arial" w:hAnsi="Arial" w:cs="Arial"/>
        </w:rPr>
        <w:t>-(2-hydroxyethyl)</w:t>
      </w:r>
      <w:r w:rsidR="000676B2" w:rsidRPr="002C5E6E">
        <w:rPr>
          <w:rFonts w:ascii="Arial" w:hAnsi="Arial" w:cs="Arial"/>
        </w:rPr>
        <w:t xml:space="preserve"> </w:t>
      </w:r>
      <w:r w:rsidRPr="002C5E6E">
        <w:rPr>
          <w:rFonts w:ascii="Arial" w:hAnsi="Arial" w:cs="Arial"/>
        </w:rPr>
        <w:t xml:space="preserve">adenosine (HEA) </w:t>
      </w:r>
      <w:r w:rsidR="000676B2" w:rsidRPr="002C5E6E">
        <w:rPr>
          <w:rFonts w:ascii="Arial" w:hAnsi="Arial" w:cs="Arial"/>
        </w:rPr>
        <w:t>(</w:t>
      </w:r>
      <w:r w:rsidRPr="002C5E6E">
        <w:rPr>
          <w:rFonts w:ascii="Arial" w:hAnsi="Arial" w:cs="Arial"/>
        </w:rPr>
        <w:t>Qin et al., 2019</w:t>
      </w:r>
      <w:r w:rsidR="000676B2" w:rsidRPr="002C5E6E">
        <w:rPr>
          <w:rFonts w:ascii="Arial" w:hAnsi="Arial" w:cs="Arial"/>
        </w:rPr>
        <w:t>)</w:t>
      </w:r>
      <w:r w:rsidRPr="002C5E6E">
        <w:rPr>
          <w:rFonts w:ascii="Arial" w:hAnsi="Arial" w:cs="Arial"/>
        </w:rPr>
        <w:t xml:space="preserve">. Previous studies have established the significant </w:t>
      </w:r>
      <w:proofErr w:type="spellStart"/>
      <w:r w:rsidRPr="002C5E6E">
        <w:rPr>
          <w:rFonts w:ascii="Arial" w:hAnsi="Arial" w:cs="Arial"/>
        </w:rPr>
        <w:t>renoprotective</w:t>
      </w:r>
      <w:proofErr w:type="spellEnd"/>
      <w:r w:rsidRPr="002C5E6E">
        <w:rPr>
          <w:rFonts w:ascii="Arial" w:hAnsi="Arial" w:cs="Arial"/>
        </w:rPr>
        <w:t xml:space="preserve"> effects of </w:t>
      </w:r>
      <w:r w:rsidRPr="002C5E6E">
        <w:rPr>
          <w:rFonts w:ascii="Arial" w:hAnsi="Arial" w:cs="Arial"/>
          <w:i/>
          <w:iCs/>
        </w:rPr>
        <w:t>C. bassiana</w:t>
      </w:r>
      <w:r w:rsidRPr="002C5E6E">
        <w:rPr>
          <w:rFonts w:ascii="Arial" w:hAnsi="Arial" w:cs="Arial"/>
        </w:rPr>
        <w:t xml:space="preserve"> and its derivatives. These extracts effectively ameliorate hypertensive kidney injury, attenuate renal tubulointerstitial fibrosis, and mitigate cyclosporine-induced nephrotoxicity by modulating the SIRT1/p53 and FOXO3a pathways, as well as by alleviating endoplasmic reticulum stress </w:t>
      </w:r>
      <w:r w:rsidR="000676B2" w:rsidRPr="002C5E6E">
        <w:rPr>
          <w:rFonts w:ascii="Arial" w:hAnsi="Arial" w:cs="Arial"/>
        </w:rPr>
        <w:t>(</w:t>
      </w:r>
      <w:r w:rsidRPr="002C5E6E">
        <w:rPr>
          <w:rFonts w:ascii="Arial" w:hAnsi="Arial" w:cs="Arial"/>
        </w:rPr>
        <w:t>Cai et al., 2021; Huang et al., 2020</w:t>
      </w:r>
      <w:r w:rsidR="000676B2" w:rsidRPr="002C5E6E">
        <w:rPr>
          <w:rFonts w:ascii="Arial" w:hAnsi="Arial" w:cs="Arial"/>
        </w:rPr>
        <w:t>)</w:t>
      </w:r>
      <w:r w:rsidRPr="002C5E6E">
        <w:rPr>
          <w:rFonts w:ascii="Arial" w:hAnsi="Arial" w:cs="Arial"/>
        </w:rPr>
        <w:t xml:space="preserve">. However, existing literature predominantly highlights its protective effects against chronic kidney disease or highly specific toxic injuries. A systematic in vitro evaluation of the preventive and therapeutic efficacy of the aqueous extract derived from its primary active component—the spore powder—across different pathological models of AKI is notably lacking. Previous findings indicate that 75% alcohol extraction of bioactive components of </w:t>
      </w:r>
      <w:r w:rsidRPr="002C5E6E">
        <w:rPr>
          <w:rFonts w:ascii="Arial" w:hAnsi="Arial" w:cs="Arial"/>
          <w:i/>
          <w:iCs/>
        </w:rPr>
        <w:t>C. bassiana</w:t>
      </w:r>
      <w:r w:rsidRPr="002C5E6E">
        <w:rPr>
          <w:rFonts w:ascii="Arial" w:hAnsi="Arial" w:cs="Arial"/>
        </w:rPr>
        <w:t xml:space="preserve"> spore powder (BC-CBSP) exhibit lifespan-extending and anti-oxidative stress properties in Caenorhabditis elegans </w:t>
      </w:r>
      <w:r w:rsidR="000676B2" w:rsidRPr="002C5E6E">
        <w:rPr>
          <w:rFonts w:ascii="Arial" w:hAnsi="Arial" w:cs="Arial"/>
        </w:rPr>
        <w:t>(</w:t>
      </w:r>
      <w:r w:rsidRPr="002C5E6E">
        <w:rPr>
          <w:rFonts w:ascii="Arial" w:hAnsi="Arial" w:cs="Arial"/>
        </w:rPr>
        <w:t>Ye et al., 2021</w:t>
      </w:r>
      <w:r w:rsidR="000676B2" w:rsidRPr="002C5E6E">
        <w:rPr>
          <w:rFonts w:ascii="Arial" w:hAnsi="Arial" w:cs="Arial"/>
        </w:rPr>
        <w:t>)</w:t>
      </w:r>
      <w:r w:rsidRPr="002C5E6E">
        <w:rPr>
          <w:rFonts w:ascii="Arial" w:hAnsi="Arial" w:cs="Arial"/>
        </w:rPr>
        <w:t>.</w:t>
      </w:r>
    </w:p>
    <w:p w14:paraId="5143F2C2" w14:textId="6D04DC4D" w:rsidR="002755E9" w:rsidRPr="002C5E6E" w:rsidRDefault="00CC252E" w:rsidP="002755E9">
      <w:pPr>
        <w:pStyle w:val="Body"/>
        <w:rPr>
          <w:rFonts w:ascii="Arial" w:hAnsi="Arial" w:cs="Arial"/>
        </w:rPr>
      </w:pPr>
      <w:r w:rsidRPr="002C5E6E">
        <w:rPr>
          <w:rFonts w:ascii="Arial" w:hAnsi="Arial" w:cs="Arial"/>
        </w:rPr>
        <w:t xml:space="preserve">Based on this background, the present study aims to systematically investigate the preventive and therapeutic effects of AE-CBSP on acute renal tubular epithelial cell injury. The HK-2 cell line, an immortalized human renal proximal convoluted tubular epithelial model, </w:t>
      </w:r>
      <w:r w:rsidRPr="00DC493F">
        <w:rPr>
          <w:rFonts w:ascii="Arial" w:hAnsi="Arial" w:cs="Arial"/>
          <w:color w:val="0000CC"/>
        </w:rPr>
        <w:t>serve</w:t>
      </w:r>
      <w:r w:rsidR="00DC493F" w:rsidRPr="00DC493F">
        <w:rPr>
          <w:rFonts w:ascii="Arial" w:hAnsi="Arial" w:cs="Arial"/>
          <w:color w:val="0000CC"/>
        </w:rPr>
        <w:t>s</w:t>
      </w:r>
      <w:r w:rsidRPr="002C5E6E">
        <w:rPr>
          <w:rFonts w:ascii="Arial" w:hAnsi="Arial" w:cs="Arial"/>
        </w:rPr>
        <w:t xml:space="preserve"> as a critical in vitro model for elucidating the molecular mechanisms of AKI and for preliminary drug screening </w:t>
      </w:r>
      <w:r w:rsidR="000676B2" w:rsidRPr="002C5E6E">
        <w:rPr>
          <w:rFonts w:ascii="Arial" w:hAnsi="Arial" w:cs="Arial"/>
        </w:rPr>
        <w:t>(</w:t>
      </w:r>
      <w:r w:rsidRPr="002C5E6E">
        <w:rPr>
          <w:rFonts w:ascii="Arial" w:hAnsi="Arial" w:cs="Arial"/>
        </w:rPr>
        <w:t>Hu et al., 2025; Pan et al., 2026</w:t>
      </w:r>
      <w:r w:rsidR="000676B2" w:rsidRPr="002C5E6E">
        <w:rPr>
          <w:rFonts w:ascii="Arial" w:hAnsi="Arial" w:cs="Arial"/>
        </w:rPr>
        <w:t>)</w:t>
      </w:r>
      <w:r w:rsidRPr="002C5E6E">
        <w:rPr>
          <w:rFonts w:ascii="Arial" w:hAnsi="Arial" w:cs="Arial"/>
        </w:rPr>
        <w:t xml:space="preserve">. This study utilizes classic chemically-induced HK-2 cell models to simulate the pathological progression of AKI </w:t>
      </w:r>
      <w:r w:rsidR="000676B2" w:rsidRPr="002C5E6E">
        <w:rPr>
          <w:rFonts w:ascii="Arial" w:hAnsi="Arial" w:cs="Arial"/>
        </w:rPr>
        <w:t>(</w:t>
      </w:r>
      <w:r w:rsidRPr="002C5E6E">
        <w:rPr>
          <w:rFonts w:ascii="Arial" w:hAnsi="Arial" w:cs="Arial"/>
        </w:rPr>
        <w:t>Zhang et al., 2024; Gou et al., 2025</w:t>
      </w:r>
      <w:r w:rsidR="000676B2" w:rsidRPr="002C5E6E">
        <w:rPr>
          <w:rFonts w:ascii="Arial" w:hAnsi="Arial" w:cs="Arial"/>
        </w:rPr>
        <w:t>)</w:t>
      </w:r>
      <w:r w:rsidRPr="002C5E6E">
        <w:rPr>
          <w:rFonts w:ascii="Arial" w:hAnsi="Arial" w:cs="Arial"/>
        </w:rPr>
        <w:t xml:space="preserve">. The cytoprotective efficacy of AE-CBSP was evaluated by measuring cellular viability. The findings will not only validate the </w:t>
      </w:r>
      <w:proofErr w:type="spellStart"/>
      <w:r w:rsidRPr="002C5E6E">
        <w:rPr>
          <w:rFonts w:ascii="Arial" w:hAnsi="Arial" w:cs="Arial"/>
        </w:rPr>
        <w:t>renoprotective</w:t>
      </w:r>
      <w:proofErr w:type="spellEnd"/>
      <w:r w:rsidRPr="002C5E6E">
        <w:rPr>
          <w:rFonts w:ascii="Arial" w:hAnsi="Arial" w:cs="Arial"/>
        </w:rPr>
        <w:t xml:space="preserve"> properties of </w:t>
      </w:r>
      <w:r w:rsidRPr="002C5E6E">
        <w:rPr>
          <w:rFonts w:ascii="Arial" w:hAnsi="Arial" w:cs="Arial"/>
          <w:i/>
          <w:iCs/>
        </w:rPr>
        <w:t>C. bassiana</w:t>
      </w:r>
      <w:r w:rsidRPr="002C5E6E">
        <w:rPr>
          <w:rFonts w:ascii="Arial" w:hAnsi="Arial" w:cs="Arial"/>
        </w:rPr>
        <w:t xml:space="preserve"> spore powder but also establish a robust experimental basis for developing novel, targeted TCM interventions for AKI.</w:t>
      </w:r>
      <w:r w:rsidR="002755E9" w:rsidRPr="002C5E6E">
        <w:rPr>
          <w:rFonts w:ascii="Arial" w:hAnsi="Arial" w:cs="Arial"/>
        </w:rPr>
        <w:t xml:space="preserve"> </w:t>
      </w:r>
    </w:p>
    <w:p w14:paraId="63B39421" w14:textId="77777777" w:rsidR="00CE7112" w:rsidRPr="002C5E6E" w:rsidRDefault="00CE7112" w:rsidP="00CE7112">
      <w:pPr>
        <w:pStyle w:val="AbstHead"/>
        <w:spacing w:after="0"/>
        <w:jc w:val="both"/>
        <w:rPr>
          <w:rFonts w:ascii="Arial" w:hAnsi="Arial" w:cs="Arial"/>
        </w:rPr>
      </w:pPr>
      <w:r w:rsidRPr="002C5E6E">
        <w:rPr>
          <w:rFonts w:ascii="Arial" w:hAnsi="Arial" w:cs="Arial"/>
        </w:rPr>
        <w:t>2. material</w:t>
      </w:r>
      <w:r w:rsidRPr="002C5E6E">
        <w:rPr>
          <w:rFonts w:ascii="Arial" w:hAnsi="Arial" w:cs="Arial" w:hint="eastAsia"/>
          <w:lang w:eastAsia="zh-CN"/>
        </w:rPr>
        <w:t>s</w:t>
      </w:r>
      <w:r w:rsidRPr="002C5E6E">
        <w:rPr>
          <w:rFonts w:ascii="Arial" w:hAnsi="Arial" w:cs="Arial"/>
        </w:rPr>
        <w:t xml:space="preserve"> and methods </w:t>
      </w:r>
    </w:p>
    <w:p w14:paraId="7B46AB53" w14:textId="77777777" w:rsidR="00CE7112" w:rsidRPr="002C5E6E" w:rsidRDefault="00CE7112" w:rsidP="00CE7112">
      <w:pPr>
        <w:pStyle w:val="AbstHead"/>
        <w:spacing w:after="0"/>
        <w:jc w:val="both"/>
        <w:rPr>
          <w:rFonts w:ascii="Arial" w:hAnsi="Arial" w:cs="Arial"/>
        </w:rPr>
      </w:pPr>
    </w:p>
    <w:p w14:paraId="61277A39" w14:textId="026FED70" w:rsidR="00CE7112" w:rsidRPr="002C5E6E" w:rsidRDefault="00CE7112" w:rsidP="00CE7112">
      <w:pPr>
        <w:pStyle w:val="Body"/>
        <w:spacing w:after="0"/>
        <w:rPr>
          <w:rFonts w:ascii="Arial" w:hAnsi="Arial" w:cs="Arial"/>
        </w:rPr>
      </w:pPr>
      <w:r w:rsidRPr="002C5E6E">
        <w:rPr>
          <w:rFonts w:ascii="Arial" w:hAnsi="Arial" w:cs="Arial"/>
          <w:b/>
          <w:caps/>
          <w:sz w:val="22"/>
        </w:rPr>
        <w:t xml:space="preserve">2.1 </w:t>
      </w:r>
      <w:r w:rsidR="00EB39DB" w:rsidRPr="002C5E6E">
        <w:rPr>
          <w:rFonts w:ascii="Arial" w:hAnsi="Arial" w:cs="Arial"/>
          <w:b/>
          <w:sz w:val="22"/>
        </w:rPr>
        <w:t xml:space="preserve">Preparation of the Aqueous Extract of </w:t>
      </w:r>
      <w:r w:rsidR="00EB39DB" w:rsidRPr="002C5E6E">
        <w:rPr>
          <w:rFonts w:ascii="Arial" w:hAnsi="Arial" w:cs="Arial"/>
          <w:b/>
          <w:i/>
          <w:iCs/>
          <w:sz w:val="22"/>
        </w:rPr>
        <w:t>C. bassiana</w:t>
      </w:r>
      <w:r w:rsidR="00EB39DB" w:rsidRPr="002C5E6E">
        <w:rPr>
          <w:rFonts w:ascii="Arial" w:hAnsi="Arial" w:cs="Arial"/>
          <w:b/>
          <w:sz w:val="22"/>
        </w:rPr>
        <w:t xml:space="preserve"> Spore Powder</w:t>
      </w:r>
    </w:p>
    <w:p w14:paraId="4288CC47" w14:textId="77777777" w:rsidR="00CE7112" w:rsidRPr="002C5E6E" w:rsidRDefault="00CE7112" w:rsidP="00CE7112">
      <w:pPr>
        <w:pStyle w:val="AbstHead"/>
        <w:spacing w:after="0"/>
        <w:jc w:val="both"/>
        <w:rPr>
          <w:rFonts w:ascii="Arial" w:hAnsi="Arial" w:cs="Arial"/>
        </w:rPr>
      </w:pPr>
    </w:p>
    <w:p w14:paraId="332845AF" w14:textId="1936A138" w:rsidR="00423B65" w:rsidRPr="002C5E6E" w:rsidRDefault="00423B65" w:rsidP="00CE7112">
      <w:pPr>
        <w:pStyle w:val="Body"/>
        <w:rPr>
          <w:rFonts w:ascii="Arial" w:hAnsi="Arial" w:cs="Arial"/>
        </w:rPr>
      </w:pPr>
      <w:r w:rsidRPr="002C5E6E">
        <w:rPr>
          <w:rFonts w:ascii="Arial" w:hAnsi="Arial" w:cs="Arial"/>
          <w:b/>
        </w:rPr>
        <w:t>2.1.1 Extraction of AE-CBSP via Aqueous Boiling</w:t>
      </w:r>
    </w:p>
    <w:p w14:paraId="15118508" w14:textId="40E5BCA5" w:rsidR="00CE7112" w:rsidRPr="002C5E6E" w:rsidRDefault="00423B65" w:rsidP="00CE7112">
      <w:pPr>
        <w:pStyle w:val="Body"/>
        <w:rPr>
          <w:rFonts w:ascii="Arial" w:hAnsi="Arial" w:cs="Arial"/>
        </w:rPr>
      </w:pPr>
      <w:r w:rsidRPr="002C5E6E">
        <w:rPr>
          <w:rFonts w:ascii="Arial" w:hAnsi="Arial" w:cs="Arial"/>
        </w:rPr>
        <w:t xml:space="preserve">Approximately 5.0 g of </w:t>
      </w:r>
      <w:r w:rsidRPr="002C5E6E">
        <w:rPr>
          <w:rFonts w:ascii="Arial" w:hAnsi="Arial" w:cs="Arial"/>
          <w:i/>
          <w:iCs/>
        </w:rPr>
        <w:t>C. bassiana</w:t>
      </w:r>
      <w:r w:rsidRPr="002C5E6E">
        <w:rPr>
          <w:rFonts w:ascii="Arial" w:hAnsi="Arial" w:cs="Arial"/>
        </w:rPr>
        <w:t xml:space="preserve"> spore powder was suspended in 500 mL of ultrapure water. The suspension was placed in a stainless-steel container and gradually heated to boiling using </w:t>
      </w:r>
      <w:r w:rsidRPr="00DC493F">
        <w:rPr>
          <w:rFonts w:ascii="Arial" w:hAnsi="Arial" w:cs="Arial"/>
          <w:color w:val="0000CC"/>
        </w:rPr>
        <w:t xml:space="preserve">a </w:t>
      </w:r>
      <w:r w:rsidR="00DC493F" w:rsidRPr="00DC493F">
        <w:rPr>
          <w:rFonts w:ascii="Arial" w:hAnsi="Arial" w:cs="Arial"/>
          <w:color w:val="0000CC"/>
        </w:rPr>
        <w:t xml:space="preserve">600 W </w:t>
      </w:r>
      <w:r w:rsidRPr="00DC493F">
        <w:rPr>
          <w:rFonts w:ascii="Arial" w:hAnsi="Arial" w:cs="Arial"/>
          <w:color w:val="0000CC"/>
        </w:rPr>
        <w:t xml:space="preserve">constant-temperature heating apparatus. </w:t>
      </w:r>
      <w:r w:rsidRPr="00DC493F">
        <w:rPr>
          <w:rFonts w:ascii="Arial" w:hAnsi="Arial" w:cs="Arial"/>
        </w:rPr>
        <w:t>B</w:t>
      </w:r>
      <w:r w:rsidRPr="002C5E6E">
        <w:rPr>
          <w:rFonts w:ascii="Arial" w:hAnsi="Arial" w:cs="Arial"/>
        </w:rPr>
        <w:t xml:space="preserve">oiling was maintained for 30 min, followed by rapid cooling in an ice-water bath. The cooled suspension was centrifuged at 3000 rpm for 5 min to collect the supernatant. The acquired supernatant was subsequently concentrated to a final volume of 20 mL using a rotary evaporator. Finally, the concentrated extract was sterilized via filtration through an autoclaved 0.22 </w:t>
      </w:r>
      <w:proofErr w:type="spellStart"/>
      <w:r w:rsidRPr="002C5E6E">
        <w:rPr>
          <w:rFonts w:ascii="Arial" w:hAnsi="Arial" w:cs="Arial"/>
        </w:rPr>
        <w:t>μm</w:t>
      </w:r>
      <w:proofErr w:type="spellEnd"/>
      <w:r w:rsidRPr="002C5E6E">
        <w:rPr>
          <w:rFonts w:ascii="Arial" w:hAnsi="Arial" w:cs="Arial"/>
        </w:rPr>
        <w:t xml:space="preserve"> microporous membrane, aliquoted, and stored at -20 °C until use.</w:t>
      </w:r>
    </w:p>
    <w:p w14:paraId="234FBA9D" w14:textId="515BA289" w:rsidR="00423B65" w:rsidRPr="002C5E6E" w:rsidRDefault="00423B65" w:rsidP="00423B65">
      <w:pPr>
        <w:pStyle w:val="Body"/>
        <w:rPr>
          <w:rFonts w:ascii="Arial" w:hAnsi="Arial" w:cs="Arial"/>
        </w:rPr>
      </w:pPr>
      <w:r w:rsidRPr="002C5E6E">
        <w:rPr>
          <w:rFonts w:ascii="Arial" w:hAnsi="Arial" w:cs="Arial"/>
          <w:b/>
        </w:rPr>
        <w:t>2.1.2 Determination of Nucleoside Content via HPLC</w:t>
      </w:r>
    </w:p>
    <w:p w14:paraId="410ED112" w14:textId="77777777" w:rsidR="00423B65" w:rsidRPr="002C5E6E" w:rsidRDefault="00423B65" w:rsidP="00423B65">
      <w:pPr>
        <w:pStyle w:val="Body"/>
        <w:rPr>
          <w:rFonts w:ascii="Arial" w:hAnsi="Arial" w:cs="Arial"/>
        </w:rPr>
      </w:pPr>
      <w:r w:rsidRPr="002C5E6E">
        <w:rPr>
          <w:rFonts w:ascii="Arial" w:hAnsi="Arial" w:cs="Arial"/>
        </w:rPr>
        <w:t xml:space="preserve">High-performance liquid chromatography (HPLC) was performed using a Thermo Fisher Ultimate 3000 system equipped with a diode-array detector (DAD) and an Agilent C8 column (4.6 mm × 250 mm, 5 </w:t>
      </w:r>
      <w:proofErr w:type="spellStart"/>
      <w:r w:rsidRPr="002C5E6E">
        <w:rPr>
          <w:rFonts w:ascii="Arial" w:hAnsi="Arial" w:cs="Arial"/>
        </w:rPr>
        <w:t>μm</w:t>
      </w:r>
      <w:proofErr w:type="spellEnd"/>
      <w:r w:rsidRPr="002C5E6E">
        <w:rPr>
          <w:rFonts w:ascii="Arial" w:hAnsi="Arial" w:cs="Arial"/>
        </w:rPr>
        <w:t xml:space="preserve">). The mobile phase consisted of double-distilled water (A) and </w:t>
      </w:r>
      <w:r w:rsidRPr="002C5E6E">
        <w:rPr>
          <w:rFonts w:ascii="Arial" w:hAnsi="Arial" w:cs="Arial"/>
        </w:rPr>
        <w:lastRenderedPageBreak/>
        <w:t xml:space="preserve">methanol (B). A gradient elution was applied as follows: 0–4.0 min, 5% B; 4.0–10.0 min, 5%–10% B; 10.0–15.0 min, 10%–40% B; 15.0–20.0 min, 40%–80% B; 20.0–23.0 min, 80%–100% B; 23.0–23.1 min, 100%–5% B; and 23.1–28.0 min, 5% B. The flow rate was maintained at 1.0 mL/min, the injection volume was 20 </w:t>
      </w:r>
      <w:proofErr w:type="spellStart"/>
      <w:r w:rsidRPr="002C5E6E">
        <w:rPr>
          <w:rFonts w:ascii="Arial" w:hAnsi="Arial" w:cs="Arial"/>
        </w:rPr>
        <w:t>μL</w:t>
      </w:r>
      <w:proofErr w:type="spellEnd"/>
      <w:r w:rsidRPr="002C5E6E">
        <w:rPr>
          <w:rFonts w:ascii="Arial" w:hAnsi="Arial" w:cs="Arial"/>
        </w:rPr>
        <w:t>, and the column temperature was set to 25 °C.</w:t>
      </w:r>
    </w:p>
    <w:p w14:paraId="57F52BE4" w14:textId="2D10FA67" w:rsidR="00423B65" w:rsidRPr="002C5E6E" w:rsidRDefault="00423B65" w:rsidP="00CE7112">
      <w:pPr>
        <w:pStyle w:val="Body"/>
        <w:rPr>
          <w:rFonts w:ascii="Arial" w:hAnsi="Arial" w:cs="Arial"/>
        </w:rPr>
      </w:pPr>
      <w:r w:rsidRPr="002C5E6E">
        <w:rPr>
          <w:rFonts w:ascii="Arial" w:hAnsi="Arial" w:cs="Arial"/>
        </w:rPr>
        <w:t>Reference standards for guanosine, inosine, adenosine, cordycepin, and N6-(2-</w:t>
      </w:r>
      <w:proofErr w:type="gramStart"/>
      <w:r w:rsidRPr="002C5E6E">
        <w:rPr>
          <w:rFonts w:ascii="Arial" w:hAnsi="Arial" w:cs="Arial"/>
        </w:rPr>
        <w:t>hydroxyethyl)adenosine</w:t>
      </w:r>
      <w:proofErr w:type="gramEnd"/>
      <w:r w:rsidRPr="002C5E6E">
        <w:rPr>
          <w:rFonts w:ascii="Arial" w:hAnsi="Arial" w:cs="Arial"/>
        </w:rPr>
        <w:t xml:space="preserve"> were dissolved utilizing ultrasonication and analyzed via HPLC. Standard curves were generated by plotting the peak areas (y-axis) against the mass concentrations of the standard solutions (x-axis) to obtain regression equations. The prepared AE-CBSP samples were subsequently analyzed under identical chromatographic conditions, and the nucleoside concentrations within the samples were quantified using the established linear regression equations.</w:t>
      </w:r>
    </w:p>
    <w:p w14:paraId="43C21CF0" w14:textId="035CB229" w:rsidR="00423B65" w:rsidRPr="002C5E6E" w:rsidRDefault="00423B65" w:rsidP="00423B65">
      <w:pPr>
        <w:pStyle w:val="Body"/>
        <w:rPr>
          <w:rFonts w:ascii="Arial" w:hAnsi="Arial" w:cs="Arial"/>
        </w:rPr>
      </w:pPr>
      <w:r w:rsidRPr="002C5E6E">
        <w:rPr>
          <w:rFonts w:ascii="Arial" w:hAnsi="Arial" w:cs="Arial"/>
          <w:b/>
        </w:rPr>
        <w:t>2.1.3 Screening of AE-CBSP Cytotoxicity Concentrations</w:t>
      </w:r>
    </w:p>
    <w:p w14:paraId="7F630FDD" w14:textId="2B1D0E2D" w:rsidR="00423B65" w:rsidRPr="002C5E6E" w:rsidRDefault="00CF6529" w:rsidP="00CE7112">
      <w:pPr>
        <w:pStyle w:val="Body"/>
        <w:rPr>
          <w:rFonts w:ascii="Arial" w:hAnsi="Arial" w:cs="Arial"/>
        </w:rPr>
      </w:pPr>
      <w:r w:rsidRPr="002C5E6E">
        <w:rPr>
          <w:rFonts w:ascii="Arial" w:hAnsi="Arial" w:cs="Arial"/>
        </w:rPr>
        <w:t xml:space="preserve">To evaluate the concentration-dependent effects of AE-CBSP, HK-2 cells were divided into a control group (basal medium) and treatment groups (AE-CBSP at 50, 100, 200, 400, 800, 1600, 3200, and 6400 </w:t>
      </w:r>
      <w:proofErr w:type="spellStart"/>
      <w:r w:rsidRPr="002C5E6E">
        <w:rPr>
          <w:rFonts w:ascii="Arial" w:hAnsi="Arial" w:cs="Arial"/>
        </w:rPr>
        <w:t>μg</w:t>
      </w:r>
      <w:proofErr w:type="spellEnd"/>
      <w:r w:rsidRPr="002C5E6E">
        <w:rPr>
          <w:rFonts w:ascii="Arial" w:hAnsi="Arial" w:cs="Arial"/>
        </w:rPr>
        <w:t xml:space="preserve">/mL). </w:t>
      </w:r>
      <w:r w:rsidRPr="00CF6529">
        <w:rPr>
          <w:rFonts w:ascii="Arial" w:hAnsi="Arial" w:cs="Arial"/>
          <w:color w:val="0000CC"/>
        </w:rPr>
        <w:t>HK-2 cells were obtained from the China Center for Type Culture Collection (CCTCC, Wuhan, China), and were cultured in 90% DMEM-F12 medium, supplemented with 10% FBS and 1% antibiotics</w:t>
      </w:r>
      <w:r w:rsidRPr="00CF6529">
        <w:rPr>
          <w:rFonts w:ascii="Arial" w:hAnsi="Arial" w:cs="Arial" w:hint="eastAsia"/>
          <w:color w:val="0000CC"/>
        </w:rPr>
        <w:t xml:space="preserve">. </w:t>
      </w:r>
      <w:r w:rsidR="00423B65" w:rsidRPr="002C5E6E">
        <w:rPr>
          <w:rFonts w:ascii="Arial" w:hAnsi="Arial" w:cs="Arial"/>
        </w:rPr>
        <w:t xml:space="preserve">HK-2 cells in the logarithmic growth phase were </w:t>
      </w:r>
      <w:proofErr w:type="spellStart"/>
      <w:r w:rsidR="00423B65" w:rsidRPr="002C5E6E">
        <w:rPr>
          <w:rFonts w:ascii="Arial" w:hAnsi="Arial" w:cs="Arial"/>
        </w:rPr>
        <w:t>trypsinized</w:t>
      </w:r>
      <w:proofErr w:type="spellEnd"/>
      <w:r w:rsidR="00423B65" w:rsidRPr="002C5E6E">
        <w:rPr>
          <w:rFonts w:ascii="Arial" w:hAnsi="Arial" w:cs="Arial"/>
        </w:rPr>
        <w:t xml:space="preserve"> and seeded into 96-well plates at a density of 1 × 10⁵ cells/mL (100 </w:t>
      </w:r>
      <w:proofErr w:type="spellStart"/>
      <w:r w:rsidR="00423B65" w:rsidRPr="002C5E6E">
        <w:rPr>
          <w:rFonts w:ascii="Arial" w:hAnsi="Arial" w:cs="Arial"/>
        </w:rPr>
        <w:t>μL</w:t>
      </w:r>
      <w:proofErr w:type="spellEnd"/>
      <w:r w:rsidR="00423B65" w:rsidRPr="002C5E6E">
        <w:rPr>
          <w:rFonts w:ascii="Arial" w:hAnsi="Arial" w:cs="Arial"/>
        </w:rPr>
        <w:t>/well). To prevent evaporation, the peripheral wells were filled with sterile phosphate-buffered saline (PBS). The plates were incubated at 37 °C in a humidified atmosphere containing 5% CO</w:t>
      </w:r>
      <w:r w:rsidR="00423B65" w:rsidRPr="002C5E6E">
        <w:rPr>
          <w:rFonts w:ascii="Times New Roman" w:hAnsi="Times New Roman"/>
        </w:rPr>
        <w:t>₂</w:t>
      </w:r>
      <w:r w:rsidR="00423B65" w:rsidRPr="002C5E6E">
        <w:rPr>
          <w:rFonts w:ascii="Arial" w:hAnsi="Arial" w:cs="Arial"/>
        </w:rPr>
        <w:t xml:space="preserve">. Upon reaching 80% confluence, the culture medium was replaced with basal medium containing varying concentrations of AE-CBSP (50–6400 </w:t>
      </w:r>
      <w:proofErr w:type="spellStart"/>
      <w:r w:rsidR="00423B65" w:rsidRPr="002C5E6E">
        <w:rPr>
          <w:rFonts w:ascii="Arial" w:hAnsi="Arial" w:cs="Arial"/>
        </w:rPr>
        <w:t>μg</w:t>
      </w:r>
      <w:proofErr w:type="spellEnd"/>
      <w:r w:rsidR="00423B65" w:rsidRPr="002C5E6E">
        <w:rPr>
          <w:rFonts w:ascii="Arial" w:hAnsi="Arial" w:cs="Arial"/>
        </w:rPr>
        <w:t xml:space="preserve">/mL) for the treatment groups, or an equal volume of fresh basal medium for the control group. After incubation periods of 12 h, 24 h, and 36 h, 10 </w:t>
      </w:r>
      <w:proofErr w:type="spellStart"/>
      <w:r w:rsidR="00423B65" w:rsidRPr="002C5E6E">
        <w:rPr>
          <w:rFonts w:ascii="Arial" w:hAnsi="Arial" w:cs="Arial"/>
        </w:rPr>
        <w:t>μL</w:t>
      </w:r>
      <w:proofErr w:type="spellEnd"/>
      <w:r w:rsidR="00423B65" w:rsidRPr="002C5E6E">
        <w:rPr>
          <w:rFonts w:ascii="Arial" w:hAnsi="Arial" w:cs="Arial"/>
        </w:rPr>
        <w:t xml:space="preserve"> of Cell Counting Kit-8 (CCK-8) reagent was added to each well. The cells were incubated for an additional 1 h in the dark, and the absorbance was measured at 450 nm using a microplate reader.</w:t>
      </w:r>
    </w:p>
    <w:p w14:paraId="5C293116" w14:textId="49A25062" w:rsidR="00CE7112" w:rsidRPr="002C5E6E" w:rsidRDefault="00CE7112" w:rsidP="00CE7112">
      <w:pPr>
        <w:pStyle w:val="Body"/>
        <w:spacing w:after="0"/>
        <w:rPr>
          <w:rFonts w:ascii="Arial" w:hAnsi="Arial" w:cs="Arial"/>
        </w:rPr>
      </w:pPr>
      <w:r w:rsidRPr="002C5E6E">
        <w:rPr>
          <w:rFonts w:ascii="Arial" w:hAnsi="Arial" w:cs="Arial"/>
          <w:b/>
          <w:caps/>
          <w:sz w:val="22"/>
        </w:rPr>
        <w:t xml:space="preserve">2.2 </w:t>
      </w:r>
      <w:r w:rsidR="003C5A05" w:rsidRPr="002C5E6E">
        <w:rPr>
          <w:rFonts w:ascii="Arial" w:hAnsi="Arial" w:cs="Arial"/>
          <w:b/>
          <w:sz w:val="22"/>
        </w:rPr>
        <w:t>Establishment of</w:t>
      </w:r>
      <w:r w:rsidR="003C5A05" w:rsidRPr="00DB7001">
        <w:rPr>
          <w:rFonts w:ascii="Arial" w:hAnsi="Arial" w:cs="Arial"/>
          <w:b/>
          <w:color w:val="0000CC"/>
          <w:sz w:val="22"/>
        </w:rPr>
        <w:t xml:space="preserve"> GEN and DDP</w:t>
      </w:r>
      <w:r w:rsidR="003C5A05" w:rsidRPr="002C5E6E">
        <w:rPr>
          <w:rFonts w:ascii="Arial" w:hAnsi="Arial" w:cs="Arial"/>
          <w:b/>
          <w:sz w:val="22"/>
        </w:rPr>
        <w:t xml:space="preserve"> Induced Kidney Injury Models</w:t>
      </w:r>
    </w:p>
    <w:p w14:paraId="334D0723" w14:textId="77777777" w:rsidR="00CE7112" w:rsidRPr="002C5E6E" w:rsidRDefault="00CE7112" w:rsidP="00CE7112">
      <w:pPr>
        <w:pStyle w:val="AbstHead"/>
        <w:spacing w:after="0"/>
        <w:jc w:val="both"/>
        <w:rPr>
          <w:rFonts w:ascii="Arial" w:hAnsi="Arial" w:cs="Arial"/>
        </w:rPr>
      </w:pPr>
    </w:p>
    <w:p w14:paraId="677E9151" w14:textId="77777777" w:rsidR="003C5A05" w:rsidRPr="002C5E6E" w:rsidRDefault="003C5A05" w:rsidP="003C5A05">
      <w:pPr>
        <w:pStyle w:val="Body"/>
        <w:rPr>
          <w:rFonts w:ascii="Arial" w:hAnsi="Arial" w:cs="Arial"/>
        </w:rPr>
      </w:pPr>
      <w:r w:rsidRPr="002C5E6E">
        <w:rPr>
          <w:rFonts w:ascii="Arial" w:hAnsi="Arial" w:cs="Arial"/>
        </w:rPr>
        <w:t xml:space="preserve">The injury models were categorized into a control group (HK-2 cells + basal medium), a GEN-treated group (HK-2 cells + 2000, 4000, 6000, 8000, or 10000 </w:t>
      </w:r>
      <w:proofErr w:type="spellStart"/>
      <w:r w:rsidRPr="002C5E6E">
        <w:rPr>
          <w:rFonts w:ascii="Arial" w:hAnsi="Arial" w:cs="Arial"/>
        </w:rPr>
        <w:t>μM</w:t>
      </w:r>
      <w:proofErr w:type="spellEnd"/>
      <w:r w:rsidRPr="002C5E6E">
        <w:rPr>
          <w:rFonts w:ascii="Arial" w:hAnsi="Arial" w:cs="Arial"/>
        </w:rPr>
        <w:t xml:space="preserve"> GEN), and a DDP-treated group (HK-2 cells + 5, 10, 20, 40, or 80 </w:t>
      </w:r>
      <w:proofErr w:type="spellStart"/>
      <w:r w:rsidRPr="002C5E6E">
        <w:rPr>
          <w:rFonts w:ascii="Arial" w:hAnsi="Arial" w:cs="Arial"/>
        </w:rPr>
        <w:t>μM</w:t>
      </w:r>
      <w:proofErr w:type="spellEnd"/>
      <w:r w:rsidRPr="002C5E6E">
        <w:rPr>
          <w:rFonts w:ascii="Arial" w:hAnsi="Arial" w:cs="Arial"/>
        </w:rPr>
        <w:t xml:space="preserve"> DDP).</w:t>
      </w:r>
    </w:p>
    <w:p w14:paraId="7D99CB88" w14:textId="77777777" w:rsidR="003C5A05" w:rsidRPr="002C5E6E" w:rsidRDefault="003C5A05" w:rsidP="003C5A05">
      <w:pPr>
        <w:pStyle w:val="Body"/>
        <w:rPr>
          <w:rFonts w:ascii="Arial" w:hAnsi="Arial" w:cs="Arial"/>
        </w:rPr>
      </w:pPr>
      <w:r w:rsidRPr="002C5E6E">
        <w:rPr>
          <w:rFonts w:ascii="Arial" w:hAnsi="Arial" w:cs="Arial"/>
        </w:rPr>
        <w:t xml:space="preserve">HK-2 cells in the logarithmic growth phase were prepared and seeded into 96-well plates (1 × 10⁵ cells/mL, 100 </w:t>
      </w:r>
      <w:proofErr w:type="spellStart"/>
      <w:r w:rsidRPr="002C5E6E">
        <w:rPr>
          <w:rFonts w:ascii="Arial" w:hAnsi="Arial" w:cs="Arial"/>
        </w:rPr>
        <w:t>μL</w:t>
      </w:r>
      <w:proofErr w:type="spellEnd"/>
      <w:r w:rsidRPr="002C5E6E">
        <w:rPr>
          <w:rFonts w:ascii="Arial" w:hAnsi="Arial" w:cs="Arial"/>
        </w:rPr>
        <w:t xml:space="preserve">/well) following the </w:t>
      </w:r>
      <w:proofErr w:type="gramStart"/>
      <w:r w:rsidRPr="002C5E6E">
        <w:rPr>
          <w:rFonts w:ascii="Arial" w:hAnsi="Arial" w:cs="Arial"/>
        </w:rPr>
        <w:t>aforementioned protocol</w:t>
      </w:r>
      <w:proofErr w:type="gramEnd"/>
      <w:r w:rsidRPr="002C5E6E">
        <w:rPr>
          <w:rFonts w:ascii="Arial" w:hAnsi="Arial" w:cs="Arial"/>
        </w:rPr>
        <w:t xml:space="preserve">. Once the cells reached 80% confluence, they were exposed to either GEN (2000–10000 </w:t>
      </w:r>
      <w:proofErr w:type="spellStart"/>
      <w:r w:rsidRPr="002C5E6E">
        <w:rPr>
          <w:rFonts w:ascii="Arial" w:hAnsi="Arial" w:cs="Arial"/>
        </w:rPr>
        <w:t>μM</w:t>
      </w:r>
      <w:proofErr w:type="spellEnd"/>
      <w:r w:rsidRPr="002C5E6E">
        <w:rPr>
          <w:rFonts w:ascii="Arial" w:hAnsi="Arial" w:cs="Arial"/>
        </w:rPr>
        <w:t xml:space="preserve">) or DDP (5–80 </w:t>
      </w:r>
      <w:proofErr w:type="spellStart"/>
      <w:r w:rsidRPr="002C5E6E">
        <w:rPr>
          <w:rFonts w:ascii="Arial" w:hAnsi="Arial" w:cs="Arial"/>
        </w:rPr>
        <w:t>μM</w:t>
      </w:r>
      <w:proofErr w:type="spellEnd"/>
      <w:r w:rsidRPr="002C5E6E">
        <w:rPr>
          <w:rFonts w:ascii="Arial" w:hAnsi="Arial" w:cs="Arial"/>
        </w:rPr>
        <w:t>). The control group received an equal volume of basal medium. The plates were incubated for 24 h at 37 °C with 5% CO</w:t>
      </w:r>
      <w:r w:rsidRPr="002C5E6E">
        <w:rPr>
          <w:rFonts w:ascii="Times New Roman" w:hAnsi="Times New Roman"/>
        </w:rPr>
        <w:t>₂</w:t>
      </w:r>
      <w:r w:rsidRPr="002C5E6E">
        <w:rPr>
          <w:rFonts w:ascii="Arial" w:hAnsi="Arial" w:cs="Arial"/>
        </w:rPr>
        <w:t xml:space="preserve">. Following the treatment, cell viability was assessed by adding 10 </w:t>
      </w:r>
      <w:proofErr w:type="spellStart"/>
      <w:r w:rsidRPr="002C5E6E">
        <w:rPr>
          <w:rFonts w:ascii="Arial" w:hAnsi="Arial" w:cs="Arial"/>
        </w:rPr>
        <w:t>μL</w:t>
      </w:r>
      <w:proofErr w:type="spellEnd"/>
      <w:r w:rsidRPr="002C5E6E">
        <w:rPr>
          <w:rFonts w:ascii="Arial" w:hAnsi="Arial" w:cs="Arial"/>
        </w:rPr>
        <w:t xml:space="preserve"> of CCK-8 reagent to each well, incubating for 1 h, and measuring the absorbance at 450 nm.</w:t>
      </w:r>
    </w:p>
    <w:p w14:paraId="4E94323E" w14:textId="4A3D8530" w:rsidR="00CE7112" w:rsidRPr="002C5E6E" w:rsidRDefault="00CE7112" w:rsidP="00CE7112">
      <w:pPr>
        <w:pStyle w:val="Body"/>
        <w:spacing w:after="0"/>
        <w:rPr>
          <w:rFonts w:ascii="Arial" w:hAnsi="Arial" w:cs="Arial"/>
        </w:rPr>
      </w:pPr>
      <w:r w:rsidRPr="002C5E6E">
        <w:rPr>
          <w:rFonts w:ascii="Arial" w:hAnsi="Arial" w:cs="Arial"/>
          <w:b/>
          <w:caps/>
          <w:sz w:val="22"/>
        </w:rPr>
        <w:t xml:space="preserve">2.3 </w:t>
      </w:r>
      <w:r w:rsidR="003C5A05" w:rsidRPr="002C5E6E">
        <w:rPr>
          <w:rFonts w:ascii="Arial" w:hAnsi="Arial" w:cs="Arial"/>
          <w:b/>
          <w:sz w:val="22"/>
        </w:rPr>
        <w:t>Statistical Analysis</w:t>
      </w:r>
    </w:p>
    <w:p w14:paraId="26584EF7" w14:textId="77777777" w:rsidR="00CE7112" w:rsidRPr="002C5E6E" w:rsidRDefault="00CE7112" w:rsidP="00CE7112">
      <w:pPr>
        <w:pStyle w:val="AbstHead"/>
        <w:spacing w:after="0"/>
        <w:jc w:val="both"/>
        <w:rPr>
          <w:rFonts w:ascii="Arial" w:hAnsi="Arial" w:cs="Arial"/>
        </w:rPr>
      </w:pPr>
    </w:p>
    <w:p w14:paraId="45E2B466" w14:textId="5C69D4C8" w:rsidR="00CE7112" w:rsidRPr="002C5E6E" w:rsidRDefault="003C5A05" w:rsidP="003C5A05">
      <w:pPr>
        <w:pStyle w:val="Body"/>
        <w:rPr>
          <w:rFonts w:ascii="Arial" w:hAnsi="Arial" w:cs="Arial"/>
        </w:rPr>
      </w:pPr>
      <w:r w:rsidRPr="002C5E6E">
        <w:rPr>
          <w:rFonts w:ascii="Arial" w:hAnsi="Arial" w:cs="Arial"/>
        </w:rPr>
        <w:t xml:space="preserve">Data visualization and statistical analyses were performed using GraphPad Prism software. Differences among multiple groups were evaluated using Duncan's new multiple range test for analysis of variance (ANOVA). All experimental data are expressed as the mean ± standard deviation (SD). </w:t>
      </w:r>
      <w:r w:rsidR="002B3BAF" w:rsidRPr="002C5E6E">
        <w:rPr>
          <w:rFonts w:ascii="Arial" w:hAnsi="Arial" w:cs="Arial"/>
        </w:rPr>
        <w:t>Statistical significance is denoted as: *P &lt; 0.05, **P &lt; 0.01, ****P &lt; 0.0001; ns indicates no significant difference</w:t>
      </w:r>
      <w:r w:rsidR="00CE7112" w:rsidRPr="002C5E6E">
        <w:rPr>
          <w:rFonts w:ascii="Arial" w:hAnsi="Arial" w:cs="Arial"/>
        </w:rPr>
        <w:t>.</w:t>
      </w:r>
    </w:p>
    <w:p w14:paraId="616F81BC" w14:textId="77777777" w:rsidR="00CE7112" w:rsidRPr="002C5E6E" w:rsidRDefault="00CE7112" w:rsidP="00CE7112">
      <w:pPr>
        <w:pStyle w:val="Body"/>
        <w:spacing w:after="0"/>
        <w:rPr>
          <w:rFonts w:ascii="Arial" w:hAnsi="Arial" w:cs="Arial"/>
        </w:rPr>
      </w:pPr>
    </w:p>
    <w:p w14:paraId="0DD0EBE8" w14:textId="77777777" w:rsidR="00CE7112" w:rsidRPr="002C5E6E" w:rsidRDefault="00CE7112" w:rsidP="00CE7112">
      <w:pPr>
        <w:pStyle w:val="Head1"/>
        <w:spacing w:after="0"/>
        <w:jc w:val="both"/>
        <w:rPr>
          <w:rFonts w:ascii="Arial" w:hAnsi="Arial" w:cs="Arial"/>
        </w:rPr>
      </w:pPr>
      <w:r w:rsidRPr="002C5E6E">
        <w:rPr>
          <w:rFonts w:ascii="Arial" w:hAnsi="Arial" w:cs="Arial"/>
        </w:rPr>
        <w:t>3. results</w:t>
      </w:r>
    </w:p>
    <w:p w14:paraId="22F6D842" w14:textId="77777777" w:rsidR="00CE7112" w:rsidRPr="002C5E6E" w:rsidRDefault="00CE7112" w:rsidP="00CE7112">
      <w:pPr>
        <w:pStyle w:val="Head1"/>
        <w:spacing w:after="0"/>
        <w:jc w:val="both"/>
        <w:rPr>
          <w:rFonts w:ascii="Arial" w:hAnsi="Arial" w:cs="Arial"/>
        </w:rPr>
      </w:pPr>
    </w:p>
    <w:p w14:paraId="72D31F8F" w14:textId="2B51814E" w:rsidR="00CE7112" w:rsidRPr="002C5E6E" w:rsidRDefault="00CE7112" w:rsidP="00CE7112">
      <w:pPr>
        <w:pStyle w:val="Body"/>
        <w:spacing w:after="0"/>
        <w:rPr>
          <w:rFonts w:ascii="Arial" w:hAnsi="Arial" w:cs="Arial"/>
        </w:rPr>
      </w:pPr>
      <w:r w:rsidRPr="002C5E6E">
        <w:rPr>
          <w:rFonts w:ascii="Arial" w:hAnsi="Arial" w:cs="Arial"/>
          <w:b/>
          <w:caps/>
          <w:sz w:val="22"/>
        </w:rPr>
        <w:t xml:space="preserve">3.1 </w:t>
      </w:r>
      <w:r w:rsidR="0078605E" w:rsidRPr="002C5E6E">
        <w:rPr>
          <w:rFonts w:ascii="Arial" w:hAnsi="Arial" w:cs="Arial"/>
          <w:b/>
          <w:sz w:val="22"/>
        </w:rPr>
        <w:t>Quantification of Nucleoside Content in AE-CBSP via HPLC</w:t>
      </w:r>
      <w:r w:rsidRPr="002C5E6E">
        <w:rPr>
          <w:rFonts w:ascii="Arial" w:hAnsi="Arial" w:cs="Arial"/>
          <w:b/>
          <w:i/>
          <w:sz w:val="22"/>
        </w:rPr>
        <w:t xml:space="preserve"> </w:t>
      </w:r>
    </w:p>
    <w:p w14:paraId="286EAB02" w14:textId="77777777" w:rsidR="00CE7112" w:rsidRPr="002C5E6E" w:rsidRDefault="00CE7112" w:rsidP="00CE7112">
      <w:pPr>
        <w:pStyle w:val="Head1"/>
        <w:spacing w:after="0"/>
        <w:jc w:val="both"/>
        <w:rPr>
          <w:rFonts w:ascii="Arial" w:hAnsi="Arial" w:cs="Arial"/>
        </w:rPr>
      </w:pPr>
    </w:p>
    <w:p w14:paraId="38A34185" w14:textId="399371D1" w:rsidR="00CE7112" w:rsidRPr="002C5E6E" w:rsidRDefault="002172E0" w:rsidP="00CE7112">
      <w:pPr>
        <w:pStyle w:val="Body"/>
        <w:rPr>
          <w:rFonts w:ascii="Arial" w:hAnsi="Arial" w:cs="Arial"/>
        </w:rPr>
      </w:pPr>
      <w:r w:rsidRPr="002C5E6E">
        <w:rPr>
          <w:rFonts w:ascii="Arial" w:hAnsi="Arial" w:cs="Arial"/>
        </w:rPr>
        <w:t>Standard curves were generated by plotting the mass concentration of each nucleoside standard (</w:t>
      </w:r>
      <w:proofErr w:type="spellStart"/>
      <w:r w:rsidRPr="002C5E6E">
        <w:rPr>
          <w:rFonts w:ascii="Arial" w:hAnsi="Arial" w:cs="Arial"/>
        </w:rPr>
        <w:t>μg</w:t>
      </w:r>
      <w:proofErr w:type="spellEnd"/>
      <w:r w:rsidRPr="002C5E6E">
        <w:rPr>
          <w:rFonts w:ascii="Arial" w:hAnsi="Arial" w:cs="Arial"/>
        </w:rPr>
        <w:t>/mL) against its corresponding chromatographic peak area (</w:t>
      </w:r>
      <w:proofErr w:type="spellStart"/>
      <w:r w:rsidRPr="002C5E6E">
        <w:rPr>
          <w:rFonts w:ascii="Arial" w:hAnsi="Arial" w:cs="Arial"/>
        </w:rPr>
        <w:t>mAU</w:t>
      </w:r>
      <w:proofErr w:type="spellEnd"/>
      <w:r w:rsidRPr="002C5E6E">
        <w:rPr>
          <w:rFonts w:ascii="Arial" w:hAnsi="Arial" w:cs="Arial"/>
        </w:rPr>
        <w:t>). The resulting regression equations and correlation coefficients (R</w:t>
      </w:r>
      <w:r w:rsidRPr="002C5E6E">
        <w:rPr>
          <w:rFonts w:ascii="Arial" w:hAnsi="Arial" w:cs="Arial"/>
          <w:vertAlign w:val="superscript"/>
        </w:rPr>
        <w:t>2</w:t>
      </w:r>
      <w:r w:rsidRPr="002C5E6E">
        <w:rPr>
          <w:rFonts w:ascii="Arial" w:hAnsi="Arial" w:cs="Arial"/>
        </w:rPr>
        <w:t xml:space="preserve">&gt;0.999) demonstrated excellent linearity for all standards within their respective concentration ranges (Table 1). The AE-CBSP samples were subsequently analyzed under identical chromatographic conditions (Figure 1), and the nucleoside concentrations were quantified using these linear equations. The analysis revealed that the AE-CBSP contained 65.78 </w:t>
      </w:r>
      <w:proofErr w:type="spellStart"/>
      <w:r w:rsidRPr="002C5E6E">
        <w:rPr>
          <w:rFonts w:ascii="Arial" w:hAnsi="Arial" w:cs="Arial"/>
        </w:rPr>
        <w:t>μg</w:t>
      </w:r>
      <w:proofErr w:type="spellEnd"/>
      <w:r w:rsidRPr="002C5E6E">
        <w:rPr>
          <w:rFonts w:ascii="Arial" w:hAnsi="Arial" w:cs="Arial"/>
        </w:rPr>
        <w:t xml:space="preserve">/g of uridine, 74.40 </w:t>
      </w:r>
      <w:proofErr w:type="spellStart"/>
      <w:r w:rsidRPr="002C5E6E">
        <w:rPr>
          <w:rFonts w:ascii="Arial" w:hAnsi="Arial" w:cs="Arial"/>
        </w:rPr>
        <w:t>μg</w:t>
      </w:r>
      <w:proofErr w:type="spellEnd"/>
      <w:r w:rsidRPr="002C5E6E">
        <w:rPr>
          <w:rFonts w:ascii="Arial" w:hAnsi="Arial" w:cs="Arial"/>
        </w:rPr>
        <w:t xml:space="preserve">/g of inosine, 353.96 </w:t>
      </w:r>
      <w:proofErr w:type="spellStart"/>
      <w:r w:rsidRPr="002C5E6E">
        <w:rPr>
          <w:rFonts w:ascii="Arial" w:hAnsi="Arial" w:cs="Arial"/>
        </w:rPr>
        <w:t>μg</w:t>
      </w:r>
      <w:proofErr w:type="spellEnd"/>
      <w:r w:rsidRPr="002C5E6E">
        <w:rPr>
          <w:rFonts w:ascii="Arial" w:hAnsi="Arial" w:cs="Arial"/>
        </w:rPr>
        <w:t xml:space="preserve">/g of guanosine, 980.96 </w:t>
      </w:r>
      <w:proofErr w:type="spellStart"/>
      <w:r w:rsidRPr="002C5E6E">
        <w:rPr>
          <w:rFonts w:ascii="Arial" w:hAnsi="Arial" w:cs="Arial"/>
        </w:rPr>
        <w:t>μg</w:t>
      </w:r>
      <w:proofErr w:type="spellEnd"/>
      <w:r w:rsidRPr="002C5E6E">
        <w:rPr>
          <w:rFonts w:ascii="Arial" w:hAnsi="Arial" w:cs="Arial"/>
        </w:rPr>
        <w:t xml:space="preserve">/g of adenosine, 60.152 </w:t>
      </w:r>
      <w:proofErr w:type="spellStart"/>
      <w:r w:rsidRPr="002C5E6E">
        <w:rPr>
          <w:rFonts w:ascii="Arial" w:hAnsi="Arial" w:cs="Arial"/>
        </w:rPr>
        <w:t>μg</w:t>
      </w:r>
      <w:proofErr w:type="spellEnd"/>
      <w:r w:rsidRPr="002C5E6E">
        <w:rPr>
          <w:rFonts w:ascii="Arial" w:hAnsi="Arial" w:cs="Arial"/>
        </w:rPr>
        <w:t xml:space="preserve">/g of cordycepin, and 348.98 </w:t>
      </w:r>
      <w:proofErr w:type="spellStart"/>
      <w:r w:rsidRPr="002C5E6E">
        <w:rPr>
          <w:rFonts w:ascii="Arial" w:hAnsi="Arial" w:cs="Arial"/>
        </w:rPr>
        <w:t>μg</w:t>
      </w:r>
      <w:proofErr w:type="spellEnd"/>
      <w:r w:rsidRPr="002C5E6E">
        <w:rPr>
          <w:rFonts w:ascii="Arial" w:hAnsi="Arial" w:cs="Arial"/>
        </w:rPr>
        <w:t>/g of N</w:t>
      </w:r>
      <w:r w:rsidRPr="002C5E6E">
        <w:rPr>
          <w:rFonts w:ascii="Arial" w:hAnsi="Arial" w:cs="Arial"/>
          <w:vertAlign w:val="superscript"/>
        </w:rPr>
        <w:t>6</w:t>
      </w:r>
      <w:r w:rsidRPr="002C5E6E">
        <w:rPr>
          <w:rFonts w:ascii="Arial" w:hAnsi="Arial" w:cs="Arial"/>
        </w:rPr>
        <w:t>-(2-</w:t>
      </w:r>
      <w:proofErr w:type="gramStart"/>
      <w:r w:rsidRPr="002C5E6E">
        <w:rPr>
          <w:rFonts w:ascii="Arial" w:hAnsi="Arial" w:cs="Arial"/>
        </w:rPr>
        <w:t>hydroxyethyl)adenosine</w:t>
      </w:r>
      <w:proofErr w:type="gramEnd"/>
      <w:r w:rsidRPr="002C5E6E">
        <w:rPr>
          <w:rFonts w:ascii="Arial" w:hAnsi="Arial" w:cs="Arial"/>
        </w:rPr>
        <w:t>.</w:t>
      </w:r>
    </w:p>
    <w:p w14:paraId="789373DA" w14:textId="77777777" w:rsidR="002172E0" w:rsidRPr="002C5E6E" w:rsidRDefault="002172E0" w:rsidP="002172E0">
      <w:pPr>
        <w:rPr>
          <w:rFonts w:ascii="Arial" w:hAnsi="Arial" w:cs="Arial"/>
        </w:rPr>
      </w:pPr>
      <w:r w:rsidRPr="002C5E6E">
        <w:rPr>
          <w:rFonts w:ascii="Arial" w:hAnsi="Arial" w:cs="Arial"/>
        </w:rPr>
        <w:t>Table 1 Regression analysis of 6 nucleoside components</w:t>
      </w:r>
    </w:p>
    <w:tbl>
      <w:tblPr>
        <w:tblStyle w:val="a9"/>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2172E0" w:rsidRPr="002C5E6E" w14:paraId="2322EBFC" w14:textId="77777777" w:rsidTr="008E3EA4">
        <w:tc>
          <w:tcPr>
            <w:tcW w:w="2765" w:type="dxa"/>
            <w:tcBorders>
              <w:top w:val="single" w:sz="12" w:space="0" w:color="auto"/>
              <w:bottom w:val="single" w:sz="8" w:space="0" w:color="auto"/>
            </w:tcBorders>
          </w:tcPr>
          <w:p w14:paraId="4BD0729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Components</w:t>
            </w:r>
          </w:p>
        </w:tc>
        <w:tc>
          <w:tcPr>
            <w:tcW w:w="2765" w:type="dxa"/>
            <w:tcBorders>
              <w:top w:val="single" w:sz="12" w:space="0" w:color="auto"/>
              <w:bottom w:val="single" w:sz="8" w:space="0" w:color="auto"/>
            </w:tcBorders>
          </w:tcPr>
          <w:p w14:paraId="16CA247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 xml:space="preserve">Regression Equation </w:t>
            </w:r>
          </w:p>
        </w:tc>
        <w:tc>
          <w:tcPr>
            <w:tcW w:w="2766" w:type="dxa"/>
            <w:tcBorders>
              <w:top w:val="single" w:sz="12" w:space="0" w:color="auto"/>
              <w:bottom w:val="single" w:sz="8" w:space="0" w:color="auto"/>
            </w:tcBorders>
          </w:tcPr>
          <w:p w14:paraId="63E6AA5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Correlation Coefficient</w:t>
            </w:r>
          </w:p>
        </w:tc>
      </w:tr>
      <w:tr w:rsidR="002172E0" w:rsidRPr="002C5E6E" w14:paraId="45AF90DA" w14:textId="77777777" w:rsidTr="008E3EA4">
        <w:tc>
          <w:tcPr>
            <w:tcW w:w="2765" w:type="dxa"/>
            <w:tcBorders>
              <w:top w:val="single" w:sz="8" w:space="0" w:color="auto"/>
            </w:tcBorders>
          </w:tcPr>
          <w:p w14:paraId="0DC3E47D"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Uridine</w:t>
            </w:r>
          </w:p>
        </w:tc>
        <w:tc>
          <w:tcPr>
            <w:tcW w:w="2765" w:type="dxa"/>
            <w:tcBorders>
              <w:top w:val="single" w:sz="8" w:space="0" w:color="auto"/>
            </w:tcBorders>
          </w:tcPr>
          <w:p w14:paraId="2F213CE5"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y=1.3257x+0.0287</w:t>
            </w:r>
          </w:p>
        </w:tc>
        <w:tc>
          <w:tcPr>
            <w:tcW w:w="2766" w:type="dxa"/>
            <w:tcBorders>
              <w:top w:val="single" w:sz="8" w:space="0" w:color="auto"/>
            </w:tcBorders>
          </w:tcPr>
          <w:p w14:paraId="2929DA7C"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=0.9999</w:t>
            </w:r>
          </w:p>
        </w:tc>
      </w:tr>
      <w:tr w:rsidR="002172E0" w:rsidRPr="002C5E6E" w14:paraId="79E0D3ED" w14:textId="77777777" w:rsidTr="008E3EA4">
        <w:tc>
          <w:tcPr>
            <w:tcW w:w="2765" w:type="dxa"/>
          </w:tcPr>
          <w:p w14:paraId="7B54D1C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Inosine</w:t>
            </w:r>
          </w:p>
        </w:tc>
        <w:tc>
          <w:tcPr>
            <w:tcW w:w="2765" w:type="dxa"/>
          </w:tcPr>
          <w:p w14:paraId="0001F182"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y=0.6387x-0.0252</w:t>
            </w:r>
          </w:p>
        </w:tc>
        <w:tc>
          <w:tcPr>
            <w:tcW w:w="2766" w:type="dxa"/>
          </w:tcPr>
          <w:p w14:paraId="659AACB7"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=1.0000</w:t>
            </w:r>
          </w:p>
        </w:tc>
      </w:tr>
      <w:tr w:rsidR="002172E0" w:rsidRPr="002C5E6E" w14:paraId="069A6EA7" w14:textId="77777777" w:rsidTr="008E3EA4">
        <w:tc>
          <w:tcPr>
            <w:tcW w:w="2765" w:type="dxa"/>
          </w:tcPr>
          <w:p w14:paraId="412F24E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Guanosine</w:t>
            </w:r>
          </w:p>
        </w:tc>
        <w:tc>
          <w:tcPr>
            <w:tcW w:w="2765" w:type="dxa"/>
          </w:tcPr>
          <w:p w14:paraId="48A8A5C9"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y=0.5456x-0.0198</w:t>
            </w:r>
          </w:p>
        </w:tc>
        <w:tc>
          <w:tcPr>
            <w:tcW w:w="2766" w:type="dxa"/>
          </w:tcPr>
          <w:p w14:paraId="08ECFC5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=1.0000</w:t>
            </w:r>
          </w:p>
        </w:tc>
      </w:tr>
      <w:tr w:rsidR="002172E0" w:rsidRPr="002C5E6E" w14:paraId="46A37370" w14:textId="77777777" w:rsidTr="008E3EA4">
        <w:tc>
          <w:tcPr>
            <w:tcW w:w="2765" w:type="dxa"/>
          </w:tcPr>
          <w:p w14:paraId="6D93C199"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Adenosine</w:t>
            </w:r>
          </w:p>
        </w:tc>
        <w:tc>
          <w:tcPr>
            <w:tcW w:w="2765" w:type="dxa"/>
          </w:tcPr>
          <w:p w14:paraId="58770EFB"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y=0.3184x-0.0107</w:t>
            </w:r>
          </w:p>
        </w:tc>
        <w:tc>
          <w:tcPr>
            <w:tcW w:w="2766" w:type="dxa"/>
          </w:tcPr>
          <w:p w14:paraId="6A868B86"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=0.9999</w:t>
            </w:r>
          </w:p>
        </w:tc>
      </w:tr>
      <w:tr w:rsidR="002172E0" w:rsidRPr="002C5E6E" w14:paraId="0393B16F" w14:textId="77777777" w:rsidTr="008E3EA4">
        <w:tc>
          <w:tcPr>
            <w:tcW w:w="2765" w:type="dxa"/>
          </w:tcPr>
          <w:p w14:paraId="07906EC6"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Cordycepin</w:t>
            </w:r>
          </w:p>
        </w:tc>
        <w:tc>
          <w:tcPr>
            <w:tcW w:w="2765" w:type="dxa"/>
          </w:tcPr>
          <w:p w14:paraId="4AF668A9"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y=0.3757x-0.0062</w:t>
            </w:r>
          </w:p>
        </w:tc>
        <w:tc>
          <w:tcPr>
            <w:tcW w:w="2766" w:type="dxa"/>
          </w:tcPr>
          <w:p w14:paraId="6A1A0737"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=0.9999</w:t>
            </w:r>
          </w:p>
        </w:tc>
      </w:tr>
      <w:tr w:rsidR="002172E0" w:rsidRPr="002C5E6E" w14:paraId="7222C718" w14:textId="77777777" w:rsidTr="008E3EA4">
        <w:tc>
          <w:tcPr>
            <w:tcW w:w="2765" w:type="dxa"/>
          </w:tcPr>
          <w:p w14:paraId="540AAAB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HEA</w:t>
            </w:r>
          </w:p>
        </w:tc>
        <w:tc>
          <w:tcPr>
            <w:tcW w:w="2765" w:type="dxa"/>
          </w:tcPr>
          <w:p w14:paraId="38451670"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y=1.3269x+0.0961</w:t>
            </w:r>
          </w:p>
        </w:tc>
        <w:tc>
          <w:tcPr>
            <w:tcW w:w="2766" w:type="dxa"/>
          </w:tcPr>
          <w:p w14:paraId="4D7A913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=0.9998</w:t>
            </w:r>
          </w:p>
        </w:tc>
      </w:tr>
    </w:tbl>
    <w:p w14:paraId="51B6E2A0" w14:textId="7F644211" w:rsidR="00CE7112" w:rsidRPr="002C5E6E" w:rsidRDefault="002172E0" w:rsidP="00CE7112">
      <w:pPr>
        <w:autoSpaceDE w:val="0"/>
        <w:autoSpaceDN w:val="0"/>
        <w:adjustRightInd w:val="0"/>
        <w:jc w:val="center"/>
        <w:rPr>
          <w:rFonts w:ascii="Arial" w:hAnsi="Arial" w:cs="Arial"/>
          <w:b/>
          <w:bCs/>
          <w:sz w:val="22"/>
          <w:szCs w:val="22"/>
        </w:rPr>
      </w:pPr>
      <w:r w:rsidRPr="002C5E6E">
        <w:rPr>
          <w:noProof/>
        </w:rPr>
        <w:drawing>
          <wp:inline distT="0" distB="0" distL="0" distR="0" wp14:anchorId="444776CB" wp14:editId="0E086B95">
            <wp:extent cx="4119880" cy="315265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22512" cy="3154670"/>
                    </a:xfrm>
                    <a:prstGeom prst="rect">
                      <a:avLst/>
                    </a:prstGeom>
                  </pic:spPr>
                </pic:pic>
              </a:graphicData>
            </a:graphic>
          </wp:inline>
        </w:drawing>
      </w:r>
    </w:p>
    <w:p w14:paraId="7020F47B" w14:textId="15B4C949" w:rsidR="00CE7112" w:rsidRPr="002C5E6E" w:rsidRDefault="00CE7112" w:rsidP="00CE7112">
      <w:pPr>
        <w:autoSpaceDE w:val="0"/>
        <w:autoSpaceDN w:val="0"/>
        <w:adjustRightInd w:val="0"/>
        <w:jc w:val="both"/>
        <w:rPr>
          <w:rFonts w:ascii="Arial" w:hAnsi="Arial" w:cs="Arial"/>
          <w:b/>
          <w:bCs/>
          <w:szCs w:val="22"/>
        </w:rPr>
      </w:pPr>
      <w:r w:rsidRPr="002C5E6E">
        <w:rPr>
          <w:rFonts w:ascii="Arial" w:hAnsi="Arial" w:cs="Arial"/>
          <w:b/>
          <w:bCs/>
          <w:szCs w:val="22"/>
        </w:rPr>
        <w:t xml:space="preserve">Fig. </w:t>
      </w:r>
      <w:r w:rsidR="002172E0" w:rsidRPr="002C5E6E">
        <w:rPr>
          <w:rFonts w:ascii="Arial" w:hAnsi="Arial" w:cs="Arial"/>
          <w:b/>
          <w:bCs/>
          <w:szCs w:val="22"/>
        </w:rPr>
        <w:t>1</w:t>
      </w:r>
      <w:r w:rsidRPr="002C5E6E">
        <w:rPr>
          <w:rFonts w:ascii="Arial" w:hAnsi="Arial" w:cs="Arial"/>
          <w:b/>
          <w:bCs/>
          <w:szCs w:val="22"/>
        </w:rPr>
        <w:t xml:space="preserve">. </w:t>
      </w:r>
      <w:r w:rsidR="002172E0" w:rsidRPr="002C5E6E">
        <w:rPr>
          <w:rFonts w:ascii="Arial" w:hAnsi="Arial" w:cs="Arial"/>
          <w:b/>
          <w:bCs/>
          <w:szCs w:val="22"/>
        </w:rPr>
        <w:t>Chromatogram of BC-CBSP detected by HPLC method</w:t>
      </w:r>
      <w:r w:rsidR="00006A8C" w:rsidRPr="002C5E6E">
        <w:rPr>
          <w:rFonts w:ascii="Arial" w:hAnsi="Arial" w:cs="Arial"/>
          <w:b/>
          <w:bCs/>
          <w:szCs w:val="22"/>
        </w:rPr>
        <w:t>.</w:t>
      </w:r>
    </w:p>
    <w:p w14:paraId="3B500327" w14:textId="685F4F9E" w:rsidR="00CE7112" w:rsidRPr="002C5E6E" w:rsidRDefault="00CE7112" w:rsidP="00CE7112">
      <w:pPr>
        <w:pStyle w:val="Body"/>
        <w:spacing w:after="0"/>
        <w:rPr>
          <w:rFonts w:ascii="Arial" w:hAnsi="Arial" w:cs="Arial"/>
        </w:rPr>
      </w:pPr>
    </w:p>
    <w:p w14:paraId="2B7E4328" w14:textId="065458B8" w:rsidR="00006A8C" w:rsidRPr="002C5E6E" w:rsidRDefault="00006A8C" w:rsidP="00CE7112">
      <w:pPr>
        <w:pStyle w:val="Body"/>
        <w:spacing w:after="0"/>
        <w:rPr>
          <w:rFonts w:ascii="Arial" w:hAnsi="Arial" w:cs="Arial"/>
        </w:rPr>
      </w:pPr>
    </w:p>
    <w:p w14:paraId="344F02DE" w14:textId="6B859185" w:rsidR="00006A8C" w:rsidRPr="002C5E6E" w:rsidRDefault="00006A8C" w:rsidP="00006A8C">
      <w:pPr>
        <w:pStyle w:val="Body"/>
        <w:spacing w:after="0"/>
        <w:rPr>
          <w:rFonts w:ascii="Arial" w:hAnsi="Arial" w:cs="Arial"/>
        </w:rPr>
      </w:pPr>
    </w:p>
    <w:p w14:paraId="2596CBB9" w14:textId="55B5C319" w:rsidR="00CE7112" w:rsidRPr="002C5E6E" w:rsidRDefault="00CE7112" w:rsidP="00CE7112">
      <w:pPr>
        <w:pStyle w:val="Body"/>
        <w:spacing w:after="0"/>
        <w:rPr>
          <w:rFonts w:ascii="Arial" w:hAnsi="Arial" w:cs="Arial"/>
          <w:b/>
          <w:sz w:val="22"/>
        </w:rPr>
      </w:pPr>
      <w:r w:rsidRPr="002C5E6E">
        <w:rPr>
          <w:rFonts w:ascii="Arial" w:hAnsi="Arial" w:cs="Arial"/>
          <w:b/>
          <w:caps/>
          <w:sz w:val="22"/>
        </w:rPr>
        <w:t>3.</w:t>
      </w:r>
      <w:r w:rsidR="00006A8C" w:rsidRPr="002C5E6E">
        <w:rPr>
          <w:rFonts w:ascii="Arial" w:hAnsi="Arial" w:cs="Arial"/>
          <w:b/>
          <w:caps/>
          <w:sz w:val="22"/>
        </w:rPr>
        <w:t>2</w:t>
      </w:r>
      <w:r w:rsidRPr="002C5E6E">
        <w:rPr>
          <w:rFonts w:ascii="Arial" w:hAnsi="Arial" w:cs="Arial"/>
          <w:b/>
          <w:caps/>
          <w:sz w:val="22"/>
        </w:rPr>
        <w:t xml:space="preserve"> </w:t>
      </w:r>
      <w:r w:rsidR="00026BB6" w:rsidRPr="002C5E6E">
        <w:rPr>
          <w:rFonts w:ascii="Arial" w:hAnsi="Arial" w:cs="Arial"/>
          <w:b/>
          <w:sz w:val="22"/>
        </w:rPr>
        <w:t>Cytotoxicity Screening of AE-CBSP</w:t>
      </w:r>
    </w:p>
    <w:p w14:paraId="25124144" w14:textId="77777777" w:rsidR="00CE7112" w:rsidRPr="002C5E6E" w:rsidRDefault="00CE7112" w:rsidP="00CE7112">
      <w:pPr>
        <w:pStyle w:val="Head1"/>
        <w:spacing w:after="0"/>
        <w:jc w:val="both"/>
        <w:rPr>
          <w:rFonts w:ascii="Arial" w:hAnsi="Arial" w:cs="Arial"/>
        </w:rPr>
      </w:pPr>
    </w:p>
    <w:p w14:paraId="485E8500" w14:textId="3056E007" w:rsidR="00CE7112" w:rsidRPr="002C5E6E" w:rsidRDefault="00026BB6" w:rsidP="00CE7112">
      <w:pPr>
        <w:pStyle w:val="Body"/>
        <w:rPr>
          <w:rFonts w:ascii="Arial" w:hAnsi="Arial" w:cs="Arial"/>
        </w:rPr>
      </w:pPr>
      <w:r w:rsidRPr="002C5E6E">
        <w:rPr>
          <w:rFonts w:ascii="Arial" w:hAnsi="Arial" w:cs="Arial"/>
        </w:rPr>
        <w:t xml:space="preserve">The effects of varying concentrations of AE-CBSP on HK-2 cell viability are illustrated in Figure 2. Within the concentration range of 50 to 6400 </w:t>
      </w:r>
      <w:proofErr w:type="spellStart"/>
      <w:r w:rsidRPr="002C5E6E">
        <w:rPr>
          <w:rFonts w:ascii="Arial" w:hAnsi="Arial" w:cs="Arial"/>
        </w:rPr>
        <w:t>μg</w:t>
      </w:r>
      <w:proofErr w:type="spellEnd"/>
      <w:r w:rsidRPr="002C5E6E">
        <w:rPr>
          <w:rFonts w:ascii="Arial" w:hAnsi="Arial" w:cs="Arial"/>
        </w:rPr>
        <w:t>/mL, AE-CBSP exhibited a dose-</w:t>
      </w:r>
      <w:r w:rsidRPr="002C5E6E">
        <w:rPr>
          <w:rFonts w:ascii="Arial" w:hAnsi="Arial" w:cs="Arial"/>
        </w:rPr>
        <w:lastRenderedPageBreak/>
        <w:t xml:space="preserve">dependent inhibitory effect on cell viability. Compared to the control group, AE-CBSP concentrations exceeding 200 </w:t>
      </w:r>
      <w:proofErr w:type="spellStart"/>
      <w:r w:rsidRPr="002C5E6E">
        <w:rPr>
          <w:rFonts w:ascii="Arial" w:hAnsi="Arial" w:cs="Arial"/>
        </w:rPr>
        <w:t>μg</w:t>
      </w:r>
      <w:proofErr w:type="spellEnd"/>
      <w:r w:rsidRPr="002C5E6E">
        <w:rPr>
          <w:rFonts w:ascii="Arial" w:hAnsi="Arial" w:cs="Arial"/>
        </w:rPr>
        <w:t xml:space="preserve">/mL significantly reduced cell viability after 12 h of incubation (P&lt;0.01). Following 24 h and 36 h of incubation, significant cytotoxicity was only observed at concentrations exceeding 3200 </w:t>
      </w:r>
      <w:proofErr w:type="spellStart"/>
      <w:r w:rsidRPr="002C5E6E">
        <w:rPr>
          <w:rFonts w:ascii="Arial" w:hAnsi="Arial" w:cs="Arial"/>
        </w:rPr>
        <w:t>μg</w:t>
      </w:r>
      <w:proofErr w:type="spellEnd"/>
      <w:r w:rsidRPr="002C5E6E">
        <w:rPr>
          <w:rFonts w:ascii="Arial" w:hAnsi="Arial" w:cs="Arial"/>
        </w:rPr>
        <w:t>/mL (P&lt;0.0001 and P&lt;0.001, respectively).</w:t>
      </w:r>
    </w:p>
    <w:p w14:paraId="30F3E3AB" w14:textId="77777777" w:rsidR="00026BB6" w:rsidRPr="002C5E6E" w:rsidRDefault="00026BB6" w:rsidP="00026BB6">
      <w:pPr>
        <w:pStyle w:val="Body"/>
        <w:rPr>
          <w:rFonts w:ascii="Arial" w:hAnsi="Arial" w:cs="Arial"/>
        </w:rPr>
      </w:pPr>
      <w:r w:rsidRPr="002C5E6E">
        <w:rPr>
          <w:rFonts w:ascii="Arial" w:hAnsi="Arial" w:cs="Arial"/>
        </w:rPr>
        <w:t>Interestingly, at a given concentration, cell viability demonstrated an upward trend as the incubation period was extended. This phenomenon suggests a cellular adaptive response: during the initial phase of exposure (12 h), cells may experience transient stress, whereas prolonged exposure (24 h, 36 h) allows cells to develop adaptive tolerance, leading to viability recovery. Furthermore, as a complex multi-component mixture, AE-CBSP may exert bidirectional regulatory effects. At lower concentrations or extended durations, the pro-proliferative constituents of the extract may predominate, whereas at higher concentrations, acute cytotoxicity masks any potential proliferative benefits.</w:t>
      </w:r>
    </w:p>
    <w:p w14:paraId="0FDD3E71" w14:textId="1771F276" w:rsidR="00026BB6" w:rsidRPr="002C5E6E" w:rsidRDefault="00026BB6" w:rsidP="00026BB6">
      <w:pPr>
        <w:pStyle w:val="Body"/>
        <w:rPr>
          <w:rFonts w:ascii="Arial" w:hAnsi="Arial" w:cs="Arial"/>
        </w:rPr>
      </w:pPr>
      <w:r w:rsidRPr="002C5E6E">
        <w:rPr>
          <w:rFonts w:ascii="Arial" w:hAnsi="Arial" w:cs="Arial"/>
        </w:rPr>
        <w:t xml:space="preserve">Critically, at concentrations up to 800 </w:t>
      </w:r>
      <w:proofErr w:type="spellStart"/>
      <w:r w:rsidRPr="002C5E6E">
        <w:rPr>
          <w:rFonts w:ascii="Arial" w:hAnsi="Arial" w:cs="Arial"/>
        </w:rPr>
        <w:t>μg</w:t>
      </w:r>
      <w:proofErr w:type="spellEnd"/>
      <w:r w:rsidRPr="002C5E6E">
        <w:rPr>
          <w:rFonts w:ascii="Arial" w:hAnsi="Arial" w:cs="Arial"/>
        </w:rPr>
        <w:t xml:space="preserve">/mL, AE-CBSP incubation for 24 h resulted in less than 10% inhibition of HK-2 cell viability, demonstrating a high biosafety profile within this therapeutic window. Consequently, concentrations of 50, 100, 200, 400, and 800 </w:t>
      </w:r>
      <w:proofErr w:type="spellStart"/>
      <w:r w:rsidRPr="002C5E6E">
        <w:rPr>
          <w:rFonts w:ascii="Arial" w:hAnsi="Arial" w:cs="Arial"/>
        </w:rPr>
        <w:t>μg</w:t>
      </w:r>
      <w:proofErr w:type="spellEnd"/>
      <w:r w:rsidRPr="002C5E6E">
        <w:rPr>
          <w:rFonts w:ascii="Arial" w:hAnsi="Arial" w:cs="Arial"/>
        </w:rPr>
        <w:t>/mL were selected for subsequent efficacy experiments.</w:t>
      </w:r>
    </w:p>
    <w:p w14:paraId="5E0FABD7" w14:textId="432608CC" w:rsidR="00CE7112" w:rsidRPr="00687ADC" w:rsidRDefault="00BE005F" w:rsidP="00026BB6">
      <w:pPr>
        <w:pStyle w:val="Body"/>
        <w:rPr>
          <w:rFonts w:ascii="Arial" w:hAnsi="Arial" w:cs="Arial"/>
          <w:color w:val="0000CC"/>
        </w:rPr>
      </w:pPr>
      <w:r>
        <w:rPr>
          <w:rFonts w:ascii="Arial" w:hAnsi="Arial" w:cs="Arial"/>
          <w:b/>
          <w:bCs/>
          <w:noProof/>
          <w:color w:val="0000CC"/>
          <w:szCs w:val="22"/>
        </w:rPr>
        <w:drawing>
          <wp:inline distT="0" distB="0" distL="0" distR="0" wp14:anchorId="252C4C15" wp14:editId="6C9CD20E">
            <wp:extent cx="5212080" cy="2006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2006600"/>
                    </a:xfrm>
                    <a:prstGeom prst="rect">
                      <a:avLst/>
                    </a:prstGeom>
                  </pic:spPr>
                </pic:pic>
              </a:graphicData>
            </a:graphic>
          </wp:inline>
        </w:drawing>
      </w:r>
      <w:r w:rsidR="00CE7112" w:rsidRPr="00687ADC">
        <w:rPr>
          <w:rFonts w:ascii="Arial" w:hAnsi="Arial" w:cs="Arial"/>
          <w:b/>
          <w:bCs/>
          <w:color w:val="0000CC"/>
          <w:szCs w:val="22"/>
        </w:rPr>
        <w:t xml:space="preserve">Fig. </w:t>
      </w:r>
      <w:r w:rsidR="00026BB6" w:rsidRPr="00687ADC">
        <w:rPr>
          <w:rFonts w:ascii="Arial" w:hAnsi="Arial" w:cs="Arial"/>
          <w:b/>
          <w:bCs/>
          <w:color w:val="0000CC"/>
          <w:szCs w:val="22"/>
        </w:rPr>
        <w:t>2</w:t>
      </w:r>
      <w:r w:rsidR="00CE7112" w:rsidRPr="00687ADC">
        <w:rPr>
          <w:rFonts w:ascii="Arial" w:hAnsi="Arial" w:cs="Arial"/>
          <w:b/>
          <w:bCs/>
          <w:color w:val="0000CC"/>
          <w:szCs w:val="22"/>
        </w:rPr>
        <w:t xml:space="preserve">. </w:t>
      </w:r>
      <w:r w:rsidR="00026BB6" w:rsidRPr="00687ADC">
        <w:rPr>
          <w:rFonts w:ascii="Arial" w:hAnsi="Arial" w:cs="Arial"/>
          <w:b/>
          <w:bCs/>
          <w:color w:val="0000CC"/>
          <w:szCs w:val="22"/>
        </w:rPr>
        <w:t>Effects of BC-CBSP concentration and incubation time on the viability of HK-2 cells</w:t>
      </w:r>
      <w:r w:rsidR="00026BB6" w:rsidRPr="00687ADC">
        <w:rPr>
          <w:rFonts w:ascii="Arial" w:hAnsi="Arial" w:cs="Arial" w:hint="eastAsia"/>
          <w:b/>
          <w:bCs/>
          <w:color w:val="0000CC"/>
          <w:szCs w:val="22"/>
          <w:lang w:eastAsia="zh-CN"/>
        </w:rPr>
        <w:t>.</w:t>
      </w:r>
      <w:r w:rsidR="00026BB6" w:rsidRPr="00687ADC">
        <w:rPr>
          <w:rFonts w:ascii="Arial" w:hAnsi="Arial" w:cs="Arial"/>
          <w:b/>
          <w:bCs/>
          <w:color w:val="0000CC"/>
          <w:szCs w:val="22"/>
          <w:lang w:eastAsia="zh-CN"/>
        </w:rPr>
        <w:t xml:space="preserve"> </w:t>
      </w:r>
      <w:r w:rsidR="00026BB6" w:rsidRPr="00687ADC">
        <w:rPr>
          <w:rFonts w:ascii="Arial" w:hAnsi="Arial" w:cs="Arial"/>
          <w:b/>
          <w:bCs/>
          <w:color w:val="0000CC"/>
          <w:szCs w:val="22"/>
        </w:rPr>
        <w:t xml:space="preserve">Note: </w:t>
      </w:r>
      <w:r w:rsidRPr="00BE005F">
        <w:rPr>
          <w:rFonts w:ascii="Arial" w:hAnsi="Arial" w:cs="Arial"/>
          <w:b/>
          <w:bCs/>
          <w:color w:val="0000CC"/>
          <w:szCs w:val="22"/>
        </w:rPr>
        <w:t xml:space="preserve">* indicates comparison with the 12-hour CK group, </w:t>
      </w:r>
      <w:r w:rsidRPr="00BE005F">
        <w:rPr>
          <w:rFonts w:ascii="Arial" w:hAnsi="Arial" w:cs="Arial"/>
          <w:b/>
          <w:bCs/>
          <w:color w:val="0000CC"/>
          <w:szCs w:val="22"/>
          <w:vertAlign w:val="superscript"/>
        </w:rPr>
        <w:t>#</w:t>
      </w:r>
      <w:r w:rsidRPr="00BE005F">
        <w:rPr>
          <w:rFonts w:ascii="Arial" w:hAnsi="Arial" w:cs="Arial"/>
          <w:b/>
          <w:bCs/>
          <w:color w:val="0000CC"/>
          <w:szCs w:val="22"/>
        </w:rPr>
        <w:t xml:space="preserve"> indicates comparison with the 24-hour CK group, and </w:t>
      </w:r>
      <w:r w:rsidRPr="00BE005F">
        <w:rPr>
          <w:rFonts w:ascii="Arial" w:hAnsi="Arial" w:cs="Arial"/>
          <w:b/>
          <w:bCs/>
          <w:color w:val="0000CC"/>
          <w:szCs w:val="22"/>
          <w:vertAlign w:val="superscript"/>
        </w:rPr>
        <w:t>$</w:t>
      </w:r>
      <w:r w:rsidRPr="00BE005F">
        <w:rPr>
          <w:rFonts w:ascii="Arial" w:hAnsi="Arial" w:cs="Arial"/>
          <w:b/>
          <w:bCs/>
          <w:color w:val="0000CC"/>
          <w:szCs w:val="22"/>
        </w:rPr>
        <w:t xml:space="preserve"> indicates comparison with the 36-hour CK group.</w:t>
      </w:r>
    </w:p>
    <w:p w14:paraId="1A402F13" w14:textId="77777777" w:rsidR="00CE7112" w:rsidRPr="002C5E6E" w:rsidRDefault="00CE7112" w:rsidP="00CE7112">
      <w:pPr>
        <w:pStyle w:val="Body"/>
        <w:spacing w:after="0"/>
        <w:rPr>
          <w:rFonts w:ascii="Arial" w:hAnsi="Arial" w:cs="Arial"/>
        </w:rPr>
      </w:pPr>
    </w:p>
    <w:p w14:paraId="2B5AA8D2" w14:textId="6CB7C3BE" w:rsidR="00CE7112" w:rsidRPr="002C5E6E" w:rsidRDefault="00CE7112" w:rsidP="00CE7112">
      <w:pPr>
        <w:pStyle w:val="Body"/>
        <w:spacing w:after="0"/>
        <w:rPr>
          <w:rFonts w:ascii="Arial" w:hAnsi="Arial" w:cs="Arial"/>
          <w:b/>
          <w:sz w:val="22"/>
        </w:rPr>
      </w:pPr>
      <w:r w:rsidRPr="002C5E6E">
        <w:rPr>
          <w:rFonts w:ascii="Arial" w:hAnsi="Arial" w:cs="Arial"/>
          <w:b/>
          <w:caps/>
          <w:sz w:val="22"/>
        </w:rPr>
        <w:t>3.</w:t>
      </w:r>
      <w:r w:rsidR="00006A8C" w:rsidRPr="002C5E6E">
        <w:rPr>
          <w:rFonts w:ascii="Arial" w:hAnsi="Arial" w:cs="Arial"/>
          <w:b/>
          <w:caps/>
          <w:sz w:val="22"/>
        </w:rPr>
        <w:t>3</w:t>
      </w:r>
      <w:r w:rsidRPr="002C5E6E">
        <w:rPr>
          <w:rFonts w:ascii="Arial" w:hAnsi="Arial" w:cs="Arial"/>
          <w:b/>
          <w:caps/>
          <w:sz w:val="22"/>
        </w:rPr>
        <w:t xml:space="preserve"> </w:t>
      </w:r>
      <w:r w:rsidR="00026BB6" w:rsidRPr="002C5E6E">
        <w:rPr>
          <w:rFonts w:ascii="Arial" w:hAnsi="Arial" w:cs="Arial"/>
          <w:b/>
          <w:sz w:val="22"/>
        </w:rPr>
        <w:t xml:space="preserve">Establishment of </w:t>
      </w:r>
      <w:r w:rsidR="00026BB6" w:rsidRPr="00DB7001">
        <w:rPr>
          <w:rFonts w:ascii="Arial" w:hAnsi="Arial" w:cs="Arial"/>
          <w:b/>
          <w:color w:val="0000CC"/>
          <w:sz w:val="22"/>
        </w:rPr>
        <w:t>GEN and DDP</w:t>
      </w:r>
      <w:r w:rsidR="00026BB6" w:rsidRPr="002C5E6E">
        <w:rPr>
          <w:rFonts w:ascii="Arial" w:hAnsi="Arial" w:cs="Arial"/>
          <w:b/>
          <w:sz w:val="22"/>
        </w:rPr>
        <w:t xml:space="preserve"> Induced Injury Models</w:t>
      </w:r>
    </w:p>
    <w:p w14:paraId="500B4D9D" w14:textId="77777777" w:rsidR="00CE7112" w:rsidRPr="002C5E6E" w:rsidRDefault="00CE7112" w:rsidP="00CE7112">
      <w:pPr>
        <w:pStyle w:val="Head1"/>
        <w:spacing w:after="0"/>
        <w:jc w:val="both"/>
        <w:rPr>
          <w:rFonts w:ascii="Arial" w:hAnsi="Arial" w:cs="Arial"/>
        </w:rPr>
      </w:pPr>
    </w:p>
    <w:p w14:paraId="5CAD6B42" w14:textId="353786CF" w:rsidR="00CE7112" w:rsidRPr="002C5E6E" w:rsidRDefault="00026BB6" w:rsidP="00CE7112">
      <w:pPr>
        <w:pStyle w:val="Body"/>
        <w:spacing w:after="0"/>
        <w:rPr>
          <w:rFonts w:ascii="Arial" w:hAnsi="Arial" w:cs="Arial"/>
        </w:rPr>
      </w:pPr>
      <w:r w:rsidRPr="002C5E6E">
        <w:rPr>
          <w:rFonts w:ascii="Arial" w:hAnsi="Arial" w:cs="Arial"/>
        </w:rPr>
        <w:t xml:space="preserve">The cytotoxic effects of GEN and DDP on HK-2 cells are presented in Figure 3. Treatment with GEN at concentrations ranging from 2000 to 10000 </w:t>
      </w:r>
      <w:proofErr w:type="spellStart"/>
      <w:r w:rsidRPr="002C5E6E">
        <w:rPr>
          <w:rFonts w:ascii="Arial" w:hAnsi="Arial" w:cs="Arial"/>
        </w:rPr>
        <w:t>μM</w:t>
      </w:r>
      <w:proofErr w:type="spellEnd"/>
      <w:r w:rsidRPr="002C5E6E">
        <w:rPr>
          <w:rFonts w:ascii="Arial" w:hAnsi="Arial" w:cs="Arial"/>
        </w:rPr>
        <w:t xml:space="preserve"> significantly and dose-dependently reduced HK-2 cell viability, with relative survival rates dropping from 67.81% to 38.70% (Figure 3A). Similarly, exposure to DDP at concentrations between 5 and 80 </w:t>
      </w:r>
      <w:proofErr w:type="spellStart"/>
      <w:r w:rsidRPr="002C5E6E">
        <w:rPr>
          <w:rFonts w:ascii="Arial" w:hAnsi="Arial" w:cs="Arial"/>
        </w:rPr>
        <w:t>μM</w:t>
      </w:r>
      <w:proofErr w:type="spellEnd"/>
      <w:r w:rsidRPr="002C5E6E">
        <w:rPr>
          <w:rFonts w:ascii="Arial" w:hAnsi="Arial" w:cs="Arial"/>
        </w:rPr>
        <w:t xml:space="preserve"> induced profound, dose-dependent cytotoxicity, with survival rates plummeting from 50.63% to 0.76% (Figure 3B). Based on these viability assays, the half-maximal inhibitory concentrations (IC50) for GEN and DDP were calculated to be 5867 </w:t>
      </w:r>
      <w:proofErr w:type="spellStart"/>
      <w:r w:rsidRPr="002C5E6E">
        <w:rPr>
          <w:rFonts w:ascii="Arial" w:hAnsi="Arial" w:cs="Arial"/>
        </w:rPr>
        <w:t>μM</w:t>
      </w:r>
      <w:proofErr w:type="spellEnd"/>
      <w:r w:rsidRPr="002C5E6E">
        <w:rPr>
          <w:rFonts w:ascii="Arial" w:hAnsi="Arial" w:cs="Arial"/>
        </w:rPr>
        <w:t xml:space="preserve"> and 4.99 </w:t>
      </w:r>
      <w:proofErr w:type="spellStart"/>
      <w:r w:rsidRPr="002C5E6E">
        <w:rPr>
          <w:rFonts w:ascii="Arial" w:hAnsi="Arial" w:cs="Arial"/>
        </w:rPr>
        <w:t>μM</w:t>
      </w:r>
      <w:proofErr w:type="spellEnd"/>
      <w:r w:rsidRPr="002C5E6E">
        <w:rPr>
          <w:rFonts w:ascii="Arial" w:hAnsi="Arial" w:cs="Arial"/>
        </w:rPr>
        <w:t xml:space="preserve">, respectively. Thus, 5 mM GEN and 5 </w:t>
      </w:r>
      <w:proofErr w:type="spellStart"/>
      <w:r w:rsidRPr="002C5E6E">
        <w:rPr>
          <w:rFonts w:ascii="Arial" w:hAnsi="Arial" w:cs="Arial"/>
        </w:rPr>
        <w:t>μM</w:t>
      </w:r>
      <w:proofErr w:type="spellEnd"/>
      <w:r w:rsidRPr="002C5E6E">
        <w:rPr>
          <w:rFonts w:ascii="Arial" w:hAnsi="Arial" w:cs="Arial"/>
        </w:rPr>
        <w:t xml:space="preserve"> DDP were established as the optimal modeling concentrations for subsequent experiments.</w:t>
      </w:r>
    </w:p>
    <w:p w14:paraId="36C6FC2E" w14:textId="71899750" w:rsidR="00CE7112" w:rsidRPr="002C5E6E" w:rsidRDefault="00026BB6" w:rsidP="00CE7112">
      <w:pPr>
        <w:pStyle w:val="Body"/>
        <w:spacing w:after="0"/>
        <w:jc w:val="center"/>
        <w:rPr>
          <w:rFonts w:ascii="Arial" w:hAnsi="Arial" w:cs="Arial"/>
        </w:rPr>
      </w:pPr>
      <w:r w:rsidRPr="002C5E6E">
        <w:rPr>
          <w:noProof/>
        </w:rPr>
        <w:lastRenderedPageBreak/>
        <w:drawing>
          <wp:inline distT="0" distB="0" distL="0" distR="0" wp14:anchorId="467ECB14" wp14:editId="53638E9B">
            <wp:extent cx="5212080" cy="210528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12080" cy="2105289"/>
                    </a:xfrm>
                    <a:prstGeom prst="rect">
                      <a:avLst/>
                    </a:prstGeom>
                  </pic:spPr>
                </pic:pic>
              </a:graphicData>
            </a:graphic>
          </wp:inline>
        </w:drawing>
      </w:r>
    </w:p>
    <w:p w14:paraId="0AC54BAD" w14:textId="48F0C359" w:rsidR="00CE7112" w:rsidRPr="002C5E6E" w:rsidRDefault="00CE7112" w:rsidP="00CE7112">
      <w:pPr>
        <w:autoSpaceDE w:val="0"/>
        <w:autoSpaceDN w:val="0"/>
        <w:adjustRightInd w:val="0"/>
        <w:jc w:val="both"/>
        <w:rPr>
          <w:rFonts w:ascii="Arial" w:hAnsi="Arial" w:cs="Arial"/>
        </w:rPr>
      </w:pPr>
      <w:r w:rsidRPr="002C5E6E">
        <w:rPr>
          <w:rFonts w:ascii="Arial" w:hAnsi="Arial" w:cs="Arial"/>
          <w:b/>
          <w:bCs/>
          <w:szCs w:val="22"/>
        </w:rPr>
        <w:t xml:space="preserve">Fig. </w:t>
      </w:r>
      <w:r w:rsidR="00026BB6" w:rsidRPr="002C5E6E">
        <w:rPr>
          <w:rFonts w:ascii="Arial" w:hAnsi="Arial" w:cs="Arial"/>
          <w:b/>
          <w:bCs/>
          <w:szCs w:val="22"/>
        </w:rPr>
        <w:t>3</w:t>
      </w:r>
      <w:r w:rsidRPr="002C5E6E">
        <w:rPr>
          <w:rFonts w:ascii="Arial" w:hAnsi="Arial" w:cs="Arial"/>
          <w:b/>
          <w:bCs/>
          <w:szCs w:val="22"/>
        </w:rPr>
        <w:t xml:space="preserve">. </w:t>
      </w:r>
      <w:r w:rsidR="00026BB6" w:rsidRPr="002C5E6E">
        <w:rPr>
          <w:rFonts w:ascii="Arial" w:hAnsi="Arial" w:cs="Arial"/>
          <w:b/>
          <w:bCs/>
          <w:szCs w:val="22"/>
        </w:rPr>
        <w:t>Effects of GEN (A) and DDP (B) on the cytotoxicity of HK-2 cells</w:t>
      </w:r>
      <w:r w:rsidRPr="002C5E6E">
        <w:rPr>
          <w:rFonts w:ascii="Arial" w:hAnsi="Arial" w:cs="Arial"/>
          <w:b/>
          <w:bCs/>
          <w:szCs w:val="22"/>
        </w:rPr>
        <w:t>.</w:t>
      </w:r>
    </w:p>
    <w:p w14:paraId="45B81A41" w14:textId="77777777" w:rsidR="00026BB6" w:rsidRPr="002C5E6E" w:rsidRDefault="00026BB6" w:rsidP="00026BB6">
      <w:pPr>
        <w:pStyle w:val="Body"/>
        <w:spacing w:after="0"/>
        <w:rPr>
          <w:rFonts w:ascii="Arial" w:hAnsi="Arial" w:cs="Arial"/>
        </w:rPr>
      </w:pPr>
    </w:p>
    <w:p w14:paraId="42D41391" w14:textId="2D0965AC" w:rsidR="00026BB6" w:rsidRPr="002C5E6E" w:rsidRDefault="00026BB6" w:rsidP="00026BB6">
      <w:pPr>
        <w:pStyle w:val="Body"/>
        <w:spacing w:after="0"/>
        <w:rPr>
          <w:rFonts w:ascii="Arial" w:hAnsi="Arial" w:cs="Arial"/>
          <w:b/>
          <w:sz w:val="22"/>
        </w:rPr>
      </w:pPr>
      <w:r w:rsidRPr="002C5E6E">
        <w:rPr>
          <w:rFonts w:ascii="Arial" w:hAnsi="Arial" w:cs="Arial"/>
          <w:b/>
          <w:caps/>
          <w:sz w:val="22"/>
        </w:rPr>
        <w:t>3.</w:t>
      </w:r>
      <w:r w:rsidR="009A7B09" w:rsidRPr="002C5E6E">
        <w:rPr>
          <w:rFonts w:ascii="Arial" w:hAnsi="Arial" w:cs="Arial"/>
          <w:b/>
          <w:caps/>
          <w:sz w:val="22"/>
        </w:rPr>
        <w:t>4</w:t>
      </w:r>
      <w:r w:rsidRPr="002C5E6E">
        <w:rPr>
          <w:rFonts w:ascii="Arial" w:hAnsi="Arial" w:cs="Arial"/>
          <w:b/>
          <w:caps/>
          <w:sz w:val="22"/>
        </w:rPr>
        <w:t xml:space="preserve"> </w:t>
      </w:r>
      <w:r w:rsidRPr="002C5E6E">
        <w:rPr>
          <w:rFonts w:ascii="Arial" w:hAnsi="Arial" w:cs="Arial"/>
          <w:b/>
          <w:sz w:val="22"/>
        </w:rPr>
        <w:t>Therapeutic Efficacy of AE-CBSP on GEN- and DDP-Induced Injury</w:t>
      </w:r>
    </w:p>
    <w:p w14:paraId="5CFF875A" w14:textId="77777777" w:rsidR="00026BB6" w:rsidRPr="002C5E6E" w:rsidRDefault="00026BB6" w:rsidP="00026BB6">
      <w:pPr>
        <w:pStyle w:val="Head1"/>
        <w:spacing w:after="0"/>
        <w:jc w:val="both"/>
        <w:rPr>
          <w:rFonts w:ascii="Arial" w:hAnsi="Arial" w:cs="Arial"/>
        </w:rPr>
      </w:pPr>
    </w:p>
    <w:p w14:paraId="7ABEAA9F" w14:textId="77777777" w:rsidR="00026BB6" w:rsidRPr="002C5E6E" w:rsidRDefault="00026BB6" w:rsidP="00026BB6">
      <w:pPr>
        <w:pStyle w:val="Body"/>
        <w:rPr>
          <w:rFonts w:ascii="Arial" w:hAnsi="Arial" w:cs="Arial"/>
        </w:rPr>
      </w:pPr>
      <w:r w:rsidRPr="002C5E6E">
        <w:rPr>
          <w:rFonts w:ascii="Arial" w:hAnsi="Arial" w:cs="Arial"/>
        </w:rPr>
        <w:t xml:space="preserve">To evaluate the therapeutic potential of AE-CBSP, HK-2 cells were first injured with the respective IC50 concentrations of GEN or DDP, followed by treatment with AE-CBSP. As shown in Figure 4A, post-treatment with 50–400 </w:t>
      </w:r>
      <w:proofErr w:type="spellStart"/>
      <w:r w:rsidRPr="002C5E6E">
        <w:rPr>
          <w:rFonts w:ascii="Arial" w:hAnsi="Arial" w:cs="Arial"/>
        </w:rPr>
        <w:t>μg</w:t>
      </w:r>
      <w:proofErr w:type="spellEnd"/>
      <w:r w:rsidRPr="002C5E6E">
        <w:rPr>
          <w:rFonts w:ascii="Arial" w:hAnsi="Arial" w:cs="Arial"/>
        </w:rPr>
        <w:t xml:space="preserve">/mL of AE-CBSP marginally increased the viability of GEN-injured cells compared to the model group, though these changes were not statistically significant. However, treatment with 800 </w:t>
      </w:r>
      <w:proofErr w:type="spellStart"/>
      <w:r w:rsidRPr="002C5E6E">
        <w:rPr>
          <w:rFonts w:ascii="Arial" w:hAnsi="Arial" w:cs="Arial"/>
        </w:rPr>
        <w:t>μg</w:t>
      </w:r>
      <w:proofErr w:type="spellEnd"/>
      <w:r w:rsidRPr="002C5E6E">
        <w:rPr>
          <w:rFonts w:ascii="Arial" w:hAnsi="Arial" w:cs="Arial"/>
        </w:rPr>
        <w:t xml:space="preserve">/mL AE-CBSP significantly improved the average cell survival rate by 10.86% (P&lt;0.05). Conversely, AE-CBSP (50–800 </w:t>
      </w:r>
      <w:proofErr w:type="spellStart"/>
      <w:r w:rsidRPr="002C5E6E">
        <w:rPr>
          <w:rFonts w:ascii="Arial" w:hAnsi="Arial" w:cs="Arial"/>
        </w:rPr>
        <w:t>μg</w:t>
      </w:r>
      <w:proofErr w:type="spellEnd"/>
      <w:r w:rsidRPr="002C5E6E">
        <w:rPr>
          <w:rFonts w:ascii="Arial" w:hAnsi="Arial" w:cs="Arial"/>
        </w:rPr>
        <w:t>/mL) failed to exhibit any significant therapeutic effect on DDP-induced injury (Figure 4B).</w:t>
      </w:r>
    </w:p>
    <w:p w14:paraId="51F87431" w14:textId="68BFE990" w:rsidR="00026BB6" w:rsidRPr="002C5E6E" w:rsidRDefault="00026BB6" w:rsidP="00026BB6">
      <w:pPr>
        <w:pStyle w:val="Body"/>
        <w:spacing w:after="0"/>
        <w:rPr>
          <w:rFonts w:ascii="Arial" w:hAnsi="Arial" w:cs="Arial"/>
        </w:rPr>
      </w:pPr>
      <w:r w:rsidRPr="002C5E6E">
        <w:rPr>
          <w:rFonts w:ascii="Arial" w:hAnsi="Arial" w:cs="Arial"/>
        </w:rPr>
        <w:t xml:space="preserve">Notably, following initial injury with 5 mM GEN, the cell viability in the model group eventually recovered to 66.96%, suggesting that HK-2 cells retain a degree of self-repair capacity after GEN-induced damage. In contrast, cells injured with 5 </w:t>
      </w:r>
      <w:proofErr w:type="spellStart"/>
      <w:r w:rsidRPr="002C5E6E">
        <w:rPr>
          <w:rFonts w:ascii="Arial" w:hAnsi="Arial" w:cs="Arial"/>
        </w:rPr>
        <w:t>μM</w:t>
      </w:r>
      <w:proofErr w:type="spellEnd"/>
      <w:r w:rsidRPr="002C5E6E">
        <w:rPr>
          <w:rFonts w:ascii="Arial" w:hAnsi="Arial" w:cs="Arial"/>
        </w:rPr>
        <w:t xml:space="preserve"> DDP exhibited a sustained decline in survival to 16.13%, indicating an irreversible damaged state devoid of intrinsic self-repair.</w:t>
      </w:r>
    </w:p>
    <w:p w14:paraId="015F2DC5" w14:textId="65E58E54" w:rsidR="00026BB6" w:rsidRPr="002C5E6E" w:rsidRDefault="00026BB6" w:rsidP="00026BB6">
      <w:pPr>
        <w:pStyle w:val="Body"/>
        <w:spacing w:after="0"/>
        <w:rPr>
          <w:rFonts w:ascii="Arial" w:hAnsi="Arial" w:cs="Arial"/>
        </w:rPr>
      </w:pPr>
      <w:r w:rsidRPr="002C5E6E">
        <w:rPr>
          <w:noProof/>
        </w:rPr>
        <w:drawing>
          <wp:inline distT="0" distB="0" distL="0" distR="0" wp14:anchorId="6CBCF7E9" wp14:editId="45B56CBF">
            <wp:extent cx="5212080" cy="21103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12080" cy="2110309"/>
                    </a:xfrm>
                    <a:prstGeom prst="rect">
                      <a:avLst/>
                    </a:prstGeom>
                  </pic:spPr>
                </pic:pic>
              </a:graphicData>
            </a:graphic>
          </wp:inline>
        </w:drawing>
      </w:r>
    </w:p>
    <w:p w14:paraId="425AE479" w14:textId="02265AFB" w:rsidR="00026BB6" w:rsidRPr="002C5E6E" w:rsidRDefault="00026BB6" w:rsidP="00026BB6">
      <w:pPr>
        <w:autoSpaceDE w:val="0"/>
        <w:autoSpaceDN w:val="0"/>
        <w:adjustRightInd w:val="0"/>
        <w:jc w:val="both"/>
        <w:rPr>
          <w:rFonts w:ascii="Arial" w:hAnsi="Arial" w:cs="Arial"/>
          <w:b/>
          <w:bCs/>
          <w:szCs w:val="22"/>
        </w:rPr>
      </w:pPr>
      <w:r w:rsidRPr="002C5E6E">
        <w:rPr>
          <w:rFonts w:ascii="Arial" w:hAnsi="Arial" w:cs="Arial"/>
          <w:b/>
          <w:bCs/>
          <w:szCs w:val="22"/>
        </w:rPr>
        <w:t>Fig. 4. Therapeutic effects of BC-CBSP on GEN (A) and DDP (B) induced injury</w:t>
      </w:r>
    </w:p>
    <w:p w14:paraId="3B6B896D" w14:textId="35CAE88D" w:rsidR="00026BB6" w:rsidRPr="002C5E6E" w:rsidRDefault="00026BB6" w:rsidP="00026BB6">
      <w:pPr>
        <w:autoSpaceDE w:val="0"/>
        <w:autoSpaceDN w:val="0"/>
        <w:adjustRightInd w:val="0"/>
        <w:jc w:val="both"/>
        <w:rPr>
          <w:rFonts w:ascii="Arial" w:hAnsi="Arial" w:cs="Arial"/>
        </w:rPr>
      </w:pPr>
      <w:r w:rsidRPr="002C5E6E">
        <w:rPr>
          <w:rFonts w:ascii="Arial" w:hAnsi="Arial" w:cs="Arial"/>
          <w:b/>
          <w:bCs/>
          <w:szCs w:val="22"/>
        </w:rPr>
        <w:t>Note: * indicates comparison with the control group, # indicates comparison with the model group.</w:t>
      </w:r>
    </w:p>
    <w:p w14:paraId="3A5D31DD" w14:textId="77777777" w:rsidR="00026BB6" w:rsidRPr="002C5E6E" w:rsidRDefault="00026BB6" w:rsidP="00026BB6">
      <w:pPr>
        <w:pStyle w:val="Body"/>
        <w:spacing w:after="0"/>
        <w:rPr>
          <w:rFonts w:ascii="Arial" w:hAnsi="Arial" w:cs="Arial"/>
        </w:rPr>
      </w:pPr>
    </w:p>
    <w:p w14:paraId="244EC520" w14:textId="5C137649" w:rsidR="00026BB6" w:rsidRPr="002C5E6E" w:rsidRDefault="00026BB6" w:rsidP="00026BB6">
      <w:pPr>
        <w:pStyle w:val="Body"/>
        <w:spacing w:after="0"/>
        <w:rPr>
          <w:rFonts w:ascii="Arial" w:hAnsi="Arial" w:cs="Arial"/>
          <w:b/>
          <w:sz w:val="22"/>
        </w:rPr>
      </w:pPr>
      <w:r w:rsidRPr="002C5E6E">
        <w:rPr>
          <w:rFonts w:ascii="Arial" w:hAnsi="Arial" w:cs="Arial"/>
          <w:b/>
          <w:caps/>
          <w:sz w:val="22"/>
        </w:rPr>
        <w:t>3.</w:t>
      </w:r>
      <w:r w:rsidR="009A7B09" w:rsidRPr="002C5E6E">
        <w:rPr>
          <w:rFonts w:ascii="Arial" w:hAnsi="Arial" w:cs="Arial"/>
          <w:b/>
          <w:caps/>
          <w:sz w:val="22"/>
        </w:rPr>
        <w:t>5</w:t>
      </w:r>
      <w:r w:rsidRPr="002C5E6E">
        <w:rPr>
          <w:rFonts w:ascii="Arial" w:hAnsi="Arial" w:cs="Arial"/>
          <w:b/>
          <w:caps/>
          <w:sz w:val="22"/>
        </w:rPr>
        <w:t xml:space="preserve"> </w:t>
      </w:r>
      <w:r w:rsidRPr="002C5E6E">
        <w:rPr>
          <w:rFonts w:ascii="Arial" w:hAnsi="Arial" w:cs="Arial"/>
          <w:b/>
          <w:sz w:val="22"/>
        </w:rPr>
        <w:t>Preventive Efficacy of AE-CBSP Against GEN- and DDP-Induced Injury</w:t>
      </w:r>
    </w:p>
    <w:p w14:paraId="7CED2E4B" w14:textId="77777777" w:rsidR="00026BB6" w:rsidRPr="002C5E6E" w:rsidRDefault="00026BB6" w:rsidP="00026BB6">
      <w:pPr>
        <w:pStyle w:val="Head1"/>
        <w:spacing w:after="0"/>
        <w:jc w:val="both"/>
        <w:rPr>
          <w:rFonts w:ascii="Arial" w:hAnsi="Arial" w:cs="Arial"/>
        </w:rPr>
      </w:pPr>
    </w:p>
    <w:p w14:paraId="3215F300" w14:textId="2257EC4E" w:rsidR="00026BB6" w:rsidRPr="002C5E6E" w:rsidRDefault="00026BB6" w:rsidP="00026BB6">
      <w:pPr>
        <w:pStyle w:val="Body"/>
        <w:spacing w:after="0"/>
        <w:rPr>
          <w:rFonts w:ascii="Arial" w:hAnsi="Arial" w:cs="Arial"/>
        </w:rPr>
      </w:pPr>
      <w:r w:rsidRPr="002C5E6E">
        <w:rPr>
          <w:rFonts w:ascii="Arial" w:hAnsi="Arial" w:cs="Arial"/>
        </w:rPr>
        <w:t xml:space="preserve">To assess prophylactic protection, cells were pre-treated with AE-CBSP prior to chemical injury. As depicted in Figure 5A, pre-treatment with 50–800 </w:t>
      </w:r>
      <w:proofErr w:type="spellStart"/>
      <w:r w:rsidRPr="002C5E6E">
        <w:rPr>
          <w:rFonts w:ascii="Arial" w:hAnsi="Arial" w:cs="Arial"/>
        </w:rPr>
        <w:t>μg</w:t>
      </w:r>
      <w:proofErr w:type="spellEnd"/>
      <w:r w:rsidRPr="002C5E6E">
        <w:rPr>
          <w:rFonts w:ascii="Arial" w:hAnsi="Arial" w:cs="Arial"/>
        </w:rPr>
        <w:t xml:space="preserve">/mL of AE-CBSP consistently resulted in higher relative survival rates compared to the GEN model group. Specifically, pre-treatment with 800 </w:t>
      </w:r>
      <w:proofErr w:type="spellStart"/>
      <w:r w:rsidRPr="002C5E6E">
        <w:rPr>
          <w:rFonts w:ascii="Arial" w:hAnsi="Arial" w:cs="Arial"/>
        </w:rPr>
        <w:t>μg</w:t>
      </w:r>
      <w:proofErr w:type="spellEnd"/>
      <w:r w:rsidRPr="002C5E6E">
        <w:rPr>
          <w:rFonts w:ascii="Arial" w:hAnsi="Arial" w:cs="Arial"/>
        </w:rPr>
        <w:t xml:space="preserve">/mL AE-CBSP significantly elevated the cell viability by 14.18% (P&lt;0.05). </w:t>
      </w:r>
      <w:proofErr w:type="gramStart"/>
      <w:r w:rsidRPr="002C5E6E">
        <w:rPr>
          <w:rFonts w:ascii="Arial" w:hAnsi="Arial" w:cs="Arial"/>
        </w:rPr>
        <w:t>Similar to</w:t>
      </w:r>
      <w:proofErr w:type="gramEnd"/>
      <w:r w:rsidRPr="002C5E6E">
        <w:rPr>
          <w:rFonts w:ascii="Arial" w:hAnsi="Arial" w:cs="Arial"/>
        </w:rPr>
        <w:t xml:space="preserve"> the therapeutic assays, AE-CBSP pre-treatment afforded no significant protection against DDP-induced injury across the tested concentration range (Figure 5B).</w:t>
      </w:r>
    </w:p>
    <w:p w14:paraId="0F18154E" w14:textId="77777777" w:rsidR="00026BB6" w:rsidRPr="002C5E6E" w:rsidRDefault="00026BB6" w:rsidP="00026BB6">
      <w:pPr>
        <w:pStyle w:val="Body"/>
        <w:spacing w:after="0"/>
        <w:rPr>
          <w:rFonts w:ascii="Arial" w:hAnsi="Arial" w:cs="Arial"/>
        </w:rPr>
      </w:pPr>
    </w:p>
    <w:p w14:paraId="29F5FDB2" w14:textId="77777777" w:rsidR="00026BB6" w:rsidRPr="002C5E6E" w:rsidRDefault="00026BB6" w:rsidP="00026BB6">
      <w:pPr>
        <w:pStyle w:val="Body"/>
        <w:spacing w:after="0"/>
        <w:rPr>
          <w:rFonts w:ascii="Arial" w:hAnsi="Arial" w:cs="Arial"/>
        </w:rPr>
      </w:pPr>
    </w:p>
    <w:p w14:paraId="5D125D85" w14:textId="3ED6F4DB" w:rsidR="00026BB6" w:rsidRPr="002C5E6E" w:rsidRDefault="00026BB6" w:rsidP="00026BB6">
      <w:pPr>
        <w:pStyle w:val="Body"/>
        <w:spacing w:after="0"/>
        <w:jc w:val="center"/>
        <w:rPr>
          <w:rFonts w:ascii="Arial" w:hAnsi="Arial" w:cs="Arial"/>
        </w:rPr>
      </w:pPr>
      <w:r w:rsidRPr="002C5E6E">
        <w:rPr>
          <w:noProof/>
        </w:rPr>
        <w:drawing>
          <wp:inline distT="0" distB="0" distL="0" distR="0" wp14:anchorId="577C5338" wp14:editId="46C17C47">
            <wp:extent cx="5212080" cy="207956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2080" cy="2079561"/>
                    </a:xfrm>
                    <a:prstGeom prst="rect">
                      <a:avLst/>
                    </a:prstGeom>
                  </pic:spPr>
                </pic:pic>
              </a:graphicData>
            </a:graphic>
          </wp:inline>
        </w:drawing>
      </w:r>
    </w:p>
    <w:p w14:paraId="78C988D5" w14:textId="34DC1C84" w:rsidR="00026BB6" w:rsidRPr="002C5E6E" w:rsidRDefault="00026BB6" w:rsidP="00026BB6">
      <w:pPr>
        <w:autoSpaceDE w:val="0"/>
        <w:autoSpaceDN w:val="0"/>
        <w:adjustRightInd w:val="0"/>
        <w:jc w:val="both"/>
        <w:rPr>
          <w:rFonts w:ascii="Arial" w:hAnsi="Arial" w:cs="Arial"/>
          <w:b/>
          <w:bCs/>
          <w:szCs w:val="22"/>
        </w:rPr>
      </w:pPr>
      <w:r w:rsidRPr="002C5E6E">
        <w:rPr>
          <w:rFonts w:ascii="Arial" w:hAnsi="Arial" w:cs="Arial"/>
          <w:b/>
          <w:bCs/>
          <w:szCs w:val="22"/>
        </w:rPr>
        <w:t>Fig. 5. Protective effects of BC-CBSP on GEN (A) and DDP (B) induced injury</w:t>
      </w:r>
    </w:p>
    <w:p w14:paraId="249A9893" w14:textId="23F70DD9" w:rsidR="00026BB6" w:rsidRPr="002C5E6E" w:rsidRDefault="00026BB6" w:rsidP="00026BB6">
      <w:pPr>
        <w:autoSpaceDE w:val="0"/>
        <w:autoSpaceDN w:val="0"/>
        <w:adjustRightInd w:val="0"/>
        <w:jc w:val="both"/>
        <w:rPr>
          <w:rFonts w:ascii="Arial" w:hAnsi="Arial" w:cs="Arial"/>
        </w:rPr>
      </w:pPr>
      <w:r w:rsidRPr="002C5E6E">
        <w:rPr>
          <w:rFonts w:ascii="Arial" w:hAnsi="Arial" w:cs="Arial"/>
          <w:b/>
          <w:bCs/>
          <w:szCs w:val="22"/>
        </w:rPr>
        <w:t>Note: * indicates comparison with the control group, # indicates comparison with the model group.</w:t>
      </w:r>
    </w:p>
    <w:p w14:paraId="4DF4F2F4" w14:textId="77777777" w:rsidR="00CE7112" w:rsidRPr="002C5E6E" w:rsidRDefault="00CE7112" w:rsidP="00CE7112">
      <w:pPr>
        <w:pStyle w:val="Body"/>
        <w:spacing w:after="0"/>
        <w:rPr>
          <w:rFonts w:ascii="Arial" w:hAnsi="Arial" w:cs="Arial"/>
        </w:rPr>
      </w:pPr>
    </w:p>
    <w:p w14:paraId="491962F1" w14:textId="77777777" w:rsidR="00CE7112" w:rsidRPr="002C5E6E" w:rsidRDefault="00CE7112" w:rsidP="00CE7112">
      <w:pPr>
        <w:pStyle w:val="Head1"/>
        <w:spacing w:after="0"/>
        <w:jc w:val="both"/>
        <w:rPr>
          <w:rFonts w:ascii="Arial" w:hAnsi="Arial" w:cs="Arial"/>
        </w:rPr>
      </w:pPr>
      <w:r w:rsidRPr="002C5E6E">
        <w:rPr>
          <w:rFonts w:ascii="Arial" w:hAnsi="Arial" w:cs="Arial"/>
        </w:rPr>
        <w:t>4. discussion</w:t>
      </w:r>
    </w:p>
    <w:p w14:paraId="6DF58B65" w14:textId="77777777" w:rsidR="00CE7112" w:rsidRPr="002C5E6E" w:rsidRDefault="00CE7112" w:rsidP="00CE7112">
      <w:pPr>
        <w:pStyle w:val="Body"/>
        <w:spacing w:after="0"/>
        <w:rPr>
          <w:rFonts w:ascii="Arial" w:hAnsi="Arial" w:cs="Arial"/>
        </w:rPr>
      </w:pPr>
    </w:p>
    <w:p w14:paraId="17304610" w14:textId="14AD7744" w:rsidR="00026BB6" w:rsidRPr="002C5E6E" w:rsidRDefault="00026BB6" w:rsidP="00026BB6">
      <w:pPr>
        <w:pStyle w:val="Body"/>
        <w:rPr>
          <w:rFonts w:ascii="Arial" w:hAnsi="Arial" w:cs="Arial"/>
        </w:rPr>
      </w:pPr>
      <w:r w:rsidRPr="002C5E6E">
        <w:rPr>
          <w:rFonts w:ascii="Arial" w:hAnsi="Arial" w:cs="Arial"/>
        </w:rPr>
        <w:t>Extensive study indicates that the pathophysiological mechanisms underlying acute kidney injury (AKI) vary drastically depending on the instigating nephrotoxin</w:t>
      </w:r>
      <w:r w:rsidR="000676B2" w:rsidRPr="002C5E6E">
        <w:rPr>
          <w:rFonts w:ascii="Arial" w:hAnsi="Arial" w:cs="Arial"/>
        </w:rPr>
        <w:t xml:space="preserve"> (</w:t>
      </w:r>
      <w:proofErr w:type="spellStart"/>
      <w:r w:rsidRPr="002C5E6E">
        <w:rPr>
          <w:rFonts w:ascii="Arial" w:hAnsi="Arial" w:cs="Arial"/>
        </w:rPr>
        <w:t>Perazella</w:t>
      </w:r>
      <w:proofErr w:type="spellEnd"/>
      <w:r w:rsidRPr="002C5E6E">
        <w:rPr>
          <w:rFonts w:ascii="Arial" w:hAnsi="Arial" w:cs="Arial"/>
        </w:rPr>
        <w:t xml:space="preserve"> and Rosner, 2022</w:t>
      </w:r>
      <w:r w:rsidR="000676B2" w:rsidRPr="002C5E6E">
        <w:rPr>
          <w:rFonts w:ascii="Arial" w:hAnsi="Arial" w:cs="Arial"/>
        </w:rPr>
        <w:t>)</w:t>
      </w:r>
      <w:r w:rsidRPr="002C5E6E">
        <w:rPr>
          <w:rFonts w:ascii="Arial" w:hAnsi="Arial" w:cs="Arial"/>
        </w:rPr>
        <w:t xml:space="preserve">. </w:t>
      </w:r>
      <w:r w:rsidR="00DC493F" w:rsidRPr="00DC493F">
        <w:rPr>
          <w:rFonts w:ascii="Arial" w:hAnsi="Arial" w:cs="Arial"/>
          <w:color w:val="0000CC"/>
        </w:rPr>
        <w:t>GEN</w:t>
      </w:r>
      <w:r w:rsidRPr="002C5E6E">
        <w:rPr>
          <w:rFonts w:ascii="Arial" w:hAnsi="Arial" w:cs="Arial"/>
        </w:rPr>
        <w:t xml:space="preserve"> primarily induces cellular injury by disrupting protein homeostasis and impairing mitochondrial and lysosomal functions. This mechanism is fundamentally metabolic and proteotoxic, rendering the resulting cellular damage partially reversible. Provided that cells are supplied with adequate energy and repair substrates, they can activate endogenous repair pathways to reverse the pathological state </w:t>
      </w:r>
      <w:r w:rsidR="000676B2" w:rsidRPr="002C5E6E">
        <w:rPr>
          <w:rFonts w:ascii="Arial" w:hAnsi="Arial" w:cs="Arial"/>
        </w:rPr>
        <w:t>(</w:t>
      </w:r>
      <w:r w:rsidRPr="002C5E6E">
        <w:rPr>
          <w:rFonts w:ascii="Arial" w:hAnsi="Arial" w:cs="Arial"/>
        </w:rPr>
        <w:t>Li et al., 2022; Aranda-Rivera et al., 2021</w:t>
      </w:r>
      <w:r w:rsidR="000676B2" w:rsidRPr="002C5E6E">
        <w:rPr>
          <w:rFonts w:ascii="Arial" w:hAnsi="Arial" w:cs="Arial"/>
        </w:rPr>
        <w:t>)</w:t>
      </w:r>
      <w:r w:rsidRPr="002C5E6E">
        <w:rPr>
          <w:rFonts w:ascii="Arial" w:hAnsi="Arial" w:cs="Arial"/>
        </w:rPr>
        <w:t xml:space="preserve">. Conversely, </w:t>
      </w:r>
      <w:r w:rsidR="00DB7001" w:rsidRPr="00DB7001">
        <w:rPr>
          <w:rFonts w:ascii="Arial" w:hAnsi="Arial" w:cs="Arial"/>
          <w:color w:val="0000CC"/>
        </w:rPr>
        <w:t>DDP</w:t>
      </w:r>
      <w:r w:rsidRPr="002C5E6E">
        <w:rPr>
          <w:rFonts w:ascii="Arial" w:hAnsi="Arial" w:cs="Arial"/>
        </w:rPr>
        <w:t xml:space="preserve"> inflicts damage primarily by forming irreversible covalent adducts with DNA, which triggers severe replication stress and activates p53-mediated apoptotic pathways. Because DNA-platinum adducts represent persistent structural damage,</w:t>
      </w:r>
      <w:r w:rsidRPr="00DB7001">
        <w:rPr>
          <w:rFonts w:ascii="Arial" w:hAnsi="Arial" w:cs="Arial"/>
          <w:color w:val="0000CC"/>
        </w:rPr>
        <w:t xml:space="preserve"> </w:t>
      </w:r>
      <w:r w:rsidR="00DB7001" w:rsidRPr="00DB7001">
        <w:rPr>
          <w:rFonts w:ascii="Arial" w:hAnsi="Arial" w:cs="Arial"/>
          <w:color w:val="0000CC"/>
        </w:rPr>
        <w:t>DDP</w:t>
      </w:r>
      <w:r w:rsidRPr="00DB7001">
        <w:rPr>
          <w:rFonts w:ascii="Arial" w:hAnsi="Arial" w:cs="Arial"/>
          <w:color w:val="0000CC"/>
        </w:rPr>
        <w:t>-induced</w:t>
      </w:r>
      <w:r w:rsidRPr="002C5E6E">
        <w:rPr>
          <w:rFonts w:ascii="Arial" w:hAnsi="Arial" w:cs="Arial"/>
        </w:rPr>
        <w:t xml:space="preserve"> AKI profoundly compromises intrinsic cellular repair mechanisms, leading to a progressive and irreversible decline in renal function </w:t>
      </w:r>
      <w:r w:rsidR="000676B2" w:rsidRPr="002C5E6E">
        <w:rPr>
          <w:rFonts w:ascii="Arial" w:hAnsi="Arial" w:cs="Arial"/>
        </w:rPr>
        <w:t>(</w:t>
      </w:r>
      <w:r w:rsidRPr="002C5E6E">
        <w:rPr>
          <w:rFonts w:ascii="Arial" w:hAnsi="Arial" w:cs="Arial"/>
        </w:rPr>
        <w:t>Liu et al., 2025</w:t>
      </w:r>
      <w:r w:rsidR="000676B2" w:rsidRPr="002C5E6E">
        <w:rPr>
          <w:rFonts w:ascii="Arial" w:hAnsi="Arial" w:cs="Arial"/>
        </w:rPr>
        <w:t>)</w:t>
      </w:r>
      <w:r w:rsidRPr="002C5E6E">
        <w:rPr>
          <w:rFonts w:ascii="Arial" w:hAnsi="Arial" w:cs="Arial"/>
        </w:rPr>
        <w:t>.</w:t>
      </w:r>
    </w:p>
    <w:p w14:paraId="3F9FB666" w14:textId="789105A4" w:rsidR="00026BB6" w:rsidRPr="002C5E6E" w:rsidRDefault="00026BB6" w:rsidP="00026BB6">
      <w:pPr>
        <w:pStyle w:val="Body"/>
        <w:rPr>
          <w:rFonts w:ascii="Arial" w:hAnsi="Arial" w:cs="Arial"/>
        </w:rPr>
      </w:pPr>
      <w:r w:rsidRPr="002C5E6E">
        <w:rPr>
          <w:rFonts w:ascii="Arial" w:hAnsi="Arial" w:cs="Arial"/>
        </w:rPr>
        <w:t xml:space="preserve">The primary bioactive constituents of AE-CBSP include an array of nucleosides (e.g., adenosine, guanosine, and uridine), alongside polysaccharides, flavonoids, and trace polypeptides. Previous literature establishes that exogenous nucleosides can perform a critical "metabolic rescue" function. These molecules are rapidly internalized via membrane-bound nucleoside transporters (e.g., the ENT/CNT families), </w:t>
      </w:r>
      <w:r w:rsidRPr="001F6EDE">
        <w:rPr>
          <w:rFonts w:ascii="Arial" w:hAnsi="Arial" w:cs="Arial"/>
          <w:color w:val="0000CC"/>
        </w:rPr>
        <w:t xml:space="preserve">where they integrate into ATP synthesis pathways to restore intracellular energy homeostasis and fuel endogenous repair mechanisms </w:t>
      </w:r>
      <w:r w:rsidR="000676B2" w:rsidRPr="001F6EDE">
        <w:rPr>
          <w:rFonts w:ascii="Arial" w:hAnsi="Arial" w:cs="Arial"/>
          <w:color w:val="0000CC"/>
        </w:rPr>
        <w:t>(</w:t>
      </w:r>
      <w:r w:rsidRPr="001F6EDE">
        <w:rPr>
          <w:rFonts w:ascii="Arial" w:hAnsi="Arial" w:cs="Arial"/>
          <w:color w:val="0000CC"/>
        </w:rPr>
        <w:t>Pastor-Anglada et al., 2022</w:t>
      </w:r>
      <w:r w:rsidR="000676B2" w:rsidRPr="001F6EDE">
        <w:rPr>
          <w:rFonts w:ascii="Arial" w:hAnsi="Arial" w:cs="Arial"/>
          <w:color w:val="0000CC"/>
        </w:rPr>
        <w:t>)</w:t>
      </w:r>
      <w:r w:rsidRPr="001F6EDE">
        <w:rPr>
          <w:rFonts w:ascii="Arial" w:hAnsi="Arial" w:cs="Arial"/>
          <w:color w:val="0000CC"/>
        </w:rPr>
        <w:t>.</w:t>
      </w:r>
      <w:r w:rsidRPr="002C5E6E">
        <w:rPr>
          <w:rFonts w:ascii="Arial" w:hAnsi="Arial" w:cs="Arial"/>
        </w:rPr>
        <w:t xml:space="preserve"> Because energy depletion and protein misfolding are central to GEN-induced toxicity, the supplementation of exogenous nucleosides via AE-CBSP likely accelerates the restoration of metabolic equilibrium </w:t>
      </w:r>
      <w:r w:rsidR="000676B2" w:rsidRPr="002C5E6E">
        <w:rPr>
          <w:rFonts w:ascii="Arial" w:hAnsi="Arial" w:cs="Arial"/>
        </w:rPr>
        <w:t>(</w:t>
      </w:r>
      <w:r w:rsidRPr="002C5E6E">
        <w:rPr>
          <w:rFonts w:ascii="Arial" w:hAnsi="Arial" w:cs="Arial"/>
        </w:rPr>
        <w:t>Igwebuike et al., 2020</w:t>
      </w:r>
      <w:r w:rsidR="000676B2" w:rsidRPr="002C5E6E">
        <w:rPr>
          <w:rFonts w:ascii="Arial" w:hAnsi="Arial" w:cs="Arial"/>
        </w:rPr>
        <w:t>)</w:t>
      </w:r>
      <w:r w:rsidRPr="002C5E6E">
        <w:rPr>
          <w:rFonts w:ascii="Arial" w:hAnsi="Arial" w:cs="Arial"/>
        </w:rPr>
        <w:t xml:space="preserve">. Furthermore, specific nucleosides such as adenosine may exert extracellular modulatory effects by binding to purinergic receptors (e.g., A1 or A2A receptors), thereby attenuating </w:t>
      </w:r>
      <w:r w:rsidRPr="002C5E6E">
        <w:rPr>
          <w:rFonts w:ascii="Arial" w:hAnsi="Arial" w:cs="Arial"/>
        </w:rPr>
        <w:lastRenderedPageBreak/>
        <w:t xml:space="preserve">inflammatory cascades and inhibiting the opening of mitochondrial permeability transition pores, ultimately conferring </w:t>
      </w:r>
      <w:proofErr w:type="spellStart"/>
      <w:r w:rsidRPr="002C5E6E">
        <w:rPr>
          <w:rFonts w:ascii="Arial" w:hAnsi="Arial" w:cs="Arial"/>
        </w:rPr>
        <w:t>cytoprotection</w:t>
      </w:r>
      <w:proofErr w:type="spellEnd"/>
      <w:r w:rsidRPr="002C5E6E">
        <w:rPr>
          <w:rFonts w:ascii="Arial" w:hAnsi="Arial" w:cs="Arial"/>
        </w:rPr>
        <w:t xml:space="preserve"> </w:t>
      </w:r>
      <w:r w:rsidR="000676B2" w:rsidRPr="002C5E6E">
        <w:rPr>
          <w:rFonts w:ascii="Arial" w:hAnsi="Arial" w:cs="Arial"/>
        </w:rPr>
        <w:t>(</w:t>
      </w:r>
      <w:r w:rsidRPr="002C5E6E">
        <w:rPr>
          <w:rFonts w:ascii="Arial" w:hAnsi="Arial" w:cs="Arial"/>
        </w:rPr>
        <w:t>Ye et al., 2021</w:t>
      </w:r>
      <w:r w:rsidR="000676B2" w:rsidRPr="002C5E6E">
        <w:rPr>
          <w:rFonts w:ascii="Arial" w:hAnsi="Arial" w:cs="Arial"/>
        </w:rPr>
        <w:t>)</w:t>
      </w:r>
      <w:r w:rsidRPr="002C5E6E">
        <w:rPr>
          <w:rFonts w:ascii="Arial" w:hAnsi="Arial" w:cs="Arial"/>
        </w:rPr>
        <w:t>.</w:t>
      </w:r>
    </w:p>
    <w:p w14:paraId="4B3CCB96" w14:textId="370D652F" w:rsidR="00026BB6" w:rsidRPr="002C5E6E" w:rsidRDefault="00026BB6" w:rsidP="00026BB6">
      <w:pPr>
        <w:pStyle w:val="Body"/>
        <w:rPr>
          <w:rFonts w:ascii="Arial" w:hAnsi="Arial" w:cs="Arial"/>
        </w:rPr>
      </w:pPr>
      <w:r w:rsidRPr="002C5E6E">
        <w:rPr>
          <w:rFonts w:ascii="Arial" w:hAnsi="Arial" w:cs="Arial"/>
        </w:rPr>
        <w:t xml:space="preserve">Additionally, the polysaccharides and flavonoids present in AE-CBSP possess robust antioxidant properties, which likely play an auxiliary role in mitigating GEN-induced oxidative stress. However, in the context of </w:t>
      </w:r>
      <w:r w:rsidR="00DB7001" w:rsidRPr="00DB7001">
        <w:rPr>
          <w:rFonts w:ascii="Arial" w:hAnsi="Arial" w:cs="Arial"/>
          <w:color w:val="0000CC"/>
        </w:rPr>
        <w:t>DDP</w:t>
      </w:r>
      <w:r w:rsidRPr="00DB7001">
        <w:rPr>
          <w:rFonts w:ascii="Arial" w:hAnsi="Arial" w:cs="Arial"/>
          <w:color w:val="0000CC"/>
        </w:rPr>
        <w:t xml:space="preserve"> </w:t>
      </w:r>
      <w:r w:rsidRPr="002C5E6E">
        <w:rPr>
          <w:rFonts w:ascii="Arial" w:hAnsi="Arial" w:cs="Arial"/>
        </w:rPr>
        <w:t xml:space="preserve">toxicity, the profound and irreversible nature of the DNA damage renders these antioxidant and metabolic interventions ineffective. Nucleosides cannot cleave covalent DNA-Pt adducts; effective protection against DDP requires either the direct inhibition of its cellular uptake (e.g., via OCT2 blockade) or the suppression of the downstream p53 apoptotic program </w:t>
      </w:r>
      <w:r w:rsidR="000676B2" w:rsidRPr="002C5E6E">
        <w:rPr>
          <w:rFonts w:ascii="Arial" w:hAnsi="Arial" w:cs="Arial"/>
        </w:rPr>
        <w:t>(</w:t>
      </w:r>
      <w:r w:rsidRPr="002C5E6E">
        <w:rPr>
          <w:rFonts w:ascii="Arial" w:hAnsi="Arial" w:cs="Arial"/>
        </w:rPr>
        <w:t>Zhu et al., 2015</w:t>
      </w:r>
      <w:r w:rsidR="000676B2" w:rsidRPr="002C5E6E">
        <w:rPr>
          <w:rFonts w:ascii="Arial" w:hAnsi="Arial" w:cs="Arial"/>
        </w:rPr>
        <w:t>)</w:t>
      </w:r>
      <w:r w:rsidRPr="002C5E6E">
        <w:rPr>
          <w:rFonts w:ascii="Arial" w:hAnsi="Arial" w:cs="Arial"/>
        </w:rPr>
        <w:t xml:space="preserve">. Consequently, AE-CBSP failed to improve, and in some instances exacerbated, the survival rates of DDP-injured HK-2 cells </w:t>
      </w:r>
      <w:r w:rsidR="000676B2" w:rsidRPr="002C5E6E">
        <w:rPr>
          <w:rFonts w:ascii="Arial" w:hAnsi="Arial" w:cs="Arial"/>
        </w:rPr>
        <w:t>(</w:t>
      </w:r>
      <w:r w:rsidRPr="002C5E6E">
        <w:rPr>
          <w:rFonts w:ascii="Arial" w:hAnsi="Arial" w:cs="Arial"/>
        </w:rPr>
        <w:t>Gou et al., 2025</w:t>
      </w:r>
      <w:r w:rsidR="000676B2" w:rsidRPr="002C5E6E">
        <w:rPr>
          <w:rFonts w:ascii="Arial" w:hAnsi="Arial" w:cs="Arial"/>
        </w:rPr>
        <w:t>)</w:t>
      </w:r>
      <w:r w:rsidRPr="002C5E6E">
        <w:rPr>
          <w:rFonts w:ascii="Arial" w:hAnsi="Arial" w:cs="Arial"/>
        </w:rPr>
        <w:t>.</w:t>
      </w:r>
    </w:p>
    <w:p w14:paraId="0B5E003D" w14:textId="7C148AC8" w:rsidR="00CE7112" w:rsidRPr="001F6EDE" w:rsidRDefault="00026BB6" w:rsidP="00026BB6">
      <w:pPr>
        <w:pStyle w:val="Body"/>
        <w:spacing w:after="0"/>
        <w:rPr>
          <w:rFonts w:ascii="Arial" w:hAnsi="Arial" w:cs="Arial"/>
          <w:color w:val="0000CC"/>
        </w:rPr>
      </w:pPr>
      <w:r w:rsidRPr="002C5E6E">
        <w:rPr>
          <w:rFonts w:ascii="Arial" w:hAnsi="Arial" w:cs="Arial"/>
        </w:rPr>
        <w:t xml:space="preserve">Our temporal viability data also revealed that extended incubation with AE-CBSP </w:t>
      </w:r>
      <w:r w:rsidR="00295FF6" w:rsidRPr="00295FF6">
        <w:rPr>
          <w:rFonts w:ascii="Arial" w:hAnsi="Arial" w:cs="Arial"/>
          <w:color w:val="0000CC"/>
        </w:rPr>
        <w:t>progressively</w:t>
      </w:r>
      <w:r w:rsidRPr="00295FF6">
        <w:rPr>
          <w:rFonts w:ascii="Arial" w:hAnsi="Arial" w:cs="Arial"/>
          <w:color w:val="0000CC"/>
        </w:rPr>
        <w:t xml:space="preserve"> improved cell viability.</w:t>
      </w:r>
      <w:r w:rsidRPr="002C5E6E">
        <w:rPr>
          <w:rFonts w:ascii="Arial" w:hAnsi="Arial" w:cs="Arial"/>
        </w:rPr>
        <w:t xml:space="preserve"> This suggests that AE-CBSP may facilitate delayed adaptive repair mechanisms, potentially via the pre-activation of endogenous antioxidant systems (such as the Nrf2 pathway) or the induction of protective autophagy. </w:t>
      </w:r>
      <w:r w:rsidRPr="001F6EDE">
        <w:rPr>
          <w:rFonts w:ascii="Arial" w:hAnsi="Arial" w:cs="Arial"/>
          <w:color w:val="0000CC"/>
        </w:rPr>
        <w:t>While the present study validates these differential efficacies at a macroscopic cellular level, further molecular investigations are warranted to elucidate the precise intracellular signaling cascades modulated by AE-CBSP in HK-2 cells.</w:t>
      </w:r>
      <w:r w:rsidR="002A3254">
        <w:rPr>
          <w:rFonts w:ascii="Arial" w:hAnsi="Arial" w:cs="Arial"/>
          <w:color w:val="0000CC"/>
        </w:rPr>
        <w:t xml:space="preserve"> </w:t>
      </w:r>
      <w:r w:rsidR="002A3254" w:rsidRPr="002A3254">
        <w:rPr>
          <w:rFonts w:ascii="Arial" w:hAnsi="Arial" w:cs="Arial"/>
          <w:color w:val="0000CC"/>
        </w:rPr>
        <w:t>Furthermore, this study has certain methodological limitations. The CCK-8 assay used primarily reflects mitochondrial metabolic activity, which may not fully distinguish cell growth inhibition from actual cell necrosis (plasma membrane rupture). Future studies will incorporate the LDH release assay and other specific cell death markers to precisely determine the EC50, strictly differentiate metabolic suppression from cell lysis, and further refine our understanding of the AKI pathological models.</w:t>
      </w:r>
    </w:p>
    <w:p w14:paraId="303BD77D" w14:textId="77777777" w:rsidR="00CE7112" w:rsidRPr="002C5E6E" w:rsidRDefault="00CE7112" w:rsidP="00CE7112">
      <w:pPr>
        <w:pStyle w:val="Body"/>
        <w:spacing w:after="0"/>
        <w:rPr>
          <w:rFonts w:ascii="Arial" w:hAnsi="Arial" w:cs="Arial"/>
        </w:rPr>
      </w:pPr>
    </w:p>
    <w:p w14:paraId="02C69A26" w14:textId="77777777" w:rsidR="00CE7112" w:rsidRPr="002C5E6E" w:rsidRDefault="00CE7112" w:rsidP="00CE7112">
      <w:pPr>
        <w:pStyle w:val="ConcHead"/>
        <w:spacing w:after="0"/>
        <w:jc w:val="both"/>
        <w:rPr>
          <w:rFonts w:ascii="Arial" w:hAnsi="Arial" w:cs="Arial"/>
        </w:rPr>
      </w:pPr>
      <w:r w:rsidRPr="002C5E6E">
        <w:rPr>
          <w:rFonts w:ascii="Arial" w:hAnsi="Arial" w:cs="Arial"/>
        </w:rPr>
        <w:t>5. Conclusion</w:t>
      </w:r>
    </w:p>
    <w:p w14:paraId="18145F13" w14:textId="77777777" w:rsidR="00CE7112" w:rsidRPr="002C5E6E" w:rsidRDefault="00CE7112" w:rsidP="00CE7112">
      <w:pPr>
        <w:pStyle w:val="ConcHead"/>
        <w:spacing w:after="0"/>
        <w:jc w:val="both"/>
        <w:rPr>
          <w:rFonts w:ascii="Arial" w:hAnsi="Arial" w:cs="Arial"/>
        </w:rPr>
      </w:pPr>
    </w:p>
    <w:p w14:paraId="60902961" w14:textId="5C5468AD" w:rsidR="00CE7112" w:rsidRPr="002C5E6E" w:rsidRDefault="00026BB6" w:rsidP="00CE7112">
      <w:pPr>
        <w:pStyle w:val="Body"/>
        <w:spacing w:after="0"/>
        <w:rPr>
          <w:rFonts w:ascii="Arial" w:hAnsi="Arial" w:cs="Arial"/>
        </w:rPr>
      </w:pPr>
      <w:r w:rsidRPr="002C5E6E">
        <w:rPr>
          <w:rFonts w:ascii="Arial" w:hAnsi="Arial" w:cs="Arial"/>
          <w:lang w:eastAsia="zh-CN"/>
        </w:rPr>
        <w:t xml:space="preserve">This study demonstrates that the aqueous extract of </w:t>
      </w:r>
      <w:r w:rsidRPr="002C5E6E">
        <w:rPr>
          <w:rFonts w:ascii="Arial" w:hAnsi="Arial" w:cs="Arial"/>
          <w:i/>
          <w:iCs/>
          <w:lang w:eastAsia="zh-CN"/>
        </w:rPr>
        <w:t>C. bassiana</w:t>
      </w:r>
      <w:r w:rsidRPr="002C5E6E">
        <w:rPr>
          <w:rFonts w:ascii="Arial" w:hAnsi="Arial" w:cs="Arial"/>
          <w:lang w:eastAsia="zh-CN"/>
        </w:rPr>
        <w:t xml:space="preserve"> spore powder (AE-CBSP) significantly improves the viability of HK-2 cells </w:t>
      </w:r>
      <w:r w:rsidR="00295FF6" w:rsidRPr="00295FF6">
        <w:rPr>
          <w:rFonts w:ascii="Arial" w:hAnsi="Arial" w:cs="Arial"/>
          <w:color w:val="0000CC"/>
          <w:lang w:eastAsia="zh-CN"/>
        </w:rPr>
        <w:t>under</w:t>
      </w:r>
      <w:r w:rsidRPr="00295FF6">
        <w:rPr>
          <w:rFonts w:ascii="Arial" w:hAnsi="Arial" w:cs="Arial"/>
          <w:color w:val="0000CC"/>
          <w:lang w:eastAsia="zh-CN"/>
        </w:rPr>
        <w:t xml:space="preserve"> </w:t>
      </w:r>
      <w:r w:rsidR="00DC493F" w:rsidRPr="00295FF6">
        <w:rPr>
          <w:rFonts w:ascii="Arial" w:hAnsi="Arial" w:cs="Arial"/>
          <w:color w:val="0000CC"/>
          <w:lang w:eastAsia="zh-CN"/>
        </w:rPr>
        <w:t>GEN</w:t>
      </w:r>
      <w:r w:rsidRPr="00295FF6">
        <w:rPr>
          <w:rFonts w:ascii="Arial" w:hAnsi="Arial" w:cs="Arial"/>
          <w:color w:val="0000CC"/>
          <w:lang w:eastAsia="zh-CN"/>
        </w:rPr>
        <w:t>-induced injury</w:t>
      </w:r>
      <w:r w:rsidRPr="002C5E6E">
        <w:rPr>
          <w:rFonts w:ascii="Arial" w:hAnsi="Arial" w:cs="Arial"/>
          <w:lang w:eastAsia="zh-CN"/>
        </w:rPr>
        <w:t xml:space="preserve">, exerting both preventive and therapeutic effects. However, it lacks efficacy against </w:t>
      </w:r>
      <w:r w:rsidR="00DB7001" w:rsidRPr="00DB7001">
        <w:rPr>
          <w:rFonts w:ascii="Arial" w:hAnsi="Arial" w:cs="Arial"/>
          <w:color w:val="0000CC"/>
          <w:lang w:eastAsia="zh-CN"/>
        </w:rPr>
        <w:t>DDP</w:t>
      </w:r>
      <w:r w:rsidRPr="00DB7001">
        <w:rPr>
          <w:rFonts w:ascii="Arial" w:hAnsi="Arial" w:cs="Arial"/>
          <w:color w:val="0000CC"/>
          <w:lang w:eastAsia="zh-CN"/>
        </w:rPr>
        <w:t>-induced</w:t>
      </w:r>
      <w:r w:rsidRPr="002C5E6E">
        <w:rPr>
          <w:rFonts w:ascii="Arial" w:hAnsi="Arial" w:cs="Arial"/>
          <w:lang w:eastAsia="zh-CN"/>
        </w:rPr>
        <w:t xml:space="preserve"> cytotoxicity. These findings indicate that the </w:t>
      </w:r>
      <w:proofErr w:type="spellStart"/>
      <w:r w:rsidRPr="002C5E6E">
        <w:rPr>
          <w:rFonts w:ascii="Arial" w:hAnsi="Arial" w:cs="Arial"/>
          <w:lang w:eastAsia="zh-CN"/>
        </w:rPr>
        <w:t>renoprotective</w:t>
      </w:r>
      <w:proofErr w:type="spellEnd"/>
      <w:r w:rsidRPr="002C5E6E">
        <w:rPr>
          <w:rFonts w:ascii="Arial" w:hAnsi="Arial" w:cs="Arial"/>
          <w:lang w:eastAsia="zh-CN"/>
        </w:rPr>
        <w:t xml:space="preserve"> utility of AE-CBSP is highly dependent on the underlying pathological mechanism of the injury. </w:t>
      </w:r>
      <w:r w:rsidR="009A7B09" w:rsidRPr="002C5E6E">
        <w:rPr>
          <w:rFonts w:ascii="Arial" w:hAnsi="Arial" w:cs="Arial"/>
          <w:lang w:eastAsia="zh-CN"/>
        </w:rPr>
        <w:t>Furthermore</w:t>
      </w:r>
      <w:r w:rsidRPr="002C5E6E">
        <w:rPr>
          <w:rFonts w:ascii="Arial" w:hAnsi="Arial" w:cs="Arial"/>
          <w:lang w:eastAsia="zh-CN"/>
        </w:rPr>
        <w:t xml:space="preserve">, </w:t>
      </w:r>
      <w:r w:rsidRPr="001F6EDE">
        <w:rPr>
          <w:rFonts w:ascii="Arial" w:hAnsi="Arial" w:cs="Arial"/>
          <w:color w:val="0000CC"/>
          <w:lang w:eastAsia="zh-CN"/>
        </w:rPr>
        <w:t xml:space="preserve">this study provides a vital in vitro foundation for the development of mechanism-specific Traditional Chinese Medicine formulations </w:t>
      </w:r>
      <w:r w:rsidRPr="002C5E6E">
        <w:rPr>
          <w:rFonts w:ascii="Arial" w:hAnsi="Arial" w:cs="Arial"/>
          <w:lang w:eastAsia="zh-CN"/>
        </w:rPr>
        <w:t>for the precision management of AKI.</w:t>
      </w:r>
    </w:p>
    <w:p w14:paraId="1590580A" w14:textId="77777777" w:rsidR="00CE7112" w:rsidRPr="002C5E6E" w:rsidRDefault="00CE7112" w:rsidP="00CE7112">
      <w:pPr>
        <w:pStyle w:val="Body"/>
        <w:spacing w:after="0"/>
        <w:rPr>
          <w:rFonts w:ascii="Arial" w:hAnsi="Arial" w:cs="Arial"/>
        </w:rPr>
      </w:pPr>
    </w:p>
    <w:p w14:paraId="5D8E3D64" w14:textId="77777777" w:rsidR="00CE7112" w:rsidRPr="002C5E6E" w:rsidRDefault="00CE7112" w:rsidP="00CE7112">
      <w:pPr>
        <w:pStyle w:val="AcknHead"/>
        <w:spacing w:after="0"/>
        <w:jc w:val="both"/>
        <w:rPr>
          <w:rFonts w:ascii="Arial" w:hAnsi="Arial" w:cs="Arial"/>
        </w:rPr>
      </w:pPr>
    </w:p>
    <w:p w14:paraId="34D6034A" w14:textId="77777777" w:rsidR="00CE7112" w:rsidRPr="002C5E6E" w:rsidRDefault="00CE7112" w:rsidP="00CE7112">
      <w:pPr>
        <w:pStyle w:val="AcknHead"/>
        <w:spacing w:after="0"/>
        <w:jc w:val="both"/>
        <w:rPr>
          <w:rFonts w:ascii="Arial" w:hAnsi="Arial" w:cs="Arial"/>
        </w:rPr>
      </w:pPr>
      <w:bookmarkStart w:id="0" w:name="_Hlk190852809"/>
      <w:r w:rsidRPr="002C5E6E">
        <w:rPr>
          <w:rFonts w:ascii="Arial" w:hAnsi="Arial" w:cs="Arial"/>
        </w:rPr>
        <w:t>Disclaimer (Artificial intelligence)</w:t>
      </w:r>
    </w:p>
    <w:p w14:paraId="1148FF2F" w14:textId="77777777" w:rsidR="00CE7112" w:rsidRPr="002C5E6E" w:rsidRDefault="00CE7112" w:rsidP="00CE7112">
      <w:pPr>
        <w:pStyle w:val="AcknHead"/>
        <w:spacing w:after="0"/>
        <w:jc w:val="both"/>
        <w:rPr>
          <w:rFonts w:ascii="Arial" w:hAnsi="Arial" w:cs="Arial"/>
        </w:rPr>
      </w:pPr>
    </w:p>
    <w:p w14:paraId="3872649F" w14:textId="77777777" w:rsidR="00CE7112" w:rsidRPr="002C5E6E" w:rsidRDefault="00CE7112" w:rsidP="00CE7112">
      <w:pPr>
        <w:spacing w:after="200" w:line="276" w:lineRule="auto"/>
        <w:rPr>
          <w:rFonts w:ascii="Arial" w:hAnsi="Arial" w:cs="Arial"/>
        </w:rPr>
      </w:pPr>
      <w:r w:rsidRPr="002C5E6E">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0"/>
    <w:p w14:paraId="178B0A98" w14:textId="77777777" w:rsidR="00CE7112" w:rsidRPr="002C5E6E" w:rsidRDefault="00CE7112" w:rsidP="00CE7112">
      <w:pPr>
        <w:rPr>
          <w:lang w:eastAsia="zh-CN"/>
        </w:rPr>
      </w:pPr>
    </w:p>
    <w:p w14:paraId="521A87B4" w14:textId="77777777" w:rsidR="00CE7112" w:rsidRPr="002C5E6E" w:rsidRDefault="00CE7112" w:rsidP="00CE7112">
      <w:pPr>
        <w:rPr>
          <w:color w:val="FF0000"/>
          <w:lang w:eastAsia="zh-CN"/>
        </w:rPr>
      </w:pPr>
    </w:p>
    <w:p w14:paraId="085B75DE" w14:textId="77777777" w:rsidR="00CE7112" w:rsidRPr="002C5E6E" w:rsidRDefault="00CE7112" w:rsidP="00CE7112">
      <w:pPr>
        <w:rPr>
          <w:lang w:eastAsia="zh-CN"/>
        </w:rPr>
      </w:pPr>
    </w:p>
    <w:p w14:paraId="37C57C1F" w14:textId="77777777" w:rsidR="00CE7112" w:rsidRPr="002C5E6E" w:rsidRDefault="00CE7112" w:rsidP="00CE7112">
      <w:pPr>
        <w:rPr>
          <w:lang w:eastAsia="zh-CN"/>
        </w:rPr>
      </w:pPr>
    </w:p>
    <w:p w14:paraId="2E378D20" w14:textId="77777777" w:rsidR="00CE7112" w:rsidRPr="002C5E6E" w:rsidRDefault="00CE7112" w:rsidP="00CE7112">
      <w:pPr>
        <w:rPr>
          <w:lang w:eastAsia="zh-CN"/>
        </w:rPr>
      </w:pPr>
    </w:p>
    <w:p w14:paraId="242DD2A1" w14:textId="77777777" w:rsidR="00CE7112" w:rsidRPr="002C5E6E" w:rsidRDefault="00CE7112" w:rsidP="00CE7112">
      <w:pPr>
        <w:pStyle w:val="ReferHead"/>
        <w:spacing w:after="0"/>
        <w:jc w:val="both"/>
        <w:rPr>
          <w:rFonts w:ascii="Arial" w:hAnsi="Arial" w:cs="Arial"/>
        </w:rPr>
      </w:pPr>
    </w:p>
    <w:p w14:paraId="0CF62157" w14:textId="77777777" w:rsidR="00CE7112" w:rsidRPr="002C5E6E" w:rsidRDefault="00CE7112" w:rsidP="00CE7112">
      <w:pPr>
        <w:pStyle w:val="ReferHead"/>
        <w:spacing w:after="0"/>
        <w:jc w:val="both"/>
        <w:rPr>
          <w:rFonts w:ascii="Arial" w:hAnsi="Arial" w:cs="Arial"/>
        </w:rPr>
      </w:pPr>
      <w:r w:rsidRPr="002C5E6E">
        <w:rPr>
          <w:rFonts w:ascii="Arial" w:hAnsi="Arial" w:cs="Arial"/>
        </w:rPr>
        <w:t>References</w:t>
      </w:r>
    </w:p>
    <w:p w14:paraId="5969B895" w14:textId="77777777" w:rsidR="00CE7112" w:rsidRPr="002C5E6E" w:rsidRDefault="00CE7112" w:rsidP="00CE7112">
      <w:pPr>
        <w:pStyle w:val="ReferHead"/>
        <w:spacing w:after="0"/>
        <w:jc w:val="both"/>
        <w:rPr>
          <w:rFonts w:ascii="Arial" w:hAnsi="Arial" w:cs="Arial"/>
        </w:rPr>
      </w:pPr>
    </w:p>
    <w:p w14:paraId="4406656C" w14:textId="352488E6" w:rsidR="0059703E" w:rsidRPr="002C5E6E" w:rsidRDefault="0059703E" w:rsidP="0059703E">
      <w:pPr>
        <w:widowControl w:val="0"/>
        <w:spacing w:line="360" w:lineRule="auto"/>
        <w:ind w:left="426" w:hangingChars="213" w:hanging="426"/>
        <w:jc w:val="both"/>
        <w:rPr>
          <w:rFonts w:ascii="Arial" w:hAnsi="Arial" w:cs="Arial"/>
          <w:lang w:val="en-GB"/>
        </w:rPr>
      </w:pPr>
      <w:bookmarkStart w:id="1" w:name="_Hlk190467071"/>
      <w:r w:rsidRPr="002C5E6E">
        <w:rPr>
          <w:rFonts w:ascii="Arial" w:hAnsi="Arial" w:cs="Arial"/>
          <w:lang w:val="en-GB"/>
        </w:rPr>
        <w:t xml:space="preserve">Aranda-Rivera, A. K., Cruz-Gregorio, A., Aparicio-Trejo, O. E., Pedraza-Chaverri, J. (2021). Mitochondrial redox </w:t>
      </w:r>
      <w:proofErr w:type="spellStart"/>
      <w:r w:rsidRPr="002C5E6E">
        <w:rPr>
          <w:rFonts w:ascii="Arial" w:hAnsi="Arial" w:cs="Arial"/>
          <w:lang w:val="en-GB"/>
        </w:rPr>
        <w:t>signaling</w:t>
      </w:r>
      <w:proofErr w:type="spellEnd"/>
      <w:r w:rsidRPr="002C5E6E">
        <w:rPr>
          <w:rFonts w:ascii="Arial" w:hAnsi="Arial" w:cs="Arial"/>
          <w:lang w:val="en-GB"/>
        </w:rPr>
        <w:t xml:space="preserve"> and oxidative stress in kidney diseases. Biomolecules, 11(8): 1144. </w:t>
      </w:r>
      <w:r w:rsidR="00DB7CA5" w:rsidRPr="002C5E6E">
        <w:rPr>
          <w:rFonts w:ascii="Arial" w:hAnsi="Arial" w:cs="Arial"/>
          <w:lang w:val="en-GB"/>
        </w:rPr>
        <w:t>https://doi.org/</w:t>
      </w:r>
      <w:r w:rsidRPr="002C5E6E">
        <w:rPr>
          <w:rFonts w:ascii="Arial" w:hAnsi="Arial" w:cs="Arial"/>
          <w:lang w:val="en-GB"/>
        </w:rPr>
        <w:t>10.3390/biom11081144.</w:t>
      </w:r>
    </w:p>
    <w:p w14:paraId="446DBC19" w14:textId="5315BB7B"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Cai, Y., Feng, Z., Jia, Q., Guo, J., Zhang, P., Zhao, Q., Wang, Y.X., Liu, Y.N., Liu, W.J. (2021). </w:t>
      </w:r>
      <w:r w:rsidRPr="002C5E6E">
        <w:rPr>
          <w:rFonts w:ascii="Arial" w:hAnsi="Arial" w:cs="Arial"/>
          <w:i/>
          <w:iCs/>
          <w:lang w:val="en-GB"/>
        </w:rPr>
        <w:t>Cordyceps cicadae</w:t>
      </w:r>
      <w:r w:rsidRPr="002C5E6E">
        <w:rPr>
          <w:rFonts w:ascii="Arial" w:hAnsi="Arial" w:cs="Arial"/>
          <w:lang w:val="en-GB"/>
        </w:rPr>
        <w:t xml:space="preserve"> ameliorates renal hypertensive injury and fibrosis through the regulation of SIRT1-mediated autophagy. Front </w:t>
      </w:r>
      <w:proofErr w:type="spellStart"/>
      <w:r w:rsidRPr="002C5E6E">
        <w:rPr>
          <w:rFonts w:ascii="Arial" w:hAnsi="Arial" w:cs="Arial"/>
          <w:lang w:val="en-GB"/>
        </w:rPr>
        <w:t>Pharmacol</w:t>
      </w:r>
      <w:proofErr w:type="spellEnd"/>
      <w:r w:rsidRPr="002C5E6E">
        <w:rPr>
          <w:rFonts w:ascii="Arial" w:hAnsi="Arial" w:cs="Arial"/>
          <w:lang w:val="en-GB"/>
        </w:rPr>
        <w:t xml:space="preserve">, 12: 801094. </w:t>
      </w:r>
      <w:r w:rsidR="00DB7CA5" w:rsidRPr="002C5E6E">
        <w:rPr>
          <w:rFonts w:ascii="Arial" w:hAnsi="Arial" w:cs="Arial"/>
          <w:lang w:val="en-GB"/>
        </w:rPr>
        <w:t>https://doi.org/</w:t>
      </w:r>
      <w:r w:rsidRPr="002C5E6E">
        <w:rPr>
          <w:rFonts w:ascii="Arial" w:hAnsi="Arial" w:cs="Arial"/>
          <w:lang w:val="en-GB"/>
        </w:rPr>
        <w:t>10.3389/fphar.2021.801094.</w:t>
      </w:r>
    </w:p>
    <w:p w14:paraId="40D5D915" w14:textId="42089C5E"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Costa e Silva, V. T., </w:t>
      </w:r>
      <w:proofErr w:type="spellStart"/>
      <w:r w:rsidRPr="002C5E6E">
        <w:rPr>
          <w:rFonts w:ascii="Arial" w:hAnsi="Arial" w:cs="Arial"/>
          <w:lang w:val="en-GB"/>
        </w:rPr>
        <w:t>Marçal</w:t>
      </w:r>
      <w:proofErr w:type="spellEnd"/>
      <w:r w:rsidRPr="002C5E6E">
        <w:rPr>
          <w:rFonts w:ascii="Arial" w:hAnsi="Arial" w:cs="Arial"/>
          <w:lang w:val="en-GB"/>
        </w:rPr>
        <w:t xml:space="preserve">, L. J., </w:t>
      </w:r>
      <w:proofErr w:type="spellStart"/>
      <w:r w:rsidRPr="002C5E6E">
        <w:rPr>
          <w:rFonts w:ascii="Arial" w:hAnsi="Arial" w:cs="Arial"/>
          <w:lang w:val="en-GB"/>
        </w:rPr>
        <w:t>Burdmann</w:t>
      </w:r>
      <w:proofErr w:type="spellEnd"/>
      <w:r w:rsidRPr="002C5E6E">
        <w:rPr>
          <w:rFonts w:ascii="Arial" w:hAnsi="Arial" w:cs="Arial"/>
          <w:lang w:val="en-GB"/>
        </w:rPr>
        <w:t xml:space="preserve">, E. A. (2014). Risk factors for vancomycin nephrotoxicity: still a matter of debate. Crit Care Med, 42(12): 2635-2636. </w:t>
      </w:r>
      <w:r w:rsidR="00DB7CA5" w:rsidRPr="002C5E6E">
        <w:rPr>
          <w:rFonts w:ascii="Arial" w:hAnsi="Arial" w:cs="Arial"/>
          <w:lang w:val="en-GB"/>
        </w:rPr>
        <w:t>https://doi.org/</w:t>
      </w:r>
      <w:r w:rsidRPr="002C5E6E">
        <w:rPr>
          <w:rFonts w:ascii="Arial" w:hAnsi="Arial" w:cs="Arial"/>
          <w:lang w:val="en-GB"/>
        </w:rPr>
        <w:t>10.1097/CCM.0000000000000635.</w:t>
      </w:r>
    </w:p>
    <w:p w14:paraId="66F5D7D6" w14:textId="4EEF051D"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Gou, X. Y., Li, Y., &amp; Fan, X. P. (2025). The role of Mdivi-1 in reducing mitochondrial fission via the NF</w:t>
      </w:r>
      <w:r w:rsidRPr="002C5E6E">
        <w:rPr>
          <w:rFonts w:ascii="MS Gothic" w:eastAsia="MS Gothic" w:hAnsi="MS Gothic" w:cs="MS Gothic" w:hint="eastAsia"/>
          <w:lang w:val="en-GB"/>
        </w:rPr>
        <w:t>‑</w:t>
      </w:r>
      <w:proofErr w:type="spellStart"/>
      <w:r w:rsidRPr="002C5E6E">
        <w:rPr>
          <w:rFonts w:ascii="Arial" w:hAnsi="Arial" w:cs="Arial"/>
          <w:lang w:val="en-GB"/>
        </w:rPr>
        <w:t>κB</w:t>
      </w:r>
      <w:proofErr w:type="spellEnd"/>
      <w:r w:rsidRPr="002C5E6E">
        <w:rPr>
          <w:rFonts w:ascii="Arial" w:hAnsi="Arial" w:cs="Arial"/>
          <w:lang w:val="en-GB"/>
        </w:rPr>
        <w:t xml:space="preserve">/JNK/SIRT3 </w:t>
      </w:r>
      <w:proofErr w:type="spellStart"/>
      <w:r w:rsidRPr="002C5E6E">
        <w:rPr>
          <w:rFonts w:ascii="Arial" w:hAnsi="Arial" w:cs="Arial"/>
          <w:lang w:val="en-GB"/>
        </w:rPr>
        <w:t>signaling</w:t>
      </w:r>
      <w:proofErr w:type="spellEnd"/>
      <w:r w:rsidRPr="002C5E6E">
        <w:rPr>
          <w:rFonts w:ascii="Arial" w:hAnsi="Arial" w:cs="Arial"/>
          <w:lang w:val="en-GB"/>
        </w:rPr>
        <w:t xml:space="preserve"> pathway in acute kidney injury. </w:t>
      </w:r>
      <w:proofErr w:type="spellStart"/>
      <w:r w:rsidRPr="002C5E6E">
        <w:rPr>
          <w:rFonts w:ascii="Arial" w:hAnsi="Arial" w:cs="Arial"/>
          <w:lang w:val="en-GB"/>
        </w:rPr>
        <w:t>Physiol</w:t>
      </w:r>
      <w:proofErr w:type="spellEnd"/>
      <w:r w:rsidRPr="002C5E6E">
        <w:rPr>
          <w:rFonts w:ascii="Arial" w:hAnsi="Arial" w:cs="Arial"/>
          <w:lang w:val="en-GB"/>
        </w:rPr>
        <w:t xml:space="preserve"> Res, 74(1), 79–92. </w:t>
      </w:r>
      <w:r w:rsidR="00DB7CA5" w:rsidRPr="002C5E6E">
        <w:rPr>
          <w:rFonts w:ascii="Arial" w:hAnsi="Arial" w:cs="Arial"/>
          <w:lang w:val="en-GB"/>
        </w:rPr>
        <w:t>https://doi.org/</w:t>
      </w:r>
      <w:r w:rsidRPr="002C5E6E">
        <w:rPr>
          <w:rFonts w:ascii="Arial" w:hAnsi="Arial" w:cs="Arial"/>
          <w:lang w:val="en-GB"/>
        </w:rPr>
        <w:t>10.33549/physiolres.935445.</w:t>
      </w:r>
    </w:p>
    <w:p w14:paraId="00662B73" w14:textId="29BE0530"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Hu, L., Jiao, C., Gu, H., Zhu, Z., Liang, M. (2025). Identification and validation of </w:t>
      </w:r>
      <w:proofErr w:type="spellStart"/>
      <w:r w:rsidRPr="002C5E6E">
        <w:rPr>
          <w:rFonts w:ascii="Arial" w:hAnsi="Arial" w:cs="Arial"/>
          <w:lang w:val="en-GB"/>
        </w:rPr>
        <w:t>leukemia</w:t>
      </w:r>
      <w:proofErr w:type="spellEnd"/>
      <w:r w:rsidRPr="002C5E6E">
        <w:rPr>
          <w:rFonts w:ascii="Arial" w:hAnsi="Arial" w:cs="Arial"/>
          <w:lang w:val="en-GB"/>
        </w:rPr>
        <w:t xml:space="preserve"> inhibitory factor as a protective factor in ischemic acute kidney injury. Am J Med Sci, 369(4): 524-536. </w:t>
      </w:r>
      <w:r w:rsidR="00DB7CA5" w:rsidRPr="002C5E6E">
        <w:rPr>
          <w:rFonts w:ascii="Arial" w:hAnsi="Arial" w:cs="Arial"/>
          <w:lang w:val="en-GB"/>
        </w:rPr>
        <w:t>https://doi.org/</w:t>
      </w:r>
      <w:r w:rsidRPr="002C5E6E">
        <w:rPr>
          <w:rFonts w:ascii="Arial" w:hAnsi="Arial" w:cs="Arial"/>
          <w:lang w:val="en-GB"/>
        </w:rPr>
        <w:t>10.1016/j.amjms.2024.09.010.</w:t>
      </w:r>
    </w:p>
    <w:p w14:paraId="6A9D942C" w14:textId="302E17EC"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Huang, Y. S., Wang, X., Feng, Z., Cui, H., Zhu, Z., Xia, C., Han, X., Liu, W.J., Liu, Y.N. (2020). </w:t>
      </w:r>
      <w:r w:rsidRPr="002C5E6E">
        <w:rPr>
          <w:rFonts w:ascii="Arial" w:hAnsi="Arial" w:cs="Arial"/>
          <w:i/>
          <w:iCs/>
          <w:lang w:val="en-GB"/>
        </w:rPr>
        <w:t>Cordyceps cicadae</w:t>
      </w:r>
      <w:r w:rsidRPr="002C5E6E">
        <w:rPr>
          <w:rFonts w:ascii="Arial" w:hAnsi="Arial" w:cs="Arial"/>
          <w:lang w:val="en-GB"/>
        </w:rPr>
        <w:t xml:space="preserve"> prevents renal tubular epithelial cell apoptosis by regulating the SIRT1/p53 pathway in hypertensive renal injury. Evid Based Complement Alternat Med, 2020: 7202519. </w:t>
      </w:r>
      <w:r w:rsidR="00DB7CA5" w:rsidRPr="002C5E6E">
        <w:rPr>
          <w:rFonts w:ascii="Arial" w:hAnsi="Arial" w:cs="Arial"/>
          <w:lang w:val="en-GB"/>
        </w:rPr>
        <w:t>https://doi.org/</w:t>
      </w:r>
      <w:r w:rsidRPr="002C5E6E">
        <w:rPr>
          <w:rFonts w:ascii="Arial" w:hAnsi="Arial" w:cs="Arial"/>
          <w:lang w:val="en-GB"/>
        </w:rPr>
        <w:t>10.1155/2020/7202519.</w:t>
      </w:r>
    </w:p>
    <w:p w14:paraId="3A4A3B12" w14:textId="1651EF02"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Igwebuike, C., Yaglom, J., Huiting, L., Feng, H., Campbell, J.D., Wang, Z., Havasi, A., Pimentel, D., Sherman, M.Y., Borkan, S.C. (2020). Cross organelle stress response disruption promotes gentamicin-induced proteotoxicity. Cell Death Dis, 11(4):217. </w:t>
      </w:r>
      <w:r w:rsidR="00DB7CA5" w:rsidRPr="002C5E6E">
        <w:rPr>
          <w:rFonts w:ascii="Arial" w:hAnsi="Arial" w:cs="Arial"/>
          <w:lang w:val="en-GB"/>
        </w:rPr>
        <w:t>https://doi.org/</w:t>
      </w:r>
      <w:r w:rsidRPr="002C5E6E">
        <w:rPr>
          <w:rFonts w:ascii="Arial" w:hAnsi="Arial" w:cs="Arial"/>
          <w:lang w:val="en-GB"/>
        </w:rPr>
        <w:t>10.1038/s41419-020-2382-7</w:t>
      </w:r>
    </w:p>
    <w:p w14:paraId="4CC8F6A8" w14:textId="77777777"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Jia, P., Ding, X. Q. (2016). Xenon reduces gentamicin-induced acute kidney injury in rats. Chin J Clin Med, 23(2): 136-138. </w:t>
      </w:r>
    </w:p>
    <w:p w14:paraId="54AB720F" w14:textId="1C5A1245"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Li, Z., Liu, Z., Luo, M., Li, X., Chen, H., Gong, S., Zhang, M., Zhang, Y., Liu, H., Li, X. (2022). The pathological role of damaged organelles in renal tubular epithelial cells in the progression of acute kidney injury. Cell Death </w:t>
      </w:r>
      <w:proofErr w:type="spellStart"/>
      <w:r w:rsidRPr="002C5E6E">
        <w:rPr>
          <w:rFonts w:ascii="Arial" w:hAnsi="Arial" w:cs="Arial"/>
          <w:lang w:val="en-GB"/>
        </w:rPr>
        <w:t>Discov</w:t>
      </w:r>
      <w:proofErr w:type="spellEnd"/>
      <w:r w:rsidRPr="002C5E6E">
        <w:rPr>
          <w:rFonts w:ascii="Arial" w:hAnsi="Arial" w:cs="Arial"/>
          <w:lang w:val="en-GB"/>
        </w:rPr>
        <w:t xml:space="preserve">, 8(1), 239. </w:t>
      </w:r>
      <w:r w:rsidR="00DB7CA5" w:rsidRPr="002C5E6E">
        <w:rPr>
          <w:rFonts w:ascii="Arial" w:hAnsi="Arial" w:cs="Arial"/>
          <w:lang w:val="en-GB"/>
        </w:rPr>
        <w:t>https://doi.org/</w:t>
      </w:r>
      <w:r w:rsidRPr="002C5E6E">
        <w:rPr>
          <w:rFonts w:ascii="Arial" w:hAnsi="Arial" w:cs="Arial"/>
          <w:lang w:val="en-GB"/>
        </w:rPr>
        <w:t>10.1038/s41420-022-01034-0.</w:t>
      </w:r>
    </w:p>
    <w:p w14:paraId="504379EC" w14:textId="3406B0E7"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Liu, J., Wang, Y., Qiao, P., Ying, Y., Lin, S., Lu, F., Gao, C., Li, M., Yang, B., Zhou, H. (2025). Mechanisms of Cisplatin-induced acute kidney injury: the role of NRF2 in mitochondrial dysfunction and metabolic reprogramming. Antioxidants, 14(7):775. </w:t>
      </w:r>
      <w:r w:rsidR="00DB7CA5" w:rsidRPr="002C5E6E">
        <w:rPr>
          <w:rFonts w:ascii="Arial" w:hAnsi="Arial" w:cs="Arial"/>
          <w:lang w:val="en-GB"/>
        </w:rPr>
        <w:lastRenderedPageBreak/>
        <w:t>https://doi.org/</w:t>
      </w:r>
      <w:r w:rsidRPr="002C5E6E">
        <w:rPr>
          <w:rFonts w:ascii="Arial" w:hAnsi="Arial" w:cs="Arial"/>
          <w:lang w:val="en-GB"/>
        </w:rPr>
        <w:t>10.3390/antiox14070775.</w:t>
      </w:r>
    </w:p>
    <w:p w14:paraId="47A92FB8" w14:textId="7A1D66D9"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Pan, Q., Yu, Q., Luo, Y., Liao, Y., Yang, R. (2026). Serum response factor aggravates acute kidney injury via the NIK/NF-</w:t>
      </w:r>
      <w:proofErr w:type="spellStart"/>
      <w:r w:rsidRPr="002C5E6E">
        <w:rPr>
          <w:rFonts w:ascii="Arial" w:hAnsi="Arial" w:cs="Arial"/>
          <w:lang w:val="en-GB"/>
        </w:rPr>
        <w:t>κB</w:t>
      </w:r>
      <w:proofErr w:type="spellEnd"/>
      <w:r w:rsidRPr="002C5E6E">
        <w:rPr>
          <w:rFonts w:ascii="Arial" w:hAnsi="Arial" w:cs="Arial"/>
          <w:lang w:val="en-GB"/>
        </w:rPr>
        <w:t xml:space="preserve"> </w:t>
      </w:r>
      <w:proofErr w:type="spellStart"/>
      <w:r w:rsidRPr="002C5E6E">
        <w:rPr>
          <w:rFonts w:ascii="Arial" w:hAnsi="Arial" w:cs="Arial"/>
          <w:lang w:val="en-GB"/>
        </w:rPr>
        <w:t>signaling</w:t>
      </w:r>
      <w:proofErr w:type="spellEnd"/>
      <w:r w:rsidRPr="002C5E6E">
        <w:rPr>
          <w:rFonts w:ascii="Arial" w:hAnsi="Arial" w:cs="Arial"/>
          <w:lang w:val="en-GB"/>
        </w:rPr>
        <w:t xml:space="preserve"> in LPS-treated HK-2 cells. Cytotechnology, 78(1): 1. </w:t>
      </w:r>
      <w:r w:rsidR="00DB7CA5" w:rsidRPr="002C5E6E">
        <w:rPr>
          <w:rFonts w:ascii="Arial" w:hAnsi="Arial" w:cs="Arial"/>
          <w:lang w:val="en-GB"/>
        </w:rPr>
        <w:t>https://doi.org/</w:t>
      </w:r>
      <w:r w:rsidRPr="002C5E6E">
        <w:rPr>
          <w:rFonts w:ascii="Arial" w:hAnsi="Arial" w:cs="Arial"/>
          <w:lang w:val="en-GB"/>
        </w:rPr>
        <w:t>10.1007/s10616-025-00854-z.</w:t>
      </w:r>
    </w:p>
    <w:p w14:paraId="40988FA5" w14:textId="2A04B899"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Pastor-Anglada, M., Mata-Ventosa, A., &amp; Pérez-Torras, S. (2022). Inborn errors of nucleoside transporter (NT)-encoding genes (SLC28 and SLC29). Int J Mol Sci, 23(15), 8770. </w:t>
      </w:r>
      <w:r w:rsidR="00DB7CA5" w:rsidRPr="002C5E6E">
        <w:rPr>
          <w:rFonts w:ascii="Arial" w:hAnsi="Arial" w:cs="Arial"/>
          <w:lang w:val="en-GB"/>
        </w:rPr>
        <w:t>https://doi.org/</w:t>
      </w:r>
      <w:r w:rsidRPr="002C5E6E">
        <w:rPr>
          <w:rFonts w:ascii="Arial" w:hAnsi="Arial" w:cs="Arial"/>
          <w:lang w:val="en-GB"/>
        </w:rPr>
        <w:t>10.3390/ijms23158770.</w:t>
      </w:r>
    </w:p>
    <w:p w14:paraId="37CB72B3" w14:textId="5FE2F881" w:rsidR="0059703E" w:rsidRPr="002C5E6E" w:rsidRDefault="0059703E" w:rsidP="0059703E">
      <w:pPr>
        <w:widowControl w:val="0"/>
        <w:spacing w:line="360" w:lineRule="auto"/>
        <w:ind w:left="426" w:hangingChars="213" w:hanging="426"/>
        <w:jc w:val="both"/>
        <w:rPr>
          <w:rFonts w:ascii="Arial" w:hAnsi="Arial" w:cs="Arial"/>
          <w:lang w:val="en-GB"/>
        </w:rPr>
      </w:pPr>
      <w:proofErr w:type="spellStart"/>
      <w:r w:rsidRPr="002C5E6E">
        <w:rPr>
          <w:rFonts w:ascii="Arial" w:hAnsi="Arial" w:cs="Arial"/>
          <w:lang w:val="en-GB"/>
        </w:rPr>
        <w:t>Perazella</w:t>
      </w:r>
      <w:proofErr w:type="spellEnd"/>
      <w:r w:rsidRPr="002C5E6E">
        <w:rPr>
          <w:rFonts w:ascii="Arial" w:hAnsi="Arial" w:cs="Arial"/>
          <w:lang w:val="en-GB"/>
        </w:rPr>
        <w:t xml:space="preserve">, M. A., Rosner, M. H. (2022). Drug-induced acute kidney injury. Clin J Am Soc Nephrol, 17(8): 1220-1233. </w:t>
      </w:r>
      <w:r w:rsidR="00DB7CA5" w:rsidRPr="002C5E6E">
        <w:rPr>
          <w:rFonts w:ascii="Arial" w:hAnsi="Arial" w:cs="Arial"/>
          <w:lang w:val="en-GB"/>
        </w:rPr>
        <w:t>https://doi.org/</w:t>
      </w:r>
      <w:r w:rsidRPr="002C5E6E">
        <w:rPr>
          <w:rFonts w:ascii="Arial" w:hAnsi="Arial" w:cs="Arial"/>
          <w:lang w:val="en-GB"/>
        </w:rPr>
        <w:t>10.2215/CJN.11290821.</w:t>
      </w:r>
    </w:p>
    <w:p w14:paraId="12FC1AFE" w14:textId="16CB0DFE"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Qin, W. P., Mu, C., Ying, S.P. (2019). Research progress of chemical components and pharmacological effects of </w:t>
      </w:r>
      <w:proofErr w:type="spellStart"/>
      <w:r w:rsidRPr="002C5E6E">
        <w:rPr>
          <w:rFonts w:ascii="Arial" w:hAnsi="Arial" w:cs="Arial"/>
          <w:i/>
          <w:iCs/>
          <w:lang w:val="en-GB"/>
        </w:rPr>
        <w:t>Isaria</w:t>
      </w:r>
      <w:proofErr w:type="spellEnd"/>
      <w:r w:rsidRPr="002C5E6E">
        <w:rPr>
          <w:rFonts w:ascii="Arial" w:hAnsi="Arial" w:cs="Arial"/>
          <w:i/>
          <w:iCs/>
          <w:lang w:val="en-GB"/>
        </w:rPr>
        <w:t xml:space="preserve"> cicadae</w:t>
      </w:r>
      <w:r w:rsidRPr="002C5E6E">
        <w:rPr>
          <w:rFonts w:ascii="Arial" w:hAnsi="Arial" w:cs="Arial"/>
          <w:lang w:val="en-GB"/>
        </w:rPr>
        <w:t xml:space="preserve"> Miquel. Chin J Lib Inform Sci </w:t>
      </w:r>
      <w:proofErr w:type="spellStart"/>
      <w:r w:rsidRPr="002C5E6E">
        <w:rPr>
          <w:rFonts w:ascii="Arial" w:hAnsi="Arial" w:cs="Arial"/>
          <w:lang w:val="en-GB"/>
        </w:rPr>
        <w:t>Tradit</w:t>
      </w:r>
      <w:proofErr w:type="spellEnd"/>
      <w:r w:rsidRPr="002C5E6E">
        <w:rPr>
          <w:rFonts w:ascii="Arial" w:hAnsi="Arial" w:cs="Arial"/>
          <w:lang w:val="en-GB"/>
        </w:rPr>
        <w:t xml:space="preserve"> Chin Med, 43(04) :73-76. </w:t>
      </w:r>
      <w:r w:rsidR="00DB7CA5" w:rsidRPr="002C5E6E">
        <w:rPr>
          <w:rFonts w:ascii="Arial" w:hAnsi="Arial" w:cs="Arial"/>
          <w:lang w:val="en-GB"/>
        </w:rPr>
        <w:t>https://doi.org/</w:t>
      </w:r>
      <w:r w:rsidRPr="002C5E6E">
        <w:rPr>
          <w:rFonts w:ascii="Arial" w:hAnsi="Arial" w:cs="Arial"/>
          <w:lang w:val="en-GB"/>
        </w:rPr>
        <w:t>10.3969/j.issn.2095-5707.2019.04.019</w:t>
      </w:r>
    </w:p>
    <w:p w14:paraId="6CA42D34" w14:textId="30762A40" w:rsidR="0059703E" w:rsidRPr="002C5E6E" w:rsidRDefault="0059703E" w:rsidP="0059703E">
      <w:pPr>
        <w:widowControl w:val="0"/>
        <w:spacing w:line="360" w:lineRule="auto"/>
        <w:ind w:left="426" w:hangingChars="213" w:hanging="426"/>
        <w:jc w:val="both"/>
        <w:rPr>
          <w:rFonts w:ascii="Arial" w:hAnsi="Arial" w:cs="Arial"/>
          <w:lang w:val="en-GB"/>
        </w:rPr>
      </w:pPr>
      <w:proofErr w:type="spellStart"/>
      <w:r w:rsidRPr="002C5E6E">
        <w:rPr>
          <w:rFonts w:ascii="Arial" w:hAnsi="Arial" w:cs="Arial"/>
          <w:lang w:val="en-GB"/>
        </w:rPr>
        <w:t>Strauß</w:t>
      </w:r>
      <w:proofErr w:type="spellEnd"/>
      <w:r w:rsidRPr="002C5E6E">
        <w:rPr>
          <w:rFonts w:ascii="Arial" w:hAnsi="Arial" w:cs="Arial"/>
          <w:lang w:val="en-GB"/>
        </w:rPr>
        <w:t xml:space="preserve">, C., Booke, H., Forni, L., Zarbock, A. (2024). Biomarkers of acute kidney injury: From discovery to the future of clinical practice. J Clin Anesth, 95: 111458. </w:t>
      </w:r>
      <w:r w:rsidR="00DB7CA5" w:rsidRPr="002C5E6E">
        <w:rPr>
          <w:rFonts w:ascii="Arial" w:hAnsi="Arial" w:cs="Arial"/>
          <w:lang w:val="en-GB"/>
        </w:rPr>
        <w:t>https://doi.org/</w:t>
      </w:r>
      <w:r w:rsidRPr="002C5E6E">
        <w:rPr>
          <w:rFonts w:ascii="Arial" w:hAnsi="Arial" w:cs="Arial"/>
          <w:lang w:val="en-GB"/>
        </w:rPr>
        <w:t>10.1016/j.jclinane.2024.111458.</w:t>
      </w:r>
    </w:p>
    <w:p w14:paraId="7167272A" w14:textId="6C87BDF7"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Wang, Q., Li, J., Chen, L. (2025). Traditional </w:t>
      </w:r>
      <w:proofErr w:type="spellStart"/>
      <w:r w:rsidRPr="002C5E6E">
        <w:rPr>
          <w:rFonts w:ascii="Arial" w:hAnsi="Arial" w:cs="Arial"/>
          <w:lang w:val="en-GB"/>
        </w:rPr>
        <w:t>chinese</w:t>
      </w:r>
      <w:proofErr w:type="spellEnd"/>
      <w:r w:rsidRPr="002C5E6E">
        <w:rPr>
          <w:rFonts w:ascii="Arial" w:hAnsi="Arial" w:cs="Arial"/>
          <w:lang w:val="en-GB"/>
        </w:rPr>
        <w:t xml:space="preserve"> medicine phytochemicals: promising therapeutic agents for acute kidney injury. </w:t>
      </w:r>
      <w:proofErr w:type="spellStart"/>
      <w:r w:rsidRPr="002C5E6E">
        <w:rPr>
          <w:rFonts w:ascii="Arial" w:hAnsi="Arial" w:cs="Arial"/>
          <w:lang w:val="en-GB"/>
        </w:rPr>
        <w:t>Integr</w:t>
      </w:r>
      <w:proofErr w:type="spellEnd"/>
      <w:r w:rsidRPr="002C5E6E">
        <w:rPr>
          <w:rFonts w:ascii="Arial" w:hAnsi="Arial" w:cs="Arial"/>
          <w:lang w:val="en-GB"/>
        </w:rPr>
        <w:t xml:space="preserve"> Med Nephrol </w:t>
      </w:r>
      <w:proofErr w:type="spellStart"/>
      <w:r w:rsidRPr="002C5E6E">
        <w:rPr>
          <w:rFonts w:ascii="Arial" w:hAnsi="Arial" w:cs="Arial"/>
          <w:lang w:val="en-GB"/>
        </w:rPr>
        <w:t>Androl</w:t>
      </w:r>
      <w:proofErr w:type="spellEnd"/>
      <w:r w:rsidRPr="002C5E6E">
        <w:rPr>
          <w:rFonts w:ascii="Arial" w:hAnsi="Arial" w:cs="Arial"/>
          <w:lang w:val="en-GB"/>
        </w:rPr>
        <w:t xml:space="preserve">, 12(4): 121064. </w:t>
      </w:r>
      <w:r w:rsidR="00DB7CA5" w:rsidRPr="002C5E6E">
        <w:rPr>
          <w:rFonts w:ascii="Arial" w:hAnsi="Arial" w:cs="Arial"/>
          <w:lang w:val="en-GB"/>
        </w:rPr>
        <w:t>https://doi.org/</w:t>
      </w:r>
      <w:r w:rsidRPr="002C5E6E">
        <w:rPr>
          <w:rFonts w:ascii="Arial" w:hAnsi="Arial" w:cs="Arial"/>
          <w:lang w:val="en-GB"/>
        </w:rPr>
        <w:t>10.1097/IMNA-D-25-00037</w:t>
      </w:r>
    </w:p>
    <w:p w14:paraId="1D565917" w14:textId="5D08AEF0"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Ye, S., Shang, L., Xie, X., Cao, Y., Chen, C. (2021). Optimization of in vitro culture conditions for production of </w:t>
      </w:r>
      <w:r w:rsidRPr="002C5E6E">
        <w:rPr>
          <w:rFonts w:ascii="Arial" w:hAnsi="Arial" w:cs="Arial"/>
          <w:i/>
          <w:iCs/>
          <w:lang w:val="en-GB"/>
        </w:rPr>
        <w:t>Cordyceps bassiana</w:t>
      </w:r>
      <w:r w:rsidRPr="002C5E6E">
        <w:rPr>
          <w:rFonts w:ascii="Arial" w:hAnsi="Arial" w:cs="Arial"/>
          <w:lang w:val="en-GB"/>
        </w:rPr>
        <w:t xml:space="preserve"> spores (Ascomycetes) and the effect of spore extracts on the health of Caenorhabditis elegans. Int J Med Mushrooms, 23(6):45-55. </w:t>
      </w:r>
      <w:r w:rsidR="00DB7CA5" w:rsidRPr="002C5E6E">
        <w:rPr>
          <w:rFonts w:ascii="Arial" w:hAnsi="Arial" w:cs="Arial"/>
          <w:lang w:val="en-GB"/>
        </w:rPr>
        <w:t>https://doi.org/</w:t>
      </w:r>
      <w:r w:rsidRPr="002C5E6E">
        <w:rPr>
          <w:rFonts w:ascii="Arial" w:hAnsi="Arial" w:cs="Arial"/>
          <w:lang w:val="en-GB"/>
        </w:rPr>
        <w:t>10.1615/IntJMedMushrooms.2021038683.</w:t>
      </w:r>
    </w:p>
    <w:p w14:paraId="14A49150" w14:textId="0C3121F2"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Zhang, M., Li, Y., Ma, Y., Jin, Y., Gou, X., Yuan, Y., Xu, F., Wu, X. (2024). The toxicity of cisplatin derives from effects on renal organic ion transporters expression and serum endogenous substance levels. Food Chem </w:t>
      </w:r>
      <w:proofErr w:type="spellStart"/>
      <w:r w:rsidRPr="002C5E6E">
        <w:rPr>
          <w:rFonts w:ascii="Arial" w:hAnsi="Arial" w:cs="Arial"/>
          <w:lang w:val="en-GB"/>
        </w:rPr>
        <w:t>Toxicol</w:t>
      </w:r>
      <w:proofErr w:type="spellEnd"/>
      <w:r w:rsidRPr="002C5E6E">
        <w:rPr>
          <w:rFonts w:ascii="Arial" w:hAnsi="Arial" w:cs="Arial"/>
          <w:lang w:val="en-GB"/>
        </w:rPr>
        <w:t xml:space="preserve">, 192: 114949. </w:t>
      </w:r>
      <w:r w:rsidR="00DB7CA5" w:rsidRPr="002C5E6E">
        <w:rPr>
          <w:rFonts w:ascii="Arial" w:hAnsi="Arial" w:cs="Arial"/>
          <w:lang w:val="en-GB"/>
        </w:rPr>
        <w:t>https://doi.org/</w:t>
      </w:r>
      <w:r w:rsidRPr="002C5E6E">
        <w:rPr>
          <w:rFonts w:ascii="Arial" w:hAnsi="Arial" w:cs="Arial"/>
          <w:lang w:val="en-GB"/>
        </w:rPr>
        <w:t>10.1016/j.fct.2024.114949.</w:t>
      </w:r>
    </w:p>
    <w:p w14:paraId="08676842" w14:textId="4B74392B" w:rsidR="0059703E" w:rsidRPr="0059703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Zhu, S., Pabla, </w:t>
      </w:r>
      <w:proofErr w:type="gramStart"/>
      <w:r w:rsidRPr="002C5E6E">
        <w:rPr>
          <w:rFonts w:ascii="Arial" w:hAnsi="Arial" w:cs="Arial"/>
          <w:lang w:val="en-GB"/>
        </w:rPr>
        <w:t>N,,</w:t>
      </w:r>
      <w:proofErr w:type="gramEnd"/>
      <w:r w:rsidRPr="002C5E6E">
        <w:rPr>
          <w:rFonts w:ascii="Arial" w:hAnsi="Arial" w:cs="Arial"/>
          <w:lang w:val="en-GB"/>
        </w:rPr>
        <w:t xml:space="preserve"> Tang, C., He, L., Dong, Z. (2015). DNA damage response in cisplatin-induced nephrotoxicity. Arch </w:t>
      </w:r>
      <w:proofErr w:type="spellStart"/>
      <w:r w:rsidRPr="002C5E6E">
        <w:rPr>
          <w:rFonts w:ascii="Arial" w:hAnsi="Arial" w:cs="Arial"/>
          <w:lang w:val="en-GB"/>
        </w:rPr>
        <w:t>Toxicol</w:t>
      </w:r>
      <w:proofErr w:type="spellEnd"/>
      <w:r w:rsidRPr="002C5E6E">
        <w:rPr>
          <w:rFonts w:ascii="Arial" w:hAnsi="Arial" w:cs="Arial"/>
          <w:lang w:val="en-GB"/>
        </w:rPr>
        <w:t xml:space="preserve">, 89(12):2197-205. </w:t>
      </w:r>
      <w:r w:rsidR="00DB7CA5" w:rsidRPr="002C5E6E">
        <w:rPr>
          <w:rFonts w:ascii="Arial" w:hAnsi="Arial" w:cs="Arial"/>
          <w:lang w:val="en-GB"/>
        </w:rPr>
        <w:t>https://doi.org/</w:t>
      </w:r>
      <w:r w:rsidRPr="002C5E6E">
        <w:rPr>
          <w:rFonts w:ascii="Arial" w:hAnsi="Arial" w:cs="Arial"/>
          <w:lang w:val="en-GB"/>
        </w:rPr>
        <w:t xml:space="preserve"> 10.1007/s00204-015-1633-3.</w:t>
      </w:r>
    </w:p>
    <w:bookmarkEnd w:id="1"/>
    <w:p w14:paraId="221F9D58" w14:textId="77777777" w:rsidR="00441B6F" w:rsidRDefault="00441B6F" w:rsidP="00441B6F">
      <w:pPr>
        <w:pStyle w:val="Body"/>
        <w:spacing w:after="0"/>
        <w:jc w:val="left"/>
        <w:rPr>
          <w:rFonts w:ascii="Arial" w:hAnsi="Arial" w:cs="Arial"/>
        </w:rPr>
      </w:pPr>
    </w:p>
    <w:p w14:paraId="31E3F3DD" w14:textId="77777777" w:rsidR="004D4277" w:rsidRPr="00FB3A86" w:rsidRDefault="004D4277" w:rsidP="00441B6F">
      <w:pPr>
        <w:pStyle w:val="Appendix"/>
        <w:spacing w:after="0"/>
        <w:jc w:val="both"/>
        <w:rPr>
          <w:rFonts w:ascii="Arial" w:hAnsi="Arial" w:cs="Arial"/>
          <w:b w:val="0"/>
        </w:rPr>
        <w:sectPr w:rsidR="004D4277" w:rsidRPr="00FB3A86" w:rsidSect="001B3973">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10F3649" w14:textId="77777777" w:rsidR="00B01FCD" w:rsidRPr="00FB3A86" w:rsidRDefault="00B01FCD" w:rsidP="00441B6F">
      <w:pPr>
        <w:pStyle w:val="Appendix"/>
        <w:spacing w:after="0"/>
        <w:jc w:val="both"/>
        <w:rPr>
          <w:rFonts w:ascii="Arial" w:hAnsi="Arial" w:cs="Arial"/>
          <w:b w:val="0"/>
        </w:rPr>
      </w:pPr>
    </w:p>
    <w:sectPr w:rsidR="00B01FCD" w:rsidRPr="00FB3A86" w:rsidSect="001B39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9F01D" w14:textId="77777777" w:rsidR="00573148" w:rsidRDefault="00573148" w:rsidP="00C37E61">
      <w:r>
        <w:separator/>
      </w:r>
    </w:p>
  </w:endnote>
  <w:endnote w:type="continuationSeparator" w:id="0">
    <w:p w14:paraId="58DB7FCD" w14:textId="77777777" w:rsidR="00573148" w:rsidRDefault="005731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1628" w14:textId="77777777" w:rsidR="00E3366D" w:rsidRDefault="00E3366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4EC6" w14:textId="77777777" w:rsidR="00E3366D" w:rsidRDefault="00E3366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08FB" w14:textId="77777777" w:rsidR="001341CF" w:rsidRDefault="001341CF">
    <w:pPr>
      <w:pStyle w:val="a4"/>
      <w:rPr>
        <w:rFonts w:ascii="Arial" w:hAnsi="Arial" w:cs="Arial"/>
        <w:sz w:val="16"/>
      </w:rPr>
    </w:pPr>
  </w:p>
  <w:p w14:paraId="0D767102" w14:textId="77777777" w:rsidR="001341CF" w:rsidRDefault="001341CF" w:rsidP="009E048A">
    <w:pPr>
      <w:pStyle w:val="a4"/>
      <w:jc w:val="center"/>
      <w:rPr>
        <w:rFonts w:ascii="Arial" w:hAnsi="Arial" w:cs="Arial"/>
        <w:sz w:val="16"/>
      </w:rPr>
    </w:pPr>
    <w:r>
      <w:rPr>
        <w:rFonts w:ascii="Arial" w:hAnsi="Arial" w:cs="Arial"/>
        <w:sz w:val="16"/>
      </w:rPr>
      <w:t>____________________________________________________________________________________________</w:t>
    </w:r>
  </w:p>
  <w:p w14:paraId="13DA1BD1" w14:textId="77777777" w:rsidR="001341CF" w:rsidRDefault="001341CF">
    <w:pPr>
      <w:pStyle w:val="a4"/>
      <w:rPr>
        <w:rFonts w:ascii="Arial" w:hAnsi="Arial" w:cs="Arial"/>
        <w:sz w:val="16"/>
      </w:rPr>
    </w:pPr>
  </w:p>
  <w:p w14:paraId="3169DC58" w14:textId="77777777" w:rsidR="001341CF" w:rsidRPr="009E048A" w:rsidRDefault="001341CF">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3527" w14:textId="77777777" w:rsidR="001341CF" w:rsidRPr="00C37E61" w:rsidRDefault="001341CF"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BDF34" w14:textId="77777777" w:rsidR="00573148" w:rsidRDefault="00573148" w:rsidP="00C37E61">
      <w:r>
        <w:separator/>
      </w:r>
    </w:p>
  </w:footnote>
  <w:footnote w:type="continuationSeparator" w:id="0">
    <w:p w14:paraId="3D55C912" w14:textId="77777777" w:rsidR="00573148" w:rsidRDefault="005731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C40F" w14:textId="719914B0" w:rsidR="00E3366D" w:rsidRDefault="00573148">
    <w:pPr>
      <w:pStyle w:val="a5"/>
    </w:pPr>
    <w:r>
      <w:rPr>
        <w:noProof/>
      </w:rPr>
      <w:pict w14:anchorId="2A3FE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DC63" w14:textId="252D8FB6" w:rsidR="00E3366D" w:rsidRDefault="00573148">
    <w:pPr>
      <w:pStyle w:val="a5"/>
    </w:pPr>
    <w:r>
      <w:rPr>
        <w:noProof/>
      </w:rPr>
      <w:pict w14:anchorId="6FC9A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8679" w14:textId="24DB3371" w:rsidR="001341CF" w:rsidRPr="00296529" w:rsidRDefault="00573148" w:rsidP="00296529">
    <w:pPr>
      <w:ind w:left="2160"/>
      <w:jc w:val="center"/>
      <w:rPr>
        <w:rFonts w:ascii="Times New Roman" w:eastAsia="Calibri" w:hAnsi="Times New Roman"/>
        <w:i/>
        <w:sz w:val="18"/>
        <w:szCs w:val="22"/>
      </w:rPr>
    </w:pPr>
    <w:r>
      <w:rPr>
        <w:noProof/>
      </w:rPr>
      <w:pict w14:anchorId="72042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D39E43" w14:textId="77777777" w:rsidR="001341CF" w:rsidRPr="00296529" w:rsidRDefault="001341C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6B1CB3" w14:textId="77777777" w:rsidR="001341CF" w:rsidRPr="00296529" w:rsidRDefault="001341C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38C6E2" w14:textId="77777777" w:rsidR="001341CF" w:rsidRPr="00296529" w:rsidRDefault="001341C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32AD5D" w14:textId="77777777" w:rsidR="001341CF" w:rsidRDefault="001341C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31736B" w14:textId="77777777" w:rsidR="001341CF" w:rsidRDefault="001341C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25B746" w14:textId="77777777" w:rsidR="001341CF" w:rsidRDefault="001341CF">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D301" w14:textId="608D5944" w:rsidR="00E3366D" w:rsidRDefault="00573148">
    <w:pPr>
      <w:pStyle w:val="a5"/>
    </w:pPr>
    <w:r>
      <w:rPr>
        <w:noProof/>
      </w:rPr>
      <w:pict w14:anchorId="7B64A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7F43" w14:textId="28F850A4" w:rsidR="00E3366D" w:rsidRDefault="00573148">
    <w:pPr>
      <w:pStyle w:val="a5"/>
    </w:pPr>
    <w:r>
      <w:rPr>
        <w:noProof/>
      </w:rPr>
      <w:pict w14:anchorId="31371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275E" w14:textId="201AE244" w:rsidR="00E3366D" w:rsidRDefault="00573148">
    <w:pPr>
      <w:pStyle w:val="a5"/>
    </w:pPr>
    <w:r>
      <w:rPr>
        <w:noProof/>
      </w:rPr>
      <w:pict w14:anchorId="4BE80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D13F0"/>
    <w:multiLevelType w:val="hybridMultilevel"/>
    <w:tmpl w:val="2D488A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02741"/>
    <w:rsid w:val="00003489"/>
    <w:rsid w:val="00006A8C"/>
    <w:rsid w:val="00026BB6"/>
    <w:rsid w:val="00030174"/>
    <w:rsid w:val="00034508"/>
    <w:rsid w:val="0004579C"/>
    <w:rsid w:val="000676B2"/>
    <w:rsid w:val="000733B9"/>
    <w:rsid w:val="000A26D3"/>
    <w:rsid w:val="000A47FA"/>
    <w:rsid w:val="000A65D3"/>
    <w:rsid w:val="000B1E33"/>
    <w:rsid w:val="000C504F"/>
    <w:rsid w:val="000D689F"/>
    <w:rsid w:val="000E7B7B"/>
    <w:rsid w:val="000E7D62"/>
    <w:rsid w:val="00103357"/>
    <w:rsid w:val="00123C9F"/>
    <w:rsid w:val="00126190"/>
    <w:rsid w:val="00130F17"/>
    <w:rsid w:val="001320BF"/>
    <w:rsid w:val="001341CF"/>
    <w:rsid w:val="00163BC4"/>
    <w:rsid w:val="001736AD"/>
    <w:rsid w:val="001770EC"/>
    <w:rsid w:val="00190536"/>
    <w:rsid w:val="00191062"/>
    <w:rsid w:val="00192B72"/>
    <w:rsid w:val="001A29D8"/>
    <w:rsid w:val="001A5CAA"/>
    <w:rsid w:val="001A7D87"/>
    <w:rsid w:val="001B0427"/>
    <w:rsid w:val="001B3973"/>
    <w:rsid w:val="001D3A51"/>
    <w:rsid w:val="001D3E7C"/>
    <w:rsid w:val="001E10D2"/>
    <w:rsid w:val="001E122C"/>
    <w:rsid w:val="001E25B4"/>
    <w:rsid w:val="001E44FE"/>
    <w:rsid w:val="001F6EDE"/>
    <w:rsid w:val="00200595"/>
    <w:rsid w:val="00204835"/>
    <w:rsid w:val="00207EAE"/>
    <w:rsid w:val="002120D8"/>
    <w:rsid w:val="002172E0"/>
    <w:rsid w:val="00221486"/>
    <w:rsid w:val="00226306"/>
    <w:rsid w:val="00231920"/>
    <w:rsid w:val="0023195C"/>
    <w:rsid w:val="00241106"/>
    <w:rsid w:val="00241558"/>
    <w:rsid w:val="0024282C"/>
    <w:rsid w:val="002460DC"/>
    <w:rsid w:val="00247858"/>
    <w:rsid w:val="00250985"/>
    <w:rsid w:val="00252E15"/>
    <w:rsid w:val="002556F6"/>
    <w:rsid w:val="00261038"/>
    <w:rsid w:val="00267CF6"/>
    <w:rsid w:val="002755E9"/>
    <w:rsid w:val="0027770C"/>
    <w:rsid w:val="00283105"/>
    <w:rsid w:val="00284C4C"/>
    <w:rsid w:val="00284CD5"/>
    <w:rsid w:val="00295FF6"/>
    <w:rsid w:val="00296529"/>
    <w:rsid w:val="002A3254"/>
    <w:rsid w:val="002B27FB"/>
    <w:rsid w:val="002B2BB2"/>
    <w:rsid w:val="002B3BAF"/>
    <w:rsid w:val="002B685A"/>
    <w:rsid w:val="002C4CB8"/>
    <w:rsid w:val="002C57D2"/>
    <w:rsid w:val="002C5D90"/>
    <w:rsid w:val="002C5E6E"/>
    <w:rsid w:val="002D4E79"/>
    <w:rsid w:val="002E0D56"/>
    <w:rsid w:val="002E6D82"/>
    <w:rsid w:val="002F0358"/>
    <w:rsid w:val="002F5005"/>
    <w:rsid w:val="00301FAD"/>
    <w:rsid w:val="00303058"/>
    <w:rsid w:val="003114C1"/>
    <w:rsid w:val="00315186"/>
    <w:rsid w:val="003163FB"/>
    <w:rsid w:val="0033343E"/>
    <w:rsid w:val="003506A5"/>
    <w:rsid w:val="003512C2"/>
    <w:rsid w:val="0037152B"/>
    <w:rsid w:val="00371FB6"/>
    <w:rsid w:val="00374536"/>
    <w:rsid w:val="003763C1"/>
    <w:rsid w:val="00376BBE"/>
    <w:rsid w:val="003818C6"/>
    <w:rsid w:val="0039224F"/>
    <w:rsid w:val="003A378D"/>
    <w:rsid w:val="003A43A4"/>
    <w:rsid w:val="003A7E18"/>
    <w:rsid w:val="003C4C86"/>
    <w:rsid w:val="003C5A05"/>
    <w:rsid w:val="003C6258"/>
    <w:rsid w:val="003E0D3A"/>
    <w:rsid w:val="003E2904"/>
    <w:rsid w:val="00401927"/>
    <w:rsid w:val="0041027F"/>
    <w:rsid w:val="00412475"/>
    <w:rsid w:val="00423789"/>
    <w:rsid w:val="00423B65"/>
    <w:rsid w:val="00430620"/>
    <w:rsid w:val="00440F43"/>
    <w:rsid w:val="00441B6F"/>
    <w:rsid w:val="0044609D"/>
    <w:rsid w:val="00446221"/>
    <w:rsid w:val="00450E62"/>
    <w:rsid w:val="004539DB"/>
    <w:rsid w:val="00471A80"/>
    <w:rsid w:val="004C75DB"/>
    <w:rsid w:val="004C7F2F"/>
    <w:rsid w:val="004D305E"/>
    <w:rsid w:val="004D4277"/>
    <w:rsid w:val="004E373F"/>
    <w:rsid w:val="004E5DB0"/>
    <w:rsid w:val="004F0AC9"/>
    <w:rsid w:val="004F590B"/>
    <w:rsid w:val="00502516"/>
    <w:rsid w:val="00505F06"/>
    <w:rsid w:val="00506828"/>
    <w:rsid w:val="00513546"/>
    <w:rsid w:val="0053056E"/>
    <w:rsid w:val="00554FDA"/>
    <w:rsid w:val="00573148"/>
    <w:rsid w:val="0059703E"/>
    <w:rsid w:val="005A212E"/>
    <w:rsid w:val="005B4D12"/>
    <w:rsid w:val="005C22F8"/>
    <w:rsid w:val="005C784C"/>
    <w:rsid w:val="005D17F6"/>
    <w:rsid w:val="005E4A02"/>
    <w:rsid w:val="005E5539"/>
    <w:rsid w:val="005E7573"/>
    <w:rsid w:val="00602BF5"/>
    <w:rsid w:val="00610F58"/>
    <w:rsid w:val="006171D1"/>
    <w:rsid w:val="00617FDD"/>
    <w:rsid w:val="00633614"/>
    <w:rsid w:val="00633F68"/>
    <w:rsid w:val="00636EB2"/>
    <w:rsid w:val="006375B8"/>
    <w:rsid w:val="00651CAC"/>
    <w:rsid w:val="00662E08"/>
    <w:rsid w:val="00663992"/>
    <w:rsid w:val="00663AEC"/>
    <w:rsid w:val="0066510A"/>
    <w:rsid w:val="00666DC9"/>
    <w:rsid w:val="00670654"/>
    <w:rsid w:val="00673F9F"/>
    <w:rsid w:val="00686953"/>
    <w:rsid w:val="00687ADC"/>
    <w:rsid w:val="00687DEA"/>
    <w:rsid w:val="00687E67"/>
    <w:rsid w:val="006967F7"/>
    <w:rsid w:val="006A250C"/>
    <w:rsid w:val="006B21D3"/>
    <w:rsid w:val="006B57D0"/>
    <w:rsid w:val="006D30FF"/>
    <w:rsid w:val="006D6940"/>
    <w:rsid w:val="006E6F5B"/>
    <w:rsid w:val="006F11EC"/>
    <w:rsid w:val="0070082C"/>
    <w:rsid w:val="00712F3A"/>
    <w:rsid w:val="007275EA"/>
    <w:rsid w:val="007369E6"/>
    <w:rsid w:val="00746E59"/>
    <w:rsid w:val="00751F8D"/>
    <w:rsid w:val="00754C9A"/>
    <w:rsid w:val="0075599A"/>
    <w:rsid w:val="00761D52"/>
    <w:rsid w:val="0077749E"/>
    <w:rsid w:val="0078605E"/>
    <w:rsid w:val="00786A61"/>
    <w:rsid w:val="00790ADA"/>
    <w:rsid w:val="00794E66"/>
    <w:rsid w:val="007A15CC"/>
    <w:rsid w:val="007A41D0"/>
    <w:rsid w:val="007A5E44"/>
    <w:rsid w:val="007D2288"/>
    <w:rsid w:val="007E088F"/>
    <w:rsid w:val="007F7B32"/>
    <w:rsid w:val="00803341"/>
    <w:rsid w:val="00804BC2"/>
    <w:rsid w:val="00814121"/>
    <w:rsid w:val="0081431A"/>
    <w:rsid w:val="0083216F"/>
    <w:rsid w:val="0084471B"/>
    <w:rsid w:val="00860000"/>
    <w:rsid w:val="00863BD3"/>
    <w:rsid w:val="00866D66"/>
    <w:rsid w:val="008671C6"/>
    <w:rsid w:val="00873F9F"/>
    <w:rsid w:val="00875803"/>
    <w:rsid w:val="00895774"/>
    <w:rsid w:val="008A2220"/>
    <w:rsid w:val="008B459E"/>
    <w:rsid w:val="008C387D"/>
    <w:rsid w:val="008E13AE"/>
    <w:rsid w:val="008E1506"/>
    <w:rsid w:val="008E710C"/>
    <w:rsid w:val="008F17E6"/>
    <w:rsid w:val="008F69D6"/>
    <w:rsid w:val="00902823"/>
    <w:rsid w:val="00915CA6"/>
    <w:rsid w:val="00921D7A"/>
    <w:rsid w:val="00924996"/>
    <w:rsid w:val="00924F7F"/>
    <w:rsid w:val="00927834"/>
    <w:rsid w:val="00932B4A"/>
    <w:rsid w:val="009468E5"/>
    <w:rsid w:val="009500A6"/>
    <w:rsid w:val="00957C18"/>
    <w:rsid w:val="009659BA"/>
    <w:rsid w:val="0097196A"/>
    <w:rsid w:val="0097402B"/>
    <w:rsid w:val="00983040"/>
    <w:rsid w:val="0099287B"/>
    <w:rsid w:val="009A7B0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E2F"/>
    <w:rsid w:val="00A907A7"/>
    <w:rsid w:val="00A94063"/>
    <w:rsid w:val="00A95FF6"/>
    <w:rsid w:val="00AA1261"/>
    <w:rsid w:val="00AA6219"/>
    <w:rsid w:val="00AA74E0"/>
    <w:rsid w:val="00AB6E27"/>
    <w:rsid w:val="00AB703F"/>
    <w:rsid w:val="00AB73FA"/>
    <w:rsid w:val="00AC6BB8"/>
    <w:rsid w:val="00AE008F"/>
    <w:rsid w:val="00B01FCD"/>
    <w:rsid w:val="00B07D8E"/>
    <w:rsid w:val="00B1776C"/>
    <w:rsid w:val="00B44ED7"/>
    <w:rsid w:val="00B52896"/>
    <w:rsid w:val="00B95236"/>
    <w:rsid w:val="00B96BD9"/>
    <w:rsid w:val="00BA1B01"/>
    <w:rsid w:val="00BA2641"/>
    <w:rsid w:val="00BA5921"/>
    <w:rsid w:val="00BB37AA"/>
    <w:rsid w:val="00BC53A0"/>
    <w:rsid w:val="00BE005F"/>
    <w:rsid w:val="00BE62AD"/>
    <w:rsid w:val="00BF121F"/>
    <w:rsid w:val="00BF1F80"/>
    <w:rsid w:val="00C114D1"/>
    <w:rsid w:val="00C128A3"/>
    <w:rsid w:val="00C13D52"/>
    <w:rsid w:val="00C166EF"/>
    <w:rsid w:val="00C17EB0"/>
    <w:rsid w:val="00C244AF"/>
    <w:rsid w:val="00C27F5F"/>
    <w:rsid w:val="00C30A0F"/>
    <w:rsid w:val="00C356F8"/>
    <w:rsid w:val="00C3770D"/>
    <w:rsid w:val="00C37E61"/>
    <w:rsid w:val="00C53EC5"/>
    <w:rsid w:val="00C55D99"/>
    <w:rsid w:val="00C6457A"/>
    <w:rsid w:val="00C6678A"/>
    <w:rsid w:val="00C70F1B"/>
    <w:rsid w:val="00C71A47"/>
    <w:rsid w:val="00C71F05"/>
    <w:rsid w:val="00C7464C"/>
    <w:rsid w:val="00C85588"/>
    <w:rsid w:val="00C95626"/>
    <w:rsid w:val="00CA3052"/>
    <w:rsid w:val="00CB50D7"/>
    <w:rsid w:val="00CB5385"/>
    <w:rsid w:val="00CC252E"/>
    <w:rsid w:val="00CD6425"/>
    <w:rsid w:val="00CD6755"/>
    <w:rsid w:val="00CD6856"/>
    <w:rsid w:val="00CE0089"/>
    <w:rsid w:val="00CE7112"/>
    <w:rsid w:val="00CE793C"/>
    <w:rsid w:val="00CF5525"/>
    <w:rsid w:val="00CF6529"/>
    <w:rsid w:val="00CF673B"/>
    <w:rsid w:val="00D13087"/>
    <w:rsid w:val="00D173F1"/>
    <w:rsid w:val="00D458B9"/>
    <w:rsid w:val="00D51E23"/>
    <w:rsid w:val="00D67731"/>
    <w:rsid w:val="00D8295D"/>
    <w:rsid w:val="00DB0D87"/>
    <w:rsid w:val="00DB7001"/>
    <w:rsid w:val="00DB75AA"/>
    <w:rsid w:val="00DB7CA5"/>
    <w:rsid w:val="00DC189C"/>
    <w:rsid w:val="00DC2A65"/>
    <w:rsid w:val="00DC493F"/>
    <w:rsid w:val="00DE15F0"/>
    <w:rsid w:val="00DE5663"/>
    <w:rsid w:val="00DE6691"/>
    <w:rsid w:val="00DE78AA"/>
    <w:rsid w:val="00E053D0"/>
    <w:rsid w:val="00E15994"/>
    <w:rsid w:val="00E17248"/>
    <w:rsid w:val="00E3114E"/>
    <w:rsid w:val="00E31A70"/>
    <w:rsid w:val="00E32044"/>
    <w:rsid w:val="00E3366D"/>
    <w:rsid w:val="00E35B02"/>
    <w:rsid w:val="00E501B9"/>
    <w:rsid w:val="00E66496"/>
    <w:rsid w:val="00E66B35"/>
    <w:rsid w:val="00E66E10"/>
    <w:rsid w:val="00E769F6"/>
    <w:rsid w:val="00E8407C"/>
    <w:rsid w:val="00E84F3C"/>
    <w:rsid w:val="00E86121"/>
    <w:rsid w:val="00E92E14"/>
    <w:rsid w:val="00EA012C"/>
    <w:rsid w:val="00EB39DB"/>
    <w:rsid w:val="00EB528B"/>
    <w:rsid w:val="00ED0288"/>
    <w:rsid w:val="00EE52CB"/>
    <w:rsid w:val="00EF581D"/>
    <w:rsid w:val="00EF7FD8"/>
    <w:rsid w:val="00F06F59"/>
    <w:rsid w:val="00F17988"/>
    <w:rsid w:val="00F2057A"/>
    <w:rsid w:val="00F45BEC"/>
    <w:rsid w:val="00F469F0"/>
    <w:rsid w:val="00F53273"/>
    <w:rsid w:val="00F638A4"/>
    <w:rsid w:val="00F755E4"/>
    <w:rsid w:val="00F77D02"/>
    <w:rsid w:val="00FA7E52"/>
    <w:rsid w:val="00FB3A86"/>
    <w:rsid w:val="00FC046C"/>
    <w:rsid w:val="00FD2E33"/>
    <w:rsid w:val="00FD36C8"/>
    <w:rsid w:val="00FE2338"/>
    <w:rsid w:val="00FF4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FD706AD"/>
  <w15:docId w15:val="{DA0734D1-D4DB-4354-B622-8E9789F5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A8C"/>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EF7FD8"/>
    <w:pPr>
      <w:spacing w:after="120" w:line="480" w:lineRule="auto"/>
    </w:pPr>
  </w:style>
  <w:style w:type="character" w:customStyle="1" w:styleId="20">
    <w:name w:val="正文文本 2 字符"/>
    <w:basedOn w:val="a0"/>
    <w:link w:val="2"/>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hAnsi="Times New Roman"/>
      <w:lang w:val="nb-NO" w:eastAsia="nb-NO"/>
    </w:rPr>
  </w:style>
  <w:style w:type="character" w:customStyle="1" w:styleId="ac">
    <w:name w:val="批注文字 字符"/>
    <w:basedOn w:val="a0"/>
    <w:link w:val="ab"/>
    <w:uiPriority w:val="99"/>
    <w:rsid w:val="00746E59"/>
    <w:rPr>
      <w:lang w:val="nb-NO" w:eastAsia="nb-NO"/>
    </w:rPr>
  </w:style>
  <w:style w:type="paragraph" w:styleId="ad">
    <w:name w:val="Balloon Text"/>
    <w:basedOn w:val="a"/>
    <w:link w:val="ae"/>
    <w:rsid w:val="00746E59"/>
    <w:rPr>
      <w:rFonts w:ascii="Tahoma" w:hAnsi="Tahoma" w:cs="Tahoma"/>
      <w:sz w:val="16"/>
      <w:szCs w:val="16"/>
    </w:rPr>
  </w:style>
  <w:style w:type="character" w:customStyle="1" w:styleId="ae">
    <w:name w:val="批注框文本 字符"/>
    <w:basedOn w:val="a0"/>
    <w:link w:val="ad"/>
    <w:rsid w:val="00746E59"/>
    <w:rPr>
      <w:rFonts w:ascii="Tahoma" w:hAnsi="Tahoma" w:cs="Tahoma"/>
      <w:sz w:val="16"/>
      <w:szCs w:val="16"/>
    </w:rPr>
  </w:style>
  <w:style w:type="paragraph" w:styleId="3">
    <w:name w:val="Body Text 3"/>
    <w:basedOn w:val="a"/>
    <w:link w:val="30"/>
    <w:rsid w:val="00231920"/>
    <w:pPr>
      <w:spacing w:after="120"/>
    </w:pPr>
    <w:rPr>
      <w:sz w:val="16"/>
      <w:szCs w:val="16"/>
    </w:rPr>
  </w:style>
  <w:style w:type="character" w:customStyle="1" w:styleId="30">
    <w:name w:val="正文文本 3 字符"/>
    <w:basedOn w:val="a0"/>
    <w:link w:val="3"/>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paragraph" w:styleId="af1">
    <w:name w:val="Body Text Indent"/>
    <w:basedOn w:val="a"/>
    <w:link w:val="af2"/>
    <w:semiHidden/>
    <w:unhideWhenUsed/>
    <w:rsid w:val="00241558"/>
    <w:pPr>
      <w:spacing w:after="120"/>
      <w:ind w:leftChars="200" w:left="420"/>
    </w:pPr>
  </w:style>
  <w:style w:type="character" w:customStyle="1" w:styleId="af2">
    <w:name w:val="正文文本缩进 字符"/>
    <w:basedOn w:val="a0"/>
    <w:link w:val="af1"/>
    <w:semiHidden/>
    <w:rsid w:val="0024155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tif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tiff"/><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27916-3940-4AF6-9868-6BCBF56B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929</TotalTime>
  <Pages>10</Pages>
  <Words>3822</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25563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春 陈</cp:lastModifiedBy>
  <cp:revision>101</cp:revision>
  <cp:lastPrinted>1999-07-06T11:00:00Z</cp:lastPrinted>
  <dcterms:created xsi:type="dcterms:W3CDTF">2014-10-25T14:34:00Z</dcterms:created>
  <dcterms:modified xsi:type="dcterms:W3CDTF">2026-04-03T02:46:00Z</dcterms:modified>
</cp:coreProperties>
</file>