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7F025" w14:textId="14F815D5" w:rsidR="005B1D37" w:rsidRPr="00A96A45" w:rsidRDefault="0086561B" w:rsidP="0086561B">
      <w:pPr>
        <w:jc w:val="center"/>
        <w:rPr>
          <w:rFonts w:ascii="Times New Roman" w:hAnsi="Times New Roman" w:cs="Times New Roman"/>
          <w:b/>
          <w:bCs/>
          <w:color w:val="000000" w:themeColor="text1"/>
          <w:sz w:val="36"/>
          <w:szCs w:val="36"/>
          <w:lang w:val="en-US"/>
        </w:rPr>
      </w:pPr>
      <w:bookmarkStart w:id="0" w:name="_Hlk225015558"/>
      <w:r w:rsidRPr="00A96A45">
        <w:rPr>
          <w:rFonts w:ascii="Times New Roman" w:hAnsi="Times New Roman" w:cs="Times New Roman"/>
          <w:b/>
          <w:bCs/>
          <w:color w:val="000000" w:themeColor="text1"/>
          <w:sz w:val="36"/>
          <w:szCs w:val="36"/>
          <w:lang w:val="en-US"/>
        </w:rPr>
        <w:t>Assessment of genetic variability parameters in Indian Mustard (</w:t>
      </w:r>
      <w:r w:rsidRPr="00A96A45">
        <w:rPr>
          <w:rFonts w:ascii="Times New Roman" w:hAnsi="Times New Roman" w:cs="Times New Roman"/>
          <w:b/>
          <w:bCs/>
          <w:i/>
          <w:iCs/>
          <w:color w:val="000000" w:themeColor="text1"/>
          <w:sz w:val="36"/>
          <w:szCs w:val="36"/>
          <w:lang w:val="en-US"/>
        </w:rPr>
        <w:t xml:space="preserve">Brassica </w:t>
      </w:r>
      <w:proofErr w:type="spellStart"/>
      <w:r w:rsidRPr="00A96A45">
        <w:rPr>
          <w:rFonts w:ascii="Times New Roman" w:hAnsi="Times New Roman" w:cs="Times New Roman"/>
          <w:b/>
          <w:bCs/>
          <w:i/>
          <w:iCs/>
          <w:color w:val="000000" w:themeColor="text1"/>
          <w:sz w:val="36"/>
          <w:szCs w:val="36"/>
          <w:lang w:val="en-US"/>
        </w:rPr>
        <w:t>Juncea</w:t>
      </w:r>
      <w:proofErr w:type="spellEnd"/>
      <w:r w:rsidRPr="00A96A45">
        <w:rPr>
          <w:rFonts w:ascii="Times New Roman" w:hAnsi="Times New Roman" w:cs="Times New Roman"/>
          <w:b/>
          <w:bCs/>
          <w:i/>
          <w:iCs/>
          <w:color w:val="000000" w:themeColor="text1"/>
          <w:sz w:val="36"/>
          <w:szCs w:val="36"/>
          <w:lang w:val="en-US"/>
        </w:rPr>
        <w:t xml:space="preserve"> </w:t>
      </w:r>
      <w:r w:rsidRPr="00A96A45">
        <w:rPr>
          <w:rFonts w:ascii="Times New Roman" w:hAnsi="Times New Roman" w:cs="Times New Roman"/>
          <w:b/>
          <w:bCs/>
          <w:color w:val="000000" w:themeColor="text1"/>
          <w:sz w:val="36"/>
          <w:szCs w:val="36"/>
          <w:lang w:val="en-US"/>
        </w:rPr>
        <w:t>L.)</w:t>
      </w:r>
    </w:p>
    <w:bookmarkEnd w:id="0"/>
    <w:p w14:paraId="468CC90C" w14:textId="77777777" w:rsidR="00887123" w:rsidRPr="00A96A45" w:rsidRDefault="00887123" w:rsidP="00A87890">
      <w:pPr>
        <w:rPr>
          <w:rFonts w:ascii="Times New Roman" w:hAnsi="Times New Roman" w:cs="Times New Roman"/>
          <w:color w:val="000000" w:themeColor="text1"/>
          <w:lang w:val="en-US"/>
        </w:rPr>
      </w:pPr>
    </w:p>
    <w:p w14:paraId="08383146" w14:textId="549CCBB4" w:rsidR="00DA6528" w:rsidRPr="00307981" w:rsidRDefault="00DA6528" w:rsidP="004D53ED">
      <w:pPr>
        <w:jc w:val="center"/>
        <w:rPr>
          <w:rFonts w:ascii="Times New Roman" w:hAnsi="Times New Roman" w:cs="Times New Roman"/>
          <w:b/>
          <w:bCs/>
          <w:color w:val="000000" w:themeColor="text1"/>
          <w:sz w:val="24"/>
          <w:szCs w:val="24"/>
          <w:lang w:val="en-US"/>
        </w:rPr>
      </w:pPr>
      <w:r w:rsidRPr="00307981">
        <w:rPr>
          <w:rFonts w:ascii="Times New Roman" w:hAnsi="Times New Roman" w:cs="Times New Roman"/>
          <w:b/>
          <w:bCs/>
          <w:color w:val="000000" w:themeColor="text1"/>
          <w:sz w:val="24"/>
          <w:szCs w:val="24"/>
          <w:lang w:val="en-US"/>
        </w:rPr>
        <w:t>Abstract</w:t>
      </w:r>
    </w:p>
    <w:p w14:paraId="2C88A81E" w14:textId="77777777" w:rsidR="009905E6" w:rsidRPr="00192732" w:rsidRDefault="009905E6" w:rsidP="009905E6">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Knowledge of genetic variation and how yield-related characteristics are inherited forms the foundation for crop improvement programs in Indian mustard (</w:t>
      </w:r>
      <w:r w:rsidRPr="00F90D52">
        <w:rPr>
          <w:rFonts w:ascii="Times New Roman" w:hAnsi="Times New Roman" w:cs="Times New Roman"/>
          <w:i/>
          <w:iCs/>
          <w:color w:val="000000" w:themeColor="text1"/>
          <w:sz w:val="24"/>
          <w:szCs w:val="24"/>
        </w:rPr>
        <w:t xml:space="preserve">Brassica </w:t>
      </w:r>
      <w:proofErr w:type="spellStart"/>
      <w:r w:rsidRPr="00F90D52">
        <w:rPr>
          <w:rFonts w:ascii="Times New Roman" w:hAnsi="Times New Roman" w:cs="Times New Roman"/>
          <w:i/>
          <w:iCs/>
          <w:color w:val="000000" w:themeColor="text1"/>
          <w:sz w:val="24"/>
          <w:szCs w:val="24"/>
        </w:rPr>
        <w:t>juncea</w:t>
      </w:r>
      <w:proofErr w:type="spellEnd"/>
      <w:r w:rsidRPr="00F90D52">
        <w:rPr>
          <w:rFonts w:ascii="Times New Roman" w:hAnsi="Times New Roman" w:cs="Times New Roman"/>
          <w:i/>
          <w:iCs/>
          <w:color w:val="000000" w:themeColor="text1"/>
          <w:sz w:val="24"/>
          <w:szCs w:val="24"/>
        </w:rPr>
        <w:t xml:space="preserve"> L.</w:t>
      </w:r>
      <w:r w:rsidRPr="00192732">
        <w:rPr>
          <w:rFonts w:ascii="Times New Roman" w:hAnsi="Times New Roman" w:cs="Times New Roman"/>
          <w:color w:val="000000" w:themeColor="text1"/>
          <w:sz w:val="24"/>
          <w:szCs w:val="24"/>
        </w:rPr>
        <w:t>). This study was conducted to examine variability parameters, heritability estimates, and expected genetic gains for seed yield and associated characteristics. The experimental material comprised ten parental genotypes and their forty-five F</w:t>
      </w:r>
      <w:r w:rsidRPr="00192732">
        <w:rPr>
          <w:rFonts w:cs="Times New Roman"/>
          <w:color w:val="000000" w:themeColor="text1"/>
          <w:sz w:val="24"/>
          <w:szCs w:val="24"/>
        </w:rPr>
        <w:t>₁</w:t>
      </w:r>
      <w:r w:rsidRPr="00192732">
        <w:rPr>
          <w:rFonts w:ascii="Times New Roman" w:hAnsi="Times New Roman" w:cs="Times New Roman"/>
          <w:color w:val="000000" w:themeColor="text1"/>
          <w:sz w:val="24"/>
          <w:szCs w:val="24"/>
        </w:rPr>
        <w:t xml:space="preserve"> hybrids evaluated across fifteen quantitative traits using a randomized block design with three replications. Analysis of variance demonstrated highly significant differences among genotypes for all characteristics under study, confirming the presence of considerable genetic diversity within the material. High phenotypic and genotypic coefficient of variation values (&gt;20%) were recorded for biological yield per plant, seed yield per plant, harvest index, siliquae number per plant, and primary and secondary branch numbers. These findings point to substantial opportunities for improvement through phenotypic selection. Moderate GCV and PCV values characterized plant height, leaf area index, test weight, and flowering duration traits. The minimal differences observed between phenotypic and genotypic coefficients across most characteristics suggested limited environmental interference in their expression. Traits including siliquae number per plant, plant height, harvest index, seed yield per plant, biological yield per plant, and main raceme length exhibited high heritability combined with high genetic advance (as percentage of mean). This pattern indicates predominance of additive gene effects and supports the efficacy of direct selection methods. Oil content, while showing high heritability, demonstrated low genetic advance, suggesting non-additive gene effects may be involved. The results collectively indicate that selection focused on key yield determinants can substantially improve seed yield and productivity in Indian mustard breeding initiatives.</w:t>
      </w:r>
    </w:p>
    <w:p w14:paraId="3301A929" w14:textId="72F37F46" w:rsidR="00DA6528" w:rsidRPr="00192732" w:rsidRDefault="00214ACA" w:rsidP="00214ACA">
      <w:pPr>
        <w:jc w:val="both"/>
        <w:rPr>
          <w:rFonts w:ascii="Times New Roman" w:hAnsi="Times New Roman" w:cs="Times New Roman"/>
          <w:color w:val="000000" w:themeColor="text1"/>
          <w:sz w:val="24"/>
          <w:szCs w:val="24"/>
        </w:rPr>
      </w:pPr>
      <w:r w:rsidRPr="00192732">
        <w:rPr>
          <w:rFonts w:ascii="Times New Roman" w:hAnsi="Times New Roman" w:cs="Times New Roman"/>
          <w:b/>
          <w:bCs/>
          <w:color w:val="000000" w:themeColor="text1"/>
          <w:sz w:val="24"/>
          <w:szCs w:val="24"/>
        </w:rPr>
        <w:t>Keywords:</w:t>
      </w:r>
      <w:r w:rsidRPr="00192732">
        <w:rPr>
          <w:rFonts w:ascii="Times New Roman" w:hAnsi="Times New Roman" w:cs="Times New Roman"/>
          <w:color w:val="000000" w:themeColor="text1"/>
          <w:sz w:val="24"/>
          <w:szCs w:val="24"/>
        </w:rPr>
        <w:t xml:space="preserve"> </w:t>
      </w:r>
      <w:r w:rsidR="00DF00D9" w:rsidRPr="00192732">
        <w:rPr>
          <w:rFonts w:ascii="Times New Roman" w:hAnsi="Times New Roman" w:cs="Times New Roman"/>
          <w:color w:val="000000" w:themeColor="text1"/>
          <w:sz w:val="24"/>
          <w:szCs w:val="24"/>
        </w:rPr>
        <w:t xml:space="preserve">Additive </w:t>
      </w:r>
      <w:r w:rsidR="00F47DCC" w:rsidRPr="00192732">
        <w:rPr>
          <w:rFonts w:ascii="Times New Roman" w:hAnsi="Times New Roman" w:cs="Times New Roman"/>
          <w:color w:val="000000" w:themeColor="text1"/>
          <w:sz w:val="24"/>
          <w:szCs w:val="24"/>
        </w:rPr>
        <w:t>g</w:t>
      </w:r>
      <w:r w:rsidR="00DF00D9" w:rsidRPr="00192732">
        <w:rPr>
          <w:rFonts w:ascii="Times New Roman" w:hAnsi="Times New Roman" w:cs="Times New Roman"/>
          <w:color w:val="000000" w:themeColor="text1"/>
          <w:sz w:val="24"/>
          <w:szCs w:val="24"/>
        </w:rPr>
        <w:t xml:space="preserve">ene </w:t>
      </w:r>
      <w:r w:rsidR="00F47DCC" w:rsidRPr="00192732">
        <w:rPr>
          <w:rFonts w:ascii="Times New Roman" w:hAnsi="Times New Roman" w:cs="Times New Roman"/>
          <w:color w:val="000000" w:themeColor="text1"/>
          <w:sz w:val="24"/>
          <w:szCs w:val="24"/>
        </w:rPr>
        <w:t>a</w:t>
      </w:r>
      <w:r w:rsidR="00DF00D9" w:rsidRPr="00192732">
        <w:rPr>
          <w:rFonts w:ascii="Times New Roman" w:hAnsi="Times New Roman" w:cs="Times New Roman"/>
          <w:color w:val="000000" w:themeColor="text1"/>
          <w:sz w:val="24"/>
          <w:szCs w:val="24"/>
        </w:rPr>
        <w:t>ction,</w:t>
      </w:r>
      <w:r w:rsidR="00F47DCC" w:rsidRPr="00192732">
        <w:rPr>
          <w:rFonts w:ascii="Times New Roman" w:hAnsi="Times New Roman" w:cs="Times New Roman"/>
          <w:color w:val="000000" w:themeColor="text1"/>
          <w:sz w:val="24"/>
          <w:szCs w:val="24"/>
        </w:rPr>
        <w:t xml:space="preserve"> </w:t>
      </w:r>
      <w:r w:rsidR="00252E6F">
        <w:rPr>
          <w:rFonts w:ascii="Times New Roman" w:hAnsi="Times New Roman" w:cs="Times New Roman"/>
          <w:color w:val="000000" w:themeColor="text1"/>
          <w:sz w:val="24"/>
          <w:szCs w:val="24"/>
        </w:rPr>
        <w:t xml:space="preserve">GCV, PCV, </w:t>
      </w:r>
      <w:r w:rsidR="00F47DCC" w:rsidRPr="00192732">
        <w:rPr>
          <w:rFonts w:ascii="Times New Roman" w:hAnsi="Times New Roman" w:cs="Times New Roman"/>
          <w:color w:val="000000" w:themeColor="text1"/>
          <w:sz w:val="24"/>
          <w:szCs w:val="24"/>
        </w:rPr>
        <w:t xml:space="preserve">Genetic advance, </w:t>
      </w:r>
      <w:r w:rsidR="00DF00D9" w:rsidRPr="00192732">
        <w:rPr>
          <w:rFonts w:ascii="Times New Roman" w:hAnsi="Times New Roman" w:cs="Times New Roman"/>
          <w:color w:val="000000" w:themeColor="text1"/>
          <w:sz w:val="24"/>
          <w:szCs w:val="24"/>
        </w:rPr>
        <w:t xml:space="preserve">Genetic </w:t>
      </w:r>
      <w:r w:rsidR="00F47DCC" w:rsidRPr="00192732">
        <w:rPr>
          <w:rFonts w:ascii="Times New Roman" w:hAnsi="Times New Roman" w:cs="Times New Roman"/>
          <w:color w:val="000000" w:themeColor="text1"/>
          <w:sz w:val="24"/>
          <w:szCs w:val="24"/>
        </w:rPr>
        <w:t>v</w:t>
      </w:r>
      <w:r w:rsidR="00DF00D9" w:rsidRPr="00192732">
        <w:rPr>
          <w:rFonts w:ascii="Times New Roman" w:hAnsi="Times New Roman" w:cs="Times New Roman"/>
          <w:color w:val="000000" w:themeColor="text1"/>
          <w:sz w:val="24"/>
          <w:szCs w:val="24"/>
        </w:rPr>
        <w:t>ariability,</w:t>
      </w:r>
      <w:r w:rsidR="00043FF5">
        <w:rPr>
          <w:rFonts w:ascii="Times New Roman" w:hAnsi="Times New Roman" w:cs="Times New Roman"/>
          <w:color w:val="000000" w:themeColor="text1"/>
          <w:sz w:val="24"/>
          <w:szCs w:val="24"/>
        </w:rPr>
        <w:t xml:space="preserve"> </w:t>
      </w:r>
      <w:r w:rsidR="00DF00D9" w:rsidRPr="00192732">
        <w:rPr>
          <w:rFonts w:ascii="Times New Roman" w:hAnsi="Times New Roman" w:cs="Times New Roman"/>
          <w:color w:val="000000" w:themeColor="text1"/>
          <w:sz w:val="24"/>
          <w:szCs w:val="24"/>
        </w:rPr>
        <w:t>Heritability</w:t>
      </w:r>
      <w:r w:rsidR="00043FF5">
        <w:rPr>
          <w:rFonts w:ascii="Times New Roman" w:hAnsi="Times New Roman" w:cs="Times New Roman"/>
          <w:color w:val="000000" w:themeColor="text1"/>
          <w:sz w:val="24"/>
          <w:szCs w:val="24"/>
        </w:rPr>
        <w:t xml:space="preserve"> </w:t>
      </w:r>
      <w:r w:rsidR="00252E6F">
        <w:rPr>
          <w:rFonts w:ascii="Times New Roman" w:hAnsi="Times New Roman" w:cs="Times New Roman"/>
          <w:color w:val="000000" w:themeColor="text1"/>
          <w:sz w:val="24"/>
          <w:szCs w:val="24"/>
        </w:rPr>
        <w:t>and Indian</w:t>
      </w:r>
      <w:r w:rsidR="00F47DCC" w:rsidRPr="00192732">
        <w:rPr>
          <w:rFonts w:ascii="Times New Roman" w:hAnsi="Times New Roman" w:cs="Times New Roman"/>
          <w:color w:val="000000" w:themeColor="text1"/>
          <w:sz w:val="24"/>
          <w:szCs w:val="24"/>
        </w:rPr>
        <w:t xml:space="preserve"> mustard.</w:t>
      </w:r>
    </w:p>
    <w:p w14:paraId="79BB8D9D" w14:textId="12BA588F" w:rsidR="00D37E16" w:rsidRPr="00192732" w:rsidRDefault="00FE36F3" w:rsidP="00D37E16">
      <w:pPr>
        <w:rPr>
          <w:rFonts w:ascii="Times New Roman" w:hAnsi="Times New Roman" w:cs="Times New Roman"/>
          <w:b/>
          <w:bCs/>
          <w:color w:val="000000" w:themeColor="text1"/>
          <w:sz w:val="24"/>
          <w:szCs w:val="24"/>
        </w:rPr>
      </w:pPr>
      <w:r w:rsidRPr="00192732">
        <w:rPr>
          <w:rFonts w:ascii="Times New Roman" w:hAnsi="Times New Roman" w:cs="Times New Roman"/>
          <w:b/>
          <w:bCs/>
          <w:color w:val="000000" w:themeColor="text1"/>
          <w:sz w:val="24"/>
          <w:szCs w:val="24"/>
        </w:rPr>
        <w:t xml:space="preserve">1. </w:t>
      </w:r>
      <w:r w:rsidR="00D37E16" w:rsidRPr="00192732">
        <w:rPr>
          <w:rFonts w:ascii="Times New Roman" w:hAnsi="Times New Roman" w:cs="Times New Roman"/>
          <w:b/>
          <w:bCs/>
          <w:color w:val="000000" w:themeColor="text1"/>
          <w:sz w:val="24"/>
          <w:szCs w:val="24"/>
        </w:rPr>
        <w:t>Introduction</w:t>
      </w:r>
      <w:r w:rsidR="00252E6F">
        <w:rPr>
          <w:rFonts w:ascii="Times New Roman" w:hAnsi="Times New Roman" w:cs="Times New Roman"/>
          <w:b/>
          <w:bCs/>
          <w:color w:val="000000" w:themeColor="text1"/>
          <w:sz w:val="24"/>
          <w:szCs w:val="24"/>
        </w:rPr>
        <w:t>,</w:t>
      </w:r>
    </w:p>
    <w:p w14:paraId="02886276" w14:textId="77777777" w:rsidR="009905E6" w:rsidRPr="00192732" w:rsidRDefault="009905E6" w:rsidP="009905E6">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 xml:space="preserve">Oilseed crops occupy a vital position within India's agricultural economy, contributing significantly to both food security and farmer livelihoods. Among these, rapeseed-mustard, particularly </w:t>
      </w:r>
      <w:r w:rsidRPr="00F90D52">
        <w:rPr>
          <w:rFonts w:ascii="Times New Roman" w:hAnsi="Times New Roman" w:cs="Times New Roman"/>
          <w:i/>
          <w:iCs/>
          <w:color w:val="000000" w:themeColor="text1"/>
          <w:sz w:val="24"/>
          <w:szCs w:val="24"/>
        </w:rPr>
        <w:t xml:space="preserve">Brassica </w:t>
      </w:r>
      <w:proofErr w:type="spellStart"/>
      <w:r w:rsidRPr="00F90D52">
        <w:rPr>
          <w:rFonts w:ascii="Times New Roman" w:hAnsi="Times New Roman" w:cs="Times New Roman"/>
          <w:i/>
          <w:iCs/>
          <w:color w:val="000000" w:themeColor="text1"/>
          <w:sz w:val="24"/>
          <w:szCs w:val="24"/>
        </w:rPr>
        <w:t>juncea</w:t>
      </w:r>
      <w:proofErr w:type="spellEnd"/>
      <w:r w:rsidRPr="00192732">
        <w:rPr>
          <w:rFonts w:ascii="Times New Roman" w:hAnsi="Times New Roman" w:cs="Times New Roman"/>
          <w:color w:val="000000" w:themeColor="text1"/>
          <w:sz w:val="24"/>
          <w:szCs w:val="24"/>
        </w:rPr>
        <w:t xml:space="preserve">, commands special attention due to its extensive adaptability </w:t>
      </w:r>
      <w:r w:rsidRPr="00192732">
        <w:rPr>
          <w:rFonts w:ascii="Times New Roman" w:hAnsi="Times New Roman" w:cs="Times New Roman"/>
          <w:color w:val="000000" w:themeColor="text1"/>
          <w:sz w:val="24"/>
          <w:szCs w:val="24"/>
        </w:rPr>
        <w:lastRenderedPageBreak/>
        <w:t xml:space="preserve">across diverse </w:t>
      </w:r>
      <w:proofErr w:type="spellStart"/>
      <w:r w:rsidRPr="00192732">
        <w:rPr>
          <w:rFonts w:ascii="Times New Roman" w:hAnsi="Times New Roman" w:cs="Times New Roman"/>
          <w:color w:val="000000" w:themeColor="text1"/>
          <w:sz w:val="24"/>
          <w:szCs w:val="24"/>
        </w:rPr>
        <w:t>agro</w:t>
      </w:r>
      <w:proofErr w:type="spellEnd"/>
      <w:r w:rsidRPr="00192732">
        <w:rPr>
          <w:rFonts w:ascii="Times New Roman" w:hAnsi="Times New Roman" w:cs="Times New Roman"/>
          <w:color w:val="000000" w:themeColor="text1"/>
          <w:sz w:val="24"/>
          <w:szCs w:val="24"/>
        </w:rPr>
        <w:t xml:space="preserve">-climatic zones and substantial economic relevance. Following soybean, it represents the second most important edible oilseed crop nationally, making considerable contributions to domestic vegetable oil production and rural income generation (Kumar </w:t>
      </w:r>
      <w:r w:rsidRPr="00F90D52">
        <w:rPr>
          <w:rFonts w:ascii="Times New Roman" w:hAnsi="Times New Roman" w:cs="Times New Roman"/>
          <w:i/>
          <w:iCs/>
          <w:color w:val="000000" w:themeColor="text1"/>
          <w:sz w:val="24"/>
          <w:szCs w:val="24"/>
        </w:rPr>
        <w:t>et al.</w:t>
      </w:r>
      <w:r w:rsidRPr="00192732">
        <w:rPr>
          <w:rFonts w:ascii="Times New Roman" w:hAnsi="Times New Roman" w:cs="Times New Roman"/>
          <w:color w:val="000000" w:themeColor="text1"/>
          <w:sz w:val="24"/>
          <w:szCs w:val="24"/>
        </w:rPr>
        <w:t xml:space="preserve"> 2025). Despite this importance, productivity levels of oilseed crops across India continue to hover at relatively modest and unpredictable levels. This situation underscores the necessity for sustained genetic enhancement through systematically designed breeding programs.</w:t>
      </w:r>
    </w:p>
    <w:p w14:paraId="45360167" w14:textId="26FAF128" w:rsidR="009905E6" w:rsidRPr="00192732" w:rsidRDefault="009905E6" w:rsidP="009905E6">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Current cultivation statistics indicate that rapeseed-mustard occupies approximately 9.0 million hectares annually, producing between 12 and 13 million tonnes with average productivity ranging from 1.4 to 1.5 tonnes per hectare (Directorate of Economics and Statistics, Government of India-2023). These figures, however, remain substantially below the achievable yield potential exceeding 2.0 tonnes per hectare under improved varieties combined with optimal management practices. This productivity gap highlights existing limitations within the genetic base and reinforces the urgency for targeted breeding interventions.</w:t>
      </w:r>
      <w:r w:rsidR="001E3387">
        <w:rPr>
          <w:rFonts w:ascii="Times New Roman" w:hAnsi="Times New Roman" w:cs="Times New Roman"/>
          <w:color w:val="000000" w:themeColor="text1"/>
          <w:sz w:val="24"/>
          <w:szCs w:val="24"/>
        </w:rPr>
        <w:t xml:space="preserve"> </w:t>
      </w:r>
      <w:r w:rsidR="001E3387" w:rsidRPr="00DC5F60">
        <w:rPr>
          <w:rFonts w:ascii="Times New Roman" w:hAnsi="Times New Roman" w:cs="Times New Roman"/>
          <w:color w:val="000000" w:themeColor="text1"/>
          <w:sz w:val="24"/>
          <w:szCs w:val="24"/>
        </w:rPr>
        <w:t>Recent research highlights the importance of genetic analysis and heterosis breeding to enhance seed yield and associated traits in Indian mustard (Rout et al., 2025</w:t>
      </w:r>
      <w:r w:rsidR="001E3387" w:rsidRPr="001E3387">
        <w:rPr>
          <w:rFonts w:ascii="Times New Roman" w:hAnsi="Times New Roman" w:cs="Times New Roman"/>
          <w:color w:val="000000" w:themeColor="text1"/>
          <w:sz w:val="24"/>
          <w:szCs w:val="24"/>
        </w:rPr>
        <w:t>.)</w:t>
      </w:r>
    </w:p>
    <w:p w14:paraId="43E094EA" w14:textId="328E05E2" w:rsidR="009905E6" w:rsidRPr="00192732" w:rsidRDefault="009905E6" w:rsidP="009905E6">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Three fundamental parameters—genetic variability, heritability, and genetic advance</w:t>
      </w:r>
      <w:r w:rsidR="00F90D52">
        <w:rPr>
          <w:rFonts w:ascii="Times New Roman" w:hAnsi="Times New Roman" w:cs="Times New Roman"/>
          <w:color w:val="000000" w:themeColor="text1"/>
          <w:sz w:val="24"/>
          <w:szCs w:val="24"/>
        </w:rPr>
        <w:t xml:space="preserve">, </w:t>
      </w:r>
      <w:r w:rsidRPr="00192732">
        <w:rPr>
          <w:rFonts w:ascii="Times New Roman" w:hAnsi="Times New Roman" w:cs="Times New Roman"/>
          <w:color w:val="000000" w:themeColor="text1"/>
          <w:sz w:val="24"/>
          <w:szCs w:val="24"/>
        </w:rPr>
        <w:t>serve as essential tools for evaluating and improving breeding efficiency in Indian mustard programs. Sufficient genetic diversity among genotypes for yield and its component characteristics creates opportunities for effective selection and hybridization work. When genotypic coefficient of variation registers high values alongside minimal divergence between phenotypic and genotypic variation, environmental influence is considered limited, thereby strengthening selection reliability.</w:t>
      </w:r>
      <w:r w:rsidR="000B3BEC">
        <w:rPr>
          <w:rFonts w:ascii="Times New Roman" w:hAnsi="Times New Roman" w:cs="Times New Roman"/>
          <w:color w:val="000000" w:themeColor="text1"/>
          <w:sz w:val="24"/>
          <w:szCs w:val="24"/>
        </w:rPr>
        <w:t xml:space="preserve"> </w:t>
      </w:r>
      <w:r w:rsidR="000B3BEC" w:rsidRPr="00DC5F60">
        <w:rPr>
          <w:rFonts w:ascii="Times New Roman" w:hAnsi="Times New Roman" w:cs="Times New Roman"/>
          <w:color w:val="000000" w:themeColor="text1"/>
          <w:sz w:val="24"/>
          <w:szCs w:val="24"/>
        </w:rPr>
        <w:t>Studies in Indian mustard have demonstrated the presence of substantial variability for yield and yield-related traits, indicating significant opportunities for effective selection and crop improvement (</w:t>
      </w:r>
      <w:proofErr w:type="spellStart"/>
      <w:r w:rsidR="000B3BEC" w:rsidRPr="00DC5F60">
        <w:rPr>
          <w:rFonts w:ascii="Times New Roman" w:hAnsi="Times New Roman" w:cs="Times New Roman"/>
          <w:color w:val="000000" w:themeColor="text1"/>
          <w:sz w:val="24"/>
          <w:szCs w:val="24"/>
        </w:rPr>
        <w:t>Aragi</w:t>
      </w:r>
      <w:proofErr w:type="spellEnd"/>
      <w:r w:rsidR="000B3BEC" w:rsidRPr="00DC5F60">
        <w:rPr>
          <w:rFonts w:ascii="Times New Roman" w:hAnsi="Times New Roman" w:cs="Times New Roman"/>
          <w:color w:val="000000" w:themeColor="text1"/>
          <w:sz w:val="24"/>
          <w:szCs w:val="24"/>
        </w:rPr>
        <w:t xml:space="preserve"> et al., 2023)</w:t>
      </w:r>
    </w:p>
    <w:p w14:paraId="19BDA88E" w14:textId="282285EA" w:rsidR="009905E6" w:rsidRDefault="000B3BEC" w:rsidP="009905E6">
      <w:pPr>
        <w:spacing w:line="360" w:lineRule="auto"/>
        <w:jc w:val="both"/>
        <w:rPr>
          <w:rFonts w:ascii="Times New Roman" w:hAnsi="Times New Roman" w:cs="Times New Roman"/>
          <w:color w:val="000000" w:themeColor="text1"/>
          <w:sz w:val="24"/>
          <w:szCs w:val="24"/>
        </w:rPr>
      </w:pPr>
      <w:r w:rsidRPr="00DC5F60">
        <w:rPr>
          <w:rFonts w:ascii="Times New Roman" w:hAnsi="Times New Roman" w:cs="Times New Roman"/>
          <w:color w:val="000000" w:themeColor="text1"/>
          <w:sz w:val="24"/>
          <w:szCs w:val="24"/>
        </w:rPr>
        <w:t xml:space="preserve">Heritability estimates help breeders understand the proportion of phenotypic variation governed by genetic factors, thereby guiding selection efficiency. When heritability is considered along with genetic advance, it provides valuable information about gene action. High heritability coupled with high genetic advance generally suggests additive gene effects and the effectiveness of selection for trait improvement (Choudhary et al., 2025). </w:t>
      </w:r>
    </w:p>
    <w:p w14:paraId="1BF8175F" w14:textId="1C32ABBD" w:rsidR="009905E6" w:rsidRDefault="00EB74B1" w:rsidP="009905E6">
      <w:pPr>
        <w:spacing w:line="360" w:lineRule="auto"/>
        <w:jc w:val="both"/>
        <w:rPr>
          <w:rFonts w:ascii="Times New Roman" w:hAnsi="Times New Roman" w:cs="Times New Roman"/>
          <w:color w:val="000000" w:themeColor="text1"/>
          <w:sz w:val="24"/>
          <w:szCs w:val="24"/>
        </w:rPr>
      </w:pPr>
      <w:r w:rsidRPr="00EB74B1">
        <w:rPr>
          <w:rFonts w:ascii="Times New Roman" w:hAnsi="Times New Roman" w:cs="Times New Roman"/>
          <w:color w:val="000000" w:themeColor="text1"/>
          <w:sz w:val="24"/>
          <w:szCs w:val="24"/>
        </w:rPr>
        <w:t xml:space="preserve">Therefore, integrated assessment combining genetic variability, heritability estimates, and genetic advance calculations provides a robust foundation for identifying superior genotypes </w:t>
      </w:r>
      <w:r w:rsidRPr="00EB74B1">
        <w:rPr>
          <w:rFonts w:ascii="Times New Roman" w:hAnsi="Times New Roman" w:cs="Times New Roman"/>
          <w:color w:val="000000" w:themeColor="text1"/>
          <w:sz w:val="24"/>
          <w:szCs w:val="24"/>
        </w:rPr>
        <w:lastRenderedPageBreak/>
        <w:t xml:space="preserve">and formulating effective breeding strategies aimed at enhancing Indian mustard productivity across diverse growing conditions (Meena et al., 2024). </w:t>
      </w:r>
    </w:p>
    <w:p w14:paraId="47C6E19F" w14:textId="5135FB9D" w:rsidR="001E3387" w:rsidRDefault="001E3387" w:rsidP="009905E6">
      <w:pPr>
        <w:spacing w:line="360" w:lineRule="auto"/>
        <w:jc w:val="both"/>
        <w:rPr>
          <w:rFonts w:ascii="Times New Roman" w:hAnsi="Times New Roman" w:cs="Times New Roman"/>
          <w:color w:val="000000" w:themeColor="text1"/>
          <w:sz w:val="24"/>
          <w:szCs w:val="24"/>
        </w:rPr>
      </w:pPr>
      <w:r w:rsidRPr="001E3387">
        <w:rPr>
          <w:rFonts w:ascii="Times New Roman" w:hAnsi="Times New Roman" w:cs="Times New Roman"/>
          <w:color w:val="000000" w:themeColor="text1"/>
          <w:sz w:val="24"/>
          <w:szCs w:val="24"/>
        </w:rPr>
        <w:t xml:space="preserve">Despite these advances, many investigations are limited to single-season or single-location evaluations, which may not adequately capture genotype × environment interactions affecting trait expression and yield stability. In addition, most studies rely largely on conventional biometrical approaches, leaving considerable scope for integrating modern genomic and high-throughput phenotyping tools to enhance selection accuracy. Future research should therefore prioritize multi-environment testing, wider germplasm utilization, and the application of molecular breeding, genomic selection, and trait-based ideotype development. Such an integrated approach combining classical quantitative genetics with advanced genomic tools will be essential for developing climate-resilient, high-yielding, and resource-efficient mustard cultivars capable of meeting the growing demand for edible oil under changing </w:t>
      </w:r>
      <w:proofErr w:type="spellStart"/>
      <w:r w:rsidRPr="001E3387">
        <w:rPr>
          <w:rFonts w:ascii="Times New Roman" w:hAnsi="Times New Roman" w:cs="Times New Roman"/>
          <w:color w:val="000000" w:themeColor="text1"/>
          <w:sz w:val="24"/>
          <w:szCs w:val="24"/>
        </w:rPr>
        <w:t>agro</w:t>
      </w:r>
      <w:proofErr w:type="spellEnd"/>
      <w:r w:rsidRPr="001E3387">
        <w:rPr>
          <w:rFonts w:ascii="Times New Roman" w:hAnsi="Times New Roman" w:cs="Times New Roman"/>
          <w:color w:val="000000" w:themeColor="text1"/>
          <w:sz w:val="24"/>
          <w:szCs w:val="24"/>
        </w:rPr>
        <w:t>-ecological conditions.</w:t>
      </w:r>
    </w:p>
    <w:p w14:paraId="43851F0C" w14:textId="0ACBE02C" w:rsidR="001222DB" w:rsidRDefault="001222DB" w:rsidP="009905E6">
      <w:pPr>
        <w:spacing w:line="360" w:lineRule="auto"/>
        <w:jc w:val="both"/>
        <w:rPr>
          <w:rFonts w:ascii="Times New Roman" w:hAnsi="Times New Roman" w:cs="Times New Roman"/>
          <w:color w:val="000000" w:themeColor="text1"/>
          <w:sz w:val="24"/>
          <w:szCs w:val="24"/>
        </w:rPr>
      </w:pPr>
      <w:r w:rsidRPr="00B95E04">
        <w:rPr>
          <w:rFonts w:ascii="Times New Roman" w:hAnsi="Times New Roman" w:cs="Times New Roman"/>
          <w:color w:val="000000" w:themeColor="text1"/>
          <w:sz w:val="24"/>
          <w:szCs w:val="24"/>
        </w:rPr>
        <w:t>Against this background, the present investigation was conducted to assess the level of genetic variability among Indian mustard genotypes for seed yield and its associated traits. The study also aimed to estimate genotypic and phenotypic coefficients of variation, determine heritability and genetic advance, and identify key characters that can be effectively utilized in selection programmes for developing high-yielding mustard varieties.</w:t>
      </w:r>
    </w:p>
    <w:p w14:paraId="4295370E" w14:textId="77777777" w:rsidR="00557B72" w:rsidRPr="004425EF" w:rsidRDefault="00557B72" w:rsidP="00557B72">
      <w:pPr>
        <w:spacing w:line="360" w:lineRule="auto"/>
        <w:jc w:val="both"/>
        <w:rPr>
          <w:rFonts w:ascii="Times New Roman" w:hAnsi="Times New Roman" w:cs="Times New Roman"/>
          <w:b/>
          <w:bCs/>
          <w:color w:val="000000" w:themeColor="text1"/>
          <w:sz w:val="24"/>
          <w:szCs w:val="24"/>
        </w:rPr>
      </w:pPr>
      <w:r w:rsidRPr="004425EF">
        <w:rPr>
          <w:rFonts w:ascii="Times New Roman" w:hAnsi="Times New Roman" w:cs="Times New Roman"/>
          <w:b/>
          <w:bCs/>
          <w:color w:val="000000" w:themeColor="text1"/>
          <w:sz w:val="24"/>
          <w:szCs w:val="24"/>
        </w:rPr>
        <w:t>2. Materials and Methods</w:t>
      </w:r>
    </w:p>
    <w:p w14:paraId="716DEAB3" w14:textId="77777777" w:rsidR="00557B72" w:rsidRPr="004425EF" w:rsidRDefault="00557B72" w:rsidP="00557B72">
      <w:pPr>
        <w:spacing w:line="360" w:lineRule="auto"/>
        <w:jc w:val="both"/>
        <w:rPr>
          <w:rFonts w:ascii="Times New Roman" w:hAnsi="Times New Roman" w:cs="Times New Roman"/>
          <w:b/>
          <w:bCs/>
          <w:color w:val="000000" w:themeColor="text1"/>
          <w:sz w:val="24"/>
          <w:szCs w:val="24"/>
        </w:rPr>
      </w:pPr>
      <w:r w:rsidRPr="004425EF">
        <w:rPr>
          <w:rFonts w:ascii="Times New Roman" w:hAnsi="Times New Roman" w:cs="Times New Roman"/>
          <w:b/>
          <w:bCs/>
          <w:color w:val="000000" w:themeColor="text1"/>
          <w:sz w:val="24"/>
          <w:szCs w:val="24"/>
        </w:rPr>
        <w:t>2.1 Plant Material and Crossing Scheme</w:t>
      </w:r>
    </w:p>
    <w:p w14:paraId="20D1D455" w14:textId="6508C825"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 xml:space="preserve">The experimental material originated from crosses developed using ten genetically diverse parental lines: Swarna, TERIGZ05, IC-491262, IC-491403, IC-491520, IC-491560, IC-520764, IC-521378, IC-546946, and </w:t>
      </w:r>
      <w:proofErr w:type="spellStart"/>
      <w:r w:rsidRPr="00192732">
        <w:rPr>
          <w:rFonts w:ascii="Times New Roman" w:hAnsi="Times New Roman" w:cs="Times New Roman"/>
          <w:color w:val="000000" w:themeColor="text1"/>
          <w:sz w:val="24"/>
          <w:szCs w:val="24"/>
        </w:rPr>
        <w:t>Divya</w:t>
      </w:r>
      <w:proofErr w:type="spellEnd"/>
      <w:r w:rsidRPr="00192732">
        <w:rPr>
          <w:rFonts w:ascii="Times New Roman" w:hAnsi="Times New Roman" w:cs="Times New Roman"/>
          <w:color w:val="000000" w:themeColor="text1"/>
          <w:sz w:val="24"/>
          <w:szCs w:val="24"/>
        </w:rPr>
        <w:t>.</w:t>
      </w:r>
      <w:r w:rsidR="00972ADA">
        <w:rPr>
          <w:rFonts w:ascii="Times New Roman" w:hAnsi="Times New Roman" w:cs="Times New Roman"/>
          <w:color w:val="000000" w:themeColor="text1"/>
          <w:sz w:val="24"/>
          <w:szCs w:val="24"/>
        </w:rPr>
        <w:t xml:space="preserve"> The parental materials were collected from NBPGR, New Delhi.</w:t>
      </w:r>
      <w:r w:rsidRPr="00192732">
        <w:rPr>
          <w:rFonts w:ascii="Times New Roman" w:hAnsi="Times New Roman" w:cs="Times New Roman"/>
          <w:color w:val="000000" w:themeColor="text1"/>
          <w:sz w:val="24"/>
          <w:szCs w:val="24"/>
        </w:rPr>
        <w:t xml:space="preserve"> Hybridization followed a half-</w:t>
      </w:r>
      <w:proofErr w:type="spellStart"/>
      <w:r w:rsidRPr="00192732">
        <w:rPr>
          <w:rFonts w:ascii="Times New Roman" w:hAnsi="Times New Roman" w:cs="Times New Roman"/>
          <w:color w:val="000000" w:themeColor="text1"/>
          <w:sz w:val="24"/>
          <w:szCs w:val="24"/>
        </w:rPr>
        <w:t>diallel</w:t>
      </w:r>
      <w:proofErr w:type="spellEnd"/>
      <w:r w:rsidRPr="00192732">
        <w:rPr>
          <w:rFonts w:ascii="Times New Roman" w:hAnsi="Times New Roman" w:cs="Times New Roman"/>
          <w:color w:val="000000" w:themeColor="text1"/>
          <w:sz w:val="24"/>
          <w:szCs w:val="24"/>
        </w:rPr>
        <w:t xml:space="preserve"> mating design excluding reciprocals during the Rabi season of 2023–2024. The complete study included 55 genotypes comprising 45 F</w:t>
      </w:r>
      <w:r w:rsidRPr="00192732">
        <w:rPr>
          <w:rFonts w:cs="Times New Roman"/>
          <w:color w:val="000000" w:themeColor="text1"/>
          <w:sz w:val="24"/>
          <w:szCs w:val="24"/>
        </w:rPr>
        <w:t>₁</w:t>
      </w:r>
      <w:r w:rsidRPr="00192732">
        <w:rPr>
          <w:rFonts w:ascii="Times New Roman" w:hAnsi="Times New Roman" w:cs="Times New Roman"/>
          <w:color w:val="000000" w:themeColor="text1"/>
          <w:sz w:val="24"/>
          <w:szCs w:val="24"/>
        </w:rPr>
        <w:t xml:space="preserve"> hybrids together with the 10 parental lines.</w:t>
      </w:r>
    </w:p>
    <w:p w14:paraId="2CCB8BBC" w14:textId="77777777" w:rsidR="00557B72" w:rsidRPr="004425EF" w:rsidRDefault="00557B72" w:rsidP="00557B72">
      <w:pPr>
        <w:spacing w:line="360" w:lineRule="auto"/>
        <w:jc w:val="both"/>
        <w:rPr>
          <w:rFonts w:ascii="Times New Roman" w:hAnsi="Times New Roman" w:cs="Times New Roman"/>
          <w:b/>
          <w:bCs/>
          <w:color w:val="000000" w:themeColor="text1"/>
          <w:sz w:val="24"/>
          <w:szCs w:val="24"/>
        </w:rPr>
      </w:pPr>
      <w:r w:rsidRPr="004425EF">
        <w:rPr>
          <w:rFonts w:ascii="Times New Roman" w:hAnsi="Times New Roman" w:cs="Times New Roman"/>
          <w:b/>
          <w:bCs/>
          <w:color w:val="000000" w:themeColor="text1"/>
          <w:sz w:val="24"/>
          <w:szCs w:val="24"/>
        </w:rPr>
        <w:t>2.2 Field Experimentation</w:t>
      </w:r>
    </w:p>
    <w:p w14:paraId="17BC7062"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 xml:space="preserve">Field evaluation took place during the Rabi 2024–2025 season at the agricultural research farm of CCRD College, Muzaffarnagar. The experiment employed a randomized block design with three replications. Each genotype was planted in individual rows measuring 5 meters in length. Row spacing measured 45 cm, while plant-to-plant spacing was maintained at 15 cm through </w:t>
      </w:r>
      <w:r w:rsidRPr="00192732">
        <w:rPr>
          <w:rFonts w:ascii="Times New Roman" w:hAnsi="Times New Roman" w:cs="Times New Roman"/>
          <w:color w:val="000000" w:themeColor="text1"/>
          <w:sz w:val="24"/>
          <w:szCs w:val="24"/>
        </w:rPr>
        <w:lastRenderedPageBreak/>
        <w:t>thinning operations. Standard agronomic practices appropriate for the crop were uniformly applied throughout the growing season. Soil texture across the experimental area ranged from sandy loam to loam types.</w:t>
      </w:r>
    </w:p>
    <w:p w14:paraId="33302536" w14:textId="77777777" w:rsidR="00557B72" w:rsidRPr="004425EF" w:rsidRDefault="00557B72" w:rsidP="00557B72">
      <w:pPr>
        <w:spacing w:line="360" w:lineRule="auto"/>
        <w:jc w:val="both"/>
        <w:rPr>
          <w:rFonts w:ascii="Times New Roman" w:hAnsi="Times New Roman" w:cs="Times New Roman"/>
          <w:b/>
          <w:bCs/>
          <w:color w:val="000000" w:themeColor="text1"/>
          <w:sz w:val="24"/>
          <w:szCs w:val="24"/>
        </w:rPr>
      </w:pPr>
      <w:r w:rsidRPr="004425EF">
        <w:rPr>
          <w:rFonts w:ascii="Times New Roman" w:hAnsi="Times New Roman" w:cs="Times New Roman"/>
          <w:b/>
          <w:bCs/>
          <w:color w:val="000000" w:themeColor="text1"/>
          <w:sz w:val="24"/>
          <w:szCs w:val="24"/>
        </w:rPr>
        <w:t>2.3 Trait Measurement</w:t>
      </w:r>
    </w:p>
    <w:p w14:paraId="6325651E" w14:textId="313F7D77" w:rsidR="00557B72" w:rsidRPr="0060573C"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Data collection focused on five randomly selected plants from each genotype within every replication. Fifteen quantitative traits were recorded including: days to first flowering (DF1), days to 50% flowering (DF2), days to maturity (DM), number of primary branches per plant (NPB), number of secondary branches per plant (NSB), plant height (PH), length of main raceme (LMR), leaf area index (LAI), number of siliquae per plant (NSP), number of seeds per siliqua (NSS), thousand seed weight (TSW), biological yield per plant (BYP), seed yield per plant (SYP), harvest index (HI), and oil content (OC).</w:t>
      </w:r>
    </w:p>
    <w:p w14:paraId="4037D02E" w14:textId="77777777" w:rsidR="0060573C" w:rsidRPr="0060573C" w:rsidRDefault="0060573C" w:rsidP="0060573C">
      <w:pPr>
        <w:spacing w:line="360" w:lineRule="auto"/>
        <w:jc w:val="both"/>
        <w:rPr>
          <w:rFonts w:ascii="Times New Roman" w:hAnsi="Times New Roman" w:cs="Times New Roman"/>
          <w:b/>
          <w:bCs/>
          <w:color w:val="212121"/>
          <w:sz w:val="24"/>
          <w:szCs w:val="24"/>
        </w:rPr>
      </w:pPr>
      <w:r w:rsidRPr="0060573C">
        <w:rPr>
          <w:rFonts w:ascii="Times New Roman" w:hAnsi="Times New Roman" w:cs="Times New Roman"/>
          <w:b/>
          <w:bCs/>
          <w:color w:val="212121"/>
          <w:sz w:val="24"/>
          <w:szCs w:val="24"/>
        </w:rPr>
        <w:t>2.4 Statistical Procedures</w:t>
      </w:r>
    </w:p>
    <w:p w14:paraId="383A3F31" w14:textId="77777777" w:rsidR="0060573C" w:rsidRPr="0060573C" w:rsidRDefault="0060573C" w:rsidP="0060573C">
      <w:pPr>
        <w:spacing w:line="360" w:lineRule="auto"/>
        <w:jc w:val="both"/>
        <w:rPr>
          <w:rFonts w:ascii="Times New Roman" w:hAnsi="Times New Roman" w:cs="Times New Roman"/>
          <w:color w:val="212121"/>
          <w:sz w:val="24"/>
          <w:szCs w:val="24"/>
        </w:rPr>
      </w:pPr>
      <w:r w:rsidRPr="0060573C">
        <w:rPr>
          <w:rFonts w:ascii="Times New Roman" w:hAnsi="Times New Roman" w:cs="Times New Roman"/>
          <w:color w:val="212121"/>
          <w:sz w:val="24"/>
          <w:szCs w:val="24"/>
        </w:rPr>
        <w:t>All recorded observations were statistically analysed to quantify the magnitude of variation and to estimate genetic parameters for the studied characters. The mean values of individual genotypes were first computed and subjected to analysis using established biometrical techniques.</w:t>
      </w:r>
    </w:p>
    <w:p w14:paraId="2D970368" w14:textId="27EF51ED" w:rsidR="0060573C" w:rsidRPr="0060573C" w:rsidRDefault="0060573C" w:rsidP="0060573C">
      <w:pPr>
        <w:spacing w:line="360" w:lineRule="auto"/>
        <w:jc w:val="both"/>
        <w:rPr>
          <w:rFonts w:ascii="Times New Roman" w:hAnsi="Times New Roman" w:cs="Times New Roman"/>
          <w:color w:val="212121"/>
          <w:sz w:val="24"/>
          <w:szCs w:val="24"/>
        </w:rPr>
      </w:pPr>
      <w:r w:rsidRPr="0060573C">
        <w:rPr>
          <w:rFonts w:ascii="Times New Roman" w:hAnsi="Times New Roman" w:cs="Times New Roman"/>
          <w:b/>
          <w:bCs/>
          <w:color w:val="212121"/>
          <w:sz w:val="24"/>
          <w:szCs w:val="24"/>
        </w:rPr>
        <w:t>2.4</w:t>
      </w:r>
      <w:r>
        <w:rPr>
          <w:rFonts w:ascii="Times New Roman" w:hAnsi="Times New Roman" w:cs="Times New Roman"/>
          <w:b/>
          <w:bCs/>
          <w:color w:val="212121"/>
          <w:sz w:val="24"/>
          <w:szCs w:val="24"/>
        </w:rPr>
        <w:t xml:space="preserve">.1 </w:t>
      </w:r>
      <w:r w:rsidR="0083539A">
        <w:rPr>
          <w:rFonts w:ascii="Times New Roman" w:hAnsi="Times New Roman" w:cs="Times New Roman"/>
          <w:b/>
          <w:bCs/>
          <w:color w:val="212121"/>
          <w:sz w:val="24"/>
          <w:szCs w:val="24"/>
        </w:rPr>
        <w:t xml:space="preserve">Procedure for </w:t>
      </w:r>
      <w:r w:rsidRPr="0060573C">
        <w:rPr>
          <w:rFonts w:ascii="Times New Roman" w:hAnsi="Times New Roman" w:cs="Times New Roman"/>
          <w:b/>
          <w:bCs/>
          <w:color w:val="212121"/>
          <w:sz w:val="24"/>
          <w:szCs w:val="24"/>
        </w:rPr>
        <w:t>Analysis of variance</w:t>
      </w:r>
    </w:p>
    <w:p w14:paraId="156A86FF" w14:textId="3306C938" w:rsidR="0060573C" w:rsidRPr="0060573C" w:rsidRDefault="00B71A44" w:rsidP="0060573C">
      <w:pPr>
        <w:spacing w:line="360" w:lineRule="auto"/>
        <w:jc w:val="both"/>
        <w:rPr>
          <w:rFonts w:ascii="Times New Roman" w:hAnsi="Times New Roman" w:cs="Times New Roman"/>
          <w:color w:val="212121"/>
          <w:sz w:val="24"/>
          <w:szCs w:val="24"/>
        </w:rPr>
      </w:pPr>
      <w:r w:rsidRPr="00192732">
        <w:rPr>
          <w:rFonts w:ascii="Times New Roman" w:hAnsi="Times New Roman" w:cs="Times New Roman"/>
          <w:color w:val="000000" w:themeColor="text1"/>
          <w:sz w:val="24"/>
          <w:szCs w:val="24"/>
        </w:rPr>
        <w:t xml:space="preserve">Analysis of variance (ANOVA) was conducted following procedures described by </w:t>
      </w:r>
      <w:proofErr w:type="spellStart"/>
      <w:r w:rsidRPr="00192732">
        <w:rPr>
          <w:rFonts w:ascii="Times New Roman" w:hAnsi="Times New Roman" w:cs="Times New Roman"/>
          <w:color w:val="000000" w:themeColor="text1"/>
          <w:sz w:val="24"/>
          <w:szCs w:val="24"/>
        </w:rPr>
        <w:t>Panse</w:t>
      </w:r>
      <w:proofErr w:type="spellEnd"/>
      <w:r w:rsidRPr="00192732">
        <w:rPr>
          <w:rFonts w:ascii="Times New Roman" w:hAnsi="Times New Roman" w:cs="Times New Roman"/>
          <w:color w:val="000000" w:themeColor="text1"/>
          <w:sz w:val="24"/>
          <w:szCs w:val="24"/>
        </w:rPr>
        <w:t xml:space="preserve"> and </w:t>
      </w:r>
      <w:proofErr w:type="spellStart"/>
      <w:r w:rsidRPr="00192732">
        <w:rPr>
          <w:rFonts w:ascii="Times New Roman" w:hAnsi="Times New Roman" w:cs="Times New Roman"/>
          <w:color w:val="000000" w:themeColor="text1"/>
          <w:sz w:val="24"/>
          <w:szCs w:val="24"/>
        </w:rPr>
        <w:t>Sukhatme</w:t>
      </w:r>
      <w:proofErr w:type="spellEnd"/>
      <w:r w:rsidRPr="00192732">
        <w:rPr>
          <w:rFonts w:ascii="Times New Roman" w:hAnsi="Times New Roman" w:cs="Times New Roman"/>
          <w:color w:val="000000" w:themeColor="text1"/>
          <w:sz w:val="24"/>
          <w:szCs w:val="24"/>
        </w:rPr>
        <w:t xml:space="preserve"> (1967) to test treatment differences. </w:t>
      </w:r>
      <w:r w:rsidR="0060573C" w:rsidRPr="0060573C">
        <w:rPr>
          <w:rFonts w:ascii="Times New Roman" w:hAnsi="Times New Roman" w:cs="Times New Roman"/>
          <w:color w:val="212121"/>
          <w:sz w:val="24"/>
          <w:szCs w:val="24"/>
        </w:rPr>
        <w:t>To determine whether the genotypes differed significantly for the traits under study, an analysis of variance was carried out for the randomized block design. The total variability observed in the experiment was partitioned into variation due to genotypes, replications and experimental error. The significance of treatment differences was tested using the F-test at appropriate probability levels. This procedure helped establish whether the observed variation among genotypes was real and not the result of random environmental fluctuations.</w:t>
      </w:r>
    </w:p>
    <w:p w14:paraId="32C9B2CA" w14:textId="6852A235" w:rsidR="0060573C" w:rsidRPr="0060573C" w:rsidRDefault="0060573C" w:rsidP="0060573C">
      <w:pPr>
        <w:spacing w:line="360" w:lineRule="auto"/>
        <w:jc w:val="both"/>
        <w:rPr>
          <w:rFonts w:ascii="Times New Roman" w:hAnsi="Times New Roman" w:cs="Times New Roman"/>
          <w:b/>
          <w:bCs/>
          <w:color w:val="212121"/>
          <w:sz w:val="24"/>
          <w:szCs w:val="24"/>
        </w:rPr>
      </w:pPr>
      <w:r w:rsidRPr="0060573C">
        <w:rPr>
          <w:rFonts w:ascii="Times New Roman" w:hAnsi="Times New Roman" w:cs="Times New Roman"/>
          <w:b/>
          <w:bCs/>
          <w:color w:val="212121"/>
          <w:sz w:val="24"/>
          <w:szCs w:val="24"/>
        </w:rPr>
        <w:t>2.4</w:t>
      </w:r>
      <w:r>
        <w:rPr>
          <w:rFonts w:ascii="Times New Roman" w:hAnsi="Times New Roman" w:cs="Times New Roman"/>
          <w:b/>
          <w:bCs/>
          <w:color w:val="212121"/>
          <w:sz w:val="24"/>
          <w:szCs w:val="24"/>
        </w:rPr>
        <w:t xml:space="preserve">.2 </w:t>
      </w:r>
      <w:r w:rsidR="0083539A">
        <w:rPr>
          <w:rFonts w:ascii="Times New Roman" w:hAnsi="Times New Roman" w:cs="Times New Roman"/>
          <w:b/>
          <w:bCs/>
          <w:color w:val="212121"/>
          <w:sz w:val="24"/>
          <w:szCs w:val="24"/>
        </w:rPr>
        <w:t>Procedure</w:t>
      </w:r>
      <w:r w:rsidR="0083539A" w:rsidRPr="0060573C">
        <w:rPr>
          <w:rFonts w:ascii="Times New Roman" w:hAnsi="Times New Roman" w:cs="Times New Roman"/>
          <w:b/>
          <w:bCs/>
          <w:color w:val="212121"/>
          <w:sz w:val="24"/>
          <w:szCs w:val="24"/>
        </w:rPr>
        <w:t xml:space="preserve"> </w:t>
      </w:r>
      <w:r w:rsidR="0083539A">
        <w:rPr>
          <w:rFonts w:ascii="Times New Roman" w:hAnsi="Times New Roman" w:cs="Times New Roman"/>
          <w:b/>
          <w:bCs/>
          <w:color w:val="212121"/>
          <w:sz w:val="24"/>
          <w:szCs w:val="24"/>
        </w:rPr>
        <w:t>for e</w:t>
      </w:r>
      <w:r w:rsidRPr="0060573C">
        <w:rPr>
          <w:rFonts w:ascii="Times New Roman" w:hAnsi="Times New Roman" w:cs="Times New Roman"/>
          <w:b/>
          <w:bCs/>
          <w:color w:val="212121"/>
          <w:sz w:val="24"/>
          <w:szCs w:val="24"/>
        </w:rPr>
        <w:t>stimation of variance components</w:t>
      </w:r>
    </w:p>
    <w:p w14:paraId="7EDCB42A" w14:textId="77777777" w:rsidR="0060573C" w:rsidRPr="0060573C" w:rsidRDefault="0060573C" w:rsidP="0060573C">
      <w:pPr>
        <w:spacing w:line="360" w:lineRule="auto"/>
        <w:jc w:val="both"/>
        <w:rPr>
          <w:rFonts w:ascii="Times New Roman" w:hAnsi="Times New Roman" w:cs="Times New Roman"/>
          <w:color w:val="212121"/>
          <w:sz w:val="24"/>
          <w:szCs w:val="24"/>
        </w:rPr>
      </w:pPr>
      <w:r w:rsidRPr="0060573C">
        <w:rPr>
          <w:rFonts w:ascii="Times New Roman" w:hAnsi="Times New Roman" w:cs="Times New Roman"/>
          <w:color w:val="212121"/>
          <w:sz w:val="24"/>
          <w:szCs w:val="24"/>
        </w:rPr>
        <w:t xml:space="preserve">Components of variance were derived from the mean squares obtained from ANOVA. Environmental variance was represented by the error mean square, while genotypic variance was obtained by adjusting the treatment mean square for error and number of replications. </w:t>
      </w:r>
      <w:r w:rsidRPr="0060573C">
        <w:rPr>
          <w:rFonts w:ascii="Times New Roman" w:hAnsi="Times New Roman" w:cs="Times New Roman"/>
          <w:color w:val="212121"/>
          <w:sz w:val="24"/>
          <w:szCs w:val="24"/>
        </w:rPr>
        <w:lastRenderedPageBreak/>
        <w:t>Phenotypic variance was then estimated as the sum of genotypic and environmental variances. These components formed the basis for further genetic parameter estimation.</w:t>
      </w:r>
    </w:p>
    <w:p w14:paraId="73F8A5B7" w14:textId="72892206" w:rsidR="0060573C" w:rsidRPr="0060573C" w:rsidRDefault="0060573C" w:rsidP="0060573C">
      <w:pPr>
        <w:spacing w:line="360" w:lineRule="auto"/>
        <w:jc w:val="both"/>
        <w:rPr>
          <w:rFonts w:ascii="Times New Roman" w:hAnsi="Times New Roman" w:cs="Times New Roman"/>
          <w:b/>
          <w:bCs/>
          <w:color w:val="212121"/>
          <w:sz w:val="24"/>
          <w:szCs w:val="24"/>
        </w:rPr>
      </w:pPr>
      <w:r w:rsidRPr="0060573C">
        <w:rPr>
          <w:rFonts w:ascii="Times New Roman" w:hAnsi="Times New Roman" w:cs="Times New Roman"/>
          <w:b/>
          <w:bCs/>
          <w:color w:val="212121"/>
          <w:sz w:val="24"/>
          <w:szCs w:val="24"/>
        </w:rPr>
        <w:t>2.4</w:t>
      </w:r>
      <w:r>
        <w:rPr>
          <w:rFonts w:ascii="Times New Roman" w:hAnsi="Times New Roman" w:cs="Times New Roman"/>
          <w:b/>
          <w:bCs/>
          <w:color w:val="212121"/>
          <w:sz w:val="24"/>
          <w:szCs w:val="24"/>
        </w:rPr>
        <w:t xml:space="preserve">.3 </w:t>
      </w:r>
      <w:r w:rsidR="0083539A">
        <w:rPr>
          <w:rFonts w:ascii="Times New Roman" w:hAnsi="Times New Roman" w:cs="Times New Roman"/>
          <w:b/>
          <w:bCs/>
          <w:color w:val="212121"/>
          <w:sz w:val="24"/>
          <w:szCs w:val="24"/>
        </w:rPr>
        <w:t>Procedure</w:t>
      </w:r>
      <w:r w:rsidR="0083539A" w:rsidRPr="0060573C">
        <w:rPr>
          <w:rFonts w:ascii="Times New Roman" w:hAnsi="Times New Roman" w:cs="Times New Roman"/>
          <w:b/>
          <w:bCs/>
          <w:color w:val="212121"/>
          <w:sz w:val="24"/>
          <w:szCs w:val="24"/>
        </w:rPr>
        <w:t xml:space="preserve"> </w:t>
      </w:r>
      <w:r w:rsidR="0083539A">
        <w:rPr>
          <w:rFonts w:ascii="Times New Roman" w:hAnsi="Times New Roman" w:cs="Times New Roman"/>
          <w:b/>
          <w:bCs/>
          <w:color w:val="212121"/>
          <w:sz w:val="24"/>
          <w:szCs w:val="24"/>
        </w:rPr>
        <w:t>for</w:t>
      </w:r>
      <w:r w:rsidR="0083539A" w:rsidRPr="0060573C">
        <w:rPr>
          <w:rFonts w:ascii="Times New Roman" w:hAnsi="Times New Roman" w:cs="Times New Roman"/>
          <w:b/>
          <w:bCs/>
          <w:color w:val="212121"/>
          <w:sz w:val="24"/>
          <w:szCs w:val="24"/>
        </w:rPr>
        <w:t xml:space="preserve"> </w:t>
      </w:r>
      <w:r w:rsidR="0083539A">
        <w:rPr>
          <w:rFonts w:ascii="Times New Roman" w:hAnsi="Times New Roman" w:cs="Times New Roman"/>
          <w:b/>
          <w:bCs/>
          <w:color w:val="212121"/>
          <w:sz w:val="24"/>
          <w:szCs w:val="24"/>
        </w:rPr>
        <w:t>estimating g</w:t>
      </w:r>
      <w:r w:rsidRPr="0060573C">
        <w:rPr>
          <w:rFonts w:ascii="Times New Roman" w:hAnsi="Times New Roman" w:cs="Times New Roman"/>
          <w:b/>
          <w:bCs/>
          <w:color w:val="212121"/>
          <w:sz w:val="24"/>
          <w:szCs w:val="24"/>
        </w:rPr>
        <w:t>enotypic and phenotypic coefficients of variation</w:t>
      </w:r>
    </w:p>
    <w:p w14:paraId="24FA646E" w14:textId="768F139F" w:rsidR="0060573C" w:rsidRPr="0060573C" w:rsidRDefault="00B71A44" w:rsidP="0060573C">
      <w:pPr>
        <w:spacing w:line="360" w:lineRule="auto"/>
        <w:jc w:val="both"/>
        <w:rPr>
          <w:rFonts w:ascii="Times New Roman" w:hAnsi="Times New Roman" w:cs="Times New Roman"/>
          <w:color w:val="212121"/>
          <w:sz w:val="24"/>
          <w:szCs w:val="24"/>
        </w:rPr>
      </w:pPr>
      <w:r w:rsidRPr="00192732">
        <w:rPr>
          <w:rFonts w:ascii="Times New Roman" w:hAnsi="Times New Roman" w:cs="Times New Roman"/>
          <w:color w:val="000000" w:themeColor="text1"/>
          <w:sz w:val="24"/>
          <w:szCs w:val="24"/>
        </w:rPr>
        <w:t xml:space="preserve">Coefficient of variation estimation followed Burton's (1952) methodology to assess variability extent within the experimental material. </w:t>
      </w:r>
      <w:r w:rsidR="0060573C" w:rsidRPr="0060573C">
        <w:rPr>
          <w:rFonts w:ascii="Times New Roman" w:hAnsi="Times New Roman" w:cs="Times New Roman"/>
          <w:color w:val="212121"/>
          <w:sz w:val="24"/>
          <w:szCs w:val="24"/>
        </w:rPr>
        <w:t>To understand the relative extent of variability, genotypic and phenotypic coefficients of variation were calculated by expressing the square root of respective variance components as a percentage of the trait mean. These measures provide a standardized comparison of variability across different characters.</w:t>
      </w:r>
    </w:p>
    <w:p w14:paraId="34EB88AF" w14:textId="3A1E2177" w:rsidR="0060573C" w:rsidRPr="0060573C" w:rsidRDefault="0060573C" w:rsidP="0060573C">
      <w:pPr>
        <w:spacing w:line="360" w:lineRule="auto"/>
        <w:jc w:val="both"/>
        <w:rPr>
          <w:rFonts w:ascii="Times New Roman" w:hAnsi="Times New Roman" w:cs="Times New Roman"/>
          <w:color w:val="212121"/>
          <w:sz w:val="24"/>
          <w:szCs w:val="24"/>
        </w:rPr>
      </w:pPr>
      <w:r w:rsidRPr="0060573C">
        <w:rPr>
          <w:rFonts w:ascii="Times New Roman" w:hAnsi="Times New Roman" w:cs="Times New Roman"/>
          <w:b/>
          <w:bCs/>
          <w:color w:val="212121"/>
          <w:sz w:val="24"/>
          <w:szCs w:val="24"/>
        </w:rPr>
        <w:t>2.4</w:t>
      </w:r>
      <w:r>
        <w:rPr>
          <w:rFonts w:ascii="Times New Roman" w:hAnsi="Times New Roman" w:cs="Times New Roman"/>
          <w:b/>
          <w:bCs/>
          <w:color w:val="212121"/>
          <w:sz w:val="24"/>
          <w:szCs w:val="24"/>
        </w:rPr>
        <w:t xml:space="preserve">.4 </w:t>
      </w:r>
      <w:r w:rsidR="0083539A">
        <w:rPr>
          <w:rFonts w:ascii="Times New Roman" w:hAnsi="Times New Roman" w:cs="Times New Roman"/>
          <w:b/>
          <w:bCs/>
          <w:color w:val="212121"/>
          <w:sz w:val="24"/>
          <w:szCs w:val="24"/>
        </w:rPr>
        <w:t>Procedure</w:t>
      </w:r>
      <w:r w:rsidR="0083539A" w:rsidRPr="0060573C">
        <w:rPr>
          <w:rFonts w:ascii="Times New Roman" w:hAnsi="Times New Roman" w:cs="Times New Roman"/>
          <w:b/>
          <w:bCs/>
          <w:color w:val="212121"/>
          <w:sz w:val="24"/>
          <w:szCs w:val="24"/>
        </w:rPr>
        <w:t xml:space="preserve"> </w:t>
      </w:r>
      <w:r w:rsidR="0083539A">
        <w:rPr>
          <w:rFonts w:ascii="Times New Roman" w:hAnsi="Times New Roman" w:cs="Times New Roman"/>
          <w:b/>
          <w:bCs/>
          <w:color w:val="212121"/>
          <w:sz w:val="24"/>
          <w:szCs w:val="24"/>
        </w:rPr>
        <w:t>for</w:t>
      </w:r>
      <w:r w:rsidR="0083539A" w:rsidRPr="0060573C">
        <w:rPr>
          <w:rFonts w:ascii="Times New Roman" w:hAnsi="Times New Roman" w:cs="Times New Roman"/>
          <w:b/>
          <w:bCs/>
          <w:color w:val="212121"/>
          <w:sz w:val="24"/>
          <w:szCs w:val="24"/>
        </w:rPr>
        <w:t xml:space="preserve"> </w:t>
      </w:r>
      <w:r w:rsidR="0083539A">
        <w:rPr>
          <w:rFonts w:ascii="Times New Roman" w:hAnsi="Times New Roman" w:cs="Times New Roman"/>
          <w:b/>
          <w:bCs/>
          <w:color w:val="212121"/>
          <w:sz w:val="24"/>
          <w:szCs w:val="24"/>
        </w:rPr>
        <w:t>estimating h</w:t>
      </w:r>
      <w:r w:rsidRPr="0060573C">
        <w:rPr>
          <w:rFonts w:ascii="Times New Roman" w:hAnsi="Times New Roman" w:cs="Times New Roman"/>
          <w:b/>
          <w:bCs/>
          <w:color w:val="212121"/>
          <w:sz w:val="24"/>
          <w:szCs w:val="24"/>
        </w:rPr>
        <w:t>eritability (broad sense)</w:t>
      </w:r>
    </w:p>
    <w:p w14:paraId="4AE7684E" w14:textId="7A89A9A2" w:rsidR="0060573C" w:rsidRPr="0060573C" w:rsidRDefault="00B71A44" w:rsidP="0060573C">
      <w:pPr>
        <w:spacing w:line="360" w:lineRule="auto"/>
        <w:jc w:val="both"/>
        <w:rPr>
          <w:rFonts w:ascii="Times New Roman" w:hAnsi="Times New Roman" w:cs="Times New Roman"/>
          <w:color w:val="212121"/>
          <w:sz w:val="24"/>
          <w:szCs w:val="24"/>
        </w:rPr>
      </w:pPr>
      <w:r w:rsidRPr="00192732">
        <w:rPr>
          <w:rFonts w:ascii="Times New Roman" w:hAnsi="Times New Roman" w:cs="Times New Roman"/>
          <w:color w:val="000000" w:themeColor="text1"/>
          <w:sz w:val="24"/>
          <w:szCs w:val="24"/>
        </w:rPr>
        <w:t>Broad-sense heritability calculations used Hanson's (1982) approach to determine genetic variance proportions within total phenotypic variance</w:t>
      </w:r>
      <w:r>
        <w:rPr>
          <w:rFonts w:ascii="Times New Roman" w:hAnsi="Times New Roman" w:cs="Times New Roman"/>
          <w:color w:val="000000" w:themeColor="text1"/>
          <w:sz w:val="24"/>
          <w:szCs w:val="24"/>
        </w:rPr>
        <w:t xml:space="preserve"> </w:t>
      </w:r>
      <w:r w:rsidR="0060573C" w:rsidRPr="0060573C">
        <w:rPr>
          <w:rFonts w:ascii="Times New Roman" w:hAnsi="Times New Roman" w:cs="Times New Roman"/>
          <w:color w:val="212121"/>
          <w:sz w:val="24"/>
          <w:szCs w:val="24"/>
        </w:rPr>
        <w:t>expressed as a percentage. This parameter indicates the proportion of observable variation that is inherited and therefore useful for selection.</w:t>
      </w:r>
    </w:p>
    <w:p w14:paraId="2A996429" w14:textId="087BE4A4" w:rsidR="0060573C" w:rsidRPr="00B71A44" w:rsidRDefault="00B71A44" w:rsidP="0060573C">
      <w:pPr>
        <w:spacing w:line="360" w:lineRule="auto"/>
        <w:jc w:val="both"/>
        <w:rPr>
          <w:rFonts w:ascii="Times New Roman" w:hAnsi="Times New Roman" w:cs="Times New Roman"/>
          <w:b/>
          <w:bCs/>
          <w:color w:val="212121"/>
          <w:sz w:val="24"/>
          <w:szCs w:val="24"/>
        </w:rPr>
      </w:pPr>
      <w:r w:rsidRPr="0060573C">
        <w:rPr>
          <w:rFonts w:ascii="Times New Roman" w:hAnsi="Times New Roman" w:cs="Times New Roman"/>
          <w:b/>
          <w:bCs/>
          <w:color w:val="212121"/>
          <w:sz w:val="24"/>
          <w:szCs w:val="24"/>
        </w:rPr>
        <w:t>2.4</w:t>
      </w:r>
      <w:r>
        <w:rPr>
          <w:rFonts w:ascii="Times New Roman" w:hAnsi="Times New Roman" w:cs="Times New Roman"/>
          <w:b/>
          <w:bCs/>
          <w:color w:val="212121"/>
          <w:sz w:val="24"/>
          <w:szCs w:val="24"/>
        </w:rPr>
        <w:t xml:space="preserve">.5. </w:t>
      </w:r>
      <w:r w:rsidR="0083539A">
        <w:rPr>
          <w:rFonts w:ascii="Times New Roman" w:hAnsi="Times New Roman" w:cs="Times New Roman"/>
          <w:b/>
          <w:bCs/>
          <w:color w:val="212121"/>
          <w:sz w:val="24"/>
          <w:szCs w:val="24"/>
        </w:rPr>
        <w:t>Procedure</w:t>
      </w:r>
      <w:r w:rsidR="0083539A" w:rsidRPr="0060573C">
        <w:rPr>
          <w:rFonts w:ascii="Times New Roman" w:hAnsi="Times New Roman" w:cs="Times New Roman"/>
          <w:b/>
          <w:bCs/>
          <w:color w:val="212121"/>
          <w:sz w:val="24"/>
          <w:szCs w:val="24"/>
        </w:rPr>
        <w:t xml:space="preserve"> </w:t>
      </w:r>
      <w:r w:rsidR="0083539A">
        <w:rPr>
          <w:rFonts w:ascii="Times New Roman" w:hAnsi="Times New Roman" w:cs="Times New Roman"/>
          <w:b/>
          <w:bCs/>
          <w:color w:val="212121"/>
          <w:sz w:val="24"/>
          <w:szCs w:val="24"/>
        </w:rPr>
        <w:t>for</w:t>
      </w:r>
      <w:r w:rsidR="0083539A" w:rsidRPr="0060573C">
        <w:rPr>
          <w:rFonts w:ascii="Times New Roman" w:hAnsi="Times New Roman" w:cs="Times New Roman"/>
          <w:b/>
          <w:bCs/>
          <w:color w:val="212121"/>
          <w:sz w:val="24"/>
          <w:szCs w:val="24"/>
        </w:rPr>
        <w:t xml:space="preserve"> </w:t>
      </w:r>
      <w:r w:rsidR="004957F1">
        <w:rPr>
          <w:rFonts w:ascii="Times New Roman" w:hAnsi="Times New Roman" w:cs="Times New Roman"/>
          <w:b/>
          <w:bCs/>
          <w:color w:val="212121"/>
          <w:sz w:val="24"/>
          <w:szCs w:val="24"/>
        </w:rPr>
        <w:t>estimating genetic</w:t>
      </w:r>
      <w:r w:rsidR="0060573C" w:rsidRPr="00B71A44">
        <w:rPr>
          <w:rFonts w:ascii="Times New Roman" w:hAnsi="Times New Roman" w:cs="Times New Roman"/>
          <w:b/>
          <w:bCs/>
          <w:color w:val="212121"/>
          <w:sz w:val="24"/>
          <w:szCs w:val="24"/>
        </w:rPr>
        <w:t xml:space="preserve"> advance</w:t>
      </w:r>
    </w:p>
    <w:p w14:paraId="59A43AFB" w14:textId="2A7639DA" w:rsidR="0060573C" w:rsidRPr="00B71A44" w:rsidRDefault="00B71A44" w:rsidP="0060573C">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 xml:space="preserve">Genetic advance and genetic advance as percentage of mean were computed following Johnson </w:t>
      </w:r>
      <w:r w:rsidRPr="00F90D52">
        <w:rPr>
          <w:rFonts w:ascii="Times New Roman" w:hAnsi="Times New Roman" w:cs="Times New Roman"/>
          <w:i/>
          <w:iCs/>
          <w:color w:val="000000" w:themeColor="text1"/>
          <w:sz w:val="24"/>
          <w:szCs w:val="24"/>
        </w:rPr>
        <w:t>et al.</w:t>
      </w:r>
      <w:r w:rsidRPr="00192732">
        <w:rPr>
          <w:rFonts w:ascii="Times New Roman" w:hAnsi="Times New Roman" w:cs="Times New Roman"/>
          <w:color w:val="000000" w:themeColor="text1"/>
          <w:sz w:val="24"/>
          <w:szCs w:val="24"/>
        </w:rPr>
        <w:t xml:space="preserve"> (1955) to evaluate expected selection </w:t>
      </w:r>
      <w:proofErr w:type="spellStart"/>
      <w:proofErr w:type="gramStart"/>
      <w:r w:rsidRPr="00192732">
        <w:rPr>
          <w:rFonts w:ascii="Times New Roman" w:hAnsi="Times New Roman" w:cs="Times New Roman"/>
          <w:color w:val="000000" w:themeColor="text1"/>
          <w:sz w:val="24"/>
          <w:szCs w:val="24"/>
        </w:rPr>
        <w:t>responses.</w:t>
      </w:r>
      <w:r w:rsidR="0060573C" w:rsidRPr="0060573C">
        <w:rPr>
          <w:rFonts w:ascii="Times New Roman" w:hAnsi="Times New Roman" w:cs="Times New Roman"/>
          <w:color w:val="212121"/>
          <w:sz w:val="24"/>
          <w:szCs w:val="24"/>
        </w:rPr>
        <w:t>The</w:t>
      </w:r>
      <w:proofErr w:type="spellEnd"/>
      <w:proofErr w:type="gramEnd"/>
      <w:r w:rsidR="0060573C" w:rsidRPr="0060573C">
        <w:rPr>
          <w:rFonts w:ascii="Times New Roman" w:hAnsi="Times New Roman" w:cs="Times New Roman"/>
          <w:color w:val="212121"/>
          <w:sz w:val="24"/>
          <w:szCs w:val="24"/>
        </w:rPr>
        <w:t xml:space="preserve"> expected progress from selection was assessed by estimating genetic advance using the phenotypic standard deviation, heritability and the selection differential corresponding to a 5% selection intensity. Genetic advance was further expressed as a percentage of the mean to facilitate comparison among traits.</w:t>
      </w:r>
    </w:p>
    <w:p w14:paraId="0C7790F8" w14:textId="77777777" w:rsidR="0060573C" w:rsidRPr="0060573C" w:rsidRDefault="0060573C" w:rsidP="0060573C">
      <w:pPr>
        <w:spacing w:line="360" w:lineRule="auto"/>
        <w:jc w:val="both"/>
        <w:rPr>
          <w:rFonts w:ascii="Times New Roman" w:hAnsi="Times New Roman" w:cs="Times New Roman"/>
          <w:color w:val="212121"/>
          <w:sz w:val="24"/>
          <w:szCs w:val="24"/>
        </w:rPr>
      </w:pPr>
      <w:r w:rsidRPr="0060573C">
        <w:rPr>
          <w:rFonts w:ascii="Times New Roman" w:hAnsi="Times New Roman" w:cs="Times New Roman"/>
          <w:color w:val="212121"/>
          <w:sz w:val="24"/>
          <w:szCs w:val="24"/>
        </w:rPr>
        <w:t>Together, these statistical measures provided a comprehensive understanding of the nature and extent of variability, the inheritance pattern of traits, and the likely effectiveness of selection for improving seed yield and related characters in Indian mustard.</w:t>
      </w:r>
    </w:p>
    <w:p w14:paraId="30DE3DE8" w14:textId="77777777" w:rsidR="00557B72" w:rsidRPr="004425EF" w:rsidRDefault="00557B72" w:rsidP="00557B72">
      <w:pPr>
        <w:spacing w:line="360" w:lineRule="auto"/>
        <w:jc w:val="both"/>
        <w:rPr>
          <w:rFonts w:ascii="Times New Roman" w:hAnsi="Times New Roman" w:cs="Times New Roman"/>
          <w:b/>
          <w:bCs/>
          <w:color w:val="000000" w:themeColor="text1"/>
          <w:sz w:val="24"/>
          <w:szCs w:val="24"/>
        </w:rPr>
      </w:pPr>
      <w:r w:rsidRPr="004425EF">
        <w:rPr>
          <w:rFonts w:ascii="Times New Roman" w:hAnsi="Times New Roman" w:cs="Times New Roman"/>
          <w:b/>
          <w:bCs/>
          <w:color w:val="000000" w:themeColor="text1"/>
          <w:sz w:val="24"/>
          <w:szCs w:val="24"/>
        </w:rPr>
        <w:t>3. Results and Discussion</w:t>
      </w:r>
    </w:p>
    <w:p w14:paraId="58F9CD1D" w14:textId="77777777" w:rsidR="00557B72" w:rsidRPr="004425EF" w:rsidRDefault="00557B72" w:rsidP="00557B72">
      <w:pPr>
        <w:spacing w:line="360" w:lineRule="auto"/>
        <w:jc w:val="both"/>
        <w:rPr>
          <w:rFonts w:ascii="Times New Roman" w:hAnsi="Times New Roman" w:cs="Times New Roman"/>
          <w:b/>
          <w:bCs/>
          <w:color w:val="000000" w:themeColor="text1"/>
          <w:sz w:val="24"/>
          <w:szCs w:val="24"/>
        </w:rPr>
      </w:pPr>
      <w:r w:rsidRPr="004425EF">
        <w:rPr>
          <w:rFonts w:ascii="Times New Roman" w:hAnsi="Times New Roman" w:cs="Times New Roman"/>
          <w:b/>
          <w:bCs/>
          <w:color w:val="000000" w:themeColor="text1"/>
          <w:sz w:val="24"/>
          <w:szCs w:val="24"/>
        </w:rPr>
        <w:t>3.1 Variation Among Genotypes</w:t>
      </w:r>
      <w:bookmarkStart w:id="1" w:name="_GoBack"/>
      <w:bookmarkEnd w:id="1"/>
    </w:p>
    <w:p w14:paraId="023EB797" w14:textId="196B5A8D"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Analysis of variance performed across all fifteen characteristics revealed highly significant differences among treatments for every trait examined</w:t>
      </w:r>
      <w:r w:rsidR="0027148F">
        <w:rPr>
          <w:rFonts w:ascii="Times New Roman" w:hAnsi="Times New Roman" w:cs="Times New Roman"/>
          <w:color w:val="000000" w:themeColor="text1"/>
          <w:sz w:val="24"/>
          <w:szCs w:val="24"/>
        </w:rPr>
        <w:t xml:space="preserve"> which were depicted in Table 1.</w:t>
      </w:r>
      <w:r w:rsidRPr="00192732">
        <w:rPr>
          <w:rFonts w:ascii="Times New Roman" w:hAnsi="Times New Roman" w:cs="Times New Roman"/>
          <w:color w:val="000000" w:themeColor="text1"/>
          <w:sz w:val="24"/>
          <w:szCs w:val="24"/>
        </w:rPr>
        <w:t xml:space="preserve"> This finding confirms substantial genetic variability exists within the experimental material comprising parental lines and their hybrid combinations.</w:t>
      </w:r>
    </w:p>
    <w:p w14:paraId="3B15DE78" w14:textId="4EE5660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lastRenderedPageBreak/>
        <w:t xml:space="preserve">Seed yield, representing a complex quantitative characteristic influenced by multiple component traits, displayed considerable variation that creates opportunities for effective selection and recombination breeding strategies. Phenological traits including days to first flowering, days to 50% flowering, and days to maturity showed significant variation, suggesting possibilities exist for identifying genotypes suited to varied </w:t>
      </w:r>
      <w:proofErr w:type="spellStart"/>
      <w:r w:rsidRPr="00192732">
        <w:rPr>
          <w:rFonts w:ascii="Times New Roman" w:hAnsi="Times New Roman" w:cs="Times New Roman"/>
          <w:color w:val="000000" w:themeColor="text1"/>
          <w:sz w:val="24"/>
          <w:szCs w:val="24"/>
        </w:rPr>
        <w:t>agro</w:t>
      </w:r>
      <w:proofErr w:type="spellEnd"/>
      <w:r w:rsidRPr="00192732">
        <w:rPr>
          <w:rFonts w:ascii="Times New Roman" w:hAnsi="Times New Roman" w:cs="Times New Roman"/>
          <w:color w:val="000000" w:themeColor="text1"/>
          <w:sz w:val="24"/>
          <w:szCs w:val="24"/>
        </w:rPr>
        <w:t>-climatic conditions.</w:t>
      </w:r>
      <w:r w:rsidR="002E0F35" w:rsidRPr="002E0F35">
        <w:rPr>
          <w:rFonts w:ascii="Times New Roman" w:eastAsia="Times New Roman" w:hAnsi="Times New Roman" w:cs="Times New Roman"/>
          <w:kern w:val="0"/>
          <w:sz w:val="24"/>
          <w:szCs w:val="24"/>
          <w:lang w:eastAsia="en-IN"/>
          <w14:ligatures w14:val="none"/>
        </w:rPr>
        <w:t xml:space="preserve"> </w:t>
      </w:r>
      <w:r w:rsidR="002E0F35" w:rsidRPr="002E0F35">
        <w:rPr>
          <w:rFonts w:ascii="Times New Roman" w:hAnsi="Times New Roman" w:cs="Times New Roman"/>
          <w:color w:val="000000" w:themeColor="text1"/>
          <w:sz w:val="24"/>
          <w:szCs w:val="24"/>
        </w:rPr>
        <w:t xml:space="preserve">The importance of variability in phenological traits for crop adaptation has also been emphasized by </w:t>
      </w:r>
      <w:r w:rsidR="002E0F35">
        <w:rPr>
          <w:rFonts w:ascii="Times New Roman" w:hAnsi="Times New Roman" w:cs="Times New Roman"/>
          <w:color w:val="000000" w:themeColor="text1"/>
          <w:sz w:val="24"/>
          <w:szCs w:val="24"/>
        </w:rPr>
        <w:t xml:space="preserve">Bind </w:t>
      </w:r>
      <w:r w:rsidR="002E0F35" w:rsidRPr="002E0F35">
        <w:rPr>
          <w:rFonts w:ascii="Times New Roman" w:hAnsi="Times New Roman" w:cs="Times New Roman"/>
          <w:i/>
          <w:iCs/>
          <w:color w:val="000000" w:themeColor="text1"/>
          <w:sz w:val="24"/>
          <w:szCs w:val="24"/>
        </w:rPr>
        <w:t>et al.</w:t>
      </w:r>
      <w:r w:rsidR="002E0F35" w:rsidRPr="002E0F35">
        <w:rPr>
          <w:rFonts w:ascii="Times New Roman" w:hAnsi="Times New Roman" w:cs="Times New Roman"/>
          <w:color w:val="000000" w:themeColor="text1"/>
          <w:sz w:val="24"/>
          <w:szCs w:val="24"/>
        </w:rPr>
        <w:t xml:space="preserve"> (201</w:t>
      </w:r>
      <w:r w:rsidR="002E0F35">
        <w:rPr>
          <w:rFonts w:ascii="Times New Roman" w:hAnsi="Times New Roman" w:cs="Times New Roman"/>
          <w:color w:val="000000" w:themeColor="text1"/>
          <w:sz w:val="24"/>
          <w:szCs w:val="24"/>
        </w:rPr>
        <w:t>4</w:t>
      </w:r>
      <w:r w:rsidR="002E0F35" w:rsidRPr="002E0F35">
        <w:rPr>
          <w:rFonts w:ascii="Times New Roman" w:hAnsi="Times New Roman" w:cs="Times New Roman"/>
          <w:color w:val="000000" w:themeColor="text1"/>
          <w:sz w:val="24"/>
          <w:szCs w:val="24"/>
        </w:rPr>
        <w:t xml:space="preserve">) and Yadava </w:t>
      </w:r>
      <w:r w:rsidR="002E0F35" w:rsidRPr="002E0F35">
        <w:rPr>
          <w:rFonts w:ascii="Times New Roman" w:hAnsi="Times New Roman" w:cs="Times New Roman"/>
          <w:b/>
          <w:bCs/>
          <w:color w:val="000000" w:themeColor="text1"/>
          <w:sz w:val="24"/>
          <w:szCs w:val="24"/>
        </w:rPr>
        <w:t>et al.</w:t>
      </w:r>
      <w:r w:rsidR="002E0F35" w:rsidRPr="002E0F35">
        <w:rPr>
          <w:rFonts w:ascii="Times New Roman" w:hAnsi="Times New Roman" w:cs="Times New Roman"/>
          <w:color w:val="000000" w:themeColor="text1"/>
          <w:sz w:val="24"/>
          <w:szCs w:val="24"/>
        </w:rPr>
        <w:t xml:space="preserve"> (201</w:t>
      </w:r>
      <w:r w:rsidR="002E0F35">
        <w:rPr>
          <w:rFonts w:ascii="Times New Roman" w:hAnsi="Times New Roman" w:cs="Times New Roman"/>
          <w:color w:val="000000" w:themeColor="text1"/>
          <w:sz w:val="24"/>
          <w:szCs w:val="24"/>
        </w:rPr>
        <w:t>1)</w:t>
      </w:r>
    </w:p>
    <w:p w14:paraId="270BAD88" w14:textId="77777777" w:rsidR="00450567"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 xml:space="preserve">Plant height differences together with branching pattern variations indicate scope exists for modifying plant architecture to improve photosynthetic efficiency and yield potential. </w:t>
      </w:r>
    </w:p>
    <w:p w14:paraId="3AE073D3" w14:textId="7FCDA77B" w:rsidR="00450567"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Yield-contributing characteristics including siliquae number per plant, seeds per siliqua, and thousand seed weight similarly demonstrated wide variability, suggesting indirect selection focused on these components could effectively improve seed yield.</w:t>
      </w:r>
      <w:r w:rsidR="00450567" w:rsidRPr="00450567">
        <w:rPr>
          <w:rFonts w:ascii="Times New Roman" w:hAnsi="Times New Roman" w:cs="Times New Roman"/>
          <w:sz w:val="24"/>
          <w:szCs w:val="24"/>
        </w:rPr>
        <w:t xml:space="preserve"> </w:t>
      </w:r>
      <w:r w:rsidR="00450567" w:rsidRPr="00450567">
        <w:rPr>
          <w:rFonts w:ascii="Times New Roman" w:hAnsi="Times New Roman" w:cs="Times New Roman"/>
          <w:color w:val="000000" w:themeColor="text1"/>
          <w:sz w:val="24"/>
          <w:szCs w:val="24"/>
        </w:rPr>
        <w:t xml:space="preserve">According to reports from the </w:t>
      </w:r>
      <w:r w:rsidR="00450567" w:rsidRPr="005C7E71">
        <w:rPr>
          <w:rFonts w:ascii="Times New Roman" w:hAnsi="Times New Roman" w:cs="Times New Roman"/>
          <w:color w:val="000000" w:themeColor="text1"/>
          <w:sz w:val="24"/>
          <w:szCs w:val="24"/>
        </w:rPr>
        <w:t>Indian Council of Agricultural Research</w:t>
      </w:r>
      <w:r w:rsidR="005C7E71">
        <w:rPr>
          <w:rFonts w:ascii="Times New Roman" w:hAnsi="Times New Roman" w:cs="Times New Roman"/>
          <w:color w:val="000000" w:themeColor="text1"/>
          <w:sz w:val="24"/>
          <w:szCs w:val="24"/>
        </w:rPr>
        <w:t xml:space="preserve"> (</w:t>
      </w:r>
      <w:r w:rsidR="005C7E71" w:rsidRPr="00450567">
        <w:rPr>
          <w:rFonts w:ascii="Times New Roman" w:hAnsi="Times New Roman" w:cs="Times New Roman"/>
          <w:sz w:val="24"/>
          <w:szCs w:val="24"/>
        </w:rPr>
        <w:t>2022</w:t>
      </w:r>
      <w:r w:rsidR="005C7E71">
        <w:rPr>
          <w:rFonts w:ascii="Times New Roman" w:hAnsi="Times New Roman" w:cs="Times New Roman"/>
          <w:sz w:val="24"/>
          <w:szCs w:val="24"/>
        </w:rPr>
        <w:t>)</w:t>
      </w:r>
      <w:r w:rsidR="00450567" w:rsidRPr="005C7E71">
        <w:rPr>
          <w:rFonts w:ascii="Times New Roman" w:hAnsi="Times New Roman" w:cs="Times New Roman"/>
          <w:color w:val="000000" w:themeColor="text1"/>
          <w:sz w:val="24"/>
          <w:szCs w:val="24"/>
        </w:rPr>
        <w:t>,</w:t>
      </w:r>
      <w:r w:rsidR="00450567" w:rsidRPr="00450567">
        <w:rPr>
          <w:rFonts w:ascii="Times New Roman" w:hAnsi="Times New Roman" w:cs="Times New Roman"/>
          <w:color w:val="000000" w:themeColor="text1"/>
          <w:sz w:val="24"/>
          <w:szCs w:val="24"/>
        </w:rPr>
        <w:t xml:space="preserve"> yield in mustard is primarily governed by these component traits, and improvement in these characters often leads to cumulative gains in seed productivity.</w:t>
      </w:r>
    </w:p>
    <w:p w14:paraId="5104676E" w14:textId="7907C722" w:rsidR="00557B72" w:rsidRPr="00192732" w:rsidRDefault="00FC52AA"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 xml:space="preserve"> </w:t>
      </w:r>
      <w:r w:rsidR="00557B72" w:rsidRPr="00192732">
        <w:rPr>
          <w:rFonts w:ascii="Times New Roman" w:hAnsi="Times New Roman" w:cs="Times New Roman"/>
          <w:color w:val="000000" w:themeColor="text1"/>
          <w:sz w:val="24"/>
          <w:szCs w:val="24"/>
        </w:rPr>
        <w:t>Oil content</w:t>
      </w:r>
      <w:r w:rsidR="0092572B">
        <w:rPr>
          <w:rFonts w:ascii="Times New Roman" w:hAnsi="Times New Roman" w:cs="Times New Roman"/>
          <w:color w:val="000000" w:themeColor="text1"/>
          <w:sz w:val="24"/>
          <w:szCs w:val="24"/>
        </w:rPr>
        <w:t xml:space="preserve"> </w:t>
      </w:r>
      <w:r w:rsidR="00557B72" w:rsidRPr="00192732">
        <w:rPr>
          <w:rFonts w:ascii="Times New Roman" w:hAnsi="Times New Roman" w:cs="Times New Roman"/>
          <w:color w:val="000000" w:themeColor="text1"/>
          <w:sz w:val="24"/>
          <w:szCs w:val="24"/>
        </w:rPr>
        <w:t>differences among genotypes highlight opportunities for simultaneous improvement of both productivity and quality characteristics. Non-significant replication effects across all traits confirmed experimental conditions remained consistent and reliable throughout the study period.</w:t>
      </w:r>
      <w:r w:rsidR="00CF7417">
        <w:rPr>
          <w:rFonts w:ascii="Times New Roman" w:hAnsi="Times New Roman" w:cs="Times New Roman"/>
          <w:color w:val="000000" w:themeColor="text1"/>
          <w:sz w:val="24"/>
          <w:szCs w:val="24"/>
        </w:rPr>
        <w:t xml:space="preserve"> </w:t>
      </w:r>
      <w:r w:rsidR="00CF7417" w:rsidRPr="00CF7417">
        <w:rPr>
          <w:rFonts w:ascii="Times New Roman" w:hAnsi="Times New Roman" w:cs="Times New Roman"/>
          <w:color w:val="000000" w:themeColor="text1"/>
          <w:sz w:val="24"/>
          <w:szCs w:val="24"/>
        </w:rPr>
        <w:t>Variation in oil content among genotypes also suggests the possibility of improving both productivity and quality simultaneously. Earlier studies have reported that oil content exhibits sufficient genetic variability for improvement through breeding (Meena et al., 2024).</w:t>
      </w:r>
    </w:p>
    <w:p w14:paraId="3100BC88" w14:textId="77777777" w:rsidR="00557B72" w:rsidRPr="004425EF" w:rsidRDefault="00557B72" w:rsidP="00557B72">
      <w:pPr>
        <w:spacing w:line="360" w:lineRule="auto"/>
        <w:jc w:val="both"/>
        <w:rPr>
          <w:rFonts w:ascii="Times New Roman" w:hAnsi="Times New Roman" w:cs="Times New Roman"/>
          <w:b/>
          <w:bCs/>
          <w:color w:val="000000" w:themeColor="text1"/>
          <w:sz w:val="24"/>
          <w:szCs w:val="24"/>
        </w:rPr>
      </w:pPr>
      <w:r w:rsidRPr="004425EF">
        <w:rPr>
          <w:rFonts w:ascii="Times New Roman" w:hAnsi="Times New Roman" w:cs="Times New Roman"/>
          <w:b/>
          <w:bCs/>
          <w:color w:val="000000" w:themeColor="text1"/>
          <w:sz w:val="24"/>
          <w:szCs w:val="24"/>
        </w:rPr>
        <w:t>3.2 Variability Parameters</w:t>
      </w:r>
    </w:p>
    <w:p w14:paraId="044D7185" w14:textId="283C07A2"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Genetic variability within breeding populations serves as essential prerequisite for successful genotype selection. Variability parameters estimated in this study revealed important patterns regarding trait expression and selection potential.</w:t>
      </w:r>
      <w:r w:rsidR="004957F1">
        <w:rPr>
          <w:rFonts w:ascii="Times New Roman" w:hAnsi="Times New Roman" w:cs="Times New Roman"/>
          <w:color w:val="000000" w:themeColor="text1"/>
          <w:sz w:val="24"/>
          <w:szCs w:val="24"/>
        </w:rPr>
        <w:t xml:space="preserve"> The findings related to variability </w:t>
      </w:r>
      <w:r w:rsidR="00674C10">
        <w:rPr>
          <w:rFonts w:ascii="Times New Roman" w:hAnsi="Times New Roman" w:cs="Times New Roman"/>
          <w:color w:val="000000" w:themeColor="text1"/>
          <w:sz w:val="24"/>
          <w:szCs w:val="24"/>
        </w:rPr>
        <w:t>parameters were</w:t>
      </w:r>
      <w:r w:rsidR="004957F1">
        <w:rPr>
          <w:rFonts w:ascii="Times New Roman" w:hAnsi="Times New Roman" w:cs="Times New Roman"/>
          <w:color w:val="000000" w:themeColor="text1"/>
          <w:sz w:val="24"/>
          <w:szCs w:val="24"/>
        </w:rPr>
        <w:t xml:space="preserve"> shown in Table 2 and Figure 1</w:t>
      </w:r>
    </w:p>
    <w:p w14:paraId="2A08B311"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 xml:space="preserve">High phenotypic and genotypic coefficient of variation values exceeding 20% characterized biological yield per plant (41.10%, 41.79%), seed yield per plant (35.81%, 36.32%), harvest index (23.85%, 24.08%), siliquae number per plant (21.93%, 21.94%), secondary branch </w:t>
      </w:r>
      <w:r w:rsidRPr="00192732">
        <w:rPr>
          <w:rFonts w:ascii="Times New Roman" w:hAnsi="Times New Roman" w:cs="Times New Roman"/>
          <w:color w:val="000000" w:themeColor="text1"/>
          <w:sz w:val="24"/>
          <w:szCs w:val="24"/>
        </w:rPr>
        <w:lastRenderedPageBreak/>
        <w:t>number (20.64%, 21.44%), and primary branch number (20.24%, 22.18%). These elevated values indicate considerable selection scope exists for improving these characteristics.</w:t>
      </w:r>
    </w:p>
    <w:p w14:paraId="2ACA4C0C"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Moderate variability estimates ranging from 10-20% were recorded for leaf area index (19.13%, 19.86%), thousand seed weight (18.82%, 19.8%), plant height (13.19%, 13.21%), days to 50% flowering (10.51%, 10.66%), days to first flowering (10.37%, 10.53%), and main raceme length (10.5%, 10.65%). Remaining traits exhibited relatively limited variability below 10%.</w:t>
      </w:r>
    </w:p>
    <w:p w14:paraId="2DD43D08"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 xml:space="preserve">The narrow differences observed between phenotypic and genotypic coefficient values across most characteristics indicate environmental factors exerted minimal influence while genetic components played predominant roles in trait expression. This pattern supports the effectiveness of phenotypic performance as selection criterion. Similar findings have been documented by Chaudhary </w:t>
      </w:r>
      <w:r w:rsidRPr="00F90D52">
        <w:rPr>
          <w:rFonts w:ascii="Times New Roman" w:hAnsi="Times New Roman" w:cs="Times New Roman"/>
          <w:i/>
          <w:iCs/>
          <w:color w:val="000000" w:themeColor="text1"/>
          <w:sz w:val="24"/>
          <w:szCs w:val="24"/>
        </w:rPr>
        <w:t>et al.</w:t>
      </w:r>
      <w:r w:rsidRPr="00192732">
        <w:rPr>
          <w:rFonts w:ascii="Times New Roman" w:hAnsi="Times New Roman" w:cs="Times New Roman"/>
          <w:color w:val="000000" w:themeColor="text1"/>
          <w:sz w:val="24"/>
          <w:szCs w:val="24"/>
        </w:rPr>
        <w:t xml:space="preserve"> (2023), Prajapati </w:t>
      </w:r>
      <w:r w:rsidRPr="00F90D52">
        <w:rPr>
          <w:rFonts w:ascii="Times New Roman" w:hAnsi="Times New Roman" w:cs="Times New Roman"/>
          <w:i/>
          <w:iCs/>
          <w:color w:val="000000" w:themeColor="text1"/>
          <w:sz w:val="24"/>
          <w:szCs w:val="24"/>
        </w:rPr>
        <w:t>et al.</w:t>
      </w:r>
      <w:r w:rsidRPr="00192732">
        <w:rPr>
          <w:rFonts w:ascii="Times New Roman" w:hAnsi="Times New Roman" w:cs="Times New Roman"/>
          <w:color w:val="000000" w:themeColor="text1"/>
          <w:sz w:val="24"/>
          <w:szCs w:val="24"/>
        </w:rPr>
        <w:t xml:space="preserve"> (2025), and Tiwari </w:t>
      </w:r>
      <w:r w:rsidRPr="00F90D52">
        <w:rPr>
          <w:rFonts w:ascii="Times New Roman" w:hAnsi="Times New Roman" w:cs="Times New Roman"/>
          <w:i/>
          <w:iCs/>
          <w:color w:val="000000" w:themeColor="text1"/>
          <w:sz w:val="24"/>
          <w:szCs w:val="24"/>
        </w:rPr>
        <w:t>et al.</w:t>
      </w:r>
      <w:r w:rsidRPr="00192732">
        <w:rPr>
          <w:rFonts w:ascii="Times New Roman" w:hAnsi="Times New Roman" w:cs="Times New Roman"/>
          <w:color w:val="000000" w:themeColor="text1"/>
          <w:sz w:val="24"/>
          <w:szCs w:val="24"/>
        </w:rPr>
        <w:t xml:space="preserve"> (2025).</w:t>
      </w:r>
    </w:p>
    <w:p w14:paraId="4236191F"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These variability parameter results highlight key traits suitable for selection and establish strong foundation for improving seed yield and related characteristics in Indian mustard breeding programs.</w:t>
      </w:r>
    </w:p>
    <w:p w14:paraId="306EA376" w14:textId="77777777" w:rsidR="00557B72" w:rsidRPr="004425EF" w:rsidRDefault="00557B72" w:rsidP="00557B72">
      <w:pPr>
        <w:spacing w:line="360" w:lineRule="auto"/>
        <w:jc w:val="both"/>
        <w:rPr>
          <w:rFonts w:ascii="Times New Roman" w:hAnsi="Times New Roman" w:cs="Times New Roman"/>
          <w:b/>
          <w:bCs/>
          <w:color w:val="000000" w:themeColor="text1"/>
          <w:sz w:val="24"/>
          <w:szCs w:val="24"/>
        </w:rPr>
      </w:pPr>
      <w:r w:rsidRPr="004425EF">
        <w:rPr>
          <w:rFonts w:ascii="Times New Roman" w:hAnsi="Times New Roman" w:cs="Times New Roman"/>
          <w:b/>
          <w:bCs/>
          <w:color w:val="000000" w:themeColor="text1"/>
          <w:sz w:val="24"/>
          <w:szCs w:val="24"/>
        </w:rPr>
        <w:t>3.3 Heritability and Expected Genetic Gains</w:t>
      </w:r>
    </w:p>
    <w:p w14:paraId="1F81C09C" w14:textId="0E5BFD4A"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 xml:space="preserve">Broad-sense heritability estimates together with genetic advance values and genetic advance expressed as percentage of mean were calculated for all characteristics under study. Heritability estimates ranged from moderate to very high levels (76.28% to 99.93%), confirming genetic factors predominantly governed most traits. </w:t>
      </w:r>
      <w:r w:rsidR="00674C10">
        <w:rPr>
          <w:rFonts w:ascii="Times New Roman" w:hAnsi="Times New Roman" w:cs="Times New Roman"/>
          <w:color w:val="000000" w:themeColor="text1"/>
          <w:sz w:val="24"/>
          <w:szCs w:val="24"/>
        </w:rPr>
        <w:t xml:space="preserve">Heritability values were presented in Table 2 and Fig 2. </w:t>
      </w:r>
      <w:r w:rsidRPr="00192732">
        <w:rPr>
          <w:rFonts w:ascii="Times New Roman" w:hAnsi="Times New Roman" w:cs="Times New Roman"/>
          <w:color w:val="000000" w:themeColor="text1"/>
          <w:sz w:val="24"/>
          <w:szCs w:val="24"/>
        </w:rPr>
        <w:t>High heritability exceeding 75% characterized important traits including siliquae number per plant (99.93%), plant height (99.65%), harvest index (98.12%), main raceme length (97.24%), seed yield per plant (97.22%), days to 50% flowering (97.09%), days to first flowering (96.95%), biological yield per plant (96.69%), days to maturity (94.42%), leaf area index (92.83%), secondary branch number per plant (92.66%), test weight (90.33%), primary branch number per plant (83.28%), oil content (77.28%), and seeds per siliqua (76.28%).</w:t>
      </w:r>
      <w:r w:rsidR="006F47C9">
        <w:rPr>
          <w:rFonts w:ascii="Times New Roman" w:hAnsi="Times New Roman" w:cs="Times New Roman"/>
          <w:color w:val="000000" w:themeColor="text1"/>
          <w:sz w:val="24"/>
          <w:szCs w:val="24"/>
        </w:rPr>
        <w:t xml:space="preserve"> </w:t>
      </w:r>
      <w:r w:rsidR="006F47C9" w:rsidRPr="006F47C9">
        <w:rPr>
          <w:rFonts w:ascii="Times New Roman" w:hAnsi="Times New Roman" w:cs="Times New Roman"/>
          <w:color w:val="000000" w:themeColor="text1"/>
          <w:sz w:val="24"/>
          <w:szCs w:val="24"/>
        </w:rPr>
        <w:t>Similar findings have been reported by Meena and Bishnoi (2023) and Anita et al. (2024), who emphasized the role of additive gene effects in the inheritance of yield traits in Indian mustard.</w:t>
      </w:r>
    </w:p>
    <w:p w14:paraId="4FC6D2E0"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 xml:space="preserve">Genetic advance expressed as percentage of mean varied considerably among traits, indicating differences in expected selection responses. High genetic advance exceeding 20% was recorded for biological yield per plant, seed yield per plant, harvest index, siliquae number per </w:t>
      </w:r>
      <w:r w:rsidRPr="00192732">
        <w:rPr>
          <w:rFonts w:ascii="Times New Roman" w:hAnsi="Times New Roman" w:cs="Times New Roman"/>
          <w:color w:val="000000" w:themeColor="text1"/>
          <w:sz w:val="24"/>
          <w:szCs w:val="24"/>
        </w:rPr>
        <w:lastRenderedPageBreak/>
        <w:t>plant, secondary branch number per plant, primary branch number per plant, leaf area index, test weight, plant height, main raceme length, and flowering-related traits. Moderate genetic advance (10-20%) characterized seeds per siliqua, while remaining traits showed relatively low values below 10%.</w:t>
      </w:r>
    </w:p>
    <w:p w14:paraId="1994A9AE"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 xml:space="preserve">The combination of high heritability together with substantial genetic advance observed for siliquae number per plant, plant height, harvest index, main raceme length, seed yield per plant, flowering traits, biological yield, and branching characteristics suggests additive gene action predominates for these traits. This pattern indicates these characteristics can be effectively improved through direct phenotypic selection. Earlier investigations by </w:t>
      </w:r>
      <w:proofErr w:type="spellStart"/>
      <w:r w:rsidRPr="00192732">
        <w:rPr>
          <w:rFonts w:ascii="Times New Roman" w:hAnsi="Times New Roman" w:cs="Times New Roman"/>
          <w:color w:val="000000" w:themeColor="text1"/>
          <w:sz w:val="24"/>
          <w:szCs w:val="24"/>
        </w:rPr>
        <w:t>Gadi</w:t>
      </w:r>
      <w:proofErr w:type="spellEnd"/>
      <w:r w:rsidRPr="00192732">
        <w:rPr>
          <w:rFonts w:ascii="Times New Roman" w:hAnsi="Times New Roman" w:cs="Times New Roman"/>
          <w:color w:val="000000" w:themeColor="text1"/>
          <w:sz w:val="24"/>
          <w:szCs w:val="24"/>
        </w:rPr>
        <w:t xml:space="preserve"> </w:t>
      </w:r>
      <w:r w:rsidRPr="00F90D52">
        <w:rPr>
          <w:rFonts w:ascii="Times New Roman" w:hAnsi="Times New Roman" w:cs="Times New Roman"/>
          <w:i/>
          <w:iCs/>
          <w:color w:val="000000" w:themeColor="text1"/>
          <w:sz w:val="24"/>
          <w:szCs w:val="24"/>
        </w:rPr>
        <w:t>et al.</w:t>
      </w:r>
      <w:r w:rsidRPr="00192732">
        <w:rPr>
          <w:rFonts w:ascii="Times New Roman" w:hAnsi="Times New Roman" w:cs="Times New Roman"/>
          <w:color w:val="000000" w:themeColor="text1"/>
          <w:sz w:val="24"/>
          <w:szCs w:val="24"/>
        </w:rPr>
        <w:t xml:space="preserve"> (2020), Gupta </w:t>
      </w:r>
      <w:r w:rsidRPr="00F90D52">
        <w:rPr>
          <w:rFonts w:ascii="Times New Roman" w:hAnsi="Times New Roman" w:cs="Times New Roman"/>
          <w:i/>
          <w:iCs/>
          <w:color w:val="000000" w:themeColor="text1"/>
          <w:sz w:val="24"/>
          <w:szCs w:val="24"/>
        </w:rPr>
        <w:t>et al.</w:t>
      </w:r>
      <w:r w:rsidRPr="00192732">
        <w:rPr>
          <w:rFonts w:ascii="Times New Roman" w:hAnsi="Times New Roman" w:cs="Times New Roman"/>
          <w:color w:val="000000" w:themeColor="text1"/>
          <w:sz w:val="24"/>
          <w:szCs w:val="24"/>
        </w:rPr>
        <w:t xml:space="preserve"> (2025), Prajapati </w:t>
      </w:r>
      <w:r w:rsidRPr="00F90D52">
        <w:rPr>
          <w:rFonts w:ascii="Times New Roman" w:hAnsi="Times New Roman" w:cs="Times New Roman"/>
          <w:i/>
          <w:iCs/>
          <w:color w:val="000000" w:themeColor="text1"/>
          <w:sz w:val="24"/>
          <w:szCs w:val="24"/>
        </w:rPr>
        <w:t>et al.</w:t>
      </w:r>
      <w:r w:rsidRPr="00192732">
        <w:rPr>
          <w:rFonts w:ascii="Times New Roman" w:hAnsi="Times New Roman" w:cs="Times New Roman"/>
          <w:color w:val="000000" w:themeColor="text1"/>
          <w:sz w:val="24"/>
          <w:szCs w:val="24"/>
        </w:rPr>
        <w:t xml:space="preserve"> (2025), Choudhary </w:t>
      </w:r>
      <w:r w:rsidRPr="00F90D52">
        <w:rPr>
          <w:rFonts w:ascii="Times New Roman" w:hAnsi="Times New Roman" w:cs="Times New Roman"/>
          <w:i/>
          <w:iCs/>
          <w:color w:val="000000" w:themeColor="text1"/>
          <w:sz w:val="24"/>
          <w:szCs w:val="24"/>
        </w:rPr>
        <w:t>et al.</w:t>
      </w:r>
      <w:r w:rsidRPr="00192732">
        <w:rPr>
          <w:rFonts w:ascii="Times New Roman" w:hAnsi="Times New Roman" w:cs="Times New Roman"/>
          <w:color w:val="000000" w:themeColor="text1"/>
          <w:sz w:val="24"/>
          <w:szCs w:val="24"/>
        </w:rPr>
        <w:t xml:space="preserve"> (2025), and </w:t>
      </w:r>
      <w:proofErr w:type="spellStart"/>
      <w:r w:rsidRPr="00192732">
        <w:rPr>
          <w:rFonts w:ascii="Times New Roman" w:hAnsi="Times New Roman" w:cs="Times New Roman"/>
          <w:color w:val="000000" w:themeColor="text1"/>
          <w:sz w:val="24"/>
          <w:szCs w:val="24"/>
        </w:rPr>
        <w:t>Perween</w:t>
      </w:r>
      <w:proofErr w:type="spellEnd"/>
      <w:r w:rsidRPr="00192732">
        <w:rPr>
          <w:rFonts w:ascii="Times New Roman" w:hAnsi="Times New Roman" w:cs="Times New Roman"/>
          <w:color w:val="000000" w:themeColor="text1"/>
          <w:sz w:val="24"/>
          <w:szCs w:val="24"/>
        </w:rPr>
        <w:t xml:space="preserve"> </w:t>
      </w:r>
      <w:r w:rsidRPr="00F90D52">
        <w:rPr>
          <w:rFonts w:ascii="Times New Roman" w:hAnsi="Times New Roman" w:cs="Times New Roman"/>
          <w:i/>
          <w:iCs/>
          <w:color w:val="000000" w:themeColor="text1"/>
          <w:sz w:val="24"/>
          <w:szCs w:val="24"/>
        </w:rPr>
        <w:t>et al.</w:t>
      </w:r>
      <w:r w:rsidRPr="00192732">
        <w:rPr>
          <w:rFonts w:ascii="Times New Roman" w:hAnsi="Times New Roman" w:cs="Times New Roman"/>
          <w:color w:val="000000" w:themeColor="text1"/>
          <w:sz w:val="24"/>
          <w:szCs w:val="24"/>
        </w:rPr>
        <w:t xml:space="preserve"> (2024) similarly reported high heritability accompanied by high genetic advance for seed yield and its component traits.</w:t>
      </w:r>
    </w:p>
    <w:p w14:paraId="773E2491" w14:textId="60F46DC8"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 xml:space="preserve">Characteristics displaying high heritability but comparatively limited genetic advance, exemplified by oil content, likely involve non-additive gene effects. For such traits, simple selection approaches may prove less </w:t>
      </w:r>
      <w:r w:rsidR="00F90D52" w:rsidRPr="00192732">
        <w:rPr>
          <w:rFonts w:ascii="Times New Roman" w:hAnsi="Times New Roman" w:cs="Times New Roman"/>
          <w:color w:val="000000" w:themeColor="text1"/>
          <w:sz w:val="24"/>
          <w:szCs w:val="24"/>
        </w:rPr>
        <w:t>effective</w:t>
      </w:r>
      <w:r w:rsidR="00F90D52">
        <w:rPr>
          <w:rFonts w:ascii="Times New Roman" w:hAnsi="Times New Roman" w:cs="Times New Roman"/>
          <w:color w:val="000000" w:themeColor="text1"/>
          <w:sz w:val="24"/>
          <w:szCs w:val="24"/>
        </w:rPr>
        <w:t>;</w:t>
      </w:r>
      <w:r w:rsidRPr="00192732">
        <w:rPr>
          <w:rFonts w:ascii="Times New Roman" w:hAnsi="Times New Roman" w:cs="Times New Roman"/>
          <w:color w:val="000000" w:themeColor="text1"/>
          <w:sz w:val="24"/>
          <w:szCs w:val="24"/>
        </w:rPr>
        <w:t xml:space="preserve"> while breeding strategies such as heterosis breeding or hybrid development may offer greater promise. These findings align with previous research indicating yield and related traits are largely controlled by additive genetic effects, making selection a viable strategy for genetic improvement in Indian mustard.</w:t>
      </w:r>
    </w:p>
    <w:p w14:paraId="260DBCE6" w14:textId="77777777" w:rsidR="00557B72" w:rsidRPr="004425EF" w:rsidRDefault="00557B72" w:rsidP="00557B72">
      <w:pPr>
        <w:spacing w:line="360" w:lineRule="auto"/>
        <w:jc w:val="both"/>
        <w:rPr>
          <w:rFonts w:ascii="Times New Roman" w:hAnsi="Times New Roman" w:cs="Times New Roman"/>
          <w:b/>
          <w:bCs/>
          <w:color w:val="000000" w:themeColor="text1"/>
          <w:sz w:val="24"/>
          <w:szCs w:val="24"/>
        </w:rPr>
      </w:pPr>
      <w:r w:rsidRPr="004425EF">
        <w:rPr>
          <w:rFonts w:ascii="Times New Roman" w:hAnsi="Times New Roman" w:cs="Times New Roman"/>
          <w:b/>
          <w:bCs/>
          <w:color w:val="000000" w:themeColor="text1"/>
          <w:sz w:val="24"/>
          <w:szCs w:val="24"/>
        </w:rPr>
        <w:t>4. Conclusions</w:t>
      </w:r>
    </w:p>
    <w:p w14:paraId="78147E85"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This investigation demonstrated substantial genetic variability exists among the parental lines and F</w:t>
      </w:r>
      <w:r w:rsidRPr="00192732">
        <w:rPr>
          <w:rFonts w:cs="Times New Roman"/>
          <w:color w:val="000000" w:themeColor="text1"/>
          <w:sz w:val="24"/>
          <w:szCs w:val="24"/>
        </w:rPr>
        <w:t>₁</w:t>
      </w:r>
      <w:r w:rsidRPr="00192732">
        <w:rPr>
          <w:rFonts w:ascii="Times New Roman" w:hAnsi="Times New Roman" w:cs="Times New Roman"/>
          <w:color w:val="000000" w:themeColor="text1"/>
          <w:sz w:val="24"/>
          <w:szCs w:val="24"/>
        </w:rPr>
        <w:t xml:space="preserve"> hybrids of Indian mustard for all characteristics studied, indicating considerable potential for genetic enhancement through selection and hybridization approaches. The relatively minor differences observed between phenotypic and genotypic coefficient values across most characteristics suggested environmental factors had limited influence on trait expression.</w:t>
      </w:r>
    </w:p>
    <w:p w14:paraId="4546B2A5"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t>Key yield-contributing traits including siliquae number per plant, plant height, harvest index, seed yield per plant, biological yield, and branching characteristics exhibited high heritability combined with substantial genetic advance. This pattern confirms additive gene action predominates for these traits and validates the effectiveness of direct selection for their improvement.</w:t>
      </w:r>
    </w:p>
    <w:p w14:paraId="4440475F"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r w:rsidRPr="00192732">
        <w:rPr>
          <w:rFonts w:ascii="Times New Roman" w:hAnsi="Times New Roman" w:cs="Times New Roman"/>
          <w:color w:val="000000" w:themeColor="text1"/>
          <w:sz w:val="24"/>
          <w:szCs w:val="24"/>
        </w:rPr>
        <w:lastRenderedPageBreak/>
        <w:t>Conversely, traits such as oil content demonstrated high heritability but limited genetic advance, suggesting non-additive gene effects may be involved and alternative breeding approaches including heterosis breeding may be required. The study collectively emphasizes that selection focused on yield-contributing characteristics can be effectively employed to enhance Indian mustard productivity, while traits governed by non-additive gene action may necessitate hybrid breeding approaches for continued improvement.</w:t>
      </w:r>
    </w:p>
    <w:p w14:paraId="10AF51B5" w14:textId="77777777" w:rsidR="00557B72" w:rsidRPr="00192732" w:rsidRDefault="00557B72" w:rsidP="00557B72">
      <w:pPr>
        <w:spacing w:line="360" w:lineRule="auto"/>
        <w:jc w:val="both"/>
        <w:rPr>
          <w:rFonts w:ascii="Times New Roman" w:hAnsi="Times New Roman" w:cs="Times New Roman"/>
          <w:color w:val="000000" w:themeColor="text1"/>
          <w:sz w:val="24"/>
          <w:szCs w:val="24"/>
        </w:rPr>
      </w:pPr>
    </w:p>
    <w:p w14:paraId="6CB684B6" w14:textId="77777777" w:rsidR="000A127C" w:rsidRPr="003E45CE" w:rsidRDefault="000A127C" w:rsidP="000A127C">
      <w:pPr>
        <w:pStyle w:val="NoSpacing"/>
        <w:rPr>
          <w:rFonts w:ascii="Arial" w:hAnsi="Arial" w:cs="Arial"/>
          <w:b/>
          <w:highlight w:val="yellow"/>
        </w:rPr>
      </w:pPr>
      <w:r w:rsidRPr="003E45CE">
        <w:rPr>
          <w:rFonts w:ascii="Arial" w:hAnsi="Arial" w:cs="Arial"/>
          <w:b/>
          <w:highlight w:val="yellow"/>
        </w:rPr>
        <w:t>Disclaimer (Artificial intelligence)</w:t>
      </w:r>
    </w:p>
    <w:p w14:paraId="310E190D" w14:textId="77777777" w:rsidR="000A127C" w:rsidRPr="00005ED1" w:rsidRDefault="000A127C" w:rsidP="000A127C">
      <w:pPr>
        <w:pStyle w:val="NoSpacing"/>
        <w:rPr>
          <w:rFonts w:ascii="Arial" w:hAnsi="Arial" w:cs="Arial"/>
          <w:highlight w:val="yellow"/>
        </w:rPr>
      </w:pPr>
    </w:p>
    <w:p w14:paraId="04E3E6F6" w14:textId="77777777" w:rsidR="000A127C" w:rsidRPr="00005ED1" w:rsidRDefault="000A127C" w:rsidP="000A127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p w14:paraId="362019AC" w14:textId="77777777" w:rsidR="000A127C" w:rsidRDefault="000A127C" w:rsidP="000A127C">
      <w:pPr>
        <w:pStyle w:val="NoSpacing"/>
        <w:rPr>
          <w:rFonts w:ascii="Arial" w:hAnsi="Arial" w:cs="Arial"/>
        </w:rPr>
      </w:pPr>
    </w:p>
    <w:p w14:paraId="0885BF11" w14:textId="77777777" w:rsidR="000A127C" w:rsidRDefault="000A127C" w:rsidP="000A127C">
      <w:pPr>
        <w:rPr>
          <w:rFonts w:ascii="Times New Roman" w:hAnsi="Times New Roman" w:cs="Times New Roman"/>
          <w:sz w:val="24"/>
          <w:szCs w:val="24"/>
          <w:lang w:val="en-US"/>
        </w:rPr>
      </w:pPr>
    </w:p>
    <w:p w14:paraId="0DFFB204" w14:textId="77777777" w:rsidR="000A127C" w:rsidRDefault="000A127C" w:rsidP="000A127C">
      <w:pPr>
        <w:rPr>
          <w:rFonts w:ascii="Times New Roman" w:hAnsi="Times New Roman" w:cs="Times New Roman"/>
          <w:b/>
          <w:bCs/>
          <w:sz w:val="24"/>
          <w:szCs w:val="24"/>
          <w:lang w:val="en-US"/>
        </w:rPr>
      </w:pPr>
      <w:r w:rsidRPr="004425EF">
        <w:rPr>
          <w:rFonts w:ascii="Times New Roman" w:hAnsi="Times New Roman" w:cs="Times New Roman"/>
          <w:b/>
          <w:bCs/>
          <w:sz w:val="24"/>
          <w:szCs w:val="24"/>
          <w:lang w:val="en-US"/>
        </w:rPr>
        <w:t>References</w:t>
      </w:r>
    </w:p>
    <w:p w14:paraId="36D91E65" w14:textId="308E84B2" w:rsidR="00067024" w:rsidRPr="00067024" w:rsidRDefault="00067024" w:rsidP="00067024">
      <w:pPr>
        <w:spacing w:after="0" w:line="480" w:lineRule="auto"/>
        <w:ind w:left="1457" w:hanging="720"/>
        <w:jc w:val="both"/>
        <w:rPr>
          <w:rFonts w:ascii="Times New Roman" w:hAnsi="Times New Roman" w:cs="Times New Roman"/>
          <w:sz w:val="24"/>
          <w:szCs w:val="24"/>
        </w:rPr>
      </w:pPr>
      <w:r w:rsidRPr="00DD2D0E">
        <w:rPr>
          <w:rFonts w:ascii="Times New Roman" w:hAnsi="Times New Roman" w:cs="Times New Roman"/>
          <w:sz w:val="24"/>
          <w:szCs w:val="24"/>
        </w:rPr>
        <w:t>Anita, Gupta, D., Kumar, A., &amp; Ram, M. (2024</w:t>
      </w:r>
      <w:proofErr w:type="gramStart"/>
      <w:r w:rsidRPr="00DD2D0E">
        <w:rPr>
          <w:rFonts w:ascii="Times New Roman" w:hAnsi="Times New Roman" w:cs="Times New Roman"/>
          <w:sz w:val="24"/>
          <w:szCs w:val="24"/>
        </w:rPr>
        <w:t>).Dissection</w:t>
      </w:r>
      <w:proofErr w:type="gramEnd"/>
      <w:r w:rsidRPr="00DD2D0E">
        <w:rPr>
          <w:rFonts w:ascii="Times New Roman" w:hAnsi="Times New Roman" w:cs="Times New Roman"/>
          <w:sz w:val="24"/>
          <w:szCs w:val="24"/>
        </w:rPr>
        <w:t xml:space="preserve"> of genetic parameters for enhancing yield and yield components in Indian mustard (Brassica </w:t>
      </w:r>
      <w:proofErr w:type="spellStart"/>
      <w:r w:rsidRPr="00DD2D0E">
        <w:rPr>
          <w:rFonts w:ascii="Times New Roman" w:hAnsi="Times New Roman" w:cs="Times New Roman"/>
          <w:sz w:val="24"/>
          <w:szCs w:val="24"/>
        </w:rPr>
        <w:t>juncea</w:t>
      </w:r>
      <w:proofErr w:type="spellEnd"/>
      <w:r w:rsidRPr="00DD2D0E">
        <w:rPr>
          <w:rFonts w:ascii="Times New Roman" w:hAnsi="Times New Roman" w:cs="Times New Roman"/>
          <w:sz w:val="24"/>
          <w:szCs w:val="24"/>
        </w:rPr>
        <w:t xml:space="preserve"> L.). Journal of Experimental Agriculture International, 46(10), 258–264.</w:t>
      </w:r>
    </w:p>
    <w:p w14:paraId="392767D2" w14:textId="7D335F3A" w:rsidR="00D23C60" w:rsidRPr="00333C4B" w:rsidRDefault="00D23C60" w:rsidP="00067024">
      <w:pPr>
        <w:pStyle w:val="Body"/>
        <w:spacing w:after="0" w:line="480" w:lineRule="auto"/>
        <w:ind w:left="1457" w:hanging="720"/>
        <w:jc w:val="both"/>
        <w:rPr>
          <w:rFonts w:ascii="Times New Roman" w:eastAsia="Times New Roman" w:hAnsi="Times New Roman" w:cs="Times New Roman"/>
          <w:sz w:val="24"/>
          <w:szCs w:val="24"/>
          <w:lang w:val="en-IN"/>
        </w:rPr>
      </w:pPr>
      <w:proofErr w:type="spellStart"/>
      <w:r w:rsidRPr="00333C4B">
        <w:rPr>
          <w:rFonts w:ascii="Times New Roman" w:eastAsia="Times New Roman" w:hAnsi="Times New Roman" w:cs="Times New Roman"/>
          <w:sz w:val="24"/>
          <w:szCs w:val="24"/>
          <w:lang w:val="en-IN"/>
        </w:rPr>
        <w:t>Aragi</w:t>
      </w:r>
      <w:proofErr w:type="spellEnd"/>
      <w:r w:rsidRPr="00333C4B">
        <w:rPr>
          <w:rFonts w:ascii="Times New Roman" w:eastAsia="Times New Roman" w:hAnsi="Times New Roman" w:cs="Times New Roman"/>
          <w:sz w:val="24"/>
          <w:szCs w:val="24"/>
          <w:lang w:val="en-IN"/>
        </w:rPr>
        <w:t>, H., Singh, D., Meena, M. L., &amp; Sharma, R. (2023). Genetic variability, heritability and genetic advance for yield and its contributing traits in Indian mustard (</w:t>
      </w:r>
      <w:r w:rsidRPr="00333C4B">
        <w:rPr>
          <w:rFonts w:ascii="Times New Roman" w:eastAsia="Times New Roman" w:hAnsi="Times New Roman" w:cs="Times New Roman"/>
          <w:i/>
          <w:iCs/>
          <w:sz w:val="24"/>
          <w:szCs w:val="24"/>
          <w:lang w:val="en-IN"/>
        </w:rPr>
        <w:t xml:space="preserve">Brassica </w:t>
      </w:r>
      <w:proofErr w:type="spellStart"/>
      <w:r w:rsidRPr="00333C4B">
        <w:rPr>
          <w:rFonts w:ascii="Times New Roman" w:eastAsia="Times New Roman" w:hAnsi="Times New Roman" w:cs="Times New Roman"/>
          <w:i/>
          <w:iCs/>
          <w:sz w:val="24"/>
          <w:szCs w:val="24"/>
          <w:lang w:val="en-IN"/>
        </w:rPr>
        <w:t>juncea</w:t>
      </w:r>
      <w:proofErr w:type="spellEnd"/>
      <w:r w:rsidRPr="00333C4B">
        <w:rPr>
          <w:rFonts w:ascii="Times New Roman" w:eastAsia="Times New Roman" w:hAnsi="Times New Roman" w:cs="Times New Roman"/>
          <w:sz w:val="24"/>
          <w:szCs w:val="24"/>
          <w:lang w:val="en-IN"/>
        </w:rPr>
        <w:t xml:space="preserve"> L.). </w:t>
      </w:r>
      <w:r w:rsidRPr="00333C4B">
        <w:rPr>
          <w:rFonts w:ascii="Times New Roman" w:eastAsia="Times New Roman" w:hAnsi="Times New Roman" w:cs="Times New Roman"/>
          <w:i/>
          <w:iCs/>
          <w:sz w:val="24"/>
          <w:szCs w:val="24"/>
          <w:lang w:val="en-IN"/>
        </w:rPr>
        <w:t>Journal of Oilseed Research, 40</w:t>
      </w:r>
      <w:r w:rsidRPr="00333C4B">
        <w:rPr>
          <w:rFonts w:ascii="Times New Roman" w:eastAsia="Times New Roman" w:hAnsi="Times New Roman" w:cs="Times New Roman"/>
          <w:sz w:val="24"/>
          <w:szCs w:val="24"/>
          <w:lang w:val="en-IN"/>
        </w:rPr>
        <w:t>(2), 145–151.</w:t>
      </w:r>
    </w:p>
    <w:p w14:paraId="37C6C0CD" w14:textId="0851D115" w:rsidR="00D23C60" w:rsidRPr="00333C4B" w:rsidRDefault="00D23C60" w:rsidP="00D23C60">
      <w:pPr>
        <w:pStyle w:val="Body"/>
        <w:spacing w:after="0" w:line="480" w:lineRule="auto"/>
        <w:ind w:left="1457" w:hanging="720"/>
        <w:jc w:val="both"/>
        <w:rPr>
          <w:rFonts w:ascii="Times New Roman" w:eastAsia="Times New Roman" w:hAnsi="Times New Roman" w:cs="Times New Roman"/>
          <w:sz w:val="24"/>
          <w:szCs w:val="24"/>
          <w:lang w:val="en-IN"/>
        </w:rPr>
      </w:pPr>
      <w:r w:rsidRPr="00333C4B">
        <w:rPr>
          <w:rFonts w:ascii="Times New Roman" w:eastAsia="Times New Roman" w:hAnsi="Times New Roman" w:cs="Times New Roman"/>
          <w:sz w:val="24"/>
          <w:szCs w:val="24"/>
          <w:lang w:val="en-IN"/>
        </w:rPr>
        <w:t xml:space="preserve">Bind, D., Singh, D., &amp; Dwivedi, V. K. (2014). Genetic variability and character association in Indian mustard (Brassica </w:t>
      </w:r>
      <w:proofErr w:type="spellStart"/>
      <w:r w:rsidRPr="00333C4B">
        <w:rPr>
          <w:rFonts w:ascii="Times New Roman" w:eastAsia="Times New Roman" w:hAnsi="Times New Roman" w:cs="Times New Roman"/>
          <w:sz w:val="24"/>
          <w:szCs w:val="24"/>
          <w:lang w:val="en-IN"/>
        </w:rPr>
        <w:t>juncea</w:t>
      </w:r>
      <w:proofErr w:type="spellEnd"/>
      <w:r w:rsidRPr="00333C4B">
        <w:rPr>
          <w:rFonts w:ascii="Times New Roman" w:eastAsia="Times New Roman" w:hAnsi="Times New Roman" w:cs="Times New Roman"/>
          <w:sz w:val="24"/>
          <w:szCs w:val="24"/>
          <w:lang w:val="en-IN"/>
        </w:rPr>
        <w:t xml:space="preserve"> (L.) </w:t>
      </w:r>
      <w:proofErr w:type="spellStart"/>
      <w:r w:rsidRPr="00333C4B">
        <w:rPr>
          <w:rFonts w:ascii="Times New Roman" w:eastAsia="Times New Roman" w:hAnsi="Times New Roman" w:cs="Times New Roman"/>
          <w:sz w:val="24"/>
          <w:szCs w:val="24"/>
          <w:lang w:val="en-IN"/>
        </w:rPr>
        <w:t>Czern</w:t>
      </w:r>
      <w:proofErr w:type="spellEnd"/>
      <w:r w:rsidRPr="00333C4B">
        <w:rPr>
          <w:rFonts w:ascii="Times New Roman" w:eastAsia="Times New Roman" w:hAnsi="Times New Roman" w:cs="Times New Roman"/>
          <w:sz w:val="24"/>
          <w:szCs w:val="24"/>
          <w:lang w:val="en-IN"/>
        </w:rPr>
        <w:t xml:space="preserve"> &amp; </w:t>
      </w:r>
      <w:proofErr w:type="spellStart"/>
      <w:r w:rsidRPr="00333C4B">
        <w:rPr>
          <w:rFonts w:ascii="Times New Roman" w:eastAsia="Times New Roman" w:hAnsi="Times New Roman" w:cs="Times New Roman"/>
          <w:sz w:val="24"/>
          <w:szCs w:val="24"/>
          <w:lang w:val="en-IN"/>
        </w:rPr>
        <w:t>Coss</w:t>
      </w:r>
      <w:proofErr w:type="spellEnd"/>
      <w:r w:rsidRPr="00333C4B">
        <w:rPr>
          <w:rFonts w:ascii="Times New Roman" w:eastAsia="Times New Roman" w:hAnsi="Times New Roman" w:cs="Times New Roman"/>
          <w:sz w:val="24"/>
          <w:szCs w:val="24"/>
          <w:lang w:val="en-IN"/>
        </w:rPr>
        <w:t xml:space="preserve">.). Agricultural Science Digest, 34(3), 183–188. </w:t>
      </w:r>
    </w:p>
    <w:p w14:paraId="5EDF4652" w14:textId="77777777" w:rsidR="00D23C60" w:rsidRPr="00333C4B" w:rsidRDefault="00D23C60" w:rsidP="00D23C60">
      <w:pPr>
        <w:pStyle w:val="Body"/>
        <w:spacing w:after="0" w:line="480" w:lineRule="auto"/>
        <w:ind w:left="1457" w:hanging="720"/>
        <w:jc w:val="both"/>
        <w:rPr>
          <w:rFonts w:ascii="Times New Roman" w:eastAsia="Times New Roman" w:hAnsi="Times New Roman" w:cs="Times New Roman"/>
          <w:sz w:val="24"/>
          <w:szCs w:val="24"/>
          <w:lang w:val="en-IN"/>
        </w:rPr>
      </w:pPr>
      <w:r w:rsidRPr="00333C4B">
        <w:rPr>
          <w:rFonts w:ascii="Times New Roman" w:eastAsia="Times New Roman" w:hAnsi="Times New Roman" w:cs="Times New Roman"/>
          <w:sz w:val="24"/>
          <w:szCs w:val="24"/>
          <w:lang w:val="en-IN"/>
        </w:rPr>
        <w:t xml:space="preserve">Burton GW. Estimating heritability in tall Fescue (Festuca </w:t>
      </w:r>
      <w:proofErr w:type="spellStart"/>
      <w:r w:rsidRPr="00333C4B">
        <w:rPr>
          <w:rFonts w:ascii="Times New Roman" w:eastAsia="Times New Roman" w:hAnsi="Times New Roman" w:cs="Times New Roman"/>
          <w:sz w:val="24"/>
          <w:szCs w:val="24"/>
          <w:lang w:val="en-IN"/>
        </w:rPr>
        <w:t>arundinaceae</w:t>
      </w:r>
      <w:proofErr w:type="spellEnd"/>
      <w:r w:rsidRPr="00333C4B">
        <w:rPr>
          <w:rFonts w:ascii="Times New Roman" w:eastAsia="Times New Roman" w:hAnsi="Times New Roman" w:cs="Times New Roman"/>
          <w:sz w:val="24"/>
          <w:szCs w:val="24"/>
          <w:lang w:val="en-IN"/>
        </w:rPr>
        <w:t xml:space="preserve">) from replicated clonal material. </w:t>
      </w:r>
      <w:r w:rsidRPr="00333C4B">
        <w:rPr>
          <w:rFonts w:ascii="Times New Roman" w:eastAsia="Times New Roman" w:hAnsi="Times New Roman" w:cs="Times New Roman"/>
          <w:i/>
          <w:iCs/>
          <w:sz w:val="24"/>
          <w:szCs w:val="24"/>
          <w:lang w:val="en-IN"/>
        </w:rPr>
        <w:t>Agronomy Journal</w:t>
      </w:r>
      <w:r w:rsidRPr="00333C4B">
        <w:rPr>
          <w:rFonts w:ascii="Times New Roman" w:eastAsia="Times New Roman" w:hAnsi="Times New Roman" w:cs="Times New Roman"/>
          <w:sz w:val="24"/>
          <w:szCs w:val="24"/>
          <w:lang w:val="en-IN"/>
        </w:rPr>
        <w:t>. 1952; 45:478-481.</w:t>
      </w:r>
    </w:p>
    <w:p w14:paraId="3699AD6D" w14:textId="77777777" w:rsidR="00D23C60" w:rsidRPr="00333C4B" w:rsidRDefault="00D23C60" w:rsidP="00D23C60">
      <w:pPr>
        <w:pStyle w:val="Body"/>
        <w:spacing w:after="0" w:line="480" w:lineRule="auto"/>
        <w:ind w:left="1457" w:hanging="720"/>
        <w:jc w:val="both"/>
        <w:rPr>
          <w:rFonts w:ascii="Times New Roman" w:eastAsia="Times New Roman" w:hAnsi="Times New Roman" w:cs="Times New Roman"/>
          <w:sz w:val="24"/>
          <w:szCs w:val="24"/>
          <w:lang w:val="en-IN"/>
        </w:rPr>
      </w:pPr>
      <w:r w:rsidRPr="00333C4B">
        <w:rPr>
          <w:rFonts w:ascii="Times New Roman" w:eastAsia="Times New Roman" w:hAnsi="Times New Roman" w:cs="Times New Roman"/>
          <w:sz w:val="24"/>
          <w:szCs w:val="24"/>
          <w:lang w:val="en-IN"/>
        </w:rPr>
        <w:t>Choudhary, R., Singh, J., Barela, A., Patel, T., &amp; Yadav, P. K. (2025). Assessment of genetic variability and heritability in Indian mustard (</w:t>
      </w:r>
      <w:r w:rsidRPr="00333C4B">
        <w:rPr>
          <w:rFonts w:ascii="Times New Roman" w:eastAsia="Times New Roman" w:hAnsi="Times New Roman" w:cs="Times New Roman"/>
          <w:i/>
          <w:iCs/>
          <w:sz w:val="24"/>
          <w:szCs w:val="24"/>
          <w:lang w:val="en-IN"/>
        </w:rPr>
        <w:t xml:space="preserve">Brassica </w:t>
      </w:r>
      <w:proofErr w:type="spellStart"/>
      <w:r w:rsidRPr="00333C4B">
        <w:rPr>
          <w:rFonts w:ascii="Times New Roman" w:eastAsia="Times New Roman" w:hAnsi="Times New Roman" w:cs="Times New Roman"/>
          <w:i/>
          <w:iCs/>
          <w:sz w:val="24"/>
          <w:szCs w:val="24"/>
          <w:lang w:val="en-IN"/>
        </w:rPr>
        <w:t>juncea</w:t>
      </w:r>
      <w:proofErr w:type="spellEnd"/>
      <w:r w:rsidRPr="00333C4B">
        <w:rPr>
          <w:rFonts w:ascii="Times New Roman" w:eastAsia="Times New Roman" w:hAnsi="Times New Roman" w:cs="Times New Roman"/>
          <w:sz w:val="24"/>
          <w:szCs w:val="24"/>
          <w:lang w:val="en-IN"/>
        </w:rPr>
        <w:t xml:space="preserve"> L.) genotypes. </w:t>
      </w:r>
      <w:r w:rsidRPr="00333C4B">
        <w:rPr>
          <w:rFonts w:ascii="Times New Roman" w:eastAsia="Times New Roman" w:hAnsi="Times New Roman" w:cs="Times New Roman"/>
          <w:i/>
          <w:iCs/>
          <w:sz w:val="24"/>
          <w:szCs w:val="24"/>
          <w:lang w:val="en-IN"/>
        </w:rPr>
        <w:t>Journal of Advances in Biology &amp; Biotechnology, 28</w:t>
      </w:r>
      <w:r w:rsidRPr="00333C4B">
        <w:rPr>
          <w:rFonts w:ascii="Times New Roman" w:eastAsia="Times New Roman" w:hAnsi="Times New Roman" w:cs="Times New Roman"/>
          <w:sz w:val="24"/>
          <w:szCs w:val="24"/>
          <w:lang w:val="en-IN"/>
        </w:rPr>
        <w:t>(7), 436–443.</w:t>
      </w:r>
    </w:p>
    <w:p w14:paraId="409F0F2E" w14:textId="77777777" w:rsidR="00D23C60" w:rsidRPr="00333C4B" w:rsidRDefault="00D23C60" w:rsidP="00D23C60">
      <w:pPr>
        <w:pStyle w:val="Body"/>
        <w:spacing w:after="0" w:line="480" w:lineRule="auto"/>
        <w:ind w:left="1457" w:hanging="720"/>
        <w:jc w:val="both"/>
        <w:rPr>
          <w:rFonts w:ascii="Times New Roman" w:eastAsia="Times New Roman" w:hAnsi="Times New Roman" w:cs="Times New Roman"/>
          <w:sz w:val="24"/>
          <w:szCs w:val="24"/>
          <w:lang w:val="en-IN"/>
        </w:rPr>
      </w:pPr>
      <w:r w:rsidRPr="00333C4B">
        <w:rPr>
          <w:rFonts w:ascii="Times New Roman" w:eastAsia="Times New Roman" w:hAnsi="Times New Roman" w:cs="Times New Roman"/>
          <w:sz w:val="24"/>
          <w:szCs w:val="24"/>
          <w:lang w:val="en-IN"/>
        </w:rPr>
        <w:lastRenderedPageBreak/>
        <w:t xml:space="preserve">Directorate of Economics and Statistics. 2023. </w:t>
      </w:r>
      <w:r w:rsidRPr="00333C4B">
        <w:rPr>
          <w:rFonts w:ascii="Times New Roman" w:eastAsia="Times New Roman" w:hAnsi="Times New Roman" w:cs="Times New Roman"/>
          <w:i/>
          <w:iCs/>
          <w:sz w:val="24"/>
          <w:szCs w:val="24"/>
          <w:lang w:val="en-IN"/>
        </w:rPr>
        <w:t>Agricultural Statistics at a Glance</w:t>
      </w:r>
      <w:r w:rsidRPr="00333C4B">
        <w:rPr>
          <w:rFonts w:ascii="Times New Roman" w:eastAsia="Times New Roman" w:hAnsi="Times New Roman" w:cs="Times New Roman"/>
          <w:sz w:val="24"/>
          <w:szCs w:val="24"/>
          <w:lang w:val="en-IN"/>
        </w:rPr>
        <w:t>. Ministry of Agriculture and Farmers Welfare, Government of India, New Delhi.</w:t>
      </w:r>
    </w:p>
    <w:p w14:paraId="311636B9" w14:textId="77777777" w:rsidR="00D23C60" w:rsidRPr="00333C4B" w:rsidRDefault="00D23C60" w:rsidP="00D23C60">
      <w:pPr>
        <w:pStyle w:val="Body"/>
        <w:spacing w:after="0" w:line="480" w:lineRule="auto"/>
        <w:ind w:left="1457" w:hanging="720"/>
        <w:jc w:val="both"/>
        <w:rPr>
          <w:rFonts w:ascii="Times New Roman" w:eastAsia="Times New Roman" w:hAnsi="Times New Roman" w:cs="Times New Roman"/>
          <w:sz w:val="24"/>
          <w:szCs w:val="24"/>
          <w:lang w:val="en-IN"/>
        </w:rPr>
      </w:pPr>
      <w:proofErr w:type="spellStart"/>
      <w:r w:rsidRPr="00333C4B">
        <w:rPr>
          <w:rFonts w:ascii="Times New Roman" w:eastAsia="Times New Roman" w:hAnsi="Times New Roman" w:cs="Times New Roman"/>
          <w:sz w:val="24"/>
          <w:szCs w:val="24"/>
          <w:lang w:val="en-IN"/>
        </w:rPr>
        <w:t>Gadi</w:t>
      </w:r>
      <w:proofErr w:type="spellEnd"/>
      <w:r w:rsidRPr="00333C4B">
        <w:rPr>
          <w:rFonts w:ascii="Times New Roman" w:eastAsia="Times New Roman" w:hAnsi="Times New Roman" w:cs="Times New Roman"/>
          <w:sz w:val="24"/>
          <w:szCs w:val="24"/>
          <w:lang w:val="en-IN"/>
        </w:rPr>
        <w:t xml:space="preserve"> J, </w:t>
      </w:r>
      <w:proofErr w:type="spellStart"/>
      <w:r w:rsidRPr="00333C4B">
        <w:rPr>
          <w:rFonts w:ascii="Times New Roman" w:eastAsia="Times New Roman" w:hAnsi="Times New Roman" w:cs="Times New Roman"/>
          <w:sz w:val="24"/>
          <w:szCs w:val="24"/>
          <w:lang w:val="en-IN"/>
        </w:rPr>
        <w:t>Nihar</w:t>
      </w:r>
      <w:proofErr w:type="spellEnd"/>
      <w:r w:rsidRPr="00333C4B">
        <w:rPr>
          <w:rFonts w:ascii="Times New Roman" w:eastAsia="Times New Roman" w:hAnsi="Times New Roman" w:cs="Times New Roman"/>
          <w:sz w:val="24"/>
          <w:szCs w:val="24"/>
          <w:lang w:val="en-IN"/>
        </w:rPr>
        <w:t xml:space="preserve"> Ranjan Chakraborty, Zafar Imam. To Study the Genetic Variability, Heritability and Genetic Advance for Different Quantitative Characters in Indian Mustard (</w:t>
      </w:r>
      <w:r w:rsidRPr="00333C4B">
        <w:rPr>
          <w:rFonts w:ascii="Times New Roman" w:eastAsia="Times New Roman" w:hAnsi="Times New Roman" w:cs="Times New Roman"/>
          <w:i/>
          <w:iCs/>
          <w:sz w:val="24"/>
          <w:szCs w:val="24"/>
          <w:lang w:val="en-IN"/>
        </w:rPr>
        <w:t xml:space="preserve">Brassica </w:t>
      </w:r>
      <w:proofErr w:type="spellStart"/>
      <w:r w:rsidRPr="00333C4B">
        <w:rPr>
          <w:rFonts w:ascii="Times New Roman" w:eastAsia="Times New Roman" w:hAnsi="Times New Roman" w:cs="Times New Roman"/>
          <w:i/>
          <w:iCs/>
          <w:sz w:val="24"/>
          <w:szCs w:val="24"/>
          <w:lang w:val="en-IN"/>
        </w:rPr>
        <w:t>juncea</w:t>
      </w:r>
      <w:proofErr w:type="spellEnd"/>
      <w:r w:rsidRPr="00333C4B">
        <w:rPr>
          <w:rFonts w:ascii="Times New Roman" w:eastAsia="Times New Roman" w:hAnsi="Times New Roman" w:cs="Times New Roman"/>
          <w:i/>
          <w:iCs/>
          <w:sz w:val="24"/>
          <w:szCs w:val="24"/>
          <w:lang w:val="en-IN"/>
        </w:rPr>
        <w:t xml:space="preserve"> L.</w:t>
      </w:r>
      <w:r w:rsidRPr="00333C4B">
        <w:rPr>
          <w:rFonts w:ascii="Times New Roman" w:eastAsia="Times New Roman" w:hAnsi="Times New Roman" w:cs="Times New Roman"/>
          <w:sz w:val="24"/>
          <w:szCs w:val="24"/>
          <w:lang w:val="en-IN"/>
        </w:rPr>
        <w:t xml:space="preserve"> </w:t>
      </w:r>
      <w:proofErr w:type="spellStart"/>
      <w:r w:rsidRPr="00333C4B">
        <w:rPr>
          <w:rFonts w:ascii="Times New Roman" w:eastAsia="Times New Roman" w:hAnsi="Times New Roman" w:cs="Times New Roman"/>
          <w:sz w:val="24"/>
          <w:szCs w:val="24"/>
          <w:lang w:val="en-IN"/>
        </w:rPr>
        <w:t>Czern</w:t>
      </w:r>
      <w:proofErr w:type="spellEnd"/>
      <w:r w:rsidRPr="00333C4B">
        <w:rPr>
          <w:rFonts w:ascii="Times New Roman" w:eastAsia="Times New Roman" w:hAnsi="Times New Roman" w:cs="Times New Roman"/>
          <w:sz w:val="24"/>
          <w:szCs w:val="24"/>
          <w:lang w:val="en-IN"/>
        </w:rPr>
        <w:t xml:space="preserve"> &amp; </w:t>
      </w:r>
      <w:proofErr w:type="spellStart"/>
      <w:r w:rsidRPr="00333C4B">
        <w:rPr>
          <w:rFonts w:ascii="Times New Roman" w:eastAsia="Times New Roman" w:hAnsi="Times New Roman" w:cs="Times New Roman"/>
          <w:sz w:val="24"/>
          <w:szCs w:val="24"/>
          <w:lang w:val="en-IN"/>
        </w:rPr>
        <w:t>Coss</w:t>
      </w:r>
      <w:proofErr w:type="spellEnd"/>
      <w:r w:rsidRPr="00333C4B">
        <w:rPr>
          <w:rFonts w:ascii="Times New Roman" w:eastAsia="Times New Roman" w:hAnsi="Times New Roman" w:cs="Times New Roman"/>
          <w:sz w:val="24"/>
          <w:szCs w:val="24"/>
          <w:lang w:val="en-IN"/>
        </w:rPr>
        <w:t xml:space="preserve">). </w:t>
      </w:r>
      <w:r w:rsidRPr="00333C4B">
        <w:rPr>
          <w:rFonts w:ascii="Times New Roman" w:eastAsia="Times New Roman" w:hAnsi="Times New Roman" w:cs="Times New Roman"/>
          <w:i/>
          <w:iCs/>
          <w:sz w:val="24"/>
          <w:szCs w:val="24"/>
          <w:lang w:val="en-IN"/>
        </w:rPr>
        <w:t xml:space="preserve">Int. J </w:t>
      </w:r>
      <w:proofErr w:type="spellStart"/>
      <w:r w:rsidRPr="00333C4B">
        <w:rPr>
          <w:rFonts w:ascii="Times New Roman" w:eastAsia="Times New Roman" w:hAnsi="Times New Roman" w:cs="Times New Roman"/>
          <w:i/>
          <w:iCs/>
          <w:sz w:val="24"/>
          <w:szCs w:val="24"/>
          <w:lang w:val="en-IN"/>
        </w:rPr>
        <w:t>Curr</w:t>
      </w:r>
      <w:proofErr w:type="spellEnd"/>
      <w:r w:rsidRPr="00333C4B">
        <w:rPr>
          <w:rFonts w:ascii="Times New Roman" w:eastAsia="Times New Roman" w:hAnsi="Times New Roman" w:cs="Times New Roman"/>
          <w:i/>
          <w:iCs/>
          <w:sz w:val="24"/>
          <w:szCs w:val="24"/>
          <w:lang w:val="en-IN"/>
        </w:rPr>
        <w:t xml:space="preserve">. </w:t>
      </w:r>
      <w:proofErr w:type="spellStart"/>
      <w:r w:rsidRPr="00333C4B">
        <w:rPr>
          <w:rFonts w:ascii="Times New Roman" w:eastAsia="Times New Roman" w:hAnsi="Times New Roman" w:cs="Times New Roman"/>
          <w:i/>
          <w:iCs/>
          <w:sz w:val="24"/>
          <w:szCs w:val="24"/>
          <w:lang w:val="en-IN"/>
        </w:rPr>
        <w:t>Microbiol</w:t>
      </w:r>
      <w:proofErr w:type="spellEnd"/>
      <w:r w:rsidRPr="00333C4B">
        <w:rPr>
          <w:rFonts w:ascii="Times New Roman" w:eastAsia="Times New Roman" w:hAnsi="Times New Roman" w:cs="Times New Roman"/>
          <w:i/>
          <w:iCs/>
          <w:sz w:val="24"/>
          <w:szCs w:val="24"/>
          <w:lang w:val="en-IN"/>
        </w:rPr>
        <w:t>. App. Sci.</w:t>
      </w:r>
      <w:r w:rsidRPr="00333C4B">
        <w:rPr>
          <w:rFonts w:ascii="Times New Roman" w:eastAsia="Times New Roman" w:hAnsi="Times New Roman" w:cs="Times New Roman"/>
          <w:sz w:val="24"/>
          <w:szCs w:val="24"/>
          <w:lang w:val="en-IN"/>
        </w:rPr>
        <w:t xml:space="preserve"> 2020;9(10):1557-1563.</w:t>
      </w:r>
    </w:p>
    <w:p w14:paraId="3C3E16F9" w14:textId="77777777" w:rsidR="00D23C60" w:rsidRPr="00333C4B" w:rsidRDefault="00D23C60" w:rsidP="00D23C60">
      <w:pPr>
        <w:pStyle w:val="Body"/>
        <w:spacing w:after="0" w:line="480" w:lineRule="auto"/>
        <w:ind w:left="1457" w:hanging="720"/>
        <w:jc w:val="both"/>
        <w:rPr>
          <w:rFonts w:ascii="Times New Roman" w:eastAsia="Times New Roman" w:hAnsi="Times New Roman" w:cs="Times New Roman"/>
          <w:sz w:val="24"/>
          <w:szCs w:val="24"/>
          <w:lang w:val="en-IN"/>
        </w:rPr>
      </w:pPr>
      <w:r w:rsidRPr="00333C4B">
        <w:rPr>
          <w:rFonts w:ascii="Times New Roman" w:eastAsia="Times New Roman" w:hAnsi="Times New Roman" w:cs="Times New Roman"/>
          <w:sz w:val="24"/>
          <w:szCs w:val="24"/>
          <w:lang w:val="en-IN"/>
        </w:rPr>
        <w:t>Gupta, S., Meena, R. S., Sharma, A., &amp; Yadav, R. (2025). Genetic variability, heritability and genetic advance for yield and its component traits in Indian mustard (</w:t>
      </w:r>
      <w:r w:rsidRPr="00333C4B">
        <w:rPr>
          <w:rFonts w:ascii="Times New Roman" w:eastAsia="Times New Roman" w:hAnsi="Times New Roman" w:cs="Times New Roman"/>
          <w:i/>
          <w:iCs/>
          <w:sz w:val="24"/>
          <w:szCs w:val="24"/>
          <w:lang w:val="en-IN"/>
        </w:rPr>
        <w:t xml:space="preserve">Brassica </w:t>
      </w:r>
      <w:proofErr w:type="spellStart"/>
      <w:r w:rsidRPr="00333C4B">
        <w:rPr>
          <w:rFonts w:ascii="Times New Roman" w:eastAsia="Times New Roman" w:hAnsi="Times New Roman" w:cs="Times New Roman"/>
          <w:i/>
          <w:iCs/>
          <w:sz w:val="24"/>
          <w:szCs w:val="24"/>
          <w:lang w:val="en-IN"/>
        </w:rPr>
        <w:t>juncea</w:t>
      </w:r>
      <w:proofErr w:type="spellEnd"/>
      <w:r w:rsidRPr="00333C4B">
        <w:rPr>
          <w:rFonts w:ascii="Times New Roman" w:eastAsia="Times New Roman" w:hAnsi="Times New Roman" w:cs="Times New Roman"/>
          <w:sz w:val="24"/>
          <w:szCs w:val="24"/>
          <w:lang w:val="en-IN"/>
        </w:rPr>
        <w:t xml:space="preserve"> L.). </w:t>
      </w:r>
      <w:r w:rsidRPr="00333C4B">
        <w:rPr>
          <w:rFonts w:ascii="Times New Roman" w:eastAsia="Times New Roman" w:hAnsi="Times New Roman" w:cs="Times New Roman"/>
          <w:i/>
          <w:iCs/>
          <w:sz w:val="24"/>
          <w:szCs w:val="24"/>
          <w:lang w:val="en-IN"/>
        </w:rPr>
        <w:t>Journal of Experimental Agriculture International, 47</w:t>
      </w:r>
      <w:r w:rsidRPr="00333C4B">
        <w:rPr>
          <w:rFonts w:ascii="Times New Roman" w:eastAsia="Times New Roman" w:hAnsi="Times New Roman" w:cs="Times New Roman"/>
          <w:sz w:val="24"/>
          <w:szCs w:val="24"/>
          <w:lang w:val="en-IN"/>
        </w:rPr>
        <w:t>(3), 112–118.</w:t>
      </w:r>
    </w:p>
    <w:p w14:paraId="3504180A" w14:textId="77777777" w:rsidR="00D23C60" w:rsidRPr="00333C4B" w:rsidRDefault="00D23C60" w:rsidP="00D23C60">
      <w:pPr>
        <w:pStyle w:val="Body"/>
        <w:spacing w:after="0" w:line="480" w:lineRule="auto"/>
        <w:ind w:left="1457" w:hanging="720"/>
        <w:jc w:val="both"/>
        <w:rPr>
          <w:rFonts w:ascii="Times New Roman" w:eastAsia="Times New Roman" w:hAnsi="Times New Roman" w:cs="Times New Roman"/>
          <w:sz w:val="24"/>
          <w:szCs w:val="24"/>
          <w:lang w:val="en-IN"/>
        </w:rPr>
      </w:pPr>
      <w:proofErr w:type="spellStart"/>
      <w:r w:rsidRPr="00333C4B">
        <w:rPr>
          <w:rFonts w:ascii="Times New Roman" w:eastAsia="Times New Roman" w:hAnsi="Times New Roman" w:cs="Times New Roman"/>
          <w:sz w:val="24"/>
          <w:szCs w:val="24"/>
          <w:lang w:val="en-IN"/>
        </w:rPr>
        <w:t>HansonWD</w:t>
      </w:r>
      <w:proofErr w:type="spellEnd"/>
      <w:r w:rsidRPr="00333C4B">
        <w:rPr>
          <w:rFonts w:ascii="Times New Roman" w:eastAsia="Times New Roman" w:hAnsi="Times New Roman" w:cs="Times New Roman"/>
          <w:sz w:val="24"/>
          <w:szCs w:val="24"/>
          <w:lang w:val="en-IN"/>
        </w:rPr>
        <w:t xml:space="preserve">. Heritability. Statistical genetics and plant breeding </w:t>
      </w:r>
      <w:r w:rsidRPr="00333C4B">
        <w:rPr>
          <w:rFonts w:ascii="Times New Roman" w:eastAsia="Times New Roman" w:hAnsi="Times New Roman" w:cs="Times New Roman"/>
          <w:i/>
          <w:iCs/>
          <w:sz w:val="24"/>
          <w:szCs w:val="24"/>
          <w:lang w:val="en-IN"/>
        </w:rPr>
        <w:t>NAS NRC, Washington, Publ.,</w:t>
      </w:r>
      <w:r w:rsidRPr="00333C4B">
        <w:rPr>
          <w:rFonts w:ascii="Times New Roman" w:eastAsia="Times New Roman" w:hAnsi="Times New Roman" w:cs="Times New Roman"/>
          <w:sz w:val="24"/>
          <w:szCs w:val="24"/>
          <w:lang w:val="en-IN"/>
        </w:rPr>
        <w:t xml:space="preserve"> 1982: 1963:125-140.</w:t>
      </w:r>
    </w:p>
    <w:p w14:paraId="791AF957" w14:textId="77777777" w:rsidR="00D23C60" w:rsidRPr="00333C4B" w:rsidRDefault="00D23C60" w:rsidP="00D23C60">
      <w:pPr>
        <w:pStyle w:val="Body"/>
        <w:spacing w:after="0" w:line="480" w:lineRule="auto"/>
        <w:ind w:left="1457" w:hanging="720"/>
        <w:jc w:val="both"/>
        <w:rPr>
          <w:rFonts w:ascii="Times New Roman" w:eastAsia="Times New Roman" w:hAnsi="Times New Roman" w:cs="Times New Roman"/>
          <w:sz w:val="24"/>
          <w:szCs w:val="24"/>
          <w:lang w:val="en-IN"/>
        </w:rPr>
      </w:pPr>
      <w:r w:rsidRPr="00333C4B">
        <w:rPr>
          <w:rFonts w:ascii="Times New Roman" w:eastAsia="Times New Roman" w:hAnsi="Times New Roman" w:cs="Times New Roman"/>
          <w:sz w:val="24"/>
          <w:szCs w:val="24"/>
          <w:lang w:val="en-IN"/>
        </w:rPr>
        <w:t>Indian Council of Agricultural Research. (2022). Vision 2050: Oilseed research in India. ICAR, New Delhi.</w:t>
      </w:r>
    </w:p>
    <w:p w14:paraId="1ADC8A46" w14:textId="77777777" w:rsidR="00D23C60" w:rsidRPr="00333C4B" w:rsidRDefault="00D23C60" w:rsidP="00D23C60">
      <w:pPr>
        <w:pStyle w:val="Body"/>
        <w:spacing w:after="0" w:line="480" w:lineRule="auto"/>
        <w:ind w:left="1457" w:hanging="720"/>
        <w:jc w:val="both"/>
        <w:rPr>
          <w:rFonts w:ascii="Times New Roman" w:eastAsia="Times New Roman" w:hAnsi="Times New Roman" w:cs="Times New Roman"/>
          <w:sz w:val="24"/>
          <w:szCs w:val="24"/>
          <w:lang w:val="en-IN"/>
        </w:rPr>
      </w:pPr>
      <w:r w:rsidRPr="00333C4B">
        <w:rPr>
          <w:rFonts w:ascii="Times New Roman" w:eastAsia="Times New Roman" w:hAnsi="Times New Roman" w:cs="Times New Roman"/>
          <w:sz w:val="24"/>
          <w:szCs w:val="24"/>
          <w:lang w:val="en-IN"/>
        </w:rPr>
        <w:t xml:space="preserve">Johnson HW, Robinson HF, Comstock RE. Estimates of genetic and environmental variability in soybean. </w:t>
      </w:r>
      <w:proofErr w:type="spellStart"/>
      <w:r w:rsidRPr="00333C4B">
        <w:rPr>
          <w:rFonts w:ascii="Times New Roman" w:eastAsia="Times New Roman" w:hAnsi="Times New Roman" w:cs="Times New Roman"/>
          <w:i/>
          <w:iCs/>
          <w:sz w:val="24"/>
          <w:szCs w:val="24"/>
          <w:lang w:val="en-IN"/>
        </w:rPr>
        <w:t>Agron</w:t>
      </w:r>
      <w:proofErr w:type="spellEnd"/>
      <w:r w:rsidRPr="00333C4B">
        <w:rPr>
          <w:rFonts w:ascii="Times New Roman" w:eastAsia="Times New Roman" w:hAnsi="Times New Roman" w:cs="Times New Roman"/>
          <w:i/>
          <w:iCs/>
          <w:sz w:val="24"/>
          <w:szCs w:val="24"/>
          <w:lang w:val="en-IN"/>
        </w:rPr>
        <w:t>. J.</w:t>
      </w:r>
      <w:r w:rsidRPr="00333C4B">
        <w:rPr>
          <w:rFonts w:ascii="Times New Roman" w:eastAsia="Times New Roman" w:hAnsi="Times New Roman" w:cs="Times New Roman"/>
          <w:sz w:val="24"/>
          <w:szCs w:val="24"/>
          <w:lang w:val="en-IN"/>
        </w:rPr>
        <w:t xml:space="preserve"> 1955a; 47:314-318.</w:t>
      </w:r>
    </w:p>
    <w:p w14:paraId="19B16916" w14:textId="77777777" w:rsidR="00D23C60" w:rsidRPr="00333C4B" w:rsidRDefault="00D23C60" w:rsidP="00D23C60">
      <w:pPr>
        <w:pStyle w:val="Body"/>
        <w:spacing w:after="0" w:line="480" w:lineRule="auto"/>
        <w:ind w:left="1457" w:hanging="720"/>
        <w:jc w:val="both"/>
        <w:rPr>
          <w:rFonts w:ascii="Times New Roman" w:eastAsia="Times New Roman" w:hAnsi="Times New Roman" w:cs="Times New Roman"/>
          <w:sz w:val="24"/>
          <w:szCs w:val="24"/>
          <w:lang w:val="en-IN"/>
        </w:rPr>
      </w:pPr>
      <w:r w:rsidRPr="00333C4B">
        <w:rPr>
          <w:rFonts w:ascii="Times New Roman" w:eastAsia="Times New Roman" w:hAnsi="Times New Roman" w:cs="Times New Roman"/>
          <w:sz w:val="24"/>
          <w:szCs w:val="24"/>
          <w:lang w:val="en-IN"/>
        </w:rPr>
        <w:t xml:space="preserve">Kumar, V., Sharma, A. K., Yogi, R. K., &amp; Singh, V. V. (2024). Rapeseed-mustard cultivation in India: National overview and regional insights with reference to Madhya Pradesh. </w:t>
      </w:r>
      <w:r w:rsidRPr="00333C4B">
        <w:rPr>
          <w:rFonts w:ascii="Times New Roman" w:eastAsia="Times New Roman" w:hAnsi="Times New Roman" w:cs="Times New Roman"/>
          <w:i/>
          <w:iCs/>
          <w:sz w:val="24"/>
          <w:szCs w:val="24"/>
          <w:lang w:val="en-IN"/>
        </w:rPr>
        <w:t>Journal of Oilseed Brassica, 16</w:t>
      </w:r>
      <w:r w:rsidRPr="00333C4B">
        <w:rPr>
          <w:rFonts w:ascii="Times New Roman" w:eastAsia="Times New Roman" w:hAnsi="Times New Roman" w:cs="Times New Roman"/>
          <w:sz w:val="24"/>
          <w:szCs w:val="24"/>
          <w:lang w:val="en-IN"/>
        </w:rPr>
        <w:t xml:space="preserve">(2), 149–156. </w:t>
      </w:r>
    </w:p>
    <w:p w14:paraId="461939AC" w14:textId="0FE5417E" w:rsidR="00D23C60" w:rsidRDefault="00D23C60" w:rsidP="00D23C60">
      <w:pPr>
        <w:pStyle w:val="Body"/>
        <w:spacing w:after="0" w:line="480" w:lineRule="auto"/>
        <w:ind w:left="1457" w:hanging="720"/>
        <w:jc w:val="both"/>
        <w:rPr>
          <w:rFonts w:ascii="Times New Roman" w:eastAsia="Times New Roman" w:hAnsi="Times New Roman" w:cs="Times New Roman"/>
          <w:sz w:val="24"/>
          <w:szCs w:val="24"/>
          <w:lang w:val="en-IN"/>
        </w:rPr>
      </w:pPr>
      <w:r w:rsidRPr="00333C4B">
        <w:rPr>
          <w:rFonts w:ascii="Times New Roman" w:eastAsia="Times New Roman" w:hAnsi="Times New Roman" w:cs="Times New Roman"/>
          <w:sz w:val="24"/>
          <w:szCs w:val="24"/>
          <w:lang w:val="en-IN"/>
        </w:rPr>
        <w:t xml:space="preserve">Meena, H. S., Kumar, A., Singh, V. V., Meena, P. D., Ram, B., &amp; </w:t>
      </w:r>
      <w:proofErr w:type="spellStart"/>
      <w:r w:rsidRPr="00333C4B">
        <w:rPr>
          <w:rFonts w:ascii="Times New Roman" w:eastAsia="Times New Roman" w:hAnsi="Times New Roman" w:cs="Times New Roman"/>
          <w:sz w:val="24"/>
          <w:szCs w:val="24"/>
          <w:lang w:val="en-IN"/>
        </w:rPr>
        <w:t>Kulshrestha</w:t>
      </w:r>
      <w:proofErr w:type="spellEnd"/>
      <w:r w:rsidRPr="00333C4B">
        <w:rPr>
          <w:rFonts w:ascii="Times New Roman" w:eastAsia="Times New Roman" w:hAnsi="Times New Roman" w:cs="Times New Roman"/>
          <w:sz w:val="24"/>
          <w:szCs w:val="24"/>
          <w:lang w:val="en-IN"/>
        </w:rPr>
        <w:t xml:space="preserve">, S. (2024). Genetic variability and inter-relation of seed yield with contributing traits in Indian mustard (Brassica </w:t>
      </w:r>
      <w:proofErr w:type="spellStart"/>
      <w:r w:rsidRPr="00333C4B">
        <w:rPr>
          <w:rFonts w:ascii="Times New Roman" w:eastAsia="Times New Roman" w:hAnsi="Times New Roman" w:cs="Times New Roman"/>
          <w:sz w:val="24"/>
          <w:szCs w:val="24"/>
          <w:lang w:val="en-IN"/>
        </w:rPr>
        <w:t>juncea</w:t>
      </w:r>
      <w:proofErr w:type="spellEnd"/>
      <w:r w:rsidRPr="00333C4B">
        <w:rPr>
          <w:rFonts w:ascii="Times New Roman" w:eastAsia="Times New Roman" w:hAnsi="Times New Roman" w:cs="Times New Roman"/>
          <w:sz w:val="24"/>
          <w:szCs w:val="24"/>
          <w:lang w:val="en-IN"/>
        </w:rPr>
        <w:t xml:space="preserve">). Journal of Oilseed Brassica, 8(2), 131–137. </w:t>
      </w:r>
    </w:p>
    <w:p w14:paraId="67700860" w14:textId="6696DB7E" w:rsidR="00067024" w:rsidRPr="00333C4B" w:rsidRDefault="00067024" w:rsidP="00D23C60">
      <w:pPr>
        <w:pStyle w:val="Body"/>
        <w:spacing w:after="0" w:line="480" w:lineRule="auto"/>
        <w:ind w:left="1457" w:hanging="720"/>
        <w:jc w:val="both"/>
        <w:rPr>
          <w:rFonts w:ascii="Times New Roman" w:eastAsia="Times New Roman" w:hAnsi="Times New Roman" w:cs="Times New Roman"/>
          <w:sz w:val="24"/>
          <w:szCs w:val="24"/>
          <w:lang w:val="en-IN"/>
        </w:rPr>
      </w:pPr>
      <w:r w:rsidRPr="00067024">
        <w:rPr>
          <w:rFonts w:ascii="Times New Roman" w:eastAsia="Times New Roman" w:hAnsi="Times New Roman" w:cs="Times New Roman"/>
          <w:sz w:val="24"/>
          <w:szCs w:val="24"/>
          <w:lang w:val="en-IN"/>
        </w:rPr>
        <w:lastRenderedPageBreak/>
        <w:t xml:space="preserve">Meena, P. K., &amp; Bishnoi, R. (2023). Estimation of genetic variability, heritability and genetic advance in Indian mustard (Brassica </w:t>
      </w:r>
      <w:proofErr w:type="spellStart"/>
      <w:r w:rsidRPr="00067024">
        <w:rPr>
          <w:rFonts w:ascii="Times New Roman" w:eastAsia="Times New Roman" w:hAnsi="Times New Roman" w:cs="Times New Roman"/>
          <w:sz w:val="24"/>
          <w:szCs w:val="24"/>
          <w:lang w:val="en-IN"/>
        </w:rPr>
        <w:t>juncea</w:t>
      </w:r>
      <w:proofErr w:type="spellEnd"/>
      <w:r w:rsidRPr="00067024">
        <w:rPr>
          <w:rFonts w:ascii="Times New Roman" w:eastAsia="Times New Roman" w:hAnsi="Times New Roman" w:cs="Times New Roman"/>
          <w:sz w:val="24"/>
          <w:szCs w:val="24"/>
          <w:lang w:val="en-IN"/>
        </w:rPr>
        <w:t xml:space="preserve"> L.). Journal of Experimental Agriculture International, 45(10), 299–304.</w:t>
      </w:r>
    </w:p>
    <w:p w14:paraId="50C65CAA" w14:textId="77777777" w:rsidR="00D23C60" w:rsidRPr="00333C4B" w:rsidRDefault="00D23C60" w:rsidP="00D23C60">
      <w:pPr>
        <w:pStyle w:val="Body"/>
        <w:spacing w:after="0" w:line="480" w:lineRule="auto"/>
        <w:ind w:left="1457" w:hanging="720"/>
        <w:jc w:val="both"/>
        <w:rPr>
          <w:rFonts w:ascii="Times New Roman" w:eastAsia="Times New Roman" w:hAnsi="Times New Roman" w:cs="Times New Roman"/>
          <w:sz w:val="24"/>
          <w:szCs w:val="24"/>
          <w:lang w:val="en-IN"/>
        </w:rPr>
      </w:pPr>
      <w:proofErr w:type="spellStart"/>
      <w:r w:rsidRPr="00333C4B">
        <w:rPr>
          <w:rFonts w:ascii="Times New Roman" w:eastAsia="Times New Roman" w:hAnsi="Times New Roman" w:cs="Times New Roman"/>
          <w:sz w:val="24"/>
          <w:szCs w:val="24"/>
          <w:lang w:val="en-IN"/>
        </w:rPr>
        <w:t>Panse</w:t>
      </w:r>
      <w:proofErr w:type="spellEnd"/>
      <w:r w:rsidRPr="00333C4B">
        <w:rPr>
          <w:rFonts w:ascii="Times New Roman" w:eastAsia="Times New Roman" w:hAnsi="Times New Roman" w:cs="Times New Roman"/>
          <w:sz w:val="24"/>
          <w:szCs w:val="24"/>
          <w:lang w:val="en-IN"/>
        </w:rPr>
        <w:t xml:space="preserve"> VG, </w:t>
      </w:r>
      <w:proofErr w:type="spellStart"/>
      <w:r w:rsidRPr="00333C4B">
        <w:rPr>
          <w:rFonts w:ascii="Times New Roman" w:eastAsia="Times New Roman" w:hAnsi="Times New Roman" w:cs="Times New Roman"/>
          <w:sz w:val="24"/>
          <w:szCs w:val="24"/>
          <w:lang w:val="en-IN"/>
        </w:rPr>
        <w:t>Sukhatme</w:t>
      </w:r>
      <w:proofErr w:type="spellEnd"/>
      <w:r w:rsidRPr="00333C4B">
        <w:rPr>
          <w:rFonts w:ascii="Times New Roman" w:eastAsia="Times New Roman" w:hAnsi="Times New Roman" w:cs="Times New Roman"/>
          <w:sz w:val="24"/>
          <w:szCs w:val="24"/>
          <w:lang w:val="en-IN"/>
        </w:rPr>
        <w:t xml:space="preserve"> PV</w:t>
      </w:r>
      <w:r w:rsidRPr="00333C4B">
        <w:rPr>
          <w:rFonts w:ascii="Times New Roman" w:eastAsia="Times New Roman" w:hAnsi="Times New Roman" w:cs="Times New Roman"/>
          <w:b/>
          <w:bCs/>
          <w:sz w:val="24"/>
          <w:szCs w:val="24"/>
          <w:lang w:val="en-IN"/>
        </w:rPr>
        <w:t>.</w:t>
      </w:r>
      <w:r w:rsidRPr="00333C4B">
        <w:rPr>
          <w:rFonts w:ascii="Times New Roman" w:eastAsia="Times New Roman" w:hAnsi="Times New Roman" w:cs="Times New Roman"/>
          <w:sz w:val="24"/>
          <w:szCs w:val="24"/>
          <w:lang w:val="en-IN"/>
        </w:rPr>
        <w:t xml:space="preserve"> 1967. </w:t>
      </w:r>
      <w:r w:rsidRPr="00333C4B">
        <w:rPr>
          <w:rFonts w:ascii="Times New Roman" w:eastAsia="Times New Roman" w:hAnsi="Times New Roman" w:cs="Times New Roman"/>
          <w:i/>
          <w:iCs/>
          <w:sz w:val="24"/>
          <w:szCs w:val="24"/>
          <w:lang w:val="en-IN"/>
        </w:rPr>
        <w:t>Statistical Methods for Agricultural Workers</w:t>
      </w:r>
      <w:r w:rsidRPr="00333C4B">
        <w:rPr>
          <w:rFonts w:ascii="Times New Roman" w:eastAsia="Times New Roman" w:hAnsi="Times New Roman" w:cs="Times New Roman"/>
          <w:sz w:val="24"/>
          <w:szCs w:val="24"/>
          <w:lang w:val="en-IN"/>
        </w:rPr>
        <w:t xml:space="preserve">. 2nd </w:t>
      </w:r>
      <w:proofErr w:type="spellStart"/>
      <w:r w:rsidRPr="00333C4B">
        <w:rPr>
          <w:rFonts w:ascii="Times New Roman" w:eastAsia="Times New Roman" w:hAnsi="Times New Roman" w:cs="Times New Roman"/>
          <w:sz w:val="24"/>
          <w:szCs w:val="24"/>
          <w:lang w:val="en-IN"/>
        </w:rPr>
        <w:t>edn</w:t>
      </w:r>
      <w:proofErr w:type="spellEnd"/>
      <w:r w:rsidRPr="00333C4B">
        <w:rPr>
          <w:rFonts w:ascii="Times New Roman" w:eastAsia="Times New Roman" w:hAnsi="Times New Roman" w:cs="Times New Roman"/>
          <w:sz w:val="24"/>
          <w:szCs w:val="24"/>
          <w:lang w:val="en-IN"/>
        </w:rPr>
        <w:t xml:space="preserve">. New Delhi: </w:t>
      </w:r>
      <w:r w:rsidRPr="00333C4B">
        <w:rPr>
          <w:rFonts w:ascii="Times New Roman" w:eastAsia="Times New Roman" w:hAnsi="Times New Roman" w:cs="Times New Roman"/>
          <w:i/>
          <w:iCs/>
          <w:sz w:val="24"/>
          <w:szCs w:val="24"/>
          <w:lang w:val="en-IN"/>
        </w:rPr>
        <w:t>Indian Council of Agricultural Research</w:t>
      </w:r>
      <w:r w:rsidRPr="00333C4B">
        <w:rPr>
          <w:rFonts w:ascii="Times New Roman" w:eastAsia="Times New Roman" w:hAnsi="Times New Roman" w:cs="Times New Roman"/>
          <w:sz w:val="24"/>
          <w:szCs w:val="24"/>
          <w:lang w:val="en-IN"/>
        </w:rPr>
        <w:t>. pp. 152–157.</w:t>
      </w:r>
    </w:p>
    <w:p w14:paraId="64DDD626" w14:textId="77777777" w:rsidR="00D23C60" w:rsidRPr="00333C4B" w:rsidRDefault="00D23C60" w:rsidP="00D23C60">
      <w:pPr>
        <w:pStyle w:val="Body"/>
        <w:spacing w:after="0" w:line="480" w:lineRule="auto"/>
        <w:ind w:left="1457" w:hanging="720"/>
        <w:jc w:val="both"/>
        <w:rPr>
          <w:rFonts w:ascii="Times New Roman" w:eastAsia="Times New Roman" w:hAnsi="Times New Roman" w:cs="Times New Roman"/>
          <w:sz w:val="24"/>
          <w:szCs w:val="24"/>
          <w:lang w:val="en-IN"/>
        </w:rPr>
      </w:pPr>
      <w:proofErr w:type="spellStart"/>
      <w:r w:rsidRPr="00333C4B">
        <w:rPr>
          <w:rFonts w:ascii="Times New Roman" w:eastAsia="Times New Roman" w:hAnsi="Times New Roman" w:cs="Times New Roman"/>
          <w:sz w:val="24"/>
          <w:szCs w:val="24"/>
          <w:lang w:val="en-IN"/>
        </w:rPr>
        <w:t>Perween</w:t>
      </w:r>
      <w:proofErr w:type="spellEnd"/>
      <w:r w:rsidRPr="00333C4B">
        <w:rPr>
          <w:rFonts w:ascii="Times New Roman" w:eastAsia="Times New Roman" w:hAnsi="Times New Roman" w:cs="Times New Roman"/>
          <w:sz w:val="24"/>
          <w:szCs w:val="24"/>
          <w:lang w:val="en-IN"/>
        </w:rPr>
        <w:t xml:space="preserve">, S., Kumar, A., Chakraborty, M., Ahmad, E., </w:t>
      </w:r>
      <w:proofErr w:type="spellStart"/>
      <w:r w:rsidRPr="00333C4B">
        <w:rPr>
          <w:rFonts w:ascii="Times New Roman" w:eastAsia="Times New Roman" w:hAnsi="Times New Roman" w:cs="Times New Roman"/>
          <w:sz w:val="24"/>
          <w:szCs w:val="24"/>
          <w:lang w:val="en-IN"/>
        </w:rPr>
        <w:t>Mahto</w:t>
      </w:r>
      <w:proofErr w:type="spellEnd"/>
      <w:r w:rsidRPr="00333C4B">
        <w:rPr>
          <w:rFonts w:ascii="Times New Roman" w:eastAsia="Times New Roman" w:hAnsi="Times New Roman" w:cs="Times New Roman"/>
          <w:sz w:val="24"/>
          <w:szCs w:val="24"/>
          <w:lang w:val="en-IN"/>
        </w:rPr>
        <w:t xml:space="preserve">, C. S., &amp; </w:t>
      </w:r>
      <w:proofErr w:type="spellStart"/>
      <w:r w:rsidRPr="00333C4B">
        <w:rPr>
          <w:rFonts w:ascii="Times New Roman" w:eastAsia="Times New Roman" w:hAnsi="Times New Roman" w:cs="Times New Roman"/>
          <w:sz w:val="24"/>
          <w:szCs w:val="24"/>
          <w:lang w:val="en-IN"/>
        </w:rPr>
        <w:t>Barnwal</w:t>
      </w:r>
      <w:proofErr w:type="spellEnd"/>
      <w:r w:rsidRPr="00333C4B">
        <w:rPr>
          <w:rFonts w:ascii="Times New Roman" w:eastAsia="Times New Roman" w:hAnsi="Times New Roman" w:cs="Times New Roman"/>
          <w:sz w:val="24"/>
          <w:szCs w:val="24"/>
          <w:lang w:val="en-IN"/>
        </w:rPr>
        <w:t>, M. K. (2024). Assessment of genetic variability and diversity in Indian mustard (</w:t>
      </w:r>
      <w:r w:rsidRPr="00333C4B">
        <w:rPr>
          <w:rFonts w:ascii="Times New Roman" w:eastAsia="Times New Roman" w:hAnsi="Times New Roman" w:cs="Times New Roman"/>
          <w:i/>
          <w:iCs/>
          <w:sz w:val="24"/>
          <w:szCs w:val="24"/>
          <w:lang w:val="en-IN"/>
        </w:rPr>
        <w:t xml:space="preserve">Brassica </w:t>
      </w:r>
      <w:proofErr w:type="spellStart"/>
      <w:r w:rsidRPr="00333C4B">
        <w:rPr>
          <w:rFonts w:ascii="Times New Roman" w:eastAsia="Times New Roman" w:hAnsi="Times New Roman" w:cs="Times New Roman"/>
          <w:i/>
          <w:iCs/>
          <w:sz w:val="24"/>
          <w:szCs w:val="24"/>
          <w:lang w:val="en-IN"/>
        </w:rPr>
        <w:t>juncea</w:t>
      </w:r>
      <w:proofErr w:type="spellEnd"/>
      <w:r w:rsidRPr="00333C4B">
        <w:rPr>
          <w:rFonts w:ascii="Times New Roman" w:eastAsia="Times New Roman" w:hAnsi="Times New Roman" w:cs="Times New Roman"/>
          <w:sz w:val="24"/>
          <w:szCs w:val="24"/>
          <w:lang w:val="en-IN"/>
        </w:rPr>
        <w:t xml:space="preserve"> L.) under timely and late sown conditions. </w:t>
      </w:r>
      <w:r w:rsidRPr="00333C4B">
        <w:rPr>
          <w:rFonts w:ascii="Times New Roman" w:eastAsia="Times New Roman" w:hAnsi="Times New Roman" w:cs="Times New Roman"/>
          <w:i/>
          <w:iCs/>
          <w:sz w:val="24"/>
          <w:szCs w:val="24"/>
          <w:lang w:val="en-IN"/>
        </w:rPr>
        <w:t>Journal of Advances in Biology &amp; Biotechnology, 27</w:t>
      </w:r>
      <w:r w:rsidRPr="00333C4B">
        <w:rPr>
          <w:rFonts w:ascii="Times New Roman" w:eastAsia="Times New Roman" w:hAnsi="Times New Roman" w:cs="Times New Roman"/>
          <w:sz w:val="24"/>
          <w:szCs w:val="24"/>
          <w:lang w:val="en-IN"/>
        </w:rPr>
        <w:t>(10), 331–341.</w:t>
      </w:r>
    </w:p>
    <w:p w14:paraId="2D6D5B54" w14:textId="77777777" w:rsidR="00D23C60" w:rsidRPr="00333C4B" w:rsidRDefault="00D23C60" w:rsidP="00D23C60">
      <w:pPr>
        <w:pStyle w:val="Body"/>
        <w:spacing w:after="0" w:line="480" w:lineRule="auto"/>
        <w:ind w:left="1457" w:hanging="720"/>
        <w:jc w:val="both"/>
        <w:rPr>
          <w:rFonts w:ascii="Times New Roman" w:eastAsia="Times New Roman" w:hAnsi="Times New Roman" w:cs="Times New Roman"/>
          <w:sz w:val="24"/>
          <w:szCs w:val="24"/>
          <w:lang w:val="en-IN"/>
        </w:rPr>
      </w:pPr>
      <w:r w:rsidRPr="00333C4B">
        <w:rPr>
          <w:rFonts w:ascii="Times New Roman" w:eastAsia="Times New Roman" w:hAnsi="Times New Roman" w:cs="Times New Roman"/>
          <w:sz w:val="24"/>
          <w:szCs w:val="24"/>
          <w:lang w:val="en-IN"/>
        </w:rPr>
        <w:t>Prajapati, D.K., Verma, L., Tripathi, A., Yadav, A.P. and Lavanya, G.R. 2025. Studies on genetic variability and character association in Indian mustard (</w:t>
      </w:r>
      <w:r w:rsidRPr="00333C4B">
        <w:rPr>
          <w:rFonts w:ascii="Times New Roman" w:eastAsia="Times New Roman" w:hAnsi="Times New Roman" w:cs="Times New Roman"/>
          <w:i/>
          <w:iCs/>
          <w:sz w:val="24"/>
          <w:szCs w:val="24"/>
          <w:lang w:val="en-IN"/>
        </w:rPr>
        <w:t xml:space="preserve">Brassica </w:t>
      </w:r>
      <w:proofErr w:type="spellStart"/>
      <w:r w:rsidRPr="00333C4B">
        <w:rPr>
          <w:rFonts w:ascii="Times New Roman" w:eastAsia="Times New Roman" w:hAnsi="Times New Roman" w:cs="Times New Roman"/>
          <w:i/>
          <w:iCs/>
          <w:sz w:val="24"/>
          <w:szCs w:val="24"/>
          <w:lang w:val="en-IN"/>
        </w:rPr>
        <w:t>juncea</w:t>
      </w:r>
      <w:proofErr w:type="spellEnd"/>
      <w:r w:rsidRPr="00333C4B">
        <w:rPr>
          <w:rFonts w:ascii="Times New Roman" w:eastAsia="Times New Roman" w:hAnsi="Times New Roman" w:cs="Times New Roman"/>
          <w:sz w:val="24"/>
          <w:szCs w:val="24"/>
          <w:lang w:val="en-IN"/>
        </w:rPr>
        <w:t xml:space="preserve"> L.). </w:t>
      </w:r>
      <w:r w:rsidRPr="00333C4B">
        <w:rPr>
          <w:rFonts w:ascii="Times New Roman" w:eastAsia="Times New Roman" w:hAnsi="Times New Roman" w:cs="Times New Roman"/>
          <w:i/>
          <w:iCs/>
          <w:sz w:val="24"/>
          <w:szCs w:val="24"/>
          <w:lang w:val="en-IN"/>
        </w:rPr>
        <w:t>Journal of Advances in Biology &amp; Biotechnology.</w:t>
      </w:r>
      <w:r w:rsidRPr="00333C4B">
        <w:rPr>
          <w:rFonts w:ascii="Times New Roman" w:eastAsia="Times New Roman" w:hAnsi="Times New Roman" w:cs="Times New Roman"/>
          <w:sz w:val="24"/>
          <w:szCs w:val="24"/>
          <w:lang w:val="en-IN"/>
        </w:rPr>
        <w:t xml:space="preserve"> 28(5): 245-252.</w:t>
      </w:r>
    </w:p>
    <w:p w14:paraId="57557217" w14:textId="77777777" w:rsidR="00D23C60" w:rsidRPr="00333C4B" w:rsidRDefault="00D23C60" w:rsidP="00D23C60">
      <w:pPr>
        <w:pStyle w:val="Body"/>
        <w:spacing w:after="0" w:line="480" w:lineRule="auto"/>
        <w:ind w:left="1457" w:hanging="720"/>
        <w:jc w:val="both"/>
        <w:rPr>
          <w:rFonts w:ascii="Times New Roman" w:eastAsia="Times New Roman" w:hAnsi="Times New Roman" w:cs="Times New Roman"/>
          <w:sz w:val="24"/>
          <w:szCs w:val="24"/>
          <w:lang w:val="en-IN"/>
        </w:rPr>
      </w:pPr>
      <w:r w:rsidRPr="00333C4B">
        <w:rPr>
          <w:rFonts w:ascii="Times New Roman" w:eastAsia="Times New Roman" w:hAnsi="Times New Roman" w:cs="Times New Roman"/>
          <w:sz w:val="24"/>
          <w:szCs w:val="24"/>
          <w:lang w:val="en-IN"/>
        </w:rPr>
        <w:t xml:space="preserve">Prajapati, R., Singh, V., Kumar, M., &amp; Verma, O. P. (2025). Assessment of genetic parameters for seed yield and related traits in Indian mustard. </w:t>
      </w:r>
      <w:r w:rsidRPr="00333C4B">
        <w:rPr>
          <w:rFonts w:ascii="Times New Roman" w:eastAsia="Times New Roman" w:hAnsi="Times New Roman" w:cs="Times New Roman"/>
          <w:i/>
          <w:iCs/>
          <w:sz w:val="24"/>
          <w:szCs w:val="24"/>
          <w:lang w:val="en-IN"/>
        </w:rPr>
        <w:t>Journal of Applied and Basic Biology, 9</w:t>
      </w:r>
      <w:r w:rsidRPr="00333C4B">
        <w:rPr>
          <w:rFonts w:ascii="Times New Roman" w:eastAsia="Times New Roman" w:hAnsi="Times New Roman" w:cs="Times New Roman"/>
          <w:sz w:val="24"/>
          <w:szCs w:val="24"/>
          <w:lang w:val="en-IN"/>
        </w:rPr>
        <w:t>(2), 45–52.</w:t>
      </w:r>
    </w:p>
    <w:p w14:paraId="0406CEA0" w14:textId="45CECDBF" w:rsidR="00D23C60" w:rsidRPr="00333C4B" w:rsidRDefault="00D23C60" w:rsidP="00D23C60">
      <w:pPr>
        <w:pStyle w:val="Body"/>
        <w:spacing w:after="0" w:line="480" w:lineRule="auto"/>
        <w:ind w:left="1457" w:hanging="720"/>
        <w:jc w:val="both"/>
        <w:rPr>
          <w:rFonts w:ascii="Times New Roman" w:eastAsia="Times New Roman" w:hAnsi="Times New Roman" w:cs="Times New Roman"/>
          <w:sz w:val="24"/>
          <w:szCs w:val="24"/>
          <w:lang w:val="en-IN"/>
        </w:rPr>
      </w:pPr>
      <w:r w:rsidRPr="00333C4B">
        <w:rPr>
          <w:rFonts w:ascii="Times New Roman" w:eastAsia="Times New Roman" w:hAnsi="Times New Roman" w:cs="Times New Roman"/>
          <w:sz w:val="24"/>
          <w:szCs w:val="24"/>
          <w:lang w:val="en-IN"/>
        </w:rPr>
        <w:t xml:space="preserve">Rout, S., Roy, S. K., Mandal, R., Singla, S., Rahimi, M., Sur, B., </w:t>
      </w:r>
      <w:proofErr w:type="spellStart"/>
      <w:r w:rsidRPr="00333C4B">
        <w:rPr>
          <w:rFonts w:ascii="Times New Roman" w:eastAsia="Times New Roman" w:hAnsi="Times New Roman" w:cs="Times New Roman"/>
          <w:sz w:val="24"/>
          <w:szCs w:val="24"/>
          <w:lang w:val="en-IN"/>
        </w:rPr>
        <w:t>Umamaheswar</w:t>
      </w:r>
      <w:proofErr w:type="spellEnd"/>
      <w:r w:rsidRPr="00333C4B">
        <w:rPr>
          <w:rFonts w:ascii="Times New Roman" w:eastAsia="Times New Roman" w:hAnsi="Times New Roman" w:cs="Times New Roman"/>
          <w:sz w:val="24"/>
          <w:szCs w:val="24"/>
          <w:lang w:val="en-IN"/>
        </w:rPr>
        <w:t xml:space="preserve">, N., Chakraborty, M., </w:t>
      </w:r>
      <w:proofErr w:type="spellStart"/>
      <w:r w:rsidRPr="00333C4B">
        <w:rPr>
          <w:rFonts w:ascii="Times New Roman" w:eastAsia="Times New Roman" w:hAnsi="Times New Roman" w:cs="Times New Roman"/>
          <w:sz w:val="24"/>
          <w:szCs w:val="24"/>
          <w:lang w:val="en-IN"/>
        </w:rPr>
        <w:t>Hijam</w:t>
      </w:r>
      <w:proofErr w:type="spellEnd"/>
      <w:r w:rsidRPr="00333C4B">
        <w:rPr>
          <w:rFonts w:ascii="Times New Roman" w:eastAsia="Times New Roman" w:hAnsi="Times New Roman" w:cs="Times New Roman"/>
          <w:sz w:val="24"/>
          <w:szCs w:val="24"/>
          <w:lang w:val="en-IN"/>
        </w:rPr>
        <w:t xml:space="preserve">, L., Nath, S., Debnath, M. K., &amp; </w:t>
      </w:r>
      <w:proofErr w:type="spellStart"/>
      <w:r w:rsidRPr="00333C4B">
        <w:rPr>
          <w:rFonts w:ascii="Times New Roman" w:eastAsia="Times New Roman" w:hAnsi="Times New Roman" w:cs="Times New Roman"/>
          <w:sz w:val="24"/>
          <w:szCs w:val="24"/>
          <w:lang w:val="en-IN"/>
        </w:rPr>
        <w:t>Ghimiray</w:t>
      </w:r>
      <w:proofErr w:type="spellEnd"/>
      <w:r w:rsidRPr="00333C4B">
        <w:rPr>
          <w:rFonts w:ascii="Times New Roman" w:eastAsia="Times New Roman" w:hAnsi="Times New Roman" w:cs="Times New Roman"/>
          <w:sz w:val="24"/>
          <w:szCs w:val="24"/>
          <w:lang w:val="en-IN"/>
        </w:rPr>
        <w:t xml:space="preserve">, T. S. (2025). Genetic analysis and heterosis breeding of seed yield and yield-attributing traits in Indian mustard (Brassica </w:t>
      </w:r>
      <w:proofErr w:type="spellStart"/>
      <w:r w:rsidRPr="00333C4B">
        <w:rPr>
          <w:rFonts w:ascii="Times New Roman" w:eastAsia="Times New Roman" w:hAnsi="Times New Roman" w:cs="Times New Roman"/>
          <w:sz w:val="24"/>
          <w:szCs w:val="24"/>
          <w:lang w:val="en-IN"/>
        </w:rPr>
        <w:t>juncea</w:t>
      </w:r>
      <w:proofErr w:type="spellEnd"/>
      <w:r w:rsidRPr="00333C4B">
        <w:rPr>
          <w:rFonts w:ascii="Times New Roman" w:eastAsia="Times New Roman" w:hAnsi="Times New Roman" w:cs="Times New Roman"/>
          <w:sz w:val="24"/>
          <w:szCs w:val="24"/>
          <w:lang w:val="en-IN"/>
        </w:rPr>
        <w:t xml:space="preserve"> (L.) </w:t>
      </w:r>
      <w:proofErr w:type="spellStart"/>
      <w:r w:rsidRPr="00333C4B">
        <w:rPr>
          <w:rFonts w:ascii="Times New Roman" w:eastAsia="Times New Roman" w:hAnsi="Times New Roman" w:cs="Times New Roman"/>
          <w:sz w:val="24"/>
          <w:szCs w:val="24"/>
          <w:lang w:val="en-IN"/>
        </w:rPr>
        <w:t>Czern</w:t>
      </w:r>
      <w:proofErr w:type="spellEnd"/>
      <w:r w:rsidRPr="00333C4B">
        <w:rPr>
          <w:rFonts w:ascii="Times New Roman" w:eastAsia="Times New Roman" w:hAnsi="Times New Roman" w:cs="Times New Roman"/>
          <w:sz w:val="24"/>
          <w:szCs w:val="24"/>
          <w:lang w:val="en-IN"/>
        </w:rPr>
        <w:t xml:space="preserve"> &amp; </w:t>
      </w:r>
      <w:proofErr w:type="spellStart"/>
      <w:r w:rsidRPr="00333C4B">
        <w:rPr>
          <w:rFonts w:ascii="Times New Roman" w:eastAsia="Times New Roman" w:hAnsi="Times New Roman" w:cs="Times New Roman"/>
          <w:sz w:val="24"/>
          <w:szCs w:val="24"/>
          <w:lang w:val="en-IN"/>
        </w:rPr>
        <w:t>Coss</w:t>
      </w:r>
      <w:proofErr w:type="spellEnd"/>
      <w:r w:rsidRPr="00333C4B">
        <w:rPr>
          <w:rFonts w:ascii="Times New Roman" w:eastAsia="Times New Roman" w:hAnsi="Times New Roman" w:cs="Times New Roman"/>
          <w:sz w:val="24"/>
          <w:szCs w:val="24"/>
          <w:lang w:val="en-IN"/>
        </w:rPr>
        <w:t xml:space="preserve">.). Scientific Reports, 15, 2911. </w:t>
      </w:r>
    </w:p>
    <w:p w14:paraId="143183AE" w14:textId="77777777" w:rsidR="00D23C60" w:rsidRPr="00333C4B" w:rsidRDefault="00D23C60" w:rsidP="00D23C60">
      <w:pPr>
        <w:pStyle w:val="Body"/>
        <w:spacing w:after="0" w:line="480" w:lineRule="auto"/>
        <w:ind w:left="1457" w:hanging="720"/>
        <w:jc w:val="both"/>
        <w:rPr>
          <w:rFonts w:ascii="Times New Roman" w:eastAsia="Times New Roman" w:hAnsi="Times New Roman" w:cs="Times New Roman"/>
          <w:sz w:val="24"/>
          <w:szCs w:val="24"/>
          <w:lang w:val="en-IN"/>
        </w:rPr>
      </w:pPr>
      <w:r w:rsidRPr="00333C4B">
        <w:rPr>
          <w:rFonts w:ascii="Times New Roman" w:eastAsia="Times New Roman" w:hAnsi="Times New Roman" w:cs="Times New Roman"/>
          <w:sz w:val="24"/>
          <w:szCs w:val="24"/>
          <w:lang w:val="en-IN"/>
        </w:rPr>
        <w:t>Tiwari, A., Kumar, A., Singh, D., Tripathi, P., Singh, S., Kumar, A. and Kumar, A. 2025. Genetic variability and improvement in Indian mustard (</w:t>
      </w:r>
      <w:r w:rsidRPr="00333C4B">
        <w:rPr>
          <w:rFonts w:ascii="Times New Roman" w:eastAsia="Times New Roman" w:hAnsi="Times New Roman" w:cs="Times New Roman"/>
          <w:i/>
          <w:iCs/>
          <w:sz w:val="24"/>
          <w:szCs w:val="24"/>
          <w:lang w:val="en-IN"/>
        </w:rPr>
        <w:t xml:space="preserve">Brassica </w:t>
      </w:r>
      <w:proofErr w:type="spellStart"/>
      <w:r w:rsidRPr="00333C4B">
        <w:rPr>
          <w:rFonts w:ascii="Times New Roman" w:eastAsia="Times New Roman" w:hAnsi="Times New Roman" w:cs="Times New Roman"/>
          <w:i/>
          <w:iCs/>
          <w:sz w:val="24"/>
          <w:szCs w:val="24"/>
          <w:lang w:val="en-IN"/>
        </w:rPr>
        <w:t>juncea</w:t>
      </w:r>
      <w:proofErr w:type="spellEnd"/>
      <w:r w:rsidRPr="00333C4B">
        <w:rPr>
          <w:rFonts w:ascii="Times New Roman" w:eastAsia="Times New Roman" w:hAnsi="Times New Roman" w:cs="Times New Roman"/>
          <w:sz w:val="24"/>
          <w:szCs w:val="24"/>
          <w:lang w:val="en-IN"/>
        </w:rPr>
        <w:t xml:space="preserve"> L.). </w:t>
      </w:r>
      <w:r w:rsidRPr="00333C4B">
        <w:rPr>
          <w:rFonts w:ascii="Times New Roman" w:eastAsia="Times New Roman" w:hAnsi="Times New Roman" w:cs="Times New Roman"/>
          <w:i/>
          <w:iCs/>
          <w:sz w:val="24"/>
          <w:szCs w:val="24"/>
          <w:lang w:val="en-IN"/>
        </w:rPr>
        <w:t>Journal of Advances in Biology &amp; Biotechnology.</w:t>
      </w:r>
      <w:r w:rsidRPr="00333C4B">
        <w:rPr>
          <w:rFonts w:ascii="Times New Roman" w:eastAsia="Times New Roman" w:hAnsi="Times New Roman" w:cs="Times New Roman"/>
          <w:sz w:val="24"/>
          <w:szCs w:val="24"/>
          <w:lang w:val="en-IN"/>
        </w:rPr>
        <w:t xml:space="preserve"> 28(10): 591-606.</w:t>
      </w:r>
    </w:p>
    <w:p w14:paraId="4A955C7D" w14:textId="77777777" w:rsidR="00D23C60" w:rsidRPr="00333C4B" w:rsidRDefault="00D23C60" w:rsidP="00D23C60">
      <w:pPr>
        <w:pStyle w:val="Body"/>
        <w:spacing w:after="0" w:line="480" w:lineRule="auto"/>
        <w:ind w:left="1457" w:hanging="720"/>
        <w:jc w:val="both"/>
        <w:rPr>
          <w:rFonts w:ascii="Times New Roman" w:eastAsia="Times New Roman" w:hAnsi="Times New Roman" w:cs="Times New Roman"/>
          <w:sz w:val="24"/>
          <w:szCs w:val="24"/>
          <w:lang w:val="en-IN"/>
        </w:rPr>
      </w:pPr>
      <w:r w:rsidRPr="00333C4B">
        <w:rPr>
          <w:rFonts w:ascii="Times New Roman" w:eastAsia="Times New Roman" w:hAnsi="Times New Roman" w:cs="Times New Roman"/>
          <w:sz w:val="24"/>
          <w:szCs w:val="24"/>
          <w:lang w:val="en-IN"/>
        </w:rPr>
        <w:t xml:space="preserve">Yadava, D. K., </w:t>
      </w:r>
      <w:proofErr w:type="spellStart"/>
      <w:r w:rsidRPr="00333C4B">
        <w:rPr>
          <w:rFonts w:ascii="Times New Roman" w:eastAsia="Times New Roman" w:hAnsi="Times New Roman" w:cs="Times New Roman"/>
          <w:sz w:val="24"/>
          <w:szCs w:val="24"/>
          <w:lang w:val="en-IN"/>
        </w:rPr>
        <w:t>Giri</w:t>
      </w:r>
      <w:proofErr w:type="spellEnd"/>
      <w:r w:rsidRPr="00333C4B">
        <w:rPr>
          <w:rFonts w:ascii="Times New Roman" w:eastAsia="Times New Roman" w:hAnsi="Times New Roman" w:cs="Times New Roman"/>
          <w:sz w:val="24"/>
          <w:szCs w:val="24"/>
          <w:lang w:val="en-IN"/>
        </w:rPr>
        <w:t xml:space="preserve">, S. C., Vignesh, M., Vasudev, S., Yadav, A. K., </w:t>
      </w:r>
      <w:proofErr w:type="spellStart"/>
      <w:r w:rsidRPr="00333C4B">
        <w:rPr>
          <w:rFonts w:ascii="Times New Roman" w:eastAsia="Times New Roman" w:hAnsi="Times New Roman" w:cs="Times New Roman"/>
          <w:sz w:val="24"/>
          <w:szCs w:val="24"/>
          <w:lang w:val="en-IN"/>
        </w:rPr>
        <w:t>Dass</w:t>
      </w:r>
      <w:proofErr w:type="spellEnd"/>
      <w:r w:rsidRPr="00333C4B">
        <w:rPr>
          <w:rFonts w:ascii="Times New Roman" w:eastAsia="Times New Roman" w:hAnsi="Times New Roman" w:cs="Times New Roman"/>
          <w:sz w:val="24"/>
          <w:szCs w:val="24"/>
          <w:lang w:val="en-IN"/>
        </w:rPr>
        <w:t xml:space="preserve">, B., Singh, R., Singh, N., Mohapatra, T., &amp; </w:t>
      </w:r>
      <w:proofErr w:type="spellStart"/>
      <w:r w:rsidRPr="00333C4B">
        <w:rPr>
          <w:rFonts w:ascii="Times New Roman" w:eastAsia="Times New Roman" w:hAnsi="Times New Roman" w:cs="Times New Roman"/>
          <w:sz w:val="24"/>
          <w:szCs w:val="24"/>
          <w:lang w:val="en-IN"/>
        </w:rPr>
        <w:t>Prabhu</w:t>
      </w:r>
      <w:proofErr w:type="spellEnd"/>
      <w:r w:rsidRPr="00333C4B">
        <w:rPr>
          <w:rFonts w:ascii="Times New Roman" w:eastAsia="Times New Roman" w:hAnsi="Times New Roman" w:cs="Times New Roman"/>
          <w:sz w:val="24"/>
          <w:szCs w:val="24"/>
          <w:lang w:val="en-IN"/>
        </w:rPr>
        <w:t xml:space="preserve">, K. V. (2011). Genetic variability and </w:t>
      </w:r>
      <w:r w:rsidRPr="00333C4B">
        <w:rPr>
          <w:rFonts w:ascii="Times New Roman" w:eastAsia="Times New Roman" w:hAnsi="Times New Roman" w:cs="Times New Roman"/>
          <w:sz w:val="24"/>
          <w:szCs w:val="24"/>
          <w:lang w:val="en-IN"/>
        </w:rPr>
        <w:lastRenderedPageBreak/>
        <w:t>trait association studies in Indian mustard (</w:t>
      </w:r>
      <w:r w:rsidRPr="00333C4B">
        <w:rPr>
          <w:rFonts w:ascii="Times New Roman" w:eastAsia="Times New Roman" w:hAnsi="Times New Roman" w:cs="Times New Roman"/>
          <w:i/>
          <w:iCs/>
          <w:sz w:val="24"/>
          <w:szCs w:val="24"/>
          <w:lang w:val="en-IN"/>
        </w:rPr>
        <w:t xml:space="preserve">Brassica </w:t>
      </w:r>
      <w:proofErr w:type="spellStart"/>
      <w:r w:rsidRPr="00333C4B">
        <w:rPr>
          <w:rFonts w:ascii="Times New Roman" w:eastAsia="Times New Roman" w:hAnsi="Times New Roman" w:cs="Times New Roman"/>
          <w:i/>
          <w:iCs/>
          <w:sz w:val="24"/>
          <w:szCs w:val="24"/>
          <w:lang w:val="en-IN"/>
        </w:rPr>
        <w:t>juncea</w:t>
      </w:r>
      <w:proofErr w:type="spellEnd"/>
      <w:r w:rsidRPr="00333C4B">
        <w:rPr>
          <w:rFonts w:ascii="Times New Roman" w:eastAsia="Times New Roman" w:hAnsi="Times New Roman" w:cs="Times New Roman"/>
          <w:sz w:val="24"/>
          <w:szCs w:val="24"/>
          <w:lang w:val="en-IN"/>
        </w:rPr>
        <w:t xml:space="preserve">). </w:t>
      </w:r>
      <w:r w:rsidRPr="00333C4B">
        <w:rPr>
          <w:rFonts w:ascii="Times New Roman" w:eastAsia="Times New Roman" w:hAnsi="Times New Roman" w:cs="Times New Roman"/>
          <w:i/>
          <w:iCs/>
          <w:sz w:val="24"/>
          <w:szCs w:val="24"/>
          <w:lang w:val="en-IN"/>
        </w:rPr>
        <w:t>The Indian Journal of Agricultural Sciences, 81</w:t>
      </w:r>
      <w:r w:rsidRPr="00333C4B">
        <w:rPr>
          <w:rFonts w:ascii="Times New Roman" w:eastAsia="Times New Roman" w:hAnsi="Times New Roman" w:cs="Times New Roman"/>
          <w:sz w:val="24"/>
          <w:szCs w:val="24"/>
          <w:lang w:val="en-IN"/>
        </w:rPr>
        <w:t xml:space="preserve">(8). </w:t>
      </w:r>
    </w:p>
    <w:p w14:paraId="5F09FCAD" w14:textId="77777777" w:rsidR="00D23C60" w:rsidRPr="00333C4B" w:rsidRDefault="00D23C60" w:rsidP="00D23C60">
      <w:pPr>
        <w:pStyle w:val="Body"/>
        <w:spacing w:after="0" w:line="480" w:lineRule="auto"/>
        <w:ind w:left="1457" w:hanging="720"/>
        <w:rPr>
          <w:rFonts w:ascii="Times New Roman" w:eastAsia="Times New Roman" w:hAnsi="Times New Roman" w:cs="Times New Roman"/>
          <w:sz w:val="24"/>
          <w:szCs w:val="24"/>
          <w:lang w:val="en-IN"/>
        </w:rPr>
      </w:pPr>
    </w:p>
    <w:p w14:paraId="1D2F6DD0" w14:textId="77777777" w:rsidR="00D23C60" w:rsidRPr="00333C4B" w:rsidRDefault="00D23C60" w:rsidP="00D23C60">
      <w:pPr>
        <w:pStyle w:val="Body"/>
        <w:spacing w:after="0" w:line="480" w:lineRule="auto"/>
        <w:ind w:left="1457" w:hanging="720"/>
        <w:rPr>
          <w:rFonts w:ascii="Times New Roman" w:eastAsia="Times New Roman" w:hAnsi="Times New Roman" w:cs="Times New Roman"/>
          <w:sz w:val="24"/>
          <w:szCs w:val="24"/>
          <w:lang w:val="en-IN"/>
        </w:rPr>
      </w:pPr>
    </w:p>
    <w:p w14:paraId="1A7943B6" w14:textId="77777777" w:rsidR="00D23C60" w:rsidRDefault="00D23C60" w:rsidP="000A127C">
      <w:pPr>
        <w:rPr>
          <w:rFonts w:ascii="Times New Roman" w:hAnsi="Times New Roman" w:cs="Times New Roman"/>
          <w:b/>
          <w:bCs/>
          <w:sz w:val="24"/>
          <w:szCs w:val="24"/>
          <w:lang w:val="en-US"/>
        </w:rPr>
      </w:pPr>
    </w:p>
    <w:p w14:paraId="553F77DA" w14:textId="77777777" w:rsidR="000A127C" w:rsidRPr="00637919" w:rsidRDefault="000A127C" w:rsidP="000A127C">
      <w:pPr>
        <w:pStyle w:val="ListParagraph"/>
        <w:rPr>
          <w:rFonts w:ascii="Times New Roman" w:hAnsi="Times New Roman" w:cs="Times New Roman"/>
          <w:sz w:val="24"/>
          <w:szCs w:val="24"/>
        </w:rPr>
      </w:pPr>
      <w:bookmarkStart w:id="2" w:name="_Hlk225861528"/>
    </w:p>
    <w:p w14:paraId="6120CE3F" w14:textId="77777777" w:rsidR="00557B72" w:rsidRPr="00192732" w:rsidRDefault="00557B72" w:rsidP="009905E6">
      <w:pPr>
        <w:spacing w:line="360" w:lineRule="auto"/>
        <w:jc w:val="both"/>
        <w:rPr>
          <w:rFonts w:ascii="Times New Roman" w:hAnsi="Times New Roman" w:cs="Times New Roman"/>
          <w:color w:val="000000" w:themeColor="text1"/>
          <w:sz w:val="24"/>
          <w:szCs w:val="24"/>
        </w:rPr>
      </w:pPr>
    </w:p>
    <w:p w14:paraId="11A1CCDF" w14:textId="77777777" w:rsidR="00E539E5" w:rsidRDefault="00E539E5" w:rsidP="00535A2D">
      <w:pPr>
        <w:widowControl w:val="0"/>
        <w:spacing w:after="0" w:line="480" w:lineRule="auto"/>
        <w:rPr>
          <w:rFonts w:ascii="Times New Roman" w:hAnsi="Times New Roman"/>
          <w:b/>
          <w:sz w:val="24"/>
          <w:szCs w:val="24"/>
        </w:rPr>
      </w:pPr>
    </w:p>
    <w:p w14:paraId="1D164311" w14:textId="77777777" w:rsidR="00E539E5" w:rsidRDefault="00E539E5" w:rsidP="00535A2D">
      <w:pPr>
        <w:widowControl w:val="0"/>
        <w:spacing w:after="0" w:line="480" w:lineRule="auto"/>
        <w:rPr>
          <w:rFonts w:ascii="Times New Roman" w:hAnsi="Times New Roman"/>
          <w:b/>
          <w:sz w:val="24"/>
          <w:szCs w:val="24"/>
        </w:rPr>
        <w:sectPr w:rsidR="00E539E5" w:rsidSect="00171BF4">
          <w:headerReference w:type="even" r:id="rId8"/>
          <w:headerReference w:type="default" r:id="rId9"/>
          <w:headerReference w:type="first" r:id="rId10"/>
          <w:pgSz w:w="11906" w:h="16838" w:code="9"/>
          <w:pgMar w:top="1440" w:right="1440" w:bottom="1440" w:left="1440" w:header="709" w:footer="709" w:gutter="0"/>
          <w:cols w:space="708"/>
          <w:docGrid w:linePitch="360"/>
        </w:sectPr>
      </w:pPr>
    </w:p>
    <w:p w14:paraId="212DBF1C" w14:textId="3D313D79" w:rsidR="00E539E5" w:rsidRPr="00E539E5" w:rsidRDefault="00535A2D" w:rsidP="00535A2D">
      <w:pPr>
        <w:widowControl w:val="0"/>
        <w:spacing w:after="0" w:line="480" w:lineRule="auto"/>
        <w:rPr>
          <w:rFonts w:ascii="Times New Roman" w:hAnsi="Times New Roman" w:cs="Times New Roman"/>
          <w:sz w:val="24"/>
          <w:szCs w:val="24"/>
          <w:lang w:val="en-US"/>
        </w:rPr>
      </w:pPr>
      <w:r w:rsidRPr="004F5B42">
        <w:rPr>
          <w:rFonts w:ascii="Times New Roman" w:hAnsi="Times New Roman"/>
          <w:b/>
          <w:sz w:val="24"/>
          <w:szCs w:val="24"/>
        </w:rPr>
        <w:lastRenderedPageBreak/>
        <w:t>Table 1</w:t>
      </w:r>
      <w:r w:rsidR="002754EA">
        <w:rPr>
          <w:rFonts w:ascii="Times New Roman" w:hAnsi="Times New Roman"/>
          <w:b/>
          <w:sz w:val="24"/>
          <w:szCs w:val="24"/>
        </w:rPr>
        <w:t>:</w:t>
      </w:r>
      <w:r w:rsidRPr="004F5B42">
        <w:rPr>
          <w:rFonts w:ascii="Times New Roman" w:hAnsi="Times New Roman"/>
          <w:b/>
          <w:sz w:val="24"/>
          <w:szCs w:val="24"/>
        </w:rPr>
        <w:t xml:space="preserve"> </w:t>
      </w:r>
      <w:r w:rsidR="002754EA" w:rsidRPr="00A4130C">
        <w:rPr>
          <w:rFonts w:ascii="Times New Roman" w:hAnsi="Times New Roman" w:cs="Times New Roman"/>
          <w:sz w:val="24"/>
          <w:szCs w:val="24"/>
          <w:lang w:val="en-US"/>
        </w:rPr>
        <w:t xml:space="preserve">Analysis of variance for 15 characters in Indian </w:t>
      </w:r>
      <w:bookmarkEnd w:id="2"/>
      <w:r w:rsidR="002754EA" w:rsidRPr="00A4130C">
        <w:rPr>
          <w:rFonts w:ascii="Times New Roman" w:hAnsi="Times New Roman" w:cs="Times New Roman"/>
          <w:sz w:val="24"/>
          <w:szCs w:val="24"/>
          <w:lang w:val="en-US"/>
        </w:rPr>
        <w:t>mustard</w:t>
      </w:r>
    </w:p>
    <w:tbl>
      <w:tblPr>
        <w:tblW w:w="14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4"/>
        <w:gridCol w:w="516"/>
        <w:gridCol w:w="866"/>
        <w:gridCol w:w="966"/>
        <w:gridCol w:w="952"/>
        <w:gridCol w:w="766"/>
        <w:gridCol w:w="866"/>
        <w:gridCol w:w="1066"/>
        <w:gridCol w:w="966"/>
        <w:gridCol w:w="766"/>
        <w:gridCol w:w="1066"/>
        <w:gridCol w:w="766"/>
        <w:gridCol w:w="766"/>
        <w:gridCol w:w="1066"/>
        <w:gridCol w:w="959"/>
        <w:gridCol w:w="966"/>
        <w:gridCol w:w="766"/>
      </w:tblGrid>
      <w:tr w:rsidR="00A4130C" w:rsidRPr="00A4130C" w14:paraId="0558A44D" w14:textId="51C28D18" w:rsidTr="00A4130C">
        <w:trPr>
          <w:cantSplit/>
          <w:trHeight w:val="587"/>
        </w:trPr>
        <w:tc>
          <w:tcPr>
            <w:tcW w:w="0" w:type="auto"/>
            <w:tcBorders>
              <w:top w:val="single" w:sz="4" w:space="0" w:color="auto"/>
              <w:right w:val="single" w:sz="4" w:space="0" w:color="auto"/>
            </w:tcBorders>
            <w:vAlign w:val="center"/>
          </w:tcPr>
          <w:p w14:paraId="25F31E9B" w14:textId="466D514F" w:rsidR="005512FE" w:rsidRPr="00A4130C" w:rsidRDefault="005512FE" w:rsidP="00A4130C">
            <w:pPr>
              <w:spacing w:after="0" w:line="240" w:lineRule="auto"/>
              <w:jc w:val="center"/>
              <w:rPr>
                <w:rFonts w:ascii="Times New Roman" w:hAnsi="Times New Roman" w:cs="Times New Roman"/>
                <w:b/>
                <w:sz w:val="20"/>
                <w:szCs w:val="20"/>
              </w:rPr>
            </w:pPr>
            <w:r w:rsidRPr="00A4130C">
              <w:rPr>
                <w:rFonts w:ascii="Times New Roman" w:hAnsi="Times New Roman" w:cs="Times New Roman"/>
                <w:b/>
                <w:sz w:val="20"/>
                <w:szCs w:val="20"/>
              </w:rPr>
              <w:t>Source of variation</w:t>
            </w:r>
          </w:p>
        </w:tc>
        <w:tc>
          <w:tcPr>
            <w:tcW w:w="0" w:type="auto"/>
            <w:tcBorders>
              <w:top w:val="single" w:sz="4" w:space="0" w:color="auto"/>
              <w:right w:val="single" w:sz="4" w:space="0" w:color="auto"/>
            </w:tcBorders>
            <w:vAlign w:val="center"/>
          </w:tcPr>
          <w:p w14:paraId="7AE9E96F" w14:textId="478D9A32" w:rsidR="005512FE" w:rsidRPr="00A4130C" w:rsidRDefault="00FF1DDA" w:rsidP="00A4130C">
            <w:pPr>
              <w:spacing w:after="0" w:line="240" w:lineRule="auto"/>
              <w:jc w:val="center"/>
              <w:rPr>
                <w:rFonts w:ascii="Times New Roman" w:hAnsi="Times New Roman" w:cs="Times New Roman"/>
                <w:b/>
                <w:bCs/>
                <w:sz w:val="20"/>
                <w:szCs w:val="20"/>
              </w:rPr>
            </w:pPr>
            <w:r w:rsidRPr="00A4130C">
              <w:rPr>
                <w:rFonts w:ascii="Times New Roman" w:hAnsi="Times New Roman" w:cs="Times New Roman"/>
                <w:b/>
                <w:bCs/>
                <w:sz w:val="20"/>
                <w:szCs w:val="20"/>
              </w:rPr>
              <w:t>D</w:t>
            </w:r>
            <w:r w:rsidR="005512FE" w:rsidRPr="00A4130C">
              <w:rPr>
                <w:rFonts w:ascii="Times New Roman" w:hAnsi="Times New Roman" w:cs="Times New Roman"/>
                <w:b/>
                <w:bCs/>
                <w:sz w:val="20"/>
                <w:szCs w:val="20"/>
              </w:rPr>
              <w:t>f</w:t>
            </w:r>
          </w:p>
        </w:tc>
        <w:tc>
          <w:tcPr>
            <w:tcW w:w="0" w:type="auto"/>
            <w:vAlign w:val="center"/>
          </w:tcPr>
          <w:p w14:paraId="7AAD5250" w14:textId="78E3F4E7"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DF1</w:t>
            </w:r>
          </w:p>
        </w:tc>
        <w:tc>
          <w:tcPr>
            <w:tcW w:w="0" w:type="auto"/>
            <w:vAlign w:val="center"/>
          </w:tcPr>
          <w:p w14:paraId="663BC52A" w14:textId="4D5BC7BF"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DF2</w:t>
            </w:r>
          </w:p>
        </w:tc>
        <w:tc>
          <w:tcPr>
            <w:tcW w:w="0" w:type="auto"/>
            <w:vAlign w:val="center"/>
          </w:tcPr>
          <w:p w14:paraId="1E07D113" w14:textId="68147762"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DM</w:t>
            </w:r>
          </w:p>
        </w:tc>
        <w:tc>
          <w:tcPr>
            <w:tcW w:w="0" w:type="auto"/>
            <w:vAlign w:val="center"/>
          </w:tcPr>
          <w:p w14:paraId="2CEC8033" w14:textId="012EB8E4"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NPB</w:t>
            </w:r>
          </w:p>
        </w:tc>
        <w:tc>
          <w:tcPr>
            <w:tcW w:w="0" w:type="auto"/>
            <w:vAlign w:val="center"/>
          </w:tcPr>
          <w:p w14:paraId="07FEE425" w14:textId="441BC1E6"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NSB</w:t>
            </w:r>
          </w:p>
        </w:tc>
        <w:tc>
          <w:tcPr>
            <w:tcW w:w="0" w:type="auto"/>
            <w:vAlign w:val="center"/>
          </w:tcPr>
          <w:p w14:paraId="58831B15" w14:textId="217741E2"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 xml:space="preserve">PH </w:t>
            </w:r>
          </w:p>
        </w:tc>
        <w:tc>
          <w:tcPr>
            <w:tcW w:w="0" w:type="auto"/>
            <w:vAlign w:val="center"/>
          </w:tcPr>
          <w:p w14:paraId="38B2E4F2" w14:textId="3FB04DBF"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 xml:space="preserve">LMR </w:t>
            </w:r>
          </w:p>
        </w:tc>
        <w:tc>
          <w:tcPr>
            <w:tcW w:w="0" w:type="auto"/>
            <w:vAlign w:val="center"/>
          </w:tcPr>
          <w:p w14:paraId="4205FC78" w14:textId="256729F0"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LAI</w:t>
            </w:r>
          </w:p>
        </w:tc>
        <w:tc>
          <w:tcPr>
            <w:tcW w:w="0" w:type="auto"/>
            <w:vAlign w:val="center"/>
          </w:tcPr>
          <w:p w14:paraId="7AB3584A" w14:textId="3A79A81D"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NSP</w:t>
            </w:r>
          </w:p>
        </w:tc>
        <w:tc>
          <w:tcPr>
            <w:tcW w:w="0" w:type="auto"/>
            <w:vAlign w:val="center"/>
          </w:tcPr>
          <w:p w14:paraId="4D4F00C6" w14:textId="79534E87"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NSS</w:t>
            </w:r>
          </w:p>
        </w:tc>
        <w:tc>
          <w:tcPr>
            <w:tcW w:w="0" w:type="auto"/>
            <w:vAlign w:val="center"/>
          </w:tcPr>
          <w:p w14:paraId="6ADD895D" w14:textId="145107ED"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TSW</w:t>
            </w:r>
          </w:p>
        </w:tc>
        <w:tc>
          <w:tcPr>
            <w:tcW w:w="0" w:type="auto"/>
            <w:vAlign w:val="center"/>
          </w:tcPr>
          <w:p w14:paraId="18B689ED" w14:textId="5FC5E3C4"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 xml:space="preserve">BYP </w:t>
            </w:r>
          </w:p>
        </w:tc>
        <w:tc>
          <w:tcPr>
            <w:tcW w:w="0" w:type="auto"/>
            <w:vAlign w:val="center"/>
          </w:tcPr>
          <w:p w14:paraId="2DD5FD06" w14:textId="52D59E12"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 xml:space="preserve">SYP </w:t>
            </w:r>
          </w:p>
        </w:tc>
        <w:tc>
          <w:tcPr>
            <w:tcW w:w="0" w:type="auto"/>
            <w:vAlign w:val="center"/>
          </w:tcPr>
          <w:p w14:paraId="3F6F80D4" w14:textId="70D3977B"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 xml:space="preserve">HI </w:t>
            </w:r>
          </w:p>
        </w:tc>
        <w:tc>
          <w:tcPr>
            <w:tcW w:w="0" w:type="auto"/>
            <w:vAlign w:val="center"/>
          </w:tcPr>
          <w:p w14:paraId="68E05FB9" w14:textId="54E34F2F" w:rsidR="005512FE" w:rsidRPr="00A4130C" w:rsidRDefault="005512FE" w:rsidP="00A4130C">
            <w:pPr>
              <w:spacing w:after="0" w:line="240" w:lineRule="auto"/>
              <w:jc w:val="center"/>
              <w:rPr>
                <w:rFonts w:ascii="Times New Roman" w:hAnsi="Times New Roman" w:cs="Times New Roman"/>
                <w:b/>
                <w:bCs/>
                <w:color w:val="000000"/>
                <w:sz w:val="20"/>
                <w:szCs w:val="20"/>
              </w:rPr>
            </w:pPr>
            <w:r w:rsidRPr="00A4130C">
              <w:rPr>
                <w:rFonts w:ascii="Times New Roman" w:hAnsi="Times New Roman" w:cs="Times New Roman"/>
                <w:b/>
                <w:bCs/>
                <w:color w:val="000000"/>
                <w:sz w:val="20"/>
                <w:szCs w:val="20"/>
              </w:rPr>
              <w:t xml:space="preserve">OC </w:t>
            </w:r>
          </w:p>
        </w:tc>
      </w:tr>
      <w:tr w:rsidR="00A4130C" w:rsidRPr="00A4130C" w14:paraId="0768A3E2" w14:textId="6ABE5DA4" w:rsidTr="00A4130C">
        <w:trPr>
          <w:trHeight w:val="468"/>
        </w:trPr>
        <w:tc>
          <w:tcPr>
            <w:tcW w:w="0" w:type="auto"/>
            <w:tcBorders>
              <w:right w:val="single" w:sz="4" w:space="0" w:color="auto"/>
            </w:tcBorders>
            <w:vAlign w:val="bottom"/>
          </w:tcPr>
          <w:p w14:paraId="34A3DEA3" w14:textId="77777777" w:rsidR="005512FE" w:rsidRPr="00A4130C" w:rsidRDefault="005512FE" w:rsidP="005512FE">
            <w:pPr>
              <w:spacing w:after="0" w:line="240" w:lineRule="auto"/>
              <w:rPr>
                <w:rFonts w:ascii="Times New Roman" w:hAnsi="Times New Roman" w:cs="Times New Roman"/>
                <w:sz w:val="20"/>
                <w:szCs w:val="20"/>
              </w:rPr>
            </w:pPr>
            <w:r w:rsidRPr="00A4130C">
              <w:rPr>
                <w:rFonts w:ascii="Times New Roman" w:hAnsi="Times New Roman" w:cs="Times New Roman"/>
                <w:sz w:val="20"/>
                <w:szCs w:val="20"/>
              </w:rPr>
              <w:t>REP</w:t>
            </w:r>
          </w:p>
        </w:tc>
        <w:tc>
          <w:tcPr>
            <w:tcW w:w="0" w:type="auto"/>
            <w:tcBorders>
              <w:right w:val="single" w:sz="4" w:space="0" w:color="auto"/>
            </w:tcBorders>
            <w:vAlign w:val="bottom"/>
          </w:tcPr>
          <w:p w14:paraId="0DA0E3B1" w14:textId="77777777"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2</w:t>
            </w:r>
          </w:p>
        </w:tc>
        <w:tc>
          <w:tcPr>
            <w:tcW w:w="0" w:type="auto"/>
            <w:vAlign w:val="bottom"/>
          </w:tcPr>
          <w:p w14:paraId="704BB3EC" w14:textId="71CC6209"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1.32</w:t>
            </w:r>
          </w:p>
        </w:tc>
        <w:tc>
          <w:tcPr>
            <w:tcW w:w="0" w:type="auto"/>
            <w:vAlign w:val="bottom"/>
          </w:tcPr>
          <w:p w14:paraId="23424E89" w14:textId="4861BACC"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4.62</w:t>
            </w:r>
          </w:p>
        </w:tc>
        <w:tc>
          <w:tcPr>
            <w:tcW w:w="0" w:type="auto"/>
            <w:vAlign w:val="bottom"/>
          </w:tcPr>
          <w:p w14:paraId="41CBA387" w14:textId="32E45917"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25.22</w:t>
            </w:r>
          </w:p>
        </w:tc>
        <w:tc>
          <w:tcPr>
            <w:tcW w:w="0" w:type="auto"/>
            <w:vAlign w:val="bottom"/>
          </w:tcPr>
          <w:p w14:paraId="3C4D5001" w14:textId="10CC11ED"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0.52</w:t>
            </w:r>
          </w:p>
        </w:tc>
        <w:tc>
          <w:tcPr>
            <w:tcW w:w="0" w:type="auto"/>
            <w:vAlign w:val="bottom"/>
          </w:tcPr>
          <w:p w14:paraId="7D0307A8" w14:textId="4E844CFF"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0.18</w:t>
            </w:r>
          </w:p>
        </w:tc>
        <w:tc>
          <w:tcPr>
            <w:tcW w:w="0" w:type="auto"/>
            <w:vAlign w:val="bottom"/>
          </w:tcPr>
          <w:p w14:paraId="7849BB4D" w14:textId="7BCA650A"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38.34</w:t>
            </w:r>
          </w:p>
        </w:tc>
        <w:tc>
          <w:tcPr>
            <w:tcW w:w="0" w:type="auto"/>
            <w:vAlign w:val="bottom"/>
          </w:tcPr>
          <w:p w14:paraId="3FA3822B" w14:textId="285092E9"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6.65</w:t>
            </w:r>
          </w:p>
        </w:tc>
        <w:tc>
          <w:tcPr>
            <w:tcW w:w="0" w:type="auto"/>
            <w:vAlign w:val="bottom"/>
          </w:tcPr>
          <w:p w14:paraId="7EC57592" w14:textId="5165F348"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0.10</w:t>
            </w:r>
          </w:p>
        </w:tc>
        <w:tc>
          <w:tcPr>
            <w:tcW w:w="0" w:type="auto"/>
            <w:vAlign w:val="bottom"/>
          </w:tcPr>
          <w:p w14:paraId="783C6CF4" w14:textId="12E2A815"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3.89</w:t>
            </w:r>
          </w:p>
        </w:tc>
        <w:tc>
          <w:tcPr>
            <w:tcW w:w="0" w:type="auto"/>
            <w:vAlign w:val="bottom"/>
          </w:tcPr>
          <w:p w14:paraId="412CC3DA" w14:textId="69D7461B"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0.83</w:t>
            </w:r>
          </w:p>
        </w:tc>
        <w:tc>
          <w:tcPr>
            <w:tcW w:w="0" w:type="auto"/>
            <w:vAlign w:val="bottom"/>
          </w:tcPr>
          <w:p w14:paraId="6D625BBB" w14:textId="53AD9683"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0.06</w:t>
            </w:r>
          </w:p>
        </w:tc>
        <w:tc>
          <w:tcPr>
            <w:tcW w:w="0" w:type="auto"/>
            <w:vAlign w:val="bottom"/>
          </w:tcPr>
          <w:p w14:paraId="0B3F8EC9" w14:textId="45D02643"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3.07</w:t>
            </w:r>
          </w:p>
        </w:tc>
        <w:tc>
          <w:tcPr>
            <w:tcW w:w="0" w:type="auto"/>
            <w:vAlign w:val="bottom"/>
          </w:tcPr>
          <w:p w14:paraId="2055674C" w14:textId="4770646F"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1.23</w:t>
            </w:r>
          </w:p>
        </w:tc>
        <w:tc>
          <w:tcPr>
            <w:tcW w:w="0" w:type="auto"/>
            <w:vAlign w:val="bottom"/>
          </w:tcPr>
          <w:p w14:paraId="3BC293A2" w14:textId="6E93A74D"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1.12</w:t>
            </w:r>
          </w:p>
        </w:tc>
        <w:tc>
          <w:tcPr>
            <w:tcW w:w="0" w:type="auto"/>
            <w:vAlign w:val="bottom"/>
          </w:tcPr>
          <w:p w14:paraId="61CB4F69" w14:textId="145A21F6"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0.81</w:t>
            </w:r>
          </w:p>
        </w:tc>
      </w:tr>
      <w:tr w:rsidR="00A4130C" w:rsidRPr="00A4130C" w14:paraId="4F92BDE6" w14:textId="46703119" w:rsidTr="00A4130C">
        <w:trPr>
          <w:trHeight w:val="468"/>
        </w:trPr>
        <w:tc>
          <w:tcPr>
            <w:tcW w:w="0" w:type="auto"/>
            <w:tcBorders>
              <w:bottom w:val="single" w:sz="4" w:space="0" w:color="000000"/>
              <w:right w:val="single" w:sz="4" w:space="0" w:color="auto"/>
            </w:tcBorders>
            <w:vAlign w:val="bottom"/>
          </w:tcPr>
          <w:p w14:paraId="5463BD56" w14:textId="77777777" w:rsidR="005512FE" w:rsidRPr="00A4130C" w:rsidRDefault="005512FE" w:rsidP="005512FE">
            <w:pPr>
              <w:spacing w:after="0" w:line="240" w:lineRule="auto"/>
              <w:rPr>
                <w:rFonts w:ascii="Times New Roman" w:hAnsi="Times New Roman" w:cs="Times New Roman"/>
                <w:sz w:val="20"/>
                <w:szCs w:val="20"/>
              </w:rPr>
            </w:pPr>
            <w:r w:rsidRPr="00A4130C">
              <w:rPr>
                <w:rFonts w:ascii="Times New Roman" w:hAnsi="Times New Roman" w:cs="Times New Roman"/>
                <w:sz w:val="20"/>
                <w:szCs w:val="20"/>
              </w:rPr>
              <w:t>Treat</w:t>
            </w:r>
          </w:p>
        </w:tc>
        <w:tc>
          <w:tcPr>
            <w:tcW w:w="0" w:type="auto"/>
            <w:tcBorders>
              <w:bottom w:val="single" w:sz="4" w:space="0" w:color="000000"/>
              <w:right w:val="single" w:sz="4" w:space="0" w:color="auto"/>
            </w:tcBorders>
            <w:vAlign w:val="bottom"/>
          </w:tcPr>
          <w:p w14:paraId="11637AD7" w14:textId="78DDC1F5"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54</w:t>
            </w:r>
          </w:p>
        </w:tc>
        <w:tc>
          <w:tcPr>
            <w:tcW w:w="0" w:type="auto"/>
            <w:tcBorders>
              <w:bottom w:val="single" w:sz="4" w:space="0" w:color="000000"/>
            </w:tcBorders>
            <w:vAlign w:val="bottom"/>
          </w:tcPr>
          <w:p w14:paraId="306C417B" w14:textId="48D9D92C"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74.32**</w:t>
            </w:r>
          </w:p>
        </w:tc>
        <w:tc>
          <w:tcPr>
            <w:tcW w:w="0" w:type="auto"/>
            <w:tcBorders>
              <w:bottom w:val="single" w:sz="4" w:space="0" w:color="000000"/>
            </w:tcBorders>
            <w:vAlign w:val="bottom"/>
          </w:tcPr>
          <w:p w14:paraId="4418C813" w14:textId="68480EBB"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134.93**</w:t>
            </w:r>
          </w:p>
        </w:tc>
        <w:tc>
          <w:tcPr>
            <w:tcW w:w="0" w:type="auto"/>
            <w:tcBorders>
              <w:bottom w:val="single" w:sz="4" w:space="0" w:color="000000"/>
            </w:tcBorders>
            <w:vAlign w:val="bottom"/>
          </w:tcPr>
          <w:p w14:paraId="05C06A2E" w14:textId="7D3AA3D0"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111.20**</w:t>
            </w:r>
          </w:p>
        </w:tc>
        <w:tc>
          <w:tcPr>
            <w:tcW w:w="0" w:type="auto"/>
            <w:tcBorders>
              <w:bottom w:val="single" w:sz="4" w:space="0" w:color="000000"/>
            </w:tcBorders>
            <w:vAlign w:val="bottom"/>
          </w:tcPr>
          <w:p w14:paraId="41B6220E" w14:textId="7FD858E2"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8.92**</w:t>
            </w:r>
          </w:p>
        </w:tc>
        <w:tc>
          <w:tcPr>
            <w:tcW w:w="0" w:type="auto"/>
            <w:tcBorders>
              <w:bottom w:val="single" w:sz="4" w:space="0" w:color="000000"/>
            </w:tcBorders>
            <w:vAlign w:val="bottom"/>
          </w:tcPr>
          <w:p w14:paraId="03454789" w14:textId="448AB05F"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31.20**</w:t>
            </w:r>
          </w:p>
        </w:tc>
        <w:tc>
          <w:tcPr>
            <w:tcW w:w="0" w:type="auto"/>
            <w:tcBorders>
              <w:bottom w:val="single" w:sz="4" w:space="0" w:color="000000"/>
            </w:tcBorders>
            <w:vAlign w:val="bottom"/>
          </w:tcPr>
          <w:p w14:paraId="13D5FB15" w14:textId="1E931BA2"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1897.28**</w:t>
            </w:r>
          </w:p>
        </w:tc>
        <w:tc>
          <w:tcPr>
            <w:tcW w:w="0" w:type="auto"/>
            <w:tcBorders>
              <w:bottom w:val="single" w:sz="4" w:space="0" w:color="000000"/>
            </w:tcBorders>
            <w:vAlign w:val="bottom"/>
          </w:tcPr>
          <w:p w14:paraId="130E23D5" w14:textId="3620D00F"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140.56**</w:t>
            </w:r>
          </w:p>
        </w:tc>
        <w:tc>
          <w:tcPr>
            <w:tcW w:w="0" w:type="auto"/>
            <w:tcBorders>
              <w:bottom w:val="single" w:sz="4" w:space="0" w:color="000000"/>
            </w:tcBorders>
            <w:vAlign w:val="bottom"/>
          </w:tcPr>
          <w:p w14:paraId="20816CA3" w14:textId="4F32E633"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1.72**</w:t>
            </w:r>
          </w:p>
        </w:tc>
        <w:tc>
          <w:tcPr>
            <w:tcW w:w="0" w:type="auto"/>
            <w:tcBorders>
              <w:bottom w:val="single" w:sz="4" w:space="0" w:color="000000"/>
            </w:tcBorders>
            <w:vAlign w:val="bottom"/>
          </w:tcPr>
          <w:p w14:paraId="20315CEB" w14:textId="1C56FAF5"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8129.41**</w:t>
            </w:r>
          </w:p>
        </w:tc>
        <w:tc>
          <w:tcPr>
            <w:tcW w:w="0" w:type="auto"/>
            <w:tcBorders>
              <w:bottom w:val="single" w:sz="4" w:space="0" w:color="000000"/>
            </w:tcBorders>
            <w:vAlign w:val="bottom"/>
          </w:tcPr>
          <w:p w14:paraId="20C66396" w14:textId="02A96675"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6.56**</w:t>
            </w:r>
          </w:p>
        </w:tc>
        <w:tc>
          <w:tcPr>
            <w:tcW w:w="0" w:type="auto"/>
            <w:tcBorders>
              <w:bottom w:val="single" w:sz="4" w:space="0" w:color="000000"/>
            </w:tcBorders>
            <w:vAlign w:val="bottom"/>
          </w:tcPr>
          <w:p w14:paraId="75E73E84" w14:textId="45740977"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2.84**</w:t>
            </w:r>
          </w:p>
        </w:tc>
        <w:tc>
          <w:tcPr>
            <w:tcW w:w="0" w:type="auto"/>
            <w:tcBorders>
              <w:bottom w:val="single" w:sz="4" w:space="0" w:color="000000"/>
            </w:tcBorders>
            <w:vAlign w:val="bottom"/>
          </w:tcPr>
          <w:p w14:paraId="35A46975" w14:textId="5D58AF2E"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2067.33**</w:t>
            </w:r>
          </w:p>
        </w:tc>
        <w:tc>
          <w:tcPr>
            <w:tcW w:w="0" w:type="auto"/>
            <w:tcBorders>
              <w:bottom w:val="single" w:sz="4" w:space="0" w:color="000000"/>
            </w:tcBorders>
            <w:vAlign w:val="bottom"/>
          </w:tcPr>
          <w:p w14:paraId="7F6E8FE2" w14:textId="0DCBBD45"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110.34**</w:t>
            </w:r>
          </w:p>
        </w:tc>
        <w:tc>
          <w:tcPr>
            <w:tcW w:w="0" w:type="auto"/>
            <w:tcBorders>
              <w:bottom w:val="single" w:sz="4" w:space="0" w:color="000000"/>
            </w:tcBorders>
            <w:vAlign w:val="bottom"/>
          </w:tcPr>
          <w:p w14:paraId="39F83FBD" w14:textId="318621C5"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136.24**</w:t>
            </w:r>
          </w:p>
        </w:tc>
        <w:tc>
          <w:tcPr>
            <w:tcW w:w="0" w:type="auto"/>
            <w:tcBorders>
              <w:bottom w:val="single" w:sz="4" w:space="0" w:color="000000"/>
            </w:tcBorders>
            <w:vAlign w:val="bottom"/>
          </w:tcPr>
          <w:p w14:paraId="0AFC36CC" w14:textId="7C1CA439" w:rsidR="005512FE" w:rsidRPr="00A4130C" w:rsidRDefault="005512FE"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5.47**</w:t>
            </w:r>
          </w:p>
        </w:tc>
      </w:tr>
      <w:tr w:rsidR="00A4130C" w:rsidRPr="00A4130C" w14:paraId="04966263" w14:textId="77777777" w:rsidTr="00A4130C">
        <w:trPr>
          <w:trHeight w:val="468"/>
        </w:trPr>
        <w:tc>
          <w:tcPr>
            <w:tcW w:w="0" w:type="auto"/>
            <w:tcBorders>
              <w:bottom w:val="single" w:sz="4" w:space="0" w:color="000000"/>
              <w:right w:val="single" w:sz="4" w:space="0" w:color="auto"/>
            </w:tcBorders>
            <w:vAlign w:val="bottom"/>
          </w:tcPr>
          <w:p w14:paraId="7B6C194F" w14:textId="0E8AFE3D" w:rsidR="006667FD" w:rsidRPr="00A4130C" w:rsidRDefault="006667FD" w:rsidP="005512FE">
            <w:pPr>
              <w:spacing w:after="0" w:line="240" w:lineRule="auto"/>
              <w:rPr>
                <w:rFonts w:ascii="Times New Roman" w:hAnsi="Times New Roman" w:cs="Times New Roman"/>
                <w:sz w:val="20"/>
                <w:szCs w:val="20"/>
              </w:rPr>
            </w:pPr>
            <w:r w:rsidRPr="00A4130C">
              <w:rPr>
                <w:rFonts w:ascii="Times New Roman" w:hAnsi="Times New Roman" w:cs="Times New Roman"/>
                <w:sz w:val="20"/>
                <w:szCs w:val="20"/>
              </w:rPr>
              <w:t>Error</w:t>
            </w:r>
          </w:p>
        </w:tc>
        <w:tc>
          <w:tcPr>
            <w:tcW w:w="0" w:type="auto"/>
            <w:tcBorders>
              <w:bottom w:val="single" w:sz="4" w:space="0" w:color="000000"/>
              <w:right w:val="single" w:sz="4" w:space="0" w:color="auto"/>
            </w:tcBorders>
            <w:vAlign w:val="bottom"/>
          </w:tcPr>
          <w:p w14:paraId="7D13D4F8" w14:textId="37DAAFCC"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108</w:t>
            </w:r>
          </w:p>
        </w:tc>
        <w:tc>
          <w:tcPr>
            <w:tcW w:w="0" w:type="auto"/>
            <w:tcBorders>
              <w:bottom w:val="single" w:sz="4" w:space="0" w:color="000000"/>
            </w:tcBorders>
            <w:vAlign w:val="bottom"/>
          </w:tcPr>
          <w:p w14:paraId="7CDE363C" w14:textId="12467543"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0.83</w:t>
            </w:r>
          </w:p>
        </w:tc>
        <w:tc>
          <w:tcPr>
            <w:tcW w:w="0" w:type="auto"/>
            <w:tcBorders>
              <w:bottom w:val="single" w:sz="4" w:space="0" w:color="000000"/>
            </w:tcBorders>
            <w:vAlign w:val="bottom"/>
          </w:tcPr>
          <w:p w14:paraId="73D39DA5" w14:textId="7C6B68CC"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1.33</w:t>
            </w:r>
          </w:p>
        </w:tc>
        <w:tc>
          <w:tcPr>
            <w:tcW w:w="0" w:type="auto"/>
            <w:tcBorders>
              <w:bottom w:val="single" w:sz="4" w:space="0" w:color="000000"/>
            </w:tcBorders>
            <w:vAlign w:val="bottom"/>
          </w:tcPr>
          <w:p w14:paraId="1853BAE8" w14:textId="7FDC2CD7"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2.17</w:t>
            </w:r>
          </w:p>
        </w:tc>
        <w:tc>
          <w:tcPr>
            <w:tcW w:w="0" w:type="auto"/>
            <w:tcBorders>
              <w:bottom w:val="single" w:sz="4" w:space="0" w:color="000000"/>
            </w:tcBorders>
            <w:vAlign w:val="bottom"/>
          </w:tcPr>
          <w:p w14:paraId="5F36026A" w14:textId="067325D0"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0.56</w:t>
            </w:r>
          </w:p>
        </w:tc>
        <w:tc>
          <w:tcPr>
            <w:tcW w:w="0" w:type="auto"/>
            <w:tcBorders>
              <w:bottom w:val="single" w:sz="4" w:space="0" w:color="000000"/>
            </w:tcBorders>
            <w:vAlign w:val="bottom"/>
          </w:tcPr>
          <w:p w14:paraId="360775D3" w14:textId="2FCA5B3E"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0.80</w:t>
            </w:r>
          </w:p>
        </w:tc>
        <w:tc>
          <w:tcPr>
            <w:tcW w:w="0" w:type="auto"/>
            <w:tcBorders>
              <w:bottom w:val="single" w:sz="4" w:space="0" w:color="000000"/>
            </w:tcBorders>
            <w:vAlign w:val="bottom"/>
          </w:tcPr>
          <w:p w14:paraId="573FE6E8" w14:textId="6ADBA5C9"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2.14</w:t>
            </w:r>
          </w:p>
        </w:tc>
        <w:tc>
          <w:tcPr>
            <w:tcW w:w="0" w:type="auto"/>
            <w:tcBorders>
              <w:bottom w:val="single" w:sz="4" w:space="0" w:color="000000"/>
            </w:tcBorders>
            <w:vAlign w:val="bottom"/>
          </w:tcPr>
          <w:p w14:paraId="498A4885" w14:textId="0ED1A27C"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1.33</w:t>
            </w:r>
          </w:p>
        </w:tc>
        <w:tc>
          <w:tcPr>
            <w:tcW w:w="0" w:type="auto"/>
            <w:tcBorders>
              <w:bottom w:val="single" w:sz="4" w:space="0" w:color="000000"/>
            </w:tcBorders>
            <w:vAlign w:val="bottom"/>
          </w:tcPr>
          <w:p w14:paraId="590CE1EB" w14:textId="4B4AAAED"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0.05</w:t>
            </w:r>
          </w:p>
        </w:tc>
        <w:tc>
          <w:tcPr>
            <w:tcW w:w="0" w:type="auto"/>
            <w:tcBorders>
              <w:bottom w:val="single" w:sz="4" w:space="0" w:color="000000"/>
            </w:tcBorders>
            <w:vAlign w:val="bottom"/>
          </w:tcPr>
          <w:p w14:paraId="5E43D8C6" w14:textId="6F8E9819"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1.91</w:t>
            </w:r>
          </w:p>
        </w:tc>
        <w:tc>
          <w:tcPr>
            <w:tcW w:w="0" w:type="auto"/>
            <w:tcBorders>
              <w:bottom w:val="single" w:sz="4" w:space="0" w:color="000000"/>
            </w:tcBorders>
            <w:vAlign w:val="bottom"/>
          </w:tcPr>
          <w:p w14:paraId="6BE00D0D" w14:textId="29D2241A"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0.62</w:t>
            </w:r>
          </w:p>
        </w:tc>
        <w:tc>
          <w:tcPr>
            <w:tcW w:w="0" w:type="auto"/>
            <w:tcBorders>
              <w:bottom w:val="single" w:sz="4" w:space="0" w:color="000000"/>
            </w:tcBorders>
            <w:vAlign w:val="bottom"/>
          </w:tcPr>
          <w:p w14:paraId="0D61A5DC" w14:textId="2A449407"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0.10</w:t>
            </w:r>
          </w:p>
        </w:tc>
        <w:tc>
          <w:tcPr>
            <w:tcW w:w="0" w:type="auto"/>
            <w:tcBorders>
              <w:bottom w:val="single" w:sz="4" w:space="0" w:color="000000"/>
            </w:tcBorders>
            <w:vAlign w:val="bottom"/>
          </w:tcPr>
          <w:p w14:paraId="76249F64" w14:textId="2A1B3B2D"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23.56</w:t>
            </w:r>
          </w:p>
        </w:tc>
        <w:tc>
          <w:tcPr>
            <w:tcW w:w="0" w:type="auto"/>
            <w:tcBorders>
              <w:bottom w:val="single" w:sz="4" w:space="0" w:color="000000"/>
            </w:tcBorders>
            <w:vAlign w:val="bottom"/>
          </w:tcPr>
          <w:p w14:paraId="7603C18D" w14:textId="21D3C1C0"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1.06</w:t>
            </w:r>
          </w:p>
        </w:tc>
        <w:tc>
          <w:tcPr>
            <w:tcW w:w="0" w:type="auto"/>
            <w:tcBorders>
              <w:bottom w:val="single" w:sz="4" w:space="0" w:color="000000"/>
            </w:tcBorders>
            <w:vAlign w:val="bottom"/>
          </w:tcPr>
          <w:p w14:paraId="092532BD" w14:textId="5A5D21B3"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0.86</w:t>
            </w:r>
          </w:p>
        </w:tc>
        <w:tc>
          <w:tcPr>
            <w:tcW w:w="0" w:type="auto"/>
            <w:tcBorders>
              <w:bottom w:val="single" w:sz="4" w:space="0" w:color="000000"/>
            </w:tcBorders>
            <w:vAlign w:val="bottom"/>
          </w:tcPr>
          <w:p w14:paraId="73184184" w14:textId="7132D13F" w:rsidR="006667FD" w:rsidRPr="00A4130C" w:rsidRDefault="006667FD" w:rsidP="005512FE">
            <w:pPr>
              <w:spacing w:after="0"/>
              <w:jc w:val="right"/>
              <w:rPr>
                <w:rFonts w:ascii="Times New Roman" w:hAnsi="Times New Roman" w:cs="Times New Roman"/>
                <w:color w:val="000000" w:themeColor="text1"/>
                <w:sz w:val="20"/>
                <w:szCs w:val="20"/>
              </w:rPr>
            </w:pPr>
            <w:r w:rsidRPr="00A4130C">
              <w:rPr>
                <w:rFonts w:ascii="Times New Roman" w:hAnsi="Times New Roman" w:cs="Times New Roman"/>
                <w:color w:val="000000" w:themeColor="text1"/>
                <w:sz w:val="20"/>
                <w:szCs w:val="20"/>
              </w:rPr>
              <w:t>0.55</w:t>
            </w:r>
          </w:p>
        </w:tc>
      </w:tr>
    </w:tbl>
    <w:p w14:paraId="0FB527F6" w14:textId="77777777" w:rsidR="00A4130C" w:rsidRDefault="002754EA" w:rsidP="00436A62">
      <w:pPr>
        <w:rPr>
          <w:rFonts w:ascii="Times New Roman" w:hAnsi="Times New Roman" w:cs="Times New Roman"/>
          <w:sz w:val="24"/>
          <w:szCs w:val="24"/>
          <w:lang w:val="en-US"/>
        </w:rPr>
      </w:pPr>
      <w:r>
        <w:rPr>
          <w:rFonts w:ascii="Times New Roman" w:hAnsi="Times New Roman" w:cs="Times New Roman"/>
          <w:sz w:val="24"/>
          <w:szCs w:val="24"/>
          <w:lang w:val="en-US"/>
        </w:rPr>
        <w:t>*, ** significant at 5% and 1% level, respectively</w:t>
      </w:r>
    </w:p>
    <w:p w14:paraId="3435163E" w14:textId="45FA3CE6" w:rsidR="00436A62" w:rsidRPr="008C4EC3" w:rsidRDefault="00436A62" w:rsidP="00436A62">
      <w:pPr>
        <w:rPr>
          <w:rFonts w:ascii="Times New Roman" w:hAnsi="Times New Roman" w:cs="Times New Roman"/>
          <w:sz w:val="36"/>
          <w:szCs w:val="36"/>
          <w:lang w:val="en-US"/>
        </w:rPr>
      </w:pPr>
      <w:r>
        <w:rPr>
          <w:rFonts w:ascii="Times New Roman" w:hAnsi="Times New Roman" w:cs="Times New Roman"/>
          <w:b/>
          <w:bCs/>
          <w:sz w:val="24"/>
          <w:szCs w:val="24"/>
          <w:lang w:val="en-US"/>
        </w:rPr>
        <w:t>Table 2</w:t>
      </w:r>
      <w:r w:rsidRPr="008C4EC3">
        <w:rPr>
          <w:rFonts w:ascii="Times New Roman" w:hAnsi="Times New Roman" w:cs="Times New Roman"/>
          <w:b/>
          <w:bCs/>
          <w:sz w:val="24"/>
          <w:szCs w:val="24"/>
          <w:lang w:val="en-US"/>
        </w:rPr>
        <w:t xml:space="preserve">: </w:t>
      </w:r>
      <w:r w:rsidRPr="008C4EC3">
        <w:rPr>
          <w:rFonts w:ascii="Times New Roman" w:hAnsi="Times New Roman" w:cs="Times New Roman"/>
          <w:sz w:val="24"/>
          <w:szCs w:val="24"/>
          <w:lang w:val="en-US"/>
        </w:rPr>
        <w:t xml:space="preserve">Mean, range, </w:t>
      </w:r>
      <w:r w:rsidR="006D79D8">
        <w:rPr>
          <w:rFonts w:ascii="Times New Roman" w:hAnsi="Times New Roman" w:cs="Times New Roman"/>
          <w:sz w:val="24"/>
          <w:szCs w:val="24"/>
          <w:lang w:val="en-US"/>
        </w:rPr>
        <w:t xml:space="preserve">genetic variance, phenotypic variance, </w:t>
      </w:r>
      <w:r w:rsidR="006D79D8" w:rsidRPr="008C4EC3">
        <w:rPr>
          <w:rFonts w:ascii="Times New Roman" w:hAnsi="Times New Roman" w:cs="Times New Roman"/>
          <w:sz w:val="24"/>
          <w:szCs w:val="24"/>
          <w:lang w:val="en-US"/>
        </w:rPr>
        <w:t>heritability</w:t>
      </w:r>
      <w:r w:rsidR="006D79D8">
        <w:rPr>
          <w:rFonts w:ascii="Times New Roman" w:hAnsi="Times New Roman" w:cs="Times New Roman"/>
          <w:sz w:val="24"/>
          <w:szCs w:val="24"/>
          <w:lang w:val="en-US"/>
        </w:rPr>
        <w:t>,</w:t>
      </w:r>
      <w:r w:rsidR="006D79D8" w:rsidRPr="008C4EC3">
        <w:rPr>
          <w:rFonts w:ascii="Times New Roman" w:hAnsi="Times New Roman" w:cs="Times New Roman"/>
          <w:sz w:val="24"/>
          <w:szCs w:val="24"/>
          <w:lang w:val="en-US"/>
        </w:rPr>
        <w:t xml:space="preserve"> genetic advance</w:t>
      </w:r>
      <w:r w:rsidR="006D79D8">
        <w:rPr>
          <w:rFonts w:ascii="Times New Roman" w:hAnsi="Times New Roman" w:cs="Times New Roman"/>
          <w:sz w:val="24"/>
          <w:szCs w:val="24"/>
          <w:lang w:val="en-US"/>
        </w:rPr>
        <w:t xml:space="preserve"> and </w:t>
      </w:r>
      <w:r w:rsidRPr="008C4EC3">
        <w:rPr>
          <w:rFonts w:ascii="Times New Roman" w:hAnsi="Times New Roman" w:cs="Times New Roman"/>
          <w:sz w:val="24"/>
          <w:szCs w:val="24"/>
          <w:lang w:val="en-US"/>
        </w:rPr>
        <w:t>coefficient of variation</w:t>
      </w:r>
      <w:r w:rsidR="006D79D8">
        <w:rPr>
          <w:rFonts w:ascii="Times New Roman" w:hAnsi="Times New Roman" w:cs="Times New Roman"/>
          <w:sz w:val="24"/>
          <w:szCs w:val="24"/>
          <w:lang w:val="en-US"/>
        </w:rPr>
        <w:t xml:space="preserve"> (PCV &amp; GCV)</w:t>
      </w:r>
      <w:r w:rsidRPr="008C4EC3">
        <w:rPr>
          <w:rFonts w:ascii="Times New Roman" w:hAnsi="Times New Roman" w:cs="Times New Roman"/>
          <w:sz w:val="24"/>
          <w:szCs w:val="24"/>
          <w:lang w:val="en-US"/>
        </w:rPr>
        <w:t>, for 15 characters in Indian mustard.</w:t>
      </w:r>
    </w:p>
    <w:tbl>
      <w:tblPr>
        <w:tblStyle w:val="TableGrid"/>
        <w:tblW w:w="0" w:type="auto"/>
        <w:tblLook w:val="04A0" w:firstRow="1" w:lastRow="0" w:firstColumn="1" w:lastColumn="0" w:noHBand="0" w:noVBand="1"/>
      </w:tblPr>
      <w:tblGrid>
        <w:gridCol w:w="572"/>
        <w:gridCol w:w="3465"/>
        <w:gridCol w:w="766"/>
        <w:gridCol w:w="766"/>
        <w:gridCol w:w="766"/>
        <w:gridCol w:w="866"/>
        <w:gridCol w:w="866"/>
        <w:gridCol w:w="1466"/>
        <w:gridCol w:w="766"/>
        <w:gridCol w:w="1272"/>
        <w:gridCol w:w="861"/>
        <w:gridCol w:w="828"/>
      </w:tblGrid>
      <w:tr w:rsidR="00A4130C" w:rsidRPr="00A4130C" w14:paraId="21E32623" w14:textId="77777777" w:rsidTr="00A4130C">
        <w:tc>
          <w:tcPr>
            <w:tcW w:w="0" w:type="auto"/>
          </w:tcPr>
          <w:p w14:paraId="208A3B50" w14:textId="733FF166"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S.N.</w:t>
            </w:r>
          </w:p>
        </w:tc>
        <w:tc>
          <w:tcPr>
            <w:tcW w:w="0" w:type="auto"/>
          </w:tcPr>
          <w:p w14:paraId="73A326B5" w14:textId="6321BE31"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Traits</w:t>
            </w:r>
          </w:p>
        </w:tc>
        <w:tc>
          <w:tcPr>
            <w:tcW w:w="0" w:type="auto"/>
          </w:tcPr>
          <w:p w14:paraId="5510D3F5" w14:textId="77777777"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Mean</w:t>
            </w:r>
          </w:p>
        </w:tc>
        <w:tc>
          <w:tcPr>
            <w:tcW w:w="0" w:type="auto"/>
          </w:tcPr>
          <w:p w14:paraId="01A02E8E" w14:textId="77777777"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Min</w:t>
            </w:r>
          </w:p>
        </w:tc>
        <w:tc>
          <w:tcPr>
            <w:tcW w:w="0" w:type="auto"/>
          </w:tcPr>
          <w:p w14:paraId="7926BB2D" w14:textId="77777777"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Max</w:t>
            </w:r>
          </w:p>
        </w:tc>
        <w:tc>
          <w:tcPr>
            <w:tcW w:w="0" w:type="auto"/>
          </w:tcPr>
          <w:p w14:paraId="5DE79306" w14:textId="77777777"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Var (g)</w:t>
            </w:r>
          </w:p>
        </w:tc>
        <w:tc>
          <w:tcPr>
            <w:tcW w:w="0" w:type="auto"/>
          </w:tcPr>
          <w:p w14:paraId="1800454B" w14:textId="77777777"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Var (p)</w:t>
            </w:r>
          </w:p>
        </w:tc>
        <w:tc>
          <w:tcPr>
            <w:tcW w:w="0" w:type="auto"/>
          </w:tcPr>
          <w:p w14:paraId="5D6F083D" w14:textId="77777777"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Heritability %</w:t>
            </w:r>
          </w:p>
        </w:tc>
        <w:tc>
          <w:tcPr>
            <w:tcW w:w="0" w:type="auto"/>
          </w:tcPr>
          <w:p w14:paraId="079BFCA2" w14:textId="77777777"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GA</w:t>
            </w:r>
          </w:p>
        </w:tc>
        <w:tc>
          <w:tcPr>
            <w:tcW w:w="0" w:type="auto"/>
          </w:tcPr>
          <w:p w14:paraId="0637789F" w14:textId="77777777"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GA % mean</w:t>
            </w:r>
          </w:p>
        </w:tc>
        <w:tc>
          <w:tcPr>
            <w:tcW w:w="0" w:type="auto"/>
          </w:tcPr>
          <w:p w14:paraId="191B0DDB" w14:textId="77777777"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GCV%</w:t>
            </w:r>
          </w:p>
        </w:tc>
        <w:tc>
          <w:tcPr>
            <w:tcW w:w="0" w:type="auto"/>
          </w:tcPr>
          <w:p w14:paraId="3DEF56D6" w14:textId="77777777" w:rsidR="00A4130C" w:rsidRPr="00A4130C" w:rsidRDefault="00A4130C" w:rsidP="001E43F4">
            <w:pPr>
              <w:rPr>
                <w:rFonts w:ascii="Times New Roman" w:hAnsi="Times New Roman" w:cs="Times New Roman"/>
                <w:b/>
                <w:bCs/>
                <w:sz w:val="20"/>
                <w:szCs w:val="20"/>
                <w:lang w:val="en-US"/>
              </w:rPr>
            </w:pPr>
            <w:r w:rsidRPr="00A4130C">
              <w:rPr>
                <w:rFonts w:ascii="Times New Roman" w:hAnsi="Times New Roman" w:cs="Times New Roman"/>
                <w:b/>
                <w:bCs/>
                <w:sz w:val="20"/>
                <w:szCs w:val="20"/>
                <w:lang w:val="en-US"/>
              </w:rPr>
              <w:t>PCV%</w:t>
            </w:r>
          </w:p>
        </w:tc>
      </w:tr>
      <w:tr w:rsidR="00A4130C" w:rsidRPr="00A4130C" w14:paraId="7591A08C" w14:textId="77777777" w:rsidTr="00A4130C">
        <w:tc>
          <w:tcPr>
            <w:tcW w:w="0" w:type="auto"/>
          </w:tcPr>
          <w:p w14:paraId="40449548" w14:textId="25A292C3"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1.</w:t>
            </w:r>
          </w:p>
        </w:tc>
        <w:tc>
          <w:tcPr>
            <w:tcW w:w="0" w:type="auto"/>
          </w:tcPr>
          <w:p w14:paraId="223AD0C0" w14:textId="721239E9"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color w:val="000000"/>
                <w:sz w:val="20"/>
                <w:szCs w:val="20"/>
              </w:rPr>
              <w:t>Days to First flowering</w:t>
            </w:r>
          </w:p>
        </w:tc>
        <w:tc>
          <w:tcPr>
            <w:tcW w:w="0" w:type="auto"/>
          </w:tcPr>
          <w:p w14:paraId="45672CE4"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49.25</w:t>
            </w:r>
          </w:p>
        </w:tc>
        <w:tc>
          <w:tcPr>
            <w:tcW w:w="0" w:type="auto"/>
          </w:tcPr>
          <w:p w14:paraId="22320A2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37.33</w:t>
            </w:r>
          </w:p>
        </w:tc>
        <w:tc>
          <w:tcPr>
            <w:tcW w:w="0" w:type="auto"/>
          </w:tcPr>
          <w:p w14:paraId="74BD815E"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59.67</w:t>
            </w:r>
          </w:p>
        </w:tc>
        <w:tc>
          <w:tcPr>
            <w:tcW w:w="0" w:type="auto"/>
          </w:tcPr>
          <w:p w14:paraId="2518DA40"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26.06</w:t>
            </w:r>
          </w:p>
        </w:tc>
        <w:tc>
          <w:tcPr>
            <w:tcW w:w="0" w:type="auto"/>
          </w:tcPr>
          <w:p w14:paraId="4579A0B1"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26.88</w:t>
            </w:r>
          </w:p>
        </w:tc>
        <w:tc>
          <w:tcPr>
            <w:tcW w:w="0" w:type="auto"/>
          </w:tcPr>
          <w:p w14:paraId="66167F2A"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96.95</w:t>
            </w:r>
          </w:p>
        </w:tc>
        <w:tc>
          <w:tcPr>
            <w:tcW w:w="0" w:type="auto"/>
          </w:tcPr>
          <w:p w14:paraId="0819586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10.35</w:t>
            </w:r>
          </w:p>
        </w:tc>
        <w:tc>
          <w:tcPr>
            <w:tcW w:w="0" w:type="auto"/>
          </w:tcPr>
          <w:p w14:paraId="4F625C8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21.02</w:t>
            </w:r>
          </w:p>
        </w:tc>
        <w:tc>
          <w:tcPr>
            <w:tcW w:w="0" w:type="auto"/>
          </w:tcPr>
          <w:p w14:paraId="0B85C9AC"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10.37</w:t>
            </w:r>
          </w:p>
        </w:tc>
        <w:tc>
          <w:tcPr>
            <w:tcW w:w="0" w:type="auto"/>
          </w:tcPr>
          <w:p w14:paraId="2696784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10.53</w:t>
            </w:r>
          </w:p>
        </w:tc>
      </w:tr>
      <w:tr w:rsidR="00A4130C" w:rsidRPr="00A4130C" w14:paraId="66EA98D9" w14:textId="77777777" w:rsidTr="00A4130C">
        <w:tc>
          <w:tcPr>
            <w:tcW w:w="0" w:type="auto"/>
          </w:tcPr>
          <w:p w14:paraId="38DDB069" w14:textId="384513FD"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2.</w:t>
            </w:r>
          </w:p>
        </w:tc>
        <w:tc>
          <w:tcPr>
            <w:tcW w:w="0" w:type="auto"/>
          </w:tcPr>
          <w:p w14:paraId="6EC909C0" w14:textId="221FCBE4"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color w:val="000000"/>
                <w:sz w:val="20"/>
                <w:szCs w:val="20"/>
              </w:rPr>
              <w:t>Days to 50% flowering</w:t>
            </w:r>
          </w:p>
        </w:tc>
        <w:tc>
          <w:tcPr>
            <w:tcW w:w="0" w:type="auto"/>
          </w:tcPr>
          <w:p w14:paraId="3188045C"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63.35</w:t>
            </w:r>
          </w:p>
        </w:tc>
        <w:tc>
          <w:tcPr>
            <w:tcW w:w="0" w:type="auto"/>
          </w:tcPr>
          <w:p w14:paraId="4A1C0FC5"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47.67</w:t>
            </w:r>
          </w:p>
        </w:tc>
        <w:tc>
          <w:tcPr>
            <w:tcW w:w="0" w:type="auto"/>
          </w:tcPr>
          <w:p w14:paraId="3195C3F2"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76.00</w:t>
            </w:r>
          </w:p>
        </w:tc>
        <w:tc>
          <w:tcPr>
            <w:tcW w:w="0" w:type="auto"/>
          </w:tcPr>
          <w:p w14:paraId="598AEA69"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44.31</w:t>
            </w:r>
          </w:p>
        </w:tc>
        <w:tc>
          <w:tcPr>
            <w:tcW w:w="0" w:type="auto"/>
          </w:tcPr>
          <w:p w14:paraId="414FB3A2"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45.63</w:t>
            </w:r>
          </w:p>
        </w:tc>
        <w:tc>
          <w:tcPr>
            <w:tcW w:w="0" w:type="auto"/>
          </w:tcPr>
          <w:p w14:paraId="29AB2080"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97.09</w:t>
            </w:r>
          </w:p>
        </w:tc>
        <w:tc>
          <w:tcPr>
            <w:tcW w:w="0" w:type="auto"/>
          </w:tcPr>
          <w:p w14:paraId="250A8F64"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13.51</w:t>
            </w:r>
          </w:p>
        </w:tc>
        <w:tc>
          <w:tcPr>
            <w:tcW w:w="0" w:type="auto"/>
          </w:tcPr>
          <w:p w14:paraId="212BAE5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21.33</w:t>
            </w:r>
          </w:p>
        </w:tc>
        <w:tc>
          <w:tcPr>
            <w:tcW w:w="0" w:type="auto"/>
          </w:tcPr>
          <w:p w14:paraId="23CC369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10.51</w:t>
            </w:r>
          </w:p>
        </w:tc>
        <w:tc>
          <w:tcPr>
            <w:tcW w:w="0" w:type="auto"/>
          </w:tcPr>
          <w:p w14:paraId="6C5729C7"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10.66</w:t>
            </w:r>
          </w:p>
        </w:tc>
      </w:tr>
      <w:tr w:rsidR="00A4130C" w:rsidRPr="00A4130C" w14:paraId="68CCE5A1" w14:textId="77777777" w:rsidTr="00A4130C">
        <w:tc>
          <w:tcPr>
            <w:tcW w:w="0" w:type="auto"/>
          </w:tcPr>
          <w:p w14:paraId="544D1F3C" w14:textId="5D513621"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3.</w:t>
            </w:r>
          </w:p>
        </w:tc>
        <w:tc>
          <w:tcPr>
            <w:tcW w:w="0" w:type="auto"/>
          </w:tcPr>
          <w:p w14:paraId="50F6A9DA" w14:textId="2BC58A08"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color w:val="000000"/>
                <w:sz w:val="20"/>
                <w:szCs w:val="20"/>
              </w:rPr>
              <w:t>Days to maturity</w:t>
            </w:r>
          </w:p>
        </w:tc>
        <w:tc>
          <w:tcPr>
            <w:tcW w:w="0" w:type="auto"/>
          </w:tcPr>
          <w:p w14:paraId="21DEF50D"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134.98</w:t>
            </w:r>
          </w:p>
        </w:tc>
        <w:tc>
          <w:tcPr>
            <w:tcW w:w="0" w:type="auto"/>
          </w:tcPr>
          <w:p w14:paraId="016BB9E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124.00</w:t>
            </w:r>
          </w:p>
        </w:tc>
        <w:tc>
          <w:tcPr>
            <w:tcW w:w="0" w:type="auto"/>
          </w:tcPr>
          <w:p w14:paraId="1CC8C0D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153.00</w:t>
            </w:r>
          </w:p>
        </w:tc>
        <w:tc>
          <w:tcPr>
            <w:tcW w:w="0" w:type="auto"/>
          </w:tcPr>
          <w:p w14:paraId="5C9BE395"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36.94</w:t>
            </w:r>
          </w:p>
        </w:tc>
        <w:tc>
          <w:tcPr>
            <w:tcW w:w="0" w:type="auto"/>
          </w:tcPr>
          <w:p w14:paraId="6376B5CA"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39.13</w:t>
            </w:r>
          </w:p>
        </w:tc>
        <w:tc>
          <w:tcPr>
            <w:tcW w:w="0" w:type="auto"/>
          </w:tcPr>
          <w:p w14:paraId="5C28E2B1"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94.42</w:t>
            </w:r>
          </w:p>
        </w:tc>
        <w:tc>
          <w:tcPr>
            <w:tcW w:w="0" w:type="auto"/>
          </w:tcPr>
          <w:p w14:paraId="278D981D"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12.17</w:t>
            </w:r>
          </w:p>
        </w:tc>
        <w:tc>
          <w:tcPr>
            <w:tcW w:w="0" w:type="auto"/>
          </w:tcPr>
          <w:p w14:paraId="7E115504"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9.01</w:t>
            </w:r>
          </w:p>
        </w:tc>
        <w:tc>
          <w:tcPr>
            <w:tcW w:w="0" w:type="auto"/>
          </w:tcPr>
          <w:p w14:paraId="79F77B67"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4.50</w:t>
            </w:r>
          </w:p>
        </w:tc>
        <w:tc>
          <w:tcPr>
            <w:tcW w:w="0" w:type="auto"/>
          </w:tcPr>
          <w:p w14:paraId="26460F7D"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4.63</w:t>
            </w:r>
          </w:p>
        </w:tc>
      </w:tr>
      <w:tr w:rsidR="00A4130C" w:rsidRPr="00A4130C" w14:paraId="23AAACAE" w14:textId="77777777" w:rsidTr="00A4130C">
        <w:tc>
          <w:tcPr>
            <w:tcW w:w="0" w:type="auto"/>
          </w:tcPr>
          <w:p w14:paraId="7282A478" w14:textId="1D350457"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4.</w:t>
            </w:r>
          </w:p>
        </w:tc>
        <w:tc>
          <w:tcPr>
            <w:tcW w:w="0" w:type="auto"/>
          </w:tcPr>
          <w:p w14:paraId="17924CAC" w14:textId="2DB421D5"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color w:val="000000"/>
                <w:sz w:val="20"/>
                <w:szCs w:val="20"/>
              </w:rPr>
              <w:t>Number of primary branches per plant</w:t>
            </w:r>
          </w:p>
        </w:tc>
        <w:tc>
          <w:tcPr>
            <w:tcW w:w="0" w:type="auto"/>
          </w:tcPr>
          <w:p w14:paraId="62942DA3"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8.17</w:t>
            </w:r>
          </w:p>
        </w:tc>
        <w:tc>
          <w:tcPr>
            <w:tcW w:w="0" w:type="auto"/>
          </w:tcPr>
          <w:p w14:paraId="69A7A72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4.68</w:t>
            </w:r>
          </w:p>
        </w:tc>
        <w:tc>
          <w:tcPr>
            <w:tcW w:w="0" w:type="auto"/>
          </w:tcPr>
          <w:p w14:paraId="5FC51E7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12.34</w:t>
            </w:r>
          </w:p>
        </w:tc>
        <w:tc>
          <w:tcPr>
            <w:tcW w:w="0" w:type="auto"/>
          </w:tcPr>
          <w:p w14:paraId="282ED97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2.74</w:t>
            </w:r>
          </w:p>
        </w:tc>
        <w:tc>
          <w:tcPr>
            <w:tcW w:w="0" w:type="auto"/>
          </w:tcPr>
          <w:p w14:paraId="285A0F23"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3.29</w:t>
            </w:r>
          </w:p>
        </w:tc>
        <w:tc>
          <w:tcPr>
            <w:tcW w:w="0" w:type="auto"/>
          </w:tcPr>
          <w:p w14:paraId="2203882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83.28</w:t>
            </w:r>
          </w:p>
        </w:tc>
        <w:tc>
          <w:tcPr>
            <w:tcW w:w="0" w:type="auto"/>
          </w:tcPr>
          <w:p w14:paraId="7C8C3E13"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3.11</w:t>
            </w:r>
          </w:p>
        </w:tc>
        <w:tc>
          <w:tcPr>
            <w:tcW w:w="0" w:type="auto"/>
          </w:tcPr>
          <w:p w14:paraId="2B36584A"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38.05</w:t>
            </w:r>
          </w:p>
        </w:tc>
        <w:tc>
          <w:tcPr>
            <w:tcW w:w="0" w:type="auto"/>
          </w:tcPr>
          <w:p w14:paraId="5EE5CC3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20.24</w:t>
            </w:r>
          </w:p>
        </w:tc>
        <w:tc>
          <w:tcPr>
            <w:tcW w:w="0" w:type="auto"/>
          </w:tcPr>
          <w:p w14:paraId="30D98406"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22.18</w:t>
            </w:r>
          </w:p>
        </w:tc>
      </w:tr>
      <w:tr w:rsidR="00A4130C" w:rsidRPr="00A4130C" w14:paraId="33E88DB8" w14:textId="77777777" w:rsidTr="00A4130C">
        <w:tc>
          <w:tcPr>
            <w:tcW w:w="0" w:type="auto"/>
          </w:tcPr>
          <w:p w14:paraId="44782C53" w14:textId="541D0386"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5.</w:t>
            </w:r>
          </w:p>
        </w:tc>
        <w:tc>
          <w:tcPr>
            <w:tcW w:w="0" w:type="auto"/>
          </w:tcPr>
          <w:p w14:paraId="65AF4229" w14:textId="18EC835C"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color w:val="000000"/>
                <w:sz w:val="20"/>
                <w:szCs w:val="20"/>
              </w:rPr>
              <w:t>Number of secondary branches per plant</w:t>
            </w:r>
          </w:p>
        </w:tc>
        <w:tc>
          <w:tcPr>
            <w:tcW w:w="0" w:type="auto"/>
          </w:tcPr>
          <w:p w14:paraId="0F8A0C85"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15.29</w:t>
            </w:r>
          </w:p>
        </w:tc>
        <w:tc>
          <w:tcPr>
            <w:tcW w:w="0" w:type="auto"/>
          </w:tcPr>
          <w:p w14:paraId="3E0EF3D4"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8.13</w:t>
            </w:r>
          </w:p>
        </w:tc>
        <w:tc>
          <w:tcPr>
            <w:tcW w:w="0" w:type="auto"/>
          </w:tcPr>
          <w:p w14:paraId="5EACD79E"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22.69</w:t>
            </w:r>
          </w:p>
        </w:tc>
        <w:tc>
          <w:tcPr>
            <w:tcW w:w="0" w:type="auto"/>
          </w:tcPr>
          <w:p w14:paraId="27D8ACCE"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9.96</w:t>
            </w:r>
          </w:p>
        </w:tc>
        <w:tc>
          <w:tcPr>
            <w:tcW w:w="0" w:type="auto"/>
          </w:tcPr>
          <w:p w14:paraId="3E6A1D99"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10.75</w:t>
            </w:r>
          </w:p>
        </w:tc>
        <w:tc>
          <w:tcPr>
            <w:tcW w:w="0" w:type="auto"/>
          </w:tcPr>
          <w:p w14:paraId="07FE4A5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92.66</w:t>
            </w:r>
          </w:p>
        </w:tc>
        <w:tc>
          <w:tcPr>
            <w:tcW w:w="0" w:type="auto"/>
          </w:tcPr>
          <w:p w14:paraId="41773B62"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6.26</w:t>
            </w:r>
          </w:p>
        </w:tc>
        <w:tc>
          <w:tcPr>
            <w:tcW w:w="0" w:type="auto"/>
          </w:tcPr>
          <w:p w14:paraId="162DEC8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40.93</w:t>
            </w:r>
          </w:p>
        </w:tc>
        <w:tc>
          <w:tcPr>
            <w:tcW w:w="0" w:type="auto"/>
          </w:tcPr>
          <w:p w14:paraId="7AD7CD4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20.64</w:t>
            </w:r>
          </w:p>
        </w:tc>
        <w:tc>
          <w:tcPr>
            <w:tcW w:w="0" w:type="auto"/>
          </w:tcPr>
          <w:p w14:paraId="43EB45F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21.44</w:t>
            </w:r>
          </w:p>
        </w:tc>
      </w:tr>
      <w:tr w:rsidR="00A4130C" w:rsidRPr="00A4130C" w14:paraId="511EFBCF" w14:textId="77777777" w:rsidTr="00A4130C">
        <w:tc>
          <w:tcPr>
            <w:tcW w:w="0" w:type="auto"/>
          </w:tcPr>
          <w:p w14:paraId="0311D2D2" w14:textId="0E637A3B"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6.</w:t>
            </w:r>
          </w:p>
        </w:tc>
        <w:tc>
          <w:tcPr>
            <w:tcW w:w="0" w:type="auto"/>
          </w:tcPr>
          <w:p w14:paraId="7B919605" w14:textId="51494611"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color w:val="000000"/>
                <w:sz w:val="20"/>
                <w:szCs w:val="20"/>
              </w:rPr>
              <w:t>Plant height (cm)</w:t>
            </w:r>
          </w:p>
        </w:tc>
        <w:tc>
          <w:tcPr>
            <w:tcW w:w="0" w:type="auto"/>
          </w:tcPr>
          <w:p w14:paraId="1B353747"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188.87</w:t>
            </w:r>
          </w:p>
        </w:tc>
        <w:tc>
          <w:tcPr>
            <w:tcW w:w="0" w:type="auto"/>
          </w:tcPr>
          <w:p w14:paraId="63966333"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144.50</w:t>
            </w:r>
          </w:p>
        </w:tc>
        <w:tc>
          <w:tcPr>
            <w:tcW w:w="0" w:type="auto"/>
          </w:tcPr>
          <w:p w14:paraId="1B689583"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245.63</w:t>
            </w:r>
          </w:p>
        </w:tc>
        <w:tc>
          <w:tcPr>
            <w:tcW w:w="0" w:type="auto"/>
          </w:tcPr>
          <w:p w14:paraId="163C915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620.38</w:t>
            </w:r>
          </w:p>
        </w:tc>
        <w:tc>
          <w:tcPr>
            <w:tcW w:w="0" w:type="auto"/>
          </w:tcPr>
          <w:p w14:paraId="2CA08CC6"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622.53</w:t>
            </w:r>
          </w:p>
        </w:tc>
        <w:tc>
          <w:tcPr>
            <w:tcW w:w="0" w:type="auto"/>
          </w:tcPr>
          <w:p w14:paraId="26455D6D"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99.65</w:t>
            </w:r>
          </w:p>
        </w:tc>
        <w:tc>
          <w:tcPr>
            <w:tcW w:w="0" w:type="auto"/>
          </w:tcPr>
          <w:p w14:paraId="4E1DDBBD"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51.22</w:t>
            </w:r>
          </w:p>
        </w:tc>
        <w:tc>
          <w:tcPr>
            <w:tcW w:w="0" w:type="auto"/>
          </w:tcPr>
          <w:p w14:paraId="6A83C3E4"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27.12</w:t>
            </w:r>
          </w:p>
        </w:tc>
        <w:tc>
          <w:tcPr>
            <w:tcW w:w="0" w:type="auto"/>
          </w:tcPr>
          <w:p w14:paraId="5BFEE0B0"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13.19</w:t>
            </w:r>
          </w:p>
        </w:tc>
        <w:tc>
          <w:tcPr>
            <w:tcW w:w="0" w:type="auto"/>
          </w:tcPr>
          <w:p w14:paraId="5BFE9820"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13.21</w:t>
            </w:r>
          </w:p>
        </w:tc>
      </w:tr>
      <w:tr w:rsidR="00A4130C" w:rsidRPr="00A4130C" w14:paraId="7AF96FAA" w14:textId="77777777" w:rsidTr="00A4130C">
        <w:tc>
          <w:tcPr>
            <w:tcW w:w="0" w:type="auto"/>
          </w:tcPr>
          <w:p w14:paraId="46F059C4" w14:textId="682A22A0"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7.</w:t>
            </w:r>
          </w:p>
        </w:tc>
        <w:tc>
          <w:tcPr>
            <w:tcW w:w="0" w:type="auto"/>
          </w:tcPr>
          <w:p w14:paraId="2CAF1B87" w14:textId="5DD17131"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color w:val="000000"/>
                <w:sz w:val="20"/>
                <w:szCs w:val="20"/>
              </w:rPr>
              <w:t>Length of main raceme (cm)</w:t>
            </w:r>
          </w:p>
        </w:tc>
        <w:tc>
          <w:tcPr>
            <w:tcW w:w="0" w:type="auto"/>
          </w:tcPr>
          <w:p w14:paraId="54BFD006"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64.65</w:t>
            </w:r>
          </w:p>
        </w:tc>
        <w:tc>
          <w:tcPr>
            <w:tcW w:w="0" w:type="auto"/>
          </w:tcPr>
          <w:p w14:paraId="5D9C690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48.59</w:t>
            </w:r>
          </w:p>
        </w:tc>
        <w:tc>
          <w:tcPr>
            <w:tcW w:w="0" w:type="auto"/>
          </w:tcPr>
          <w:p w14:paraId="5476B64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82.58</w:t>
            </w:r>
          </w:p>
        </w:tc>
        <w:tc>
          <w:tcPr>
            <w:tcW w:w="0" w:type="auto"/>
          </w:tcPr>
          <w:p w14:paraId="693C3947"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46.11</w:t>
            </w:r>
          </w:p>
        </w:tc>
        <w:tc>
          <w:tcPr>
            <w:tcW w:w="0" w:type="auto"/>
          </w:tcPr>
          <w:p w14:paraId="466E576C"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47.42</w:t>
            </w:r>
          </w:p>
        </w:tc>
        <w:tc>
          <w:tcPr>
            <w:tcW w:w="0" w:type="auto"/>
          </w:tcPr>
          <w:p w14:paraId="121CA307"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97.24</w:t>
            </w:r>
          </w:p>
        </w:tc>
        <w:tc>
          <w:tcPr>
            <w:tcW w:w="0" w:type="auto"/>
          </w:tcPr>
          <w:p w14:paraId="6FA70062"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13.79</w:t>
            </w:r>
          </w:p>
        </w:tc>
        <w:tc>
          <w:tcPr>
            <w:tcW w:w="0" w:type="auto"/>
          </w:tcPr>
          <w:p w14:paraId="74C69C52"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21.34</w:t>
            </w:r>
          </w:p>
        </w:tc>
        <w:tc>
          <w:tcPr>
            <w:tcW w:w="0" w:type="auto"/>
          </w:tcPr>
          <w:p w14:paraId="0267E536"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10.50</w:t>
            </w:r>
          </w:p>
        </w:tc>
        <w:tc>
          <w:tcPr>
            <w:tcW w:w="0" w:type="auto"/>
          </w:tcPr>
          <w:p w14:paraId="66D0FFFD"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10.65</w:t>
            </w:r>
          </w:p>
        </w:tc>
      </w:tr>
      <w:tr w:rsidR="00A4130C" w:rsidRPr="00A4130C" w14:paraId="6F2C5E84" w14:textId="77777777" w:rsidTr="00A4130C">
        <w:tc>
          <w:tcPr>
            <w:tcW w:w="0" w:type="auto"/>
          </w:tcPr>
          <w:p w14:paraId="4A15045B" w14:textId="32945D13"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8.</w:t>
            </w:r>
          </w:p>
        </w:tc>
        <w:tc>
          <w:tcPr>
            <w:tcW w:w="0" w:type="auto"/>
          </w:tcPr>
          <w:p w14:paraId="4E3DCD09" w14:textId="0DB09371"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color w:val="000000"/>
                <w:sz w:val="20"/>
                <w:szCs w:val="20"/>
              </w:rPr>
              <w:t xml:space="preserve">Leaf area index </w:t>
            </w:r>
          </w:p>
        </w:tc>
        <w:tc>
          <w:tcPr>
            <w:tcW w:w="0" w:type="auto"/>
          </w:tcPr>
          <w:p w14:paraId="33EFAAE9"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4.03</w:t>
            </w:r>
          </w:p>
        </w:tc>
        <w:tc>
          <w:tcPr>
            <w:tcW w:w="0" w:type="auto"/>
          </w:tcPr>
          <w:p w14:paraId="0C7C81E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2.44</w:t>
            </w:r>
          </w:p>
        </w:tc>
        <w:tc>
          <w:tcPr>
            <w:tcW w:w="0" w:type="auto"/>
          </w:tcPr>
          <w:p w14:paraId="1F90BC9C"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5.60</w:t>
            </w:r>
          </w:p>
        </w:tc>
        <w:tc>
          <w:tcPr>
            <w:tcW w:w="0" w:type="auto"/>
          </w:tcPr>
          <w:p w14:paraId="0EA074E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0.59</w:t>
            </w:r>
          </w:p>
        </w:tc>
        <w:tc>
          <w:tcPr>
            <w:tcW w:w="0" w:type="auto"/>
          </w:tcPr>
          <w:p w14:paraId="3CB19FA7"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0.64</w:t>
            </w:r>
          </w:p>
        </w:tc>
        <w:tc>
          <w:tcPr>
            <w:tcW w:w="0" w:type="auto"/>
          </w:tcPr>
          <w:p w14:paraId="0546AC6D"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92.83</w:t>
            </w:r>
          </w:p>
        </w:tc>
        <w:tc>
          <w:tcPr>
            <w:tcW w:w="0" w:type="auto"/>
          </w:tcPr>
          <w:p w14:paraId="03519483"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1.53</w:t>
            </w:r>
          </w:p>
        </w:tc>
        <w:tc>
          <w:tcPr>
            <w:tcW w:w="0" w:type="auto"/>
          </w:tcPr>
          <w:p w14:paraId="6BBB20EE"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37.97</w:t>
            </w:r>
          </w:p>
        </w:tc>
        <w:tc>
          <w:tcPr>
            <w:tcW w:w="0" w:type="auto"/>
          </w:tcPr>
          <w:p w14:paraId="04EB4546"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19.13</w:t>
            </w:r>
          </w:p>
        </w:tc>
        <w:tc>
          <w:tcPr>
            <w:tcW w:w="0" w:type="auto"/>
          </w:tcPr>
          <w:p w14:paraId="50CD4DBE"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19.86</w:t>
            </w:r>
          </w:p>
        </w:tc>
      </w:tr>
      <w:tr w:rsidR="00A4130C" w:rsidRPr="00A4130C" w14:paraId="79626C34" w14:textId="77777777" w:rsidTr="00A4130C">
        <w:tc>
          <w:tcPr>
            <w:tcW w:w="0" w:type="auto"/>
          </w:tcPr>
          <w:p w14:paraId="0E20286B" w14:textId="64191498"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9.</w:t>
            </w:r>
          </w:p>
        </w:tc>
        <w:tc>
          <w:tcPr>
            <w:tcW w:w="0" w:type="auto"/>
          </w:tcPr>
          <w:p w14:paraId="1432EEC2" w14:textId="2354FAA4"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color w:val="000000"/>
                <w:sz w:val="20"/>
                <w:szCs w:val="20"/>
              </w:rPr>
              <w:t>Number of siliquae per plant</w:t>
            </w:r>
          </w:p>
        </w:tc>
        <w:tc>
          <w:tcPr>
            <w:tcW w:w="0" w:type="auto"/>
          </w:tcPr>
          <w:p w14:paraId="00FE453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239.85</w:t>
            </w:r>
          </w:p>
        </w:tc>
        <w:tc>
          <w:tcPr>
            <w:tcW w:w="0" w:type="auto"/>
          </w:tcPr>
          <w:p w14:paraId="35B34147"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110.51</w:t>
            </w:r>
          </w:p>
        </w:tc>
        <w:tc>
          <w:tcPr>
            <w:tcW w:w="0" w:type="auto"/>
          </w:tcPr>
          <w:p w14:paraId="38DC0DE5"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419.25</w:t>
            </w:r>
          </w:p>
        </w:tc>
        <w:tc>
          <w:tcPr>
            <w:tcW w:w="0" w:type="auto"/>
          </w:tcPr>
          <w:p w14:paraId="6D0DEBF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2767.50</w:t>
            </w:r>
          </w:p>
        </w:tc>
        <w:tc>
          <w:tcPr>
            <w:tcW w:w="0" w:type="auto"/>
          </w:tcPr>
          <w:p w14:paraId="4A228AD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2769.37</w:t>
            </w:r>
          </w:p>
        </w:tc>
        <w:tc>
          <w:tcPr>
            <w:tcW w:w="0" w:type="auto"/>
          </w:tcPr>
          <w:p w14:paraId="2A365791"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99.93</w:t>
            </w:r>
          </w:p>
        </w:tc>
        <w:tc>
          <w:tcPr>
            <w:tcW w:w="0" w:type="auto"/>
          </w:tcPr>
          <w:p w14:paraId="01CA2541"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108.33</w:t>
            </w:r>
          </w:p>
        </w:tc>
        <w:tc>
          <w:tcPr>
            <w:tcW w:w="0" w:type="auto"/>
          </w:tcPr>
          <w:p w14:paraId="4303DE5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45.17</w:t>
            </w:r>
          </w:p>
        </w:tc>
        <w:tc>
          <w:tcPr>
            <w:tcW w:w="0" w:type="auto"/>
          </w:tcPr>
          <w:p w14:paraId="0675A480"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21.93</w:t>
            </w:r>
          </w:p>
        </w:tc>
        <w:tc>
          <w:tcPr>
            <w:tcW w:w="0" w:type="auto"/>
          </w:tcPr>
          <w:p w14:paraId="6A347466"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21.94</w:t>
            </w:r>
          </w:p>
        </w:tc>
      </w:tr>
      <w:tr w:rsidR="00A4130C" w:rsidRPr="00A4130C" w14:paraId="7B8716A0" w14:textId="77777777" w:rsidTr="00A4130C">
        <w:tc>
          <w:tcPr>
            <w:tcW w:w="0" w:type="auto"/>
          </w:tcPr>
          <w:p w14:paraId="655C5A73" w14:textId="2C7E9647"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10.</w:t>
            </w:r>
          </w:p>
        </w:tc>
        <w:tc>
          <w:tcPr>
            <w:tcW w:w="0" w:type="auto"/>
          </w:tcPr>
          <w:p w14:paraId="4FDE1075" w14:textId="02BB4540"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Number of seeds per siliqua</w:t>
            </w:r>
          </w:p>
        </w:tc>
        <w:tc>
          <w:tcPr>
            <w:tcW w:w="0" w:type="auto"/>
          </w:tcPr>
          <w:p w14:paraId="152A453A"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15.29</w:t>
            </w:r>
          </w:p>
        </w:tc>
        <w:tc>
          <w:tcPr>
            <w:tcW w:w="0" w:type="auto"/>
          </w:tcPr>
          <w:p w14:paraId="11AE8B0E"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12.14</w:t>
            </w:r>
          </w:p>
        </w:tc>
        <w:tc>
          <w:tcPr>
            <w:tcW w:w="0" w:type="auto"/>
          </w:tcPr>
          <w:p w14:paraId="70194869"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18.32</w:t>
            </w:r>
          </w:p>
        </w:tc>
        <w:tc>
          <w:tcPr>
            <w:tcW w:w="0" w:type="auto"/>
          </w:tcPr>
          <w:p w14:paraId="14FBEA6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1.95</w:t>
            </w:r>
          </w:p>
        </w:tc>
        <w:tc>
          <w:tcPr>
            <w:tcW w:w="0" w:type="auto"/>
          </w:tcPr>
          <w:p w14:paraId="1F5CD18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2.56</w:t>
            </w:r>
          </w:p>
        </w:tc>
        <w:tc>
          <w:tcPr>
            <w:tcW w:w="0" w:type="auto"/>
          </w:tcPr>
          <w:p w14:paraId="46DF0CE5"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76.28</w:t>
            </w:r>
          </w:p>
        </w:tc>
        <w:tc>
          <w:tcPr>
            <w:tcW w:w="0" w:type="auto"/>
          </w:tcPr>
          <w:p w14:paraId="75FE99C2"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2.51</w:t>
            </w:r>
          </w:p>
        </w:tc>
        <w:tc>
          <w:tcPr>
            <w:tcW w:w="0" w:type="auto"/>
          </w:tcPr>
          <w:p w14:paraId="435DAF3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16.44</w:t>
            </w:r>
          </w:p>
        </w:tc>
        <w:tc>
          <w:tcPr>
            <w:tcW w:w="0" w:type="auto"/>
          </w:tcPr>
          <w:p w14:paraId="7C18E2D1"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9.13</w:t>
            </w:r>
          </w:p>
        </w:tc>
        <w:tc>
          <w:tcPr>
            <w:tcW w:w="0" w:type="auto"/>
          </w:tcPr>
          <w:p w14:paraId="61C27172"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10.46</w:t>
            </w:r>
          </w:p>
        </w:tc>
      </w:tr>
      <w:tr w:rsidR="00A4130C" w:rsidRPr="00A4130C" w14:paraId="7B60AC0B" w14:textId="77777777" w:rsidTr="00A4130C">
        <w:tc>
          <w:tcPr>
            <w:tcW w:w="0" w:type="auto"/>
          </w:tcPr>
          <w:p w14:paraId="5A29F2C6" w14:textId="038D2D72"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11.</w:t>
            </w:r>
          </w:p>
        </w:tc>
        <w:tc>
          <w:tcPr>
            <w:tcW w:w="0" w:type="auto"/>
          </w:tcPr>
          <w:p w14:paraId="087BEDC4" w14:textId="2306E272"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Test weight (g)</w:t>
            </w:r>
          </w:p>
        </w:tc>
        <w:tc>
          <w:tcPr>
            <w:tcW w:w="0" w:type="auto"/>
          </w:tcPr>
          <w:p w14:paraId="155D3293"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5.04</w:t>
            </w:r>
          </w:p>
        </w:tc>
        <w:tc>
          <w:tcPr>
            <w:tcW w:w="0" w:type="auto"/>
          </w:tcPr>
          <w:p w14:paraId="3369F7FC"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3.27</w:t>
            </w:r>
          </w:p>
        </w:tc>
        <w:tc>
          <w:tcPr>
            <w:tcW w:w="0" w:type="auto"/>
          </w:tcPr>
          <w:p w14:paraId="035B5C70"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6.73</w:t>
            </w:r>
          </w:p>
        </w:tc>
        <w:tc>
          <w:tcPr>
            <w:tcW w:w="0" w:type="auto"/>
          </w:tcPr>
          <w:p w14:paraId="62F5D8A7"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0.90</w:t>
            </w:r>
          </w:p>
        </w:tc>
        <w:tc>
          <w:tcPr>
            <w:tcW w:w="0" w:type="auto"/>
          </w:tcPr>
          <w:p w14:paraId="0C855FB4"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0.99</w:t>
            </w:r>
          </w:p>
        </w:tc>
        <w:tc>
          <w:tcPr>
            <w:tcW w:w="0" w:type="auto"/>
          </w:tcPr>
          <w:p w14:paraId="73B5387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90.33</w:t>
            </w:r>
          </w:p>
        </w:tc>
        <w:tc>
          <w:tcPr>
            <w:tcW w:w="0" w:type="auto"/>
          </w:tcPr>
          <w:p w14:paraId="0A44BA74"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1.86</w:t>
            </w:r>
          </w:p>
        </w:tc>
        <w:tc>
          <w:tcPr>
            <w:tcW w:w="0" w:type="auto"/>
          </w:tcPr>
          <w:p w14:paraId="09B199A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36.85</w:t>
            </w:r>
          </w:p>
        </w:tc>
        <w:tc>
          <w:tcPr>
            <w:tcW w:w="0" w:type="auto"/>
          </w:tcPr>
          <w:p w14:paraId="7D61821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18.82</w:t>
            </w:r>
          </w:p>
        </w:tc>
        <w:tc>
          <w:tcPr>
            <w:tcW w:w="0" w:type="auto"/>
          </w:tcPr>
          <w:p w14:paraId="20C9DE44"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19.80</w:t>
            </w:r>
          </w:p>
        </w:tc>
      </w:tr>
      <w:tr w:rsidR="00A4130C" w:rsidRPr="00A4130C" w14:paraId="609DCEEC" w14:textId="77777777" w:rsidTr="00A4130C">
        <w:tc>
          <w:tcPr>
            <w:tcW w:w="0" w:type="auto"/>
          </w:tcPr>
          <w:p w14:paraId="1BA5B6B6" w14:textId="08BC6DBA"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12.</w:t>
            </w:r>
          </w:p>
        </w:tc>
        <w:tc>
          <w:tcPr>
            <w:tcW w:w="0" w:type="auto"/>
          </w:tcPr>
          <w:p w14:paraId="46B51DED" w14:textId="16537B16"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Harvest index (%)</w:t>
            </w:r>
          </w:p>
        </w:tc>
        <w:tc>
          <w:tcPr>
            <w:tcW w:w="0" w:type="auto"/>
          </w:tcPr>
          <w:p w14:paraId="2D49F7B9"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27.94</w:t>
            </w:r>
          </w:p>
        </w:tc>
        <w:tc>
          <w:tcPr>
            <w:tcW w:w="0" w:type="auto"/>
          </w:tcPr>
          <w:p w14:paraId="09B139E5"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12.20</w:t>
            </w:r>
          </w:p>
        </w:tc>
        <w:tc>
          <w:tcPr>
            <w:tcW w:w="0" w:type="auto"/>
          </w:tcPr>
          <w:p w14:paraId="6F06B6D1"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37.48</w:t>
            </w:r>
          </w:p>
        </w:tc>
        <w:tc>
          <w:tcPr>
            <w:tcW w:w="0" w:type="auto"/>
          </w:tcPr>
          <w:p w14:paraId="6FA06BB4"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44.41</w:t>
            </w:r>
          </w:p>
        </w:tc>
        <w:tc>
          <w:tcPr>
            <w:tcW w:w="0" w:type="auto"/>
          </w:tcPr>
          <w:p w14:paraId="7850DB4A"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45.26</w:t>
            </w:r>
          </w:p>
        </w:tc>
        <w:tc>
          <w:tcPr>
            <w:tcW w:w="0" w:type="auto"/>
          </w:tcPr>
          <w:p w14:paraId="50F98C4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98.12</w:t>
            </w:r>
          </w:p>
        </w:tc>
        <w:tc>
          <w:tcPr>
            <w:tcW w:w="0" w:type="auto"/>
          </w:tcPr>
          <w:p w14:paraId="1088983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13.60</w:t>
            </w:r>
          </w:p>
        </w:tc>
        <w:tc>
          <w:tcPr>
            <w:tcW w:w="0" w:type="auto"/>
          </w:tcPr>
          <w:p w14:paraId="6344C7A1"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48.67</w:t>
            </w:r>
          </w:p>
        </w:tc>
        <w:tc>
          <w:tcPr>
            <w:tcW w:w="0" w:type="auto"/>
          </w:tcPr>
          <w:p w14:paraId="60AB4E2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23.85</w:t>
            </w:r>
          </w:p>
        </w:tc>
        <w:tc>
          <w:tcPr>
            <w:tcW w:w="0" w:type="auto"/>
          </w:tcPr>
          <w:p w14:paraId="26E2A9EE"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24.08</w:t>
            </w:r>
          </w:p>
        </w:tc>
      </w:tr>
      <w:tr w:rsidR="00A4130C" w:rsidRPr="00A4130C" w14:paraId="24F8BC8F" w14:textId="77777777" w:rsidTr="00A4130C">
        <w:tc>
          <w:tcPr>
            <w:tcW w:w="0" w:type="auto"/>
          </w:tcPr>
          <w:p w14:paraId="4282A111" w14:textId="780BA12C"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13.</w:t>
            </w:r>
          </w:p>
        </w:tc>
        <w:tc>
          <w:tcPr>
            <w:tcW w:w="0" w:type="auto"/>
          </w:tcPr>
          <w:p w14:paraId="21182E2B" w14:textId="3F5F350A"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Oil content (%)</w:t>
            </w:r>
          </w:p>
        </w:tc>
        <w:tc>
          <w:tcPr>
            <w:tcW w:w="0" w:type="auto"/>
          </w:tcPr>
          <w:p w14:paraId="37AFF9D1"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35.97</w:t>
            </w:r>
          </w:p>
        </w:tc>
        <w:tc>
          <w:tcPr>
            <w:tcW w:w="0" w:type="auto"/>
          </w:tcPr>
          <w:p w14:paraId="750FAABA"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32.48</w:t>
            </w:r>
          </w:p>
        </w:tc>
        <w:tc>
          <w:tcPr>
            <w:tcW w:w="0" w:type="auto"/>
          </w:tcPr>
          <w:p w14:paraId="75159FAC"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40.10</w:t>
            </w:r>
          </w:p>
        </w:tc>
        <w:tc>
          <w:tcPr>
            <w:tcW w:w="0" w:type="auto"/>
          </w:tcPr>
          <w:p w14:paraId="599B7E4C"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1.83</w:t>
            </w:r>
          </w:p>
        </w:tc>
        <w:tc>
          <w:tcPr>
            <w:tcW w:w="0" w:type="auto"/>
          </w:tcPr>
          <w:p w14:paraId="3D490A5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2.37</w:t>
            </w:r>
          </w:p>
        </w:tc>
        <w:tc>
          <w:tcPr>
            <w:tcW w:w="0" w:type="auto"/>
          </w:tcPr>
          <w:p w14:paraId="361E988D"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77.28</w:t>
            </w:r>
          </w:p>
        </w:tc>
        <w:tc>
          <w:tcPr>
            <w:tcW w:w="0" w:type="auto"/>
          </w:tcPr>
          <w:p w14:paraId="4ECF371B"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2.45</w:t>
            </w:r>
          </w:p>
        </w:tc>
        <w:tc>
          <w:tcPr>
            <w:tcW w:w="0" w:type="auto"/>
          </w:tcPr>
          <w:p w14:paraId="7E81F77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6.82</w:t>
            </w:r>
          </w:p>
        </w:tc>
        <w:tc>
          <w:tcPr>
            <w:tcW w:w="0" w:type="auto"/>
          </w:tcPr>
          <w:p w14:paraId="5B00CA8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3.77</w:t>
            </w:r>
          </w:p>
        </w:tc>
        <w:tc>
          <w:tcPr>
            <w:tcW w:w="0" w:type="auto"/>
          </w:tcPr>
          <w:p w14:paraId="4866A5F0"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4.28</w:t>
            </w:r>
          </w:p>
        </w:tc>
      </w:tr>
      <w:tr w:rsidR="00A4130C" w:rsidRPr="00A4130C" w14:paraId="2E9374BF" w14:textId="77777777" w:rsidTr="00A4130C">
        <w:tc>
          <w:tcPr>
            <w:tcW w:w="0" w:type="auto"/>
          </w:tcPr>
          <w:p w14:paraId="7FE69141" w14:textId="4FF6E8F6"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14.</w:t>
            </w:r>
          </w:p>
        </w:tc>
        <w:tc>
          <w:tcPr>
            <w:tcW w:w="0" w:type="auto"/>
          </w:tcPr>
          <w:p w14:paraId="756681A7" w14:textId="2869DA40"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Biological yield (g/plant)</w:t>
            </w:r>
          </w:p>
        </w:tc>
        <w:tc>
          <w:tcPr>
            <w:tcW w:w="0" w:type="auto"/>
          </w:tcPr>
          <w:p w14:paraId="7888DD59"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63.30</w:t>
            </w:r>
          </w:p>
        </w:tc>
        <w:tc>
          <w:tcPr>
            <w:tcW w:w="0" w:type="auto"/>
          </w:tcPr>
          <w:p w14:paraId="35A09EF0"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19.39</w:t>
            </w:r>
          </w:p>
        </w:tc>
        <w:tc>
          <w:tcPr>
            <w:tcW w:w="0" w:type="auto"/>
          </w:tcPr>
          <w:p w14:paraId="6DFE1D8C"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192.05</w:t>
            </w:r>
          </w:p>
        </w:tc>
        <w:tc>
          <w:tcPr>
            <w:tcW w:w="0" w:type="auto"/>
          </w:tcPr>
          <w:p w14:paraId="48C0852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676.81</w:t>
            </w:r>
          </w:p>
        </w:tc>
        <w:tc>
          <w:tcPr>
            <w:tcW w:w="0" w:type="auto"/>
          </w:tcPr>
          <w:p w14:paraId="1CC249B2"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699.95</w:t>
            </w:r>
          </w:p>
        </w:tc>
        <w:tc>
          <w:tcPr>
            <w:tcW w:w="0" w:type="auto"/>
          </w:tcPr>
          <w:p w14:paraId="64920189"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96.69</w:t>
            </w:r>
          </w:p>
        </w:tc>
        <w:tc>
          <w:tcPr>
            <w:tcW w:w="0" w:type="auto"/>
          </w:tcPr>
          <w:p w14:paraId="5051D6BC"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52.70</w:t>
            </w:r>
          </w:p>
        </w:tc>
        <w:tc>
          <w:tcPr>
            <w:tcW w:w="0" w:type="auto"/>
          </w:tcPr>
          <w:p w14:paraId="6EA7CEB3"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83.25</w:t>
            </w:r>
          </w:p>
        </w:tc>
        <w:tc>
          <w:tcPr>
            <w:tcW w:w="0" w:type="auto"/>
          </w:tcPr>
          <w:p w14:paraId="36B19227"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41.10</w:t>
            </w:r>
          </w:p>
        </w:tc>
        <w:tc>
          <w:tcPr>
            <w:tcW w:w="0" w:type="auto"/>
          </w:tcPr>
          <w:p w14:paraId="5540B603"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41.79</w:t>
            </w:r>
          </w:p>
        </w:tc>
      </w:tr>
      <w:tr w:rsidR="00A4130C" w:rsidRPr="00A4130C" w14:paraId="4C2154C6" w14:textId="77777777" w:rsidTr="00A4130C">
        <w:tc>
          <w:tcPr>
            <w:tcW w:w="0" w:type="auto"/>
          </w:tcPr>
          <w:p w14:paraId="240522F5" w14:textId="545E9FEA"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15.</w:t>
            </w:r>
          </w:p>
        </w:tc>
        <w:tc>
          <w:tcPr>
            <w:tcW w:w="0" w:type="auto"/>
          </w:tcPr>
          <w:p w14:paraId="69F28D30" w14:textId="4B5F59CE" w:rsidR="00A4130C" w:rsidRPr="00A4130C" w:rsidRDefault="00A4130C" w:rsidP="001E43F4">
            <w:pPr>
              <w:rPr>
                <w:rFonts w:ascii="Times New Roman" w:hAnsi="Times New Roman" w:cs="Times New Roman"/>
                <w:color w:val="000000"/>
                <w:sz w:val="20"/>
                <w:szCs w:val="20"/>
              </w:rPr>
            </w:pPr>
            <w:r w:rsidRPr="00A4130C">
              <w:rPr>
                <w:rFonts w:ascii="Times New Roman" w:hAnsi="Times New Roman" w:cs="Times New Roman"/>
                <w:color w:val="000000"/>
                <w:sz w:val="20"/>
                <w:szCs w:val="20"/>
              </w:rPr>
              <w:t>Seed yield (g/plant)</w:t>
            </w:r>
          </w:p>
        </w:tc>
        <w:tc>
          <w:tcPr>
            <w:tcW w:w="0" w:type="auto"/>
          </w:tcPr>
          <w:p w14:paraId="191F676C"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17.00</w:t>
            </w:r>
          </w:p>
        </w:tc>
        <w:tc>
          <w:tcPr>
            <w:tcW w:w="0" w:type="auto"/>
          </w:tcPr>
          <w:p w14:paraId="64CF4CC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5.94</w:t>
            </w:r>
          </w:p>
        </w:tc>
        <w:tc>
          <w:tcPr>
            <w:tcW w:w="0" w:type="auto"/>
          </w:tcPr>
          <w:p w14:paraId="7FC29256"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33.26</w:t>
            </w:r>
          </w:p>
        </w:tc>
        <w:tc>
          <w:tcPr>
            <w:tcW w:w="0" w:type="auto"/>
          </w:tcPr>
          <w:p w14:paraId="6674F815"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37.08</w:t>
            </w:r>
          </w:p>
        </w:tc>
        <w:tc>
          <w:tcPr>
            <w:tcW w:w="0" w:type="auto"/>
          </w:tcPr>
          <w:p w14:paraId="305E2DCC"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38.14</w:t>
            </w:r>
          </w:p>
        </w:tc>
        <w:tc>
          <w:tcPr>
            <w:tcW w:w="0" w:type="auto"/>
          </w:tcPr>
          <w:p w14:paraId="280FC1BA"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97.22</w:t>
            </w:r>
          </w:p>
        </w:tc>
        <w:tc>
          <w:tcPr>
            <w:tcW w:w="0" w:type="auto"/>
          </w:tcPr>
          <w:p w14:paraId="7F87D582"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12.37</w:t>
            </w:r>
          </w:p>
        </w:tc>
        <w:tc>
          <w:tcPr>
            <w:tcW w:w="0" w:type="auto"/>
          </w:tcPr>
          <w:p w14:paraId="1916CD5F"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72.74</w:t>
            </w:r>
          </w:p>
        </w:tc>
        <w:tc>
          <w:tcPr>
            <w:tcW w:w="0" w:type="auto"/>
          </w:tcPr>
          <w:p w14:paraId="1AD173C8"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35.81</w:t>
            </w:r>
          </w:p>
        </w:tc>
        <w:tc>
          <w:tcPr>
            <w:tcW w:w="0" w:type="auto"/>
          </w:tcPr>
          <w:p w14:paraId="705370F5" w14:textId="77777777" w:rsidR="00A4130C" w:rsidRPr="00A4130C" w:rsidRDefault="00A4130C" w:rsidP="001E43F4">
            <w:pPr>
              <w:rPr>
                <w:rFonts w:ascii="Times New Roman" w:hAnsi="Times New Roman" w:cs="Times New Roman"/>
                <w:sz w:val="20"/>
                <w:szCs w:val="20"/>
                <w:lang w:val="en-US"/>
              </w:rPr>
            </w:pPr>
            <w:r w:rsidRPr="00A4130C">
              <w:rPr>
                <w:rFonts w:ascii="Times New Roman" w:hAnsi="Times New Roman" w:cs="Times New Roman"/>
                <w:sz w:val="20"/>
                <w:szCs w:val="20"/>
              </w:rPr>
              <w:t>36.32</w:t>
            </w:r>
          </w:p>
        </w:tc>
      </w:tr>
    </w:tbl>
    <w:p w14:paraId="50D3B1D2" w14:textId="77777777" w:rsidR="00436A62" w:rsidRDefault="00436A62" w:rsidP="00D633CD">
      <w:pPr>
        <w:rPr>
          <w:rFonts w:ascii="Times New Roman" w:hAnsi="Times New Roman" w:cs="Times New Roman"/>
          <w:sz w:val="24"/>
          <w:szCs w:val="24"/>
          <w:lang w:val="en-US"/>
        </w:rPr>
      </w:pPr>
    </w:p>
    <w:p w14:paraId="560AFCBB" w14:textId="77777777" w:rsidR="000A127C" w:rsidRDefault="000A127C" w:rsidP="00DE7425">
      <w:pPr>
        <w:tabs>
          <w:tab w:val="left" w:pos="1950"/>
        </w:tabs>
        <w:rPr>
          <w:rFonts w:ascii="Times New Roman" w:hAnsi="Times New Roman" w:cs="Times New Roman"/>
          <w:sz w:val="24"/>
          <w:szCs w:val="24"/>
          <w:lang w:val="en-US"/>
        </w:rPr>
        <w:sectPr w:rsidR="000A127C" w:rsidSect="00E539E5">
          <w:pgSz w:w="16838" w:h="11906" w:orient="landscape" w:code="9"/>
          <w:pgMar w:top="1440" w:right="1440" w:bottom="1440" w:left="1440" w:header="709" w:footer="709" w:gutter="0"/>
          <w:cols w:space="708"/>
          <w:docGrid w:linePitch="360"/>
        </w:sectPr>
      </w:pPr>
    </w:p>
    <w:p w14:paraId="28BACFB8" w14:textId="77777777" w:rsidR="000A127C" w:rsidRDefault="00D84C08" w:rsidP="00DE7425">
      <w:pPr>
        <w:tabs>
          <w:tab w:val="left" w:pos="1950"/>
        </w:tabs>
        <w:rPr>
          <w:rFonts w:ascii="Times New Roman" w:hAnsi="Times New Roman" w:cs="Times New Roman"/>
          <w:sz w:val="24"/>
          <w:szCs w:val="24"/>
          <w:lang w:val="en-US"/>
        </w:rPr>
      </w:pPr>
      <w:r>
        <w:rPr>
          <w:noProof/>
        </w:rPr>
        <w:lastRenderedPageBreak/>
        <w:drawing>
          <wp:inline distT="0" distB="0" distL="0" distR="0" wp14:anchorId="2EED5F14" wp14:editId="32C0E340">
            <wp:extent cx="5613400" cy="3943350"/>
            <wp:effectExtent l="0" t="0" r="6350" b="0"/>
            <wp:docPr id="1253343333" name="Chart 1">
              <a:extLst xmlns:a="http://schemas.openxmlformats.org/drawingml/2006/main">
                <a:ext uri="{FF2B5EF4-FFF2-40B4-BE49-F238E27FC236}">
                  <a16:creationId xmlns:a16="http://schemas.microsoft.com/office/drawing/2014/main" id="{87CBE7D8-B7E8-4F7F-D92D-CAFE2531E6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8E725D" w14:textId="21BF980B" w:rsidR="000A127C" w:rsidRDefault="000A127C" w:rsidP="00DE7425">
      <w:pPr>
        <w:tabs>
          <w:tab w:val="left" w:pos="1950"/>
        </w:tabs>
        <w:rPr>
          <w:rFonts w:ascii="Times New Roman" w:hAnsi="Times New Roman" w:cs="Times New Roman"/>
          <w:sz w:val="24"/>
          <w:szCs w:val="24"/>
          <w:lang w:val="en-US"/>
        </w:rPr>
        <w:sectPr w:rsidR="000A127C" w:rsidSect="000A127C">
          <w:pgSz w:w="11906" w:h="16838" w:code="9"/>
          <w:pgMar w:top="1440" w:right="1440" w:bottom="1440" w:left="1440" w:header="709" w:footer="709" w:gutter="0"/>
          <w:cols w:space="708"/>
          <w:docGrid w:linePitch="360"/>
        </w:sectPr>
      </w:pPr>
      <w:r>
        <w:rPr>
          <w:noProof/>
        </w:rPr>
        <w:drawing>
          <wp:inline distT="0" distB="0" distL="0" distR="0" wp14:anchorId="4E389B70" wp14:editId="1AEE64A9">
            <wp:extent cx="5575300" cy="4140200"/>
            <wp:effectExtent l="0" t="0" r="6350" b="12700"/>
            <wp:docPr id="1288520313" name="Chart 1">
              <a:extLst xmlns:a="http://schemas.openxmlformats.org/drawingml/2006/main">
                <a:ext uri="{FF2B5EF4-FFF2-40B4-BE49-F238E27FC236}">
                  <a16:creationId xmlns:a16="http://schemas.microsoft.com/office/drawing/2014/main" id="{88295F2E-CF22-3D50-454E-E74D20B245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FBBCA0" w14:textId="01FA2761" w:rsidR="00250059" w:rsidRDefault="00250059" w:rsidP="00067024">
      <w:pPr>
        <w:tabs>
          <w:tab w:val="left" w:pos="1950"/>
        </w:tabs>
        <w:rPr>
          <w:rFonts w:ascii="Times New Roman" w:hAnsi="Times New Roman" w:cs="Times New Roman"/>
          <w:sz w:val="24"/>
          <w:szCs w:val="24"/>
          <w:lang w:val="en-US"/>
        </w:rPr>
      </w:pPr>
    </w:p>
    <w:sectPr w:rsidR="00250059" w:rsidSect="00E539E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937F5" w14:textId="77777777" w:rsidR="007E39AA" w:rsidRDefault="007E39AA" w:rsidP="00CB76F9">
      <w:pPr>
        <w:spacing w:after="0" w:line="240" w:lineRule="auto"/>
      </w:pPr>
      <w:r>
        <w:separator/>
      </w:r>
    </w:p>
  </w:endnote>
  <w:endnote w:type="continuationSeparator" w:id="0">
    <w:p w14:paraId="32EE18D7" w14:textId="77777777" w:rsidR="007E39AA" w:rsidRDefault="007E39AA" w:rsidP="00CB7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C3E13" w14:textId="77777777" w:rsidR="007E39AA" w:rsidRDefault="007E39AA" w:rsidP="00CB76F9">
      <w:pPr>
        <w:spacing w:after="0" w:line="240" w:lineRule="auto"/>
      </w:pPr>
      <w:r>
        <w:separator/>
      </w:r>
    </w:p>
  </w:footnote>
  <w:footnote w:type="continuationSeparator" w:id="0">
    <w:p w14:paraId="633A6DDF" w14:textId="77777777" w:rsidR="007E39AA" w:rsidRDefault="007E39AA" w:rsidP="00CB7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0D616" w14:textId="58583715" w:rsidR="00CB76F9" w:rsidRDefault="007E39AA">
    <w:pPr>
      <w:pStyle w:val="Header"/>
    </w:pPr>
    <w:r>
      <w:rPr>
        <w:noProof/>
      </w:rPr>
      <w:pict w14:anchorId="098BE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00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366DD" w14:textId="28518454" w:rsidR="00CB76F9" w:rsidRDefault="007E39AA">
    <w:pPr>
      <w:pStyle w:val="Header"/>
    </w:pPr>
    <w:r>
      <w:rPr>
        <w:noProof/>
      </w:rPr>
      <w:pict w14:anchorId="2651B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00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C669" w14:textId="761F55BF" w:rsidR="00CB76F9" w:rsidRDefault="007E39AA">
    <w:pPr>
      <w:pStyle w:val="Header"/>
    </w:pPr>
    <w:r>
      <w:rPr>
        <w:noProof/>
      </w:rPr>
      <w:pict w14:anchorId="394DB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00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6885"/>
    <w:multiLevelType w:val="multilevel"/>
    <w:tmpl w:val="1A1642E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45071D"/>
    <w:multiLevelType w:val="multilevel"/>
    <w:tmpl w:val="01D2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B0AD5"/>
    <w:multiLevelType w:val="hybridMultilevel"/>
    <w:tmpl w:val="B7B2D58C"/>
    <w:lvl w:ilvl="0" w:tplc="35C2B8BC">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5E0298F"/>
    <w:multiLevelType w:val="multilevel"/>
    <w:tmpl w:val="326E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DE1352"/>
    <w:multiLevelType w:val="hybridMultilevel"/>
    <w:tmpl w:val="497A5A1C"/>
    <w:lvl w:ilvl="0" w:tplc="4009000F">
      <w:start w:val="1"/>
      <w:numFmt w:val="decimal"/>
      <w:lvlText w:val="%1."/>
      <w:lvlJc w:val="left"/>
      <w:pPr>
        <w:ind w:left="643" w:hanging="36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5" w15:restartNumberingAfterBreak="0">
    <w:nsid w:val="71A47EF2"/>
    <w:multiLevelType w:val="multilevel"/>
    <w:tmpl w:val="96EC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1B4973"/>
    <w:multiLevelType w:val="multilevel"/>
    <w:tmpl w:val="1278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40"/>
    <w:rsid w:val="000025BA"/>
    <w:rsid w:val="0000689A"/>
    <w:rsid w:val="00021F74"/>
    <w:rsid w:val="00043FF5"/>
    <w:rsid w:val="0005595A"/>
    <w:rsid w:val="00063CFC"/>
    <w:rsid w:val="00067024"/>
    <w:rsid w:val="00082542"/>
    <w:rsid w:val="000966CC"/>
    <w:rsid w:val="000A127C"/>
    <w:rsid w:val="000A57C7"/>
    <w:rsid w:val="000B04D7"/>
    <w:rsid w:val="000B3BEC"/>
    <w:rsid w:val="000C6EAA"/>
    <w:rsid w:val="000C78A7"/>
    <w:rsid w:val="000F02E9"/>
    <w:rsid w:val="000F0388"/>
    <w:rsid w:val="00101F9A"/>
    <w:rsid w:val="001129AE"/>
    <w:rsid w:val="001222DB"/>
    <w:rsid w:val="00126C47"/>
    <w:rsid w:val="00137B12"/>
    <w:rsid w:val="00144690"/>
    <w:rsid w:val="00145F8C"/>
    <w:rsid w:val="001469F5"/>
    <w:rsid w:val="001649C7"/>
    <w:rsid w:val="00165FE3"/>
    <w:rsid w:val="00171BF4"/>
    <w:rsid w:val="00183793"/>
    <w:rsid w:val="00185633"/>
    <w:rsid w:val="00192732"/>
    <w:rsid w:val="001A35A6"/>
    <w:rsid w:val="001A5593"/>
    <w:rsid w:val="001A592E"/>
    <w:rsid w:val="001B0FC3"/>
    <w:rsid w:val="001E3387"/>
    <w:rsid w:val="00201E2A"/>
    <w:rsid w:val="00210FA5"/>
    <w:rsid w:val="0021264F"/>
    <w:rsid w:val="00214ACA"/>
    <w:rsid w:val="00217679"/>
    <w:rsid w:val="00232540"/>
    <w:rsid w:val="00246322"/>
    <w:rsid w:val="00250059"/>
    <w:rsid w:val="0025242F"/>
    <w:rsid w:val="00252E6F"/>
    <w:rsid w:val="00257368"/>
    <w:rsid w:val="00260221"/>
    <w:rsid w:val="0027148F"/>
    <w:rsid w:val="002754EA"/>
    <w:rsid w:val="0027596A"/>
    <w:rsid w:val="00287384"/>
    <w:rsid w:val="002961BD"/>
    <w:rsid w:val="002C75C6"/>
    <w:rsid w:val="002E0F35"/>
    <w:rsid w:val="002E5BF8"/>
    <w:rsid w:val="002F3A1D"/>
    <w:rsid w:val="00300985"/>
    <w:rsid w:val="00302C60"/>
    <w:rsid w:val="00303048"/>
    <w:rsid w:val="00307981"/>
    <w:rsid w:val="00311703"/>
    <w:rsid w:val="0031585D"/>
    <w:rsid w:val="00317846"/>
    <w:rsid w:val="00332AA1"/>
    <w:rsid w:val="003450C3"/>
    <w:rsid w:val="0037540F"/>
    <w:rsid w:val="00382FA0"/>
    <w:rsid w:val="003928CB"/>
    <w:rsid w:val="003D1761"/>
    <w:rsid w:val="003E18A0"/>
    <w:rsid w:val="003E45CE"/>
    <w:rsid w:val="003F0755"/>
    <w:rsid w:val="00411996"/>
    <w:rsid w:val="00412E61"/>
    <w:rsid w:val="0041329A"/>
    <w:rsid w:val="00413F32"/>
    <w:rsid w:val="00415399"/>
    <w:rsid w:val="00416568"/>
    <w:rsid w:val="00422F6F"/>
    <w:rsid w:val="00436A62"/>
    <w:rsid w:val="004425EF"/>
    <w:rsid w:val="00450567"/>
    <w:rsid w:val="004767D3"/>
    <w:rsid w:val="004957F1"/>
    <w:rsid w:val="00496026"/>
    <w:rsid w:val="004D0410"/>
    <w:rsid w:val="004D53ED"/>
    <w:rsid w:val="004E71EE"/>
    <w:rsid w:val="004F765E"/>
    <w:rsid w:val="00513C5E"/>
    <w:rsid w:val="0052111B"/>
    <w:rsid w:val="00533F44"/>
    <w:rsid w:val="00535A2D"/>
    <w:rsid w:val="005512FE"/>
    <w:rsid w:val="005526B6"/>
    <w:rsid w:val="00557B72"/>
    <w:rsid w:val="0056110F"/>
    <w:rsid w:val="00562095"/>
    <w:rsid w:val="00565E27"/>
    <w:rsid w:val="00584E39"/>
    <w:rsid w:val="00592085"/>
    <w:rsid w:val="005B052C"/>
    <w:rsid w:val="005B1502"/>
    <w:rsid w:val="005B1D37"/>
    <w:rsid w:val="005B3175"/>
    <w:rsid w:val="005B6B91"/>
    <w:rsid w:val="005C7E71"/>
    <w:rsid w:val="005E235C"/>
    <w:rsid w:val="0060277B"/>
    <w:rsid w:val="0060573C"/>
    <w:rsid w:val="00626E19"/>
    <w:rsid w:val="006335D0"/>
    <w:rsid w:val="00637919"/>
    <w:rsid w:val="006623E9"/>
    <w:rsid w:val="006667FD"/>
    <w:rsid w:val="00674C10"/>
    <w:rsid w:val="00686D19"/>
    <w:rsid w:val="00690662"/>
    <w:rsid w:val="006915DC"/>
    <w:rsid w:val="006B1A31"/>
    <w:rsid w:val="006B624D"/>
    <w:rsid w:val="006C330F"/>
    <w:rsid w:val="006D0BDE"/>
    <w:rsid w:val="006D69CE"/>
    <w:rsid w:val="006D79D8"/>
    <w:rsid w:val="006E6AED"/>
    <w:rsid w:val="006F22C5"/>
    <w:rsid w:val="006F47C9"/>
    <w:rsid w:val="00704D73"/>
    <w:rsid w:val="007301C5"/>
    <w:rsid w:val="0074387B"/>
    <w:rsid w:val="00744C8A"/>
    <w:rsid w:val="00775425"/>
    <w:rsid w:val="00785E11"/>
    <w:rsid w:val="007879F5"/>
    <w:rsid w:val="00794B71"/>
    <w:rsid w:val="007B4550"/>
    <w:rsid w:val="007C6B69"/>
    <w:rsid w:val="007E0144"/>
    <w:rsid w:val="007E39AA"/>
    <w:rsid w:val="007F62FF"/>
    <w:rsid w:val="008014D7"/>
    <w:rsid w:val="00810147"/>
    <w:rsid w:val="0083539A"/>
    <w:rsid w:val="00837F9F"/>
    <w:rsid w:val="00840CCC"/>
    <w:rsid w:val="008418DB"/>
    <w:rsid w:val="008472D1"/>
    <w:rsid w:val="0086561B"/>
    <w:rsid w:val="00887123"/>
    <w:rsid w:val="00895A23"/>
    <w:rsid w:val="008A03F6"/>
    <w:rsid w:val="008A05F1"/>
    <w:rsid w:val="008A1DBF"/>
    <w:rsid w:val="008C0D71"/>
    <w:rsid w:val="008C1C4B"/>
    <w:rsid w:val="008C4EC3"/>
    <w:rsid w:val="008E0D37"/>
    <w:rsid w:val="008E25EB"/>
    <w:rsid w:val="008E26D0"/>
    <w:rsid w:val="008F0731"/>
    <w:rsid w:val="00920053"/>
    <w:rsid w:val="0092572B"/>
    <w:rsid w:val="00934362"/>
    <w:rsid w:val="0094074A"/>
    <w:rsid w:val="009527B6"/>
    <w:rsid w:val="00960937"/>
    <w:rsid w:val="00972ADA"/>
    <w:rsid w:val="00987DEB"/>
    <w:rsid w:val="009905E6"/>
    <w:rsid w:val="009920D3"/>
    <w:rsid w:val="009A3C83"/>
    <w:rsid w:val="009C5D92"/>
    <w:rsid w:val="009C60E5"/>
    <w:rsid w:val="009C7579"/>
    <w:rsid w:val="009D5F83"/>
    <w:rsid w:val="009E06DE"/>
    <w:rsid w:val="009F0831"/>
    <w:rsid w:val="009F49E9"/>
    <w:rsid w:val="00A00719"/>
    <w:rsid w:val="00A14E76"/>
    <w:rsid w:val="00A4130C"/>
    <w:rsid w:val="00A558C0"/>
    <w:rsid w:val="00A7063A"/>
    <w:rsid w:val="00A80A9E"/>
    <w:rsid w:val="00A82AE8"/>
    <w:rsid w:val="00A87890"/>
    <w:rsid w:val="00A956FC"/>
    <w:rsid w:val="00A96A45"/>
    <w:rsid w:val="00A97F6B"/>
    <w:rsid w:val="00AB042E"/>
    <w:rsid w:val="00AD05A8"/>
    <w:rsid w:val="00AE03DF"/>
    <w:rsid w:val="00AE4ACA"/>
    <w:rsid w:val="00B207D9"/>
    <w:rsid w:val="00B40CB5"/>
    <w:rsid w:val="00B42879"/>
    <w:rsid w:val="00B523EE"/>
    <w:rsid w:val="00B54328"/>
    <w:rsid w:val="00B71A44"/>
    <w:rsid w:val="00B73A70"/>
    <w:rsid w:val="00B8749C"/>
    <w:rsid w:val="00B95E04"/>
    <w:rsid w:val="00BD4526"/>
    <w:rsid w:val="00BE564D"/>
    <w:rsid w:val="00BF3C1B"/>
    <w:rsid w:val="00C012A8"/>
    <w:rsid w:val="00C057AB"/>
    <w:rsid w:val="00C0684E"/>
    <w:rsid w:val="00C16693"/>
    <w:rsid w:val="00C34D71"/>
    <w:rsid w:val="00C440FF"/>
    <w:rsid w:val="00C4481B"/>
    <w:rsid w:val="00C5013F"/>
    <w:rsid w:val="00C70EDC"/>
    <w:rsid w:val="00C77C7E"/>
    <w:rsid w:val="00C900AF"/>
    <w:rsid w:val="00CA3BB5"/>
    <w:rsid w:val="00CB060F"/>
    <w:rsid w:val="00CB76F9"/>
    <w:rsid w:val="00CC72CA"/>
    <w:rsid w:val="00CD2918"/>
    <w:rsid w:val="00CF7333"/>
    <w:rsid w:val="00CF7417"/>
    <w:rsid w:val="00D226E7"/>
    <w:rsid w:val="00D23C60"/>
    <w:rsid w:val="00D27C98"/>
    <w:rsid w:val="00D37E16"/>
    <w:rsid w:val="00D52971"/>
    <w:rsid w:val="00D54501"/>
    <w:rsid w:val="00D56A9D"/>
    <w:rsid w:val="00D633CD"/>
    <w:rsid w:val="00D65FC5"/>
    <w:rsid w:val="00D75C8D"/>
    <w:rsid w:val="00D778B6"/>
    <w:rsid w:val="00D84C08"/>
    <w:rsid w:val="00D85721"/>
    <w:rsid w:val="00DA5D3F"/>
    <w:rsid w:val="00DA6528"/>
    <w:rsid w:val="00DB39C2"/>
    <w:rsid w:val="00DB6660"/>
    <w:rsid w:val="00DC1F50"/>
    <w:rsid w:val="00DE518A"/>
    <w:rsid w:val="00DE7425"/>
    <w:rsid w:val="00DF00D9"/>
    <w:rsid w:val="00E22596"/>
    <w:rsid w:val="00E445E4"/>
    <w:rsid w:val="00E52ADF"/>
    <w:rsid w:val="00E539E5"/>
    <w:rsid w:val="00E65B0B"/>
    <w:rsid w:val="00E678C2"/>
    <w:rsid w:val="00E70E07"/>
    <w:rsid w:val="00E914EB"/>
    <w:rsid w:val="00EA527B"/>
    <w:rsid w:val="00EB6823"/>
    <w:rsid w:val="00EB74B1"/>
    <w:rsid w:val="00EC5466"/>
    <w:rsid w:val="00F037A3"/>
    <w:rsid w:val="00F07358"/>
    <w:rsid w:val="00F11C22"/>
    <w:rsid w:val="00F11D5C"/>
    <w:rsid w:val="00F20C72"/>
    <w:rsid w:val="00F44DB7"/>
    <w:rsid w:val="00F47DCC"/>
    <w:rsid w:val="00F57AD3"/>
    <w:rsid w:val="00F60F52"/>
    <w:rsid w:val="00F7028F"/>
    <w:rsid w:val="00F90329"/>
    <w:rsid w:val="00F90D52"/>
    <w:rsid w:val="00F95134"/>
    <w:rsid w:val="00FA02C9"/>
    <w:rsid w:val="00FA383A"/>
    <w:rsid w:val="00FA395F"/>
    <w:rsid w:val="00FC075A"/>
    <w:rsid w:val="00FC52AA"/>
    <w:rsid w:val="00FE36F3"/>
    <w:rsid w:val="00FF1D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0C894D"/>
  <w15:chartTrackingRefBased/>
  <w15:docId w15:val="{BF98FB73-A1CE-4D87-8D1F-54B5100F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5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25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325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325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25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2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5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25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325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325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25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2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540"/>
    <w:rPr>
      <w:rFonts w:eastAsiaTheme="majorEastAsia" w:cstheme="majorBidi"/>
      <w:color w:val="272727" w:themeColor="text1" w:themeTint="D8"/>
    </w:rPr>
  </w:style>
  <w:style w:type="paragraph" w:styleId="Title">
    <w:name w:val="Title"/>
    <w:basedOn w:val="Normal"/>
    <w:next w:val="Normal"/>
    <w:link w:val="TitleChar"/>
    <w:uiPriority w:val="10"/>
    <w:qFormat/>
    <w:rsid w:val="00232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540"/>
    <w:pPr>
      <w:spacing w:before="160"/>
      <w:jc w:val="center"/>
    </w:pPr>
    <w:rPr>
      <w:i/>
      <w:iCs/>
      <w:color w:val="404040" w:themeColor="text1" w:themeTint="BF"/>
    </w:rPr>
  </w:style>
  <w:style w:type="character" w:customStyle="1" w:styleId="QuoteChar">
    <w:name w:val="Quote Char"/>
    <w:basedOn w:val="DefaultParagraphFont"/>
    <w:link w:val="Quote"/>
    <w:uiPriority w:val="29"/>
    <w:rsid w:val="00232540"/>
    <w:rPr>
      <w:i/>
      <w:iCs/>
      <w:color w:val="404040" w:themeColor="text1" w:themeTint="BF"/>
    </w:rPr>
  </w:style>
  <w:style w:type="paragraph" w:styleId="ListParagraph">
    <w:name w:val="List Paragraph"/>
    <w:basedOn w:val="Normal"/>
    <w:uiPriority w:val="34"/>
    <w:qFormat/>
    <w:rsid w:val="00232540"/>
    <w:pPr>
      <w:ind w:left="720"/>
      <w:contextualSpacing/>
    </w:pPr>
  </w:style>
  <w:style w:type="character" w:styleId="IntenseEmphasis">
    <w:name w:val="Intense Emphasis"/>
    <w:basedOn w:val="DefaultParagraphFont"/>
    <w:uiPriority w:val="21"/>
    <w:qFormat/>
    <w:rsid w:val="00232540"/>
    <w:rPr>
      <w:i/>
      <w:iCs/>
      <w:color w:val="2F5496" w:themeColor="accent1" w:themeShade="BF"/>
    </w:rPr>
  </w:style>
  <w:style w:type="paragraph" w:styleId="IntenseQuote">
    <w:name w:val="Intense Quote"/>
    <w:basedOn w:val="Normal"/>
    <w:next w:val="Normal"/>
    <w:link w:val="IntenseQuoteChar"/>
    <w:uiPriority w:val="30"/>
    <w:qFormat/>
    <w:rsid w:val="002325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2540"/>
    <w:rPr>
      <w:i/>
      <w:iCs/>
      <w:color w:val="2F5496" w:themeColor="accent1" w:themeShade="BF"/>
    </w:rPr>
  </w:style>
  <w:style w:type="character" w:styleId="IntenseReference">
    <w:name w:val="Intense Reference"/>
    <w:basedOn w:val="DefaultParagraphFont"/>
    <w:uiPriority w:val="32"/>
    <w:qFormat/>
    <w:rsid w:val="00232540"/>
    <w:rPr>
      <w:b/>
      <w:bCs/>
      <w:smallCaps/>
      <w:color w:val="2F5496" w:themeColor="accent1" w:themeShade="BF"/>
      <w:spacing w:val="5"/>
    </w:rPr>
  </w:style>
  <w:style w:type="table" w:styleId="TableGrid">
    <w:name w:val="Table Grid"/>
    <w:basedOn w:val="TableNormal"/>
    <w:uiPriority w:val="39"/>
    <w:rsid w:val="00987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767D3"/>
    <w:rPr>
      <w:b/>
      <w:bCs/>
    </w:rPr>
  </w:style>
  <w:style w:type="paragraph" w:styleId="NormalWeb">
    <w:name w:val="Normal (Web)"/>
    <w:basedOn w:val="Normal"/>
    <w:uiPriority w:val="99"/>
    <w:semiHidden/>
    <w:unhideWhenUsed/>
    <w:rsid w:val="004767D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katex-mathml">
    <w:name w:val="katex-mathml"/>
    <w:basedOn w:val="DefaultParagraphFont"/>
    <w:rsid w:val="004767D3"/>
  </w:style>
  <w:style w:type="character" w:customStyle="1" w:styleId="mord">
    <w:name w:val="mord"/>
    <w:basedOn w:val="DefaultParagraphFont"/>
    <w:rsid w:val="004767D3"/>
  </w:style>
  <w:style w:type="character" w:customStyle="1" w:styleId="vlist-s">
    <w:name w:val="vlist-s"/>
    <w:basedOn w:val="DefaultParagraphFont"/>
    <w:rsid w:val="004767D3"/>
  </w:style>
  <w:style w:type="character" w:customStyle="1" w:styleId="mrel">
    <w:name w:val="mrel"/>
    <w:basedOn w:val="DefaultParagraphFont"/>
    <w:rsid w:val="004767D3"/>
  </w:style>
  <w:style w:type="character" w:customStyle="1" w:styleId="mbin">
    <w:name w:val="mbin"/>
    <w:basedOn w:val="DefaultParagraphFont"/>
    <w:rsid w:val="004767D3"/>
  </w:style>
  <w:style w:type="character" w:styleId="PlaceholderText">
    <w:name w:val="Placeholder Text"/>
    <w:basedOn w:val="DefaultParagraphFont"/>
    <w:uiPriority w:val="99"/>
    <w:semiHidden/>
    <w:rsid w:val="00E445E4"/>
    <w:rPr>
      <w:color w:val="666666"/>
    </w:rPr>
  </w:style>
  <w:style w:type="character" w:styleId="Emphasis">
    <w:name w:val="Emphasis"/>
    <w:basedOn w:val="DefaultParagraphFont"/>
    <w:uiPriority w:val="20"/>
    <w:qFormat/>
    <w:rsid w:val="00DB39C2"/>
    <w:rPr>
      <w:i/>
      <w:iCs/>
    </w:rPr>
  </w:style>
  <w:style w:type="character" w:styleId="Hyperlink">
    <w:name w:val="Hyperlink"/>
    <w:basedOn w:val="DefaultParagraphFont"/>
    <w:uiPriority w:val="99"/>
    <w:unhideWhenUsed/>
    <w:rsid w:val="00704D73"/>
    <w:rPr>
      <w:color w:val="0563C1" w:themeColor="hyperlink"/>
      <w:u w:val="single"/>
    </w:rPr>
  </w:style>
  <w:style w:type="character" w:styleId="UnresolvedMention">
    <w:name w:val="Unresolved Mention"/>
    <w:basedOn w:val="DefaultParagraphFont"/>
    <w:uiPriority w:val="99"/>
    <w:semiHidden/>
    <w:unhideWhenUsed/>
    <w:rsid w:val="00704D73"/>
    <w:rPr>
      <w:color w:val="605E5C"/>
      <w:shd w:val="clear" w:color="auto" w:fill="E1DFDD"/>
    </w:rPr>
  </w:style>
  <w:style w:type="paragraph" w:styleId="Header">
    <w:name w:val="header"/>
    <w:basedOn w:val="Normal"/>
    <w:link w:val="HeaderChar"/>
    <w:uiPriority w:val="99"/>
    <w:unhideWhenUsed/>
    <w:rsid w:val="00CB7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6F9"/>
  </w:style>
  <w:style w:type="paragraph" w:styleId="Footer">
    <w:name w:val="footer"/>
    <w:basedOn w:val="Normal"/>
    <w:link w:val="FooterChar"/>
    <w:uiPriority w:val="99"/>
    <w:unhideWhenUsed/>
    <w:rsid w:val="00CB7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6F9"/>
  </w:style>
  <w:style w:type="paragraph" w:styleId="NoSpacing">
    <w:name w:val="No Spacing"/>
    <w:uiPriority w:val="1"/>
    <w:qFormat/>
    <w:rsid w:val="00626E19"/>
    <w:pPr>
      <w:spacing w:after="0" w:line="240" w:lineRule="auto"/>
    </w:pPr>
    <w:rPr>
      <w:kern w:val="0"/>
      <w:lang w:val="en-GB"/>
      <w14:ligatures w14:val="none"/>
    </w:rPr>
  </w:style>
  <w:style w:type="paragraph" w:customStyle="1" w:styleId="Body">
    <w:name w:val="Body"/>
    <w:rsid w:val="00D23C60"/>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val="en-US" w:eastAsia="en-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D:\Revised%20ARRB%20Reviewr%20Feedback\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Figure:01.</a:t>
            </a:r>
            <a:r>
              <a:rPr lang="en-IN" b="1" baseline="0">
                <a:latin typeface="Times New Roman" panose="02020603050405020304" pitchFamily="18" charset="0"/>
                <a:cs typeface="Times New Roman" panose="02020603050405020304" pitchFamily="18" charset="0"/>
              </a:rPr>
              <a:t> </a:t>
            </a:r>
            <a:r>
              <a:rPr lang="en-IN" sz="1000" b="0" baseline="0">
                <a:latin typeface="Times New Roman" panose="02020603050405020304" pitchFamily="18" charset="0"/>
                <a:cs typeface="Times New Roman" panose="02020603050405020304" pitchFamily="18" charset="0"/>
              </a:rPr>
              <a:t>Comparision of PCV &amp; GCV for different yield and yield contributing  traits , showing higher PCV than GCV across all characters.</a:t>
            </a:r>
            <a:endParaRPr lang="en-IN" sz="1000" b="0">
              <a:latin typeface="Times New Roman" panose="02020603050405020304" pitchFamily="18" charset="0"/>
              <a:cs typeface="Times New Roman" panose="02020603050405020304" pitchFamily="18" charset="0"/>
            </a:endParaRPr>
          </a:p>
        </c:rich>
      </c:tx>
      <c:layout>
        <c:manualLayout>
          <c:xMode val="edge"/>
          <c:yMode val="edge"/>
          <c:x val="0.11438849831271089"/>
          <c:y val="0.86925085275271763"/>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0359527966683192E-2"/>
          <c:y val="0.14463362667901805"/>
          <c:w val="0.88326063824865608"/>
          <c:h val="0.32857646417386233"/>
        </c:manualLayout>
      </c:layout>
      <c:barChart>
        <c:barDir val="col"/>
        <c:grouping val="stacked"/>
        <c:varyColors val="0"/>
        <c:ser>
          <c:idx val="0"/>
          <c:order val="0"/>
          <c:tx>
            <c:strRef>
              <c:f>Sheet1!$B$1</c:f>
              <c:strCache>
                <c:ptCount val="1"/>
                <c:pt idx="0">
                  <c:v>GCV%</c:v>
                </c:pt>
              </c:strCache>
            </c:strRef>
          </c:tx>
          <c:spPr>
            <a:solidFill>
              <a:schemeClr val="accent1"/>
            </a:solidFill>
            <a:ln>
              <a:noFill/>
            </a:ln>
            <a:effectLst/>
          </c:spPr>
          <c:invertIfNegative val="0"/>
          <c:cat>
            <c:strRef>
              <c:f>Sheet1!$A$2:$A$16</c:f>
              <c:strCache>
                <c:ptCount val="15"/>
                <c:pt idx="0">
                  <c:v>Days to First flowering</c:v>
                </c:pt>
                <c:pt idx="1">
                  <c:v>Days to 50% flowering</c:v>
                </c:pt>
                <c:pt idx="2">
                  <c:v>Days to maturity</c:v>
                </c:pt>
                <c:pt idx="3">
                  <c:v>Number of primary branches per plant</c:v>
                </c:pt>
                <c:pt idx="4">
                  <c:v>Number of secondary branches per plant</c:v>
                </c:pt>
                <c:pt idx="5">
                  <c:v>Plant height (cm)</c:v>
                </c:pt>
                <c:pt idx="6">
                  <c:v>Length of main raceme (cm)</c:v>
                </c:pt>
                <c:pt idx="7">
                  <c:v>Leaf area index </c:v>
                </c:pt>
                <c:pt idx="8">
                  <c:v>Number of siliquae per plant</c:v>
                </c:pt>
                <c:pt idx="9">
                  <c:v>Number of seeds per siliqua</c:v>
                </c:pt>
                <c:pt idx="10">
                  <c:v>Test weight (g)</c:v>
                </c:pt>
                <c:pt idx="11">
                  <c:v>Harvest index (%)</c:v>
                </c:pt>
                <c:pt idx="12">
                  <c:v>Oil content (%)</c:v>
                </c:pt>
                <c:pt idx="13">
                  <c:v>Biological yield (g/plant)</c:v>
                </c:pt>
                <c:pt idx="14">
                  <c:v>Seed yield (g/plant)</c:v>
                </c:pt>
              </c:strCache>
            </c:strRef>
          </c:cat>
          <c:val>
            <c:numRef>
              <c:f>Sheet1!$B$2:$B$16</c:f>
              <c:numCache>
                <c:formatCode>General</c:formatCode>
                <c:ptCount val="15"/>
                <c:pt idx="0">
                  <c:v>10.37</c:v>
                </c:pt>
                <c:pt idx="1">
                  <c:v>10.51</c:v>
                </c:pt>
                <c:pt idx="2">
                  <c:v>4.5</c:v>
                </c:pt>
                <c:pt idx="3">
                  <c:v>20.239999999999998</c:v>
                </c:pt>
                <c:pt idx="4">
                  <c:v>20.64</c:v>
                </c:pt>
                <c:pt idx="5">
                  <c:v>13.19</c:v>
                </c:pt>
                <c:pt idx="6">
                  <c:v>10.5</c:v>
                </c:pt>
                <c:pt idx="7">
                  <c:v>19.13</c:v>
                </c:pt>
                <c:pt idx="8">
                  <c:v>21.93</c:v>
                </c:pt>
                <c:pt idx="9">
                  <c:v>9.1300000000000008</c:v>
                </c:pt>
                <c:pt idx="10">
                  <c:v>18.82</c:v>
                </c:pt>
                <c:pt idx="11">
                  <c:v>23.85</c:v>
                </c:pt>
                <c:pt idx="12">
                  <c:v>3.77</c:v>
                </c:pt>
                <c:pt idx="13">
                  <c:v>41.1</c:v>
                </c:pt>
                <c:pt idx="14">
                  <c:v>35.81</c:v>
                </c:pt>
              </c:numCache>
            </c:numRef>
          </c:val>
          <c:extLst>
            <c:ext xmlns:c16="http://schemas.microsoft.com/office/drawing/2014/chart" uri="{C3380CC4-5D6E-409C-BE32-E72D297353CC}">
              <c16:uniqueId val="{00000000-E417-4BAF-966B-CA28C1DE0BB3}"/>
            </c:ext>
          </c:extLst>
        </c:ser>
        <c:ser>
          <c:idx val="1"/>
          <c:order val="1"/>
          <c:tx>
            <c:strRef>
              <c:f>Sheet1!$C$1</c:f>
              <c:strCache>
                <c:ptCount val="1"/>
                <c:pt idx="0">
                  <c:v>PCV%</c:v>
                </c:pt>
              </c:strCache>
            </c:strRef>
          </c:tx>
          <c:spPr>
            <a:solidFill>
              <a:schemeClr val="accent2"/>
            </a:solidFill>
            <a:ln>
              <a:noFill/>
            </a:ln>
            <a:effectLst/>
          </c:spPr>
          <c:invertIfNegative val="0"/>
          <c:cat>
            <c:strRef>
              <c:f>Sheet1!$A$2:$A$16</c:f>
              <c:strCache>
                <c:ptCount val="15"/>
                <c:pt idx="0">
                  <c:v>Days to First flowering</c:v>
                </c:pt>
                <c:pt idx="1">
                  <c:v>Days to 50% flowering</c:v>
                </c:pt>
                <c:pt idx="2">
                  <c:v>Days to maturity</c:v>
                </c:pt>
                <c:pt idx="3">
                  <c:v>Number of primary branches per plant</c:v>
                </c:pt>
                <c:pt idx="4">
                  <c:v>Number of secondary branches per plant</c:v>
                </c:pt>
                <c:pt idx="5">
                  <c:v>Plant height (cm)</c:v>
                </c:pt>
                <c:pt idx="6">
                  <c:v>Length of main raceme (cm)</c:v>
                </c:pt>
                <c:pt idx="7">
                  <c:v>Leaf area index </c:v>
                </c:pt>
                <c:pt idx="8">
                  <c:v>Number of siliquae per plant</c:v>
                </c:pt>
                <c:pt idx="9">
                  <c:v>Number of seeds per siliqua</c:v>
                </c:pt>
                <c:pt idx="10">
                  <c:v>Test weight (g)</c:v>
                </c:pt>
                <c:pt idx="11">
                  <c:v>Harvest index (%)</c:v>
                </c:pt>
                <c:pt idx="12">
                  <c:v>Oil content (%)</c:v>
                </c:pt>
                <c:pt idx="13">
                  <c:v>Biological yield (g/plant)</c:v>
                </c:pt>
                <c:pt idx="14">
                  <c:v>Seed yield (g/plant)</c:v>
                </c:pt>
              </c:strCache>
            </c:strRef>
          </c:cat>
          <c:val>
            <c:numRef>
              <c:f>Sheet1!$C$2:$C$16</c:f>
              <c:numCache>
                <c:formatCode>General</c:formatCode>
                <c:ptCount val="15"/>
                <c:pt idx="0">
                  <c:v>10.53</c:v>
                </c:pt>
                <c:pt idx="1">
                  <c:v>10.66</c:v>
                </c:pt>
                <c:pt idx="2">
                  <c:v>4.63</c:v>
                </c:pt>
                <c:pt idx="3">
                  <c:v>22.18</c:v>
                </c:pt>
                <c:pt idx="4">
                  <c:v>21.44</c:v>
                </c:pt>
                <c:pt idx="5">
                  <c:v>13.21</c:v>
                </c:pt>
                <c:pt idx="6">
                  <c:v>10.65</c:v>
                </c:pt>
                <c:pt idx="7">
                  <c:v>19.86</c:v>
                </c:pt>
                <c:pt idx="8">
                  <c:v>21.94</c:v>
                </c:pt>
                <c:pt idx="9">
                  <c:v>10.46</c:v>
                </c:pt>
                <c:pt idx="10">
                  <c:v>19.8</c:v>
                </c:pt>
                <c:pt idx="11">
                  <c:v>24.08</c:v>
                </c:pt>
                <c:pt idx="12">
                  <c:v>4.28</c:v>
                </c:pt>
                <c:pt idx="13">
                  <c:v>41.79</c:v>
                </c:pt>
                <c:pt idx="14">
                  <c:v>36.32</c:v>
                </c:pt>
              </c:numCache>
            </c:numRef>
          </c:val>
          <c:extLst>
            <c:ext xmlns:c16="http://schemas.microsoft.com/office/drawing/2014/chart" uri="{C3380CC4-5D6E-409C-BE32-E72D297353CC}">
              <c16:uniqueId val="{00000001-E417-4BAF-966B-CA28C1DE0BB3}"/>
            </c:ext>
          </c:extLst>
        </c:ser>
        <c:dLbls>
          <c:showLegendKey val="0"/>
          <c:showVal val="0"/>
          <c:showCatName val="0"/>
          <c:showSerName val="0"/>
          <c:showPercent val="0"/>
          <c:showBubbleSize val="0"/>
        </c:dLbls>
        <c:gapWidth val="150"/>
        <c:overlap val="100"/>
        <c:axId val="1221598224"/>
        <c:axId val="1221597744"/>
      </c:barChart>
      <c:catAx>
        <c:axId val="1221598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Characters</a:t>
                </a:r>
              </a:p>
            </c:rich>
          </c:tx>
          <c:layout>
            <c:manualLayout>
              <c:xMode val="edge"/>
              <c:yMode val="edge"/>
              <c:x val="0.47704073462965668"/>
              <c:y val="0.8430169912971404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1597744"/>
        <c:crosses val="autoZero"/>
        <c:auto val="1"/>
        <c:lblAlgn val="ctr"/>
        <c:lblOffset val="100"/>
        <c:noMultiLvlLbl val="0"/>
      </c:catAx>
      <c:valAx>
        <c:axId val="1221597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Coefficient of variation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1598224"/>
        <c:crosses val="autoZero"/>
        <c:crossBetween val="between"/>
      </c:valAx>
      <c:spPr>
        <a:noFill/>
        <a:ln>
          <a:noFill/>
        </a:ln>
        <a:effectLst/>
      </c:spPr>
    </c:plotArea>
    <c:legend>
      <c:legendPos val="b"/>
      <c:layout>
        <c:manualLayout>
          <c:xMode val="edge"/>
          <c:yMode val="edge"/>
          <c:x val="0.87737514060742405"/>
          <c:y val="0.77378494692212052"/>
          <c:w val="0.10774971878515185"/>
          <c:h val="8.451464821957983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92268787560246"/>
          <c:y val="8.2174049562823037E-2"/>
          <c:w val="0.82931434578234398"/>
          <c:h val="0.39312424520554562"/>
        </c:manualLayout>
      </c:layout>
      <c:barChart>
        <c:barDir val="col"/>
        <c:grouping val="clustered"/>
        <c:varyColors val="0"/>
        <c:ser>
          <c:idx val="2"/>
          <c:order val="2"/>
          <c:tx>
            <c:strRef>
              <c:f>Sheet1!$D$1</c:f>
              <c:strCache>
                <c:ptCount val="1"/>
                <c:pt idx="0">
                  <c:v>Heritability %</c:v>
                </c:pt>
              </c:strCache>
            </c:strRef>
          </c:tx>
          <c:spPr>
            <a:solidFill>
              <a:schemeClr val="accent3"/>
            </a:solidFill>
            <a:ln>
              <a:noFill/>
            </a:ln>
            <a:effectLst/>
          </c:spPr>
          <c:invertIfNegative val="0"/>
          <c:cat>
            <c:strRef>
              <c:f>Sheet1!$A$2:$A$17</c:f>
              <c:strCache>
                <c:ptCount val="15"/>
                <c:pt idx="0">
                  <c:v>Days to First flowering</c:v>
                </c:pt>
                <c:pt idx="1">
                  <c:v>Days to 50% flowering</c:v>
                </c:pt>
                <c:pt idx="2">
                  <c:v>Days to maturity</c:v>
                </c:pt>
                <c:pt idx="3">
                  <c:v>Number of primary branches per plant</c:v>
                </c:pt>
                <c:pt idx="4">
                  <c:v>Number of secondary branches per plant</c:v>
                </c:pt>
                <c:pt idx="5">
                  <c:v>Plant height (cm)</c:v>
                </c:pt>
                <c:pt idx="6">
                  <c:v>Length of main raceme (cm)</c:v>
                </c:pt>
                <c:pt idx="7">
                  <c:v>Leaf area index </c:v>
                </c:pt>
                <c:pt idx="8">
                  <c:v>Number of siliquae per plant</c:v>
                </c:pt>
                <c:pt idx="9">
                  <c:v>Number of seeds per siliqua</c:v>
                </c:pt>
                <c:pt idx="10">
                  <c:v>Test weight (g)</c:v>
                </c:pt>
                <c:pt idx="11">
                  <c:v>Harvest index (%)</c:v>
                </c:pt>
                <c:pt idx="12">
                  <c:v>Oil content (%)</c:v>
                </c:pt>
                <c:pt idx="13">
                  <c:v>Biological yield (g/plant)</c:v>
                </c:pt>
                <c:pt idx="14">
                  <c:v>Seed yield (g/plant)</c:v>
                </c:pt>
              </c:strCache>
            </c:strRef>
          </c:cat>
          <c:val>
            <c:numRef>
              <c:f>Sheet1!$D$2:$D$17</c:f>
              <c:numCache>
                <c:formatCode>General</c:formatCode>
                <c:ptCount val="16"/>
                <c:pt idx="0">
                  <c:v>96.95</c:v>
                </c:pt>
                <c:pt idx="1">
                  <c:v>97.09</c:v>
                </c:pt>
                <c:pt idx="2">
                  <c:v>94.42</c:v>
                </c:pt>
                <c:pt idx="3">
                  <c:v>83.28</c:v>
                </c:pt>
                <c:pt idx="4">
                  <c:v>92.66</c:v>
                </c:pt>
                <c:pt idx="5">
                  <c:v>99.65</c:v>
                </c:pt>
                <c:pt idx="6">
                  <c:v>97.24</c:v>
                </c:pt>
                <c:pt idx="7">
                  <c:v>92.83</c:v>
                </c:pt>
                <c:pt idx="8">
                  <c:v>99.93</c:v>
                </c:pt>
                <c:pt idx="9">
                  <c:v>76.28</c:v>
                </c:pt>
                <c:pt idx="10">
                  <c:v>90.33</c:v>
                </c:pt>
                <c:pt idx="11">
                  <c:v>98.12</c:v>
                </c:pt>
                <c:pt idx="12">
                  <c:v>77.28</c:v>
                </c:pt>
                <c:pt idx="13">
                  <c:v>96.69</c:v>
                </c:pt>
                <c:pt idx="14">
                  <c:v>97.22</c:v>
                </c:pt>
              </c:numCache>
            </c:numRef>
          </c:val>
          <c:extLst>
            <c:ext xmlns:c16="http://schemas.microsoft.com/office/drawing/2014/chart" uri="{C3380CC4-5D6E-409C-BE32-E72D297353CC}">
              <c16:uniqueId val="{00000000-3EC2-483A-8962-33F2A7ADEE96}"/>
            </c:ext>
          </c:extLst>
        </c:ser>
        <c:dLbls>
          <c:showLegendKey val="0"/>
          <c:showVal val="0"/>
          <c:showCatName val="0"/>
          <c:showSerName val="0"/>
          <c:showPercent val="0"/>
          <c:showBubbleSize val="0"/>
        </c:dLbls>
        <c:gapWidth val="219"/>
        <c:overlap val="-27"/>
        <c:axId val="1356259696"/>
        <c:axId val="1356262576"/>
        <c:extLst>
          <c:ext xmlns:c15="http://schemas.microsoft.com/office/drawing/2012/chart" uri="{02D57815-91ED-43cb-92C2-25804820EDAC}">
            <c15:filteredBarSeries>
              <c15:ser>
                <c:idx val="0"/>
                <c:order val="0"/>
                <c:tx>
                  <c:strRef>
                    <c:extLst>
                      <c:ext uri="{02D57815-91ED-43cb-92C2-25804820EDAC}">
                        <c15:formulaRef>
                          <c15:sqref>Sheet1!$B$1</c15:sqref>
                        </c15:formulaRef>
                      </c:ext>
                    </c:extLst>
                    <c:strCache>
                      <c:ptCount val="1"/>
                    </c:strCache>
                  </c:strRef>
                </c:tx>
                <c:spPr>
                  <a:solidFill>
                    <a:schemeClr val="accent1"/>
                  </a:solidFill>
                  <a:ln>
                    <a:noFill/>
                  </a:ln>
                  <a:effectLst/>
                </c:spPr>
                <c:invertIfNegative val="0"/>
                <c:cat>
                  <c:strRef>
                    <c:extLst>
                      <c:ext uri="{02D57815-91ED-43cb-92C2-25804820EDAC}">
                        <c15:formulaRef>
                          <c15:sqref>Sheet1!$A$2:$A$17</c15:sqref>
                        </c15:formulaRef>
                      </c:ext>
                    </c:extLst>
                    <c:strCache>
                      <c:ptCount val="15"/>
                      <c:pt idx="0">
                        <c:v>Days to First flowering</c:v>
                      </c:pt>
                      <c:pt idx="1">
                        <c:v>Days to 50% flowering</c:v>
                      </c:pt>
                      <c:pt idx="2">
                        <c:v>Days to maturity</c:v>
                      </c:pt>
                      <c:pt idx="3">
                        <c:v>Number of primary branches per plant</c:v>
                      </c:pt>
                      <c:pt idx="4">
                        <c:v>Number of secondary branches per plant</c:v>
                      </c:pt>
                      <c:pt idx="5">
                        <c:v>Plant height (cm)</c:v>
                      </c:pt>
                      <c:pt idx="6">
                        <c:v>Length of main raceme (cm)</c:v>
                      </c:pt>
                      <c:pt idx="7">
                        <c:v>Leaf area index </c:v>
                      </c:pt>
                      <c:pt idx="8">
                        <c:v>Number of siliquae per plant</c:v>
                      </c:pt>
                      <c:pt idx="9">
                        <c:v>Number of seeds per siliqua</c:v>
                      </c:pt>
                      <c:pt idx="10">
                        <c:v>Test weight (g)</c:v>
                      </c:pt>
                      <c:pt idx="11">
                        <c:v>Harvest index (%)</c:v>
                      </c:pt>
                      <c:pt idx="12">
                        <c:v>Oil content (%)</c:v>
                      </c:pt>
                      <c:pt idx="13">
                        <c:v>Biological yield (g/plant)</c:v>
                      </c:pt>
                      <c:pt idx="14">
                        <c:v>Seed yield (g/plant)</c:v>
                      </c:pt>
                    </c:strCache>
                  </c:strRef>
                </c:cat>
                <c:val>
                  <c:numRef>
                    <c:extLst>
                      <c:ext uri="{02D57815-91ED-43cb-92C2-25804820EDAC}">
                        <c15:formulaRef>
                          <c15:sqref>Sheet1!$B$2:$B$17</c15:sqref>
                        </c15:formulaRef>
                      </c:ext>
                    </c:extLst>
                    <c:numCache>
                      <c:formatCode>General</c:formatCode>
                      <c:ptCount val="16"/>
                    </c:numCache>
                  </c:numRef>
                </c:val>
                <c:extLst>
                  <c:ext xmlns:c16="http://schemas.microsoft.com/office/drawing/2014/chart" uri="{C3380CC4-5D6E-409C-BE32-E72D297353CC}">
                    <c16:uniqueId val="{00000001-3EC2-483A-8962-33F2A7ADEE96}"/>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Sheet1!$C$1</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Sheet1!$A$2:$A$17</c15:sqref>
                        </c15:formulaRef>
                      </c:ext>
                    </c:extLst>
                    <c:strCache>
                      <c:ptCount val="15"/>
                      <c:pt idx="0">
                        <c:v>Days to First flowering</c:v>
                      </c:pt>
                      <c:pt idx="1">
                        <c:v>Days to 50% flowering</c:v>
                      </c:pt>
                      <c:pt idx="2">
                        <c:v>Days to maturity</c:v>
                      </c:pt>
                      <c:pt idx="3">
                        <c:v>Number of primary branches per plant</c:v>
                      </c:pt>
                      <c:pt idx="4">
                        <c:v>Number of secondary branches per plant</c:v>
                      </c:pt>
                      <c:pt idx="5">
                        <c:v>Plant height (cm)</c:v>
                      </c:pt>
                      <c:pt idx="6">
                        <c:v>Length of main raceme (cm)</c:v>
                      </c:pt>
                      <c:pt idx="7">
                        <c:v>Leaf area index </c:v>
                      </c:pt>
                      <c:pt idx="8">
                        <c:v>Number of siliquae per plant</c:v>
                      </c:pt>
                      <c:pt idx="9">
                        <c:v>Number of seeds per siliqua</c:v>
                      </c:pt>
                      <c:pt idx="10">
                        <c:v>Test weight (g)</c:v>
                      </c:pt>
                      <c:pt idx="11">
                        <c:v>Harvest index (%)</c:v>
                      </c:pt>
                      <c:pt idx="12">
                        <c:v>Oil content (%)</c:v>
                      </c:pt>
                      <c:pt idx="13">
                        <c:v>Biological yield (g/plant)</c:v>
                      </c:pt>
                      <c:pt idx="14">
                        <c:v>Seed yield (g/plant)</c:v>
                      </c:pt>
                    </c:strCache>
                  </c:strRef>
                </c:cat>
                <c:val>
                  <c:numRef>
                    <c:extLst xmlns:c15="http://schemas.microsoft.com/office/drawing/2012/chart">
                      <c:ext xmlns:c15="http://schemas.microsoft.com/office/drawing/2012/chart" uri="{02D57815-91ED-43cb-92C2-25804820EDAC}">
                        <c15:formulaRef>
                          <c15:sqref>Sheet1!$C$2:$C$17</c15:sqref>
                        </c15:formulaRef>
                      </c:ext>
                    </c:extLst>
                    <c:numCache>
                      <c:formatCode>General</c:formatCode>
                      <c:ptCount val="16"/>
                    </c:numCache>
                  </c:numRef>
                </c:val>
                <c:extLst xmlns:c15="http://schemas.microsoft.com/office/drawing/2012/chart">
                  <c:ext xmlns:c16="http://schemas.microsoft.com/office/drawing/2014/chart" uri="{C3380CC4-5D6E-409C-BE32-E72D297353CC}">
                    <c16:uniqueId val="{00000002-3EC2-483A-8962-33F2A7ADEE96}"/>
                  </c:ext>
                </c:extLst>
              </c15:ser>
            </c15:filteredBarSeries>
          </c:ext>
        </c:extLst>
      </c:barChart>
      <c:catAx>
        <c:axId val="1356259696"/>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b="1"/>
                  <a:t>Characters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IN" sz="12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Figure:02.</a:t>
                </a:r>
                <a:r>
                  <a:rPr lang="en-IN" sz="14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 </a:t>
                </a:r>
                <a:r>
                  <a:rPr lang="en-IN"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Heritability (%) of 15 yield and yield contributing traits , indicating generally high heritability across most traits.</a:t>
                </a:r>
                <a:endParaRPr lang="en-IN" b="1"/>
              </a:p>
            </c:rich>
          </c:tx>
          <c:layout>
            <c:manualLayout>
              <c:xMode val="edge"/>
              <c:yMode val="edge"/>
              <c:x val="7.9747815028276089E-2"/>
              <c:y val="0.8284064786597156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262576"/>
        <c:crosses val="autoZero"/>
        <c:auto val="1"/>
        <c:lblAlgn val="ctr"/>
        <c:lblOffset val="100"/>
        <c:noMultiLvlLbl val="0"/>
      </c:catAx>
      <c:valAx>
        <c:axId val="1356262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Heritability</a:t>
                </a:r>
                <a:r>
                  <a:rPr lang="en-IN" b="1" baseline="0"/>
                  <a:t> %</a:t>
                </a:r>
                <a:endParaRPr lang="en-IN"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259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1FCD6-1A85-409A-9605-757A3BC63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4278</TotalTime>
  <Pages>15</Pages>
  <Words>4007</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Singh</dc:creator>
  <cp:keywords/>
  <dc:description/>
  <cp:lastModifiedBy>Editor-1183</cp:lastModifiedBy>
  <cp:revision>146</cp:revision>
  <dcterms:created xsi:type="dcterms:W3CDTF">2026-02-15T10:28:00Z</dcterms:created>
  <dcterms:modified xsi:type="dcterms:W3CDTF">2026-04-02T05:39:00Z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788da3ee-7785-481e-9ad3-3efd47c4cd04</vt:lpwstr>
  </property>
</Properties>
</file>