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7AE78" w14:textId="215D0EAA" w:rsidR="00754C9A" w:rsidRDefault="006D65E3" w:rsidP="00441B6F">
      <w:pPr>
        <w:pStyle w:val="Title"/>
        <w:spacing w:after="0"/>
        <w:jc w:val="both"/>
        <w:rPr>
          <w:rFonts w:ascii="Arial" w:hAnsi="Arial" w:cs="Arial"/>
          <w:u w:val="single"/>
        </w:rPr>
      </w:pPr>
      <w:r w:rsidRPr="006D65E3">
        <w:rPr>
          <w:rFonts w:ascii="Arial" w:hAnsi="Arial" w:cs="Arial"/>
          <w:u w:val="single"/>
        </w:rPr>
        <w:t>Review Article</w:t>
      </w:r>
    </w:p>
    <w:p w14:paraId="14879EF0" w14:textId="77777777" w:rsidR="006D65E3" w:rsidRPr="006D65E3" w:rsidRDefault="006D65E3" w:rsidP="00441B6F">
      <w:pPr>
        <w:pStyle w:val="Title"/>
        <w:spacing w:after="0"/>
        <w:jc w:val="both"/>
        <w:rPr>
          <w:rFonts w:ascii="Arial" w:hAnsi="Arial" w:cs="Arial"/>
          <w:u w:val="single"/>
        </w:rPr>
      </w:pPr>
    </w:p>
    <w:p w14:paraId="65A7FC69" w14:textId="77777777" w:rsidR="006E35FC" w:rsidRDefault="006E35FC" w:rsidP="006E35FC">
      <w:pPr>
        <w:spacing w:line="360" w:lineRule="auto"/>
        <w:jc w:val="right"/>
        <w:rPr>
          <w:rFonts w:ascii="Times New Roman" w:hAnsi="Times New Roman"/>
          <w:b/>
          <w:bCs/>
          <w:sz w:val="32"/>
          <w:szCs w:val="32"/>
        </w:rPr>
      </w:pPr>
      <w:r w:rsidRPr="006E35FC">
        <w:rPr>
          <w:rFonts w:ascii="Times New Roman" w:hAnsi="Times New Roman"/>
          <w:b/>
          <w:bCs/>
          <w:sz w:val="32"/>
          <w:szCs w:val="32"/>
        </w:rPr>
        <w:t>OOCYTE DEVELOPMENTAL COMPETENCE AND ITS ROLE IN FERTILITY AND REPRODUCTIVE AGING</w:t>
      </w:r>
    </w:p>
    <w:p w14:paraId="7A38CF3A" w14:textId="77777777" w:rsidR="006D65E3" w:rsidRPr="006E35FC" w:rsidRDefault="006D65E3" w:rsidP="006E35FC">
      <w:pPr>
        <w:spacing w:line="360" w:lineRule="auto"/>
        <w:jc w:val="right"/>
        <w:rPr>
          <w:rFonts w:ascii="Times New Roman" w:hAnsi="Times New Roman"/>
          <w:b/>
          <w:bCs/>
          <w:sz w:val="32"/>
          <w:szCs w:val="32"/>
        </w:rPr>
      </w:pPr>
    </w:p>
    <w:p w14:paraId="62F48F1E" w14:textId="77777777" w:rsidR="00790ADA" w:rsidRDefault="00790ADA" w:rsidP="00441B6F">
      <w:pPr>
        <w:pStyle w:val="Affiliation"/>
        <w:spacing w:after="0" w:line="240" w:lineRule="auto"/>
        <w:jc w:val="both"/>
        <w:rPr>
          <w:rFonts w:ascii="Arial" w:hAnsi="Arial" w:cs="Arial"/>
        </w:rPr>
      </w:pPr>
    </w:p>
    <w:p w14:paraId="5B23600B" w14:textId="77777777" w:rsidR="002C57D2" w:rsidRPr="00FB3A86" w:rsidRDefault="002C57D2" w:rsidP="00441B6F">
      <w:pPr>
        <w:pStyle w:val="Affiliation"/>
        <w:spacing w:after="0" w:line="240" w:lineRule="auto"/>
        <w:jc w:val="both"/>
        <w:rPr>
          <w:rFonts w:ascii="Arial" w:hAnsi="Arial" w:cs="Arial"/>
        </w:rPr>
      </w:pPr>
    </w:p>
    <w:p w14:paraId="77286048" w14:textId="0062CBC2" w:rsidR="00B01FCD" w:rsidRPr="00FB3A86" w:rsidRDefault="005A7345" w:rsidP="00441B6F">
      <w:pPr>
        <w:pStyle w:val="Copyright"/>
        <w:spacing w:after="0" w:line="240" w:lineRule="auto"/>
        <w:jc w:val="both"/>
        <w:rPr>
          <w:rFonts w:ascii="Arial" w:hAnsi="Arial" w:cs="Arial"/>
        </w:rPr>
        <w:sectPr w:rsidR="00B01FCD" w:rsidRPr="00FB3A86" w:rsidSect="00460AD1">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D9F8A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799453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A7E7DBE" w14:textId="77777777" w:rsidTr="001E44FE">
        <w:tc>
          <w:tcPr>
            <w:tcW w:w="9576" w:type="dxa"/>
            <w:shd w:val="clear" w:color="auto" w:fill="F2F2F2"/>
          </w:tcPr>
          <w:p w14:paraId="6B252FA8" w14:textId="77777777" w:rsidR="006E35FC" w:rsidRPr="009C6420" w:rsidRDefault="006E35FC" w:rsidP="006E35FC">
            <w:pPr>
              <w:spacing w:line="360" w:lineRule="auto"/>
              <w:rPr>
                <w:rFonts w:ascii="Times New Roman" w:hAnsi="Times New Roman"/>
                <w:b/>
                <w:bCs/>
              </w:rPr>
            </w:pPr>
            <w:r w:rsidRPr="009C6420">
              <w:rPr>
                <w:rFonts w:ascii="Times New Roman" w:hAnsi="Times New Roman"/>
                <w:b/>
                <w:bCs/>
              </w:rPr>
              <w:t>Abstract</w:t>
            </w:r>
          </w:p>
          <w:p w14:paraId="0CA22244" w14:textId="6E21ED5E" w:rsidR="006E35FC" w:rsidRDefault="006E35FC" w:rsidP="006E35FC">
            <w:pPr>
              <w:spacing w:line="360" w:lineRule="auto"/>
              <w:rPr>
                <w:rFonts w:ascii="Times New Roman" w:hAnsi="Times New Roman"/>
              </w:rPr>
            </w:pPr>
            <w:r w:rsidRPr="009C6420">
              <w:rPr>
                <w:rFonts w:ascii="Times New Roman" w:hAnsi="Times New Roman"/>
              </w:rPr>
              <w:t>Oocyte developmental competence is a fundamental determinant of reproductive success, defined as the ability of an oocyte to complete meiotic maturation, undergo successful fertilization, and support em</w:t>
            </w:r>
            <w:r>
              <w:rPr>
                <w:rFonts w:ascii="Times New Roman" w:hAnsi="Times New Roman"/>
              </w:rPr>
              <w:t>b</w:t>
            </w:r>
            <w:r w:rsidRPr="009C6420">
              <w:rPr>
                <w:rFonts w:ascii="Times New Roman" w:hAnsi="Times New Roman"/>
              </w:rPr>
              <w:t xml:space="preserve">ryonic development through implantation and fetal growth. The acquisition of this competence is a highly coordinated process that occurs during oogenesis and </w:t>
            </w:r>
            <w:proofErr w:type="spellStart"/>
            <w:r w:rsidRPr="009C6420">
              <w:rPr>
                <w:rFonts w:ascii="Times New Roman" w:hAnsi="Times New Roman"/>
              </w:rPr>
              <w:t>folliculogenesis</w:t>
            </w:r>
            <w:proofErr w:type="spellEnd"/>
            <w:r w:rsidRPr="009C6420">
              <w:rPr>
                <w:rFonts w:ascii="Times New Roman" w:hAnsi="Times New Roman"/>
              </w:rPr>
              <w:t xml:space="preserve"> and involves complex interactions between the oocyte and its surrounding somatic cells within the follicular microenvironment. These interactions regulate a network of molecular and cellular pathways</w:t>
            </w:r>
            <w:r w:rsidR="005A7345">
              <w:rPr>
                <w:rFonts w:ascii="Times New Roman" w:hAnsi="Times New Roman"/>
              </w:rPr>
              <w:t>,</w:t>
            </w:r>
            <w:r w:rsidRPr="009C6420">
              <w:rPr>
                <w:rFonts w:ascii="Times New Roman" w:hAnsi="Times New Roman"/>
              </w:rPr>
              <w:t xml:space="preserve"> including nuclear and cytoplasmic maturation, mitochondrial metabolism, epigenetic programming, and the accumulation of maternal RNAs and proteins that sustain early embryogenesis prior to embryonic genome activation. Disruptions in these processes can compromise oocyte quality and significantly reduce fertility outcomes. </w:t>
            </w:r>
            <w:r>
              <w:rPr>
                <w:rFonts w:ascii="Times New Roman" w:hAnsi="Times New Roman"/>
              </w:rPr>
              <w:t xml:space="preserve"> </w:t>
            </w:r>
            <w:r w:rsidRPr="009C6420">
              <w:rPr>
                <w:rFonts w:ascii="Times New Roman" w:hAnsi="Times New Roman"/>
              </w:rPr>
              <w:t>A major factor influencing oocyte competence is reproductive ag</w:t>
            </w:r>
            <w:r w:rsidR="005A7345">
              <w:rPr>
                <w:rFonts w:ascii="Times New Roman" w:hAnsi="Times New Roman"/>
              </w:rPr>
              <w:t>e</w:t>
            </w:r>
            <w:r w:rsidRPr="009C6420">
              <w:rPr>
                <w:rFonts w:ascii="Times New Roman" w:hAnsi="Times New Roman"/>
              </w:rPr>
              <w:t>ing, which is associated with progressive mitochondrial dysfunction, increased oxidative stress, accumulation of DNA damage, and deterioration of chromosomal cohesion. These age-related alterations contribute to meiotic spindle instability and elevated rates of chromosomal segregation errors, leading to an increased incidence of aneuploidy, implantation failure, and miscarriage. In addition, changes in the follicular microenvironment</w:t>
            </w:r>
            <w:r w:rsidR="005A7345">
              <w:rPr>
                <w:rFonts w:ascii="Times New Roman" w:hAnsi="Times New Roman"/>
              </w:rPr>
              <w:t>,</w:t>
            </w:r>
            <w:r>
              <w:rPr>
                <w:rFonts w:ascii="Times New Roman" w:hAnsi="Times New Roman"/>
              </w:rPr>
              <w:t xml:space="preserve"> </w:t>
            </w:r>
            <w:r w:rsidRPr="009C6420">
              <w:rPr>
                <w:rFonts w:ascii="Times New Roman" w:hAnsi="Times New Roman"/>
              </w:rPr>
              <w:t xml:space="preserve">including altered endocrine </w:t>
            </w:r>
            <w:proofErr w:type="spellStart"/>
            <w:r w:rsidRPr="009C6420">
              <w:rPr>
                <w:rFonts w:ascii="Times New Roman" w:hAnsi="Times New Roman"/>
              </w:rPr>
              <w:t>signa</w:t>
            </w:r>
            <w:r w:rsidR="005A7345">
              <w:rPr>
                <w:rFonts w:ascii="Times New Roman" w:hAnsi="Times New Roman"/>
              </w:rPr>
              <w:t>l</w:t>
            </w:r>
            <w:r w:rsidRPr="009C6420">
              <w:rPr>
                <w:rFonts w:ascii="Times New Roman" w:hAnsi="Times New Roman"/>
              </w:rPr>
              <w:t>ling</w:t>
            </w:r>
            <w:proofErr w:type="spellEnd"/>
            <w:r w:rsidRPr="009C6420">
              <w:rPr>
                <w:rFonts w:ascii="Times New Roman" w:hAnsi="Times New Roman"/>
              </w:rPr>
              <w:t xml:space="preserve"> and impaired communication between the oocyte and surrounding granulosa and cumulus cells</w:t>
            </w:r>
            <w:r w:rsidR="005A7345">
              <w:rPr>
                <w:rFonts w:ascii="Times New Roman" w:hAnsi="Times New Roman"/>
              </w:rPr>
              <w:t>,</w:t>
            </w:r>
            <w:r>
              <w:rPr>
                <w:rFonts w:ascii="Times New Roman" w:hAnsi="Times New Roman"/>
              </w:rPr>
              <w:t xml:space="preserve"> </w:t>
            </w:r>
            <w:r w:rsidRPr="009C6420">
              <w:rPr>
                <w:rFonts w:ascii="Times New Roman" w:hAnsi="Times New Roman"/>
              </w:rPr>
              <w:t xml:space="preserve">further exacerbate the decline in oocyte quality with advancing maternal age. In assisted reproductive technologies (ART), the intrinsic quality of the oocyte remains a critical limiting factor despite advances in embryo culture and genetic screening. Consequently, significant research efforts are directed toward identifying reliable biomarkers that reflect the molecular determinants of oocyte competence. Emerging approaches include transcriptomic analysis of cumulus cells, metabolomic profiling of follicular fluid, and assessment of mitochondrial function and oxidative stress status. These strategies aim to improve the prediction of fertilization potential, embryo developmental capacity, and implantation success. This review </w:t>
            </w:r>
            <w:proofErr w:type="spellStart"/>
            <w:r>
              <w:rPr>
                <w:rFonts w:ascii="Times New Roman" w:hAnsi="Times New Roman"/>
              </w:rPr>
              <w:t>synergi</w:t>
            </w:r>
            <w:r w:rsidR="005A7345">
              <w:rPr>
                <w:rFonts w:ascii="Times New Roman" w:hAnsi="Times New Roman"/>
              </w:rPr>
              <w:t>s</w:t>
            </w:r>
            <w:r>
              <w:rPr>
                <w:rFonts w:ascii="Times New Roman" w:hAnsi="Times New Roman"/>
              </w:rPr>
              <w:t>es</w:t>
            </w:r>
            <w:proofErr w:type="spellEnd"/>
            <w:r w:rsidRPr="009C6420">
              <w:rPr>
                <w:rFonts w:ascii="Times New Roman" w:hAnsi="Times New Roman"/>
              </w:rPr>
              <w:t xml:space="preserve"> current knowledge regarding biological and molecular mechanisms regulating oocyte developmental competence and examines how these </w:t>
            </w:r>
            <w:r w:rsidRPr="009C6420">
              <w:rPr>
                <w:rFonts w:ascii="Times New Roman" w:hAnsi="Times New Roman"/>
              </w:rPr>
              <w:lastRenderedPageBreak/>
              <w:t xml:space="preserve">processes influence fertility outcomes and reproductive aging. Emphasis is placed on the roles of mitochondrial function, chromosomal stability, metabolic regulation, and follicular </w:t>
            </w:r>
            <w:proofErr w:type="spellStart"/>
            <w:r w:rsidRPr="009C6420">
              <w:rPr>
                <w:rFonts w:ascii="Times New Roman" w:hAnsi="Times New Roman"/>
              </w:rPr>
              <w:t>signa</w:t>
            </w:r>
            <w:r w:rsidR="005A7345">
              <w:rPr>
                <w:rFonts w:ascii="Times New Roman" w:hAnsi="Times New Roman"/>
              </w:rPr>
              <w:t>l</w:t>
            </w:r>
            <w:r w:rsidRPr="009C6420">
              <w:rPr>
                <w:rFonts w:ascii="Times New Roman" w:hAnsi="Times New Roman"/>
              </w:rPr>
              <w:t>ling</w:t>
            </w:r>
            <w:proofErr w:type="spellEnd"/>
            <w:r w:rsidRPr="009C6420">
              <w:rPr>
                <w:rFonts w:ascii="Times New Roman" w:hAnsi="Times New Roman"/>
              </w:rPr>
              <w:t xml:space="preserve"> in determining oocyte quality. Furthermore, the review discusses emerging biomarkers and clinical strategies aimed at improving oocyte assessment and </w:t>
            </w:r>
            <w:proofErr w:type="spellStart"/>
            <w:r w:rsidRPr="009C6420">
              <w:rPr>
                <w:rFonts w:ascii="Times New Roman" w:hAnsi="Times New Roman"/>
              </w:rPr>
              <w:t>optimi</w:t>
            </w:r>
            <w:r w:rsidR="005A7345">
              <w:rPr>
                <w:rFonts w:ascii="Times New Roman" w:hAnsi="Times New Roman"/>
              </w:rPr>
              <w:t>s</w:t>
            </w:r>
            <w:r w:rsidRPr="009C6420">
              <w:rPr>
                <w:rFonts w:ascii="Times New Roman" w:hAnsi="Times New Roman"/>
              </w:rPr>
              <w:t>ing</w:t>
            </w:r>
            <w:proofErr w:type="spellEnd"/>
            <w:r w:rsidRPr="009C6420">
              <w:rPr>
                <w:rFonts w:ascii="Times New Roman" w:hAnsi="Times New Roman"/>
              </w:rPr>
              <w:t xml:space="preserve"> assisted reproductive treatments. Advancing our understanding of the mechanisms underlying oocyte competence will be essential for improving fertility management, enhancing the success of assisted reproduction, and addressing the challenges associated with reproductive ag</w:t>
            </w:r>
            <w:r w:rsidR="005A7345">
              <w:rPr>
                <w:rFonts w:ascii="Times New Roman" w:hAnsi="Times New Roman"/>
              </w:rPr>
              <w:t>e</w:t>
            </w:r>
            <w:r w:rsidRPr="009C6420">
              <w:rPr>
                <w:rFonts w:ascii="Times New Roman" w:hAnsi="Times New Roman"/>
              </w:rPr>
              <w:t>ing.</w:t>
            </w:r>
          </w:p>
          <w:p w14:paraId="365D0B12" w14:textId="6DF1AA75" w:rsidR="00505F06" w:rsidRPr="00BA1B01" w:rsidRDefault="00505F06" w:rsidP="00441B6F">
            <w:pPr>
              <w:pStyle w:val="Body"/>
              <w:spacing w:after="0"/>
              <w:rPr>
                <w:rFonts w:ascii="Arial" w:eastAsia="Calibri" w:hAnsi="Arial" w:cs="Arial"/>
                <w:szCs w:val="22"/>
              </w:rPr>
            </w:pPr>
          </w:p>
        </w:tc>
      </w:tr>
    </w:tbl>
    <w:p w14:paraId="3FAF9B5C" w14:textId="77777777" w:rsidR="0024282C" w:rsidRDefault="0024282C" w:rsidP="00441B6F">
      <w:pPr>
        <w:pStyle w:val="Body"/>
        <w:spacing w:after="0"/>
        <w:rPr>
          <w:rFonts w:ascii="Arial" w:hAnsi="Arial" w:cs="Arial"/>
          <w:i/>
          <w:sz w:val="18"/>
        </w:rPr>
      </w:pPr>
    </w:p>
    <w:p w14:paraId="4A940B54" w14:textId="280369D4" w:rsidR="008C24A0" w:rsidRPr="008C24A0" w:rsidRDefault="008C24A0" w:rsidP="00441B6F">
      <w:pPr>
        <w:pStyle w:val="Body"/>
        <w:spacing w:after="0"/>
        <w:rPr>
          <w:rFonts w:ascii="Times New Roman" w:hAnsi="Times New Roman"/>
          <w:iCs/>
          <w:sz w:val="18"/>
        </w:rPr>
      </w:pPr>
      <w:r w:rsidRPr="00EF57E0">
        <w:rPr>
          <w:rFonts w:ascii="Times New Roman" w:hAnsi="Times New Roman"/>
          <w:iCs/>
          <w:sz w:val="18"/>
          <w:highlight w:val="yellow"/>
        </w:rPr>
        <w:t xml:space="preserve">Keywords: </w:t>
      </w:r>
      <w:r w:rsidRPr="00EF57E0">
        <w:rPr>
          <w:rFonts w:ascii="Times New Roman" w:hAnsi="Times New Roman"/>
          <w:i/>
          <w:sz w:val="18"/>
          <w:highlight w:val="yellow"/>
        </w:rPr>
        <w:t xml:space="preserve">Oocyte development, fertility, reproductive age, </w:t>
      </w:r>
      <w:r w:rsidRPr="00EF57E0">
        <w:rPr>
          <w:rFonts w:ascii="Times New Roman" w:hAnsi="Times New Roman"/>
          <w:i/>
          <w:highlight w:val="yellow"/>
        </w:rPr>
        <w:t>fetal growth,</w:t>
      </w:r>
      <w:r w:rsidRPr="00EF57E0">
        <w:rPr>
          <w:rFonts w:ascii="Times New Roman" w:hAnsi="Times New Roman"/>
          <w:i/>
          <w:sz w:val="18"/>
          <w:highlight w:val="yellow"/>
        </w:rPr>
        <w:t xml:space="preserve"> </w:t>
      </w:r>
      <w:proofErr w:type="spellStart"/>
      <w:r w:rsidRPr="00EF57E0">
        <w:rPr>
          <w:rFonts w:ascii="Times New Roman" w:hAnsi="Times New Roman"/>
          <w:i/>
          <w:highlight w:val="yellow"/>
        </w:rPr>
        <w:t>folliculogenesis</w:t>
      </w:r>
      <w:proofErr w:type="spellEnd"/>
    </w:p>
    <w:p w14:paraId="5C988B40" w14:textId="77777777" w:rsidR="008F719E" w:rsidRDefault="008F719E" w:rsidP="006E35FC">
      <w:pPr>
        <w:spacing w:line="360" w:lineRule="auto"/>
        <w:rPr>
          <w:rFonts w:ascii="Times New Roman" w:hAnsi="Times New Roman"/>
          <w:b/>
          <w:bCs/>
        </w:rPr>
      </w:pPr>
    </w:p>
    <w:p w14:paraId="13E4B2F7" w14:textId="08987A4D" w:rsidR="006E35FC" w:rsidRDefault="006E35FC" w:rsidP="006E35FC">
      <w:pPr>
        <w:spacing w:line="360" w:lineRule="auto"/>
        <w:rPr>
          <w:rFonts w:ascii="Times New Roman" w:hAnsi="Times New Roman"/>
        </w:rPr>
      </w:pPr>
      <w:r w:rsidRPr="00F6495A">
        <w:rPr>
          <w:rFonts w:ascii="Times New Roman" w:hAnsi="Times New Roman"/>
          <w:b/>
          <w:bCs/>
        </w:rPr>
        <w:t>1. Introduction</w:t>
      </w:r>
    </w:p>
    <w:p w14:paraId="47B26E3E" w14:textId="77777777" w:rsidR="006E35FC" w:rsidRPr="00F6495A" w:rsidRDefault="006E35FC" w:rsidP="006E35FC">
      <w:pPr>
        <w:spacing w:line="360" w:lineRule="auto"/>
        <w:jc w:val="both"/>
        <w:rPr>
          <w:rFonts w:ascii="Times New Roman" w:hAnsi="Times New Roman"/>
        </w:rPr>
      </w:pPr>
      <w:r w:rsidRPr="00F6495A">
        <w:rPr>
          <w:rFonts w:ascii="Times New Roman" w:hAnsi="Times New Roman"/>
        </w:rPr>
        <w:t xml:space="preserve">Reproductive success in mammals depends critically on the intrinsic quality of the female gamete. Among the numerous factors influencing fertility, the developmental competence of the oocyte has emerged as one of the most important determinants of successful fertilization, embryo development, and ultimately the establishment of a viable pregnancy (Conti and Franciosi, 2018). Oocyte developmental competence refers to the capacity of an oocyte to complete meiotic maturation, undergo successful fertilization, sustain embryogenesis through the blastocyst stage, and support implantation and fetal development (Innocenti et al., 2022). This competence is not an inherent static property but rather a biological potential gradually acquired during oogenesis and </w:t>
      </w:r>
      <w:proofErr w:type="spellStart"/>
      <w:r w:rsidRPr="00F6495A">
        <w:rPr>
          <w:rFonts w:ascii="Times New Roman" w:hAnsi="Times New Roman"/>
        </w:rPr>
        <w:t>folliculogenesis</w:t>
      </w:r>
      <w:proofErr w:type="spellEnd"/>
      <w:r w:rsidRPr="00F6495A">
        <w:rPr>
          <w:rFonts w:ascii="Times New Roman" w:hAnsi="Times New Roman"/>
        </w:rPr>
        <w:t xml:space="preserve"> through coordinated molecular, cellular, and metabolic events occurring within the ovarian follicle.</w:t>
      </w:r>
    </w:p>
    <w:p w14:paraId="233C296D" w14:textId="269C1295" w:rsidR="006E35FC" w:rsidRPr="00F6495A" w:rsidRDefault="006E35FC" w:rsidP="006E35FC">
      <w:pPr>
        <w:spacing w:line="360" w:lineRule="auto"/>
        <w:jc w:val="both"/>
        <w:rPr>
          <w:rFonts w:ascii="Times New Roman" w:hAnsi="Times New Roman"/>
        </w:rPr>
      </w:pPr>
      <w:r w:rsidRPr="00F6495A">
        <w:rPr>
          <w:rFonts w:ascii="Times New Roman" w:hAnsi="Times New Roman"/>
        </w:rPr>
        <w:t>The acquisition of developmental competence involves a complex interplay between the oocyte and the surrounding somatic cells of the follicle, particularly granulosa and cumulus cells that form the cumulus–oocyte complex (COC) (</w:t>
      </w:r>
      <w:proofErr w:type="spellStart"/>
      <w:r w:rsidRPr="00F6495A">
        <w:rPr>
          <w:rFonts w:ascii="Times New Roman" w:hAnsi="Times New Roman"/>
        </w:rPr>
        <w:t>Richani</w:t>
      </w:r>
      <w:proofErr w:type="spellEnd"/>
      <w:r w:rsidRPr="00F6495A">
        <w:rPr>
          <w:rFonts w:ascii="Times New Roman" w:hAnsi="Times New Roman"/>
        </w:rPr>
        <w:t xml:space="preserve"> et al., 2020). Throughout follicular development, bidirectional communication between germ cells and somatic cells ensures proper metabolic support, </w:t>
      </w:r>
      <w:proofErr w:type="spellStart"/>
      <w:r w:rsidRPr="00F6495A">
        <w:rPr>
          <w:rFonts w:ascii="Times New Roman" w:hAnsi="Times New Roman"/>
        </w:rPr>
        <w:t>signa</w:t>
      </w:r>
      <w:r w:rsidR="005A7345">
        <w:rPr>
          <w:rFonts w:ascii="Times New Roman" w:hAnsi="Times New Roman"/>
        </w:rPr>
        <w:t>l</w:t>
      </w:r>
      <w:r w:rsidRPr="00F6495A">
        <w:rPr>
          <w:rFonts w:ascii="Times New Roman" w:hAnsi="Times New Roman"/>
        </w:rPr>
        <w:t>ling</w:t>
      </w:r>
      <w:proofErr w:type="spellEnd"/>
      <w:r w:rsidRPr="00F6495A">
        <w:rPr>
          <w:rFonts w:ascii="Times New Roman" w:hAnsi="Times New Roman"/>
        </w:rPr>
        <w:t xml:space="preserve"> exchange, and synchronization of maturation processes. Gap junctions and transzonal projections facilitate the transfer of metabolites, regulatory molecules, and signaling factors between these compartments, enabling the oocyte to accumulate the molecular and energetic resources required for maturation and early embryogenesis (</w:t>
      </w:r>
      <w:proofErr w:type="spellStart"/>
      <w:r w:rsidRPr="00F6495A">
        <w:rPr>
          <w:rFonts w:ascii="Times New Roman" w:hAnsi="Times New Roman"/>
        </w:rPr>
        <w:t>Kordowitzki</w:t>
      </w:r>
      <w:proofErr w:type="spellEnd"/>
      <w:r w:rsidRPr="00F6495A">
        <w:rPr>
          <w:rFonts w:ascii="Times New Roman" w:hAnsi="Times New Roman"/>
        </w:rPr>
        <w:t xml:space="preserve"> et al., 2021). These interactions highlight that oocyte competence is not solely determined by intrinsic germ cell mechanisms but also by the functional integrity of the surrounding follicular microenvironment.</w:t>
      </w:r>
    </w:p>
    <w:p w14:paraId="560DF976" w14:textId="77777777" w:rsidR="006E35FC" w:rsidRPr="00F6495A" w:rsidRDefault="006E35FC" w:rsidP="006E35FC">
      <w:pPr>
        <w:spacing w:line="360" w:lineRule="auto"/>
        <w:jc w:val="both"/>
        <w:rPr>
          <w:rFonts w:ascii="Times New Roman" w:hAnsi="Times New Roman"/>
        </w:rPr>
      </w:pPr>
      <w:r w:rsidRPr="00F6495A">
        <w:rPr>
          <w:rFonts w:ascii="Times New Roman" w:hAnsi="Times New Roman"/>
        </w:rPr>
        <w:t xml:space="preserve">At the cellular level, developmental competence arises through the coordinated progression of nuclear and cytoplasmic maturation. Nuclear maturation involves the resumption and completion of meiosis, including germinal vesicle breakdown, spindle assembly, chromosome alignment, and segregation (Baldini et al., 2024). Cytoplasmic maturation occurs concurrently and includes the redistribution of organelles, accumulation of maternal RNAs and proteins, metabolic reprogramming, and preparation for fertilization and embryonic genome activation (Conti and Franciosi, 2018). Importantly, the </w:t>
      </w:r>
      <w:r w:rsidRPr="00F6495A">
        <w:rPr>
          <w:rFonts w:ascii="Times New Roman" w:hAnsi="Times New Roman"/>
        </w:rPr>
        <w:lastRenderedPageBreak/>
        <w:t>translational regulation of stored maternal transcripts is a key mechanism through which the oocyte establishes the molecular machinery required for early embryogenesis before zygotic transcription becomes active (Walker and Biase, 2020). Consequently, disturbances in either nuclear or cytoplasmic maturation processes can compromise developmental competence and reduce reproductive success.</w:t>
      </w:r>
    </w:p>
    <w:p w14:paraId="71280CEA" w14:textId="21F53665" w:rsidR="006E35FC" w:rsidRPr="00F6495A" w:rsidRDefault="006E35FC" w:rsidP="006E35FC">
      <w:pPr>
        <w:spacing w:line="360" w:lineRule="auto"/>
        <w:jc w:val="both"/>
        <w:rPr>
          <w:rFonts w:ascii="Times New Roman" w:hAnsi="Times New Roman"/>
        </w:rPr>
      </w:pPr>
      <w:r w:rsidRPr="00F6495A">
        <w:rPr>
          <w:rFonts w:ascii="Times New Roman" w:hAnsi="Times New Roman"/>
        </w:rPr>
        <w:t>A growing body of research has demonstrated that oocyte competence is closely linked to cellular metabolic regulation and mitochondrial activity. The oocyte itself has limited metabolic capacity and relies heavily on metabolic cooperation with cumulus cells for substrates required for energy production (</w:t>
      </w:r>
      <w:proofErr w:type="spellStart"/>
      <w:r w:rsidRPr="00F6495A">
        <w:rPr>
          <w:rFonts w:ascii="Times New Roman" w:hAnsi="Times New Roman"/>
        </w:rPr>
        <w:t>Richani</w:t>
      </w:r>
      <w:proofErr w:type="spellEnd"/>
      <w:r w:rsidRPr="00F6495A">
        <w:rPr>
          <w:rFonts w:ascii="Times New Roman" w:hAnsi="Times New Roman"/>
        </w:rPr>
        <w:t xml:space="preserve"> et al., 2020). Cumulus cells metabolize glucose and other nutrients and transfer metabolic intermediates such as pyruvate to the oocyte, supporting mitochondrial oxidative phosphorylation and ATP generation necessary for meiotic progression and cytoplasmic maturation (Sasaki et al., 2019). Disruptions in this metabolic cooperation</w:t>
      </w:r>
      <w:r w:rsidR="005A7345">
        <w:rPr>
          <w:rFonts w:ascii="Times New Roman" w:hAnsi="Times New Roman"/>
        </w:rPr>
        <w:t>,</w:t>
      </w:r>
      <w:r w:rsidRPr="00F6495A">
        <w:rPr>
          <w:rFonts w:ascii="Times New Roman" w:hAnsi="Times New Roman"/>
        </w:rPr>
        <w:t xml:space="preserve"> whether due to pathological conditions, environmental stressors, or assisted reproductive interventions, can impair energy homeostasis within the oocyte and compromise developmental potential.</w:t>
      </w:r>
    </w:p>
    <w:p w14:paraId="2884602D" w14:textId="31EE3379" w:rsidR="006E35FC" w:rsidRPr="00F6495A" w:rsidRDefault="006E35FC" w:rsidP="006E35FC">
      <w:pPr>
        <w:spacing w:line="360" w:lineRule="auto"/>
        <w:jc w:val="both"/>
        <w:rPr>
          <w:rFonts w:ascii="Times New Roman" w:hAnsi="Times New Roman"/>
        </w:rPr>
      </w:pPr>
      <w:r w:rsidRPr="00F6495A">
        <w:rPr>
          <w:rFonts w:ascii="Times New Roman" w:hAnsi="Times New Roman"/>
        </w:rPr>
        <w:t>The significance of oocyte developmental competence extends beyond basic reproductive biology and has profound implications for clinical fertility outcomes. In assisted reproductive technologies (ART), including in vitro fertilization (IVF), the ability to identify and select high-quality oocytes is a critical determinant of treatment success (Anderson et al., 2025). Despite technological advancements in embryo culture and selection, the intrinsic developmental potential of the oocyte remains a primary limiting factor in achieving successful pregnancies (</w:t>
      </w:r>
      <w:proofErr w:type="spellStart"/>
      <w:r w:rsidRPr="00F6495A">
        <w:rPr>
          <w:rFonts w:ascii="Times New Roman" w:hAnsi="Times New Roman"/>
        </w:rPr>
        <w:t>Sirait</w:t>
      </w:r>
      <w:proofErr w:type="spellEnd"/>
      <w:r w:rsidRPr="00F6495A">
        <w:rPr>
          <w:rFonts w:ascii="Times New Roman" w:hAnsi="Times New Roman"/>
        </w:rPr>
        <w:t xml:space="preserve"> et al., 2021). Current assessment strategies rely heavily on morphological evaluation, which often lacks predictive accuracy, highlighting the need for improved molecular and functional biomarkers of oocyte quality (</w:t>
      </w:r>
      <w:proofErr w:type="spellStart"/>
      <w:r w:rsidRPr="00F6495A">
        <w:rPr>
          <w:rFonts w:ascii="Times New Roman" w:hAnsi="Times New Roman"/>
        </w:rPr>
        <w:t>Sciorio</w:t>
      </w:r>
      <w:proofErr w:type="spellEnd"/>
      <w:r w:rsidRPr="00F6495A">
        <w:rPr>
          <w:rFonts w:ascii="Times New Roman" w:hAnsi="Times New Roman"/>
        </w:rPr>
        <w:t xml:space="preserve"> et al., 2022). One of the most significant challenges affecting oocyte competence is reproductive aging. Female fertility declines progressively with advancing maternal age due to both a reduction in ovarian reserve and deterioration in oocyte quality (Ferreira et al., 2023). Age-related changes in the oocyte include mitochondrial dysfunction, increased oxidative stress, accumulation of DNA damage, and chromosomal segregation errors during meiosis, leading to elevated rates of aneuploidy and embryo developmental failure (Baldini et al., 2024). The susceptibility of oocytes to age-related deterioration is partly attributable to their prolonged arrest in meiotic prophase I, during which cellular structures such as chromosome cohesion complexes gradually deteriorate over time. These biological constraints make maternal age one of the strongest predictors of reproductive outcomes in both natural conception and ART (Anderson et al., 2025). Furthermore, pathological conditions within the ovarian microenvironment can also influence oocyte competence. Disorders such as endometriosis, metabolic dysregulation, and inflammatory conditions can alter follicular signaling networks, increase oxidative stress, and disrupt mitochondrial integrity within the oocyte (Moreno et al., 2023). These alterations </w:t>
      </w:r>
      <w:r w:rsidRPr="00F6495A">
        <w:rPr>
          <w:rFonts w:ascii="Times New Roman" w:hAnsi="Times New Roman"/>
        </w:rPr>
        <w:lastRenderedPageBreak/>
        <w:t>may impair cytoplasmic maturation, meiotic progression, and epigenetic programming, thereby reduc</w:t>
      </w:r>
      <w:r w:rsidR="005A7345">
        <w:rPr>
          <w:rFonts w:ascii="Times New Roman" w:hAnsi="Times New Roman"/>
        </w:rPr>
        <w:t>ing</w:t>
      </w:r>
      <w:r w:rsidRPr="00F6495A">
        <w:rPr>
          <w:rFonts w:ascii="Times New Roman" w:hAnsi="Times New Roman"/>
        </w:rPr>
        <w:t xml:space="preserve"> the developmental potential of the oocyte and contribut</w:t>
      </w:r>
      <w:r w:rsidR="005A7345">
        <w:rPr>
          <w:rFonts w:ascii="Times New Roman" w:hAnsi="Times New Roman"/>
        </w:rPr>
        <w:t>ing</w:t>
      </w:r>
      <w:r w:rsidRPr="00F6495A">
        <w:rPr>
          <w:rFonts w:ascii="Times New Roman" w:hAnsi="Times New Roman"/>
        </w:rPr>
        <w:t xml:space="preserve"> to infertility.</w:t>
      </w:r>
    </w:p>
    <w:p w14:paraId="796A58DD" w14:textId="57349463" w:rsidR="006E35FC" w:rsidRDefault="006E35FC" w:rsidP="006E35FC">
      <w:pPr>
        <w:spacing w:line="360" w:lineRule="auto"/>
        <w:jc w:val="both"/>
        <w:rPr>
          <w:rFonts w:ascii="Times New Roman" w:hAnsi="Times New Roman"/>
        </w:rPr>
      </w:pPr>
      <w:r w:rsidRPr="00F6495A">
        <w:rPr>
          <w:rFonts w:ascii="Times New Roman" w:hAnsi="Times New Roman"/>
        </w:rPr>
        <w:t>Given the central role of the oocyte in initiating and sustaining embryonic development, elucidating the molecular mechanisms governing developmental competence is essential for advancing reproductive medicine (De Oliveira et al., 2025). Insights into the regulatory pathways controlling oocyte maturation, metabolic regulation, genomic integrity, and ag</w:t>
      </w:r>
      <w:r w:rsidR="005A7345">
        <w:rPr>
          <w:rFonts w:ascii="Times New Roman" w:hAnsi="Times New Roman"/>
        </w:rPr>
        <w:t>e</w:t>
      </w:r>
      <w:r w:rsidRPr="00F6495A">
        <w:rPr>
          <w:rFonts w:ascii="Times New Roman" w:hAnsi="Times New Roman"/>
        </w:rPr>
        <w:t>ing-related decline can inform new diagnostic tools, therapeutic interventions, and optimization strategies for assisted reproduction. Moreover, identifying reliable biomarkers of oocyte competence may enable more accurate prediction of IVF outcomes and facilitate personalized fertility treatments (</w:t>
      </w:r>
      <w:proofErr w:type="spellStart"/>
      <w:r w:rsidR="008C24A0" w:rsidRPr="008C24A0">
        <w:rPr>
          <w:rFonts w:ascii="Times New Roman" w:hAnsi="Times New Roman"/>
          <w:highlight w:val="yellow"/>
        </w:rPr>
        <w:t>A</w:t>
      </w:r>
      <w:r w:rsidR="00EA4C6E">
        <w:rPr>
          <w:rFonts w:ascii="Times New Roman" w:hAnsi="Times New Roman"/>
          <w:highlight w:val="yellow"/>
        </w:rPr>
        <w:t>lo</w:t>
      </w:r>
      <w:r w:rsidR="008C24A0" w:rsidRPr="008C24A0">
        <w:rPr>
          <w:rFonts w:ascii="Times New Roman" w:hAnsi="Times New Roman"/>
          <w:highlight w:val="yellow"/>
        </w:rPr>
        <w:t>woes</w:t>
      </w:r>
      <w:r w:rsidR="00EA4C6E">
        <w:rPr>
          <w:rFonts w:ascii="Times New Roman" w:hAnsi="Times New Roman"/>
          <w:highlight w:val="yellow"/>
        </w:rPr>
        <w:t>h</w:t>
      </w:r>
      <w:r w:rsidR="008C24A0" w:rsidRPr="008C24A0">
        <w:rPr>
          <w:rFonts w:ascii="Times New Roman" w:hAnsi="Times New Roman"/>
          <w:highlight w:val="yellow"/>
        </w:rPr>
        <w:t>in</w:t>
      </w:r>
      <w:proofErr w:type="spellEnd"/>
      <w:r w:rsidR="008C24A0" w:rsidRPr="008C24A0">
        <w:rPr>
          <w:rFonts w:ascii="Times New Roman" w:hAnsi="Times New Roman"/>
          <w:highlight w:val="yellow"/>
        </w:rPr>
        <w:t xml:space="preserve"> et al., 2025;</w:t>
      </w:r>
      <w:r w:rsidR="008C24A0">
        <w:rPr>
          <w:rFonts w:ascii="Times New Roman" w:hAnsi="Times New Roman"/>
        </w:rPr>
        <w:t xml:space="preserve"> </w:t>
      </w:r>
      <w:r w:rsidRPr="00F6495A">
        <w:rPr>
          <w:rFonts w:ascii="Times New Roman" w:hAnsi="Times New Roman"/>
        </w:rPr>
        <w:t>Molin et al., 2025).</w:t>
      </w:r>
    </w:p>
    <w:p w14:paraId="7FE0112A" w14:textId="7CF4D99B" w:rsidR="006E35FC" w:rsidRPr="00F6495A" w:rsidRDefault="006E35FC" w:rsidP="006E35FC">
      <w:pPr>
        <w:spacing w:line="360" w:lineRule="auto"/>
        <w:jc w:val="both"/>
        <w:rPr>
          <w:rFonts w:ascii="Times New Roman" w:hAnsi="Times New Roman"/>
        </w:rPr>
      </w:pPr>
      <w:r w:rsidRPr="006F0644">
        <w:rPr>
          <w:rFonts w:ascii="Times New Roman" w:hAnsi="Times New Roman"/>
          <w:b/>
          <w:bCs/>
        </w:rPr>
        <w:t>2.</w:t>
      </w:r>
      <w:r w:rsidR="009D0CFC">
        <w:rPr>
          <w:rFonts w:ascii="Times New Roman" w:hAnsi="Times New Roman"/>
          <w:b/>
          <w:bCs/>
        </w:rPr>
        <w:tab/>
      </w:r>
      <w:r w:rsidRPr="000C7DBC">
        <w:rPr>
          <w:rFonts w:ascii="Times New Roman" w:hAnsi="Times New Roman"/>
          <w:b/>
          <w:bCs/>
        </w:rPr>
        <w:t>Biological Basis of Oocyte Developmental Competence</w:t>
      </w:r>
    </w:p>
    <w:p w14:paraId="51FF7443"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The developmental competence of an oocyte is established through a series of highly coordinated biological processes that occur during oogenesis and </w:t>
      </w:r>
      <w:proofErr w:type="spellStart"/>
      <w:r w:rsidRPr="000C7DBC">
        <w:rPr>
          <w:rFonts w:ascii="Times New Roman" w:hAnsi="Times New Roman"/>
        </w:rPr>
        <w:t>folliculogenesis</w:t>
      </w:r>
      <w:proofErr w:type="spellEnd"/>
      <w:r w:rsidRPr="000C7DBC">
        <w:rPr>
          <w:rFonts w:ascii="Times New Roman" w:hAnsi="Times New Roman"/>
        </w:rPr>
        <w:t>. These processes involve complex interactions between germ cells and surrounding somatic cells within the ovarian follicle, as well as tightly regulated molecular pathways governing cellular metabolism, gene expression, and meiotic progression (Conti and Franciosi, 2018). Competence is gradually acquired as the oocyte grows and undergoes structural, metabolic, and molecular maturation, enabling it to support fertilization and early embryonic development. The successful execution of these processes requires the integration of nuclear and cytoplasmic maturation events, mitochondrial metabolic regulation, epigenetic programming, and the accumulation of maternal transcripts and proteins essential for early embryogenesis (Innocenti et al., 2022).</w:t>
      </w:r>
    </w:p>
    <w:p w14:paraId="501C1FDB" w14:textId="1E28340C" w:rsidR="006E35FC" w:rsidRDefault="006E35FC" w:rsidP="006E35FC">
      <w:pPr>
        <w:spacing w:line="360" w:lineRule="auto"/>
        <w:rPr>
          <w:rFonts w:ascii="Times New Roman" w:hAnsi="Times New Roman"/>
          <w:b/>
          <w:bCs/>
        </w:rPr>
      </w:pPr>
      <w:r w:rsidRPr="000C7DBC">
        <w:rPr>
          <w:rFonts w:ascii="Times New Roman" w:hAnsi="Times New Roman"/>
          <w:b/>
          <w:bCs/>
        </w:rPr>
        <w:t>2.1</w:t>
      </w:r>
      <w:r w:rsidR="009D0CFC">
        <w:rPr>
          <w:rFonts w:ascii="Times New Roman" w:hAnsi="Times New Roman"/>
          <w:b/>
          <w:bCs/>
        </w:rPr>
        <w:tab/>
      </w:r>
      <w:r w:rsidRPr="000C7DBC">
        <w:rPr>
          <w:rFonts w:ascii="Times New Roman" w:hAnsi="Times New Roman"/>
          <w:b/>
          <w:bCs/>
        </w:rPr>
        <w:t xml:space="preserve">Oogenesis and </w:t>
      </w:r>
      <w:proofErr w:type="spellStart"/>
      <w:r w:rsidRPr="000C7DBC">
        <w:rPr>
          <w:rFonts w:ascii="Times New Roman" w:hAnsi="Times New Roman"/>
          <w:b/>
          <w:bCs/>
        </w:rPr>
        <w:t>Folliculogenesis</w:t>
      </w:r>
      <w:proofErr w:type="spellEnd"/>
    </w:p>
    <w:p w14:paraId="61FEF584" w14:textId="1A397696" w:rsidR="006E35FC" w:rsidRPr="000C7DBC" w:rsidRDefault="006E35FC" w:rsidP="006E35FC">
      <w:pPr>
        <w:spacing w:line="360" w:lineRule="auto"/>
        <w:jc w:val="both"/>
        <w:rPr>
          <w:rFonts w:ascii="Times New Roman" w:hAnsi="Times New Roman"/>
        </w:rPr>
      </w:pPr>
      <w:r w:rsidRPr="000C7DBC">
        <w:rPr>
          <w:rFonts w:ascii="Times New Roman" w:hAnsi="Times New Roman"/>
        </w:rPr>
        <w:t>Oogenesis is the developmental process through which primordial germ cells differentiate into mature oocytes capable of undergoing fertilization. This process begins during fetal development when oogonia enter meiosis and become arrested in the diplotene stage of prophase I, forming primary oocytes enclosed within primordial follicles. These follicles constitute the ovarian reserve and remain quiescent until recruited into the growing follicular pool during reproductive life. The size and integrity of this primordial follicle pool ultimately determine reproductive lifespan and fertility potential (Anderson et al., 2025).</w:t>
      </w:r>
    </w:p>
    <w:p w14:paraId="0D1DA472" w14:textId="298712DD" w:rsidR="006E35FC" w:rsidRDefault="006E35FC" w:rsidP="006E35FC">
      <w:pPr>
        <w:spacing w:line="360" w:lineRule="auto"/>
        <w:jc w:val="both"/>
        <w:rPr>
          <w:rFonts w:ascii="Times New Roman" w:hAnsi="Times New Roman"/>
        </w:rPr>
      </w:pPr>
      <w:proofErr w:type="spellStart"/>
      <w:r w:rsidRPr="000C7DBC">
        <w:rPr>
          <w:rFonts w:ascii="Times New Roman" w:hAnsi="Times New Roman"/>
        </w:rPr>
        <w:t>Folliculogenesis</w:t>
      </w:r>
      <w:proofErr w:type="spellEnd"/>
      <w:r w:rsidRPr="000C7DBC">
        <w:rPr>
          <w:rFonts w:ascii="Times New Roman" w:hAnsi="Times New Roman"/>
        </w:rPr>
        <w:t xml:space="preserve"> refers to the progressive maturation of ovarian follicles from primordial to preovulatory stages. During this process, the oocyte grows substantially in size and undergoes extensive biochemical and structural </w:t>
      </w:r>
      <w:proofErr w:type="spellStart"/>
      <w:r w:rsidRPr="000C7DBC">
        <w:rPr>
          <w:rFonts w:ascii="Times New Roman" w:hAnsi="Times New Roman"/>
        </w:rPr>
        <w:t>remode</w:t>
      </w:r>
      <w:r w:rsidR="005A7345">
        <w:rPr>
          <w:rFonts w:ascii="Times New Roman" w:hAnsi="Times New Roman"/>
        </w:rPr>
        <w:t>l</w:t>
      </w:r>
      <w:r w:rsidRPr="000C7DBC">
        <w:rPr>
          <w:rFonts w:ascii="Times New Roman" w:hAnsi="Times New Roman"/>
        </w:rPr>
        <w:t>ling</w:t>
      </w:r>
      <w:proofErr w:type="spellEnd"/>
      <w:r w:rsidRPr="000C7DBC">
        <w:rPr>
          <w:rFonts w:ascii="Times New Roman" w:hAnsi="Times New Roman"/>
        </w:rPr>
        <w:t xml:space="preserve"> while maintaining meiotic arrest. Follicular development is regulated by endocrine signals, particularly follicle-stimulating hormone (FSH), and by local paracrine factors produced by both the oocyte and granulosa cells. Oocyte-secreted factors such as growth differentiation factor 9 (GDF9) and bone morphogenetic protein 15 (BMP15) play crucial roles in regulating granulosa cell proliferation, differentiation, and metabolic activity, thereby </w:t>
      </w:r>
      <w:r w:rsidRPr="000C7DBC">
        <w:rPr>
          <w:rFonts w:ascii="Times New Roman" w:hAnsi="Times New Roman"/>
        </w:rPr>
        <w:lastRenderedPageBreak/>
        <w:t>coordinating follicular growth with oocyte maturation. Bidirectional communication between the oocyte and surrounding granulosa and cumulus cells is essential for the acquisition of developmental competence. These cells form a functional unit known as the cumulus–oocyte complex (COC), connected through gap junctions and transzonal projections that allow the exchange of metabolites, signaling molecules, and regulatory factors. Through these structures, granulosa cells supply substrates such as pyruvate and amino acids required for oocyte metabolism while the oocyte regulates somatic cell function through paracrine signaling pathways (</w:t>
      </w:r>
      <w:proofErr w:type="spellStart"/>
      <w:r w:rsidRPr="000C7DBC">
        <w:rPr>
          <w:rFonts w:ascii="Times New Roman" w:hAnsi="Times New Roman"/>
        </w:rPr>
        <w:t>Richani</w:t>
      </w:r>
      <w:proofErr w:type="spellEnd"/>
      <w:r w:rsidRPr="000C7DBC">
        <w:rPr>
          <w:rFonts w:ascii="Times New Roman" w:hAnsi="Times New Roman"/>
        </w:rPr>
        <w:t xml:space="preserve"> et al., 2020). These intercellular communication mechanisms are also supported by connexin-mediated signaling that maintains follicular coordination (</w:t>
      </w:r>
      <w:proofErr w:type="spellStart"/>
      <w:r w:rsidRPr="000C7DBC">
        <w:rPr>
          <w:rFonts w:ascii="Times New Roman" w:hAnsi="Times New Roman"/>
        </w:rPr>
        <w:t>Kordowitzki</w:t>
      </w:r>
      <w:proofErr w:type="spellEnd"/>
      <w:r w:rsidRPr="000C7DBC">
        <w:rPr>
          <w:rFonts w:ascii="Times New Roman" w:hAnsi="Times New Roman"/>
        </w:rPr>
        <w:t xml:space="preserve"> et al., 2021).</w:t>
      </w:r>
      <w:r>
        <w:rPr>
          <w:rFonts w:ascii="Times New Roman" w:hAnsi="Times New Roman"/>
        </w:rPr>
        <w:t xml:space="preserve"> </w:t>
      </w:r>
      <w:r w:rsidRPr="000C7DBC">
        <w:rPr>
          <w:rFonts w:ascii="Times New Roman" w:hAnsi="Times New Roman"/>
        </w:rPr>
        <w:t>Oocyte developmental competence is not acquired instantaneously but emerges progressively throughout follicular development, as the oocyte undergoes coordinated growth, metabolic maturation, and molecular programming (</w:t>
      </w:r>
      <w:proofErr w:type="spellStart"/>
      <w:r w:rsidRPr="000C7DBC">
        <w:rPr>
          <w:rFonts w:ascii="Times New Roman" w:hAnsi="Times New Roman"/>
        </w:rPr>
        <w:t>Mermillod</w:t>
      </w:r>
      <w:proofErr w:type="spellEnd"/>
      <w:r w:rsidRPr="000C7DBC">
        <w:rPr>
          <w:rFonts w:ascii="Times New Roman" w:hAnsi="Times New Roman"/>
        </w:rPr>
        <w:t xml:space="preserve"> et al., 2019).</w:t>
      </w:r>
      <w:r>
        <w:rPr>
          <w:rFonts w:ascii="Times New Roman" w:hAnsi="Times New Roman"/>
        </w:rPr>
        <w:t xml:space="preserve"> </w:t>
      </w:r>
    </w:p>
    <w:p w14:paraId="453A5493" w14:textId="35EB6245" w:rsidR="006E35FC" w:rsidRPr="008F719E" w:rsidRDefault="006E35FC" w:rsidP="008F719E">
      <w:pPr>
        <w:pStyle w:val="ListParagraph"/>
        <w:numPr>
          <w:ilvl w:val="2"/>
          <w:numId w:val="34"/>
        </w:numPr>
        <w:spacing w:line="360" w:lineRule="auto"/>
        <w:jc w:val="both"/>
        <w:rPr>
          <w:rFonts w:ascii="Times New Roman" w:hAnsi="Times New Roman"/>
        </w:rPr>
      </w:pPr>
      <w:r w:rsidRPr="008F719E">
        <w:rPr>
          <w:rFonts w:ascii="Times New Roman" w:hAnsi="Times New Roman"/>
          <w:b/>
          <w:bCs/>
        </w:rPr>
        <w:t xml:space="preserve">Progressive Acquisition of Developmental Competence During </w:t>
      </w:r>
      <w:proofErr w:type="spellStart"/>
      <w:r w:rsidRPr="008F719E">
        <w:rPr>
          <w:rFonts w:ascii="Times New Roman" w:hAnsi="Times New Roman"/>
          <w:b/>
          <w:bCs/>
        </w:rPr>
        <w:t>Folliculogenesis</w:t>
      </w:r>
      <w:proofErr w:type="spellEnd"/>
    </w:p>
    <w:p w14:paraId="69CB56DA" w14:textId="1C5946DC" w:rsidR="006E35FC" w:rsidRPr="00E15399" w:rsidRDefault="006E35FC" w:rsidP="006E35FC">
      <w:pPr>
        <w:spacing w:line="360" w:lineRule="auto"/>
        <w:jc w:val="both"/>
        <w:rPr>
          <w:rFonts w:ascii="Times New Roman" w:hAnsi="Times New Roman"/>
        </w:rPr>
      </w:pPr>
      <w:r w:rsidRPr="00E15399">
        <w:rPr>
          <w:rFonts w:ascii="Times New Roman" w:hAnsi="Times New Roman"/>
        </w:rPr>
        <w:t xml:space="preserve">The earliest stage of follicular development is the primordial follicle, consisting of a small primary oocyte surrounded by a single layer of flattened pre-granulosa cells. At this stage, the oocyte remains metabolically quiescent and meiotically arrested, and it possesses minimal developmental competence. Recruitment of primordial follicles into the growing pool marks the initiation of </w:t>
      </w:r>
      <w:proofErr w:type="spellStart"/>
      <w:r w:rsidRPr="00E15399">
        <w:rPr>
          <w:rFonts w:ascii="Times New Roman" w:hAnsi="Times New Roman"/>
        </w:rPr>
        <w:t>folliculogenesis</w:t>
      </w:r>
      <w:proofErr w:type="spellEnd"/>
      <w:r w:rsidRPr="00E15399">
        <w:rPr>
          <w:rFonts w:ascii="Times New Roman" w:hAnsi="Times New Roman"/>
        </w:rPr>
        <w:t xml:space="preserve"> and is regulated by intra-ovarian </w:t>
      </w:r>
      <w:proofErr w:type="spellStart"/>
      <w:r w:rsidRPr="00E15399">
        <w:rPr>
          <w:rFonts w:ascii="Times New Roman" w:hAnsi="Times New Roman"/>
        </w:rPr>
        <w:t>signa</w:t>
      </w:r>
      <w:r w:rsidR="005A7345">
        <w:rPr>
          <w:rFonts w:ascii="Times New Roman" w:hAnsi="Times New Roman"/>
        </w:rPr>
        <w:t>l</w:t>
      </w:r>
      <w:r w:rsidRPr="00E15399">
        <w:rPr>
          <w:rFonts w:ascii="Times New Roman" w:hAnsi="Times New Roman"/>
        </w:rPr>
        <w:t>ling</w:t>
      </w:r>
      <w:proofErr w:type="spellEnd"/>
      <w:r w:rsidRPr="00E15399">
        <w:rPr>
          <w:rFonts w:ascii="Times New Roman" w:hAnsi="Times New Roman"/>
        </w:rPr>
        <w:t xml:space="preserve"> pathways that control follicular activation. During the transition to primary follicles, granulosa cells become cuboidal and begin proliferating, while the oocyte enlarges and initiates significant cytoplasmic growth. This stage is </w:t>
      </w:r>
      <w:proofErr w:type="spellStart"/>
      <w:r w:rsidRPr="00E15399">
        <w:rPr>
          <w:rFonts w:ascii="Times New Roman" w:hAnsi="Times New Roman"/>
        </w:rPr>
        <w:t>characteri</w:t>
      </w:r>
      <w:r w:rsidR="005A7345">
        <w:rPr>
          <w:rFonts w:ascii="Times New Roman" w:hAnsi="Times New Roman"/>
        </w:rPr>
        <w:t>s</w:t>
      </w:r>
      <w:r w:rsidRPr="00E15399">
        <w:rPr>
          <w:rFonts w:ascii="Times New Roman" w:hAnsi="Times New Roman"/>
        </w:rPr>
        <w:t>ed</w:t>
      </w:r>
      <w:proofErr w:type="spellEnd"/>
      <w:r w:rsidRPr="00E15399">
        <w:rPr>
          <w:rFonts w:ascii="Times New Roman" w:hAnsi="Times New Roman"/>
        </w:rPr>
        <w:t xml:space="preserve"> by the beginning of active metabolic and molecular communication between the oocyte and surrounding somatic cells. The formation of transzonal projections and gap junctions allows granulosa cells to deliver essential metabolites, including pyruvate and amino acids, which support early stages of oocyte metabolic activity. As follicles progress to the secondary (preantral) stage, granulosa cell layers expand and theca cell layer</w:t>
      </w:r>
      <w:r w:rsidR="005A7345">
        <w:rPr>
          <w:rFonts w:ascii="Times New Roman" w:hAnsi="Times New Roman"/>
        </w:rPr>
        <w:t>s begin</w:t>
      </w:r>
      <w:r w:rsidRPr="00E15399">
        <w:rPr>
          <w:rFonts w:ascii="Times New Roman" w:hAnsi="Times New Roman"/>
        </w:rPr>
        <w:t xml:space="preserve"> to differentiate. At this stage, the oocyte undergoes substantial growth and accumulates organelles, maternal RNAs, proteins, and metabolic substrates that will later support fertilization and early embryonic development (Reader et al., 2017). These stored maternal factors form the molecular foundation required for early embryonic cleavage before embryonic genome activation (Walker and Biase, 2020). These cytoplasmic changes represent the beginning of cytoplasmic maturation, although the oocyte remains arrested in prophase I. The zona pellucida also forms during this stage, establishing an important structural barrier that mediates sperm binding during </w:t>
      </w:r>
      <w:proofErr w:type="spellStart"/>
      <w:r w:rsidRPr="00E15399">
        <w:rPr>
          <w:rFonts w:ascii="Times New Roman" w:hAnsi="Times New Roman"/>
        </w:rPr>
        <w:t>fertili</w:t>
      </w:r>
      <w:r w:rsidR="005A7345">
        <w:rPr>
          <w:rFonts w:ascii="Times New Roman" w:hAnsi="Times New Roman"/>
        </w:rPr>
        <w:t>s</w:t>
      </w:r>
      <w:r w:rsidRPr="00E15399">
        <w:rPr>
          <w:rFonts w:ascii="Times New Roman" w:hAnsi="Times New Roman"/>
        </w:rPr>
        <w:t>ation</w:t>
      </w:r>
      <w:proofErr w:type="spellEnd"/>
      <w:r w:rsidRPr="00E15399">
        <w:rPr>
          <w:rFonts w:ascii="Times New Roman" w:hAnsi="Times New Roman"/>
        </w:rPr>
        <w:t>.</w:t>
      </w:r>
    </w:p>
    <w:p w14:paraId="38CFE607" w14:textId="11CE4166"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Further maturation leads to the formation of antral follicles, </w:t>
      </w:r>
      <w:proofErr w:type="spellStart"/>
      <w:r w:rsidRPr="000C7DBC">
        <w:rPr>
          <w:rFonts w:ascii="Times New Roman" w:hAnsi="Times New Roman"/>
        </w:rPr>
        <w:t>characteri</w:t>
      </w:r>
      <w:r w:rsidR="005A7345">
        <w:rPr>
          <w:rFonts w:ascii="Times New Roman" w:hAnsi="Times New Roman"/>
        </w:rPr>
        <w:t>s</w:t>
      </w:r>
      <w:r w:rsidRPr="000C7DBC">
        <w:rPr>
          <w:rFonts w:ascii="Times New Roman" w:hAnsi="Times New Roman"/>
        </w:rPr>
        <w:t>ed</w:t>
      </w:r>
      <w:proofErr w:type="spellEnd"/>
      <w:r w:rsidRPr="000C7DBC">
        <w:rPr>
          <w:rFonts w:ascii="Times New Roman" w:hAnsi="Times New Roman"/>
        </w:rPr>
        <w:t xml:space="preserve"> by the appearance of a fluid-filled cavity known as the antrum. At this stage, follicular development becomes increasingly </w:t>
      </w:r>
      <w:r w:rsidRPr="000C7DBC">
        <w:rPr>
          <w:rFonts w:ascii="Times New Roman" w:hAnsi="Times New Roman"/>
        </w:rPr>
        <w:lastRenderedPageBreak/>
        <w:t xml:space="preserve">dependent on endocrine regulation, particularly FSH </w:t>
      </w:r>
      <w:proofErr w:type="spellStart"/>
      <w:r w:rsidRPr="000C7DBC">
        <w:rPr>
          <w:rFonts w:ascii="Times New Roman" w:hAnsi="Times New Roman"/>
        </w:rPr>
        <w:t>signa</w:t>
      </w:r>
      <w:r w:rsidR="005A7345">
        <w:rPr>
          <w:rFonts w:ascii="Times New Roman" w:hAnsi="Times New Roman"/>
        </w:rPr>
        <w:t>l</w:t>
      </w:r>
      <w:r w:rsidRPr="000C7DBC">
        <w:rPr>
          <w:rFonts w:ascii="Times New Roman" w:hAnsi="Times New Roman"/>
        </w:rPr>
        <w:t>ling</w:t>
      </w:r>
      <w:proofErr w:type="spellEnd"/>
      <w:r w:rsidRPr="000C7DBC">
        <w:rPr>
          <w:rFonts w:ascii="Times New Roman" w:hAnsi="Times New Roman"/>
        </w:rPr>
        <w:t>, which promotes granulosa cell proliferation, steroidogenesis, and metabolic support for the oocyte. The oocyte continues to increase in size and undergoes extensive molecular reprogramming, including the accumulation of maternal transcripts and proteins necessary for early embryogenesis (Conti and Franciosi, 2018). During this stage, the oocyte gradually acquires meiotic competence, defined as the ability to resume meiosis in response to the luteinizing hormone (LH) surge (Anderson et al., 2025).</w:t>
      </w:r>
    </w:p>
    <w:p w14:paraId="1AB8658C" w14:textId="30AFA5D2"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The final stage of follicular maturation occurs in the preovulatory (Graafian) follicle, where the oocyte has reached full growth and is surrounded by specialized cumulus cells that form the mature cumulus–oocyte complex. At this stage, the oocyte possesses both meiotic competence and the molecular machinery required to support </w:t>
      </w:r>
      <w:proofErr w:type="spellStart"/>
      <w:r w:rsidRPr="000C7DBC">
        <w:rPr>
          <w:rFonts w:ascii="Times New Roman" w:hAnsi="Times New Roman"/>
        </w:rPr>
        <w:t>fertili</w:t>
      </w:r>
      <w:r w:rsidR="005A7345">
        <w:rPr>
          <w:rFonts w:ascii="Times New Roman" w:hAnsi="Times New Roman"/>
        </w:rPr>
        <w:t>s</w:t>
      </w:r>
      <w:r w:rsidRPr="000C7DBC">
        <w:rPr>
          <w:rFonts w:ascii="Times New Roman" w:hAnsi="Times New Roman"/>
        </w:rPr>
        <w:t>ation</w:t>
      </w:r>
      <w:proofErr w:type="spellEnd"/>
      <w:r w:rsidRPr="000C7DBC">
        <w:rPr>
          <w:rFonts w:ascii="Times New Roman" w:hAnsi="Times New Roman"/>
        </w:rPr>
        <w:t xml:space="preserve"> and early embryonic development. The LH surge triggers the resumption of meiosis, leading to germinal vesicle breakdown, chromosome condensation, and progression to metaphase II (Baldini et al., 2024). Concurrently, cumulus cells undergo expansion and metabolic </w:t>
      </w:r>
      <w:proofErr w:type="spellStart"/>
      <w:r w:rsidRPr="000C7DBC">
        <w:rPr>
          <w:rFonts w:ascii="Times New Roman" w:hAnsi="Times New Roman"/>
        </w:rPr>
        <w:t>remode</w:t>
      </w:r>
      <w:r w:rsidR="005A7345">
        <w:rPr>
          <w:rFonts w:ascii="Times New Roman" w:hAnsi="Times New Roman"/>
        </w:rPr>
        <w:t>l</w:t>
      </w:r>
      <w:r w:rsidRPr="000C7DBC">
        <w:rPr>
          <w:rFonts w:ascii="Times New Roman" w:hAnsi="Times New Roman"/>
        </w:rPr>
        <w:t>ling</w:t>
      </w:r>
      <w:proofErr w:type="spellEnd"/>
      <w:r w:rsidRPr="000C7DBC">
        <w:rPr>
          <w:rFonts w:ascii="Times New Roman" w:hAnsi="Times New Roman"/>
        </w:rPr>
        <w:t xml:space="preserve"> that support the final stages of oocyte maturation (Takahashi et al., 2025).</w:t>
      </w:r>
    </w:p>
    <w:p w14:paraId="2F1C7EE2" w14:textId="081F8F18" w:rsidR="006E35FC" w:rsidRPr="008F719E" w:rsidRDefault="006E35FC" w:rsidP="008F719E">
      <w:pPr>
        <w:pStyle w:val="ListParagraph"/>
        <w:numPr>
          <w:ilvl w:val="2"/>
          <w:numId w:val="34"/>
        </w:numPr>
        <w:spacing w:line="360" w:lineRule="auto"/>
        <w:jc w:val="both"/>
        <w:rPr>
          <w:rFonts w:ascii="Times New Roman" w:hAnsi="Times New Roman"/>
        </w:rPr>
      </w:pPr>
      <w:r w:rsidRPr="008F719E">
        <w:rPr>
          <w:rFonts w:ascii="Times New Roman" w:hAnsi="Times New Roman"/>
          <w:b/>
          <w:bCs/>
        </w:rPr>
        <w:t>Endocrine and Paracrine Regulation of Competence Acquisition</w:t>
      </w:r>
    </w:p>
    <w:p w14:paraId="733C6177" w14:textId="5D7932DE" w:rsidR="006E35FC" w:rsidRPr="000D2A83" w:rsidRDefault="006E35FC" w:rsidP="006E35FC">
      <w:pPr>
        <w:spacing w:line="360" w:lineRule="auto"/>
        <w:jc w:val="both"/>
        <w:rPr>
          <w:rFonts w:ascii="Times New Roman" w:hAnsi="Times New Roman"/>
        </w:rPr>
      </w:pPr>
      <w:r w:rsidRPr="000D2A83">
        <w:rPr>
          <w:rFonts w:ascii="Times New Roman" w:hAnsi="Times New Roman"/>
        </w:rPr>
        <w:t xml:space="preserve">The acquisition of developmental competence during </w:t>
      </w:r>
      <w:proofErr w:type="spellStart"/>
      <w:r w:rsidRPr="000D2A83">
        <w:rPr>
          <w:rFonts w:ascii="Times New Roman" w:hAnsi="Times New Roman"/>
        </w:rPr>
        <w:t>folliculogenesis</w:t>
      </w:r>
      <w:proofErr w:type="spellEnd"/>
      <w:r w:rsidRPr="000D2A83">
        <w:rPr>
          <w:rFonts w:ascii="Times New Roman" w:hAnsi="Times New Roman"/>
        </w:rPr>
        <w:t xml:space="preserve"> is tightly regulated by endocrine and paracrine </w:t>
      </w:r>
      <w:proofErr w:type="spellStart"/>
      <w:r w:rsidRPr="000D2A83">
        <w:rPr>
          <w:rFonts w:ascii="Times New Roman" w:hAnsi="Times New Roman"/>
        </w:rPr>
        <w:t>signa</w:t>
      </w:r>
      <w:r w:rsidR="005A7345">
        <w:rPr>
          <w:rFonts w:ascii="Times New Roman" w:hAnsi="Times New Roman"/>
        </w:rPr>
        <w:t>l</w:t>
      </w:r>
      <w:r w:rsidRPr="000D2A83">
        <w:rPr>
          <w:rFonts w:ascii="Times New Roman" w:hAnsi="Times New Roman"/>
        </w:rPr>
        <w:t>ling</w:t>
      </w:r>
      <w:proofErr w:type="spellEnd"/>
      <w:r w:rsidRPr="000D2A83">
        <w:rPr>
          <w:rFonts w:ascii="Times New Roman" w:hAnsi="Times New Roman"/>
        </w:rPr>
        <w:t xml:space="preserve"> networks. FSH plays a central role in early follicular growth, stimulating granulosa cell proliferation and promoting metabolic support for the oocyte (</w:t>
      </w:r>
      <w:proofErr w:type="spellStart"/>
      <w:r w:rsidRPr="000D2A83">
        <w:rPr>
          <w:rFonts w:ascii="Times New Roman" w:hAnsi="Times New Roman"/>
        </w:rPr>
        <w:t>Mermillod</w:t>
      </w:r>
      <w:proofErr w:type="spellEnd"/>
      <w:r w:rsidRPr="000D2A83">
        <w:rPr>
          <w:rFonts w:ascii="Times New Roman" w:hAnsi="Times New Roman"/>
        </w:rPr>
        <w:t xml:space="preserve"> et al., 2019). As follicles mature, increasing sensitivity to LH signaling enables the ovulatory cascade that triggers meiotic resumption and final oocyte maturation.</w:t>
      </w:r>
    </w:p>
    <w:p w14:paraId="6E74095D"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In addition to endocrine control, local paracrine signaling between the oocyte and granulosa cells is essential for coordinating follicular development. Oocyte-secreted factors such as GDF9 and BMP15 regulate granulosa cell differentiation and maintain the metabolic environment required for oocyte growth (Innocenti et al., 2022). In turn, granulosa and cumulus cells regulate the supply of nutrients, cyclic nucleotides, and signaling molecules that maintain meiotic arrest until the appropriate stage of follicular maturation.</w:t>
      </w:r>
    </w:p>
    <w:p w14:paraId="74982DCB" w14:textId="09F4C270" w:rsidR="006E35FC" w:rsidRPr="008F719E" w:rsidRDefault="006E35FC" w:rsidP="008F719E">
      <w:pPr>
        <w:pStyle w:val="ListParagraph"/>
        <w:numPr>
          <w:ilvl w:val="2"/>
          <w:numId w:val="34"/>
        </w:numPr>
        <w:spacing w:line="360" w:lineRule="auto"/>
        <w:jc w:val="both"/>
        <w:rPr>
          <w:rFonts w:ascii="Times New Roman" w:hAnsi="Times New Roman"/>
        </w:rPr>
      </w:pPr>
      <w:r w:rsidRPr="008F719E">
        <w:rPr>
          <w:rFonts w:ascii="Times New Roman" w:hAnsi="Times New Roman"/>
          <w:b/>
          <w:bCs/>
        </w:rPr>
        <w:t>Role of the Cumulus–Oocyte Complex in Coordinating Maturation</w:t>
      </w:r>
    </w:p>
    <w:p w14:paraId="0D21AC13"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The cumulus–oocyte complex serves as the central functional unit that integrates endocrine signals with local metabolic and molecular processes during </w:t>
      </w:r>
      <w:proofErr w:type="spellStart"/>
      <w:r w:rsidRPr="000C7DBC">
        <w:rPr>
          <w:rFonts w:ascii="Times New Roman" w:hAnsi="Times New Roman"/>
        </w:rPr>
        <w:t>folliculogenesis</w:t>
      </w:r>
      <w:proofErr w:type="spellEnd"/>
      <w:r w:rsidRPr="000C7DBC">
        <w:rPr>
          <w:rFonts w:ascii="Times New Roman" w:hAnsi="Times New Roman"/>
        </w:rPr>
        <w:t>. Gap junction communication within the COC enables the transfer of cyclic nucleotides and metabolic substrates that regulate meiotic arrest and energy production in the oocyte (</w:t>
      </w:r>
      <w:proofErr w:type="spellStart"/>
      <w:r w:rsidRPr="000C7DBC">
        <w:rPr>
          <w:rFonts w:ascii="Times New Roman" w:hAnsi="Times New Roman"/>
        </w:rPr>
        <w:t>Richani</w:t>
      </w:r>
      <w:proofErr w:type="spellEnd"/>
      <w:r w:rsidRPr="000C7DBC">
        <w:rPr>
          <w:rFonts w:ascii="Times New Roman" w:hAnsi="Times New Roman"/>
        </w:rPr>
        <w:t xml:space="preserve"> et al., 2020). This metabolic coupling is essential because the oocyte itself has limited glycolytic capacity and depends on cumulus cells for energy substrates required for mitochondrial ATP production.</w:t>
      </w:r>
    </w:p>
    <w:p w14:paraId="5FD31AF5" w14:textId="7A80573E" w:rsidR="006E35FC" w:rsidRPr="000C7DBC" w:rsidRDefault="006E35FC" w:rsidP="006E35FC">
      <w:pPr>
        <w:spacing w:line="360" w:lineRule="auto"/>
        <w:jc w:val="both"/>
        <w:rPr>
          <w:rFonts w:ascii="Times New Roman" w:hAnsi="Times New Roman"/>
        </w:rPr>
      </w:pPr>
      <w:r w:rsidRPr="000C7DBC">
        <w:rPr>
          <w:rFonts w:ascii="Times New Roman" w:hAnsi="Times New Roman"/>
        </w:rPr>
        <w:lastRenderedPageBreak/>
        <w:t xml:space="preserve">As follicular development progresses, the COC undergoes dynamic changes that prepare the oocyte for ovulation and fertilization. Cumulus expansion, induced by LH-mediated </w:t>
      </w:r>
      <w:proofErr w:type="spellStart"/>
      <w:r w:rsidRPr="000C7DBC">
        <w:rPr>
          <w:rFonts w:ascii="Times New Roman" w:hAnsi="Times New Roman"/>
        </w:rPr>
        <w:t>signa</w:t>
      </w:r>
      <w:r w:rsidR="005A7345">
        <w:rPr>
          <w:rFonts w:ascii="Times New Roman" w:hAnsi="Times New Roman"/>
        </w:rPr>
        <w:t>l</w:t>
      </w:r>
      <w:r w:rsidRPr="000C7DBC">
        <w:rPr>
          <w:rFonts w:ascii="Times New Roman" w:hAnsi="Times New Roman"/>
        </w:rPr>
        <w:t>ling</w:t>
      </w:r>
      <w:proofErr w:type="spellEnd"/>
      <w:r w:rsidRPr="000C7DBC">
        <w:rPr>
          <w:rFonts w:ascii="Times New Roman" w:hAnsi="Times New Roman"/>
        </w:rPr>
        <w:t xml:space="preserve"> pathways, promotes the detachment of the oocyte from the follicular wall and facilitates ovulation. At the same time, metabolic and molecular support from cumulus cells ensures that the oocyte completes cytoplasmic maturation and is fully competent for fertilization (</w:t>
      </w:r>
      <w:proofErr w:type="spellStart"/>
      <w:r w:rsidRPr="000C7DBC">
        <w:rPr>
          <w:rFonts w:ascii="Times New Roman" w:hAnsi="Times New Roman"/>
        </w:rPr>
        <w:t>Sirait</w:t>
      </w:r>
      <w:proofErr w:type="spellEnd"/>
      <w:r w:rsidRPr="000C7DBC">
        <w:rPr>
          <w:rFonts w:ascii="Times New Roman" w:hAnsi="Times New Roman"/>
        </w:rPr>
        <w:t xml:space="preserve"> et al., 2021). Oocyte developmental competence emerges through a progressive and highly coordinated process during </w:t>
      </w:r>
      <w:proofErr w:type="spellStart"/>
      <w:r w:rsidRPr="000C7DBC">
        <w:rPr>
          <w:rFonts w:ascii="Times New Roman" w:hAnsi="Times New Roman"/>
        </w:rPr>
        <w:t>folliculogenesis</w:t>
      </w:r>
      <w:proofErr w:type="spellEnd"/>
      <w:r w:rsidRPr="000C7DBC">
        <w:rPr>
          <w:rFonts w:ascii="Times New Roman" w:hAnsi="Times New Roman"/>
        </w:rPr>
        <w:t xml:space="preserve">, integrating oocyte growth, cytoplasmic maturation, meiotic competence, and somatic cell interactions within the follicular microenvironment. Only after the oocyte has completed these developmental steps within the preovulatory follicle does it possess the full capacity to undergo </w:t>
      </w:r>
      <w:proofErr w:type="spellStart"/>
      <w:r w:rsidRPr="000C7DBC">
        <w:rPr>
          <w:rFonts w:ascii="Times New Roman" w:hAnsi="Times New Roman"/>
        </w:rPr>
        <w:t>fertili</w:t>
      </w:r>
      <w:r w:rsidR="005A7345">
        <w:rPr>
          <w:rFonts w:ascii="Times New Roman" w:hAnsi="Times New Roman"/>
        </w:rPr>
        <w:t>s</w:t>
      </w:r>
      <w:r w:rsidRPr="000C7DBC">
        <w:rPr>
          <w:rFonts w:ascii="Times New Roman" w:hAnsi="Times New Roman"/>
        </w:rPr>
        <w:t>ation</w:t>
      </w:r>
      <w:proofErr w:type="spellEnd"/>
      <w:r w:rsidRPr="000C7DBC">
        <w:rPr>
          <w:rFonts w:ascii="Times New Roman" w:hAnsi="Times New Roman"/>
        </w:rPr>
        <w:t xml:space="preserve"> and support embryonic development (Anderson et al., 2025).</w:t>
      </w:r>
    </w:p>
    <w:p w14:paraId="40BE22D6" w14:textId="77777777" w:rsidR="006E35FC" w:rsidRPr="009C0195" w:rsidRDefault="006E35FC" w:rsidP="006E35FC">
      <w:pPr>
        <w:spacing w:line="360" w:lineRule="auto"/>
        <w:jc w:val="both"/>
        <w:rPr>
          <w:rFonts w:ascii="Times New Roman" w:hAnsi="Times New Roman"/>
        </w:rPr>
      </w:pPr>
    </w:p>
    <w:p w14:paraId="594B52EB" w14:textId="77777777" w:rsidR="006E35FC" w:rsidRPr="00E90A57" w:rsidRDefault="006E35FC" w:rsidP="006E35FC">
      <w:pPr>
        <w:spacing w:line="360" w:lineRule="auto"/>
        <w:jc w:val="both"/>
        <w:rPr>
          <w:rFonts w:ascii="Times New Roman" w:hAnsi="Times New Roman"/>
        </w:rPr>
      </w:pPr>
      <w:r w:rsidRPr="00E90A57">
        <w:rPr>
          <w:rFonts w:ascii="Times New Roman" w:hAnsi="Times New Roman"/>
          <w:noProof/>
        </w:rPr>
        <w:drawing>
          <wp:inline distT="0" distB="0" distL="0" distR="0" wp14:anchorId="33B732AB" wp14:editId="294CD761">
            <wp:extent cx="5943600" cy="4085968"/>
            <wp:effectExtent l="0" t="0" r="0" b="0"/>
            <wp:docPr id="1984134231" name="Picture 3" descr="The image illustrates the stages of oocyte development from primordial follicle to metaphase II oocyte, detailing hormonal and paracrine regulation, and the formation of the cumulus-oocyte comple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34231" name="Picture 3" descr="The image illustrates the stages of oocyte development from primordial follicle to metaphase II oocyte, detailing hormonal and paracrine regulation, and the formation of the cumulus-oocyte complex.&#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254" cy="4088480"/>
                    </a:xfrm>
                    <a:prstGeom prst="rect">
                      <a:avLst/>
                    </a:prstGeom>
                    <a:noFill/>
                    <a:ln>
                      <a:noFill/>
                    </a:ln>
                  </pic:spPr>
                </pic:pic>
              </a:graphicData>
            </a:graphic>
          </wp:inline>
        </w:drawing>
      </w:r>
    </w:p>
    <w:p w14:paraId="39B8DFC8" w14:textId="77777777" w:rsidR="006E35FC" w:rsidRDefault="006E35FC" w:rsidP="006E35FC">
      <w:pPr>
        <w:spacing w:line="360" w:lineRule="auto"/>
        <w:jc w:val="both"/>
        <w:rPr>
          <w:rFonts w:ascii="Times New Roman" w:hAnsi="Times New Roman"/>
        </w:rPr>
      </w:pPr>
      <w:r>
        <w:rPr>
          <w:rFonts w:ascii="Times New Roman" w:hAnsi="Times New Roman"/>
          <w:b/>
          <w:bCs/>
        </w:rPr>
        <w:t xml:space="preserve">Figure 1: </w:t>
      </w:r>
      <w:r w:rsidRPr="005F4B16">
        <w:rPr>
          <w:rFonts w:ascii="Times New Roman" w:hAnsi="Times New Roman"/>
          <w:b/>
          <w:bCs/>
        </w:rPr>
        <w:t xml:space="preserve">Progressive Acquisition of Oocyte Developmental Competence During </w:t>
      </w:r>
      <w:proofErr w:type="spellStart"/>
      <w:r w:rsidRPr="005F4B16">
        <w:rPr>
          <w:rFonts w:ascii="Times New Roman" w:hAnsi="Times New Roman"/>
          <w:b/>
          <w:bCs/>
        </w:rPr>
        <w:t>Folliculogenesis</w:t>
      </w:r>
      <w:proofErr w:type="spellEnd"/>
      <w:r>
        <w:rPr>
          <w:rFonts w:ascii="Times New Roman" w:hAnsi="Times New Roman"/>
          <w:b/>
          <w:bCs/>
        </w:rPr>
        <w:t xml:space="preserve"> </w:t>
      </w:r>
      <w:r w:rsidRPr="00020617">
        <w:rPr>
          <w:rFonts w:ascii="Times New Roman" w:hAnsi="Times New Roman"/>
          <w:b/>
          <w:bCs/>
        </w:rPr>
        <w:t xml:space="preserve">(Walker and </w:t>
      </w:r>
      <w:proofErr w:type="spellStart"/>
      <w:r w:rsidRPr="00020617">
        <w:rPr>
          <w:rFonts w:ascii="Times New Roman" w:hAnsi="Times New Roman"/>
          <w:b/>
          <w:bCs/>
        </w:rPr>
        <w:t>Biase</w:t>
      </w:r>
      <w:proofErr w:type="spellEnd"/>
      <w:r w:rsidRPr="00020617">
        <w:rPr>
          <w:rFonts w:ascii="Times New Roman" w:hAnsi="Times New Roman"/>
          <w:b/>
          <w:bCs/>
        </w:rPr>
        <w:t>, 2020)</w:t>
      </w:r>
      <w:r>
        <w:rPr>
          <w:rFonts w:ascii="Times New Roman" w:hAnsi="Times New Roman"/>
          <w:b/>
          <w:bCs/>
        </w:rPr>
        <w:t>.</w:t>
      </w:r>
    </w:p>
    <w:p w14:paraId="046DD067" w14:textId="77777777" w:rsidR="006E35FC" w:rsidRPr="003017BC" w:rsidRDefault="006E35FC" w:rsidP="006E35FC">
      <w:pPr>
        <w:spacing w:line="360" w:lineRule="auto"/>
        <w:jc w:val="both"/>
        <w:rPr>
          <w:rFonts w:ascii="Times New Roman" w:hAnsi="Times New Roman"/>
          <w:i/>
          <w:iCs/>
        </w:rPr>
      </w:pPr>
      <w:r w:rsidRPr="00E305AC">
        <w:rPr>
          <w:rFonts w:ascii="Times New Roman" w:hAnsi="Times New Roman"/>
          <w:i/>
          <w:iCs/>
        </w:rPr>
        <w:t xml:space="preserve">(A) Morphological progression of ovarian follicles from primordial to preovulatory (Graafian) stages. Oocytes initially remain metabolically quiescent and meiotically arrested in primordial follicles, then progressively acquire cytoplasmic maturation and meiotic competence as </w:t>
      </w:r>
      <w:proofErr w:type="spellStart"/>
      <w:r w:rsidRPr="00E305AC">
        <w:rPr>
          <w:rFonts w:ascii="Times New Roman" w:hAnsi="Times New Roman"/>
          <w:i/>
          <w:iCs/>
        </w:rPr>
        <w:t>folliculogenesis</w:t>
      </w:r>
      <w:proofErr w:type="spellEnd"/>
      <w:r w:rsidRPr="00E305AC">
        <w:rPr>
          <w:rFonts w:ascii="Times New Roman" w:hAnsi="Times New Roman"/>
          <w:i/>
          <w:iCs/>
        </w:rPr>
        <w:t xml:space="preserve"> proceeds. (B) Hormonal and paracrine regulatory signals controlling follicular </w:t>
      </w:r>
      <w:r w:rsidRPr="00E305AC">
        <w:rPr>
          <w:rFonts w:ascii="Times New Roman" w:hAnsi="Times New Roman"/>
          <w:i/>
          <w:iCs/>
        </w:rPr>
        <w:lastRenderedPageBreak/>
        <w:t>development. Follicle-stimulating hormone (FSH) promotes granulosa cell proliferation and metabolic support, while the luteinizing hormone (LH) surge induces meiotic resumption and ovulation. Oocyte-derived factors such as GDF9 and BMP15 regulate granulosa cell function and coordinate follicle growth. (C) Structure and functional communication within the cumulus–oocyte complex (COC). Cumulus cells interact with the oocyte through transzonal projections and gap junctions, enabling transfer of metabolites and cyclic nucleotide signaling required for oocyte maturation. The culmination of these processes results in a developmentally competent oocyte capable of fertilization and early embryonic development.</w:t>
      </w:r>
    </w:p>
    <w:p w14:paraId="03E0C39B"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t>2.2 Cytoplasmic Maturation</w:t>
      </w:r>
    </w:p>
    <w:p w14:paraId="60BCD006" w14:textId="002BFCF7" w:rsidR="006E35FC" w:rsidRPr="00806259" w:rsidRDefault="006E35FC" w:rsidP="006E35FC">
      <w:pPr>
        <w:spacing w:line="360" w:lineRule="auto"/>
        <w:jc w:val="both"/>
        <w:rPr>
          <w:rFonts w:ascii="Times New Roman" w:hAnsi="Times New Roman"/>
        </w:rPr>
      </w:pPr>
      <w:r w:rsidRPr="00806259">
        <w:rPr>
          <w:rFonts w:ascii="Times New Roman" w:hAnsi="Times New Roman"/>
        </w:rPr>
        <w:t>Cytoplasmic maturation refers to the series of biochemical and structural changes within the oocyte cytoplasm that enable it to support fertilization and early embryonic development. Unlike nuclear maturation, which primarily involves meiotic progression, cytoplasmic maturation encompasses the redistribution of organelles, accumulation of metabolic substrates, and assembly of molecular machinery required for embryogenesis (Conti and Franciosi, 2018).</w:t>
      </w:r>
      <w:r>
        <w:rPr>
          <w:rFonts w:ascii="Times New Roman" w:hAnsi="Times New Roman"/>
        </w:rPr>
        <w:t xml:space="preserve"> </w:t>
      </w:r>
      <w:r w:rsidRPr="00806259">
        <w:rPr>
          <w:rFonts w:ascii="Times New Roman" w:hAnsi="Times New Roman"/>
        </w:rPr>
        <w:t xml:space="preserve">During oocyte growth, cytoplasmic organelles such as mitochondria, endoplasmic reticulum, cortical granules, and Golgi apparatus undergo spatial </w:t>
      </w:r>
      <w:proofErr w:type="spellStart"/>
      <w:r w:rsidRPr="00806259">
        <w:rPr>
          <w:rFonts w:ascii="Times New Roman" w:hAnsi="Times New Roman"/>
        </w:rPr>
        <w:t>reorgani</w:t>
      </w:r>
      <w:r w:rsidR="005A7345">
        <w:rPr>
          <w:rFonts w:ascii="Times New Roman" w:hAnsi="Times New Roman"/>
        </w:rPr>
        <w:t>s</w:t>
      </w:r>
      <w:r w:rsidRPr="00806259">
        <w:rPr>
          <w:rFonts w:ascii="Times New Roman" w:hAnsi="Times New Roman"/>
        </w:rPr>
        <w:t>ation</w:t>
      </w:r>
      <w:proofErr w:type="spellEnd"/>
      <w:r w:rsidRPr="00806259">
        <w:rPr>
          <w:rFonts w:ascii="Times New Roman" w:hAnsi="Times New Roman"/>
        </w:rPr>
        <w:t xml:space="preserve"> and functional maturation. These organelles participate in critical processes</w:t>
      </w:r>
      <w:r w:rsidR="005A7345">
        <w:rPr>
          <w:rFonts w:ascii="Times New Roman" w:hAnsi="Times New Roman"/>
        </w:rPr>
        <w:t>,</w:t>
      </w:r>
      <w:r w:rsidRPr="00806259">
        <w:rPr>
          <w:rFonts w:ascii="Times New Roman" w:hAnsi="Times New Roman"/>
        </w:rPr>
        <w:t xml:space="preserve"> including energy production, calcium </w:t>
      </w:r>
      <w:proofErr w:type="spellStart"/>
      <w:r w:rsidRPr="00806259">
        <w:rPr>
          <w:rFonts w:ascii="Times New Roman" w:hAnsi="Times New Roman"/>
        </w:rPr>
        <w:t>signa</w:t>
      </w:r>
      <w:r w:rsidR="005A7345">
        <w:rPr>
          <w:rFonts w:ascii="Times New Roman" w:hAnsi="Times New Roman"/>
        </w:rPr>
        <w:t>l</w:t>
      </w:r>
      <w:r w:rsidRPr="00806259">
        <w:rPr>
          <w:rFonts w:ascii="Times New Roman" w:hAnsi="Times New Roman"/>
        </w:rPr>
        <w:t>ling</w:t>
      </w:r>
      <w:proofErr w:type="spellEnd"/>
      <w:r w:rsidRPr="00806259">
        <w:rPr>
          <w:rFonts w:ascii="Times New Roman" w:hAnsi="Times New Roman"/>
        </w:rPr>
        <w:t>, protein synthesis, and cortical granule exocytosis during fertilization. Proper organelle distribution and functionality are therefore essential determinants of oocyte competence (Reader et al., 2017).</w:t>
      </w:r>
    </w:p>
    <w:p w14:paraId="4685514B" w14:textId="7DCBEF73" w:rsidR="006E35FC" w:rsidRPr="00806259" w:rsidRDefault="006E35FC" w:rsidP="006E35FC">
      <w:pPr>
        <w:spacing w:line="360" w:lineRule="auto"/>
        <w:jc w:val="both"/>
        <w:rPr>
          <w:rFonts w:ascii="Times New Roman" w:hAnsi="Times New Roman"/>
        </w:rPr>
      </w:pPr>
      <w:r w:rsidRPr="00806259">
        <w:rPr>
          <w:rFonts w:ascii="Times New Roman" w:hAnsi="Times New Roman"/>
        </w:rPr>
        <w:t xml:space="preserve">Cytoplasmic maturation also involves the accumulation of regulatory molecules that control early developmental events </w:t>
      </w:r>
      <w:r w:rsidR="005A7345">
        <w:rPr>
          <w:rFonts w:ascii="Times New Roman" w:hAnsi="Times New Roman"/>
        </w:rPr>
        <w:t>before</w:t>
      </w:r>
      <w:r w:rsidRPr="00806259">
        <w:rPr>
          <w:rFonts w:ascii="Times New Roman" w:hAnsi="Times New Roman"/>
        </w:rPr>
        <w:t xml:space="preserve"> embryonic genome activation. These include maternal RNAs, translational regulators, and cell cycle proteins that orchestrate meiotic progression and early cleavage divisions following fertilization. Deficiencies in cytoplasmic maturation can result in failure of fertilization, abnormal embryonic development, or early embryo arrest (Walker and Biase, 2020).</w:t>
      </w:r>
    </w:p>
    <w:p w14:paraId="038C7F4B"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t>2.3 Nuclear Maturation</w:t>
      </w:r>
    </w:p>
    <w:p w14:paraId="3FFC19F1" w14:textId="13AE0205" w:rsidR="006E35FC" w:rsidRPr="00806259" w:rsidRDefault="006E35FC" w:rsidP="006E35FC">
      <w:pPr>
        <w:spacing w:line="360" w:lineRule="auto"/>
        <w:jc w:val="both"/>
        <w:rPr>
          <w:rFonts w:ascii="Times New Roman" w:hAnsi="Times New Roman"/>
        </w:rPr>
      </w:pPr>
      <w:r w:rsidRPr="00806259">
        <w:rPr>
          <w:rFonts w:ascii="Times New Roman" w:hAnsi="Times New Roman"/>
        </w:rPr>
        <w:t>Nuclear maturation refers to the resumption and completion of meiosis in the oocyte, culminating in the formation of a haploid metaphase II (MII) oocyte capable of fertilization. This process is initiated by the preovulatory luteinizing hormone (LH) surge, which triggers germinal vesicle breakdown (GVBD), chromosome condensation, and spindle formation (Baldini et al., 2024).</w:t>
      </w:r>
      <w:r>
        <w:rPr>
          <w:rFonts w:ascii="Times New Roman" w:hAnsi="Times New Roman"/>
        </w:rPr>
        <w:t xml:space="preserve"> </w:t>
      </w:r>
      <w:r w:rsidRPr="00806259">
        <w:rPr>
          <w:rFonts w:ascii="Times New Roman" w:hAnsi="Times New Roman"/>
        </w:rPr>
        <w:t xml:space="preserve">At the molecular level, meiotic resumption is regulated by changes in cyclic nucleotide signaling pathways. High levels of cyclic adenosine monophosphate (cAMP) within the oocyte maintain meiotic arrest through inhibition of maturation-promoting factors (MPF). The LH surge disrupts this </w:t>
      </w:r>
      <w:proofErr w:type="spellStart"/>
      <w:r w:rsidRPr="00806259">
        <w:rPr>
          <w:rFonts w:ascii="Times New Roman" w:hAnsi="Times New Roman"/>
        </w:rPr>
        <w:t>signa</w:t>
      </w:r>
      <w:r w:rsidR="005A7345">
        <w:rPr>
          <w:rFonts w:ascii="Times New Roman" w:hAnsi="Times New Roman"/>
        </w:rPr>
        <w:t>l</w:t>
      </w:r>
      <w:r w:rsidRPr="00806259">
        <w:rPr>
          <w:rFonts w:ascii="Times New Roman" w:hAnsi="Times New Roman"/>
        </w:rPr>
        <w:t>ling</w:t>
      </w:r>
      <w:proofErr w:type="spellEnd"/>
      <w:r w:rsidRPr="00806259">
        <w:rPr>
          <w:rFonts w:ascii="Times New Roman" w:hAnsi="Times New Roman"/>
        </w:rPr>
        <w:t xml:space="preserve"> environment by reducing cyclic guanosine monophosphate (cGMP) levels in the follicle, allowing activation of MPF and triggering meiotic progression (Conti and Franciosi, 2018).</w:t>
      </w:r>
    </w:p>
    <w:p w14:paraId="457C0725"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 xml:space="preserve">Spindle assembly and chromosome segregation are critical components of nuclear maturation. Errors in spindle formation or chromosome alignment can lead to aneuploidy, one of the most common </w:t>
      </w:r>
      <w:r w:rsidRPr="00806259">
        <w:rPr>
          <w:rFonts w:ascii="Times New Roman" w:hAnsi="Times New Roman"/>
        </w:rPr>
        <w:lastRenderedPageBreak/>
        <w:t>causes of infertility and early pregnancy loss. Age-related deterioration of cohesion proteins that maintain sister chromatid integrity contributes significantly to meiotic errors in aging oocytes, highlighting the importance of accurate chromosomal segregation for developmental competence (Ferreira et al., 2023).</w:t>
      </w:r>
    </w:p>
    <w:p w14:paraId="422AF30E"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t>2.4 Mitochondrial Dynamics and Metabolic Regulation</w:t>
      </w:r>
    </w:p>
    <w:p w14:paraId="04BB270C"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Mitochondria play a central role in determining oocyte developmental competence due to their function in ATP production, metabolic regulation, and cellular signaling. Oocytes require large amounts of energy to support meiotic progression, cytoplasmic maturation, fertilization, and early embryonic divisions. Consequently, mitochondrial number, distribution, and functional integrity are critical determinants of oocyte quality (Sasaki et al., 2019).</w:t>
      </w:r>
    </w:p>
    <w:p w14:paraId="1AD5AB5D" w14:textId="5942CF9A" w:rsidR="006E35FC" w:rsidRPr="00806259" w:rsidRDefault="006E35FC" w:rsidP="006E35FC">
      <w:pPr>
        <w:spacing w:line="360" w:lineRule="auto"/>
        <w:jc w:val="both"/>
        <w:rPr>
          <w:rFonts w:ascii="Times New Roman" w:hAnsi="Times New Roman"/>
        </w:rPr>
      </w:pPr>
      <w:r w:rsidRPr="00806259">
        <w:rPr>
          <w:rFonts w:ascii="Times New Roman" w:hAnsi="Times New Roman"/>
        </w:rPr>
        <w:t xml:space="preserve">Oocyte metabolism is highly dependent on the metabolic cooperation between the oocyte and surrounding cumulus cells. Cumulus cells metabolize glucose via glycolysis and provide pyruvate and other metabolic intermediates to the oocyte through gap junctions. The oocyte then </w:t>
      </w:r>
      <w:proofErr w:type="spellStart"/>
      <w:r w:rsidRPr="00806259">
        <w:rPr>
          <w:rFonts w:ascii="Times New Roman" w:hAnsi="Times New Roman"/>
        </w:rPr>
        <w:t>utili</w:t>
      </w:r>
      <w:r w:rsidR="005A7345">
        <w:rPr>
          <w:rFonts w:ascii="Times New Roman" w:hAnsi="Times New Roman"/>
        </w:rPr>
        <w:t>s</w:t>
      </w:r>
      <w:r w:rsidRPr="00806259">
        <w:rPr>
          <w:rFonts w:ascii="Times New Roman" w:hAnsi="Times New Roman"/>
        </w:rPr>
        <w:t>es</w:t>
      </w:r>
      <w:proofErr w:type="spellEnd"/>
      <w:r w:rsidRPr="00806259">
        <w:rPr>
          <w:rFonts w:ascii="Times New Roman" w:hAnsi="Times New Roman"/>
        </w:rPr>
        <w:t xml:space="preserve"> these substrates for oxidative phosphorylation within mitochondria to generate ATP required for maturation processes (</w:t>
      </w:r>
      <w:proofErr w:type="spellStart"/>
      <w:r w:rsidRPr="00806259">
        <w:rPr>
          <w:rFonts w:ascii="Times New Roman" w:hAnsi="Times New Roman"/>
        </w:rPr>
        <w:t>Richani</w:t>
      </w:r>
      <w:proofErr w:type="spellEnd"/>
      <w:r w:rsidRPr="00806259">
        <w:rPr>
          <w:rFonts w:ascii="Times New Roman" w:hAnsi="Times New Roman"/>
        </w:rPr>
        <w:t xml:space="preserve"> et al., 2020).</w:t>
      </w:r>
      <w:r>
        <w:rPr>
          <w:rFonts w:ascii="Times New Roman" w:hAnsi="Times New Roman"/>
        </w:rPr>
        <w:t xml:space="preserve"> </w:t>
      </w:r>
      <w:r w:rsidRPr="00806259">
        <w:rPr>
          <w:rFonts w:ascii="Times New Roman" w:hAnsi="Times New Roman"/>
        </w:rPr>
        <w:t>Mitochondrial dysfunction can compromise oocyte competence by reducing ATP production, increasing oxidative stress, and impairing calcium homeostasis. Such dysfunction is particularly evident in aged oocytes, where mitochondrial damage contributes to meiotic errors and reduced developmental potential. Consequently, maintaining mitochondrial integrity is essential for sustaining oocyte quality and reproductive success (Voros et al., 2025).</w:t>
      </w:r>
    </w:p>
    <w:p w14:paraId="121BC483"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t>2.5 Epigenetic Programming</w:t>
      </w:r>
    </w:p>
    <w:p w14:paraId="4E4E9222"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Epigenetic regulation plays a fundamental role in establishing oocyte developmental competence by controlling gene expression patterns necessary for early embryogenesis. Epigenetic mechanisms include DNA methylation, histone modifications, chromatin remodeling, and non-coding RNA-mediated regulation. During oogenesis, the oocyte undergoes extensive epigenetic reprogramming that establishes maternal genomic imprints required for normal embryo development (Innocenti et al., 2022). DNA methylation patterns are established at specific genomic loci to regulate parent-of-origin gene expression, ensuring proper embryonic growth and development. Disruptions in epigenetic programming during oocyte maturation can result in abnormal gene expression and impaired developmental competence (De Oliveira et al., 2025).</w:t>
      </w:r>
    </w:p>
    <w:p w14:paraId="3748F333"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Environmental and pathological factors may also influence oocyte epigenetic integrity. For example, inflammatory and oxidative microenvironments associated with reproductive disorders can alter DNA methylation and histone modification patterns within the oocyte, potentially affecting gene expression and embryonic developmental potential (Ferreira et al., 2023).</w:t>
      </w:r>
    </w:p>
    <w:p w14:paraId="04A6C4FF" w14:textId="77777777" w:rsidR="006E35FC" w:rsidRDefault="006E35FC" w:rsidP="006E35FC">
      <w:pPr>
        <w:spacing w:line="360" w:lineRule="auto"/>
        <w:rPr>
          <w:rFonts w:ascii="Times New Roman" w:hAnsi="Times New Roman"/>
        </w:rPr>
      </w:pPr>
      <w:r w:rsidRPr="00806259">
        <w:rPr>
          <w:rFonts w:ascii="Times New Roman" w:hAnsi="Times New Roman"/>
          <w:b/>
          <w:bCs/>
        </w:rPr>
        <w:t>2.6 Maternal RNA and Protein Accumulation</w:t>
      </w:r>
    </w:p>
    <w:p w14:paraId="0CE01978"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 xml:space="preserve">Because transcription is largely inactive during the late stages of oocyte maturation and early embryonic development, the early embryo relies heavily on maternal RNAs and proteins synthesized </w:t>
      </w:r>
      <w:r w:rsidRPr="00806259">
        <w:rPr>
          <w:rFonts w:ascii="Times New Roman" w:hAnsi="Times New Roman"/>
        </w:rPr>
        <w:lastRenderedPageBreak/>
        <w:t>and stored during oogenesis. These maternal transcripts regulate critical processes including cell cycle progression, chromatin remodeling, metabolic activity, and embryonic genome activation (Innocenti et al., 2022).</w:t>
      </w:r>
    </w:p>
    <w:p w14:paraId="0C3DD83B" w14:textId="77777777" w:rsidR="006E35FC" w:rsidRDefault="006E35FC" w:rsidP="006E35FC">
      <w:pPr>
        <w:spacing w:line="360" w:lineRule="auto"/>
        <w:jc w:val="both"/>
        <w:rPr>
          <w:rFonts w:ascii="Times New Roman" w:hAnsi="Times New Roman"/>
        </w:rPr>
      </w:pPr>
      <w:r w:rsidRPr="00806259">
        <w:rPr>
          <w:rFonts w:ascii="Times New Roman" w:hAnsi="Times New Roman"/>
        </w:rPr>
        <w:t>During oocyte growth, thousands of maternal mRNAs are synthesized and stored in a translationally repressed state. These transcripts are selectively activated during oocyte maturation through regulated polyadenylation and translation mechanisms. This translational control ensures the timely production of proteins required for meiotic progression, fertilization, and early embryonic development (Walker and Biase, 2020). The degradation of maternal RNAs following fertilization is another essential step in the transition from maternal to embryonic control of development. Proper regulation of this maternal-to-zygotic transition ensures successful activation of the embryonic genome and continuation of normal embryogenesis. Failure in these regulatory processes can compromise developmental competence and result in early embryonic arrest (De Oliveira et al., 2025).</w:t>
      </w:r>
    </w:p>
    <w:p w14:paraId="3B9CF56C" w14:textId="77777777" w:rsidR="006E35FC" w:rsidRDefault="006E35FC" w:rsidP="006E35FC">
      <w:pPr>
        <w:spacing w:line="360" w:lineRule="auto"/>
        <w:jc w:val="both"/>
        <w:rPr>
          <w:rFonts w:ascii="Times New Roman" w:hAnsi="Times New Roman"/>
          <w:b/>
          <w:bCs/>
        </w:rPr>
      </w:pPr>
      <w:r>
        <w:rPr>
          <w:rFonts w:ascii="Times New Roman" w:hAnsi="Times New Roman"/>
          <w:b/>
          <w:bCs/>
        </w:rPr>
        <w:t xml:space="preserve">3. </w:t>
      </w:r>
      <w:r w:rsidRPr="001314A2">
        <w:rPr>
          <w:rFonts w:ascii="Times New Roman" w:hAnsi="Times New Roman"/>
          <w:b/>
          <w:bCs/>
        </w:rPr>
        <w:t>Molecular and Cellular Determinants of Oocyte Competence</w:t>
      </w:r>
    </w:p>
    <w:p w14:paraId="4978E4D0" w14:textId="73233F34" w:rsidR="008F719E" w:rsidRDefault="006E35FC" w:rsidP="008F719E">
      <w:pPr>
        <w:spacing w:line="360" w:lineRule="auto"/>
        <w:jc w:val="both"/>
        <w:rPr>
          <w:rFonts w:ascii="Times New Roman" w:hAnsi="Times New Roman"/>
        </w:rPr>
      </w:pPr>
      <w:r w:rsidRPr="001314A2">
        <w:rPr>
          <w:rFonts w:ascii="Times New Roman" w:hAnsi="Times New Roman"/>
        </w:rPr>
        <w:t xml:space="preserve">Oocyte developmental competence is an emergent phenotype arising from coordinated molecular programs in the oocyte and its companion somatic cells (especially cumulus cells). Across studies, “high competence” is consistently associated with a maturation-appropriate transcriptome/proteome in the COC, metabolic sufficiency </w:t>
      </w:r>
      <w:proofErr w:type="spellStart"/>
      <w:r w:rsidRPr="001314A2">
        <w:rPr>
          <w:rFonts w:ascii="Times New Roman" w:hAnsi="Times New Roman"/>
        </w:rPr>
        <w:t>centred</w:t>
      </w:r>
      <w:proofErr w:type="spellEnd"/>
      <w:r w:rsidRPr="001314A2">
        <w:rPr>
          <w:rFonts w:ascii="Times New Roman" w:hAnsi="Times New Roman"/>
        </w:rPr>
        <w:t xml:space="preserve"> on mitochondrial ATP supply, robust redox buffering and low oxidative damage, correct organelle redistribution and cytoplasmic architecture, and preservation of chromosomal integrity through accurate meiotic spindle function, cohesion maintenance, and effective DNA repair (</w:t>
      </w:r>
      <w:proofErr w:type="spellStart"/>
      <w:r w:rsidRPr="001314A2">
        <w:rPr>
          <w:rFonts w:ascii="Times New Roman" w:hAnsi="Times New Roman"/>
        </w:rPr>
        <w:t>Sirait</w:t>
      </w:r>
      <w:proofErr w:type="spellEnd"/>
      <w:r w:rsidRPr="001314A2">
        <w:rPr>
          <w:rFonts w:ascii="Times New Roman" w:hAnsi="Times New Roman"/>
        </w:rPr>
        <w:t xml:space="preserve"> et al., 2021). Importantly, many of these determinants converge mechanistically through somatic–germline coupling via gap junctions and transzonal projections (TZPs), which regulate substrate delivery, cyclic nucleotide signaling, and stress-buffering capacity within the oocyte (</w:t>
      </w:r>
      <w:proofErr w:type="spellStart"/>
      <w:r w:rsidRPr="001314A2">
        <w:rPr>
          <w:rFonts w:ascii="Times New Roman" w:hAnsi="Times New Roman"/>
        </w:rPr>
        <w:t>Richani</w:t>
      </w:r>
      <w:proofErr w:type="spellEnd"/>
      <w:r w:rsidRPr="001314A2">
        <w:rPr>
          <w:rFonts w:ascii="Times New Roman" w:hAnsi="Times New Roman"/>
        </w:rPr>
        <w:t xml:space="preserve"> et al., 2020).</w:t>
      </w:r>
    </w:p>
    <w:p w14:paraId="3E96667F" w14:textId="3A482797" w:rsidR="006E35FC" w:rsidRPr="008F719E" w:rsidRDefault="008F719E" w:rsidP="008F719E">
      <w:pPr>
        <w:spacing w:line="360" w:lineRule="auto"/>
        <w:jc w:val="both"/>
        <w:rPr>
          <w:rFonts w:ascii="Times New Roman" w:hAnsi="Times New Roman"/>
          <w:b/>
          <w:bCs/>
        </w:rPr>
      </w:pPr>
      <w:r w:rsidRPr="008F719E">
        <w:rPr>
          <w:rFonts w:ascii="Times New Roman" w:hAnsi="Times New Roman"/>
          <w:b/>
          <w:bCs/>
        </w:rPr>
        <w:t>3.1</w:t>
      </w:r>
      <w:r w:rsidRPr="008F719E">
        <w:rPr>
          <w:rFonts w:ascii="Times New Roman" w:hAnsi="Times New Roman"/>
          <w:b/>
          <w:bCs/>
        </w:rPr>
        <w:tab/>
      </w:r>
      <w:r w:rsidR="006E35FC" w:rsidRPr="008F719E">
        <w:rPr>
          <w:rFonts w:ascii="Times New Roman" w:hAnsi="Times New Roman"/>
          <w:b/>
          <w:bCs/>
        </w:rPr>
        <w:t>Transcriptomic and Proteomic Signatures</w:t>
      </w:r>
    </w:p>
    <w:p w14:paraId="2AE6EDA8" w14:textId="2A3C9C30" w:rsidR="006E35FC" w:rsidRPr="001314A2" w:rsidRDefault="006E35FC" w:rsidP="006E35FC">
      <w:pPr>
        <w:spacing w:line="360" w:lineRule="auto"/>
        <w:jc w:val="both"/>
        <w:rPr>
          <w:rFonts w:ascii="Times New Roman" w:hAnsi="Times New Roman"/>
        </w:rPr>
      </w:pPr>
      <w:r w:rsidRPr="001314A2">
        <w:rPr>
          <w:rFonts w:ascii="Times New Roman" w:hAnsi="Times New Roman"/>
        </w:rPr>
        <w:t xml:space="preserve">Across cohorts and experimental systems, transcriptomic profiling of cumulus cells (and, when available, oocytes) repeatedly identifies signatures tied to maturation status, extracellular matrix remodeling, gonadotropin responsiveness, and apoptosis/stress pathways. For example, cumulus expression patterns involving extracellular matrix genes associated with cumulus expansion (e.g., HAS2, TNFAIP6, PTGS2, PTX3, VCAN) and glycolytic regulators (e.g., PFKP) have been linked to downstream embryo development and/or live birth probability, supporting the concept that cumulus transcription reflects the metabolic and structural state required to support a competent oocyte (Faizal et al., 2024). Mechanistically, these signatures map onto canonical peri-ovulatory signaling pathways that couple gonadotropin cues to cumulus function. Activation of the EGF network—via LH-driven induction of EGF-like ligands (AREG/EREG/BTC) and EGFR </w:t>
      </w:r>
      <w:proofErr w:type="spellStart"/>
      <w:r w:rsidRPr="001314A2">
        <w:rPr>
          <w:rFonts w:ascii="Times New Roman" w:hAnsi="Times New Roman"/>
        </w:rPr>
        <w:t>signa</w:t>
      </w:r>
      <w:r w:rsidR="005A7345">
        <w:rPr>
          <w:rFonts w:ascii="Times New Roman" w:hAnsi="Times New Roman"/>
        </w:rPr>
        <w:t>l</w:t>
      </w:r>
      <w:r w:rsidRPr="001314A2">
        <w:rPr>
          <w:rFonts w:ascii="Times New Roman" w:hAnsi="Times New Roman"/>
        </w:rPr>
        <w:t>ling</w:t>
      </w:r>
      <w:proofErr w:type="spellEnd"/>
      <w:r w:rsidRPr="001314A2">
        <w:rPr>
          <w:rFonts w:ascii="Times New Roman" w:hAnsi="Times New Roman"/>
        </w:rPr>
        <w:t xml:space="preserve"> in cumulus cells—drives ERK1/2 signaling and the transcriptional program for hyaluronan-rich matrix formation (Has2, Ptx3, Tnfaip6, Ptgs2), enabling cumulus expansion and maturation-associated support to the oocyte </w:t>
      </w:r>
      <w:r w:rsidRPr="001314A2">
        <w:rPr>
          <w:rFonts w:ascii="Times New Roman" w:hAnsi="Times New Roman"/>
        </w:rPr>
        <w:lastRenderedPageBreak/>
        <w:t>(Massoud et al., 2023). This “cumulus program” is also shaped developmentally: follicles acquire functional EGFR responsiveness through combined FSH–cAMP–PKA signaling and oocyte paracrine cues, creating a gating mechanism that prevents premature ovulatory signaling before the oocyte is competent.</w:t>
      </w:r>
    </w:p>
    <w:p w14:paraId="7837FF80" w14:textId="77777777" w:rsidR="006E35FC" w:rsidRDefault="006E35FC" w:rsidP="006E35FC">
      <w:pPr>
        <w:spacing w:line="360" w:lineRule="auto"/>
        <w:jc w:val="both"/>
        <w:rPr>
          <w:rFonts w:ascii="Times New Roman" w:hAnsi="Times New Roman"/>
        </w:rPr>
      </w:pPr>
      <w:r w:rsidRPr="001314A2">
        <w:rPr>
          <w:rFonts w:ascii="Times New Roman" w:hAnsi="Times New Roman"/>
        </w:rPr>
        <w:t>A complementary set of transcript/protein markers reflects cellular stress and apoptosis, which inversely tracks competence in some clinical contexts. The cumulus biomarker literature highlights that confounders (e.g., PCOS, stimulation heterogeneity) can shift expression toward apoptotic pathways (including p53-associated responses), complicating biomarker portability. This supports a key cross-study inference: “competence signatures” are context-dependent and are best interpreted as pathway states (metabolic sufficiency, matrix competency, low stress) rather than single-gene predictors (Molin et al., 2025).</w:t>
      </w:r>
    </w:p>
    <w:p w14:paraId="1751B78E" w14:textId="192DADFA" w:rsidR="006E35FC" w:rsidRPr="008F719E" w:rsidRDefault="006E35FC" w:rsidP="008F719E">
      <w:pPr>
        <w:pStyle w:val="ListParagraph"/>
        <w:numPr>
          <w:ilvl w:val="1"/>
          <w:numId w:val="35"/>
        </w:numPr>
        <w:spacing w:line="360" w:lineRule="auto"/>
        <w:jc w:val="both"/>
        <w:rPr>
          <w:rFonts w:ascii="Times New Roman" w:hAnsi="Times New Roman"/>
          <w:b/>
          <w:bCs/>
        </w:rPr>
      </w:pPr>
      <w:r w:rsidRPr="008F719E">
        <w:rPr>
          <w:rFonts w:ascii="Times New Roman" w:hAnsi="Times New Roman"/>
          <w:b/>
          <w:bCs/>
        </w:rPr>
        <w:t>Mitochondrial Function and Energy Metabolism</w:t>
      </w:r>
    </w:p>
    <w:p w14:paraId="34FB8559" w14:textId="72409F4C" w:rsidR="006E35FC" w:rsidRPr="00C71419" w:rsidRDefault="006E35FC" w:rsidP="006E35FC">
      <w:pPr>
        <w:spacing w:line="360" w:lineRule="auto"/>
        <w:jc w:val="both"/>
        <w:rPr>
          <w:rFonts w:ascii="Times New Roman" w:hAnsi="Times New Roman"/>
        </w:rPr>
      </w:pPr>
      <w:r w:rsidRPr="00C71419">
        <w:rPr>
          <w:rFonts w:ascii="Times New Roman" w:hAnsi="Times New Roman"/>
        </w:rPr>
        <w:t>Mitochondrial competence</w:t>
      </w:r>
      <w:r>
        <w:rPr>
          <w:rFonts w:ascii="Times New Roman" w:hAnsi="Times New Roman"/>
        </w:rPr>
        <w:t xml:space="preserve"> (</w:t>
      </w:r>
      <w:r w:rsidRPr="00C71419">
        <w:rPr>
          <w:rFonts w:ascii="Times New Roman" w:hAnsi="Times New Roman"/>
        </w:rPr>
        <w:t>ATP output, membrane potential, substrate flexibility, and spatial positioning</w:t>
      </w:r>
      <w:r>
        <w:rPr>
          <w:rFonts w:ascii="Times New Roman" w:hAnsi="Times New Roman"/>
        </w:rPr>
        <w:t xml:space="preserve">) </w:t>
      </w:r>
      <w:r w:rsidRPr="00C71419">
        <w:rPr>
          <w:rFonts w:ascii="Times New Roman" w:hAnsi="Times New Roman"/>
        </w:rPr>
        <w:t>is repeatedly identified as a central determinant of oocyte quality. Oocyte ATP production is largely mitochondrial, yet the oocyte depends heavily on cumulus cells for metabolic preprocessing of substrates (notably glycolysis-derived pyruvate) and their delivery through gap junctional coupling. This metabolic co-dependence explains why disruption of COC architecture, maturation conditions (e.g., IVM), or endocrine/paracrine signaling can shift energetic sufficiency and compromise competence (</w:t>
      </w:r>
      <w:proofErr w:type="spellStart"/>
      <w:r w:rsidRPr="00C71419">
        <w:rPr>
          <w:rFonts w:ascii="Times New Roman" w:hAnsi="Times New Roman"/>
        </w:rPr>
        <w:t>Richani</w:t>
      </w:r>
      <w:proofErr w:type="spellEnd"/>
      <w:r w:rsidRPr="00C71419">
        <w:rPr>
          <w:rFonts w:ascii="Times New Roman" w:hAnsi="Times New Roman"/>
        </w:rPr>
        <w:t xml:space="preserve"> et al., 2020). Studies show that mitochondrial defects are repeatedly linked to downstream meiotic and embryologic failure modes. Structural abnormalities (swelling, vacuolization, cristae alteration), reduced membrane potential, reduced ATP production, and mtDNA vulnerability (high mutation rate due to limited protection/repair) are all implicated in impaired spindle assembly, chromosome segregation, and implantation potential—providing a mechanistic bridge between mitochondrial decline and aneuploidy risk (Sasaki et al., 2019).</w:t>
      </w:r>
    </w:p>
    <w:p w14:paraId="30377B1A"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Substrate utilization pathways that support competence recur across studies: oxidative phosphorylation, fatty-acid β-oxidation, and nutrient-sensing programs that tune mitochondrial output. Lipid metabolism is highlighted as a competence-relevant energy source supporting oxidative phosphorylation and meiotic progression; likewise, interventions that modulate mitochondrial function or lipid handling (e.g., CoQ10, L-carnitine) are discussed as competence-enhancing strategies, with L-carnitine mechanistically linking fatty-acid transport into mitochondria to altered mitochondrial and lipid droplet distribution (Chandra and Sharma, 2020).</w:t>
      </w:r>
    </w:p>
    <w:p w14:paraId="5B7A7121" w14:textId="007749DF" w:rsidR="006E35FC" w:rsidRPr="007249FD" w:rsidRDefault="006E35FC" w:rsidP="007249FD">
      <w:pPr>
        <w:pStyle w:val="ListParagraph"/>
        <w:numPr>
          <w:ilvl w:val="1"/>
          <w:numId w:val="35"/>
        </w:numPr>
        <w:spacing w:line="360" w:lineRule="auto"/>
        <w:jc w:val="both"/>
        <w:rPr>
          <w:rFonts w:ascii="Times New Roman" w:hAnsi="Times New Roman"/>
          <w:b/>
          <w:bCs/>
        </w:rPr>
      </w:pPr>
      <w:r w:rsidRPr="007249FD">
        <w:rPr>
          <w:rFonts w:ascii="Times New Roman" w:hAnsi="Times New Roman"/>
          <w:b/>
          <w:bCs/>
        </w:rPr>
        <w:t>Oxidative Stress Regulation and Redox Homeostasis</w:t>
      </w:r>
    </w:p>
    <w:p w14:paraId="0352F348" w14:textId="1AE881C3"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Competent oocytes maintain redox balance through antioxidant capacity, intact mitochondrial function, and supportive cumulus-driven buffering. Oxidative stress (OS) is positioned as both a direct </w:t>
      </w:r>
      <w:r w:rsidRPr="00C71419">
        <w:rPr>
          <w:rFonts w:ascii="Times New Roman" w:hAnsi="Times New Roman"/>
        </w:rPr>
        <w:lastRenderedPageBreak/>
        <w:t xml:space="preserve">effector (lipid, protein, and DNA damage) and an amplifier of mitochondrial dysfunction, creating a feed-forward loop that degrades competence—particularly with age and inflammatory pathologies (Voros et al., 2025). At the </w:t>
      </w:r>
      <w:proofErr w:type="spellStart"/>
      <w:r w:rsidRPr="00C71419">
        <w:rPr>
          <w:rFonts w:ascii="Times New Roman" w:hAnsi="Times New Roman"/>
        </w:rPr>
        <w:t>signa</w:t>
      </w:r>
      <w:r w:rsidR="005A7345">
        <w:rPr>
          <w:rFonts w:ascii="Times New Roman" w:hAnsi="Times New Roman"/>
        </w:rPr>
        <w:t>l</w:t>
      </w:r>
      <w:r w:rsidRPr="00C71419">
        <w:rPr>
          <w:rFonts w:ascii="Times New Roman" w:hAnsi="Times New Roman"/>
        </w:rPr>
        <w:t>ling</w:t>
      </w:r>
      <w:proofErr w:type="spellEnd"/>
      <w:r w:rsidRPr="00C71419">
        <w:rPr>
          <w:rFonts w:ascii="Times New Roman" w:hAnsi="Times New Roman"/>
        </w:rPr>
        <w:t xml:space="preserve"> level, endocrine milieu (e.g., altered FSH/AMH balance) can indirectly impair oocyte redox control by reducing TZP-mediated transfer of cumulus-derived molecules necessary for redox activity and DNA repair. Mechanistically, glutathione (GSH)-centric antioxidant systems recur as competence-relevant: strategies to improve IVM outcomes include supplementation with GSH precursors and endogenous maturation mediators, reflecting the repeated observation that oxidative buffering capacity is tightly coupled to maturation success and later embryo development (Sasaki et al., 2019).</w:t>
      </w:r>
    </w:p>
    <w:p w14:paraId="204BC10A" w14:textId="342C19DA"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Pathology-focused evidence reinforces these mechanisms. In endometriosis-associated infertility, follicular and systemic environments are described as pro-oxidant and inflammatory, with specific emphasis on iron-mediated oxidative stress and cytokine-linked </w:t>
      </w:r>
      <w:proofErr w:type="spellStart"/>
      <w:r w:rsidRPr="00C71419">
        <w:rPr>
          <w:rFonts w:ascii="Times New Roman" w:hAnsi="Times New Roman"/>
        </w:rPr>
        <w:t>signa</w:t>
      </w:r>
      <w:r w:rsidR="005A7345">
        <w:rPr>
          <w:rFonts w:ascii="Times New Roman" w:hAnsi="Times New Roman"/>
        </w:rPr>
        <w:t>l</w:t>
      </w:r>
      <w:r w:rsidRPr="00C71419">
        <w:rPr>
          <w:rFonts w:ascii="Times New Roman" w:hAnsi="Times New Roman"/>
        </w:rPr>
        <w:t>ling</w:t>
      </w:r>
      <w:proofErr w:type="spellEnd"/>
      <w:r w:rsidRPr="00C71419">
        <w:rPr>
          <w:rFonts w:ascii="Times New Roman" w:hAnsi="Times New Roman"/>
        </w:rPr>
        <w:t xml:space="preserve"> (e.g., NF-</w:t>
      </w:r>
      <w:proofErr w:type="spellStart"/>
      <w:r w:rsidRPr="00C71419">
        <w:rPr>
          <w:rFonts w:ascii="Times New Roman" w:hAnsi="Times New Roman"/>
        </w:rPr>
        <w:t>κB</w:t>
      </w:r>
      <w:proofErr w:type="spellEnd"/>
      <w:r w:rsidRPr="00C71419">
        <w:rPr>
          <w:rFonts w:ascii="Times New Roman" w:hAnsi="Times New Roman"/>
        </w:rPr>
        <w:t>/JAK–STAT/TGF-β–SMAD axes) that can propagate oxidative damage and impair steroidogenic support from granulosa cells—conditions expected to impair cytoplasmic maturation and mitochondrial integrity, thereby lowering competence (Moreno et al., 2023).</w:t>
      </w:r>
    </w:p>
    <w:p w14:paraId="153952BC" w14:textId="1D47EAAB" w:rsidR="006E35FC" w:rsidRPr="007249FD" w:rsidRDefault="006E35FC" w:rsidP="007249FD">
      <w:pPr>
        <w:pStyle w:val="ListParagraph"/>
        <w:numPr>
          <w:ilvl w:val="1"/>
          <w:numId w:val="35"/>
        </w:numPr>
        <w:spacing w:line="360" w:lineRule="auto"/>
        <w:jc w:val="both"/>
        <w:rPr>
          <w:rFonts w:ascii="Times New Roman" w:hAnsi="Times New Roman"/>
          <w:b/>
          <w:bCs/>
        </w:rPr>
      </w:pPr>
      <w:r w:rsidRPr="007249FD">
        <w:rPr>
          <w:rFonts w:ascii="Times New Roman" w:hAnsi="Times New Roman"/>
          <w:b/>
          <w:bCs/>
        </w:rPr>
        <w:t>Organelle Distribution and Cytoplasmic Architecture</w:t>
      </w:r>
    </w:p>
    <w:p w14:paraId="5327C652" w14:textId="68431B7D" w:rsidR="006E35FC" w:rsidRPr="00C71419" w:rsidRDefault="006E35FC" w:rsidP="006E35FC">
      <w:pPr>
        <w:spacing w:line="360" w:lineRule="auto"/>
        <w:jc w:val="both"/>
        <w:rPr>
          <w:rFonts w:ascii="Times New Roman" w:hAnsi="Times New Roman"/>
        </w:rPr>
      </w:pPr>
      <w:r w:rsidRPr="00C71419">
        <w:rPr>
          <w:rFonts w:ascii="Times New Roman" w:hAnsi="Times New Roman"/>
        </w:rPr>
        <w:t>Cytoplasmic architecture, especially the quantity, morphology, and spatial distribution of key organelles</w:t>
      </w:r>
      <w:r w:rsidR="005A7345">
        <w:rPr>
          <w:rFonts w:ascii="Times New Roman" w:hAnsi="Times New Roman"/>
        </w:rPr>
        <w:t>,</w:t>
      </w:r>
      <w:r w:rsidRPr="00C71419">
        <w:rPr>
          <w:rFonts w:ascii="Times New Roman" w:hAnsi="Times New Roman"/>
        </w:rPr>
        <w:t xml:space="preserve"> is a recurrent structural correlate of competence (Possible et al., 2024). Across models, high-quality oocytes tend to exhibit more favorable mitochondrial content and distribution, appropriate lipid droplet organization, and correct cortical granule </w:t>
      </w:r>
      <w:proofErr w:type="spellStart"/>
      <w:r w:rsidRPr="00C71419">
        <w:rPr>
          <w:rFonts w:ascii="Times New Roman" w:hAnsi="Times New Roman"/>
        </w:rPr>
        <w:t>locali</w:t>
      </w:r>
      <w:r w:rsidR="005A7345">
        <w:rPr>
          <w:rFonts w:ascii="Times New Roman" w:hAnsi="Times New Roman"/>
        </w:rPr>
        <w:t>s</w:t>
      </w:r>
      <w:r w:rsidRPr="00C71419">
        <w:rPr>
          <w:rFonts w:ascii="Times New Roman" w:hAnsi="Times New Roman"/>
        </w:rPr>
        <w:t>ation</w:t>
      </w:r>
      <w:proofErr w:type="spellEnd"/>
      <w:r w:rsidRPr="00C71419">
        <w:rPr>
          <w:rFonts w:ascii="Times New Roman" w:hAnsi="Times New Roman"/>
        </w:rPr>
        <w:t xml:space="preserve"> near the oolemma—features that support ATP supply, Ca²⁺ signaling, membrane </w:t>
      </w:r>
      <w:proofErr w:type="spellStart"/>
      <w:r w:rsidRPr="00C71419">
        <w:rPr>
          <w:rFonts w:ascii="Times New Roman" w:hAnsi="Times New Roman"/>
        </w:rPr>
        <w:t>remode</w:t>
      </w:r>
      <w:r w:rsidR="005A7345">
        <w:rPr>
          <w:rFonts w:ascii="Times New Roman" w:hAnsi="Times New Roman"/>
        </w:rPr>
        <w:t>l</w:t>
      </w:r>
      <w:r w:rsidRPr="00C71419">
        <w:rPr>
          <w:rFonts w:ascii="Times New Roman" w:hAnsi="Times New Roman"/>
        </w:rPr>
        <w:t>ling</w:t>
      </w:r>
      <w:proofErr w:type="spellEnd"/>
      <w:r w:rsidRPr="00C71419">
        <w:rPr>
          <w:rFonts w:ascii="Times New Roman" w:hAnsi="Times New Roman"/>
        </w:rPr>
        <w:t xml:space="preserve"> at fertilization, and early cleavage robustness (Reader et al., 2017).</w:t>
      </w:r>
    </w:p>
    <w:p w14:paraId="37F01154"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Mechanistically, mitochondrial redistribution during maturation is not passive; it tracks cellular regions requiring high ATP and/or Ca²⁺ signaling. A repeated observation is that mitochondrial translocation accompanies key maturation events (e.g., GVBD and polar body extrusion in some species) and that failure to undergo these dynamic </w:t>
      </w:r>
      <w:proofErr w:type="spellStart"/>
      <w:r w:rsidRPr="00C71419">
        <w:rPr>
          <w:rFonts w:ascii="Times New Roman" w:hAnsi="Times New Roman"/>
        </w:rPr>
        <w:t>relocalizations</w:t>
      </w:r>
      <w:proofErr w:type="spellEnd"/>
      <w:r w:rsidRPr="00C71419">
        <w:rPr>
          <w:rFonts w:ascii="Times New Roman" w:hAnsi="Times New Roman"/>
        </w:rPr>
        <w:t xml:space="preserve"> associates with failed maturation and poor competence. This links organelle positioning to functional outputs: localized ATP supply for spindle assembly/chromosome movement and balanced partitioning of mitochondria into early blastomeres (Conti and Franciosi, 2018). These architectural determinants are also sensitive to metabolic and pharmacologic manipulation. Compounds that modify mitochondrial function or lipid handling are reported to alter mitochondrial/lipid distribution and improve competence in vitro and in vivo, supporting a causal relationship (not merely correlation) between cytoplasmic organization, metabolic readiness, and developmental potential (Chandra and Sharma, 2020).</w:t>
      </w:r>
    </w:p>
    <w:p w14:paraId="0FD59FAE" w14:textId="1AFE8B45" w:rsidR="006E35FC" w:rsidRPr="007249FD" w:rsidRDefault="006E35FC" w:rsidP="007249FD">
      <w:pPr>
        <w:pStyle w:val="ListParagraph"/>
        <w:numPr>
          <w:ilvl w:val="1"/>
          <w:numId w:val="35"/>
        </w:numPr>
        <w:spacing w:line="360" w:lineRule="auto"/>
        <w:jc w:val="both"/>
        <w:rPr>
          <w:rFonts w:ascii="Times New Roman" w:hAnsi="Times New Roman"/>
          <w:b/>
          <w:bCs/>
        </w:rPr>
      </w:pPr>
      <w:r w:rsidRPr="007249FD">
        <w:rPr>
          <w:rFonts w:ascii="Times New Roman" w:hAnsi="Times New Roman"/>
          <w:b/>
          <w:bCs/>
        </w:rPr>
        <w:t>Chromosomal Integrity and DNA Repair</w:t>
      </w:r>
    </w:p>
    <w:p w14:paraId="115B99B9"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lastRenderedPageBreak/>
        <w:t xml:space="preserve">Competence requires preservation of chromosomal integrity across decades-long meiotic arrest (in humans) and through the resumption of meiosis. A central mechanism implicated in age-related chromosomal errors is progressive loss of cohesion, which cannot be replenished once degraded, thereby increasing the probability of premature chromatid separation, mis-attachment, and aneuploid segregation (Ferreira et al., 2023). Cohesion biology is mechanistically anchored in the meiotic </w:t>
      </w:r>
      <w:proofErr w:type="spellStart"/>
      <w:r w:rsidRPr="00C71419">
        <w:rPr>
          <w:rFonts w:ascii="Times New Roman" w:hAnsi="Times New Roman"/>
        </w:rPr>
        <w:t>cohesin</w:t>
      </w:r>
      <w:proofErr w:type="spellEnd"/>
      <w:r w:rsidRPr="00C71419">
        <w:rPr>
          <w:rFonts w:ascii="Times New Roman" w:hAnsi="Times New Roman"/>
        </w:rPr>
        <w:t xml:space="preserve"> complex (e.g., Rec8), </w:t>
      </w:r>
      <w:proofErr w:type="spellStart"/>
      <w:r w:rsidRPr="00C71419">
        <w:rPr>
          <w:rFonts w:ascii="Times New Roman" w:hAnsi="Times New Roman"/>
        </w:rPr>
        <w:t>separase</w:t>
      </w:r>
      <w:proofErr w:type="spellEnd"/>
      <w:r w:rsidRPr="00C71419">
        <w:rPr>
          <w:rFonts w:ascii="Times New Roman" w:hAnsi="Times New Roman"/>
        </w:rPr>
        <w:t xml:space="preserve">-mediated cleavage, and centromeric protection by </w:t>
      </w:r>
      <w:proofErr w:type="spellStart"/>
      <w:r w:rsidRPr="00C71419">
        <w:rPr>
          <w:rFonts w:ascii="Times New Roman" w:hAnsi="Times New Roman"/>
        </w:rPr>
        <w:t>shugoshin</w:t>
      </w:r>
      <w:proofErr w:type="spellEnd"/>
      <w:r w:rsidRPr="00C71419">
        <w:rPr>
          <w:rFonts w:ascii="Times New Roman" w:hAnsi="Times New Roman"/>
        </w:rPr>
        <w:t>–PP2A, which prevents premature loss of centromeric cohesion until the appropriate stage.</w:t>
      </w:r>
    </w:p>
    <w:p w14:paraId="0F7EF109" w14:textId="77777777" w:rsidR="008F719E" w:rsidRDefault="006E35FC" w:rsidP="008F719E">
      <w:pPr>
        <w:spacing w:line="360" w:lineRule="auto"/>
        <w:jc w:val="both"/>
        <w:rPr>
          <w:rFonts w:ascii="Times New Roman" w:hAnsi="Times New Roman"/>
        </w:rPr>
      </w:pPr>
      <w:r w:rsidRPr="00C71419">
        <w:rPr>
          <w:rFonts w:ascii="Times New Roman" w:hAnsi="Times New Roman"/>
        </w:rPr>
        <w:t>DNA repair competence appears tightly coupled to somatic–germline coupling and endocrine context. A mechanistic hypothesis emerging from FSH/AMH-focused synthesis is that excessive intrafollicular FSH signaling with advancing age can promote TZP retraction, reducing delivery of cumulus-derived substrates and regulatory molecules required for DNA damage repair, redox homeostasis, and meiotic accuracy. This frames DNA repair not just as an oocyte-autonomous pathway, but as an emergent property dependent on sustained follicular communication and appropriate gonadotropin “set points” (Innocenti et al., 2022)</w:t>
      </w:r>
    </w:p>
    <w:p w14:paraId="64871CA9" w14:textId="3C12CB55" w:rsidR="006E35FC" w:rsidRPr="008F719E" w:rsidRDefault="007249FD" w:rsidP="008F719E">
      <w:pPr>
        <w:spacing w:line="360" w:lineRule="auto"/>
        <w:jc w:val="both"/>
        <w:rPr>
          <w:rFonts w:ascii="Times New Roman" w:hAnsi="Times New Roman"/>
        </w:rPr>
      </w:pPr>
      <w:r>
        <w:rPr>
          <w:rFonts w:ascii="Times New Roman" w:hAnsi="Times New Roman"/>
          <w:b/>
          <w:bCs/>
        </w:rPr>
        <w:t>3.6</w:t>
      </w:r>
      <w:r>
        <w:rPr>
          <w:rFonts w:ascii="Times New Roman" w:hAnsi="Times New Roman"/>
          <w:b/>
          <w:bCs/>
        </w:rPr>
        <w:tab/>
      </w:r>
      <w:r w:rsidR="006E35FC" w:rsidRPr="008F719E">
        <w:rPr>
          <w:rFonts w:ascii="Times New Roman" w:hAnsi="Times New Roman"/>
          <w:b/>
          <w:bCs/>
        </w:rPr>
        <w:t>Meiotic Spindle Formation and Stability</w:t>
      </w:r>
    </w:p>
    <w:p w14:paraId="2E63776F"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Spindle integrity is a proximate determinant of competence because it directly governs chromosome segregation accuracy and thus aneuploidy risk. Mechanistically, spindle stability depends on correct microtubule–kinetochore attachment, effective correction of improper attachments, and proper regulation of </w:t>
      </w:r>
      <w:proofErr w:type="spellStart"/>
      <w:r w:rsidRPr="00C71419">
        <w:rPr>
          <w:rFonts w:ascii="Times New Roman" w:hAnsi="Times New Roman"/>
        </w:rPr>
        <w:t>cohesin</w:t>
      </w:r>
      <w:proofErr w:type="spellEnd"/>
      <w:r w:rsidRPr="00C71419">
        <w:rPr>
          <w:rFonts w:ascii="Times New Roman" w:hAnsi="Times New Roman"/>
        </w:rPr>
        <w:t xml:space="preserve"> cleavage (</w:t>
      </w:r>
      <w:proofErr w:type="spellStart"/>
      <w:r w:rsidRPr="00C71419">
        <w:rPr>
          <w:rFonts w:ascii="Times New Roman" w:hAnsi="Times New Roman"/>
        </w:rPr>
        <w:t>Baldini</w:t>
      </w:r>
      <w:proofErr w:type="spellEnd"/>
      <w:r w:rsidRPr="00C71419">
        <w:rPr>
          <w:rFonts w:ascii="Times New Roman" w:hAnsi="Times New Roman"/>
        </w:rPr>
        <w:t xml:space="preserve"> et al., 2024). Aurora kinase–dependent targeting events and recruitment of microtubule depolymerases such as MCAK are highlighted as part of the centromeric machinery that helps resolve improper attachments, linking cohesion protection to spindle error correction.</w:t>
      </w:r>
    </w:p>
    <w:p w14:paraId="771E173A" w14:textId="77777777" w:rsidR="007249FD" w:rsidRDefault="006E35FC" w:rsidP="006E35FC">
      <w:pPr>
        <w:spacing w:line="360" w:lineRule="auto"/>
        <w:jc w:val="both"/>
        <w:rPr>
          <w:rFonts w:ascii="Times New Roman" w:hAnsi="Times New Roman"/>
        </w:rPr>
      </w:pPr>
      <w:r w:rsidRPr="00C71419">
        <w:rPr>
          <w:rFonts w:ascii="Times New Roman" w:hAnsi="Times New Roman"/>
        </w:rPr>
        <w:t>A distinctive—and competence-relevant—feature of mammalian oocytes is that checkpoint control can be comparatively permissive. When cohesion is weakened and homologs behave as “functional univalent,” oocytes may proceed without robust arrest, enabling segregation errors. This permissiveness is exacerbated by age-associated cohesion loss and mitochondrial dysfunction (ATP deficits and redox imbalance), which together can impair spindle assembly and chromosome alignment (Ferreira et al., 2023). Thus, spindle stability is best understood as a systems phenotype integrating energy sufficiency (mitochondria), structural integrity (cohesion), and surveillance fidelity (SAC behavior). Finally, endocrine-to-paracrine relay pathways act upstream of spindle competence by governing the timing of meiotic resumption and maturation synchrony. The LH→EGF-like peptide→EGFR→ERK1/2 axis in cumulus cells and cyclic nucleotide control (cGMP regulation of oocyte PDE3A and intra-oocyte cAMP) orchestrate meiotic timing, which is essential because premature or asynchronous progression can increase spindle error rates and reduce competence (Conti and Franciosi, 2018).</w:t>
      </w:r>
    </w:p>
    <w:p w14:paraId="76C61337" w14:textId="6C62EF57" w:rsidR="006E35FC" w:rsidRPr="007249FD" w:rsidRDefault="007249FD" w:rsidP="006E35FC">
      <w:pPr>
        <w:spacing w:line="360" w:lineRule="auto"/>
        <w:jc w:val="both"/>
        <w:rPr>
          <w:rFonts w:ascii="Times New Roman" w:hAnsi="Times New Roman"/>
          <w:b/>
          <w:bCs/>
        </w:rPr>
      </w:pPr>
      <w:r w:rsidRPr="007249FD">
        <w:rPr>
          <w:rFonts w:ascii="Times New Roman" w:hAnsi="Times New Roman"/>
          <w:b/>
          <w:bCs/>
        </w:rPr>
        <w:t>4.</w:t>
      </w:r>
      <w:r w:rsidRPr="007249FD">
        <w:rPr>
          <w:rFonts w:ascii="Times New Roman" w:hAnsi="Times New Roman"/>
          <w:b/>
          <w:bCs/>
        </w:rPr>
        <w:tab/>
      </w:r>
      <w:r w:rsidR="006E35FC" w:rsidRPr="007249FD">
        <w:rPr>
          <w:rFonts w:ascii="Times New Roman" w:hAnsi="Times New Roman"/>
          <w:b/>
          <w:bCs/>
        </w:rPr>
        <w:t>Oocyte Competence and Fertility Outcomes</w:t>
      </w:r>
    </w:p>
    <w:p w14:paraId="27DC17EC" w14:textId="77777777" w:rsidR="006E35FC" w:rsidRPr="00130C5C" w:rsidRDefault="006E35FC" w:rsidP="006E35FC">
      <w:pPr>
        <w:spacing w:line="360" w:lineRule="auto"/>
        <w:jc w:val="both"/>
        <w:rPr>
          <w:rFonts w:ascii="Times New Roman" w:hAnsi="Times New Roman"/>
        </w:rPr>
      </w:pPr>
      <w:r w:rsidRPr="00130C5C">
        <w:rPr>
          <w:rFonts w:ascii="Times New Roman" w:hAnsi="Times New Roman"/>
        </w:rPr>
        <w:lastRenderedPageBreak/>
        <w:t>Oocyte developmental competence is best understood as a probabilistic, stage-spanning phenotype: the same oocyte must (</w:t>
      </w:r>
      <w:proofErr w:type="spellStart"/>
      <w:r w:rsidRPr="00130C5C">
        <w:rPr>
          <w:rFonts w:ascii="Times New Roman" w:hAnsi="Times New Roman"/>
        </w:rPr>
        <w:t>i</w:t>
      </w:r>
      <w:proofErr w:type="spellEnd"/>
      <w:r w:rsidRPr="00130C5C">
        <w:rPr>
          <w:rFonts w:ascii="Times New Roman" w:hAnsi="Times New Roman"/>
        </w:rPr>
        <w:t xml:space="preserve">) complete maturation, (ii) support fertilization and cleavage, (iii) sustain development to blastocyst, and (iv) generate an embryo capable of implantation and ongoing development. Importantly, success at an early step does not guarantee success at later steps—an observation that has driven the field to distinguish “embryo yield” from “embryo quality” and to treat competence as a dynamic developmental window extending from late oogenesis through preimplantation development. </w:t>
      </w:r>
    </w:p>
    <w:p w14:paraId="418E84C9" w14:textId="77777777" w:rsidR="006E35FC" w:rsidRDefault="006E35FC" w:rsidP="006E35FC">
      <w:pPr>
        <w:spacing w:line="360" w:lineRule="auto"/>
        <w:jc w:val="both"/>
        <w:rPr>
          <w:rFonts w:ascii="Times New Roman" w:hAnsi="Times New Roman"/>
        </w:rPr>
      </w:pPr>
      <w:r w:rsidRPr="00E14CE1">
        <w:rPr>
          <w:rFonts w:ascii="Times New Roman" w:hAnsi="Times New Roman"/>
        </w:rPr>
        <w:t xml:space="preserve">Fertilization success depends on the oocyte’s ability to execute a coordinated set of cytoplasmic and nuclear functions that include meiotic completion, calcium signaling competence, cortical granule exocytosis, and early pronuclear events. </w:t>
      </w:r>
      <w:r>
        <w:rPr>
          <w:rFonts w:ascii="Times New Roman" w:hAnsi="Times New Roman"/>
        </w:rPr>
        <w:t>M</w:t>
      </w:r>
      <w:r w:rsidRPr="00E14CE1">
        <w:rPr>
          <w:rFonts w:ascii="Times New Roman" w:hAnsi="Times New Roman"/>
        </w:rPr>
        <w:t xml:space="preserve">any of the cellular and molecular requirements for fertilization and early embryogenesis are oocyte-inherent, and inadequate oocyte growth/maturation adversely affects fertilization and subsequent development.  At the clinical interface, cumulus/granulosa molecular features correlate with fertilization competence, but often in a non-linear fashion—e.g., expression patterns consistent with appropriate gonadotropin responsiveness and follicular signaling are associated with maturity and fertilization, whereas “overexpression” of certain receptors may associate with poorer fertilization outcomes, implying threshold or timing effects rather than simple directionality. </w:t>
      </w:r>
    </w:p>
    <w:p w14:paraId="1388FAE0" w14:textId="77777777" w:rsidR="006E35FC" w:rsidRPr="008D7979" w:rsidRDefault="006E35FC" w:rsidP="006E35FC">
      <w:pPr>
        <w:spacing w:line="360" w:lineRule="auto"/>
        <w:jc w:val="both"/>
        <w:rPr>
          <w:rFonts w:ascii="Times New Roman" w:hAnsi="Times New Roman"/>
          <w:b/>
          <w:bCs/>
        </w:rPr>
      </w:pPr>
      <w:r w:rsidRPr="000616B1">
        <w:rPr>
          <w:rFonts w:ascii="Times New Roman" w:hAnsi="Times New Roman"/>
          <w:b/>
          <w:bCs/>
        </w:rPr>
        <w:t xml:space="preserve">Table </w:t>
      </w:r>
      <w:r>
        <w:rPr>
          <w:rFonts w:ascii="Times New Roman" w:hAnsi="Times New Roman"/>
          <w:b/>
          <w:bCs/>
        </w:rPr>
        <w:t>1</w:t>
      </w:r>
      <w:r w:rsidRPr="000616B1">
        <w:rPr>
          <w:rFonts w:ascii="Times New Roman" w:hAnsi="Times New Roman"/>
          <w:b/>
          <w:bCs/>
        </w:rPr>
        <w:t>. Clinical Evidence Linking Oocyte Competence to Fertility Outcomes</w:t>
      </w:r>
    </w:p>
    <w:tbl>
      <w:tblPr>
        <w:tblStyle w:val="TableGrid"/>
        <w:tblW w:w="10625" w:type="dxa"/>
        <w:jc w:val="center"/>
        <w:tblLook w:val="04A0" w:firstRow="1" w:lastRow="0" w:firstColumn="1" w:lastColumn="0" w:noHBand="0" w:noVBand="1"/>
      </w:tblPr>
      <w:tblGrid>
        <w:gridCol w:w="1945"/>
        <w:gridCol w:w="3370"/>
        <w:gridCol w:w="3510"/>
        <w:gridCol w:w="1800"/>
      </w:tblGrid>
      <w:tr w:rsidR="006E35FC" w:rsidRPr="00AF117D" w14:paraId="3D4BAC2E" w14:textId="77777777" w:rsidTr="00D561C0">
        <w:trPr>
          <w:jc w:val="center"/>
        </w:trPr>
        <w:tc>
          <w:tcPr>
            <w:tcW w:w="1945" w:type="dxa"/>
          </w:tcPr>
          <w:p w14:paraId="090D0D6A" w14:textId="77777777" w:rsidR="006E35FC" w:rsidRPr="00AF117D" w:rsidRDefault="006E35FC" w:rsidP="00D561C0">
            <w:pPr>
              <w:spacing w:line="360" w:lineRule="auto"/>
              <w:jc w:val="both"/>
              <w:rPr>
                <w:rFonts w:ascii="Times New Roman" w:hAnsi="Times New Roman"/>
                <w:b/>
                <w:bCs/>
              </w:rPr>
            </w:pPr>
            <w:r w:rsidRPr="00AF117D">
              <w:rPr>
                <w:rFonts w:ascii="Times New Roman" w:hAnsi="Times New Roman"/>
                <w:b/>
                <w:bCs/>
              </w:rPr>
              <w:t>Clinical Outcome</w:t>
            </w:r>
          </w:p>
        </w:tc>
        <w:tc>
          <w:tcPr>
            <w:tcW w:w="3370" w:type="dxa"/>
          </w:tcPr>
          <w:p w14:paraId="54C84B29" w14:textId="77777777" w:rsidR="006E35FC" w:rsidRPr="00AF117D" w:rsidRDefault="006E35FC" w:rsidP="00D561C0">
            <w:pPr>
              <w:spacing w:line="360" w:lineRule="auto"/>
              <w:jc w:val="both"/>
              <w:rPr>
                <w:rFonts w:ascii="Times New Roman" w:hAnsi="Times New Roman"/>
                <w:b/>
                <w:bCs/>
              </w:rPr>
            </w:pPr>
            <w:r w:rsidRPr="00AF117D">
              <w:rPr>
                <w:rFonts w:ascii="Times New Roman" w:hAnsi="Times New Roman"/>
                <w:b/>
                <w:bCs/>
              </w:rPr>
              <w:t>Quantitative Evidence</w:t>
            </w:r>
          </w:p>
        </w:tc>
        <w:tc>
          <w:tcPr>
            <w:tcW w:w="3510" w:type="dxa"/>
          </w:tcPr>
          <w:p w14:paraId="22F851D1" w14:textId="77777777" w:rsidR="006E35FC" w:rsidRPr="00AF117D" w:rsidRDefault="006E35FC" w:rsidP="00D561C0">
            <w:pPr>
              <w:spacing w:line="360" w:lineRule="auto"/>
              <w:jc w:val="both"/>
              <w:rPr>
                <w:rFonts w:ascii="Times New Roman" w:hAnsi="Times New Roman"/>
                <w:b/>
                <w:bCs/>
              </w:rPr>
            </w:pPr>
            <w:r w:rsidRPr="00AF117D">
              <w:rPr>
                <w:rFonts w:ascii="Times New Roman" w:hAnsi="Times New Roman"/>
                <w:b/>
                <w:bCs/>
              </w:rPr>
              <w:t>Biological Interpretation</w:t>
            </w:r>
          </w:p>
        </w:tc>
        <w:tc>
          <w:tcPr>
            <w:tcW w:w="1800" w:type="dxa"/>
          </w:tcPr>
          <w:p w14:paraId="2B678450" w14:textId="77777777" w:rsidR="006E35FC" w:rsidRPr="00AF117D" w:rsidRDefault="006E35FC" w:rsidP="00D561C0">
            <w:pPr>
              <w:spacing w:line="360" w:lineRule="auto"/>
              <w:jc w:val="both"/>
              <w:rPr>
                <w:rFonts w:ascii="Times New Roman" w:hAnsi="Times New Roman"/>
                <w:b/>
                <w:bCs/>
              </w:rPr>
            </w:pPr>
            <w:r>
              <w:rPr>
                <w:rFonts w:ascii="Times New Roman" w:hAnsi="Times New Roman"/>
                <w:b/>
                <w:bCs/>
              </w:rPr>
              <w:t>References</w:t>
            </w:r>
          </w:p>
        </w:tc>
      </w:tr>
      <w:tr w:rsidR="006E35FC" w14:paraId="61C34938" w14:textId="77777777" w:rsidTr="00D561C0">
        <w:trPr>
          <w:jc w:val="center"/>
        </w:trPr>
        <w:tc>
          <w:tcPr>
            <w:tcW w:w="1945" w:type="dxa"/>
          </w:tcPr>
          <w:p w14:paraId="1B19469E"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Fertilization success (IVF)</w:t>
            </w:r>
          </w:p>
        </w:tc>
        <w:tc>
          <w:tcPr>
            <w:tcW w:w="3370" w:type="dxa"/>
          </w:tcPr>
          <w:p w14:paraId="33B6D013"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Maternal age ≥35 years has minimal effect on fertilization rates in IVF cohorts.</w:t>
            </w:r>
          </w:p>
        </w:tc>
        <w:tc>
          <w:tcPr>
            <w:tcW w:w="3510" w:type="dxa"/>
          </w:tcPr>
          <w:p w14:paraId="075936FB"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Many aged oocytes can still be fertilized, but developmental competence is compromised afterward.</w:t>
            </w:r>
          </w:p>
        </w:tc>
        <w:tc>
          <w:tcPr>
            <w:tcW w:w="1800" w:type="dxa"/>
          </w:tcPr>
          <w:p w14:paraId="049EF901" w14:textId="77777777" w:rsidR="006E35FC" w:rsidRPr="000616B1" w:rsidRDefault="006E35FC" w:rsidP="00D561C0">
            <w:pPr>
              <w:spacing w:line="360" w:lineRule="auto"/>
              <w:jc w:val="both"/>
              <w:rPr>
                <w:rFonts w:ascii="Times New Roman" w:hAnsi="Times New Roman"/>
              </w:rPr>
            </w:pPr>
            <w:r w:rsidRPr="00810B23">
              <w:rPr>
                <w:rFonts w:ascii="Times New Roman" w:hAnsi="Times New Roman"/>
              </w:rPr>
              <w:t>(Ferreira et al., 2023; Anderson et al., 2025)</w:t>
            </w:r>
            <w:r w:rsidRPr="008F2B06">
              <w:t xml:space="preserve"> </w:t>
            </w:r>
          </w:p>
        </w:tc>
      </w:tr>
      <w:tr w:rsidR="006E35FC" w14:paraId="443E4A73" w14:textId="77777777" w:rsidTr="00D561C0">
        <w:trPr>
          <w:jc w:val="center"/>
        </w:trPr>
        <w:tc>
          <w:tcPr>
            <w:tcW w:w="1945" w:type="dxa"/>
          </w:tcPr>
          <w:p w14:paraId="1BDCC97B"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Embryo cleavage and development</w:t>
            </w:r>
          </w:p>
        </w:tc>
        <w:tc>
          <w:tcPr>
            <w:tcW w:w="3370" w:type="dxa"/>
          </w:tcPr>
          <w:p w14:paraId="002A28E3"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 xml:space="preserve">Older reproductive models show higher rates of unfertilized or </w:t>
            </w:r>
            <w:proofErr w:type="spellStart"/>
            <w:r w:rsidRPr="00AF117D">
              <w:rPr>
                <w:rFonts w:ascii="Times New Roman" w:hAnsi="Times New Roman"/>
              </w:rPr>
              <w:t>uncleaved</w:t>
            </w:r>
            <w:proofErr w:type="spellEnd"/>
            <w:r w:rsidRPr="00AF117D">
              <w:rPr>
                <w:rFonts w:ascii="Times New Roman" w:hAnsi="Times New Roman"/>
              </w:rPr>
              <w:t xml:space="preserve"> oocytes (71% vs 38%).</w:t>
            </w:r>
          </w:p>
        </w:tc>
        <w:tc>
          <w:tcPr>
            <w:tcW w:w="3510" w:type="dxa"/>
          </w:tcPr>
          <w:p w14:paraId="6C6F3E97"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Cytoplasmic maturation and mitochondrial metabolism determine early embryonic progression.</w:t>
            </w:r>
          </w:p>
        </w:tc>
        <w:tc>
          <w:tcPr>
            <w:tcW w:w="1800" w:type="dxa"/>
          </w:tcPr>
          <w:p w14:paraId="02C1148E" w14:textId="77777777" w:rsidR="006E35FC" w:rsidRPr="000616B1" w:rsidRDefault="006E35FC" w:rsidP="00D561C0">
            <w:pPr>
              <w:spacing w:line="360" w:lineRule="auto"/>
              <w:jc w:val="both"/>
              <w:rPr>
                <w:rFonts w:ascii="Times New Roman" w:hAnsi="Times New Roman"/>
              </w:rPr>
            </w:pPr>
            <w:r>
              <w:rPr>
                <w:rFonts w:ascii="Times New Roman" w:hAnsi="Times New Roman"/>
              </w:rPr>
              <w:t>(</w:t>
            </w:r>
            <w:r w:rsidRPr="008F2B06">
              <w:rPr>
                <w:rFonts w:ascii="Times New Roman" w:hAnsi="Times New Roman"/>
              </w:rPr>
              <w:t>Reader et al., 2017</w:t>
            </w:r>
            <w:r>
              <w:rPr>
                <w:rFonts w:ascii="Times New Roman" w:hAnsi="Times New Roman"/>
              </w:rPr>
              <w:t xml:space="preserve">; </w:t>
            </w:r>
            <w:r w:rsidRPr="00F05FA7">
              <w:rPr>
                <w:rFonts w:ascii="Times New Roman" w:hAnsi="Times New Roman"/>
              </w:rPr>
              <w:t>Voros et al., 2025</w:t>
            </w:r>
            <w:r>
              <w:rPr>
                <w:rFonts w:ascii="Times New Roman" w:hAnsi="Times New Roman"/>
              </w:rPr>
              <w:t>)</w:t>
            </w:r>
          </w:p>
        </w:tc>
      </w:tr>
      <w:tr w:rsidR="006E35FC" w14:paraId="1F67FEFF" w14:textId="77777777" w:rsidTr="00D561C0">
        <w:trPr>
          <w:jc w:val="center"/>
        </w:trPr>
        <w:tc>
          <w:tcPr>
            <w:tcW w:w="1945" w:type="dxa"/>
          </w:tcPr>
          <w:p w14:paraId="24BB06D5"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Blastocyst formation</w:t>
            </w:r>
          </w:p>
        </w:tc>
        <w:tc>
          <w:tcPr>
            <w:tcW w:w="3370" w:type="dxa"/>
          </w:tcPr>
          <w:p w14:paraId="3601D6D2"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Mitochondrial dysfunction reduces cleavage efficiency and blastocyst formation rates.</w:t>
            </w:r>
          </w:p>
        </w:tc>
        <w:tc>
          <w:tcPr>
            <w:tcW w:w="3510" w:type="dxa"/>
          </w:tcPr>
          <w:p w14:paraId="7F9B0E07"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Energy production and cytoplasmic maturation drive embryo developmental competence.</w:t>
            </w:r>
          </w:p>
        </w:tc>
        <w:tc>
          <w:tcPr>
            <w:tcW w:w="1800" w:type="dxa"/>
          </w:tcPr>
          <w:p w14:paraId="7A761747" w14:textId="77777777" w:rsidR="006E35FC" w:rsidRPr="000616B1" w:rsidRDefault="006E35FC" w:rsidP="00D561C0">
            <w:pPr>
              <w:spacing w:line="360" w:lineRule="auto"/>
              <w:jc w:val="both"/>
              <w:rPr>
                <w:rFonts w:ascii="Times New Roman" w:hAnsi="Times New Roman"/>
              </w:rPr>
            </w:pPr>
            <w:r w:rsidRPr="00B5163E">
              <w:rPr>
                <w:rFonts w:ascii="Times New Roman" w:hAnsi="Times New Roman"/>
              </w:rPr>
              <w:t>(</w:t>
            </w:r>
            <w:proofErr w:type="spellStart"/>
            <w:r w:rsidRPr="00B5163E">
              <w:rPr>
                <w:rFonts w:ascii="Times New Roman" w:hAnsi="Times New Roman"/>
              </w:rPr>
              <w:t>Richani</w:t>
            </w:r>
            <w:proofErr w:type="spellEnd"/>
            <w:r w:rsidRPr="00B5163E">
              <w:rPr>
                <w:rFonts w:ascii="Times New Roman" w:hAnsi="Times New Roman"/>
              </w:rPr>
              <w:t xml:space="preserve"> et al., 2020</w:t>
            </w:r>
            <w:r>
              <w:rPr>
                <w:rFonts w:ascii="Times New Roman" w:hAnsi="Times New Roman"/>
              </w:rPr>
              <w:t xml:space="preserve">; </w:t>
            </w:r>
            <w:r w:rsidRPr="00B5163E">
              <w:rPr>
                <w:rFonts w:ascii="Times New Roman" w:hAnsi="Times New Roman"/>
              </w:rPr>
              <w:t>Ferreira et al., 2023)</w:t>
            </w:r>
          </w:p>
        </w:tc>
      </w:tr>
      <w:tr w:rsidR="006E35FC" w14:paraId="4C14817D" w14:textId="77777777" w:rsidTr="00D561C0">
        <w:trPr>
          <w:jc w:val="center"/>
        </w:trPr>
        <w:tc>
          <w:tcPr>
            <w:tcW w:w="1945" w:type="dxa"/>
          </w:tcPr>
          <w:p w14:paraId="73AE4E61"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Implantation success</w:t>
            </w:r>
          </w:p>
        </w:tc>
        <w:tc>
          <w:tcPr>
            <w:tcW w:w="3370" w:type="dxa"/>
          </w:tcPr>
          <w:p w14:paraId="0101E5F7"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Euploid embryo transfer shows ~45–50% implantation/live birth rates, largely independent of maternal age.</w:t>
            </w:r>
          </w:p>
        </w:tc>
        <w:tc>
          <w:tcPr>
            <w:tcW w:w="3510" w:type="dxa"/>
          </w:tcPr>
          <w:p w14:paraId="40DFD89F"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Age-related reproductive decline largely originates from the oocyte rather than the uterus.</w:t>
            </w:r>
          </w:p>
        </w:tc>
        <w:tc>
          <w:tcPr>
            <w:tcW w:w="1800" w:type="dxa"/>
          </w:tcPr>
          <w:p w14:paraId="668625D3" w14:textId="77777777" w:rsidR="006E35FC" w:rsidRDefault="006E35FC" w:rsidP="00D561C0">
            <w:pPr>
              <w:spacing w:line="360" w:lineRule="auto"/>
              <w:jc w:val="both"/>
              <w:rPr>
                <w:rFonts w:ascii="Times New Roman" w:hAnsi="Times New Roman"/>
              </w:rPr>
            </w:pPr>
            <w:r w:rsidRPr="00B5163E">
              <w:rPr>
                <w:rFonts w:ascii="Times New Roman" w:hAnsi="Times New Roman"/>
              </w:rPr>
              <w:t>(Anderson et al., 2025</w:t>
            </w:r>
            <w:r>
              <w:rPr>
                <w:rFonts w:ascii="Times New Roman" w:hAnsi="Times New Roman"/>
              </w:rPr>
              <w:t xml:space="preserve">; </w:t>
            </w:r>
            <w:proofErr w:type="spellStart"/>
            <w:r w:rsidRPr="00B5163E">
              <w:rPr>
                <w:rFonts w:ascii="Times New Roman" w:hAnsi="Times New Roman"/>
              </w:rPr>
              <w:t>Petrogiannis</w:t>
            </w:r>
            <w:proofErr w:type="spellEnd"/>
            <w:r w:rsidRPr="00B5163E">
              <w:rPr>
                <w:rFonts w:ascii="Times New Roman" w:hAnsi="Times New Roman"/>
              </w:rPr>
              <w:t xml:space="preserve"> et al., 2025)</w:t>
            </w:r>
          </w:p>
          <w:p w14:paraId="436601B1" w14:textId="77777777" w:rsidR="006E35FC" w:rsidRDefault="006E35FC" w:rsidP="00D561C0">
            <w:pPr>
              <w:rPr>
                <w:rFonts w:ascii="Times New Roman" w:hAnsi="Times New Roman"/>
              </w:rPr>
            </w:pPr>
          </w:p>
          <w:p w14:paraId="3B5BCEAC" w14:textId="77777777" w:rsidR="006E35FC" w:rsidRPr="00B5163E" w:rsidRDefault="006E35FC" w:rsidP="00D561C0">
            <w:pPr>
              <w:jc w:val="center"/>
              <w:rPr>
                <w:rFonts w:ascii="Times New Roman" w:hAnsi="Times New Roman"/>
              </w:rPr>
            </w:pPr>
          </w:p>
        </w:tc>
      </w:tr>
      <w:tr w:rsidR="006E35FC" w14:paraId="762164E7" w14:textId="77777777" w:rsidTr="00D561C0">
        <w:trPr>
          <w:jc w:val="center"/>
        </w:trPr>
        <w:tc>
          <w:tcPr>
            <w:tcW w:w="1945" w:type="dxa"/>
          </w:tcPr>
          <w:p w14:paraId="49B86C8E"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lastRenderedPageBreak/>
              <w:t>Embryonic aneuploidy</w:t>
            </w:r>
          </w:p>
        </w:tc>
        <w:tc>
          <w:tcPr>
            <w:tcW w:w="3370" w:type="dxa"/>
          </w:tcPr>
          <w:p w14:paraId="43295CC0"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Aneuploid blastocysts rise from ~30% (&lt;35 years) to &gt;90% (&gt;44 years).</w:t>
            </w:r>
          </w:p>
        </w:tc>
        <w:tc>
          <w:tcPr>
            <w:tcW w:w="3510" w:type="dxa"/>
          </w:tcPr>
          <w:p w14:paraId="24D8116F"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Age-related cohesion loss and spindle instability increase chromosome segregation errors.</w:t>
            </w:r>
          </w:p>
        </w:tc>
        <w:tc>
          <w:tcPr>
            <w:tcW w:w="1800" w:type="dxa"/>
          </w:tcPr>
          <w:p w14:paraId="1021A771" w14:textId="77777777" w:rsidR="006E35FC" w:rsidRPr="000616B1" w:rsidRDefault="006E35FC" w:rsidP="00D561C0">
            <w:pPr>
              <w:spacing w:line="360" w:lineRule="auto"/>
              <w:jc w:val="both"/>
              <w:rPr>
                <w:rFonts w:ascii="Times New Roman" w:hAnsi="Times New Roman"/>
              </w:rPr>
            </w:pPr>
            <w:r w:rsidRPr="00040509">
              <w:rPr>
                <w:rFonts w:ascii="Times New Roman" w:hAnsi="Times New Roman"/>
              </w:rPr>
              <w:t>(Ferreira et al., 2023</w:t>
            </w:r>
            <w:r>
              <w:rPr>
                <w:rFonts w:ascii="Times New Roman" w:hAnsi="Times New Roman"/>
              </w:rPr>
              <w:t xml:space="preserve">; </w:t>
            </w:r>
            <w:r w:rsidRPr="00040509">
              <w:rPr>
                <w:rFonts w:ascii="Times New Roman" w:hAnsi="Times New Roman"/>
              </w:rPr>
              <w:t>Baldini et al., 2024)</w:t>
            </w:r>
          </w:p>
        </w:tc>
      </w:tr>
      <w:tr w:rsidR="006E35FC" w14:paraId="59627417" w14:textId="77777777" w:rsidTr="00D561C0">
        <w:trPr>
          <w:jc w:val="center"/>
        </w:trPr>
        <w:tc>
          <w:tcPr>
            <w:tcW w:w="1945" w:type="dxa"/>
          </w:tcPr>
          <w:p w14:paraId="7A28DD5D"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IVF live birth rates</w:t>
            </w:r>
          </w:p>
        </w:tc>
        <w:tc>
          <w:tcPr>
            <w:tcW w:w="3370" w:type="dxa"/>
          </w:tcPr>
          <w:p w14:paraId="0CC124E9"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Live birth rates decrease from ~46.8% (&lt;35 years) to ~3.1% (&gt;42 years).</w:t>
            </w:r>
          </w:p>
        </w:tc>
        <w:tc>
          <w:tcPr>
            <w:tcW w:w="3510" w:type="dxa"/>
          </w:tcPr>
          <w:p w14:paraId="68B1B650"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Reduced oocyte competence leads to fewer viable embryos and higher miscarriage rates.</w:t>
            </w:r>
          </w:p>
        </w:tc>
        <w:tc>
          <w:tcPr>
            <w:tcW w:w="1800" w:type="dxa"/>
          </w:tcPr>
          <w:p w14:paraId="04AC19B2" w14:textId="77777777" w:rsidR="006E35FC" w:rsidRPr="000616B1" w:rsidRDefault="006E35FC" w:rsidP="00D561C0">
            <w:pPr>
              <w:spacing w:line="360" w:lineRule="auto"/>
              <w:jc w:val="both"/>
              <w:rPr>
                <w:rFonts w:ascii="Times New Roman" w:hAnsi="Times New Roman"/>
              </w:rPr>
            </w:pPr>
            <w:r>
              <w:rPr>
                <w:rFonts w:ascii="Times New Roman" w:hAnsi="Times New Roman"/>
              </w:rPr>
              <w:t xml:space="preserve">(Jiang, 2023; </w:t>
            </w:r>
            <w:r w:rsidRPr="009B1EDF">
              <w:rPr>
                <w:rFonts w:ascii="Times New Roman" w:hAnsi="Times New Roman"/>
              </w:rPr>
              <w:t>Kayanja</w:t>
            </w:r>
            <w:r>
              <w:rPr>
                <w:rFonts w:ascii="Times New Roman" w:hAnsi="Times New Roman"/>
              </w:rPr>
              <w:t xml:space="preserve"> et al., 2024)</w:t>
            </w:r>
          </w:p>
        </w:tc>
      </w:tr>
      <w:tr w:rsidR="006E35FC" w14:paraId="38692EA5" w14:textId="77777777" w:rsidTr="00D561C0">
        <w:trPr>
          <w:jc w:val="center"/>
        </w:trPr>
        <w:tc>
          <w:tcPr>
            <w:tcW w:w="1945" w:type="dxa"/>
          </w:tcPr>
          <w:p w14:paraId="310C7990"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Miscarriage risk</w:t>
            </w:r>
          </w:p>
        </w:tc>
        <w:tc>
          <w:tcPr>
            <w:tcW w:w="3370" w:type="dxa"/>
          </w:tcPr>
          <w:p w14:paraId="46A04FAC"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&gt;90% of embryonic chromosomal abnormalities originate from maternal meiotic errors.</w:t>
            </w:r>
          </w:p>
        </w:tc>
        <w:tc>
          <w:tcPr>
            <w:tcW w:w="3510" w:type="dxa"/>
          </w:tcPr>
          <w:p w14:paraId="0F1D4278"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Age-related spindle defects and cohesion loss drive miscarriage risk.</w:t>
            </w:r>
          </w:p>
        </w:tc>
        <w:tc>
          <w:tcPr>
            <w:tcW w:w="1800" w:type="dxa"/>
          </w:tcPr>
          <w:p w14:paraId="708BA5EB" w14:textId="77777777" w:rsidR="006E35FC" w:rsidRPr="000616B1" w:rsidRDefault="006E35FC" w:rsidP="00D561C0">
            <w:pPr>
              <w:spacing w:line="360" w:lineRule="auto"/>
              <w:jc w:val="both"/>
              <w:rPr>
                <w:rFonts w:ascii="Times New Roman" w:hAnsi="Times New Roman"/>
              </w:rPr>
            </w:pPr>
            <w:r w:rsidRPr="002726A4">
              <w:rPr>
                <w:rFonts w:ascii="Times New Roman" w:hAnsi="Times New Roman"/>
              </w:rPr>
              <w:t>(Sasaki et al., 2019</w:t>
            </w:r>
            <w:r>
              <w:rPr>
                <w:rFonts w:ascii="Times New Roman" w:hAnsi="Times New Roman"/>
              </w:rPr>
              <w:t xml:space="preserve">; </w:t>
            </w:r>
            <w:proofErr w:type="spellStart"/>
            <w:r w:rsidRPr="002726A4">
              <w:rPr>
                <w:rFonts w:ascii="Times New Roman" w:hAnsi="Times New Roman"/>
              </w:rPr>
              <w:t>Petrogiannis</w:t>
            </w:r>
            <w:proofErr w:type="spellEnd"/>
            <w:r w:rsidRPr="002726A4">
              <w:rPr>
                <w:rFonts w:ascii="Times New Roman" w:hAnsi="Times New Roman"/>
              </w:rPr>
              <w:t xml:space="preserve"> et al., 2025)</w:t>
            </w:r>
          </w:p>
        </w:tc>
      </w:tr>
    </w:tbl>
    <w:p w14:paraId="4328E7E7" w14:textId="77777777" w:rsidR="008F719E" w:rsidRDefault="008F719E" w:rsidP="008F719E">
      <w:pPr>
        <w:spacing w:line="360" w:lineRule="auto"/>
        <w:jc w:val="both"/>
        <w:rPr>
          <w:rFonts w:ascii="Times New Roman" w:hAnsi="Times New Roman"/>
          <w:b/>
          <w:bCs/>
        </w:rPr>
      </w:pPr>
    </w:p>
    <w:p w14:paraId="4C4E706F" w14:textId="1E48F4C7" w:rsidR="006E35FC" w:rsidRPr="007249FD" w:rsidRDefault="006E35FC" w:rsidP="007249FD">
      <w:pPr>
        <w:pStyle w:val="ListParagraph"/>
        <w:numPr>
          <w:ilvl w:val="1"/>
          <w:numId w:val="38"/>
        </w:numPr>
        <w:spacing w:line="360" w:lineRule="auto"/>
        <w:jc w:val="both"/>
        <w:rPr>
          <w:rFonts w:ascii="Times New Roman" w:hAnsi="Times New Roman"/>
          <w:b/>
          <w:bCs/>
        </w:rPr>
      </w:pPr>
      <w:r w:rsidRPr="007249FD">
        <w:rPr>
          <w:rFonts w:ascii="Times New Roman" w:hAnsi="Times New Roman"/>
          <w:b/>
          <w:bCs/>
        </w:rPr>
        <w:t>Embryo Developmental Potential and Cleavage Competence</w:t>
      </w:r>
    </w:p>
    <w:p w14:paraId="5D8E2F16" w14:textId="77777777" w:rsidR="007249FD" w:rsidRDefault="006E35FC" w:rsidP="007249FD">
      <w:pPr>
        <w:spacing w:line="360" w:lineRule="auto"/>
        <w:jc w:val="both"/>
        <w:rPr>
          <w:rFonts w:ascii="Times New Roman" w:hAnsi="Times New Roman"/>
        </w:rPr>
      </w:pPr>
      <w:r w:rsidRPr="00F05FA7">
        <w:rPr>
          <w:rFonts w:ascii="Times New Roman" w:hAnsi="Times New Roman"/>
        </w:rPr>
        <w:t>After fertilization, developmental potential depends strongly on the oocyte’s stored cytoplasmic resources (maternal RNAs/proteins, mitochondria, organelles) that must sustain development until embryonic genome activation. Failures in maturation synchrony can impair the maternal-to-embryonic transition and compromise embryo progression, reinforcing the concept that competence is “loaded” into the oocyte well before fertilization (Innocenti et al., 2022). Pathophysiologic follicular environments provide convergent mechanistic support: oxidative and inflammatory insults can compromise cytoplasmic maturation, mitochondrial integrity, and spindle stability, producing embryos with reduced cleavage competence or inferior developmental quality in at least some cohorts (Voros et al., 2025).</w:t>
      </w:r>
    </w:p>
    <w:p w14:paraId="3A45B899" w14:textId="7A9D9DBB" w:rsidR="006E35FC" w:rsidRPr="007249FD" w:rsidRDefault="007249FD" w:rsidP="007249FD">
      <w:pPr>
        <w:spacing w:line="360" w:lineRule="auto"/>
        <w:jc w:val="both"/>
        <w:rPr>
          <w:rFonts w:ascii="Times New Roman" w:hAnsi="Times New Roman"/>
          <w:b/>
          <w:bCs/>
        </w:rPr>
      </w:pPr>
      <w:r w:rsidRPr="007249FD">
        <w:rPr>
          <w:rFonts w:ascii="Times New Roman" w:hAnsi="Times New Roman"/>
          <w:b/>
          <w:bCs/>
        </w:rPr>
        <w:t>4.2</w:t>
      </w:r>
      <w:r w:rsidRPr="007249FD">
        <w:rPr>
          <w:rFonts w:ascii="Times New Roman" w:hAnsi="Times New Roman"/>
          <w:b/>
          <w:bCs/>
        </w:rPr>
        <w:tab/>
      </w:r>
      <w:r w:rsidR="006E35FC" w:rsidRPr="007249FD">
        <w:rPr>
          <w:rFonts w:ascii="Times New Roman" w:hAnsi="Times New Roman"/>
          <w:b/>
          <w:bCs/>
        </w:rPr>
        <w:t>Blastocyst Formation</w:t>
      </w:r>
    </w:p>
    <w:p w14:paraId="16AB96FD" w14:textId="361B3115" w:rsidR="008F719E" w:rsidRDefault="006E35FC" w:rsidP="008F719E">
      <w:pPr>
        <w:spacing w:line="360" w:lineRule="auto"/>
        <w:jc w:val="both"/>
        <w:rPr>
          <w:rFonts w:ascii="Times New Roman" w:hAnsi="Times New Roman"/>
        </w:rPr>
      </w:pPr>
      <w:r w:rsidRPr="00F05FA7">
        <w:rPr>
          <w:rFonts w:ascii="Times New Roman" w:hAnsi="Times New Roman"/>
        </w:rPr>
        <w:t xml:space="preserve">Across animal and human-assisted reproduction contexts, blastocyst formation is frequently used as an operational readout of “intrinsic” competence because it </w:t>
      </w:r>
      <w:proofErr w:type="spellStart"/>
      <w:r w:rsidRPr="00F05FA7">
        <w:rPr>
          <w:rFonts w:ascii="Times New Roman" w:hAnsi="Times New Roman"/>
        </w:rPr>
        <w:t>minimi</w:t>
      </w:r>
      <w:r w:rsidR="005A7345">
        <w:rPr>
          <w:rFonts w:ascii="Times New Roman" w:hAnsi="Times New Roman"/>
        </w:rPr>
        <w:t>s</w:t>
      </w:r>
      <w:r w:rsidRPr="00F05FA7">
        <w:rPr>
          <w:rFonts w:ascii="Times New Roman" w:hAnsi="Times New Roman"/>
        </w:rPr>
        <w:t>es</w:t>
      </w:r>
      <w:proofErr w:type="spellEnd"/>
      <w:r w:rsidRPr="00F05FA7">
        <w:rPr>
          <w:rFonts w:ascii="Times New Roman" w:hAnsi="Times New Roman"/>
        </w:rPr>
        <w:t xml:space="preserve"> uterine confounding. Even here, blastocyst yields remain limited and sensitive to both oocyte starting quality and the immediate microenvironment—underscoring that competence is shaped by peri-maturation conditions as well as intrinsic oocyte state (Reader et al., 2017). Maternal age introduces a characteristic pattern: age-related impairment may cause only a modest reduction in developmental progression to blastocyst, yet a marked increase in blastocyst aneuploidy through meiotic mis-segregation—decoupling “</w:t>
      </w:r>
      <w:proofErr w:type="spellStart"/>
      <w:r w:rsidRPr="00F05FA7">
        <w:rPr>
          <w:rFonts w:ascii="Times New Roman" w:hAnsi="Times New Roman"/>
        </w:rPr>
        <w:t>blastulation</w:t>
      </w:r>
      <w:proofErr w:type="spellEnd"/>
      <w:r w:rsidRPr="00F05FA7">
        <w:rPr>
          <w:rFonts w:ascii="Times New Roman" w:hAnsi="Times New Roman"/>
        </w:rPr>
        <w:t>” from “chromosomal competence” (Ferreira et al., 2023).</w:t>
      </w:r>
    </w:p>
    <w:p w14:paraId="48FF3B1D" w14:textId="3E59FB7F" w:rsidR="006E35FC" w:rsidRPr="007249FD" w:rsidRDefault="007249FD" w:rsidP="007249FD">
      <w:pPr>
        <w:spacing w:line="360" w:lineRule="auto"/>
        <w:jc w:val="both"/>
        <w:rPr>
          <w:rFonts w:ascii="Times New Roman" w:hAnsi="Times New Roman"/>
          <w:b/>
          <w:bCs/>
        </w:rPr>
      </w:pPr>
      <w:r>
        <w:rPr>
          <w:rFonts w:ascii="Times New Roman" w:hAnsi="Times New Roman"/>
          <w:b/>
          <w:bCs/>
        </w:rPr>
        <w:t>4.3</w:t>
      </w:r>
      <w:r>
        <w:rPr>
          <w:rFonts w:ascii="Times New Roman" w:hAnsi="Times New Roman"/>
          <w:b/>
          <w:bCs/>
        </w:rPr>
        <w:tab/>
      </w:r>
      <w:r w:rsidR="006E35FC" w:rsidRPr="007249FD">
        <w:rPr>
          <w:rFonts w:ascii="Times New Roman" w:hAnsi="Times New Roman"/>
          <w:b/>
          <w:bCs/>
        </w:rPr>
        <w:t>Implantation success</w:t>
      </w:r>
    </w:p>
    <w:p w14:paraId="1117CFE6" w14:textId="77777777" w:rsidR="008F719E" w:rsidRDefault="006E35FC" w:rsidP="008F719E">
      <w:pPr>
        <w:spacing w:line="360" w:lineRule="auto"/>
        <w:jc w:val="both"/>
        <w:rPr>
          <w:rFonts w:ascii="Times New Roman" w:hAnsi="Times New Roman"/>
        </w:rPr>
      </w:pPr>
      <w:r w:rsidRPr="00F05FA7">
        <w:rPr>
          <w:rFonts w:ascii="Times New Roman" w:hAnsi="Times New Roman"/>
        </w:rPr>
        <w:t xml:space="preserve">Implantation represents a major selection bottleneck where oocyte-derived competence intersects with embryo–endometrium crosstalk. Evidence across systems indicates that poor oocyte competence can </w:t>
      </w:r>
      <w:r w:rsidRPr="00F05FA7">
        <w:rPr>
          <w:rFonts w:ascii="Times New Roman" w:hAnsi="Times New Roman"/>
        </w:rPr>
        <w:lastRenderedPageBreak/>
        <w:t>contribute to both pre- and post-implantation losses; in livestock models, substantial embryo loss occurs early in gestation, consistent with vulnerabilities established before implantation and influenced by both the oocyte and reproductive tract environment (</w:t>
      </w:r>
      <w:proofErr w:type="spellStart"/>
      <w:r w:rsidRPr="00F05FA7">
        <w:rPr>
          <w:rFonts w:ascii="Times New Roman" w:hAnsi="Times New Roman"/>
        </w:rPr>
        <w:t>Mermillod</w:t>
      </w:r>
      <w:proofErr w:type="spellEnd"/>
      <w:r w:rsidRPr="00F05FA7">
        <w:rPr>
          <w:rFonts w:ascii="Times New Roman" w:hAnsi="Times New Roman"/>
        </w:rPr>
        <w:t xml:space="preserve"> et al., 2019).</w:t>
      </w:r>
      <w:r>
        <w:rPr>
          <w:rFonts w:ascii="Times New Roman" w:hAnsi="Times New Roman"/>
        </w:rPr>
        <w:t xml:space="preserve"> </w:t>
      </w:r>
      <w:r w:rsidRPr="00F05FA7">
        <w:rPr>
          <w:rFonts w:ascii="Times New Roman" w:hAnsi="Times New Roman"/>
        </w:rPr>
        <w:t xml:space="preserve">Clinical heterogeneity is especially visible in inflammatory disease contexts: in endometriosis, some studies report lower implantation and morphological/spindle abnormalities, while other controlled ART series report comparable fertilization, </w:t>
      </w:r>
      <w:proofErr w:type="spellStart"/>
      <w:r w:rsidRPr="00F05FA7">
        <w:rPr>
          <w:rFonts w:ascii="Times New Roman" w:hAnsi="Times New Roman"/>
        </w:rPr>
        <w:t>blastulation</w:t>
      </w:r>
      <w:proofErr w:type="spellEnd"/>
      <w:r w:rsidRPr="00F05FA7">
        <w:rPr>
          <w:rFonts w:ascii="Times New Roman" w:hAnsi="Times New Roman"/>
        </w:rPr>
        <w:t>, euploidy, pregnancy, and live birth—suggesting that implantation outcomes depend on disease phenotype, study design covariates (age/reserve/stimulation), and whether “oocyte effects” vs “endometrial effects” dominate in a given cohort (Moreno et al., 2023).</w:t>
      </w:r>
    </w:p>
    <w:p w14:paraId="64F904F5" w14:textId="77777777" w:rsidR="008F719E" w:rsidRDefault="008F719E" w:rsidP="008F719E">
      <w:pPr>
        <w:spacing w:line="360" w:lineRule="auto"/>
        <w:jc w:val="both"/>
        <w:rPr>
          <w:rFonts w:ascii="Times New Roman" w:hAnsi="Times New Roman"/>
        </w:rPr>
      </w:pPr>
    </w:p>
    <w:p w14:paraId="3FE9067F" w14:textId="07D2013C" w:rsidR="006E35FC" w:rsidRPr="008F719E" w:rsidRDefault="007249FD" w:rsidP="008F719E">
      <w:pPr>
        <w:spacing w:line="360" w:lineRule="auto"/>
        <w:jc w:val="both"/>
        <w:rPr>
          <w:rFonts w:ascii="Times New Roman" w:hAnsi="Times New Roman"/>
          <w:b/>
          <w:bCs/>
        </w:rPr>
      </w:pPr>
      <w:r>
        <w:rPr>
          <w:rFonts w:ascii="Times New Roman" w:hAnsi="Times New Roman"/>
          <w:b/>
          <w:bCs/>
        </w:rPr>
        <w:t>4.4</w:t>
      </w:r>
      <w:r>
        <w:rPr>
          <w:rFonts w:ascii="Times New Roman" w:hAnsi="Times New Roman"/>
          <w:b/>
          <w:bCs/>
        </w:rPr>
        <w:tab/>
      </w:r>
      <w:r w:rsidR="006E35FC" w:rsidRPr="008F719E">
        <w:rPr>
          <w:rFonts w:ascii="Times New Roman" w:hAnsi="Times New Roman"/>
          <w:b/>
          <w:bCs/>
        </w:rPr>
        <w:t>IVF Outcomes (Oocyte Selection, Embryo Quality, Euploidy, Live Birth)</w:t>
      </w:r>
    </w:p>
    <w:p w14:paraId="69AB1EF6" w14:textId="77777777" w:rsidR="006E35FC" w:rsidRPr="00F05FA7" w:rsidRDefault="006E35FC" w:rsidP="006E35FC">
      <w:pPr>
        <w:spacing w:line="360" w:lineRule="auto"/>
        <w:jc w:val="both"/>
        <w:rPr>
          <w:rFonts w:ascii="Times New Roman" w:hAnsi="Times New Roman"/>
        </w:rPr>
      </w:pPr>
      <w:r w:rsidRPr="00F05FA7">
        <w:rPr>
          <w:rFonts w:ascii="Times New Roman" w:hAnsi="Times New Roman"/>
        </w:rPr>
        <w:t>In IVF, oocyte competence manifests as an increased probability of producing usable embryos and achieving pregnancy/live birth, but the literature repeatedly warns that morphology alone is an imperfect proxy. This has driven the development of cumulus/granulosa “molecular readouts” aimed at capturing maturation competence and downstream embryo potential (</w:t>
      </w:r>
      <w:proofErr w:type="spellStart"/>
      <w:r w:rsidRPr="00F05FA7">
        <w:rPr>
          <w:rFonts w:ascii="Times New Roman" w:hAnsi="Times New Roman"/>
        </w:rPr>
        <w:t>Sciorio</w:t>
      </w:r>
      <w:proofErr w:type="spellEnd"/>
      <w:r w:rsidRPr="00F05FA7">
        <w:rPr>
          <w:rFonts w:ascii="Times New Roman" w:hAnsi="Times New Roman"/>
        </w:rPr>
        <w:t xml:space="preserve"> et al., 2022). Notably, several cumulus-associated markers tie competence to IVF endpoints: levels of oocyte paracrine factors (e.g., GDF9/BMP15) are reported to correlate with oocyte maturation and embryo quality, and certain steroid/metabolic pathway markers (e.g., PAPPA) have been associated with euploid embryos and live birth in specific datasets—collectively supporting the premise that competence is reflected in somatic “support-cell” programs that modulate oocyte maturation and embryo developmental capacity (Massoud et al., 2023).</w:t>
      </w:r>
    </w:p>
    <w:p w14:paraId="64CFB8A1" w14:textId="77777777" w:rsidR="006E35FC" w:rsidRDefault="006E35FC" w:rsidP="006E35FC">
      <w:pPr>
        <w:spacing w:line="360" w:lineRule="auto"/>
        <w:jc w:val="both"/>
        <w:rPr>
          <w:rFonts w:ascii="Times New Roman" w:hAnsi="Times New Roman"/>
        </w:rPr>
      </w:pPr>
      <w:r w:rsidRPr="00F05FA7">
        <w:rPr>
          <w:rFonts w:ascii="Times New Roman" w:hAnsi="Times New Roman"/>
        </w:rPr>
        <w:t>Early embryonic loss can reflect competence failures that are not always detectable at fertilization or even at early cleavage, because subtle defects in cytoplasmic reserves, mitochondrial function, chromosomal integrity, or maternal transcript provisioning may only become limiting at later preimplantation transitions or peri-implantation demands (De Oliveira et al., 2025). Consistent with this, substantial early losses occur in the first weeks of pregnancy in animal models, and competence limitations can influence post-implantation survival depending on oocyte origin/quality (</w:t>
      </w:r>
      <w:proofErr w:type="spellStart"/>
      <w:r w:rsidRPr="00F05FA7">
        <w:rPr>
          <w:rFonts w:ascii="Times New Roman" w:hAnsi="Times New Roman"/>
        </w:rPr>
        <w:t>Mermillod</w:t>
      </w:r>
      <w:proofErr w:type="spellEnd"/>
      <w:r w:rsidRPr="00F05FA7">
        <w:rPr>
          <w:rFonts w:ascii="Times New Roman" w:hAnsi="Times New Roman"/>
        </w:rPr>
        <w:t xml:space="preserve"> et al., 2019). Maternal age provides a mechanistically coherent explanation for increased miscarriage: age-associated processes converge on meiotic error and elevated blastocyst aneuploidy, which in turn increases miscarriage risk and reduces fertility</w:t>
      </w:r>
      <w:r>
        <w:rPr>
          <w:rFonts w:ascii="Times New Roman" w:hAnsi="Times New Roman"/>
        </w:rPr>
        <w:t xml:space="preserve">; </w:t>
      </w:r>
      <w:r w:rsidRPr="00F05FA7">
        <w:rPr>
          <w:rFonts w:ascii="Times New Roman" w:hAnsi="Times New Roman"/>
        </w:rPr>
        <w:t>even when fertilization and early development appear relatively preserved (Ferreira et al., 2023).</w:t>
      </w:r>
    </w:p>
    <w:p w14:paraId="0FEADC99" w14:textId="77777777" w:rsidR="006E35FC" w:rsidRDefault="006E35FC" w:rsidP="006E35FC">
      <w:pPr>
        <w:spacing w:line="360" w:lineRule="auto"/>
        <w:jc w:val="both"/>
        <w:rPr>
          <w:rFonts w:ascii="Times New Roman" w:hAnsi="Times New Roman"/>
          <w:b/>
          <w:bCs/>
        </w:rPr>
      </w:pPr>
      <w:r w:rsidRPr="00770430">
        <w:rPr>
          <w:rFonts w:ascii="Times New Roman" w:hAnsi="Times New Roman"/>
          <w:b/>
          <w:bCs/>
        </w:rPr>
        <w:t>5.</w:t>
      </w:r>
      <w:r w:rsidRPr="00770430">
        <w:rPr>
          <w:rFonts w:ascii="Times New Roman" w:hAnsi="Times New Roman"/>
          <w:b/>
          <w:bCs/>
        </w:rPr>
        <w:tab/>
        <w:t>Impact of Reproductive Aging on Oocyte Competence</w:t>
      </w:r>
    </w:p>
    <w:p w14:paraId="401D8078" w14:textId="77777777" w:rsidR="006E35FC" w:rsidRDefault="006E35FC" w:rsidP="006E35FC">
      <w:pPr>
        <w:spacing w:line="360" w:lineRule="auto"/>
        <w:jc w:val="both"/>
        <w:rPr>
          <w:rFonts w:ascii="Times New Roman" w:hAnsi="Times New Roman"/>
        </w:rPr>
      </w:pPr>
      <w:r w:rsidRPr="00770430">
        <w:rPr>
          <w:rFonts w:ascii="Times New Roman" w:hAnsi="Times New Roman"/>
        </w:rPr>
        <w:t xml:space="preserve">Reproductive aging reduces fertility through a dual process: quantitative loss of the follicle pool and qualitative deterioration of oocyte developmental competence. Mechanistically, aging perturbs the integrated oocyte–cumulus unit and its regulatory networks, producing deficits in metabolism, redox homeostasis, genome maintenance, and meiotic fidelity that collectively lower embryo developmental </w:t>
      </w:r>
      <w:r w:rsidRPr="00770430">
        <w:rPr>
          <w:rFonts w:ascii="Times New Roman" w:hAnsi="Times New Roman"/>
        </w:rPr>
        <w:lastRenderedPageBreak/>
        <w:t>potential and increase miscarriage risk. Consistent with this systems view, age-related competence loss is repeatedly linked to oxidative stress and DNA damage, as well as impaired metabolic and meiotic competence (Ferreira et al., 2023). Endocrine changes, including altered follicular signaling dynamics, have also been proposed to contribute to declining oocyte quality with age (Anderson et al., 2025).</w:t>
      </w:r>
    </w:p>
    <w:p w14:paraId="3F2A7BBD" w14:textId="77777777" w:rsidR="007A63E4" w:rsidRDefault="007A63E4" w:rsidP="006E35FC">
      <w:pPr>
        <w:spacing w:line="360" w:lineRule="auto"/>
        <w:jc w:val="both"/>
        <w:rPr>
          <w:rFonts w:ascii="Times New Roman" w:hAnsi="Times New Roman"/>
        </w:rPr>
      </w:pPr>
    </w:p>
    <w:p w14:paraId="46CBCE53" w14:textId="20B8BE7C" w:rsidR="007A63E4" w:rsidRDefault="007A63E4" w:rsidP="007A63E4">
      <w:pPr>
        <w:spacing w:line="360" w:lineRule="auto"/>
        <w:jc w:val="center"/>
        <w:rPr>
          <w:rFonts w:ascii="Times New Roman" w:hAnsi="Times New Roman"/>
        </w:rPr>
      </w:pPr>
      <w:r>
        <w:rPr>
          <w:rFonts w:ascii="Times New Roman" w:hAnsi="Times New Roman"/>
        </w:rPr>
        <w:t>Figure</w:t>
      </w:r>
      <w:r w:rsidR="00EC6227">
        <w:rPr>
          <w:rFonts w:ascii="Times New Roman" w:hAnsi="Times New Roman"/>
        </w:rPr>
        <w:t xml:space="preserve"> 2.</w:t>
      </w:r>
      <w:r w:rsidR="008C24A0">
        <w:rPr>
          <w:rFonts w:ascii="Times New Roman" w:hAnsi="Times New Roman"/>
        </w:rPr>
        <w:t xml:space="preserve"> Impact of reproductive ageing on oocyte competence</w:t>
      </w:r>
    </w:p>
    <w:p w14:paraId="46D65FD9" w14:textId="77777777" w:rsidR="006E35FC" w:rsidRDefault="006E35FC" w:rsidP="006E35FC">
      <w:pPr>
        <w:spacing w:line="360" w:lineRule="auto"/>
        <w:jc w:val="both"/>
        <w:rPr>
          <w:rFonts w:ascii="Times New Roman" w:hAnsi="Times New Roman"/>
        </w:rPr>
      </w:pPr>
    </w:p>
    <w:p w14:paraId="2927E305" w14:textId="77777777" w:rsidR="006E35FC" w:rsidRDefault="006E35FC" w:rsidP="006E35FC">
      <w:pPr>
        <w:spacing w:line="360" w:lineRule="auto"/>
        <w:jc w:val="both"/>
        <w:rPr>
          <w:rFonts w:ascii="Times New Roman" w:hAnsi="Times New Roman"/>
        </w:rPr>
      </w:pPr>
    </w:p>
    <w:p w14:paraId="7A3D12D3" w14:textId="77777777" w:rsidR="006E35FC" w:rsidRPr="00770430" w:rsidRDefault="006E35FC" w:rsidP="006E35FC">
      <w:pPr>
        <w:spacing w:line="360" w:lineRule="auto"/>
        <w:jc w:val="both"/>
        <w:rPr>
          <w:rFonts w:ascii="Times New Roman" w:hAnsi="Times New Roman"/>
          <w:b/>
          <w:bCs/>
        </w:rPr>
      </w:pPr>
      <w:r w:rsidRPr="00797243">
        <w:rPr>
          <w:rFonts w:ascii="Times New Roman" w:hAnsi="Times New Roman"/>
          <w:b/>
          <w:bCs/>
          <w:noProof/>
        </w:rPr>
        <w:drawing>
          <wp:anchor distT="0" distB="0" distL="114300" distR="114300" simplePos="0" relativeHeight="251658240" behindDoc="1" locked="0" layoutInCell="1" allowOverlap="1" wp14:anchorId="55B4139E" wp14:editId="78617880">
            <wp:simplePos x="0" y="0"/>
            <wp:positionH relativeFrom="column">
              <wp:posOffset>281940</wp:posOffset>
            </wp:positionH>
            <wp:positionV relativeFrom="paragraph">
              <wp:posOffset>7620</wp:posOffset>
            </wp:positionV>
            <wp:extent cx="5181600" cy="3360420"/>
            <wp:effectExtent l="0" t="0" r="0" b="0"/>
            <wp:wrapTight wrapText="bothSides">
              <wp:wrapPolygon edited="0">
                <wp:start x="0" y="0"/>
                <wp:lineTo x="0" y="21429"/>
                <wp:lineTo x="21521" y="21429"/>
                <wp:lineTo x="21521" y="0"/>
                <wp:lineTo x="0" y="0"/>
              </wp:wrapPolygon>
            </wp:wrapTight>
            <wp:docPr id="1913503357" name="Picture 2" descr="The image illustrates a hierarchical diagram showing the impact of aging on oocyte quality, detailing the various factors such as maternal age, chromosomal fragmentation, and epigenetic changes, leading to a higher risk of aneuploidy and impaired oocyte division and developmental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03357" name="Picture 2" descr="The image illustrates a hierarchical diagram showing the impact of aging on oocyte quality, detailing the various factors such as maternal age, chromosomal fragmentation, and epigenetic changes, leading to a higher risk of aneuploidy and impaired oocyte division and developmental potenti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82AF5" w14:textId="77777777" w:rsidR="006E35FC" w:rsidRDefault="006E35FC" w:rsidP="006E35FC">
      <w:pPr>
        <w:pStyle w:val="ListParagraph"/>
        <w:spacing w:line="360" w:lineRule="auto"/>
        <w:jc w:val="both"/>
        <w:rPr>
          <w:rFonts w:ascii="Times New Roman" w:hAnsi="Times New Roman" w:cs="Times New Roman"/>
          <w:b/>
          <w:bCs/>
        </w:rPr>
      </w:pPr>
    </w:p>
    <w:p w14:paraId="1864A7B0" w14:textId="77777777" w:rsidR="006E35FC" w:rsidRDefault="006E35FC" w:rsidP="006E35FC">
      <w:pPr>
        <w:pStyle w:val="ListParagraph"/>
        <w:spacing w:line="360" w:lineRule="auto"/>
        <w:jc w:val="both"/>
        <w:rPr>
          <w:rFonts w:ascii="Times New Roman" w:hAnsi="Times New Roman" w:cs="Times New Roman"/>
          <w:b/>
          <w:bCs/>
        </w:rPr>
      </w:pPr>
    </w:p>
    <w:p w14:paraId="6881C4A1" w14:textId="77777777" w:rsidR="006E35FC" w:rsidRDefault="006E35FC" w:rsidP="006E35FC">
      <w:pPr>
        <w:pStyle w:val="ListParagraph"/>
        <w:spacing w:line="360" w:lineRule="auto"/>
        <w:jc w:val="both"/>
        <w:rPr>
          <w:rFonts w:ascii="Times New Roman" w:hAnsi="Times New Roman" w:cs="Times New Roman"/>
          <w:b/>
          <w:bCs/>
        </w:rPr>
      </w:pPr>
    </w:p>
    <w:p w14:paraId="55614F72" w14:textId="77777777" w:rsidR="006E35FC" w:rsidRDefault="006E35FC" w:rsidP="006E35FC">
      <w:pPr>
        <w:pStyle w:val="ListParagraph"/>
        <w:spacing w:line="360" w:lineRule="auto"/>
        <w:jc w:val="both"/>
        <w:rPr>
          <w:rFonts w:ascii="Times New Roman" w:hAnsi="Times New Roman" w:cs="Times New Roman"/>
          <w:b/>
          <w:bCs/>
        </w:rPr>
      </w:pPr>
    </w:p>
    <w:p w14:paraId="1131A507" w14:textId="77777777" w:rsidR="006E35FC" w:rsidRDefault="006E35FC" w:rsidP="006E35FC">
      <w:pPr>
        <w:pStyle w:val="ListParagraph"/>
        <w:spacing w:line="360" w:lineRule="auto"/>
        <w:jc w:val="both"/>
        <w:rPr>
          <w:rFonts w:ascii="Times New Roman" w:hAnsi="Times New Roman" w:cs="Times New Roman"/>
          <w:b/>
          <w:bCs/>
        </w:rPr>
      </w:pPr>
    </w:p>
    <w:p w14:paraId="3894C480" w14:textId="77777777" w:rsidR="006E35FC" w:rsidRDefault="006E35FC" w:rsidP="006E35FC">
      <w:pPr>
        <w:pStyle w:val="ListParagraph"/>
        <w:spacing w:line="360" w:lineRule="auto"/>
        <w:jc w:val="both"/>
        <w:rPr>
          <w:rFonts w:ascii="Times New Roman" w:hAnsi="Times New Roman" w:cs="Times New Roman"/>
          <w:b/>
          <w:bCs/>
        </w:rPr>
      </w:pPr>
    </w:p>
    <w:p w14:paraId="3E433CDD" w14:textId="77777777" w:rsidR="006E35FC" w:rsidRDefault="006E35FC" w:rsidP="006E35FC">
      <w:pPr>
        <w:pStyle w:val="ListParagraph"/>
        <w:spacing w:line="360" w:lineRule="auto"/>
        <w:jc w:val="both"/>
        <w:rPr>
          <w:rFonts w:ascii="Times New Roman" w:hAnsi="Times New Roman" w:cs="Times New Roman"/>
          <w:b/>
          <w:bCs/>
        </w:rPr>
      </w:pPr>
    </w:p>
    <w:p w14:paraId="3482C660" w14:textId="77777777" w:rsidR="006E35FC" w:rsidRDefault="006E35FC" w:rsidP="006E35FC">
      <w:pPr>
        <w:pStyle w:val="ListParagraph"/>
        <w:spacing w:line="360" w:lineRule="auto"/>
        <w:jc w:val="both"/>
        <w:rPr>
          <w:rFonts w:ascii="Times New Roman" w:hAnsi="Times New Roman" w:cs="Times New Roman"/>
          <w:b/>
          <w:bCs/>
        </w:rPr>
      </w:pPr>
    </w:p>
    <w:p w14:paraId="18010D6B" w14:textId="77777777" w:rsidR="006E35FC" w:rsidRDefault="006E35FC" w:rsidP="006E35FC">
      <w:pPr>
        <w:pStyle w:val="ListParagraph"/>
        <w:spacing w:line="360" w:lineRule="auto"/>
        <w:jc w:val="both"/>
        <w:rPr>
          <w:rFonts w:ascii="Times New Roman" w:hAnsi="Times New Roman" w:cs="Times New Roman"/>
          <w:b/>
          <w:bCs/>
        </w:rPr>
      </w:pPr>
    </w:p>
    <w:p w14:paraId="7B6C92B7" w14:textId="77777777" w:rsidR="006E35FC" w:rsidRDefault="006E35FC" w:rsidP="006E35FC">
      <w:pPr>
        <w:pStyle w:val="ListParagraph"/>
        <w:spacing w:line="360" w:lineRule="auto"/>
        <w:jc w:val="both"/>
        <w:rPr>
          <w:rFonts w:ascii="Times New Roman" w:hAnsi="Times New Roman" w:cs="Times New Roman"/>
          <w:b/>
          <w:bCs/>
        </w:rPr>
      </w:pPr>
    </w:p>
    <w:p w14:paraId="0F457650" w14:textId="77777777" w:rsidR="006E35FC" w:rsidRDefault="006E35FC" w:rsidP="006E35FC">
      <w:pPr>
        <w:pStyle w:val="ListParagraph"/>
        <w:spacing w:line="360" w:lineRule="auto"/>
        <w:jc w:val="both"/>
        <w:rPr>
          <w:rFonts w:ascii="Times New Roman" w:hAnsi="Times New Roman" w:cs="Times New Roman"/>
          <w:b/>
          <w:bCs/>
        </w:rPr>
      </w:pPr>
    </w:p>
    <w:p w14:paraId="76D88A0A" w14:textId="0BE31C7F" w:rsidR="006E35FC" w:rsidRPr="007249FD" w:rsidRDefault="006E35FC" w:rsidP="007249FD">
      <w:pPr>
        <w:pStyle w:val="ListParagraph"/>
        <w:numPr>
          <w:ilvl w:val="1"/>
          <w:numId w:val="39"/>
        </w:numPr>
        <w:spacing w:line="360" w:lineRule="auto"/>
        <w:jc w:val="both"/>
        <w:rPr>
          <w:rFonts w:ascii="Times New Roman" w:hAnsi="Times New Roman"/>
          <w:b/>
          <w:bCs/>
        </w:rPr>
      </w:pPr>
      <w:r w:rsidRPr="007249FD">
        <w:rPr>
          <w:rFonts w:ascii="Times New Roman" w:hAnsi="Times New Roman"/>
          <w:b/>
          <w:bCs/>
        </w:rPr>
        <w:t>Mitochondrial Dysfunction</w:t>
      </w:r>
    </w:p>
    <w:p w14:paraId="6C349D90" w14:textId="4C36BC22" w:rsidR="006E35FC" w:rsidRPr="00770430" w:rsidRDefault="006E35FC" w:rsidP="006E35FC">
      <w:pPr>
        <w:spacing w:line="360" w:lineRule="auto"/>
        <w:jc w:val="both"/>
        <w:rPr>
          <w:rFonts w:ascii="Times New Roman" w:hAnsi="Times New Roman"/>
        </w:rPr>
      </w:pPr>
      <w:r w:rsidRPr="00770430">
        <w:rPr>
          <w:rFonts w:ascii="Times New Roman" w:hAnsi="Times New Roman"/>
        </w:rPr>
        <w:t xml:space="preserve">Aging compromises oocyte competence in large part by degrading mitochondrial quantity, distribution, and function, thereby limiting ATP availability and amplifying ROS production at precisely the stages when energetic demand peaks (meiotic resumption, spindle formation, fertilization, and early cleavage). The oocyte’s dependence on maternally inherited mitochondria makes this vulnerability especially consequential: mitochondrial damage reduces ATP, increases ROS, and mechanistically induces spindle defects and chromosome misalignment, linking mitochondrial decline directly to meiotic errors and downstream developmental failure (Sasaki et al., 2019). Spatial remodeling of mitochondria (e.g., aggregation near the MI spindle) is interpreted as a </w:t>
      </w:r>
      <w:r w:rsidRPr="00770430">
        <w:rPr>
          <w:rFonts w:ascii="Times New Roman" w:hAnsi="Times New Roman"/>
        </w:rPr>
        <w:lastRenderedPageBreak/>
        <w:t>functional strategy for local ATP provision; ag</w:t>
      </w:r>
      <w:r w:rsidR="005A7345">
        <w:rPr>
          <w:rFonts w:ascii="Times New Roman" w:hAnsi="Times New Roman"/>
        </w:rPr>
        <w:t>e</w:t>
      </w:r>
      <w:r w:rsidRPr="00770430">
        <w:rPr>
          <w:rFonts w:ascii="Times New Roman" w:hAnsi="Times New Roman"/>
        </w:rPr>
        <w:t>ing-related disruption of these distribution patterns is therefore positioned as both a marker and driver of reduced competence (Reader et al., 2017).</w:t>
      </w:r>
    </w:p>
    <w:p w14:paraId="398D87F0" w14:textId="1F6182EE" w:rsidR="006E35FC" w:rsidRPr="00770430" w:rsidRDefault="006E35FC" w:rsidP="006E35FC">
      <w:pPr>
        <w:spacing w:line="360" w:lineRule="auto"/>
        <w:jc w:val="both"/>
        <w:rPr>
          <w:rFonts w:ascii="Times New Roman" w:hAnsi="Times New Roman"/>
        </w:rPr>
      </w:pPr>
      <w:r w:rsidRPr="00770430">
        <w:rPr>
          <w:rFonts w:ascii="Times New Roman" w:hAnsi="Times New Roman"/>
        </w:rPr>
        <w:t>At the level of cytoplasmic ultrastructure, the competence consequences of mitoch</w:t>
      </w:r>
      <w:bookmarkStart w:id="0" w:name="_GoBack"/>
      <w:bookmarkEnd w:id="0"/>
      <w:r w:rsidRPr="00770430">
        <w:rPr>
          <w:rFonts w:ascii="Times New Roman" w:hAnsi="Times New Roman"/>
        </w:rPr>
        <w:t xml:space="preserve">ondrial deterioration are framed as part of broader cytoplasmic quality loss—including abnormal mitochondria, reduced mitochondrial number, and reduced mtDNA copy number in some adverse reproductive contexts. Even though the cited example is disease-associated, it aligns mechanistically with the aging literature in emphasizing that mitochondrial abnormalities and reduced mitochondrial content can undermine </w:t>
      </w:r>
      <w:proofErr w:type="spellStart"/>
      <w:r w:rsidRPr="00770430">
        <w:rPr>
          <w:rFonts w:ascii="Times New Roman" w:hAnsi="Times New Roman"/>
        </w:rPr>
        <w:t>fertili</w:t>
      </w:r>
      <w:r w:rsidR="005A7345">
        <w:rPr>
          <w:rFonts w:ascii="Times New Roman" w:hAnsi="Times New Roman"/>
        </w:rPr>
        <w:t>s</w:t>
      </w:r>
      <w:r w:rsidRPr="00770430">
        <w:rPr>
          <w:rFonts w:ascii="Times New Roman" w:hAnsi="Times New Roman"/>
        </w:rPr>
        <w:t>ation</w:t>
      </w:r>
      <w:proofErr w:type="spellEnd"/>
      <w:r w:rsidRPr="00770430">
        <w:rPr>
          <w:rFonts w:ascii="Times New Roman" w:hAnsi="Times New Roman"/>
        </w:rPr>
        <w:t xml:space="preserve"> and embryonic development by restricting bioenergetic capacity and increasing vulnerability during maturation and early embryogenesis (Ferreira et al., 2023).</w:t>
      </w:r>
    </w:p>
    <w:p w14:paraId="05A4C7F3" w14:textId="0BED8506" w:rsidR="006E35FC" w:rsidRPr="007249FD" w:rsidRDefault="006E35FC" w:rsidP="007249FD">
      <w:pPr>
        <w:pStyle w:val="ListParagraph"/>
        <w:numPr>
          <w:ilvl w:val="1"/>
          <w:numId w:val="39"/>
        </w:numPr>
        <w:spacing w:line="360" w:lineRule="auto"/>
        <w:jc w:val="both"/>
        <w:rPr>
          <w:rFonts w:ascii="Times New Roman" w:hAnsi="Times New Roman"/>
          <w:b/>
          <w:bCs/>
        </w:rPr>
      </w:pPr>
      <w:r w:rsidRPr="007249FD">
        <w:rPr>
          <w:rFonts w:ascii="Times New Roman" w:hAnsi="Times New Roman"/>
          <w:b/>
          <w:bCs/>
        </w:rPr>
        <w:t>Accumulation of DNA Damage and Impaired DNA Repair Capacity.</w:t>
      </w:r>
    </w:p>
    <w:p w14:paraId="1D976CE0"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Aging oocytes experience prolonged meiotic arrest and cumulative exposure to endogenous and exogenous insults, making DNA damage accumulation a major mechanistic axis of competence decline. The follicle/oocyte aging literature explicitly highlights a loss of active DNA repair capacity as a plausible contributor to aging-related oocyte dysfunction, positioning genome maintenance as a limiting factor for sustaining competence across the reproductive lifespan (Ferreira et al., 2023).</w:t>
      </w:r>
    </w:p>
    <w:p w14:paraId="55389EAC"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A key mechanistic model links impaired DNA repair to disrupted oocyte–cumulus communication under aging endocrine conditions. Specifically, increased intrafollicular signaling alterations with advancing maternal age are hypothesized to reduce transzonal projection–mediated transfer of cumulus-derived molecules that are essential for meiotic competence, gene expression, redox activity, and DNA repair. This model connects endocrine aging to a concrete cellular pathway—loss of intercellular support—through which DNA repair capacity and genome integrity may be compromised, thereby lowering developmental competence (</w:t>
      </w:r>
      <w:proofErr w:type="spellStart"/>
      <w:r w:rsidRPr="00770430">
        <w:rPr>
          <w:rFonts w:ascii="Times New Roman" w:hAnsi="Times New Roman"/>
        </w:rPr>
        <w:t>Richani</w:t>
      </w:r>
      <w:proofErr w:type="spellEnd"/>
      <w:r w:rsidRPr="00770430">
        <w:rPr>
          <w:rFonts w:ascii="Times New Roman" w:hAnsi="Times New Roman"/>
        </w:rPr>
        <w:t xml:space="preserve"> et al., 2020; Innocenti et al., 2022).</w:t>
      </w:r>
    </w:p>
    <w:p w14:paraId="782C0964" w14:textId="05560E17" w:rsidR="006E35FC" w:rsidRPr="007249FD" w:rsidRDefault="006E35FC" w:rsidP="007249FD">
      <w:pPr>
        <w:pStyle w:val="ListParagraph"/>
        <w:numPr>
          <w:ilvl w:val="1"/>
          <w:numId w:val="39"/>
        </w:numPr>
        <w:spacing w:line="360" w:lineRule="auto"/>
        <w:jc w:val="both"/>
        <w:rPr>
          <w:rFonts w:ascii="Times New Roman" w:hAnsi="Times New Roman"/>
          <w:b/>
          <w:bCs/>
        </w:rPr>
      </w:pPr>
      <w:r w:rsidRPr="007249FD">
        <w:rPr>
          <w:rFonts w:ascii="Times New Roman" w:hAnsi="Times New Roman"/>
          <w:b/>
          <w:bCs/>
        </w:rPr>
        <w:t>Increased Oxidative Stress and Redox Imbalance</w:t>
      </w:r>
    </w:p>
    <w:p w14:paraId="3592C150" w14:textId="77777777" w:rsidR="007249FD" w:rsidRDefault="006E35FC" w:rsidP="007249FD">
      <w:pPr>
        <w:spacing w:line="360" w:lineRule="auto"/>
        <w:jc w:val="both"/>
        <w:rPr>
          <w:rFonts w:ascii="Times New Roman" w:hAnsi="Times New Roman"/>
        </w:rPr>
      </w:pPr>
      <w:r w:rsidRPr="00770430">
        <w:rPr>
          <w:rFonts w:ascii="Times New Roman" w:hAnsi="Times New Roman"/>
        </w:rPr>
        <w:t>Oxidative stress (OS) is repeatedly positioned as a central driver of reproductive aging because ROS and oxidative byproducts damage DNA, lipids, and proteins while also destabilizing mitochondrial function—creating a reinforcing loop of bioenergetic failure and molecular injury. Reviews of oocyte aging emphasize that diminished capacity of oocytes and surrounding cells to neutralize ROS is a core explanation for declining fecundity, and that oxidative stress is closely tied to mitochondrial damage and bioenergetic deterioration in aged oocytes (Sasaki et al., 2019). Mechanistically, OS is also embedded in follicular microenvironment disruption, where oxidative injury can compromise cytoplasmic maturation, mitochondrial integrity, and spindle stability—each directly competence-limiting (Voros et al., 2025).</w:t>
      </w:r>
    </w:p>
    <w:p w14:paraId="3144C0A3" w14:textId="7F6274B2" w:rsidR="006E35FC" w:rsidRPr="007249FD" w:rsidRDefault="007249FD" w:rsidP="007249FD">
      <w:pPr>
        <w:spacing w:line="360" w:lineRule="auto"/>
        <w:jc w:val="both"/>
        <w:rPr>
          <w:rFonts w:ascii="Times New Roman" w:hAnsi="Times New Roman"/>
          <w:b/>
          <w:bCs/>
        </w:rPr>
      </w:pPr>
      <w:r w:rsidRPr="007249FD">
        <w:rPr>
          <w:rFonts w:ascii="Times New Roman" w:hAnsi="Times New Roman"/>
          <w:b/>
          <w:bCs/>
        </w:rPr>
        <w:t>5.4</w:t>
      </w:r>
      <w:r w:rsidRPr="007249FD">
        <w:rPr>
          <w:rFonts w:ascii="Times New Roman" w:hAnsi="Times New Roman"/>
          <w:b/>
          <w:bCs/>
        </w:rPr>
        <w:tab/>
      </w:r>
      <w:r w:rsidR="006E35FC" w:rsidRPr="007249FD">
        <w:rPr>
          <w:rFonts w:ascii="Times New Roman" w:hAnsi="Times New Roman"/>
          <w:b/>
          <w:bCs/>
        </w:rPr>
        <w:t>Aneuploidy and Spindle Abnormalities</w:t>
      </w:r>
    </w:p>
    <w:p w14:paraId="359EEB68"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lastRenderedPageBreak/>
        <w:t xml:space="preserve">The most clinically consequential manifestation of aging-related oocyte decline is the sharp rise in aneuploidy, primarily of maternal origin, driven by chromosomal mis-segregation during oogenesis. The maintenance of bivalents through the extended </w:t>
      </w:r>
      <w:proofErr w:type="spellStart"/>
      <w:r w:rsidRPr="00770430">
        <w:rPr>
          <w:rFonts w:ascii="Times New Roman" w:hAnsi="Times New Roman"/>
        </w:rPr>
        <w:t>dictyate</w:t>
      </w:r>
      <w:proofErr w:type="spellEnd"/>
      <w:r w:rsidRPr="00770430">
        <w:rPr>
          <w:rFonts w:ascii="Times New Roman" w:hAnsi="Times New Roman"/>
        </w:rPr>
        <w:t xml:space="preserve"> arrest is identified as a critical vulnerability, with age-related weakening predisposing chromosomes to segregation errors and meiotic defects (Ferreira et al., 2023). Aging is further associated with meiotic spindle abnormalities and impairment of regulatory checkpoints, providing a mechanistic route to increased blastocyst aneuploidy and miscarriage risk (Baldini et al., 2024).</w:t>
      </w:r>
    </w:p>
    <w:p w14:paraId="2CB9C57B"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 xml:space="preserve">At the cellular control level, cohesion loss and checkpoint permissiveness provide a coherent mechanistic explanation for age-related meiotic errors. </w:t>
      </w:r>
      <w:proofErr w:type="spellStart"/>
      <w:r w:rsidRPr="00770430">
        <w:rPr>
          <w:rFonts w:ascii="Times New Roman" w:hAnsi="Times New Roman"/>
        </w:rPr>
        <w:t>Cohesin</w:t>
      </w:r>
      <w:proofErr w:type="spellEnd"/>
      <w:r w:rsidRPr="00770430">
        <w:rPr>
          <w:rFonts w:ascii="Times New Roman" w:hAnsi="Times New Roman"/>
        </w:rPr>
        <w:t xml:space="preserve"> depletion and loss of chromosomal protective factors have been described as key contributors to segregation defects, while the inability to restore cohesion following early meiotic stages suggests an irreversible structural decline associated with aging (Baldini et al., 2024).</w:t>
      </w:r>
    </w:p>
    <w:p w14:paraId="6DD9CB35" w14:textId="6272999A" w:rsidR="006E35FC" w:rsidRPr="007249FD" w:rsidRDefault="006E35FC" w:rsidP="007249FD">
      <w:pPr>
        <w:pStyle w:val="ListParagraph"/>
        <w:numPr>
          <w:ilvl w:val="1"/>
          <w:numId w:val="40"/>
        </w:numPr>
        <w:spacing w:line="360" w:lineRule="auto"/>
        <w:jc w:val="both"/>
        <w:rPr>
          <w:rFonts w:ascii="Times New Roman" w:hAnsi="Times New Roman"/>
          <w:b/>
          <w:bCs/>
        </w:rPr>
      </w:pPr>
      <w:r w:rsidRPr="007249FD">
        <w:rPr>
          <w:rFonts w:ascii="Times New Roman" w:hAnsi="Times New Roman"/>
          <w:b/>
          <w:bCs/>
        </w:rPr>
        <w:t>Cytoplasmic Deterioration</w:t>
      </w:r>
    </w:p>
    <w:p w14:paraId="5755B40D"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Beyond chromosome segregation, aging disrupts competence by degrading cytoplasmic readiness—particularly mitochondrial reserves, organelle organization, and the cytoplasmic programs that coordinate maturation and early embryo development. The oocyte’s mitochondria are both numerous and functionally decisive, and mitochondrial abnormalities are explicitly linked to poorer fertilization and embryonic development, consistent with cytoplasmic deterioration being a proximal cause of developmental failure even when embryos appear morphologically acceptable (Reader et al., 2017). Moreover, mitochondrial distribution patterns have been proposed as potential competence markers because they influence mitochondrial inheritance and energy allocation during early embryonic cleavage (Ferreira et al., 2023).</w:t>
      </w:r>
    </w:p>
    <w:p w14:paraId="0DE9440C" w14:textId="63464ECC" w:rsidR="006E35FC" w:rsidRPr="007249FD" w:rsidRDefault="006E35FC" w:rsidP="007249FD">
      <w:pPr>
        <w:pStyle w:val="ListParagraph"/>
        <w:numPr>
          <w:ilvl w:val="1"/>
          <w:numId w:val="40"/>
        </w:numPr>
        <w:spacing w:line="360" w:lineRule="auto"/>
        <w:jc w:val="both"/>
        <w:rPr>
          <w:rFonts w:ascii="Times New Roman" w:hAnsi="Times New Roman"/>
          <w:b/>
          <w:bCs/>
        </w:rPr>
      </w:pPr>
      <w:r w:rsidRPr="007249FD">
        <w:rPr>
          <w:rFonts w:ascii="Times New Roman" w:hAnsi="Times New Roman"/>
          <w:b/>
          <w:bCs/>
        </w:rPr>
        <w:t>Altered Follicular Microenvironment and Endocrine–Somatic Dysregulation</w:t>
      </w:r>
    </w:p>
    <w:p w14:paraId="48E4345C"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Aging alters the follicular microenvironment through endocrine drift and somatic-cell dysfunction, which can erode competence by weakening metabolic support, redox buffering, and the signaling architecture required for coordinated maturation. A mechanistically specific proposal is that age-related alterations in follicular signaling may reduce intercellular communication between the oocyte and cumulus cells, thereby weakening molecular support systems required for meiotic competence and genome maintenance (</w:t>
      </w:r>
      <w:proofErr w:type="spellStart"/>
      <w:r w:rsidRPr="00770430">
        <w:rPr>
          <w:rFonts w:ascii="Times New Roman" w:hAnsi="Times New Roman"/>
        </w:rPr>
        <w:t>Richani</w:t>
      </w:r>
      <w:proofErr w:type="spellEnd"/>
      <w:r w:rsidRPr="00770430">
        <w:rPr>
          <w:rFonts w:ascii="Times New Roman" w:hAnsi="Times New Roman"/>
        </w:rPr>
        <w:t xml:space="preserve"> et al., 2020).</w:t>
      </w:r>
    </w:p>
    <w:p w14:paraId="4970F378" w14:textId="77777777" w:rsidR="007249FD" w:rsidRDefault="006E35FC" w:rsidP="006E35FC">
      <w:pPr>
        <w:spacing w:line="360" w:lineRule="auto"/>
        <w:jc w:val="both"/>
        <w:rPr>
          <w:rFonts w:ascii="Times New Roman" w:hAnsi="Times New Roman"/>
        </w:rPr>
      </w:pPr>
      <w:r w:rsidRPr="00770430">
        <w:rPr>
          <w:rFonts w:ascii="Times New Roman" w:hAnsi="Times New Roman"/>
        </w:rPr>
        <w:t xml:space="preserve">Finally, the periovulatory signaling network that triggers maturation highlights why microenvironment integrity matters: the oocyte relies on somatic cells to translate endocrine cues into maturation-promoting signals. Age-related disruption of somatic competence through altered endocrine responsiveness, inflammation, or oxidative stress may therefore compromise the timing and </w:t>
      </w:r>
      <w:r w:rsidRPr="00770430">
        <w:rPr>
          <w:rFonts w:ascii="Times New Roman" w:hAnsi="Times New Roman"/>
        </w:rPr>
        <w:lastRenderedPageBreak/>
        <w:t>quality of meiotic resumption and cumulus expansion, indirectly increasing the risk of maturation asynchrony and downstream competence loss (Anderson et al., 2025; Innocenti et al., 2022).</w:t>
      </w:r>
    </w:p>
    <w:p w14:paraId="69DD2321" w14:textId="2619AA52" w:rsidR="006E35FC" w:rsidRPr="007249FD" w:rsidRDefault="007249FD" w:rsidP="006E35FC">
      <w:pPr>
        <w:spacing w:line="360" w:lineRule="auto"/>
        <w:jc w:val="both"/>
        <w:rPr>
          <w:rFonts w:ascii="Times New Roman" w:hAnsi="Times New Roman"/>
          <w:b/>
          <w:bCs/>
        </w:rPr>
      </w:pPr>
      <w:r w:rsidRPr="007249FD">
        <w:rPr>
          <w:rFonts w:ascii="Times New Roman" w:hAnsi="Times New Roman"/>
          <w:b/>
          <w:bCs/>
        </w:rPr>
        <w:t>6.</w:t>
      </w:r>
      <w:r w:rsidRPr="007249FD">
        <w:rPr>
          <w:rFonts w:ascii="Times New Roman" w:hAnsi="Times New Roman"/>
          <w:b/>
          <w:bCs/>
        </w:rPr>
        <w:tab/>
      </w:r>
      <w:r w:rsidR="006E35FC" w:rsidRPr="007249FD">
        <w:rPr>
          <w:rFonts w:ascii="Times New Roman" w:hAnsi="Times New Roman"/>
          <w:b/>
          <w:bCs/>
        </w:rPr>
        <w:t>Biomarkers and Assessment of Oocyte Quality</w:t>
      </w:r>
    </w:p>
    <w:p w14:paraId="6399A033"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Reliable assessment of oocyte developmental competence remains one of the most important challenges in reproductive medicine. In assisted reproductive technologies (ART), the ability to predict which oocytes possess the intrinsic capacity to support fertilization, embryogenesis, and implantation would significantly improve clinical outcomes and treatment efficiency (Kayanja et al., 2024). Traditionally, oocyte evaluation has relied primarily on morphological assessment; however, this approach provides limited predictive accuracy because many molecular determinants of competence occur at the metabolic, genetic, and signaling levels (</w:t>
      </w:r>
      <w:proofErr w:type="spellStart"/>
      <w:r w:rsidRPr="00AB1CB8">
        <w:rPr>
          <w:rFonts w:ascii="Times New Roman" w:hAnsi="Times New Roman"/>
        </w:rPr>
        <w:t>Sirait</w:t>
      </w:r>
      <w:proofErr w:type="spellEnd"/>
      <w:r w:rsidRPr="00AB1CB8">
        <w:rPr>
          <w:rFonts w:ascii="Times New Roman" w:hAnsi="Times New Roman"/>
        </w:rPr>
        <w:t xml:space="preserve"> et al., 2021). Consequently, current research focuses on identifying biomarkers that reflect the underlying biological mechanisms regulating oocyte competence, including mitochondrial function, oxidative stress balance, meiotic integrity, and follicular communication networks. To understand their biological significance, biomarkers can be broadly categorized according to the mechanistic pathways that govern oocyte competence, including mitochondrial and metabolic regulation, chromosomal integrity and spindle stability, somatic–germ cell communication within the cumulus–oocyte complex, and the biochemical composition of the follicular microenvironment (Molin et al., 2025).</w:t>
      </w:r>
    </w:p>
    <w:p w14:paraId="17A39DFF" w14:textId="500331C3" w:rsidR="006E35FC" w:rsidRPr="007249FD" w:rsidRDefault="006E35FC" w:rsidP="007249FD">
      <w:pPr>
        <w:pStyle w:val="ListParagraph"/>
        <w:numPr>
          <w:ilvl w:val="1"/>
          <w:numId w:val="41"/>
        </w:numPr>
        <w:spacing w:line="360" w:lineRule="auto"/>
        <w:jc w:val="both"/>
        <w:rPr>
          <w:rFonts w:ascii="Times New Roman" w:hAnsi="Times New Roman"/>
          <w:b/>
          <w:bCs/>
        </w:rPr>
      </w:pPr>
      <w:r w:rsidRPr="007249FD">
        <w:rPr>
          <w:rFonts w:ascii="Times New Roman" w:hAnsi="Times New Roman"/>
          <w:b/>
          <w:bCs/>
        </w:rPr>
        <w:t>Morphological Indicators of Oocyte Quality</w:t>
      </w:r>
    </w:p>
    <w:p w14:paraId="7AF0EE77"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Morphological evaluation remains the most widely used clinical method for assessing oocyte quality during IVF procedures. Features such as cytoplasmic appearance, zona pellucida integrity, perivitelline space characteristics, and the presence of cytoplasmic inclusions are commonly used to classify oocytes as high or low quality (</w:t>
      </w:r>
      <w:proofErr w:type="spellStart"/>
      <w:r w:rsidRPr="00AB1CB8">
        <w:rPr>
          <w:rFonts w:ascii="Times New Roman" w:hAnsi="Times New Roman"/>
        </w:rPr>
        <w:t>Sciorio</w:t>
      </w:r>
      <w:proofErr w:type="spellEnd"/>
      <w:r w:rsidRPr="00AB1CB8">
        <w:rPr>
          <w:rFonts w:ascii="Times New Roman" w:hAnsi="Times New Roman"/>
        </w:rPr>
        <w:t xml:space="preserve"> et al., 2022). Certain morphological abnormalities—including cytoplasmic granularity, vacuolization, irregular zona pellucida, or abnormal polar body morphology—have been associated with impaired cytoplasmic maturation and reduced developmental potential (Baldini et al., 2024).</w:t>
      </w:r>
    </w:p>
    <w:p w14:paraId="1AC0D296" w14:textId="77777777" w:rsidR="007249FD" w:rsidRDefault="006E35FC" w:rsidP="007249FD">
      <w:pPr>
        <w:spacing w:line="360" w:lineRule="auto"/>
        <w:jc w:val="both"/>
        <w:rPr>
          <w:rFonts w:ascii="Times New Roman" w:hAnsi="Times New Roman"/>
        </w:rPr>
      </w:pPr>
      <w:r w:rsidRPr="00AB1CB8">
        <w:rPr>
          <w:rFonts w:ascii="Times New Roman" w:hAnsi="Times New Roman"/>
        </w:rPr>
        <w:t>However, morphology alone often fails to capture the complex molecular determinants of oocyte competence. Studies have demonstrated that oocytes with apparently normal morphology may still exhibit metabolic defects, chromosomal abnormalities, or mitochondrial dysfunction that compromise embryo development (</w:t>
      </w:r>
      <w:proofErr w:type="spellStart"/>
      <w:r w:rsidRPr="00AB1CB8">
        <w:rPr>
          <w:rFonts w:ascii="Times New Roman" w:hAnsi="Times New Roman"/>
        </w:rPr>
        <w:t>Sirait</w:t>
      </w:r>
      <w:proofErr w:type="spellEnd"/>
      <w:r w:rsidRPr="00AB1CB8">
        <w:rPr>
          <w:rFonts w:ascii="Times New Roman" w:hAnsi="Times New Roman"/>
        </w:rPr>
        <w:t xml:space="preserve"> et al., 2021). Conversely, some oocytes displaying minor morphological irregularities can produce viable embryos and successful pregnancies. This inconsistency highlights the limitations of morphology-based selection and underscores the need for molecular biomarkers that more accurately reflect the biological mechanisms governing oocyte competence (Kayanja et al., 2024)</w:t>
      </w:r>
      <w:r w:rsidR="007249FD">
        <w:rPr>
          <w:rFonts w:ascii="Times New Roman" w:hAnsi="Times New Roman"/>
        </w:rPr>
        <w:t>.</w:t>
      </w:r>
    </w:p>
    <w:p w14:paraId="7F15326B" w14:textId="770C6C52" w:rsidR="006E35FC" w:rsidRPr="007249FD" w:rsidRDefault="007249FD" w:rsidP="007249FD">
      <w:pPr>
        <w:spacing w:line="360" w:lineRule="auto"/>
        <w:jc w:val="both"/>
        <w:rPr>
          <w:rFonts w:ascii="Times New Roman" w:hAnsi="Times New Roman"/>
          <w:b/>
          <w:bCs/>
        </w:rPr>
      </w:pPr>
      <w:r w:rsidRPr="007249FD">
        <w:rPr>
          <w:rFonts w:ascii="Times New Roman" w:hAnsi="Times New Roman"/>
          <w:b/>
          <w:bCs/>
        </w:rPr>
        <w:t>6.2</w:t>
      </w:r>
      <w:r w:rsidRPr="007249FD">
        <w:rPr>
          <w:rFonts w:ascii="Times New Roman" w:hAnsi="Times New Roman"/>
          <w:b/>
          <w:bCs/>
        </w:rPr>
        <w:tab/>
      </w:r>
      <w:r w:rsidR="006E35FC" w:rsidRPr="007249FD">
        <w:rPr>
          <w:rFonts w:ascii="Times New Roman" w:hAnsi="Times New Roman"/>
          <w:b/>
          <w:bCs/>
        </w:rPr>
        <w:t>Transcriptomic Biomarkers in the Cumulus–Oocyte Complex</w:t>
      </w:r>
    </w:p>
    <w:p w14:paraId="6B3C3698"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lastRenderedPageBreak/>
        <w:t>Because the oocyte and its surrounding cumulus cells function as a tightly integrated unit, the gene expression profile of cumulus cells provides valuable insight into the physiological state of the oocyte. Transcriptomic analyses using RT-PCR, microarray, and RNA sequencing have identified several cumulus-cell genes whose expression correlates with oocyte maturation status and IVF outcomes (Massoud et al., 2023). These biomarkers reflect key biological processes including nuclear maturation, extracellular matrix remodeling, steroidogenesis, and apoptosis regulation (</w:t>
      </w:r>
      <w:proofErr w:type="spellStart"/>
      <w:r w:rsidRPr="00AB1CB8">
        <w:rPr>
          <w:rFonts w:ascii="Times New Roman" w:hAnsi="Times New Roman"/>
        </w:rPr>
        <w:t>Maside</w:t>
      </w:r>
      <w:proofErr w:type="spellEnd"/>
      <w:r w:rsidRPr="00AB1CB8">
        <w:rPr>
          <w:rFonts w:ascii="Times New Roman" w:hAnsi="Times New Roman"/>
        </w:rPr>
        <w:t xml:space="preserve"> et al., 2021).</w:t>
      </w:r>
    </w:p>
    <w:p w14:paraId="3106A390" w14:textId="77777777" w:rsidR="007249FD" w:rsidRDefault="006E35FC" w:rsidP="007249FD">
      <w:pPr>
        <w:spacing w:line="360" w:lineRule="auto"/>
        <w:jc w:val="both"/>
        <w:rPr>
          <w:rFonts w:ascii="Times New Roman" w:hAnsi="Times New Roman"/>
        </w:rPr>
      </w:pPr>
      <w:r w:rsidRPr="00AB1CB8">
        <w:rPr>
          <w:rFonts w:ascii="Times New Roman" w:hAnsi="Times New Roman"/>
        </w:rPr>
        <w:t>Among the most studied cumulus biomarkers are genes involved in cumulus expansion and follicular signaling, including HAS2, PTGS2, PTX3, and TNFAIP6, which participate in extracellular matrix formation during ovulation. Elevated expression of these genes is frequently associated with improved oocyte maturation and embryo developmental potential (Faizal et al., 2024). Additionally, oocyte-secreted factors such as GDF9 and BMP15 influence cumulus gene expression and have been proposed as indirect biomarkers of oocyte competence due to their roles in regulating follicular development and granulosa cell differentiation (Innocenti et al., 2022). These transcriptomic signatures are mechanistically linked to the cumulus signaling axis that regulates metabolic cooperation and meiotic maturation. Therefore, cumulus gene expression patterns can serve as molecular indicators of the functional integrity of the oocyte–somatic cell communication network that supports oocyte competence (Massoud et al., 2023).</w:t>
      </w:r>
    </w:p>
    <w:p w14:paraId="32EDDE78" w14:textId="5090EBB4" w:rsidR="006E35FC" w:rsidRPr="007249FD" w:rsidRDefault="007249FD" w:rsidP="007249FD">
      <w:pPr>
        <w:spacing w:line="360" w:lineRule="auto"/>
        <w:jc w:val="both"/>
        <w:rPr>
          <w:rFonts w:ascii="Times New Roman" w:hAnsi="Times New Roman"/>
          <w:b/>
        </w:rPr>
      </w:pPr>
      <w:r w:rsidRPr="007249FD">
        <w:rPr>
          <w:rFonts w:ascii="Times New Roman" w:hAnsi="Times New Roman"/>
          <w:b/>
        </w:rPr>
        <w:t>6.3</w:t>
      </w:r>
      <w:r w:rsidRPr="007249FD">
        <w:rPr>
          <w:rFonts w:ascii="Times New Roman" w:hAnsi="Times New Roman"/>
          <w:b/>
        </w:rPr>
        <w:tab/>
      </w:r>
      <w:r w:rsidR="006E35FC" w:rsidRPr="007249FD">
        <w:rPr>
          <w:rFonts w:ascii="Times New Roman" w:hAnsi="Times New Roman"/>
          <w:b/>
          <w:bCs/>
        </w:rPr>
        <w:t>Proteomic and Metabolomic Biomarkers</w:t>
      </w:r>
    </w:p>
    <w:p w14:paraId="3AB617FB" w14:textId="77777777" w:rsidR="007249FD" w:rsidRDefault="006E35FC" w:rsidP="007249FD">
      <w:pPr>
        <w:spacing w:line="360" w:lineRule="auto"/>
        <w:jc w:val="both"/>
        <w:rPr>
          <w:rFonts w:ascii="Times New Roman" w:hAnsi="Times New Roman"/>
        </w:rPr>
      </w:pPr>
      <w:r w:rsidRPr="00AB1CB8">
        <w:rPr>
          <w:rFonts w:ascii="Times New Roman" w:hAnsi="Times New Roman"/>
        </w:rPr>
        <w:t>Proteomic and metabolomic approaches provide additional insight into the functional state of the follicular microenvironment and the metabolic readiness of the oocyte. Proteomic analyses of follicular fluid and cumulus cells have identified proteins involved in oxidative stress response, inflammation, steroid metabolism, and extracellular matrix remodeling that correlate with embryo developmental potential (Molin et al., 2025). Metabolomic profiling of follicular fluid has also revealed associations between metabolite composition and oocyte competence (De Oliveira et al., 2025). For example, concentrations of glucose metabolites, amino acids, and lipid-derived substrates reflect the metabolic cooperation between cumulus cells and the oocyte that supports mitochondrial ATP production. Because the oocyte itself has limited metabolic capacity and depends on cumulus cells to supply substrates such as pyruvate, the metabolic profile of follicular fluid provides indirect evidence of mitochondrial competence and cytoplasmic maturation (</w:t>
      </w:r>
      <w:proofErr w:type="spellStart"/>
      <w:r w:rsidRPr="00AB1CB8">
        <w:rPr>
          <w:rFonts w:ascii="Times New Roman" w:hAnsi="Times New Roman"/>
        </w:rPr>
        <w:t>Richani</w:t>
      </w:r>
      <w:proofErr w:type="spellEnd"/>
      <w:r w:rsidRPr="00AB1CB8">
        <w:rPr>
          <w:rFonts w:ascii="Times New Roman" w:hAnsi="Times New Roman"/>
        </w:rPr>
        <w:t xml:space="preserve"> et al., 2020). These metabolomic indicators align closely with the mitochondrial and metabolic regulatory axis of oocyte competence. Changes in energy metabolism, oxidative phosphorylation efficiency, or lipid metabolism can therefore be detected through alterations in the follicular metabolome, offering potential non-invasive markers of oocyte quality (De Oliveira et al., 2025).</w:t>
      </w:r>
    </w:p>
    <w:p w14:paraId="454D487C" w14:textId="445FF60C" w:rsidR="006E35FC" w:rsidRPr="007249FD" w:rsidRDefault="007249FD" w:rsidP="007249FD">
      <w:pPr>
        <w:spacing w:line="360" w:lineRule="auto"/>
        <w:jc w:val="both"/>
        <w:rPr>
          <w:rFonts w:ascii="Times New Roman" w:hAnsi="Times New Roman"/>
          <w:b/>
          <w:bCs/>
        </w:rPr>
      </w:pPr>
      <w:r w:rsidRPr="007249FD">
        <w:rPr>
          <w:rFonts w:ascii="Times New Roman" w:hAnsi="Times New Roman"/>
          <w:b/>
          <w:bCs/>
        </w:rPr>
        <w:t>6.4</w:t>
      </w:r>
      <w:r w:rsidRPr="007249FD">
        <w:rPr>
          <w:rFonts w:ascii="Times New Roman" w:hAnsi="Times New Roman"/>
          <w:b/>
          <w:bCs/>
        </w:rPr>
        <w:tab/>
      </w:r>
      <w:r w:rsidR="006E35FC" w:rsidRPr="007249FD">
        <w:rPr>
          <w:rFonts w:ascii="Times New Roman" w:hAnsi="Times New Roman"/>
          <w:b/>
          <w:bCs/>
        </w:rPr>
        <w:t>Mitochondrial and Metabolic Biomarkers</w:t>
      </w:r>
    </w:p>
    <w:p w14:paraId="0F41995E" w14:textId="77777777" w:rsidR="007249FD" w:rsidRDefault="006E35FC" w:rsidP="007249FD">
      <w:pPr>
        <w:spacing w:line="360" w:lineRule="auto"/>
        <w:jc w:val="both"/>
        <w:rPr>
          <w:rFonts w:ascii="Times New Roman" w:hAnsi="Times New Roman"/>
        </w:rPr>
      </w:pPr>
      <w:r w:rsidRPr="00AB1CB8">
        <w:rPr>
          <w:rFonts w:ascii="Times New Roman" w:hAnsi="Times New Roman"/>
        </w:rPr>
        <w:lastRenderedPageBreak/>
        <w:t>Mitochondrial function is increasingly recognized as a critical determinant of oocyte competence, and several biomarkers have been proposed to assess mitochondrial integrity and bioenergetic capacity. These include mitochondrial DNA (mtDNA) copy number, mitochondrial membrane potential, ATP content, and markers of oxidative phosphorylation efficiency (Voros et al., 2025). Because mitochondria supply the energy required for meiotic spindle formation, chromosome segregation, and early embryonic divisions, reductions in mitochondrial function are strongly associated with diminished developmental competence (Sasaki et al., 2019). Age-related declines in mitochondrial activity and increased oxidative damage further emphasize the importance of mitochondrial biomarkers for predicting oocyte quality. Markers of oxidative stress and antioxidant capacity including glutathione levels and reactive oxygen species (ROS) concentrations have also been explored as indicators of oocyte metabolic health (Ferreira et al., 2023). These biomarkers directly reflect the mitochondrial–redox axis that governs energy production, cellular signaling, and protection against oxidative damage.</w:t>
      </w:r>
    </w:p>
    <w:p w14:paraId="515E61A4" w14:textId="1931F605" w:rsidR="006E35FC" w:rsidRPr="007249FD" w:rsidRDefault="007249FD" w:rsidP="007249FD">
      <w:pPr>
        <w:spacing w:line="360" w:lineRule="auto"/>
        <w:jc w:val="both"/>
        <w:rPr>
          <w:rFonts w:ascii="Times New Roman" w:hAnsi="Times New Roman"/>
          <w:b/>
          <w:bCs/>
        </w:rPr>
      </w:pPr>
      <w:r w:rsidRPr="007249FD">
        <w:rPr>
          <w:rFonts w:ascii="Times New Roman" w:hAnsi="Times New Roman"/>
          <w:b/>
          <w:bCs/>
        </w:rPr>
        <w:t>6.5</w:t>
      </w:r>
      <w:r w:rsidRPr="007249FD">
        <w:rPr>
          <w:rFonts w:ascii="Times New Roman" w:hAnsi="Times New Roman"/>
          <w:b/>
          <w:bCs/>
        </w:rPr>
        <w:tab/>
      </w:r>
      <w:r w:rsidR="006E35FC" w:rsidRPr="007249FD">
        <w:rPr>
          <w:rFonts w:ascii="Times New Roman" w:hAnsi="Times New Roman"/>
          <w:b/>
          <w:bCs/>
        </w:rPr>
        <w:t>Chromosomal and Meiotic Integrity Biomarkers</w:t>
      </w:r>
    </w:p>
    <w:p w14:paraId="4CB3ABF0" w14:textId="77777777" w:rsidR="007249FD" w:rsidRDefault="006E35FC" w:rsidP="007249FD">
      <w:pPr>
        <w:spacing w:line="360" w:lineRule="auto"/>
        <w:jc w:val="both"/>
        <w:rPr>
          <w:rFonts w:ascii="Times New Roman" w:hAnsi="Times New Roman"/>
        </w:rPr>
      </w:pPr>
      <w:r w:rsidRPr="00AB1CB8">
        <w:rPr>
          <w:rFonts w:ascii="Times New Roman" w:hAnsi="Times New Roman"/>
        </w:rPr>
        <w:t>Chromosomal integrity is another major determinant of oocyte competence, as errors in meiotic chromosome segregation are a leading cause of infertility, implantation failure, and miscarriage (Baldini et al., 2024). Biomarkers associated with chromosomal stability include indicators of spindle structure, cohesion maintenance, and DNA damage response pathways. For example, proteins involved in spindle assembly and chromosome alignment are essential for accurate meiotic progression, and abnormalities in spindle morphology have been linked to increased rates of aneuploidy (Ferreira et al., 2023). Age-related deterioration of chromosome cohesion complexes and impaired DNA repair capacity further contribute to meiotic errors. Consequently, markers of chromosomal stability and DNA damage response pathways are increasingly being investigated as indicators of oocyte quality and reproductive potential (Molin et al., 2025). Advances in embryo genetic screening technologies, such as preimplantation genetic testing for aneuploidy (PGT-A), have also provided indirect insights into oocyte chromosomal competence by identifying embryos with normal chromosomal complements derived from specific oocytes (</w:t>
      </w:r>
      <w:proofErr w:type="spellStart"/>
      <w:r w:rsidRPr="00AB1CB8">
        <w:rPr>
          <w:rFonts w:ascii="Times New Roman" w:hAnsi="Times New Roman"/>
        </w:rPr>
        <w:t>Petrogiannis</w:t>
      </w:r>
      <w:proofErr w:type="spellEnd"/>
      <w:r w:rsidRPr="00AB1CB8">
        <w:rPr>
          <w:rFonts w:ascii="Times New Roman" w:hAnsi="Times New Roman"/>
        </w:rPr>
        <w:t xml:space="preserve"> et al., 2025).</w:t>
      </w:r>
    </w:p>
    <w:p w14:paraId="79355307" w14:textId="23EDAF1D" w:rsidR="006E35FC" w:rsidRPr="007249FD" w:rsidRDefault="007249FD" w:rsidP="007249FD">
      <w:pPr>
        <w:spacing w:line="360" w:lineRule="auto"/>
        <w:jc w:val="both"/>
        <w:rPr>
          <w:rFonts w:ascii="Times New Roman" w:hAnsi="Times New Roman"/>
          <w:b/>
          <w:bCs/>
        </w:rPr>
      </w:pPr>
      <w:r w:rsidRPr="007249FD">
        <w:rPr>
          <w:rFonts w:ascii="Times New Roman" w:hAnsi="Times New Roman"/>
          <w:b/>
          <w:bCs/>
        </w:rPr>
        <w:t>6.6</w:t>
      </w:r>
      <w:r w:rsidRPr="007249FD">
        <w:rPr>
          <w:rFonts w:ascii="Times New Roman" w:hAnsi="Times New Roman"/>
          <w:b/>
          <w:bCs/>
        </w:rPr>
        <w:tab/>
      </w:r>
      <w:r w:rsidR="006E35FC" w:rsidRPr="007249FD">
        <w:rPr>
          <w:rFonts w:ascii="Times New Roman" w:hAnsi="Times New Roman"/>
          <w:b/>
          <w:bCs/>
        </w:rPr>
        <w:t>Non-Invasive Embryo Assessment Technologies</w:t>
      </w:r>
    </w:p>
    <w:p w14:paraId="0DBF20CB" w14:textId="77777777" w:rsidR="006E35FC" w:rsidRDefault="006E35FC" w:rsidP="006E35FC">
      <w:pPr>
        <w:spacing w:line="360" w:lineRule="auto"/>
        <w:jc w:val="both"/>
        <w:rPr>
          <w:rFonts w:ascii="Times New Roman" w:hAnsi="Times New Roman"/>
        </w:rPr>
      </w:pPr>
      <w:r w:rsidRPr="00AB1CB8">
        <w:rPr>
          <w:rFonts w:ascii="Times New Roman" w:hAnsi="Times New Roman"/>
        </w:rPr>
        <w:t xml:space="preserve">Recent technological advances aim to assess oocyte competence indirectly by evaluating embryo development using non-invasive imaging and metabolic monitoring techniques. Time-lapse imaging systems allow continuous observation of embryo cleavage patterns and developmental timing, enabling the identification of </w:t>
      </w:r>
      <w:proofErr w:type="spellStart"/>
      <w:r w:rsidRPr="00AB1CB8">
        <w:rPr>
          <w:rFonts w:ascii="Times New Roman" w:hAnsi="Times New Roman"/>
        </w:rPr>
        <w:t>morphokinetic</w:t>
      </w:r>
      <w:proofErr w:type="spellEnd"/>
      <w:r w:rsidRPr="00AB1CB8">
        <w:rPr>
          <w:rFonts w:ascii="Times New Roman" w:hAnsi="Times New Roman"/>
        </w:rPr>
        <w:t xml:space="preserve"> parameters associated with successful implantation (</w:t>
      </w:r>
      <w:proofErr w:type="spellStart"/>
      <w:r w:rsidRPr="00AB1CB8">
        <w:rPr>
          <w:rFonts w:ascii="Times New Roman" w:hAnsi="Times New Roman"/>
        </w:rPr>
        <w:t>Sciorio</w:t>
      </w:r>
      <w:proofErr w:type="spellEnd"/>
      <w:r w:rsidRPr="00AB1CB8">
        <w:rPr>
          <w:rFonts w:ascii="Times New Roman" w:hAnsi="Times New Roman"/>
        </w:rPr>
        <w:t xml:space="preserve"> et al., 2022). In addition, analysis of metabolites and secreted proteins in embryo culture media has been explored as a potential non-invasive indicator of embryo metabolic health and developmental competence (</w:t>
      </w:r>
      <w:proofErr w:type="spellStart"/>
      <w:r w:rsidRPr="00AB1CB8">
        <w:rPr>
          <w:rFonts w:ascii="Times New Roman" w:hAnsi="Times New Roman"/>
        </w:rPr>
        <w:t>Petrogiannis</w:t>
      </w:r>
      <w:proofErr w:type="spellEnd"/>
      <w:r w:rsidRPr="00AB1CB8">
        <w:rPr>
          <w:rFonts w:ascii="Times New Roman" w:hAnsi="Times New Roman"/>
        </w:rPr>
        <w:t xml:space="preserve"> et al., 2025). These emerging technologies offer promising </w:t>
      </w:r>
      <w:r w:rsidRPr="00AB1CB8">
        <w:rPr>
          <w:rFonts w:ascii="Times New Roman" w:hAnsi="Times New Roman"/>
        </w:rPr>
        <w:lastRenderedPageBreak/>
        <w:t>tools for integrating molecular and functional biomarkers into clinical embryo selection strategies (Jiang, 2023).</w:t>
      </w:r>
    </w:p>
    <w:p w14:paraId="7859B8ED" w14:textId="5CD695B6" w:rsidR="006E35FC" w:rsidRPr="005E21BC" w:rsidRDefault="00D8092E" w:rsidP="006E35FC">
      <w:pPr>
        <w:spacing w:line="360" w:lineRule="auto"/>
        <w:jc w:val="both"/>
        <w:rPr>
          <w:rFonts w:ascii="Times New Roman" w:hAnsi="Times New Roman"/>
          <w:b/>
          <w:bCs/>
        </w:rPr>
      </w:pPr>
      <w:r>
        <w:rPr>
          <w:rFonts w:ascii="Times New Roman" w:hAnsi="Times New Roman"/>
          <w:b/>
          <w:bCs/>
        </w:rPr>
        <w:t>7.</w:t>
      </w:r>
      <w:r>
        <w:rPr>
          <w:rFonts w:ascii="Times New Roman" w:hAnsi="Times New Roman"/>
          <w:b/>
          <w:bCs/>
        </w:rPr>
        <w:tab/>
      </w:r>
      <w:r w:rsidR="006E35FC" w:rsidRPr="00FA635D">
        <w:rPr>
          <w:rFonts w:ascii="Times New Roman" w:hAnsi="Times New Roman"/>
          <w:b/>
          <w:bCs/>
        </w:rPr>
        <w:t>Emerging Technological Approaches for Assessing Oocyte and Embryo Competence</w:t>
      </w:r>
    </w:p>
    <w:p w14:paraId="2E39B1B0" w14:textId="77777777" w:rsidR="00D8092E" w:rsidRDefault="006E35FC" w:rsidP="00D8092E">
      <w:pPr>
        <w:spacing w:line="360" w:lineRule="auto"/>
        <w:jc w:val="both"/>
        <w:rPr>
          <w:rFonts w:ascii="Times New Roman" w:hAnsi="Times New Roman"/>
        </w:rPr>
      </w:pPr>
      <w:r w:rsidRPr="00FA635D">
        <w:rPr>
          <w:rFonts w:ascii="Times New Roman" w:hAnsi="Times New Roman"/>
        </w:rPr>
        <w:t>Recent technological advances are reshaping how oocyte and embryo competence are evaluated in IVF, moving the field beyond static morphology toward more objective, data-rich, and increasingly non-invasive assessment strategies. Conventional morphological grading remains widely used in clinical embryology laboratories; however, it is inherently subjective and shows substantial inter- and intra-observer variability (</w:t>
      </w:r>
      <w:proofErr w:type="spellStart"/>
      <w:r w:rsidRPr="00FA635D">
        <w:rPr>
          <w:rFonts w:ascii="Times New Roman" w:hAnsi="Times New Roman"/>
        </w:rPr>
        <w:t>Sciorio</w:t>
      </w:r>
      <w:proofErr w:type="spellEnd"/>
      <w:r w:rsidRPr="00FA635D">
        <w:rPr>
          <w:rFonts w:ascii="Times New Roman" w:hAnsi="Times New Roman"/>
        </w:rPr>
        <w:t xml:space="preserve"> et al., 2022). Moreover, morphology alone cannot reliably capture functional deficiencies such as altered metabolism, abnormal gene expression, or chromosomal imbalance. Consequently, emerging technologies</w:t>
      </w:r>
      <w:r w:rsidR="00D8092E">
        <w:rPr>
          <w:rFonts w:ascii="Times New Roman" w:hAnsi="Times New Roman"/>
        </w:rPr>
        <w:t xml:space="preserve"> </w:t>
      </w:r>
      <w:r w:rsidRPr="00FA635D">
        <w:rPr>
          <w:rFonts w:ascii="Times New Roman" w:hAnsi="Times New Roman"/>
        </w:rPr>
        <w:t xml:space="preserve">including computational image analysis, time-lapse </w:t>
      </w:r>
      <w:proofErr w:type="spellStart"/>
      <w:r w:rsidRPr="00FA635D">
        <w:rPr>
          <w:rFonts w:ascii="Times New Roman" w:hAnsi="Times New Roman"/>
        </w:rPr>
        <w:t>morphokinetics</w:t>
      </w:r>
      <w:proofErr w:type="spellEnd"/>
      <w:r w:rsidRPr="00FA635D">
        <w:rPr>
          <w:rFonts w:ascii="Times New Roman" w:hAnsi="Times New Roman"/>
        </w:rPr>
        <w:t>, artificial intelligence (AI)-assisted embryo scoring, and multi-omics biomarker platforms</w:t>
      </w:r>
      <w:r w:rsidR="00D8092E">
        <w:rPr>
          <w:rFonts w:ascii="Times New Roman" w:hAnsi="Times New Roman"/>
        </w:rPr>
        <w:t xml:space="preserve"> </w:t>
      </w:r>
      <w:r w:rsidRPr="00FA635D">
        <w:rPr>
          <w:rFonts w:ascii="Times New Roman" w:hAnsi="Times New Roman"/>
        </w:rPr>
        <w:t>are being developed to improve prediction of embryo developmental potential and implantation success (</w:t>
      </w:r>
      <w:proofErr w:type="spellStart"/>
      <w:r w:rsidRPr="00FA635D">
        <w:rPr>
          <w:rFonts w:ascii="Times New Roman" w:hAnsi="Times New Roman"/>
        </w:rPr>
        <w:t>Petrogiannis</w:t>
      </w:r>
      <w:proofErr w:type="spellEnd"/>
      <w:r w:rsidRPr="00FA635D">
        <w:rPr>
          <w:rFonts w:ascii="Times New Roman" w:hAnsi="Times New Roman"/>
        </w:rPr>
        <w:t xml:space="preserve"> et al., 2025).</w:t>
      </w:r>
    </w:p>
    <w:p w14:paraId="2FE506F7" w14:textId="7C9545BE" w:rsidR="006E35FC" w:rsidRPr="00D8092E" w:rsidRDefault="00D8092E" w:rsidP="00D8092E">
      <w:pPr>
        <w:spacing w:line="360" w:lineRule="auto"/>
        <w:jc w:val="both"/>
        <w:rPr>
          <w:rFonts w:ascii="Times New Roman" w:hAnsi="Times New Roman"/>
          <w:b/>
          <w:bCs/>
        </w:rPr>
      </w:pPr>
      <w:r w:rsidRPr="00D8092E">
        <w:rPr>
          <w:rFonts w:ascii="Times New Roman" w:hAnsi="Times New Roman"/>
          <w:b/>
          <w:bCs/>
        </w:rPr>
        <w:t>7.1</w:t>
      </w:r>
      <w:r w:rsidRPr="00D8092E">
        <w:rPr>
          <w:rFonts w:ascii="Times New Roman" w:hAnsi="Times New Roman"/>
          <w:b/>
          <w:bCs/>
        </w:rPr>
        <w:tab/>
      </w:r>
      <w:r w:rsidR="006E35FC" w:rsidRPr="00D8092E">
        <w:rPr>
          <w:rFonts w:ascii="Times New Roman" w:hAnsi="Times New Roman"/>
          <w:b/>
          <w:bCs/>
        </w:rPr>
        <w:t xml:space="preserve">Time-Lapse Imaging and </w:t>
      </w:r>
      <w:proofErr w:type="spellStart"/>
      <w:r w:rsidR="006E35FC" w:rsidRPr="00D8092E">
        <w:rPr>
          <w:rFonts w:ascii="Times New Roman" w:hAnsi="Times New Roman"/>
          <w:b/>
          <w:bCs/>
        </w:rPr>
        <w:t>Morphokinetic</w:t>
      </w:r>
      <w:proofErr w:type="spellEnd"/>
      <w:r w:rsidR="006E35FC" w:rsidRPr="00D8092E">
        <w:rPr>
          <w:rFonts w:ascii="Times New Roman" w:hAnsi="Times New Roman"/>
          <w:b/>
          <w:bCs/>
        </w:rPr>
        <w:t xml:space="preserve"> Analysis</w:t>
      </w:r>
    </w:p>
    <w:p w14:paraId="0048EE6D" w14:textId="77777777" w:rsidR="006E35FC" w:rsidRPr="00FA635D" w:rsidRDefault="006E35FC" w:rsidP="006E35FC">
      <w:pPr>
        <w:spacing w:line="360" w:lineRule="auto"/>
        <w:jc w:val="both"/>
        <w:rPr>
          <w:rFonts w:ascii="Times New Roman" w:hAnsi="Times New Roman"/>
        </w:rPr>
      </w:pPr>
      <w:r w:rsidRPr="00FA635D">
        <w:rPr>
          <w:rFonts w:ascii="Times New Roman" w:hAnsi="Times New Roman"/>
        </w:rPr>
        <w:t>One of the most important technological advances in embryo evaluation has been the introduction of time-lapse microscopy systems. These platforms allow continuous monitoring of embryo development without repeated removal from the incubator, thereby preserving stable culture conditions while capturing detailed developmental dynamics (</w:t>
      </w:r>
      <w:proofErr w:type="spellStart"/>
      <w:r w:rsidRPr="00FA635D">
        <w:rPr>
          <w:rFonts w:ascii="Times New Roman" w:hAnsi="Times New Roman"/>
        </w:rPr>
        <w:t>Sciorio</w:t>
      </w:r>
      <w:proofErr w:type="spellEnd"/>
      <w:r w:rsidRPr="00FA635D">
        <w:rPr>
          <w:rFonts w:ascii="Times New Roman" w:hAnsi="Times New Roman"/>
        </w:rPr>
        <w:t xml:space="preserve"> et al., 2022). Time-lapse systems generate </w:t>
      </w:r>
      <w:proofErr w:type="spellStart"/>
      <w:r w:rsidRPr="00FA635D">
        <w:rPr>
          <w:rFonts w:ascii="Times New Roman" w:hAnsi="Times New Roman"/>
        </w:rPr>
        <w:t>morphokinetic</w:t>
      </w:r>
      <w:proofErr w:type="spellEnd"/>
      <w:r w:rsidRPr="00FA635D">
        <w:rPr>
          <w:rFonts w:ascii="Times New Roman" w:hAnsi="Times New Roman"/>
        </w:rPr>
        <w:t xml:space="preserve"> datasets that include the timing and sequence of key embryonic events such as pronuclear formation and fading, early cleavage divisions, compaction, and blastocyst formation.</w:t>
      </w:r>
    </w:p>
    <w:p w14:paraId="7A71E950" w14:textId="77777777" w:rsidR="00D8092E" w:rsidRDefault="006E35FC" w:rsidP="00D8092E">
      <w:pPr>
        <w:spacing w:line="360" w:lineRule="auto"/>
        <w:jc w:val="both"/>
        <w:rPr>
          <w:rFonts w:ascii="Times New Roman" w:hAnsi="Times New Roman"/>
        </w:rPr>
      </w:pPr>
      <w:r w:rsidRPr="00FA635D">
        <w:rPr>
          <w:rFonts w:ascii="Times New Roman" w:hAnsi="Times New Roman"/>
        </w:rPr>
        <w:t xml:space="preserve">The dynamic nature of this data allows embryologists to observe developmental patterns that may reflect underlying cellular and metabolic competence. For example, abnormal cleavage timing, irregular blastomere divisions, or asynchronous development can indicate defects in cell cycle regulation, mitochondrial energy supply, or chromosomal segregation. Consequently, </w:t>
      </w:r>
      <w:proofErr w:type="spellStart"/>
      <w:r w:rsidRPr="00FA635D">
        <w:rPr>
          <w:rFonts w:ascii="Times New Roman" w:hAnsi="Times New Roman"/>
        </w:rPr>
        <w:t>morphokinetic</w:t>
      </w:r>
      <w:proofErr w:type="spellEnd"/>
      <w:r w:rsidRPr="00FA635D">
        <w:rPr>
          <w:rFonts w:ascii="Times New Roman" w:hAnsi="Times New Roman"/>
        </w:rPr>
        <w:t xml:space="preserve"> profiling has been proposed as an additional layer of embryo selection that complements conventional morphological grading (</w:t>
      </w:r>
      <w:proofErr w:type="spellStart"/>
      <w:r w:rsidRPr="00FA635D">
        <w:rPr>
          <w:rFonts w:ascii="Times New Roman" w:hAnsi="Times New Roman"/>
        </w:rPr>
        <w:t>Petrogiannis</w:t>
      </w:r>
      <w:proofErr w:type="spellEnd"/>
      <w:r w:rsidRPr="00FA635D">
        <w:rPr>
          <w:rFonts w:ascii="Times New Roman" w:hAnsi="Times New Roman"/>
        </w:rPr>
        <w:t xml:space="preserve"> et al., 2025).</w:t>
      </w:r>
    </w:p>
    <w:p w14:paraId="67A8850A" w14:textId="41A521B9" w:rsidR="006E35FC" w:rsidRPr="00D8092E" w:rsidRDefault="00D8092E" w:rsidP="00D8092E">
      <w:pPr>
        <w:spacing w:line="360" w:lineRule="auto"/>
        <w:jc w:val="both"/>
        <w:rPr>
          <w:rFonts w:ascii="Times New Roman" w:hAnsi="Times New Roman"/>
          <w:b/>
          <w:bCs/>
        </w:rPr>
      </w:pPr>
      <w:r w:rsidRPr="00D8092E">
        <w:rPr>
          <w:rFonts w:ascii="Times New Roman" w:hAnsi="Times New Roman"/>
          <w:b/>
          <w:bCs/>
        </w:rPr>
        <w:t>7.2</w:t>
      </w:r>
      <w:r w:rsidRPr="00D8092E">
        <w:rPr>
          <w:rFonts w:ascii="Times New Roman" w:hAnsi="Times New Roman"/>
          <w:b/>
          <w:bCs/>
        </w:rPr>
        <w:tab/>
      </w:r>
      <w:r w:rsidR="006E35FC" w:rsidRPr="00D8092E">
        <w:rPr>
          <w:rFonts w:ascii="Times New Roman" w:hAnsi="Times New Roman"/>
          <w:b/>
          <w:bCs/>
        </w:rPr>
        <w:t xml:space="preserve">Machine Learning Models for </w:t>
      </w:r>
      <w:proofErr w:type="spellStart"/>
      <w:r w:rsidR="006E35FC" w:rsidRPr="00D8092E">
        <w:rPr>
          <w:rFonts w:ascii="Times New Roman" w:hAnsi="Times New Roman"/>
          <w:b/>
          <w:bCs/>
        </w:rPr>
        <w:t>Morphokinetic</w:t>
      </w:r>
      <w:proofErr w:type="spellEnd"/>
      <w:r w:rsidR="006E35FC" w:rsidRPr="00D8092E">
        <w:rPr>
          <w:rFonts w:ascii="Times New Roman" w:hAnsi="Times New Roman"/>
          <w:b/>
          <w:bCs/>
        </w:rPr>
        <w:t xml:space="preserve"> Prediction</w:t>
      </w:r>
    </w:p>
    <w:p w14:paraId="768DEABB" w14:textId="0CE7575F" w:rsidR="00D8092E" w:rsidRDefault="006E35FC" w:rsidP="00D8092E">
      <w:pPr>
        <w:spacing w:line="360" w:lineRule="auto"/>
        <w:jc w:val="both"/>
        <w:rPr>
          <w:rFonts w:ascii="Times New Roman" w:hAnsi="Times New Roman"/>
        </w:rPr>
      </w:pPr>
      <w:r w:rsidRPr="00FA635D">
        <w:rPr>
          <w:rFonts w:ascii="Times New Roman" w:hAnsi="Times New Roman"/>
        </w:rPr>
        <w:t xml:space="preserve">Building on time-lapse imaging, machine learning and deep learning algorithms are increasingly used to analyze large </w:t>
      </w:r>
      <w:proofErr w:type="spellStart"/>
      <w:r w:rsidRPr="00FA635D">
        <w:rPr>
          <w:rFonts w:ascii="Times New Roman" w:hAnsi="Times New Roman"/>
        </w:rPr>
        <w:t>morphokinetic</w:t>
      </w:r>
      <w:proofErr w:type="spellEnd"/>
      <w:r w:rsidRPr="00FA635D">
        <w:rPr>
          <w:rFonts w:ascii="Times New Roman" w:hAnsi="Times New Roman"/>
        </w:rPr>
        <w:t xml:space="preserve"> datasets generated during IVF procedures</w:t>
      </w:r>
      <w:r w:rsidR="00FC5101">
        <w:rPr>
          <w:rFonts w:ascii="Times New Roman" w:hAnsi="Times New Roman"/>
        </w:rPr>
        <w:t xml:space="preserve"> (Ajao et al., 2024)</w:t>
      </w:r>
      <w:r w:rsidRPr="00FA635D">
        <w:rPr>
          <w:rFonts w:ascii="Times New Roman" w:hAnsi="Times New Roman"/>
        </w:rPr>
        <w:t xml:space="preserve">. These computational models can automatically detect developmental events, quantify temporal patterns, and rank embryos according to predicted developmental competence (Jiang, 2023). Machine learning systems can identify subtle developmental features that may be difficult for human observers to recognize. By analyzing thousands of embryo images or videos, these models can learn complex relationships between </w:t>
      </w:r>
      <w:proofErr w:type="spellStart"/>
      <w:r w:rsidRPr="00FA635D">
        <w:rPr>
          <w:rFonts w:ascii="Times New Roman" w:hAnsi="Times New Roman"/>
        </w:rPr>
        <w:t>morphokinetic</w:t>
      </w:r>
      <w:proofErr w:type="spellEnd"/>
      <w:r w:rsidRPr="00FA635D">
        <w:rPr>
          <w:rFonts w:ascii="Times New Roman" w:hAnsi="Times New Roman"/>
        </w:rPr>
        <w:t xml:space="preserve"> patterns and reproductive outcomes such as blastocyst formation, implantation potential, and live birth probability (Iannone et al., 2024). Several studies </w:t>
      </w:r>
      <w:r w:rsidRPr="00FA635D">
        <w:rPr>
          <w:rFonts w:ascii="Times New Roman" w:hAnsi="Times New Roman"/>
        </w:rPr>
        <w:lastRenderedPageBreak/>
        <w:t>have demonstrated that machine learning-based embryo evaluation can achieve predictive accuracy comparable to or exceeding conventional manual grading systems. However, the reliability of these models depends heavily on the quality and diversity of training datasets, and external validation across different IVF laboratories remains an important requirement before widespread clinical adoption.</w:t>
      </w:r>
    </w:p>
    <w:p w14:paraId="1A9EC784" w14:textId="5D3EC1D3" w:rsidR="006E35FC" w:rsidRPr="00D8092E" w:rsidRDefault="00D8092E" w:rsidP="00D8092E">
      <w:pPr>
        <w:spacing w:line="360" w:lineRule="auto"/>
        <w:jc w:val="both"/>
        <w:rPr>
          <w:rFonts w:ascii="Times New Roman" w:hAnsi="Times New Roman"/>
          <w:b/>
          <w:bCs/>
        </w:rPr>
      </w:pPr>
      <w:r w:rsidRPr="00D8092E">
        <w:rPr>
          <w:rFonts w:ascii="Times New Roman" w:hAnsi="Times New Roman"/>
          <w:b/>
          <w:bCs/>
        </w:rPr>
        <w:t>7.3</w:t>
      </w:r>
      <w:r w:rsidRPr="00D8092E">
        <w:rPr>
          <w:rFonts w:ascii="Times New Roman" w:hAnsi="Times New Roman"/>
          <w:b/>
          <w:bCs/>
        </w:rPr>
        <w:tab/>
      </w:r>
      <w:r w:rsidR="006E35FC" w:rsidRPr="00D8092E">
        <w:rPr>
          <w:rFonts w:ascii="Times New Roman" w:hAnsi="Times New Roman"/>
          <w:b/>
          <w:bCs/>
        </w:rPr>
        <w:t>Artificial Intelligence–Assisted Embryo Assessment</w:t>
      </w:r>
    </w:p>
    <w:p w14:paraId="1C42B44D" w14:textId="77777777" w:rsidR="00D8092E" w:rsidRDefault="006E35FC" w:rsidP="00D8092E">
      <w:pPr>
        <w:spacing w:line="360" w:lineRule="auto"/>
        <w:jc w:val="both"/>
        <w:rPr>
          <w:rFonts w:ascii="Times New Roman" w:hAnsi="Times New Roman"/>
        </w:rPr>
      </w:pPr>
      <w:r w:rsidRPr="00FA635D">
        <w:rPr>
          <w:rFonts w:ascii="Times New Roman" w:hAnsi="Times New Roman"/>
        </w:rPr>
        <w:t xml:space="preserve">Closely related to machine learning approaches are AI-assisted embryo assessment systems, which combine computer vision algorithms with automated scoring methods to support embryo selection in IVF laboratories. AI platforms analyze morphological and </w:t>
      </w:r>
      <w:proofErr w:type="spellStart"/>
      <w:r w:rsidRPr="00FA635D">
        <w:rPr>
          <w:rFonts w:ascii="Times New Roman" w:hAnsi="Times New Roman"/>
        </w:rPr>
        <w:t>morphokinetic</w:t>
      </w:r>
      <w:proofErr w:type="spellEnd"/>
      <w:r w:rsidRPr="00FA635D">
        <w:rPr>
          <w:rFonts w:ascii="Times New Roman" w:hAnsi="Times New Roman"/>
        </w:rPr>
        <w:t xml:space="preserve"> features extracted from embryo images and generate predictive scores reflecting embryo viability or implantation potential (</w:t>
      </w:r>
      <w:proofErr w:type="spellStart"/>
      <w:r w:rsidRPr="00FA635D">
        <w:rPr>
          <w:rFonts w:ascii="Times New Roman" w:hAnsi="Times New Roman"/>
        </w:rPr>
        <w:t>Cimadomo</w:t>
      </w:r>
      <w:proofErr w:type="spellEnd"/>
      <w:r w:rsidRPr="00FA635D">
        <w:rPr>
          <w:rFonts w:ascii="Times New Roman" w:hAnsi="Times New Roman"/>
        </w:rPr>
        <w:t xml:space="preserve"> et al., 2025). These systems can help standardize embryo assessment by reducing subjective variability among embryologists and by incorporating large numbers of image-derived parameters that cannot be evaluated manually (Iannone et al., 2024). Although AI-driven embryo ranking has shown promising results, current evidence suggests that these tools are best used as decision-support systems rather than replacements for expert embryologists. Clinical validation studies are still ongoing to determine whether AI-assisted embryo selection consistently improves implantation rates and live birth outcomes (Thomson et al., 2025).</w:t>
      </w:r>
    </w:p>
    <w:p w14:paraId="6026029D" w14:textId="2AF1787D" w:rsidR="006E35FC" w:rsidRPr="00D8092E" w:rsidRDefault="00D8092E" w:rsidP="00D8092E">
      <w:pPr>
        <w:spacing w:line="360" w:lineRule="auto"/>
        <w:jc w:val="both"/>
        <w:rPr>
          <w:rFonts w:ascii="Times New Roman" w:hAnsi="Times New Roman"/>
          <w:b/>
          <w:bCs/>
        </w:rPr>
      </w:pPr>
      <w:r w:rsidRPr="00D8092E">
        <w:rPr>
          <w:rFonts w:ascii="Times New Roman" w:hAnsi="Times New Roman"/>
          <w:b/>
          <w:bCs/>
        </w:rPr>
        <w:t>7.4</w:t>
      </w:r>
      <w:r w:rsidRPr="00D8092E">
        <w:rPr>
          <w:rFonts w:ascii="Times New Roman" w:hAnsi="Times New Roman"/>
          <w:b/>
          <w:bCs/>
        </w:rPr>
        <w:tab/>
      </w:r>
      <w:r w:rsidR="006E35FC" w:rsidRPr="00D8092E">
        <w:rPr>
          <w:rFonts w:ascii="Times New Roman" w:hAnsi="Times New Roman"/>
          <w:b/>
          <w:bCs/>
        </w:rPr>
        <w:t>Multi-Omics Approaches to Biomarker Discovery</w:t>
      </w:r>
    </w:p>
    <w:p w14:paraId="6898077C" w14:textId="77777777" w:rsidR="00D8092E" w:rsidRDefault="006E35FC" w:rsidP="00D8092E">
      <w:pPr>
        <w:spacing w:line="360" w:lineRule="auto"/>
        <w:jc w:val="both"/>
        <w:rPr>
          <w:rFonts w:ascii="Times New Roman" w:hAnsi="Times New Roman"/>
        </w:rPr>
      </w:pPr>
      <w:r w:rsidRPr="00FA635D">
        <w:rPr>
          <w:rFonts w:ascii="Times New Roman" w:hAnsi="Times New Roman"/>
        </w:rPr>
        <w:t xml:space="preserve">In parallel with advances in imaging technologies, multi-omics approaches are expanding the molecular understanding of oocyte and embryo competence. These approaches integrate multiple layers of biological information, including transcriptomics, proteomics, metabolomics, and </w:t>
      </w:r>
      <w:proofErr w:type="spellStart"/>
      <w:r w:rsidRPr="00FA635D">
        <w:rPr>
          <w:rFonts w:ascii="Times New Roman" w:hAnsi="Times New Roman"/>
        </w:rPr>
        <w:t>secretomics</w:t>
      </w:r>
      <w:proofErr w:type="spellEnd"/>
      <w:r w:rsidRPr="00FA635D">
        <w:rPr>
          <w:rFonts w:ascii="Times New Roman" w:hAnsi="Times New Roman"/>
        </w:rPr>
        <w:t xml:space="preserve"> to identify molecular signatures associated with oocyte quality and embryo developmental potential (De Oliveira et al., 2025). Through integrated data analysis, researchers can identify pathways associated with mitochondrial metabolism, oxidative stress regulation, extracellular matrix remodeling, and somatic–germ cell communication within the follicle. These molecular profiles provide mechanistic insights into the biological processes that influence oocyte competence and early embryo development (Molin et al., 2025). Because these analyses can often be performed using non-invasive samples such as spent culture media or cumulus cells, they offer promising opportunities for improving embryo selection without compromising embryo viability (Massoud et al., 2023).</w:t>
      </w:r>
    </w:p>
    <w:p w14:paraId="6D8020CC" w14:textId="0CF135F6" w:rsidR="006E35FC" w:rsidRPr="00D8092E" w:rsidRDefault="00D8092E" w:rsidP="00D8092E">
      <w:pPr>
        <w:spacing w:line="360" w:lineRule="auto"/>
        <w:jc w:val="both"/>
        <w:rPr>
          <w:rFonts w:ascii="Times New Roman" w:hAnsi="Times New Roman"/>
          <w:b/>
          <w:bCs/>
        </w:rPr>
      </w:pPr>
      <w:r w:rsidRPr="00D8092E">
        <w:rPr>
          <w:rFonts w:ascii="Times New Roman" w:hAnsi="Times New Roman"/>
          <w:b/>
          <w:bCs/>
        </w:rPr>
        <w:t>7.5</w:t>
      </w:r>
      <w:r w:rsidRPr="00D8092E">
        <w:rPr>
          <w:rFonts w:ascii="Times New Roman" w:hAnsi="Times New Roman"/>
          <w:b/>
          <w:bCs/>
        </w:rPr>
        <w:tab/>
      </w:r>
      <w:r w:rsidR="006E35FC" w:rsidRPr="00D8092E">
        <w:rPr>
          <w:rFonts w:ascii="Times New Roman" w:hAnsi="Times New Roman"/>
          <w:b/>
          <w:bCs/>
        </w:rPr>
        <w:t xml:space="preserve">Digital Health and Wearable Biosensor Technologies </w:t>
      </w:r>
    </w:p>
    <w:p w14:paraId="67772293" w14:textId="30100AA3" w:rsidR="006E35FC" w:rsidRPr="00AB0FBC" w:rsidRDefault="006E35FC" w:rsidP="006E35FC">
      <w:pPr>
        <w:spacing w:line="360" w:lineRule="auto"/>
        <w:jc w:val="both"/>
        <w:rPr>
          <w:rFonts w:ascii="Times New Roman" w:hAnsi="Times New Roman"/>
        </w:rPr>
      </w:pPr>
      <w:r w:rsidRPr="00AB0FBC">
        <w:rPr>
          <w:rFonts w:ascii="Times New Roman" w:hAnsi="Times New Roman"/>
        </w:rPr>
        <w:t>Beyond current laboratory-based assessment approaches, emerging advances in biomedical engineering and wearable biosensor technologies may provide future opportunities for continuous monitoring of physiological parameters relevant to reproductive health</w:t>
      </w:r>
      <w:r w:rsidR="00FC5101">
        <w:rPr>
          <w:rFonts w:ascii="Times New Roman" w:hAnsi="Times New Roman"/>
        </w:rPr>
        <w:t xml:space="preserve"> (Akanbi et al., 2025)</w:t>
      </w:r>
      <w:r w:rsidRPr="00AB0FBC">
        <w:rPr>
          <w:rFonts w:ascii="Times New Roman" w:hAnsi="Times New Roman"/>
        </w:rPr>
        <w:t xml:space="preserve">. Recent developments in flexible electronic sensors and textile-integrated biofluid monitoring platforms demonstrate the feasibility of non-invasive physiological tracking systems capable of measuring </w:t>
      </w:r>
      <w:r w:rsidRPr="00AB0FBC">
        <w:rPr>
          <w:rFonts w:ascii="Times New Roman" w:hAnsi="Times New Roman"/>
        </w:rPr>
        <w:lastRenderedPageBreak/>
        <w:t>motion dynamics, metabolic activity, and sweat composition in real time</w:t>
      </w:r>
      <w:r>
        <w:rPr>
          <w:rFonts w:ascii="Times New Roman" w:hAnsi="Times New Roman"/>
        </w:rPr>
        <w:t xml:space="preserve"> (</w:t>
      </w:r>
      <w:r w:rsidRPr="00CB690E">
        <w:rPr>
          <w:rFonts w:ascii="Times New Roman" w:hAnsi="Times New Roman"/>
        </w:rPr>
        <w:t>Hutchins</w:t>
      </w:r>
      <w:r>
        <w:rPr>
          <w:rFonts w:ascii="Times New Roman" w:hAnsi="Times New Roman"/>
        </w:rPr>
        <w:t xml:space="preserve"> et al., 2025)</w:t>
      </w:r>
      <w:r w:rsidRPr="00AB0FBC">
        <w:rPr>
          <w:rFonts w:ascii="Times New Roman" w:hAnsi="Times New Roman"/>
        </w:rPr>
        <w:t>. Although these technologies are currently applied primarily in biomedical engineering and personalized health monitoring, their underlying sensing principles may eventually be adapted for reproductive medicine applications such as monitoring metabolic stress, hormonal fluctuations, and physiological indicators associated with ovarian function and fertility status. The convergence of smart biosensors, artificial intelligence, and reproductive biomarker discovery may therefore represent an emerging frontier for precision fertility monitoring and personalized reproductive healthcare</w:t>
      </w:r>
      <w:r>
        <w:rPr>
          <w:rFonts w:ascii="Times New Roman" w:hAnsi="Times New Roman"/>
        </w:rPr>
        <w:t xml:space="preserve"> (</w:t>
      </w:r>
      <w:r w:rsidRPr="00B62332">
        <w:rPr>
          <w:rFonts w:ascii="Times New Roman" w:hAnsi="Times New Roman"/>
        </w:rPr>
        <w:t>Akanbi</w:t>
      </w:r>
      <w:r>
        <w:rPr>
          <w:rFonts w:ascii="Times New Roman" w:hAnsi="Times New Roman"/>
        </w:rPr>
        <w:t xml:space="preserve"> et al., 202</w:t>
      </w:r>
      <w:r w:rsidR="009D0CFC">
        <w:rPr>
          <w:rFonts w:ascii="Times New Roman" w:hAnsi="Times New Roman"/>
        </w:rPr>
        <w:t>5</w:t>
      </w:r>
      <w:r>
        <w:rPr>
          <w:rFonts w:ascii="Times New Roman" w:hAnsi="Times New Roman"/>
        </w:rPr>
        <w:t>)</w:t>
      </w:r>
      <w:r w:rsidRPr="00AB0FBC">
        <w:rPr>
          <w:rFonts w:ascii="Times New Roman" w:hAnsi="Times New Roman"/>
        </w:rPr>
        <w:t>.</w:t>
      </w:r>
    </w:p>
    <w:p w14:paraId="607653F7" w14:textId="77777777" w:rsidR="006E35FC" w:rsidRPr="002726A4" w:rsidRDefault="006E35FC" w:rsidP="006E35FC">
      <w:pPr>
        <w:spacing w:line="360" w:lineRule="auto"/>
        <w:jc w:val="both"/>
        <w:rPr>
          <w:rFonts w:ascii="Times New Roman" w:hAnsi="Times New Roman"/>
          <w:b/>
          <w:bCs/>
        </w:rPr>
      </w:pPr>
      <w:r w:rsidRPr="002726A4">
        <w:rPr>
          <w:rFonts w:ascii="Times New Roman" w:hAnsi="Times New Roman"/>
          <w:b/>
          <w:bCs/>
        </w:rPr>
        <w:t>8.</w:t>
      </w:r>
      <w:r w:rsidRPr="002726A4">
        <w:rPr>
          <w:rFonts w:ascii="Times New Roman" w:hAnsi="Times New Roman"/>
          <w:b/>
          <w:bCs/>
        </w:rPr>
        <w:tab/>
        <w:t>Clinical and Assisted Reproductive Technology (ART) Implications</w:t>
      </w:r>
    </w:p>
    <w:p w14:paraId="44C895CE" w14:textId="77777777" w:rsidR="005A1C54" w:rsidRDefault="006E35FC" w:rsidP="005A1C54">
      <w:pPr>
        <w:spacing w:line="360" w:lineRule="auto"/>
        <w:jc w:val="both"/>
        <w:rPr>
          <w:rFonts w:ascii="Times New Roman" w:hAnsi="Times New Roman"/>
        </w:rPr>
      </w:pPr>
      <w:r w:rsidRPr="002726A4">
        <w:rPr>
          <w:rFonts w:ascii="Times New Roman" w:hAnsi="Times New Roman"/>
        </w:rPr>
        <w:t>Understanding the molecular and cellular mechanisms that govern oocyte developmental competence has profound implications for clinical reproductive medicine. In assisted reproductive technologies (ART), including in vitro fertilization (IVF), success rates depend heavily on the intrinsic quality of the oocyte, as the developmental program necessary for fertilization and early embryogenesis is largely established during oogenesis (Conti and Franciosi, 2018). Despite technological improvements in embryo culture and selection, the oocyte remains the primary determinant of embryo viability and pregnancy outcome (Anderson et al., 2025). Therefore, insights into the biological pathways regulating oocyte competence, including mitochondrial function, chromosomal integrity, follicular signaling, and age-related decline have guided the development of strategies aimed at improving ART outcomes (Ferreira et al., 2023).</w:t>
      </w:r>
    </w:p>
    <w:p w14:paraId="6C6C5678" w14:textId="06DEC798" w:rsidR="006E35FC" w:rsidRPr="005A1C54" w:rsidRDefault="005A1C54" w:rsidP="005A1C54">
      <w:pPr>
        <w:spacing w:line="360" w:lineRule="auto"/>
        <w:jc w:val="both"/>
        <w:rPr>
          <w:rFonts w:ascii="Times New Roman" w:hAnsi="Times New Roman"/>
          <w:b/>
          <w:bCs/>
        </w:rPr>
      </w:pPr>
      <w:r w:rsidRPr="005A1C54">
        <w:rPr>
          <w:rFonts w:ascii="Times New Roman" w:hAnsi="Times New Roman"/>
          <w:b/>
          <w:bCs/>
        </w:rPr>
        <w:t>8.1</w:t>
      </w:r>
      <w:r w:rsidRPr="005A1C54">
        <w:rPr>
          <w:rFonts w:ascii="Times New Roman" w:hAnsi="Times New Roman"/>
          <w:b/>
          <w:bCs/>
        </w:rPr>
        <w:tab/>
      </w:r>
      <w:r w:rsidR="006E35FC" w:rsidRPr="005A1C54">
        <w:rPr>
          <w:rFonts w:ascii="Times New Roman" w:hAnsi="Times New Roman"/>
          <w:b/>
          <w:bCs/>
        </w:rPr>
        <w:t>Oocyte Selection and Prediction of IVF Success</w:t>
      </w:r>
    </w:p>
    <w:p w14:paraId="133E36BA"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One of the major clinical challenges in ART is identifying oocytes with the highest developmental potential. Traditional approaches rely on morphological assessment; however, morphology alone does not reliably reflect the underlying metabolic and molecular state of the oocyte (</w:t>
      </w:r>
      <w:proofErr w:type="spellStart"/>
      <w:r w:rsidRPr="002726A4">
        <w:rPr>
          <w:rFonts w:ascii="Times New Roman" w:hAnsi="Times New Roman"/>
        </w:rPr>
        <w:t>Sciorio</w:t>
      </w:r>
      <w:proofErr w:type="spellEnd"/>
      <w:r w:rsidRPr="002726A4">
        <w:rPr>
          <w:rFonts w:ascii="Times New Roman" w:hAnsi="Times New Roman"/>
        </w:rPr>
        <w:t xml:space="preserve"> et al., 2022). As a result, current research focuses on integrating molecular biomarkers derived from the cumulus–oocyte complex and follicular microenvironment into oocyte selection strategies (</w:t>
      </w:r>
      <w:proofErr w:type="spellStart"/>
      <w:r w:rsidRPr="002726A4">
        <w:rPr>
          <w:rFonts w:ascii="Times New Roman" w:hAnsi="Times New Roman"/>
        </w:rPr>
        <w:t>Sirait</w:t>
      </w:r>
      <w:proofErr w:type="spellEnd"/>
      <w:r w:rsidRPr="002726A4">
        <w:rPr>
          <w:rFonts w:ascii="Times New Roman" w:hAnsi="Times New Roman"/>
        </w:rPr>
        <w:t xml:space="preserve"> et al., 2021). Gene expression profiles of cumulus cells, for example, provide indirect indicators of oocyte competence because these cells regulate metabolic support, signaling pathways, and meiotic maturation within the follicle. Transcriptomic markers involved in extracellular matrix remodeling, steroid metabolism, and apoptosis regulation have been associated with embryo developmental potential and clinical pregnancy outcomes (Massoud et al., 2023). The integration of such biomarkers into IVF workflows may improve the identification of competent oocytes before fertilization.</w:t>
      </w:r>
    </w:p>
    <w:p w14:paraId="0014403D" w14:textId="77777777" w:rsidR="005A1C54" w:rsidRDefault="006E35FC" w:rsidP="005A1C54">
      <w:pPr>
        <w:spacing w:line="360" w:lineRule="auto"/>
        <w:jc w:val="both"/>
        <w:rPr>
          <w:rFonts w:ascii="Times New Roman" w:hAnsi="Times New Roman"/>
        </w:rPr>
      </w:pPr>
      <w:r w:rsidRPr="002726A4">
        <w:rPr>
          <w:rFonts w:ascii="Times New Roman" w:hAnsi="Times New Roman"/>
        </w:rPr>
        <w:t>Additionally, the recognition that mitochondrial dysfunction and oxidative stress are major contributors to poor oocyte competence has prompted investigations into metabolic indicators of oocyte quality. Biomarkers related to mitochondrial activity, ATP production, and oxidative phosphorylation efficiency may serve as predictors of fertilization success and embryo developmental potential (Voros et al., 2025).</w:t>
      </w:r>
    </w:p>
    <w:p w14:paraId="544E5445" w14:textId="6AE6B187" w:rsidR="006E35FC" w:rsidRPr="005A1C54" w:rsidRDefault="005A1C54" w:rsidP="005A1C54">
      <w:pPr>
        <w:spacing w:line="360" w:lineRule="auto"/>
        <w:jc w:val="both"/>
        <w:rPr>
          <w:rFonts w:ascii="Times New Roman" w:hAnsi="Times New Roman"/>
          <w:b/>
          <w:bCs/>
        </w:rPr>
      </w:pPr>
      <w:r w:rsidRPr="005A1C54">
        <w:rPr>
          <w:rFonts w:ascii="Times New Roman" w:hAnsi="Times New Roman"/>
          <w:b/>
          <w:bCs/>
        </w:rPr>
        <w:lastRenderedPageBreak/>
        <w:t>8.2</w:t>
      </w:r>
      <w:r w:rsidRPr="005A1C54">
        <w:rPr>
          <w:rFonts w:ascii="Times New Roman" w:hAnsi="Times New Roman"/>
          <w:b/>
          <w:bCs/>
        </w:rPr>
        <w:tab/>
      </w:r>
      <w:r w:rsidR="006E35FC" w:rsidRPr="005A1C54">
        <w:rPr>
          <w:rFonts w:ascii="Times New Roman" w:hAnsi="Times New Roman"/>
          <w:b/>
          <w:bCs/>
        </w:rPr>
        <w:t>Optimization of Ovarian Stimulation Protocols</w:t>
      </w:r>
    </w:p>
    <w:p w14:paraId="5C03B80D"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Controlled ovarian stimulation (COS) is a critical component of IVF treatment designed to promote the development of multiple follicles and increase the number of retrievable oocytes. However, excessive or poorly regulated stimulation can disrupt follicular signaling pathways and impair oocyte developmental competence (Chandra and Sharma, 2020). Hormonal signaling within the follicle particularly the balance between follicle-stimulating hormone (FSH) and anti-Müllerian hormone (AMH) plays a central role in regulating follicular growth, oocyte maturation, and metabolic cooperation between oocytes and cumulus cells (Anderson et al., 2025). Evidence suggests that dysregulated FSH signaling may disrupt cumulus–oocyte communication and interfere with the transfer of metabolites and regulatory molecules necessary for meiotic competence and DNA repair (</w:t>
      </w:r>
      <w:proofErr w:type="spellStart"/>
      <w:r w:rsidRPr="002726A4">
        <w:rPr>
          <w:rFonts w:ascii="Times New Roman" w:hAnsi="Times New Roman"/>
        </w:rPr>
        <w:t>Richani</w:t>
      </w:r>
      <w:proofErr w:type="spellEnd"/>
      <w:r w:rsidRPr="002726A4">
        <w:rPr>
          <w:rFonts w:ascii="Times New Roman" w:hAnsi="Times New Roman"/>
        </w:rPr>
        <w:t xml:space="preserve"> et al., 2020). Consequently, individualized stimulation protocols that consider patient age, ovarian reserve, and endocrine status may improve oocyte quality and IVF outcomes.</w:t>
      </w:r>
    </w:p>
    <w:p w14:paraId="6DF7C210" w14:textId="77777777" w:rsidR="005A1C54" w:rsidRDefault="006E35FC" w:rsidP="005A1C54">
      <w:pPr>
        <w:spacing w:line="360" w:lineRule="auto"/>
        <w:jc w:val="both"/>
        <w:rPr>
          <w:rFonts w:ascii="Times New Roman" w:hAnsi="Times New Roman"/>
        </w:rPr>
      </w:pPr>
      <w:r w:rsidRPr="002726A4">
        <w:rPr>
          <w:rFonts w:ascii="Times New Roman" w:hAnsi="Times New Roman"/>
        </w:rPr>
        <w:t>Furthermore, recent insights into follicular signaling networks have highlighted the importance of epidermal growth factors (EGF)-like peptide pathways in mediating the ovulatory cascade and promoting oocyte maturation. The incorporation of EGF-like factors or modulators of cyclic nucleotide signaling into in vitro maturation (IVM) systems has been shown to improve developmental competence by restoring physiological maturation signals that may be disrupted during ART procedures (Navarro et al., 2024).</w:t>
      </w:r>
    </w:p>
    <w:p w14:paraId="69F23E70" w14:textId="4C9245F0" w:rsidR="006E35FC" w:rsidRPr="005A1C54" w:rsidRDefault="005A1C54" w:rsidP="005A1C54">
      <w:pPr>
        <w:spacing w:line="360" w:lineRule="auto"/>
        <w:jc w:val="both"/>
        <w:rPr>
          <w:rFonts w:ascii="Times New Roman" w:hAnsi="Times New Roman"/>
          <w:b/>
          <w:bCs/>
        </w:rPr>
      </w:pPr>
      <w:r w:rsidRPr="005A1C54">
        <w:rPr>
          <w:rFonts w:ascii="Times New Roman" w:hAnsi="Times New Roman"/>
          <w:b/>
          <w:bCs/>
        </w:rPr>
        <w:t>8.3</w:t>
      </w:r>
      <w:r w:rsidRPr="005A1C54">
        <w:rPr>
          <w:rFonts w:ascii="Times New Roman" w:hAnsi="Times New Roman"/>
          <w:b/>
          <w:bCs/>
        </w:rPr>
        <w:tab/>
      </w:r>
      <w:r w:rsidR="006E35FC" w:rsidRPr="005A1C54">
        <w:rPr>
          <w:rFonts w:ascii="Times New Roman" w:hAnsi="Times New Roman"/>
          <w:b/>
          <w:bCs/>
        </w:rPr>
        <w:t>Managing Age-Related Decline in Oocyte Competence</w:t>
      </w:r>
    </w:p>
    <w:p w14:paraId="0D522CA7"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Maternal age remains one of the strongest predictors of reproductive success in both natural conception and ART (Ferreira et al., 2023). As women age, oocytes accumulate mitochondrial damage, oxidative stress, and chromosomal abnormalities that reduce fertilization potential and increase the risk of miscarriage (Sasaki et al., 2019). These changes are primarily attributed to the prolonged meiotic arrest of oocytes, which leads to progressive deterioration of chromosome cohesion and increased susceptibility to segregation errors during meiosis (Baldini et al., 2024).</w:t>
      </w:r>
    </w:p>
    <w:p w14:paraId="4CA465CA" w14:textId="77777777" w:rsidR="005A1C54" w:rsidRDefault="006E35FC" w:rsidP="005A1C54">
      <w:pPr>
        <w:spacing w:line="360" w:lineRule="auto"/>
        <w:jc w:val="both"/>
        <w:rPr>
          <w:rFonts w:ascii="Times New Roman" w:hAnsi="Times New Roman"/>
        </w:rPr>
      </w:pPr>
      <w:r w:rsidRPr="002726A4">
        <w:rPr>
          <w:rFonts w:ascii="Times New Roman" w:hAnsi="Times New Roman"/>
        </w:rPr>
        <w:t>Several clinical strategies have been developed to address age-related declines in oocyte competence. One widely used approach is fertility preservation through oocyte cryopreservation, which allows women to store oocytes at younger ages before significant deterioration occurs (Dolmans et al., 2022). This strategy has become increasingly relevant as many women delay childbearing due to social and professional factors.</w:t>
      </w:r>
      <w:r>
        <w:rPr>
          <w:rFonts w:ascii="Times New Roman" w:hAnsi="Times New Roman"/>
        </w:rPr>
        <w:t xml:space="preserve"> </w:t>
      </w:r>
      <w:r w:rsidRPr="002726A4">
        <w:rPr>
          <w:rFonts w:ascii="Times New Roman" w:hAnsi="Times New Roman"/>
        </w:rPr>
        <w:t>Another approach involves optimizing ovarian stimulation and embryo selection protocols to maximize the chances of retrieving euploid embryos. Preimplantation genetic testing for aneuploidy (PGT-A), for example, allows clinicians to identify chromosomally normal embryos, thereby reducing the risk of implantation failure and miscarriage in older patients (Sasaki et al., 2019</w:t>
      </w:r>
      <w:r>
        <w:rPr>
          <w:rFonts w:ascii="Times New Roman" w:hAnsi="Times New Roman"/>
        </w:rPr>
        <w:t xml:space="preserve">; </w:t>
      </w:r>
      <w:proofErr w:type="spellStart"/>
      <w:r w:rsidRPr="002726A4">
        <w:rPr>
          <w:rFonts w:ascii="Times New Roman" w:hAnsi="Times New Roman"/>
        </w:rPr>
        <w:t>Petrogiannis</w:t>
      </w:r>
      <w:proofErr w:type="spellEnd"/>
      <w:r w:rsidRPr="002726A4">
        <w:rPr>
          <w:rFonts w:ascii="Times New Roman" w:hAnsi="Times New Roman"/>
        </w:rPr>
        <w:t xml:space="preserve"> et al., 2025).</w:t>
      </w:r>
    </w:p>
    <w:p w14:paraId="041BC9DC" w14:textId="1501489B" w:rsidR="006E35FC" w:rsidRPr="005A1C54" w:rsidRDefault="005A1C54" w:rsidP="005A1C54">
      <w:pPr>
        <w:spacing w:line="360" w:lineRule="auto"/>
        <w:jc w:val="both"/>
        <w:rPr>
          <w:rFonts w:ascii="Times New Roman" w:hAnsi="Times New Roman"/>
          <w:b/>
          <w:bCs/>
        </w:rPr>
      </w:pPr>
      <w:r w:rsidRPr="005A1C54">
        <w:rPr>
          <w:rFonts w:ascii="Times New Roman" w:hAnsi="Times New Roman"/>
          <w:b/>
          <w:bCs/>
        </w:rPr>
        <w:t>8.4</w:t>
      </w:r>
      <w:r w:rsidRPr="005A1C54">
        <w:rPr>
          <w:rFonts w:ascii="Times New Roman" w:hAnsi="Times New Roman"/>
          <w:b/>
          <w:bCs/>
        </w:rPr>
        <w:tab/>
      </w:r>
      <w:r w:rsidR="006E35FC" w:rsidRPr="005A1C54">
        <w:rPr>
          <w:rFonts w:ascii="Times New Roman" w:hAnsi="Times New Roman"/>
          <w:b/>
          <w:bCs/>
        </w:rPr>
        <w:t>Fertility Preservation and Emerging Therapeutic Approaches</w:t>
      </w:r>
    </w:p>
    <w:p w14:paraId="391BB964" w14:textId="64A99A71" w:rsidR="006E35FC" w:rsidRDefault="006E35FC" w:rsidP="006E35FC">
      <w:pPr>
        <w:spacing w:line="360" w:lineRule="auto"/>
        <w:jc w:val="both"/>
        <w:rPr>
          <w:rFonts w:ascii="Times New Roman" w:hAnsi="Times New Roman"/>
        </w:rPr>
      </w:pPr>
      <w:r w:rsidRPr="002726A4">
        <w:rPr>
          <w:rFonts w:ascii="Times New Roman" w:hAnsi="Times New Roman"/>
        </w:rPr>
        <w:lastRenderedPageBreak/>
        <w:t>Beyond conventional IVF strategies, emerging therapeutic approaches aim to preserve or restore oocyte competence by targeting the molecular pathways that regulate ovarian aging and follicular development</w:t>
      </w:r>
      <w:r w:rsidR="00C129DB">
        <w:rPr>
          <w:rFonts w:ascii="Times New Roman" w:hAnsi="Times New Roman"/>
        </w:rPr>
        <w:t xml:space="preserve"> </w:t>
      </w:r>
      <w:r w:rsidR="00C129DB" w:rsidRPr="00C129DB">
        <w:rPr>
          <w:rFonts w:ascii="Times New Roman" w:hAnsi="Times New Roman"/>
          <w:highlight w:val="yellow"/>
        </w:rPr>
        <w:t>(</w:t>
      </w:r>
      <w:proofErr w:type="spellStart"/>
      <w:r w:rsidR="00C129DB" w:rsidRPr="00C129DB">
        <w:rPr>
          <w:rFonts w:ascii="Times New Roman" w:hAnsi="Times New Roman"/>
          <w:highlight w:val="yellow"/>
        </w:rPr>
        <w:t>A</w:t>
      </w:r>
      <w:r w:rsidR="00EA4C6E">
        <w:rPr>
          <w:rFonts w:ascii="Times New Roman" w:hAnsi="Times New Roman"/>
          <w:highlight w:val="yellow"/>
        </w:rPr>
        <w:t>lo</w:t>
      </w:r>
      <w:r w:rsidR="00C129DB" w:rsidRPr="00C129DB">
        <w:rPr>
          <w:rFonts w:ascii="Times New Roman" w:hAnsi="Times New Roman"/>
          <w:highlight w:val="yellow"/>
        </w:rPr>
        <w:t>woes</w:t>
      </w:r>
      <w:r w:rsidR="00EA4C6E">
        <w:rPr>
          <w:rFonts w:ascii="Times New Roman" w:hAnsi="Times New Roman"/>
          <w:highlight w:val="yellow"/>
        </w:rPr>
        <w:t>h</w:t>
      </w:r>
      <w:r w:rsidR="00C129DB" w:rsidRPr="00C129DB">
        <w:rPr>
          <w:rFonts w:ascii="Times New Roman" w:hAnsi="Times New Roman"/>
          <w:highlight w:val="yellow"/>
        </w:rPr>
        <w:t>in</w:t>
      </w:r>
      <w:proofErr w:type="spellEnd"/>
      <w:r w:rsidR="00C129DB" w:rsidRPr="00C129DB">
        <w:rPr>
          <w:rFonts w:ascii="Times New Roman" w:hAnsi="Times New Roman"/>
          <w:highlight w:val="yellow"/>
        </w:rPr>
        <w:t xml:space="preserve"> et al., 2025)</w:t>
      </w:r>
      <w:r w:rsidRPr="002726A4">
        <w:rPr>
          <w:rFonts w:ascii="Times New Roman" w:hAnsi="Times New Roman"/>
        </w:rPr>
        <w:t>. Research into nutrient-sensing and longevity pathways—including PI3K/AKT/mTOR signaling, insulin-like growth factor pathways, and sirtuin-mediated metabolic regulation—has revealed potential targets for interventions designed to maintain ovarian reserve and oocyte quality (Ferreira et al., 2023). These pathways regulate primordial follicle activation, mitochondrial metabolism, and cellular stress responses within the ovary. Modulation of these signaling networks may offer novel strategies for extending reproductive lifespan and improving fertility outcomes, particularly in women experiencing premature ovarian insufficiency or age-related fertility decline (Anderson et al., 2025). Additionally, advances in reproductive biotechnology including improved in vitro maturation systems, artificial ovary models, and stem cell–based approaches hold promise for expanding fertility preservation options in the future (Chandra and Sharma, 2020).</w:t>
      </w:r>
    </w:p>
    <w:p w14:paraId="76C5D836" w14:textId="77777777" w:rsidR="005A1C54" w:rsidRPr="002726A4" w:rsidRDefault="005A1C54" w:rsidP="006E35FC">
      <w:pPr>
        <w:spacing w:line="360" w:lineRule="auto"/>
        <w:jc w:val="both"/>
        <w:rPr>
          <w:rFonts w:ascii="Times New Roman" w:hAnsi="Times New Roman"/>
        </w:rPr>
      </w:pPr>
    </w:p>
    <w:p w14:paraId="77A3FB34" w14:textId="77777777" w:rsidR="006E35FC" w:rsidRPr="005A1C54" w:rsidRDefault="006E35FC" w:rsidP="006E35FC">
      <w:pPr>
        <w:spacing w:line="360" w:lineRule="auto"/>
        <w:jc w:val="both"/>
        <w:rPr>
          <w:rFonts w:ascii="Times New Roman" w:hAnsi="Times New Roman"/>
          <w:b/>
          <w:bCs/>
          <w:highlight w:val="yellow"/>
        </w:rPr>
      </w:pPr>
      <w:r w:rsidRPr="005A1C54">
        <w:rPr>
          <w:rFonts w:ascii="Times New Roman" w:hAnsi="Times New Roman"/>
          <w:b/>
          <w:bCs/>
          <w:highlight w:val="yellow"/>
        </w:rPr>
        <w:t>CONCLUSION</w:t>
      </w:r>
    </w:p>
    <w:p w14:paraId="68E8FDD6" w14:textId="77777777" w:rsidR="006E35FC" w:rsidRPr="005A1C54" w:rsidRDefault="006E35FC" w:rsidP="006E35FC">
      <w:pPr>
        <w:spacing w:line="360" w:lineRule="auto"/>
        <w:jc w:val="both"/>
        <w:rPr>
          <w:rFonts w:ascii="Times New Roman" w:hAnsi="Times New Roman"/>
          <w:highlight w:val="yellow"/>
        </w:rPr>
      </w:pPr>
      <w:r w:rsidRPr="005A1C54">
        <w:rPr>
          <w:rFonts w:ascii="Times New Roman" w:hAnsi="Times New Roman"/>
          <w:highlight w:val="yellow"/>
        </w:rPr>
        <w:t xml:space="preserve">Oocyte developmental competence represents a central determinant of reproductive success, integrating a complex network of molecular, cellular, and metabolic processes that collectively determine whether an oocyte can support fertilization, embryogenesis, implantation, and successful pregnancy (Conti and Franciosi, 2018). Throughout oogenesis and </w:t>
      </w:r>
      <w:proofErr w:type="spellStart"/>
      <w:r w:rsidRPr="005A1C54">
        <w:rPr>
          <w:rFonts w:ascii="Times New Roman" w:hAnsi="Times New Roman"/>
          <w:highlight w:val="yellow"/>
        </w:rPr>
        <w:t>folliculogenesis</w:t>
      </w:r>
      <w:proofErr w:type="spellEnd"/>
      <w:r w:rsidRPr="005A1C54">
        <w:rPr>
          <w:rFonts w:ascii="Times New Roman" w:hAnsi="Times New Roman"/>
          <w:highlight w:val="yellow"/>
        </w:rPr>
        <w:t>, the oocyte progressively acquires this competence through coordinated nuclear and cytoplasmic maturation, mitochondrial biogenesis and metabolic regulation, epigenetic programming, and the accumulation of maternal RNAs and proteins necessary for early embryonic development (Innocenti et al., 2022). Importantly, these processes are not autonomous to the oocyte but depend heavily on bidirectional communication with surrounding somatic cells within the follicular microenvironment (</w:t>
      </w:r>
      <w:proofErr w:type="spellStart"/>
      <w:r w:rsidRPr="005A1C54">
        <w:rPr>
          <w:rFonts w:ascii="Times New Roman" w:hAnsi="Times New Roman"/>
          <w:highlight w:val="yellow"/>
        </w:rPr>
        <w:t>Richani</w:t>
      </w:r>
      <w:proofErr w:type="spellEnd"/>
      <w:r w:rsidRPr="005A1C54">
        <w:rPr>
          <w:rFonts w:ascii="Times New Roman" w:hAnsi="Times New Roman"/>
          <w:highlight w:val="yellow"/>
        </w:rPr>
        <w:t xml:space="preserve"> et al., 2020). Disruptions in these regulatory networks whether arising from metabolic imbalance, oxidative stress, chromosomal instability, or impaired follicular signaling can significantly compromise oocyte quality and reproductive outcomes (</w:t>
      </w:r>
      <w:proofErr w:type="spellStart"/>
      <w:r w:rsidRPr="005A1C54">
        <w:rPr>
          <w:rFonts w:ascii="Times New Roman" w:hAnsi="Times New Roman"/>
          <w:highlight w:val="yellow"/>
        </w:rPr>
        <w:t>Sirait</w:t>
      </w:r>
      <w:proofErr w:type="spellEnd"/>
      <w:r w:rsidRPr="005A1C54">
        <w:rPr>
          <w:rFonts w:ascii="Times New Roman" w:hAnsi="Times New Roman"/>
          <w:highlight w:val="yellow"/>
        </w:rPr>
        <w:t xml:space="preserve"> et al., 2021).</w:t>
      </w:r>
    </w:p>
    <w:p w14:paraId="4D5EF600" w14:textId="77777777" w:rsidR="006E35FC" w:rsidRPr="00111B3E" w:rsidRDefault="006E35FC" w:rsidP="006E35FC">
      <w:pPr>
        <w:spacing w:line="360" w:lineRule="auto"/>
        <w:jc w:val="both"/>
        <w:rPr>
          <w:rFonts w:ascii="Times New Roman" w:hAnsi="Times New Roman"/>
        </w:rPr>
      </w:pPr>
      <w:r w:rsidRPr="005A1C54">
        <w:rPr>
          <w:rFonts w:ascii="Times New Roman" w:hAnsi="Times New Roman"/>
          <w:highlight w:val="yellow"/>
        </w:rPr>
        <w:t xml:space="preserve">A major implication of these findings is the recognition that reproductive aging is primarily driven by the progressive deterioration of oocyte competence (Ferreira et al., 2023). As women age, the cumulative effects of mitochondrial dysfunction, oxidative stress, and DNA damage lead to increased meiotic errors and chromosomal abnormalities, which ultimately manifest as declining fertility, increased miscarriage rates, and reduced success of assisted reproductive treatments (Sasaki et al., 2019). The prolonged meiotic arrest characteristic of mammalian oocytes makes them particularly vulnerable to age-related damage, including deterioration of chromosomal cohesion and impaired DNA repair capacity (Baldini et al., 2024). Consequently, maternal age remains one of the strongest </w:t>
      </w:r>
      <w:r w:rsidRPr="005A1C54">
        <w:rPr>
          <w:rFonts w:ascii="Times New Roman" w:hAnsi="Times New Roman"/>
          <w:highlight w:val="yellow"/>
        </w:rPr>
        <w:lastRenderedPageBreak/>
        <w:t>predictors of reproductive success in both natural conception and assisted reproduction (Anderson et al., 2025).</w:t>
      </w:r>
    </w:p>
    <w:p w14:paraId="4F10301F" w14:textId="01147512" w:rsidR="006E35FC" w:rsidRPr="00FC5101" w:rsidRDefault="006E35FC" w:rsidP="006E35FC">
      <w:pPr>
        <w:spacing w:line="360" w:lineRule="auto"/>
        <w:jc w:val="both"/>
        <w:rPr>
          <w:rFonts w:ascii="Times New Roman" w:hAnsi="Times New Roman"/>
          <w:highlight w:val="yellow"/>
        </w:rPr>
      </w:pPr>
      <w:r w:rsidRPr="00FC5101">
        <w:rPr>
          <w:rFonts w:ascii="Times New Roman" w:hAnsi="Times New Roman"/>
          <w:highlight w:val="yellow"/>
        </w:rPr>
        <w:t>Advances in reproductive biology have also highlighted the critical role of the follicular microenvironment in regulating oocyte competence. The dynamic interactions between the oocyte and surrounding cumulus and granulosa cells provide metabolic substrates, regulatory signals, and structural support necessary for proper maturation (</w:t>
      </w:r>
      <w:proofErr w:type="spellStart"/>
      <w:r w:rsidRPr="00FC5101">
        <w:rPr>
          <w:rFonts w:ascii="Times New Roman" w:hAnsi="Times New Roman"/>
          <w:highlight w:val="yellow"/>
        </w:rPr>
        <w:t>Richani</w:t>
      </w:r>
      <w:proofErr w:type="spellEnd"/>
      <w:r w:rsidRPr="00FC5101">
        <w:rPr>
          <w:rFonts w:ascii="Times New Roman" w:hAnsi="Times New Roman"/>
          <w:highlight w:val="yellow"/>
        </w:rPr>
        <w:t xml:space="preserve"> et al., 2020). Alterations in these interactions</w:t>
      </w:r>
      <w:r w:rsidR="00FC5101" w:rsidRPr="00FC5101">
        <w:rPr>
          <w:rFonts w:ascii="Times New Roman" w:hAnsi="Times New Roman"/>
          <w:highlight w:val="yellow"/>
        </w:rPr>
        <w:t xml:space="preserve"> </w:t>
      </w:r>
      <w:r w:rsidRPr="00FC5101">
        <w:rPr>
          <w:rFonts w:ascii="Times New Roman" w:hAnsi="Times New Roman"/>
          <w:highlight w:val="yellow"/>
        </w:rPr>
        <w:t>resulting from endocrine imbalance, inflammatory conditions, or metabolic stress</w:t>
      </w:r>
      <w:r w:rsidR="00FC5101" w:rsidRPr="00FC5101">
        <w:rPr>
          <w:rFonts w:ascii="Times New Roman" w:hAnsi="Times New Roman"/>
          <w:highlight w:val="yellow"/>
        </w:rPr>
        <w:t xml:space="preserve"> </w:t>
      </w:r>
      <w:r w:rsidRPr="00FC5101">
        <w:rPr>
          <w:rFonts w:ascii="Times New Roman" w:hAnsi="Times New Roman"/>
          <w:highlight w:val="yellow"/>
        </w:rPr>
        <w:t>can disrupt the molecular pathways that govern meiotic progression, mitochondrial function, and cytoplasmic maturation (Innocenti et al., 2022). Understanding these interactions is therefore essential for developing therapeutic strategies aimed at improving oocyte quality and fertility outcomes.</w:t>
      </w:r>
    </w:p>
    <w:p w14:paraId="3B12F219" w14:textId="1C1BAF38" w:rsidR="006E35FC" w:rsidRDefault="006E35FC" w:rsidP="006E35FC">
      <w:pPr>
        <w:spacing w:line="360" w:lineRule="auto"/>
        <w:jc w:val="both"/>
        <w:rPr>
          <w:rFonts w:ascii="Times New Roman" w:hAnsi="Times New Roman"/>
          <w:highlight w:val="yellow"/>
        </w:rPr>
      </w:pPr>
      <w:r w:rsidRPr="00FC5101">
        <w:rPr>
          <w:rFonts w:ascii="Times New Roman" w:hAnsi="Times New Roman"/>
          <w:highlight w:val="yellow"/>
        </w:rPr>
        <w:t>In the context of assisted reproductive technologies (ART), the central importance of oocyte competence has significant clinical implications. Although improvements in embryo culture systems and genetic screening technologies have enhanced ART success rates, the intrinsic quality of the oocyte remains a fundamental limiting factor (Anderson et al., 2025). Consequently, current research efforts are increasingly focused on identifying reliable biomarkers of oocyte competence that can guide clinical decision-making (Molin et al., 2025). Transcriptomic profiling of cumulus cells, metabolomic analysis of follicular fluid, and mitochondrial function assays represent promising approaches for improving the prediction of oocyte developmental potential (Massoud et al., 2023). The integration of such biomarkers with traditional morphological assessment may enable more accurate selection of oocytes and embryos during IVF treatment (</w:t>
      </w:r>
      <w:proofErr w:type="spellStart"/>
      <w:r w:rsidRPr="00FC5101">
        <w:rPr>
          <w:rFonts w:ascii="Times New Roman" w:hAnsi="Times New Roman"/>
          <w:highlight w:val="yellow"/>
        </w:rPr>
        <w:t>Sciorio</w:t>
      </w:r>
      <w:proofErr w:type="spellEnd"/>
      <w:r w:rsidRPr="00FC5101">
        <w:rPr>
          <w:rFonts w:ascii="Times New Roman" w:hAnsi="Times New Roman"/>
          <w:highlight w:val="yellow"/>
        </w:rPr>
        <w:t xml:space="preserve"> et al., 2022). Emerging therapeutic strategies are also being explored to preserve or enhance oocyte competence, particularly in the context of reproductive aging. Interventions targeting mitochondrial metabolism, oxidative stress regulation, and follicular signaling pathways may help mitigate age-related declines in oocyte quality (Ferreira et al., 2023). Additionally, advances in fertility preservation techniques, including oocyte cryopreservation and improved in vitro maturation systems, offer new opportunities for maintaining reproductive potential in women who delay childbearing or face medical conditions that threaten ovarian function (Dolmans et al., 2022).</w:t>
      </w:r>
    </w:p>
    <w:p w14:paraId="6D1DB562" w14:textId="27C459BA" w:rsidR="0088224F" w:rsidRDefault="0088224F" w:rsidP="006E35FC">
      <w:pPr>
        <w:spacing w:line="360" w:lineRule="auto"/>
        <w:jc w:val="both"/>
        <w:rPr>
          <w:rFonts w:ascii="Times New Roman" w:hAnsi="Times New Roman"/>
        </w:rPr>
      </w:pPr>
    </w:p>
    <w:p w14:paraId="63EB7A52" w14:textId="77777777" w:rsidR="0088224F" w:rsidRPr="0088224F" w:rsidRDefault="0088224F" w:rsidP="0088224F">
      <w:pPr>
        <w:spacing w:line="360" w:lineRule="auto"/>
        <w:jc w:val="both"/>
        <w:rPr>
          <w:rFonts w:ascii="Times New Roman" w:hAnsi="Times New Roman"/>
        </w:rPr>
      </w:pPr>
      <w:r w:rsidRPr="0088224F">
        <w:rPr>
          <w:rFonts w:ascii="Times New Roman" w:hAnsi="Times New Roman"/>
        </w:rPr>
        <w:t>COMPETING INTERESTS DISCLAIMER:</w:t>
      </w:r>
    </w:p>
    <w:p w14:paraId="32B3086B" w14:textId="5BC0752E" w:rsidR="0088224F" w:rsidRDefault="0088224F" w:rsidP="0088224F">
      <w:pPr>
        <w:spacing w:line="360" w:lineRule="auto"/>
        <w:jc w:val="both"/>
        <w:rPr>
          <w:rFonts w:ascii="Times New Roman" w:hAnsi="Times New Roman"/>
        </w:rPr>
      </w:pPr>
      <w:r w:rsidRPr="0088224F">
        <w:rPr>
          <w:rFonts w:ascii="Times New Roman" w:hAnsi="Times New Roman"/>
        </w:rPr>
        <w:t>Authors have declared that they have no known competing financial interests OR non-financial interests OR personal relationships that could have appeared to influence the work reported in this paper.</w:t>
      </w:r>
    </w:p>
    <w:p w14:paraId="312E79E5" w14:textId="77777777" w:rsidR="007A63E4" w:rsidRPr="00EF57E0" w:rsidRDefault="007A63E4" w:rsidP="00EF57E0">
      <w:pPr>
        <w:spacing w:line="360" w:lineRule="auto"/>
        <w:jc w:val="both"/>
        <w:rPr>
          <w:rFonts w:ascii="Times New Roman" w:hAnsi="Times New Roman"/>
        </w:rPr>
      </w:pPr>
    </w:p>
    <w:p w14:paraId="76BEF39E" w14:textId="77777777" w:rsidR="007D27C7" w:rsidRDefault="007D27C7" w:rsidP="007A63E4">
      <w:pPr>
        <w:spacing w:line="360" w:lineRule="auto"/>
        <w:rPr>
          <w:rFonts w:ascii="Times New Roman" w:hAnsi="Times New Roman"/>
          <w:b/>
          <w:bCs/>
        </w:rPr>
      </w:pPr>
    </w:p>
    <w:p w14:paraId="1694F0A2" w14:textId="77777777" w:rsidR="007D27C7" w:rsidRPr="00005ED1" w:rsidRDefault="007D27C7" w:rsidP="007D27C7">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6AE0309E" w14:textId="77777777" w:rsidR="007D27C7" w:rsidRPr="00005ED1" w:rsidRDefault="007D27C7" w:rsidP="007D27C7">
      <w:pPr>
        <w:pStyle w:val="NoSpacing"/>
        <w:rPr>
          <w:rFonts w:ascii="Arial" w:hAnsi="Arial" w:cs="Arial"/>
          <w:highlight w:val="yellow"/>
        </w:rPr>
      </w:pPr>
    </w:p>
    <w:p w14:paraId="35B61F53" w14:textId="77777777" w:rsidR="007D27C7" w:rsidRPr="00005ED1" w:rsidRDefault="007D27C7" w:rsidP="007D27C7">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1"/>
    <w:p w14:paraId="60DE84F1" w14:textId="33A908AF" w:rsidR="006E35FC" w:rsidRDefault="006E35FC" w:rsidP="007A63E4">
      <w:pPr>
        <w:spacing w:line="360" w:lineRule="auto"/>
        <w:rPr>
          <w:rFonts w:ascii="Times New Roman" w:hAnsi="Times New Roman"/>
          <w:b/>
          <w:bCs/>
        </w:rPr>
      </w:pPr>
      <w:r>
        <w:rPr>
          <w:rFonts w:ascii="Times New Roman" w:hAnsi="Times New Roman"/>
          <w:b/>
          <w:bCs/>
        </w:rPr>
        <w:br w:type="page"/>
      </w:r>
    </w:p>
    <w:p w14:paraId="539F05EA" w14:textId="77777777" w:rsidR="006E35FC" w:rsidRPr="00B66631" w:rsidRDefault="006E35FC" w:rsidP="006E35FC">
      <w:pPr>
        <w:spacing w:line="360" w:lineRule="auto"/>
        <w:jc w:val="both"/>
        <w:rPr>
          <w:rFonts w:ascii="Times New Roman" w:hAnsi="Times New Roman"/>
          <w:b/>
          <w:bCs/>
        </w:rPr>
      </w:pPr>
      <w:r w:rsidRPr="00B66631">
        <w:rPr>
          <w:rFonts w:ascii="Times New Roman" w:hAnsi="Times New Roman"/>
          <w:b/>
          <w:bCs/>
        </w:rPr>
        <w:lastRenderedPageBreak/>
        <w:t>REFRENCES</w:t>
      </w:r>
    </w:p>
    <w:p w14:paraId="16B2BF39" w14:textId="77777777" w:rsidR="006E35FC" w:rsidRDefault="006E35FC" w:rsidP="006E35FC">
      <w:pPr>
        <w:spacing w:line="360" w:lineRule="auto"/>
        <w:jc w:val="both"/>
        <w:rPr>
          <w:rFonts w:ascii="Times New Roman" w:hAnsi="Times New Roman"/>
        </w:rPr>
      </w:pPr>
    </w:p>
    <w:p w14:paraId="625E9FAF" w14:textId="4D8EBD99" w:rsidR="006E35FC" w:rsidRDefault="009D0CFC" w:rsidP="008C24A0">
      <w:pPr>
        <w:spacing w:line="360" w:lineRule="auto"/>
        <w:ind w:left="720" w:hanging="720"/>
        <w:jc w:val="both"/>
        <w:rPr>
          <w:rFonts w:ascii="Times New Roman" w:hAnsi="Times New Roman"/>
        </w:rPr>
      </w:pPr>
      <w:r w:rsidRPr="009D0CFC">
        <w:rPr>
          <w:rFonts w:ascii="Times New Roman" w:hAnsi="Times New Roman"/>
        </w:rPr>
        <w:t xml:space="preserve">Akanbi, O. (2025). Unidirectional Diffraction-Based Strain Sensor for Motion Tracking </w:t>
      </w:r>
      <w:r w:rsidRPr="00FC5101">
        <w:rPr>
          <w:rFonts w:ascii="Times New Roman" w:hAnsi="Times New Roman"/>
          <w:i/>
          <w:iCs/>
        </w:rPr>
        <w:t>(Master's thesis, University of Massachusetts Lowell)</w:t>
      </w:r>
      <w:r w:rsidR="006E35FC" w:rsidRPr="00F165EB">
        <w:rPr>
          <w:rFonts w:ascii="Times New Roman" w:hAnsi="Times New Roman"/>
        </w:rPr>
        <w:t>.</w:t>
      </w:r>
    </w:p>
    <w:p w14:paraId="5388150F" w14:textId="13683DDD" w:rsidR="00FC5101" w:rsidRDefault="00FC5101" w:rsidP="008C24A0">
      <w:pPr>
        <w:spacing w:line="360" w:lineRule="auto"/>
        <w:ind w:left="720" w:hanging="720"/>
        <w:jc w:val="both"/>
        <w:rPr>
          <w:rFonts w:ascii="Times New Roman" w:hAnsi="Times New Roman"/>
        </w:rPr>
      </w:pPr>
      <w:r w:rsidRPr="00FC5101">
        <w:rPr>
          <w:rFonts w:ascii="Times New Roman" w:hAnsi="Times New Roman"/>
        </w:rPr>
        <w:t xml:space="preserve">Akanbi, O. S., Shannon, J. P., </w:t>
      </w:r>
      <w:proofErr w:type="spellStart"/>
      <w:r w:rsidRPr="00FC5101">
        <w:rPr>
          <w:rFonts w:ascii="Times New Roman" w:hAnsi="Times New Roman"/>
        </w:rPr>
        <w:t>Delhommelle</w:t>
      </w:r>
      <w:proofErr w:type="spellEnd"/>
      <w:r w:rsidRPr="00FC5101">
        <w:rPr>
          <w:rFonts w:ascii="Times New Roman" w:hAnsi="Times New Roman"/>
        </w:rPr>
        <w:t>, J., &amp; Desgranges, C. (2025). Mini Review: Synergizing Driven Quantum Dynamics, AI, and Quantum Computing for Next-Gen Materials Science. The Journal of Physical Chemistry Letters, 16(45), 11821-11832.</w:t>
      </w:r>
    </w:p>
    <w:p w14:paraId="4B95A396" w14:textId="63EC4C93" w:rsidR="00FC5101" w:rsidRDefault="00FC5101" w:rsidP="008C24A0">
      <w:pPr>
        <w:spacing w:line="360" w:lineRule="auto"/>
        <w:ind w:left="720" w:hanging="720"/>
        <w:jc w:val="both"/>
        <w:rPr>
          <w:rFonts w:ascii="Times New Roman" w:hAnsi="Times New Roman"/>
        </w:rPr>
      </w:pPr>
      <w:r w:rsidRPr="00FC5101">
        <w:rPr>
          <w:rFonts w:ascii="Times New Roman" w:hAnsi="Times New Roman"/>
        </w:rPr>
        <w:t xml:space="preserve">Ajao, J., Akanbi, O., </w:t>
      </w:r>
      <w:proofErr w:type="spellStart"/>
      <w:r w:rsidRPr="00FC5101">
        <w:rPr>
          <w:rFonts w:ascii="Times New Roman" w:hAnsi="Times New Roman"/>
        </w:rPr>
        <w:t>Akinwole</w:t>
      </w:r>
      <w:proofErr w:type="spellEnd"/>
      <w:r w:rsidRPr="00FC5101">
        <w:rPr>
          <w:rFonts w:ascii="Times New Roman" w:hAnsi="Times New Roman"/>
        </w:rPr>
        <w:t xml:space="preserve">, I., Adedokun, A., </w:t>
      </w:r>
      <w:proofErr w:type="spellStart"/>
      <w:r w:rsidRPr="00FC5101">
        <w:rPr>
          <w:rFonts w:ascii="Times New Roman" w:hAnsi="Times New Roman"/>
        </w:rPr>
        <w:t>Ogunsakin</w:t>
      </w:r>
      <w:proofErr w:type="spellEnd"/>
      <w:r w:rsidRPr="00FC5101">
        <w:rPr>
          <w:rFonts w:ascii="Times New Roman" w:hAnsi="Times New Roman"/>
        </w:rPr>
        <w:t>, O., &amp; Ige, A. (2024). Research Advances on Machine Learning Technologies for Enhanced Biodiesel Production: A Comprehensive Review. Petroleum &amp; Coal, 66(1).</w:t>
      </w:r>
    </w:p>
    <w:p w14:paraId="6320DC55" w14:textId="77777777" w:rsidR="006E35FC" w:rsidRDefault="006E35FC" w:rsidP="008C24A0">
      <w:pPr>
        <w:spacing w:line="360" w:lineRule="auto"/>
        <w:ind w:left="720" w:hanging="720"/>
        <w:jc w:val="both"/>
        <w:rPr>
          <w:rFonts w:ascii="Times New Roman" w:hAnsi="Times New Roman"/>
        </w:rPr>
      </w:pPr>
      <w:r w:rsidRPr="00A310FF">
        <w:rPr>
          <w:rFonts w:ascii="Times New Roman" w:hAnsi="Times New Roman"/>
        </w:rPr>
        <w:t>Anderson, R., Marston, A., &amp; Telfer, E. (2025). Oocyte development: it’s all about quality. </w:t>
      </w:r>
      <w:r w:rsidRPr="00A310FF">
        <w:rPr>
          <w:rFonts w:ascii="Times New Roman" w:hAnsi="Times New Roman"/>
          <w:i/>
          <w:iCs/>
        </w:rPr>
        <w:t>Reproductive biomedicine online</w:t>
      </w:r>
      <w:r w:rsidRPr="00A310FF">
        <w:rPr>
          <w:rFonts w:ascii="Times New Roman" w:hAnsi="Times New Roman"/>
        </w:rPr>
        <w:t xml:space="preserve">, 50, 104804 - 104804. </w:t>
      </w:r>
      <w:hyperlink r:id="rId14" w:history="1">
        <w:r w:rsidRPr="00DF6B36">
          <w:rPr>
            <w:rStyle w:val="Hyperlink"/>
            <w:rFonts w:ascii="Times New Roman" w:hAnsi="Times New Roman"/>
          </w:rPr>
          <w:t>https://doi.org/10.1016/j.rbmo.2025.104804</w:t>
        </w:r>
      </w:hyperlink>
      <w:r w:rsidRPr="00A310FF">
        <w:rPr>
          <w:rFonts w:ascii="Times New Roman" w:hAnsi="Times New Roman"/>
        </w:rPr>
        <w:t>.</w:t>
      </w:r>
    </w:p>
    <w:p w14:paraId="64A1004B" w14:textId="6F6AFCF2" w:rsidR="008C24A0" w:rsidRDefault="008C24A0" w:rsidP="008C24A0">
      <w:pPr>
        <w:spacing w:line="360" w:lineRule="auto"/>
        <w:ind w:left="720" w:hanging="720"/>
        <w:jc w:val="both"/>
        <w:rPr>
          <w:rFonts w:ascii="Times New Roman" w:hAnsi="Times New Roman"/>
        </w:rPr>
      </w:pPr>
      <w:proofErr w:type="spellStart"/>
      <w:r w:rsidRPr="001104AD">
        <w:rPr>
          <w:rFonts w:ascii="Times New Roman" w:hAnsi="Times New Roman"/>
        </w:rPr>
        <w:t>Alowoeshin</w:t>
      </w:r>
      <w:proofErr w:type="spellEnd"/>
      <w:r w:rsidRPr="001104AD">
        <w:rPr>
          <w:rFonts w:ascii="Times New Roman" w:hAnsi="Times New Roman"/>
        </w:rPr>
        <w:t xml:space="preserve">, S. O., </w:t>
      </w:r>
      <w:proofErr w:type="spellStart"/>
      <w:r w:rsidRPr="001104AD">
        <w:rPr>
          <w:rFonts w:ascii="Times New Roman" w:hAnsi="Times New Roman"/>
        </w:rPr>
        <w:t>Kuboye</w:t>
      </w:r>
      <w:proofErr w:type="spellEnd"/>
      <w:r w:rsidRPr="001104AD">
        <w:rPr>
          <w:rFonts w:ascii="Times New Roman" w:hAnsi="Times New Roman"/>
        </w:rPr>
        <w:t xml:space="preserve">, T. B., Ugwuanyi, I. R., Asem, T. K., </w:t>
      </w:r>
      <w:proofErr w:type="spellStart"/>
      <w:r w:rsidRPr="001104AD">
        <w:rPr>
          <w:rFonts w:ascii="Times New Roman" w:hAnsi="Times New Roman"/>
        </w:rPr>
        <w:t>Mebinone</w:t>
      </w:r>
      <w:proofErr w:type="spellEnd"/>
      <w:r w:rsidRPr="001104AD">
        <w:rPr>
          <w:rFonts w:ascii="Times New Roman" w:hAnsi="Times New Roman"/>
        </w:rPr>
        <w:t>, A. M., Ismail, S., ... &amp; Afolabi, C. M. (2025). Proteomics in the diagnosis and therapeutic management of human diseases: A review. </w:t>
      </w:r>
      <w:r w:rsidRPr="001104AD">
        <w:rPr>
          <w:rFonts w:ascii="Times New Roman" w:hAnsi="Times New Roman"/>
          <w:i/>
          <w:iCs/>
        </w:rPr>
        <w:t>European Journal of Scientific Research and Reviews</w:t>
      </w:r>
      <w:r w:rsidRPr="001104AD">
        <w:rPr>
          <w:rFonts w:ascii="Times New Roman" w:hAnsi="Times New Roman"/>
        </w:rPr>
        <w:t>, 0-0.</w:t>
      </w:r>
    </w:p>
    <w:p w14:paraId="7EB187F6" w14:textId="77777777" w:rsidR="006E35FC" w:rsidRDefault="006E35FC" w:rsidP="008C24A0">
      <w:pPr>
        <w:spacing w:line="360" w:lineRule="auto"/>
        <w:ind w:left="720" w:hanging="720"/>
        <w:jc w:val="both"/>
        <w:rPr>
          <w:rFonts w:ascii="Times New Roman" w:hAnsi="Times New Roman"/>
        </w:rPr>
      </w:pPr>
      <w:r w:rsidRPr="003D46C7">
        <w:rPr>
          <w:rFonts w:ascii="Times New Roman" w:hAnsi="Times New Roman"/>
        </w:rPr>
        <w:t xml:space="preserve">Baldini, G., Lot, D., Malvasi, A., Laganà, A., </w:t>
      </w:r>
      <w:proofErr w:type="spellStart"/>
      <w:r w:rsidRPr="003D46C7">
        <w:rPr>
          <w:rFonts w:ascii="Times New Roman" w:hAnsi="Times New Roman"/>
        </w:rPr>
        <w:t>Vimercati</w:t>
      </w:r>
      <w:proofErr w:type="spellEnd"/>
      <w:r w:rsidRPr="003D46C7">
        <w:rPr>
          <w:rFonts w:ascii="Times New Roman" w:hAnsi="Times New Roman"/>
        </w:rPr>
        <w:t xml:space="preserve">, A., Dellino, M., Cicinelli, E., Baldini, D., &amp; </w:t>
      </w:r>
      <w:proofErr w:type="spellStart"/>
      <w:r w:rsidRPr="003D46C7">
        <w:rPr>
          <w:rFonts w:ascii="Times New Roman" w:hAnsi="Times New Roman"/>
        </w:rPr>
        <w:t>Trojano</w:t>
      </w:r>
      <w:proofErr w:type="spellEnd"/>
      <w:r w:rsidRPr="003D46C7">
        <w:rPr>
          <w:rFonts w:ascii="Times New Roman" w:hAnsi="Times New Roman"/>
        </w:rPr>
        <w:t>, G. (2024). Abnormalities of Oocyte Maturation: Mechanisms and Implications. </w:t>
      </w:r>
      <w:r w:rsidRPr="003D46C7">
        <w:rPr>
          <w:rFonts w:ascii="Times New Roman" w:hAnsi="Times New Roman"/>
          <w:i/>
          <w:iCs/>
        </w:rPr>
        <w:t>International Journal of Molecular Sciences</w:t>
      </w:r>
      <w:r w:rsidRPr="003D46C7">
        <w:rPr>
          <w:rFonts w:ascii="Times New Roman" w:hAnsi="Times New Roman"/>
        </w:rPr>
        <w:t xml:space="preserve">, 25. </w:t>
      </w:r>
      <w:hyperlink r:id="rId15" w:history="1">
        <w:r w:rsidRPr="00DF6B36">
          <w:rPr>
            <w:rStyle w:val="Hyperlink"/>
            <w:rFonts w:ascii="Times New Roman" w:hAnsi="Times New Roman"/>
          </w:rPr>
          <w:t>https://doi.org/10.3390/ijms252212197</w:t>
        </w:r>
      </w:hyperlink>
      <w:r w:rsidRPr="003D46C7">
        <w:rPr>
          <w:rFonts w:ascii="Times New Roman" w:hAnsi="Times New Roman"/>
        </w:rPr>
        <w:t>.</w:t>
      </w:r>
    </w:p>
    <w:p w14:paraId="7BB9D576" w14:textId="77777777" w:rsidR="006E35FC" w:rsidRDefault="006E35FC" w:rsidP="008C24A0">
      <w:pPr>
        <w:spacing w:line="360" w:lineRule="auto"/>
        <w:ind w:left="720" w:hanging="720"/>
        <w:jc w:val="both"/>
        <w:rPr>
          <w:rFonts w:ascii="Times New Roman" w:hAnsi="Times New Roman"/>
        </w:rPr>
      </w:pPr>
      <w:r w:rsidRPr="00DE6EEB">
        <w:rPr>
          <w:rFonts w:ascii="Times New Roman" w:hAnsi="Times New Roman"/>
        </w:rPr>
        <w:t>Bitetti, S. (2025). P-132 Application of magnetic resonance spectroscopy to characterize human oocytes. </w:t>
      </w:r>
      <w:r w:rsidRPr="00DE6EEB">
        <w:rPr>
          <w:rFonts w:ascii="Times New Roman" w:hAnsi="Times New Roman"/>
          <w:i/>
          <w:iCs/>
        </w:rPr>
        <w:t>Human Reproduction</w:t>
      </w:r>
      <w:r w:rsidRPr="00DE6EEB">
        <w:rPr>
          <w:rFonts w:ascii="Times New Roman" w:hAnsi="Times New Roman"/>
        </w:rPr>
        <w:t xml:space="preserve">. </w:t>
      </w:r>
      <w:hyperlink r:id="rId16" w:history="1">
        <w:r w:rsidRPr="00DF6B36">
          <w:rPr>
            <w:rStyle w:val="Hyperlink"/>
            <w:rFonts w:ascii="Times New Roman" w:hAnsi="Times New Roman"/>
          </w:rPr>
          <w:t>https://doi.org/10.1093/humrep/deaf097.441</w:t>
        </w:r>
      </w:hyperlink>
      <w:r w:rsidRPr="00DE6EEB">
        <w:rPr>
          <w:rFonts w:ascii="Times New Roman" w:hAnsi="Times New Roman"/>
        </w:rPr>
        <w:t>.</w:t>
      </w:r>
    </w:p>
    <w:p w14:paraId="233EFBB1" w14:textId="77777777" w:rsidR="006E35FC" w:rsidRDefault="006E35FC" w:rsidP="008C24A0">
      <w:pPr>
        <w:spacing w:line="360" w:lineRule="auto"/>
        <w:ind w:left="720" w:hanging="720"/>
        <w:jc w:val="both"/>
        <w:rPr>
          <w:rFonts w:ascii="Times New Roman" w:hAnsi="Times New Roman"/>
        </w:rPr>
      </w:pPr>
      <w:r w:rsidRPr="000D7BD5">
        <w:rPr>
          <w:rFonts w:ascii="Times New Roman" w:hAnsi="Times New Roman"/>
        </w:rPr>
        <w:t>Chandra, V., &amp; Sharma, G. (2020). In vitro strategies to enhance oocyte developmental competence.. </w:t>
      </w:r>
      <w:r w:rsidRPr="000D7BD5">
        <w:rPr>
          <w:rFonts w:ascii="Times New Roman" w:hAnsi="Times New Roman"/>
          <w:i/>
          <w:iCs/>
        </w:rPr>
        <w:t>Frontiers in bioscience</w:t>
      </w:r>
      <w:r w:rsidRPr="000D7BD5">
        <w:rPr>
          <w:rFonts w:ascii="Times New Roman" w:hAnsi="Times New Roman"/>
        </w:rPr>
        <w:t xml:space="preserve">, 12, 116-136 . </w:t>
      </w:r>
      <w:hyperlink r:id="rId17" w:history="1">
        <w:r w:rsidRPr="00DF6B36">
          <w:rPr>
            <w:rStyle w:val="Hyperlink"/>
            <w:rFonts w:ascii="Times New Roman" w:hAnsi="Times New Roman"/>
          </w:rPr>
          <w:t>https://doi.org/10.2741/s543</w:t>
        </w:r>
      </w:hyperlink>
      <w:r w:rsidRPr="000D7BD5">
        <w:rPr>
          <w:rFonts w:ascii="Times New Roman" w:hAnsi="Times New Roman"/>
        </w:rPr>
        <w:t>.</w:t>
      </w:r>
    </w:p>
    <w:p w14:paraId="424A7776" w14:textId="77777777" w:rsidR="006E35FC" w:rsidRDefault="006E35FC" w:rsidP="008C24A0">
      <w:pPr>
        <w:spacing w:line="360" w:lineRule="auto"/>
        <w:ind w:left="720" w:hanging="720"/>
        <w:jc w:val="both"/>
        <w:rPr>
          <w:rFonts w:ascii="Times New Roman" w:hAnsi="Times New Roman"/>
        </w:rPr>
      </w:pPr>
      <w:proofErr w:type="spellStart"/>
      <w:r w:rsidRPr="00BB331A">
        <w:rPr>
          <w:rFonts w:ascii="Times New Roman" w:hAnsi="Times New Roman"/>
        </w:rPr>
        <w:t>Cimadomo</w:t>
      </w:r>
      <w:proofErr w:type="spellEnd"/>
      <w:r w:rsidRPr="00BB331A">
        <w:rPr>
          <w:rFonts w:ascii="Times New Roman" w:hAnsi="Times New Roman"/>
        </w:rPr>
        <w:t xml:space="preserve">, D., Badajoz, V., Hebles, M., Mifsud, L., Urda, C., Sanchez, T., Sánchez, A., Ortega, C., Avila, J., </w:t>
      </w:r>
      <w:proofErr w:type="spellStart"/>
      <w:r w:rsidRPr="00BB331A">
        <w:rPr>
          <w:rFonts w:ascii="Times New Roman" w:hAnsi="Times New Roman"/>
        </w:rPr>
        <w:t>Mariné</w:t>
      </w:r>
      <w:proofErr w:type="spellEnd"/>
      <w:r w:rsidRPr="00BB331A">
        <w:rPr>
          <w:rFonts w:ascii="Times New Roman" w:hAnsi="Times New Roman"/>
        </w:rPr>
        <w:t xml:space="preserve">, C., Mercuri, N., Fjeldstad, J., Krivoi, A., </w:t>
      </w:r>
      <w:proofErr w:type="spellStart"/>
      <w:r w:rsidRPr="00BB331A">
        <w:rPr>
          <w:rFonts w:ascii="Times New Roman" w:hAnsi="Times New Roman"/>
        </w:rPr>
        <w:t>Nayot</w:t>
      </w:r>
      <w:proofErr w:type="spellEnd"/>
      <w:r w:rsidRPr="00BB331A">
        <w:rPr>
          <w:rFonts w:ascii="Times New Roman" w:hAnsi="Times New Roman"/>
        </w:rPr>
        <w:t>, D., &amp; Rienzi, L. (2025). Artificial intelligence-based donor oocyte quality assessment moderately improves the prediction of blastocyst development: a first step towards higher personalization in the management of egg donation treatments. </w:t>
      </w:r>
      <w:r w:rsidRPr="00BB331A">
        <w:rPr>
          <w:rFonts w:ascii="Times New Roman" w:hAnsi="Times New Roman"/>
          <w:i/>
          <w:iCs/>
        </w:rPr>
        <w:t>Human reproduction</w:t>
      </w:r>
      <w:r w:rsidRPr="00BB331A">
        <w:rPr>
          <w:rFonts w:ascii="Times New Roman" w:hAnsi="Times New Roman"/>
        </w:rPr>
        <w:t xml:space="preserve">. </w:t>
      </w:r>
      <w:hyperlink r:id="rId18" w:history="1">
        <w:r w:rsidRPr="00DF6B36">
          <w:rPr>
            <w:rStyle w:val="Hyperlink"/>
            <w:rFonts w:ascii="Times New Roman" w:hAnsi="Times New Roman"/>
          </w:rPr>
          <w:t>https://doi.org/10.1093/humrep/deaf153</w:t>
        </w:r>
      </w:hyperlink>
      <w:r w:rsidRPr="00BB331A">
        <w:rPr>
          <w:rFonts w:ascii="Times New Roman" w:hAnsi="Times New Roman"/>
        </w:rPr>
        <w:t>.</w:t>
      </w:r>
    </w:p>
    <w:p w14:paraId="3DD5D29E" w14:textId="7175BCDE" w:rsidR="006E35FC" w:rsidRDefault="006E35FC" w:rsidP="008C24A0">
      <w:pPr>
        <w:spacing w:line="360" w:lineRule="auto"/>
        <w:ind w:left="720" w:hanging="720"/>
        <w:jc w:val="both"/>
        <w:rPr>
          <w:rFonts w:ascii="Times New Roman" w:hAnsi="Times New Roman"/>
        </w:rPr>
      </w:pPr>
      <w:proofErr w:type="spellStart"/>
      <w:r w:rsidRPr="00B6049E">
        <w:rPr>
          <w:rFonts w:ascii="Times New Roman" w:hAnsi="Times New Roman"/>
        </w:rPr>
        <w:t>Cimadomo</w:t>
      </w:r>
      <w:proofErr w:type="spellEnd"/>
      <w:r w:rsidRPr="00B6049E">
        <w:rPr>
          <w:rFonts w:ascii="Times New Roman" w:hAnsi="Times New Roman"/>
        </w:rPr>
        <w:t xml:space="preserve">, D., Badajoz, V., Hebles, M., Mifsud, L., Urda, C., Sanchez, T., Sánchez, A., Ortega, C., </w:t>
      </w:r>
    </w:p>
    <w:p w14:paraId="4EFDCEB0" w14:textId="77777777" w:rsidR="006E35FC" w:rsidRDefault="006E35FC" w:rsidP="008C24A0">
      <w:pPr>
        <w:spacing w:line="360" w:lineRule="auto"/>
        <w:ind w:left="720" w:hanging="720"/>
        <w:jc w:val="both"/>
        <w:rPr>
          <w:rFonts w:ascii="Times New Roman" w:hAnsi="Times New Roman"/>
        </w:rPr>
      </w:pPr>
      <w:r w:rsidRPr="00F76E34">
        <w:rPr>
          <w:rFonts w:ascii="Times New Roman" w:hAnsi="Times New Roman"/>
        </w:rPr>
        <w:t>Conti, M., &amp; Franciosi, F. (2018). Acquisition of oocyte competence to develop as an embryo: integrated nuclear and cytoplasmic events. </w:t>
      </w:r>
      <w:r w:rsidRPr="00F76E34">
        <w:rPr>
          <w:rFonts w:ascii="Times New Roman" w:hAnsi="Times New Roman"/>
          <w:i/>
          <w:iCs/>
        </w:rPr>
        <w:t>Human Reproduction Update</w:t>
      </w:r>
      <w:r w:rsidRPr="00F76E34">
        <w:rPr>
          <w:rFonts w:ascii="Times New Roman" w:hAnsi="Times New Roman"/>
        </w:rPr>
        <w:t xml:space="preserve">, 24, 245–266. </w:t>
      </w:r>
      <w:hyperlink r:id="rId19" w:history="1">
        <w:r w:rsidRPr="00DF6B36">
          <w:rPr>
            <w:rStyle w:val="Hyperlink"/>
            <w:rFonts w:ascii="Times New Roman" w:hAnsi="Times New Roman"/>
          </w:rPr>
          <w:t>https://doi.org/10.1093/humupd/dmx040</w:t>
        </w:r>
      </w:hyperlink>
      <w:r w:rsidRPr="00F76E34">
        <w:rPr>
          <w:rFonts w:ascii="Times New Roman" w:hAnsi="Times New Roman"/>
        </w:rPr>
        <w:t>.</w:t>
      </w:r>
    </w:p>
    <w:p w14:paraId="79EF273A" w14:textId="77777777" w:rsidR="006E35FC" w:rsidRDefault="006E35FC" w:rsidP="008C24A0">
      <w:pPr>
        <w:spacing w:line="360" w:lineRule="auto"/>
        <w:ind w:left="720" w:hanging="720"/>
        <w:jc w:val="both"/>
        <w:rPr>
          <w:rFonts w:ascii="Times New Roman" w:hAnsi="Times New Roman"/>
        </w:rPr>
      </w:pPr>
      <w:r w:rsidRPr="00A57C23">
        <w:rPr>
          <w:rFonts w:ascii="Times New Roman" w:hAnsi="Times New Roman"/>
        </w:rPr>
        <w:t xml:space="preserve">De Oliveira, F., De Paula, G., Soares, P., </w:t>
      </w:r>
      <w:proofErr w:type="spellStart"/>
      <w:r w:rsidRPr="00A57C23">
        <w:rPr>
          <w:rFonts w:ascii="Times New Roman" w:hAnsi="Times New Roman"/>
        </w:rPr>
        <w:t>Zangirolamo</w:t>
      </w:r>
      <w:proofErr w:type="spellEnd"/>
      <w:r w:rsidRPr="00A57C23">
        <w:rPr>
          <w:rFonts w:ascii="Times New Roman" w:hAnsi="Times New Roman"/>
        </w:rPr>
        <w:t xml:space="preserve">, A., </w:t>
      </w:r>
      <w:proofErr w:type="spellStart"/>
      <w:r w:rsidRPr="00A57C23">
        <w:rPr>
          <w:rFonts w:ascii="Times New Roman" w:hAnsi="Times New Roman"/>
        </w:rPr>
        <w:t>Morotti</w:t>
      </w:r>
      <w:proofErr w:type="spellEnd"/>
      <w:r w:rsidRPr="00A57C23">
        <w:rPr>
          <w:rFonts w:ascii="Times New Roman" w:hAnsi="Times New Roman"/>
        </w:rPr>
        <w:t>, F., Souza, A., De Andrade Melo-</w:t>
      </w:r>
      <w:proofErr w:type="spellStart"/>
      <w:r w:rsidRPr="00A57C23">
        <w:rPr>
          <w:rFonts w:ascii="Times New Roman" w:hAnsi="Times New Roman"/>
        </w:rPr>
        <w:t>Sterza</w:t>
      </w:r>
      <w:proofErr w:type="spellEnd"/>
      <w:r w:rsidRPr="00A57C23">
        <w:rPr>
          <w:rFonts w:ascii="Times New Roman" w:hAnsi="Times New Roman"/>
        </w:rPr>
        <w:t xml:space="preserve">, F., &amp; </w:t>
      </w:r>
      <w:proofErr w:type="spellStart"/>
      <w:r w:rsidRPr="00A57C23">
        <w:rPr>
          <w:rFonts w:ascii="Times New Roman" w:hAnsi="Times New Roman"/>
        </w:rPr>
        <w:t>Seneda</w:t>
      </w:r>
      <w:proofErr w:type="spellEnd"/>
      <w:r w:rsidRPr="00A57C23">
        <w:rPr>
          <w:rFonts w:ascii="Times New Roman" w:hAnsi="Times New Roman"/>
        </w:rPr>
        <w:t xml:space="preserve">, M. (2025). Oocyte competence: A systematic review of omics studies </w:t>
      </w:r>
      <w:r w:rsidRPr="00A57C23">
        <w:rPr>
          <w:rFonts w:ascii="Times New Roman" w:hAnsi="Times New Roman"/>
        </w:rPr>
        <w:lastRenderedPageBreak/>
        <w:t>and the state of art.. </w:t>
      </w:r>
      <w:r w:rsidRPr="00A57C23">
        <w:rPr>
          <w:rFonts w:ascii="Times New Roman" w:hAnsi="Times New Roman"/>
          <w:i/>
          <w:iCs/>
        </w:rPr>
        <w:t>Theriogenology</w:t>
      </w:r>
      <w:r w:rsidRPr="00A57C23">
        <w:rPr>
          <w:rFonts w:ascii="Times New Roman" w:hAnsi="Times New Roman"/>
        </w:rPr>
        <w:t xml:space="preserve">, 249, 117670 . </w:t>
      </w:r>
      <w:hyperlink r:id="rId20" w:history="1">
        <w:r w:rsidRPr="00DF6B36">
          <w:rPr>
            <w:rStyle w:val="Hyperlink"/>
            <w:rFonts w:ascii="Times New Roman" w:hAnsi="Times New Roman"/>
          </w:rPr>
          <w:t>https://doi.org/10.1016/j.theriogenology.2025.117670</w:t>
        </w:r>
      </w:hyperlink>
      <w:r w:rsidRPr="00A57C23">
        <w:rPr>
          <w:rFonts w:ascii="Times New Roman" w:hAnsi="Times New Roman"/>
        </w:rPr>
        <w:t>.</w:t>
      </w:r>
    </w:p>
    <w:p w14:paraId="66C0CE7C" w14:textId="77777777" w:rsidR="006E35FC" w:rsidRDefault="006E35FC" w:rsidP="008C24A0">
      <w:pPr>
        <w:spacing w:line="360" w:lineRule="auto"/>
        <w:ind w:left="720" w:hanging="720"/>
        <w:jc w:val="both"/>
        <w:rPr>
          <w:rFonts w:ascii="Times New Roman" w:hAnsi="Times New Roman"/>
        </w:rPr>
      </w:pPr>
      <w:r w:rsidRPr="00C05763">
        <w:rPr>
          <w:rFonts w:ascii="Times New Roman" w:hAnsi="Times New Roman"/>
        </w:rPr>
        <w:t xml:space="preserve">Dolmans, M., </w:t>
      </w:r>
      <w:proofErr w:type="spellStart"/>
      <w:r w:rsidRPr="00C05763">
        <w:rPr>
          <w:rFonts w:ascii="Times New Roman" w:hAnsi="Times New Roman"/>
        </w:rPr>
        <w:t>Demeestere</w:t>
      </w:r>
      <w:proofErr w:type="spellEnd"/>
      <w:r w:rsidRPr="00C05763">
        <w:rPr>
          <w:rFonts w:ascii="Times New Roman" w:hAnsi="Times New Roman"/>
        </w:rPr>
        <w:t xml:space="preserve">, I., </w:t>
      </w:r>
      <w:proofErr w:type="spellStart"/>
      <w:r w:rsidRPr="00C05763">
        <w:rPr>
          <w:rFonts w:ascii="Times New Roman" w:hAnsi="Times New Roman"/>
        </w:rPr>
        <w:t>Anckaert</w:t>
      </w:r>
      <w:proofErr w:type="spellEnd"/>
      <w:r w:rsidRPr="00C05763">
        <w:rPr>
          <w:rFonts w:ascii="Times New Roman" w:hAnsi="Times New Roman"/>
        </w:rPr>
        <w:t xml:space="preserve">, E., &amp; De Vos, M. (2022). Proceedings of the </w:t>
      </w:r>
      <w:proofErr w:type="spellStart"/>
      <w:r w:rsidRPr="00C05763">
        <w:rPr>
          <w:rFonts w:ascii="Times New Roman" w:hAnsi="Times New Roman"/>
        </w:rPr>
        <w:t>Oncofertility</w:t>
      </w:r>
      <w:proofErr w:type="spellEnd"/>
      <w:r w:rsidRPr="00C05763">
        <w:rPr>
          <w:rFonts w:ascii="Times New Roman" w:hAnsi="Times New Roman"/>
        </w:rPr>
        <w:t xml:space="preserve"> Congress of the “Freezing Ovarian Tissue and Oocytes” (FOTO) Consortium Brussels. </w:t>
      </w:r>
      <w:r w:rsidRPr="00C05763">
        <w:rPr>
          <w:rFonts w:ascii="Times New Roman" w:hAnsi="Times New Roman"/>
          <w:i/>
          <w:iCs/>
        </w:rPr>
        <w:t>Journal of Assisted Reproduction and Genetics</w:t>
      </w:r>
      <w:r w:rsidRPr="00C05763">
        <w:rPr>
          <w:rFonts w:ascii="Times New Roman" w:hAnsi="Times New Roman"/>
        </w:rPr>
        <w:t xml:space="preserve">, 39, 1715 - 1725. </w:t>
      </w:r>
      <w:hyperlink r:id="rId21" w:history="1">
        <w:r w:rsidRPr="00DF6B36">
          <w:rPr>
            <w:rStyle w:val="Hyperlink"/>
            <w:rFonts w:ascii="Times New Roman" w:hAnsi="Times New Roman"/>
          </w:rPr>
          <w:t>https://doi.org/10.1007/s10815-022-02552-7</w:t>
        </w:r>
      </w:hyperlink>
      <w:r w:rsidRPr="00C05763">
        <w:rPr>
          <w:rFonts w:ascii="Times New Roman" w:hAnsi="Times New Roman"/>
        </w:rPr>
        <w:t>.</w:t>
      </w:r>
    </w:p>
    <w:p w14:paraId="0DBE52FA" w14:textId="77777777" w:rsidR="006E35FC" w:rsidRDefault="006E35FC" w:rsidP="008C24A0">
      <w:pPr>
        <w:spacing w:line="360" w:lineRule="auto"/>
        <w:ind w:left="720" w:hanging="720"/>
        <w:jc w:val="both"/>
        <w:rPr>
          <w:rFonts w:ascii="Times New Roman" w:hAnsi="Times New Roman"/>
        </w:rPr>
      </w:pPr>
      <w:r w:rsidRPr="00BF44CF">
        <w:rPr>
          <w:rFonts w:ascii="Times New Roman" w:hAnsi="Times New Roman"/>
        </w:rPr>
        <w:t>Faizal, A., Elias, M., Jin, N., Abu, M., Syafruddin, S., Zainuddin, A., Suzuki, N., &amp; Karim, A. (2024). Unravelling the role of HAS2, GREM1, and PTGS2 gene expression in cumulus cells: implications for human oocyte development competency - a systematic review and integrated bioinformatic analysis. </w:t>
      </w:r>
      <w:r w:rsidRPr="00BF44CF">
        <w:rPr>
          <w:rFonts w:ascii="Times New Roman" w:hAnsi="Times New Roman"/>
          <w:i/>
          <w:iCs/>
        </w:rPr>
        <w:t>Frontiers in Endocrinology</w:t>
      </w:r>
      <w:r w:rsidRPr="00BF44CF">
        <w:rPr>
          <w:rFonts w:ascii="Times New Roman" w:hAnsi="Times New Roman"/>
        </w:rPr>
        <w:t xml:space="preserve">, 15. </w:t>
      </w:r>
      <w:hyperlink r:id="rId22" w:history="1">
        <w:r w:rsidRPr="00DF6B36">
          <w:rPr>
            <w:rStyle w:val="Hyperlink"/>
            <w:rFonts w:ascii="Times New Roman" w:hAnsi="Times New Roman"/>
          </w:rPr>
          <w:t>https://doi.org/10.3389/fendo.2024.1274376</w:t>
        </w:r>
      </w:hyperlink>
      <w:r w:rsidRPr="00BF44CF">
        <w:rPr>
          <w:rFonts w:ascii="Times New Roman" w:hAnsi="Times New Roman"/>
        </w:rPr>
        <w:t>.</w:t>
      </w:r>
    </w:p>
    <w:p w14:paraId="5981F1D2" w14:textId="77777777" w:rsidR="006E35FC" w:rsidRDefault="006E35FC" w:rsidP="008C24A0">
      <w:pPr>
        <w:spacing w:line="360" w:lineRule="auto"/>
        <w:ind w:left="720" w:hanging="720"/>
        <w:jc w:val="both"/>
        <w:rPr>
          <w:rFonts w:ascii="Times New Roman" w:hAnsi="Times New Roman"/>
        </w:rPr>
      </w:pPr>
      <w:r w:rsidRPr="00112661">
        <w:rPr>
          <w:rFonts w:ascii="Times New Roman" w:hAnsi="Times New Roman"/>
        </w:rPr>
        <w:t>Ferreira, A., Soares, M., Almeida-Santos, T., Ramalho‐Santos, J., &amp; Sousa, A. (2023). Aging and oocyte competence: A molecular cell perspective.. </w:t>
      </w:r>
      <w:r w:rsidRPr="00112661">
        <w:rPr>
          <w:rFonts w:ascii="Times New Roman" w:hAnsi="Times New Roman"/>
          <w:i/>
          <w:iCs/>
        </w:rPr>
        <w:t>WIREs mechanisms of disease</w:t>
      </w:r>
      <w:r w:rsidRPr="00112661">
        <w:rPr>
          <w:rFonts w:ascii="Times New Roman" w:hAnsi="Times New Roman"/>
        </w:rPr>
        <w:t xml:space="preserve">, e1613 . </w:t>
      </w:r>
      <w:hyperlink r:id="rId23" w:history="1">
        <w:r w:rsidRPr="00DF6B36">
          <w:rPr>
            <w:rStyle w:val="Hyperlink"/>
            <w:rFonts w:ascii="Times New Roman" w:hAnsi="Times New Roman"/>
          </w:rPr>
          <w:t>https://doi.org/10.1002/wsbm.1613</w:t>
        </w:r>
      </w:hyperlink>
      <w:r w:rsidRPr="00112661">
        <w:rPr>
          <w:rFonts w:ascii="Times New Roman" w:hAnsi="Times New Roman"/>
        </w:rPr>
        <w:t>.</w:t>
      </w:r>
    </w:p>
    <w:p w14:paraId="6926FD8C" w14:textId="77777777" w:rsidR="006E35FC" w:rsidRDefault="006E35FC" w:rsidP="008C24A0">
      <w:pPr>
        <w:spacing w:line="360" w:lineRule="auto"/>
        <w:ind w:left="720" w:hanging="720"/>
        <w:jc w:val="both"/>
        <w:rPr>
          <w:rFonts w:ascii="Times New Roman" w:hAnsi="Times New Roman"/>
        </w:rPr>
      </w:pPr>
      <w:r w:rsidRPr="00F165EB">
        <w:rPr>
          <w:rFonts w:ascii="Times New Roman" w:hAnsi="Times New Roman"/>
        </w:rPr>
        <w:t xml:space="preserve">Hutchins, A., Acharya, S., Akanbi, O., Doan, K., </w:t>
      </w:r>
      <w:proofErr w:type="spellStart"/>
      <w:r w:rsidRPr="00F165EB">
        <w:rPr>
          <w:rFonts w:ascii="Times New Roman" w:hAnsi="Times New Roman"/>
        </w:rPr>
        <w:t>Pinninti</w:t>
      </w:r>
      <w:proofErr w:type="spellEnd"/>
      <w:r w:rsidRPr="00F165EB">
        <w:rPr>
          <w:rFonts w:ascii="Times New Roman" w:hAnsi="Times New Roman"/>
        </w:rPr>
        <w:t>, P., Isherwood, K., ... &amp; Guo, W. (2025). Low-power textile-integrated electroosmosis pump for active moisture and sweat management. </w:t>
      </w:r>
      <w:proofErr w:type="spellStart"/>
      <w:r w:rsidRPr="00F165EB">
        <w:rPr>
          <w:rFonts w:ascii="Times New Roman" w:hAnsi="Times New Roman"/>
          <w:i/>
          <w:iCs/>
        </w:rPr>
        <w:t>Iscience</w:t>
      </w:r>
      <w:proofErr w:type="spellEnd"/>
      <w:r w:rsidRPr="00F165EB">
        <w:rPr>
          <w:rFonts w:ascii="Times New Roman" w:hAnsi="Times New Roman"/>
        </w:rPr>
        <w:t>, </w:t>
      </w:r>
      <w:r w:rsidRPr="00F165EB">
        <w:rPr>
          <w:rFonts w:ascii="Times New Roman" w:hAnsi="Times New Roman"/>
          <w:i/>
          <w:iCs/>
        </w:rPr>
        <w:t>28</w:t>
      </w:r>
      <w:r w:rsidRPr="00F165EB">
        <w:rPr>
          <w:rFonts w:ascii="Times New Roman" w:hAnsi="Times New Roman"/>
        </w:rPr>
        <w:t>(12).</w:t>
      </w:r>
    </w:p>
    <w:p w14:paraId="17D9D228" w14:textId="77777777" w:rsidR="006E35FC" w:rsidRDefault="006E35FC" w:rsidP="008C24A0">
      <w:pPr>
        <w:spacing w:line="360" w:lineRule="auto"/>
        <w:ind w:left="720" w:hanging="720"/>
        <w:jc w:val="both"/>
        <w:rPr>
          <w:rFonts w:ascii="Times New Roman" w:hAnsi="Times New Roman"/>
        </w:rPr>
      </w:pPr>
      <w:r w:rsidRPr="000E3100">
        <w:rPr>
          <w:rFonts w:ascii="Times New Roman" w:hAnsi="Times New Roman"/>
        </w:rPr>
        <w:t xml:space="preserve">Iannone, A., </w:t>
      </w:r>
      <w:proofErr w:type="spellStart"/>
      <w:r w:rsidRPr="000E3100">
        <w:rPr>
          <w:rFonts w:ascii="Times New Roman" w:hAnsi="Times New Roman"/>
        </w:rPr>
        <w:t>Carfí</w:t>
      </w:r>
      <w:proofErr w:type="spellEnd"/>
      <w:r w:rsidRPr="000E3100">
        <w:rPr>
          <w:rFonts w:ascii="Times New Roman" w:hAnsi="Times New Roman"/>
        </w:rPr>
        <w:t xml:space="preserve">, A., Mastrogiovanni, F., Zaccaria, R., &amp; Manna, C. (2024). On the role of artificial intelligence in </w:t>
      </w:r>
      <w:proofErr w:type="spellStart"/>
      <w:r w:rsidRPr="000E3100">
        <w:rPr>
          <w:rFonts w:ascii="Times New Roman" w:hAnsi="Times New Roman"/>
        </w:rPr>
        <w:t>analysing</w:t>
      </w:r>
      <w:proofErr w:type="spellEnd"/>
      <w:r w:rsidRPr="000E3100">
        <w:rPr>
          <w:rFonts w:ascii="Times New Roman" w:hAnsi="Times New Roman"/>
        </w:rPr>
        <w:t xml:space="preserve"> oocytes during in vitro </w:t>
      </w:r>
      <w:proofErr w:type="spellStart"/>
      <w:r w:rsidRPr="000E3100">
        <w:rPr>
          <w:rFonts w:ascii="Times New Roman" w:hAnsi="Times New Roman"/>
        </w:rPr>
        <w:t>fertilisation</w:t>
      </w:r>
      <w:proofErr w:type="spellEnd"/>
      <w:r w:rsidRPr="000E3100">
        <w:rPr>
          <w:rFonts w:ascii="Times New Roman" w:hAnsi="Times New Roman"/>
        </w:rPr>
        <w:t xml:space="preserve"> procedures. </w:t>
      </w:r>
      <w:r w:rsidRPr="000E3100">
        <w:rPr>
          <w:rFonts w:ascii="Times New Roman" w:hAnsi="Times New Roman"/>
          <w:i/>
          <w:iCs/>
        </w:rPr>
        <w:t>Artificial intelligence in medicine</w:t>
      </w:r>
      <w:r w:rsidRPr="000E3100">
        <w:rPr>
          <w:rFonts w:ascii="Times New Roman" w:hAnsi="Times New Roman"/>
        </w:rPr>
        <w:t xml:space="preserve">, 157, 102997 . </w:t>
      </w:r>
      <w:hyperlink r:id="rId24" w:history="1">
        <w:r w:rsidRPr="00DF6B36">
          <w:rPr>
            <w:rStyle w:val="Hyperlink"/>
            <w:rFonts w:ascii="Times New Roman" w:hAnsi="Times New Roman"/>
          </w:rPr>
          <w:t>https://doi.org/10.1016/j.artmed.2024.102997</w:t>
        </w:r>
      </w:hyperlink>
      <w:r w:rsidRPr="000E3100">
        <w:rPr>
          <w:rFonts w:ascii="Times New Roman" w:hAnsi="Times New Roman"/>
        </w:rPr>
        <w:t>.</w:t>
      </w:r>
    </w:p>
    <w:p w14:paraId="1A600A65" w14:textId="77777777" w:rsidR="006E35FC" w:rsidRDefault="006E35FC" w:rsidP="008C24A0">
      <w:pPr>
        <w:spacing w:line="360" w:lineRule="auto"/>
        <w:ind w:left="720" w:hanging="720"/>
        <w:jc w:val="both"/>
        <w:rPr>
          <w:rFonts w:ascii="Times New Roman" w:hAnsi="Times New Roman"/>
        </w:rPr>
      </w:pPr>
      <w:r w:rsidRPr="00F76E34">
        <w:rPr>
          <w:rFonts w:ascii="Times New Roman" w:hAnsi="Times New Roman"/>
        </w:rPr>
        <w:t xml:space="preserve">Innocenti, F., Fiorentino, G., </w:t>
      </w:r>
      <w:proofErr w:type="spellStart"/>
      <w:r w:rsidRPr="00F76E34">
        <w:rPr>
          <w:rFonts w:ascii="Times New Roman" w:hAnsi="Times New Roman"/>
        </w:rPr>
        <w:t>Cimadomo</w:t>
      </w:r>
      <w:proofErr w:type="spellEnd"/>
      <w:r w:rsidRPr="00F76E34">
        <w:rPr>
          <w:rFonts w:ascii="Times New Roman" w:hAnsi="Times New Roman"/>
        </w:rPr>
        <w:t xml:space="preserve">, D., Soscia, D., </w:t>
      </w:r>
      <w:proofErr w:type="spellStart"/>
      <w:r w:rsidRPr="00F76E34">
        <w:rPr>
          <w:rFonts w:ascii="Times New Roman" w:hAnsi="Times New Roman"/>
        </w:rPr>
        <w:t>Garagna</w:t>
      </w:r>
      <w:proofErr w:type="spellEnd"/>
      <w:r w:rsidRPr="00F76E34">
        <w:rPr>
          <w:rFonts w:ascii="Times New Roman" w:hAnsi="Times New Roman"/>
        </w:rPr>
        <w:t>, S., Rienzi, L., Ubaldi, F., &amp; Zuccotti, M. (2022). Maternal effect factors that contribute to oocytes developmental competence: an update. </w:t>
      </w:r>
      <w:r w:rsidRPr="00F76E34">
        <w:rPr>
          <w:rFonts w:ascii="Times New Roman" w:hAnsi="Times New Roman"/>
          <w:i/>
          <w:iCs/>
        </w:rPr>
        <w:t>Journal of Assisted Reproduction and Genetics</w:t>
      </w:r>
      <w:r w:rsidRPr="00F76E34">
        <w:rPr>
          <w:rFonts w:ascii="Times New Roman" w:hAnsi="Times New Roman"/>
        </w:rPr>
        <w:t xml:space="preserve">, 39, 861 - 871. </w:t>
      </w:r>
      <w:hyperlink r:id="rId25" w:history="1">
        <w:r w:rsidRPr="00DF6B36">
          <w:rPr>
            <w:rStyle w:val="Hyperlink"/>
            <w:rFonts w:ascii="Times New Roman" w:hAnsi="Times New Roman"/>
          </w:rPr>
          <w:t>https://doi.org/10.1007/s10815-022-02434-y</w:t>
        </w:r>
      </w:hyperlink>
      <w:r w:rsidRPr="00F76E34">
        <w:rPr>
          <w:rFonts w:ascii="Times New Roman" w:hAnsi="Times New Roman"/>
        </w:rPr>
        <w:t>.</w:t>
      </w:r>
    </w:p>
    <w:p w14:paraId="717B9191" w14:textId="77777777" w:rsidR="006E35FC" w:rsidRDefault="006E35FC" w:rsidP="008C24A0">
      <w:pPr>
        <w:spacing w:line="360" w:lineRule="auto"/>
        <w:ind w:left="720" w:hanging="720"/>
        <w:jc w:val="both"/>
        <w:rPr>
          <w:rFonts w:ascii="Times New Roman" w:hAnsi="Times New Roman"/>
        </w:rPr>
      </w:pPr>
      <w:r w:rsidRPr="000E3100">
        <w:rPr>
          <w:rFonts w:ascii="Times New Roman" w:hAnsi="Times New Roman"/>
        </w:rPr>
        <w:t>Jiang, V. (2023). Artificial Intelligence in the IVF Laboratory: A Review of Advancements Over the Last Decade.. </w:t>
      </w:r>
      <w:r w:rsidRPr="000E3100">
        <w:rPr>
          <w:rFonts w:ascii="Times New Roman" w:hAnsi="Times New Roman"/>
          <w:i/>
          <w:iCs/>
        </w:rPr>
        <w:t>Fertility and sterility</w:t>
      </w:r>
      <w:r w:rsidRPr="000E3100">
        <w:rPr>
          <w:rFonts w:ascii="Times New Roman" w:hAnsi="Times New Roman"/>
        </w:rPr>
        <w:t xml:space="preserve">. </w:t>
      </w:r>
      <w:hyperlink r:id="rId26" w:history="1">
        <w:r w:rsidRPr="00DF6B36">
          <w:rPr>
            <w:rStyle w:val="Hyperlink"/>
            <w:rFonts w:ascii="Times New Roman" w:hAnsi="Times New Roman"/>
          </w:rPr>
          <w:t>https://doi.org/10.1016/j.fertnstert.2023.05.149</w:t>
        </w:r>
      </w:hyperlink>
      <w:r w:rsidRPr="000E3100">
        <w:rPr>
          <w:rFonts w:ascii="Times New Roman" w:hAnsi="Times New Roman"/>
        </w:rPr>
        <w:t>.</w:t>
      </w:r>
    </w:p>
    <w:p w14:paraId="2C8C4F74" w14:textId="77777777" w:rsidR="006E35FC" w:rsidRDefault="006E35FC" w:rsidP="008C24A0">
      <w:pPr>
        <w:spacing w:line="360" w:lineRule="auto"/>
        <w:ind w:left="720" w:hanging="720"/>
        <w:jc w:val="both"/>
        <w:rPr>
          <w:rFonts w:ascii="Times New Roman" w:hAnsi="Times New Roman"/>
        </w:rPr>
      </w:pPr>
      <w:r w:rsidRPr="003A15C2">
        <w:rPr>
          <w:rFonts w:ascii="Times New Roman" w:hAnsi="Times New Roman"/>
        </w:rPr>
        <w:t xml:space="preserve">Kayanja, M., Tiri, M., </w:t>
      </w:r>
      <w:proofErr w:type="spellStart"/>
      <w:r w:rsidRPr="003A15C2">
        <w:rPr>
          <w:rFonts w:ascii="Times New Roman" w:hAnsi="Times New Roman"/>
        </w:rPr>
        <w:t>Muyigo</w:t>
      </w:r>
      <w:proofErr w:type="spellEnd"/>
      <w:r w:rsidRPr="003A15C2">
        <w:rPr>
          <w:rFonts w:ascii="Times New Roman" w:hAnsi="Times New Roman"/>
        </w:rPr>
        <w:t xml:space="preserve">, M., </w:t>
      </w:r>
      <w:proofErr w:type="spellStart"/>
      <w:r w:rsidRPr="003A15C2">
        <w:rPr>
          <w:rFonts w:ascii="Times New Roman" w:hAnsi="Times New Roman"/>
        </w:rPr>
        <w:t>Rujumba</w:t>
      </w:r>
      <w:proofErr w:type="spellEnd"/>
      <w:r w:rsidRPr="003A15C2">
        <w:rPr>
          <w:rFonts w:ascii="Times New Roman" w:hAnsi="Times New Roman"/>
        </w:rPr>
        <w:t>, D., Brian, N., &amp; Francis, K. (2024). Markers of Oocyte Quality to Enhance Human IVF Outcomes: A Bibliographic Review. </w:t>
      </w:r>
      <w:r w:rsidRPr="003A15C2">
        <w:rPr>
          <w:rFonts w:ascii="Times New Roman" w:hAnsi="Times New Roman"/>
          <w:i/>
          <w:iCs/>
        </w:rPr>
        <w:t>Open Journal of Internal Medicine</w:t>
      </w:r>
      <w:r w:rsidRPr="003A15C2">
        <w:rPr>
          <w:rFonts w:ascii="Times New Roman" w:hAnsi="Times New Roman"/>
        </w:rPr>
        <w:t xml:space="preserve">. </w:t>
      </w:r>
      <w:hyperlink r:id="rId27" w:history="1">
        <w:r w:rsidRPr="00DF6B36">
          <w:rPr>
            <w:rStyle w:val="Hyperlink"/>
            <w:rFonts w:ascii="Times New Roman" w:hAnsi="Times New Roman"/>
          </w:rPr>
          <w:t>https://doi.org/10.4236/ojim.2024.141010</w:t>
        </w:r>
      </w:hyperlink>
      <w:r w:rsidRPr="003A15C2">
        <w:rPr>
          <w:rFonts w:ascii="Times New Roman" w:hAnsi="Times New Roman"/>
        </w:rPr>
        <w:t>.</w:t>
      </w:r>
    </w:p>
    <w:p w14:paraId="1DD0DEA6" w14:textId="77777777" w:rsidR="006E35FC" w:rsidRDefault="006E35FC" w:rsidP="008C24A0">
      <w:pPr>
        <w:spacing w:line="360" w:lineRule="auto"/>
        <w:ind w:left="720" w:hanging="720"/>
        <w:jc w:val="both"/>
        <w:rPr>
          <w:rFonts w:ascii="Times New Roman" w:hAnsi="Times New Roman"/>
        </w:rPr>
      </w:pPr>
      <w:r w:rsidRPr="009B1EDF">
        <w:rPr>
          <w:rFonts w:ascii="Times New Roman" w:hAnsi="Times New Roman"/>
        </w:rPr>
        <w:t xml:space="preserve">Kayanja, M., Tiri, M., </w:t>
      </w:r>
      <w:proofErr w:type="spellStart"/>
      <w:r w:rsidRPr="009B1EDF">
        <w:rPr>
          <w:rFonts w:ascii="Times New Roman" w:hAnsi="Times New Roman"/>
        </w:rPr>
        <w:t>Muyigo</w:t>
      </w:r>
      <w:proofErr w:type="spellEnd"/>
      <w:r w:rsidRPr="009B1EDF">
        <w:rPr>
          <w:rFonts w:ascii="Times New Roman" w:hAnsi="Times New Roman"/>
        </w:rPr>
        <w:t xml:space="preserve">, M., </w:t>
      </w:r>
      <w:proofErr w:type="spellStart"/>
      <w:r w:rsidRPr="009B1EDF">
        <w:rPr>
          <w:rFonts w:ascii="Times New Roman" w:hAnsi="Times New Roman"/>
        </w:rPr>
        <w:t>Rujumba</w:t>
      </w:r>
      <w:proofErr w:type="spellEnd"/>
      <w:r w:rsidRPr="009B1EDF">
        <w:rPr>
          <w:rFonts w:ascii="Times New Roman" w:hAnsi="Times New Roman"/>
        </w:rPr>
        <w:t>, D., Brian, N., &amp; Francis, K. (2024). Markers of Oocyte Quality to Enhance Human IVF Outcomes: A Bibliographic Review. </w:t>
      </w:r>
      <w:r w:rsidRPr="009B1EDF">
        <w:rPr>
          <w:rFonts w:ascii="Times New Roman" w:hAnsi="Times New Roman"/>
          <w:i/>
          <w:iCs/>
        </w:rPr>
        <w:t>Open Journal of Internal Medicine</w:t>
      </w:r>
      <w:r w:rsidRPr="009B1EDF">
        <w:rPr>
          <w:rFonts w:ascii="Times New Roman" w:hAnsi="Times New Roman"/>
        </w:rPr>
        <w:t xml:space="preserve">. </w:t>
      </w:r>
      <w:hyperlink r:id="rId28" w:history="1">
        <w:r w:rsidRPr="00DF6B36">
          <w:rPr>
            <w:rStyle w:val="Hyperlink"/>
            <w:rFonts w:ascii="Times New Roman" w:hAnsi="Times New Roman"/>
          </w:rPr>
          <w:t>https://doi.org/10.4236/ojim.2024.141010</w:t>
        </w:r>
      </w:hyperlink>
      <w:r w:rsidRPr="009B1EDF">
        <w:rPr>
          <w:rFonts w:ascii="Times New Roman" w:hAnsi="Times New Roman"/>
        </w:rPr>
        <w:t>.</w:t>
      </w:r>
    </w:p>
    <w:p w14:paraId="70FA410C" w14:textId="77777777" w:rsidR="006E35FC" w:rsidRDefault="006E35FC" w:rsidP="008C24A0">
      <w:pPr>
        <w:spacing w:line="360" w:lineRule="auto"/>
        <w:ind w:left="720" w:hanging="720"/>
        <w:jc w:val="both"/>
        <w:rPr>
          <w:rFonts w:ascii="Times New Roman" w:hAnsi="Times New Roman"/>
        </w:rPr>
      </w:pPr>
      <w:proofErr w:type="spellStart"/>
      <w:r w:rsidRPr="00684DDE">
        <w:rPr>
          <w:rFonts w:ascii="Times New Roman" w:hAnsi="Times New Roman"/>
        </w:rPr>
        <w:t>Kordowitzki</w:t>
      </w:r>
      <w:proofErr w:type="spellEnd"/>
      <w:r w:rsidRPr="00684DDE">
        <w:rPr>
          <w:rFonts w:ascii="Times New Roman" w:hAnsi="Times New Roman"/>
        </w:rPr>
        <w:t xml:space="preserve">, P., </w:t>
      </w:r>
      <w:proofErr w:type="spellStart"/>
      <w:r w:rsidRPr="00684DDE">
        <w:rPr>
          <w:rFonts w:ascii="Times New Roman" w:hAnsi="Times New Roman"/>
        </w:rPr>
        <w:t>Sokołowska</w:t>
      </w:r>
      <w:proofErr w:type="spellEnd"/>
      <w:r w:rsidRPr="00684DDE">
        <w:rPr>
          <w:rFonts w:ascii="Times New Roman" w:hAnsi="Times New Roman"/>
        </w:rPr>
        <w:t xml:space="preserve">, G., </w:t>
      </w:r>
      <w:proofErr w:type="spellStart"/>
      <w:r w:rsidRPr="00684DDE">
        <w:rPr>
          <w:rFonts w:ascii="Times New Roman" w:hAnsi="Times New Roman"/>
        </w:rPr>
        <w:t>Wasielak-Politowska</w:t>
      </w:r>
      <w:proofErr w:type="spellEnd"/>
      <w:r w:rsidRPr="00684DDE">
        <w:rPr>
          <w:rFonts w:ascii="Times New Roman" w:hAnsi="Times New Roman"/>
        </w:rPr>
        <w:t>, M., Skowrońska, A., &amp; Skowroński, M. (2021). Pannexins and Connexins: Their Relevance for Oocyte Developmental Competence. </w:t>
      </w:r>
      <w:r w:rsidRPr="00684DDE">
        <w:rPr>
          <w:rFonts w:ascii="Times New Roman" w:hAnsi="Times New Roman"/>
          <w:i/>
          <w:iCs/>
        </w:rPr>
        <w:t>International Journal of Molecular Sciences</w:t>
      </w:r>
      <w:r w:rsidRPr="00684DDE">
        <w:rPr>
          <w:rFonts w:ascii="Times New Roman" w:hAnsi="Times New Roman"/>
        </w:rPr>
        <w:t xml:space="preserve">, 22. </w:t>
      </w:r>
      <w:hyperlink r:id="rId29" w:history="1">
        <w:r w:rsidRPr="00DF6B36">
          <w:rPr>
            <w:rStyle w:val="Hyperlink"/>
            <w:rFonts w:ascii="Times New Roman" w:hAnsi="Times New Roman"/>
          </w:rPr>
          <w:t>https://doi.org/10.3390/ijms22115918</w:t>
        </w:r>
      </w:hyperlink>
      <w:r w:rsidRPr="00684DDE">
        <w:rPr>
          <w:rFonts w:ascii="Times New Roman" w:hAnsi="Times New Roman"/>
        </w:rPr>
        <w:t>.</w:t>
      </w:r>
    </w:p>
    <w:p w14:paraId="4B9E52C8" w14:textId="77777777" w:rsidR="006E35FC" w:rsidRDefault="006E35FC" w:rsidP="008C24A0">
      <w:pPr>
        <w:spacing w:line="360" w:lineRule="auto"/>
        <w:ind w:left="720" w:hanging="720"/>
        <w:jc w:val="both"/>
        <w:rPr>
          <w:rFonts w:ascii="Times New Roman" w:hAnsi="Times New Roman"/>
        </w:rPr>
      </w:pPr>
      <w:proofErr w:type="spellStart"/>
      <w:r w:rsidRPr="00673F95">
        <w:rPr>
          <w:rFonts w:ascii="Times New Roman" w:hAnsi="Times New Roman"/>
        </w:rPr>
        <w:lastRenderedPageBreak/>
        <w:t>Maside</w:t>
      </w:r>
      <w:proofErr w:type="spellEnd"/>
      <w:r w:rsidRPr="00673F95">
        <w:rPr>
          <w:rFonts w:ascii="Times New Roman" w:hAnsi="Times New Roman"/>
        </w:rPr>
        <w:t>, C., Sánchez-</w:t>
      </w:r>
      <w:proofErr w:type="spellStart"/>
      <w:r w:rsidRPr="00673F95">
        <w:rPr>
          <w:rFonts w:ascii="Times New Roman" w:hAnsi="Times New Roman"/>
        </w:rPr>
        <w:t>Ajofrín</w:t>
      </w:r>
      <w:proofErr w:type="spellEnd"/>
      <w:r w:rsidRPr="00673F95">
        <w:rPr>
          <w:rFonts w:ascii="Times New Roman" w:hAnsi="Times New Roman"/>
        </w:rPr>
        <w:t>, I., Medina-Chávez, D., Alves, B., Garde, J., &amp; Soler, A. (2021). Oocyte Morphometric Assessment and Gene Expression Profiling of Oocytes and Cumulus Cells as Biomarkers of Oocyte Competence in Sheep. </w:t>
      </w:r>
      <w:r w:rsidRPr="00673F95">
        <w:rPr>
          <w:rFonts w:ascii="Times New Roman" w:hAnsi="Times New Roman"/>
          <w:i/>
          <w:iCs/>
        </w:rPr>
        <w:t>Animals : an Open Access Journal from MDPI</w:t>
      </w:r>
      <w:r w:rsidRPr="00673F95">
        <w:rPr>
          <w:rFonts w:ascii="Times New Roman" w:hAnsi="Times New Roman"/>
        </w:rPr>
        <w:t xml:space="preserve">, 11. </w:t>
      </w:r>
      <w:hyperlink r:id="rId30" w:history="1">
        <w:r w:rsidRPr="00DF6B36">
          <w:rPr>
            <w:rStyle w:val="Hyperlink"/>
            <w:rFonts w:ascii="Times New Roman" w:hAnsi="Times New Roman"/>
          </w:rPr>
          <w:t>https://doi.org/10.3390/ani11102818</w:t>
        </w:r>
      </w:hyperlink>
      <w:r w:rsidRPr="00673F95">
        <w:rPr>
          <w:rFonts w:ascii="Times New Roman" w:hAnsi="Times New Roman"/>
        </w:rPr>
        <w:t>.</w:t>
      </w:r>
    </w:p>
    <w:p w14:paraId="13DAB261" w14:textId="77777777" w:rsidR="006E35FC" w:rsidRDefault="006E35FC" w:rsidP="008C24A0">
      <w:pPr>
        <w:spacing w:line="360" w:lineRule="auto"/>
        <w:ind w:left="720" w:hanging="720"/>
        <w:jc w:val="both"/>
        <w:rPr>
          <w:rFonts w:ascii="Times New Roman" w:hAnsi="Times New Roman"/>
        </w:rPr>
      </w:pPr>
      <w:r w:rsidRPr="00601177">
        <w:rPr>
          <w:rFonts w:ascii="Times New Roman" w:hAnsi="Times New Roman"/>
        </w:rPr>
        <w:t>Massoud, G., Spann, M., Vaught, K., Das, S., Dow, M., Cochran, R., Baker, V., Segars, J., &amp; Singh, B. (2023). Biomarkers Assessing the Role of Cumulus Cells on IVF Outcomes: A Systematic Review. </w:t>
      </w:r>
      <w:r w:rsidRPr="00601177">
        <w:rPr>
          <w:rFonts w:ascii="Times New Roman" w:hAnsi="Times New Roman"/>
          <w:i/>
          <w:iCs/>
        </w:rPr>
        <w:t>Journal of Assisted Reproduction and Genetics</w:t>
      </w:r>
      <w:r w:rsidRPr="00601177">
        <w:rPr>
          <w:rFonts w:ascii="Times New Roman" w:hAnsi="Times New Roman"/>
        </w:rPr>
        <w:t xml:space="preserve">, 41, 253 - 275. </w:t>
      </w:r>
      <w:hyperlink r:id="rId31" w:history="1">
        <w:r w:rsidRPr="00DF6B36">
          <w:rPr>
            <w:rStyle w:val="Hyperlink"/>
            <w:rFonts w:ascii="Times New Roman" w:hAnsi="Times New Roman"/>
          </w:rPr>
          <w:t>https://doi.org/10.1007/s10815-023-02984-9</w:t>
        </w:r>
      </w:hyperlink>
      <w:r w:rsidRPr="00601177">
        <w:rPr>
          <w:rFonts w:ascii="Times New Roman" w:hAnsi="Times New Roman"/>
        </w:rPr>
        <w:t>.</w:t>
      </w:r>
    </w:p>
    <w:p w14:paraId="47F9E00C" w14:textId="77777777" w:rsidR="006E35FC" w:rsidRDefault="006E35FC" w:rsidP="008C24A0">
      <w:pPr>
        <w:spacing w:line="360" w:lineRule="auto"/>
        <w:ind w:left="720" w:hanging="720"/>
        <w:jc w:val="both"/>
        <w:rPr>
          <w:rFonts w:ascii="Times New Roman" w:hAnsi="Times New Roman"/>
        </w:rPr>
      </w:pPr>
      <w:proofErr w:type="spellStart"/>
      <w:r w:rsidRPr="000F3AC6">
        <w:rPr>
          <w:rFonts w:ascii="Times New Roman" w:hAnsi="Times New Roman"/>
        </w:rPr>
        <w:t>Mermillod</w:t>
      </w:r>
      <w:proofErr w:type="spellEnd"/>
      <w:r w:rsidRPr="000F3AC6">
        <w:rPr>
          <w:rFonts w:ascii="Times New Roman" w:hAnsi="Times New Roman"/>
        </w:rPr>
        <w:t xml:space="preserve">, P., </w:t>
      </w:r>
      <w:proofErr w:type="spellStart"/>
      <w:r w:rsidRPr="000F3AC6">
        <w:rPr>
          <w:rFonts w:ascii="Times New Roman" w:hAnsi="Times New Roman"/>
        </w:rPr>
        <w:t>Oussaid</w:t>
      </w:r>
      <w:proofErr w:type="spellEnd"/>
      <w:r w:rsidRPr="000F3AC6">
        <w:rPr>
          <w:rFonts w:ascii="Times New Roman" w:hAnsi="Times New Roman"/>
        </w:rPr>
        <w:t xml:space="preserve">, B., &amp; </w:t>
      </w:r>
      <w:proofErr w:type="spellStart"/>
      <w:r w:rsidRPr="000F3AC6">
        <w:rPr>
          <w:rFonts w:ascii="Times New Roman" w:hAnsi="Times New Roman"/>
        </w:rPr>
        <w:t>Cognié</w:t>
      </w:r>
      <w:proofErr w:type="spellEnd"/>
      <w:r w:rsidRPr="000F3AC6">
        <w:rPr>
          <w:rFonts w:ascii="Times New Roman" w:hAnsi="Times New Roman"/>
        </w:rPr>
        <w:t>, Y. (2019). Aspects of follicular and oocyte maturation that affect the developmental potential of embryos.. </w:t>
      </w:r>
      <w:r w:rsidRPr="000F3AC6">
        <w:rPr>
          <w:rFonts w:ascii="Times New Roman" w:hAnsi="Times New Roman"/>
          <w:i/>
          <w:iCs/>
        </w:rPr>
        <w:t>Journal of reproduction and fertility. Supplement</w:t>
      </w:r>
      <w:r w:rsidRPr="000F3AC6">
        <w:rPr>
          <w:rFonts w:ascii="Times New Roman" w:hAnsi="Times New Roman"/>
        </w:rPr>
        <w:t xml:space="preserve">, 54, 449-60 . </w:t>
      </w:r>
      <w:hyperlink r:id="rId32" w:history="1">
        <w:r w:rsidRPr="00DF6B36">
          <w:rPr>
            <w:rStyle w:val="Hyperlink"/>
            <w:rFonts w:ascii="Times New Roman" w:hAnsi="Times New Roman"/>
          </w:rPr>
          <w:t>https://doi.org/10.1530/biosciprocs.4.035</w:t>
        </w:r>
      </w:hyperlink>
      <w:r w:rsidRPr="000F3AC6">
        <w:rPr>
          <w:rFonts w:ascii="Times New Roman" w:hAnsi="Times New Roman"/>
        </w:rPr>
        <w:t>.</w:t>
      </w:r>
    </w:p>
    <w:p w14:paraId="5814F7A9" w14:textId="77777777" w:rsidR="006E35FC" w:rsidRDefault="006E35FC" w:rsidP="008C24A0">
      <w:pPr>
        <w:spacing w:line="360" w:lineRule="auto"/>
        <w:ind w:left="720" w:hanging="720"/>
        <w:jc w:val="both"/>
        <w:rPr>
          <w:rFonts w:ascii="Times New Roman" w:hAnsi="Times New Roman"/>
        </w:rPr>
      </w:pPr>
      <w:r w:rsidRPr="004D1439">
        <w:rPr>
          <w:rFonts w:ascii="Times New Roman" w:hAnsi="Times New Roman"/>
        </w:rPr>
        <w:t>Molin, E., Lazzari, V., Peruzzato, F., Nazari, E., &amp; Müller, Y. (2025). Biomarker candidates for oocyte and embryo quality assessment in assisted reproduction: A systematic review. </w:t>
      </w:r>
      <w:r w:rsidRPr="004D1439">
        <w:rPr>
          <w:rFonts w:ascii="Times New Roman" w:hAnsi="Times New Roman"/>
          <w:i/>
          <w:iCs/>
        </w:rPr>
        <w:t>JBRA Assisted Reproduction</w:t>
      </w:r>
      <w:r w:rsidRPr="004D1439">
        <w:rPr>
          <w:rFonts w:ascii="Times New Roman" w:hAnsi="Times New Roman"/>
        </w:rPr>
        <w:t xml:space="preserve">, 29, 721 - 737. </w:t>
      </w:r>
      <w:hyperlink r:id="rId33" w:history="1">
        <w:r w:rsidRPr="00DF6B36">
          <w:rPr>
            <w:rStyle w:val="Hyperlink"/>
            <w:rFonts w:ascii="Times New Roman" w:hAnsi="Times New Roman"/>
          </w:rPr>
          <w:t>https://doi.org/10.5935/1518-0557.20250043</w:t>
        </w:r>
      </w:hyperlink>
      <w:r w:rsidRPr="004D1439">
        <w:rPr>
          <w:rFonts w:ascii="Times New Roman" w:hAnsi="Times New Roman"/>
        </w:rPr>
        <w:t>.</w:t>
      </w:r>
    </w:p>
    <w:p w14:paraId="119AD322" w14:textId="77777777" w:rsidR="006E35FC" w:rsidRDefault="006E35FC" w:rsidP="008C24A0">
      <w:pPr>
        <w:spacing w:line="360" w:lineRule="auto"/>
        <w:ind w:left="720" w:hanging="720"/>
        <w:jc w:val="both"/>
        <w:rPr>
          <w:rFonts w:ascii="Times New Roman" w:hAnsi="Times New Roman"/>
        </w:rPr>
      </w:pPr>
      <w:r w:rsidRPr="00EA4361">
        <w:rPr>
          <w:rFonts w:ascii="Times New Roman" w:hAnsi="Times New Roman"/>
        </w:rPr>
        <w:t>Moon, J., Zhao, Q., Zhang, J., Reddy, V., Han, J., Cheng, Y., Zhang, N., Dasig, J., Nel‐</w:t>
      </w:r>
      <w:proofErr w:type="spellStart"/>
      <w:r w:rsidRPr="00EA4361">
        <w:rPr>
          <w:rFonts w:ascii="Times New Roman" w:hAnsi="Times New Roman"/>
        </w:rPr>
        <w:t>Themaat</w:t>
      </w:r>
      <w:proofErr w:type="spellEnd"/>
      <w:r w:rsidRPr="00EA4361">
        <w:rPr>
          <w:rFonts w:ascii="Times New Roman" w:hAnsi="Times New Roman"/>
        </w:rPr>
        <w:t>, L., Behr, B., &amp; Yu, B. (2022). The developmental competence of human metaphase I oocytes with delayed maturation in vitro.. </w:t>
      </w:r>
      <w:r w:rsidRPr="00EA4361">
        <w:rPr>
          <w:rFonts w:ascii="Times New Roman" w:hAnsi="Times New Roman"/>
          <w:i/>
          <w:iCs/>
        </w:rPr>
        <w:t>Fertility and sterility</w:t>
      </w:r>
      <w:r w:rsidRPr="00EA4361">
        <w:rPr>
          <w:rFonts w:ascii="Times New Roman" w:hAnsi="Times New Roman"/>
        </w:rPr>
        <w:t xml:space="preserve">. </w:t>
      </w:r>
      <w:hyperlink r:id="rId34" w:history="1">
        <w:r w:rsidRPr="00DF6B36">
          <w:rPr>
            <w:rStyle w:val="Hyperlink"/>
            <w:rFonts w:ascii="Times New Roman" w:hAnsi="Times New Roman"/>
          </w:rPr>
          <w:t>https://doi.org/10.1016/j.fertnstert.2022.12.033</w:t>
        </w:r>
      </w:hyperlink>
      <w:r w:rsidRPr="00EA4361">
        <w:rPr>
          <w:rFonts w:ascii="Times New Roman" w:hAnsi="Times New Roman"/>
        </w:rPr>
        <w:t>.</w:t>
      </w:r>
    </w:p>
    <w:p w14:paraId="7BA26B42" w14:textId="77777777" w:rsidR="006E35FC" w:rsidRDefault="006E35FC" w:rsidP="008C24A0">
      <w:pPr>
        <w:spacing w:line="360" w:lineRule="auto"/>
        <w:ind w:left="720" w:hanging="720"/>
        <w:jc w:val="both"/>
        <w:rPr>
          <w:rFonts w:ascii="Times New Roman" w:hAnsi="Times New Roman"/>
        </w:rPr>
      </w:pPr>
      <w:r w:rsidRPr="00053466">
        <w:rPr>
          <w:rFonts w:ascii="Times New Roman" w:hAnsi="Times New Roman"/>
        </w:rPr>
        <w:t xml:space="preserve">Moreno, J., </w:t>
      </w:r>
      <w:proofErr w:type="spellStart"/>
      <w:r w:rsidRPr="00053466">
        <w:rPr>
          <w:rFonts w:ascii="Times New Roman" w:hAnsi="Times New Roman"/>
        </w:rPr>
        <w:t>Gayete-Lafuente</w:t>
      </w:r>
      <w:proofErr w:type="spellEnd"/>
      <w:r w:rsidRPr="00053466">
        <w:rPr>
          <w:rFonts w:ascii="Times New Roman" w:hAnsi="Times New Roman"/>
        </w:rPr>
        <w:t xml:space="preserve">, S., </w:t>
      </w:r>
      <w:proofErr w:type="spellStart"/>
      <w:r w:rsidRPr="00053466">
        <w:rPr>
          <w:rFonts w:ascii="Times New Roman" w:hAnsi="Times New Roman"/>
        </w:rPr>
        <w:t>Famada</w:t>
      </w:r>
      <w:proofErr w:type="spellEnd"/>
      <w:r w:rsidRPr="00053466">
        <w:rPr>
          <w:rFonts w:ascii="Times New Roman" w:hAnsi="Times New Roman"/>
        </w:rPr>
        <w:t xml:space="preserve">, V., </w:t>
      </w:r>
      <w:proofErr w:type="spellStart"/>
      <w:r w:rsidRPr="00053466">
        <w:rPr>
          <w:rFonts w:ascii="Times New Roman" w:hAnsi="Times New Roman"/>
        </w:rPr>
        <w:t>Espinós</w:t>
      </w:r>
      <w:proofErr w:type="spellEnd"/>
      <w:r w:rsidRPr="00053466">
        <w:rPr>
          <w:rFonts w:ascii="Times New Roman" w:hAnsi="Times New Roman"/>
        </w:rPr>
        <w:t>, J., &amp; Checa, M. (2023). P-351</w:t>
      </w:r>
      <w:r w:rsidRPr="00053466">
        <w:rPr>
          <w:rFonts w:ascii="Times New Roman" w:hAnsi="Times New Roman"/>
        </w:rPr>
        <w:t> </w:t>
      </w:r>
      <w:r w:rsidRPr="00053466">
        <w:rPr>
          <w:rFonts w:ascii="Times New Roman" w:hAnsi="Times New Roman"/>
        </w:rPr>
        <w:t>The impact of ovarian endometriosis on oocyte competence in IVF/ICSI cycles: A systematic review and meta-analysis. </w:t>
      </w:r>
      <w:r w:rsidRPr="00053466">
        <w:rPr>
          <w:rFonts w:ascii="Times New Roman" w:hAnsi="Times New Roman"/>
          <w:i/>
          <w:iCs/>
        </w:rPr>
        <w:t>Human Reproduction</w:t>
      </w:r>
      <w:r w:rsidRPr="00053466">
        <w:rPr>
          <w:rFonts w:ascii="Times New Roman" w:hAnsi="Times New Roman"/>
        </w:rPr>
        <w:t xml:space="preserve">. </w:t>
      </w:r>
      <w:hyperlink r:id="rId35" w:history="1">
        <w:r w:rsidRPr="00DF6B36">
          <w:rPr>
            <w:rStyle w:val="Hyperlink"/>
            <w:rFonts w:ascii="Times New Roman" w:hAnsi="Times New Roman"/>
          </w:rPr>
          <w:t>https://doi.org/10.1093/humrep/dead093.709</w:t>
        </w:r>
      </w:hyperlink>
      <w:r w:rsidRPr="00053466">
        <w:rPr>
          <w:rFonts w:ascii="Times New Roman" w:hAnsi="Times New Roman"/>
        </w:rPr>
        <w:t>.</w:t>
      </w:r>
    </w:p>
    <w:p w14:paraId="258B7272" w14:textId="77777777" w:rsidR="006E35FC" w:rsidRDefault="006E35FC" w:rsidP="008C24A0">
      <w:pPr>
        <w:spacing w:line="360" w:lineRule="auto"/>
        <w:ind w:left="720" w:hanging="720"/>
        <w:jc w:val="both"/>
        <w:rPr>
          <w:rFonts w:ascii="Times New Roman" w:hAnsi="Times New Roman"/>
        </w:rPr>
      </w:pPr>
      <w:r w:rsidRPr="003D46C7">
        <w:rPr>
          <w:rFonts w:ascii="Times New Roman" w:hAnsi="Times New Roman"/>
        </w:rPr>
        <w:t xml:space="preserve">Navarro, M., Fanti, T., Ortega, N., Waremkraut, M., </w:t>
      </w:r>
      <w:proofErr w:type="spellStart"/>
      <w:r w:rsidRPr="003D46C7">
        <w:rPr>
          <w:rFonts w:ascii="Times New Roman" w:hAnsi="Times New Roman"/>
        </w:rPr>
        <w:t>Guaimas</w:t>
      </w:r>
      <w:proofErr w:type="spellEnd"/>
      <w:r w:rsidRPr="003D46C7">
        <w:rPr>
          <w:rFonts w:ascii="Times New Roman" w:hAnsi="Times New Roman"/>
        </w:rPr>
        <w:t xml:space="preserve">, F., Mutto, A., &amp; </w:t>
      </w:r>
      <w:proofErr w:type="spellStart"/>
      <w:r w:rsidRPr="003D46C7">
        <w:rPr>
          <w:rFonts w:ascii="Times New Roman" w:hAnsi="Times New Roman"/>
        </w:rPr>
        <w:t>Blüguermann</w:t>
      </w:r>
      <w:proofErr w:type="spellEnd"/>
      <w:r w:rsidRPr="003D46C7">
        <w:rPr>
          <w:rFonts w:ascii="Times New Roman" w:hAnsi="Times New Roman"/>
        </w:rPr>
        <w:t>, C. (2024). The Simulated Physiological Oocyte Maturation (SPOM) System Enhances Cytoplasmic Maturation and Oocyte Competence in Cattle. </w:t>
      </w:r>
      <w:r w:rsidRPr="003D46C7">
        <w:rPr>
          <w:rFonts w:ascii="Times New Roman" w:hAnsi="Times New Roman"/>
          <w:i/>
          <w:iCs/>
        </w:rPr>
        <w:t>Animals : an Open Access Journal from MDPI</w:t>
      </w:r>
      <w:r w:rsidRPr="003D46C7">
        <w:rPr>
          <w:rFonts w:ascii="Times New Roman" w:hAnsi="Times New Roman"/>
        </w:rPr>
        <w:t xml:space="preserve">, 14. </w:t>
      </w:r>
      <w:hyperlink r:id="rId36" w:history="1">
        <w:r w:rsidRPr="00DF6B36">
          <w:rPr>
            <w:rStyle w:val="Hyperlink"/>
            <w:rFonts w:ascii="Times New Roman" w:hAnsi="Times New Roman"/>
          </w:rPr>
          <w:t>https://doi.org/10.3390/ani14131893</w:t>
        </w:r>
      </w:hyperlink>
      <w:r w:rsidRPr="003D46C7">
        <w:rPr>
          <w:rFonts w:ascii="Times New Roman" w:hAnsi="Times New Roman"/>
        </w:rPr>
        <w:t>.</w:t>
      </w:r>
    </w:p>
    <w:p w14:paraId="6178CB65" w14:textId="77777777" w:rsidR="006E35FC" w:rsidRDefault="006E35FC" w:rsidP="008C24A0">
      <w:pPr>
        <w:spacing w:line="360" w:lineRule="auto"/>
        <w:ind w:left="720" w:hanging="720"/>
        <w:jc w:val="both"/>
        <w:rPr>
          <w:rFonts w:ascii="Times New Roman" w:hAnsi="Times New Roman"/>
        </w:rPr>
      </w:pPr>
      <w:r w:rsidRPr="00B32D45">
        <w:rPr>
          <w:rFonts w:ascii="Times New Roman" w:hAnsi="Times New Roman"/>
        </w:rPr>
        <w:t xml:space="preserve">Pasquariello, R., Manzoni, E., </w:t>
      </w:r>
      <w:proofErr w:type="spellStart"/>
      <w:r w:rsidRPr="00B32D45">
        <w:rPr>
          <w:rFonts w:ascii="Times New Roman" w:hAnsi="Times New Roman"/>
        </w:rPr>
        <w:t>Fiandanese</w:t>
      </w:r>
      <w:proofErr w:type="spellEnd"/>
      <w:r w:rsidRPr="00B32D45">
        <w:rPr>
          <w:rFonts w:ascii="Times New Roman" w:hAnsi="Times New Roman"/>
        </w:rPr>
        <w:t xml:space="preserve">, N., Viglino, A., </w:t>
      </w:r>
      <w:proofErr w:type="spellStart"/>
      <w:r w:rsidRPr="00B32D45">
        <w:rPr>
          <w:rFonts w:ascii="Times New Roman" w:hAnsi="Times New Roman"/>
        </w:rPr>
        <w:t>Pocar</w:t>
      </w:r>
      <w:proofErr w:type="spellEnd"/>
      <w:r w:rsidRPr="00B32D45">
        <w:rPr>
          <w:rFonts w:ascii="Times New Roman" w:hAnsi="Times New Roman"/>
        </w:rPr>
        <w:t>, P., Brevini, T., Williams, J., &amp; Gandolfi, F. (2020). Implications of miRNA expression pattern in bovine oocytes and follicular fluids for developmental competence.. </w:t>
      </w:r>
      <w:r w:rsidRPr="00B32D45">
        <w:rPr>
          <w:rFonts w:ascii="Times New Roman" w:hAnsi="Times New Roman"/>
          <w:i/>
          <w:iCs/>
        </w:rPr>
        <w:t>Theriogenology</w:t>
      </w:r>
      <w:r w:rsidRPr="00B32D45">
        <w:rPr>
          <w:rFonts w:ascii="Times New Roman" w:hAnsi="Times New Roman"/>
        </w:rPr>
        <w:t xml:space="preserve">, 145, 77-85 . </w:t>
      </w:r>
      <w:hyperlink r:id="rId37" w:history="1">
        <w:r w:rsidRPr="00DF6B36">
          <w:rPr>
            <w:rStyle w:val="Hyperlink"/>
            <w:rFonts w:ascii="Times New Roman" w:hAnsi="Times New Roman"/>
          </w:rPr>
          <w:t>https://doi.org/10.1016/j.theriogenology.2020.01.027</w:t>
        </w:r>
      </w:hyperlink>
      <w:r w:rsidRPr="00B32D45">
        <w:rPr>
          <w:rFonts w:ascii="Times New Roman" w:hAnsi="Times New Roman"/>
        </w:rPr>
        <w:t>.</w:t>
      </w:r>
    </w:p>
    <w:p w14:paraId="721FDDFF" w14:textId="77777777" w:rsidR="006E35FC" w:rsidRDefault="006E35FC" w:rsidP="008C24A0">
      <w:pPr>
        <w:spacing w:line="360" w:lineRule="auto"/>
        <w:ind w:left="720" w:hanging="720"/>
        <w:jc w:val="both"/>
        <w:rPr>
          <w:rFonts w:ascii="Times New Roman" w:hAnsi="Times New Roman"/>
        </w:rPr>
      </w:pPr>
      <w:proofErr w:type="spellStart"/>
      <w:r w:rsidRPr="00673F95">
        <w:rPr>
          <w:rFonts w:ascii="Times New Roman" w:hAnsi="Times New Roman"/>
        </w:rPr>
        <w:t>Peserico</w:t>
      </w:r>
      <w:proofErr w:type="spellEnd"/>
      <w:r w:rsidRPr="00673F95">
        <w:rPr>
          <w:rFonts w:ascii="Times New Roman" w:hAnsi="Times New Roman"/>
        </w:rPr>
        <w:t xml:space="preserve">, A., Barboni, B., Rapini, C., Di Berardino, C., </w:t>
      </w:r>
      <w:proofErr w:type="spellStart"/>
      <w:r w:rsidRPr="00673F95">
        <w:rPr>
          <w:rFonts w:ascii="Times New Roman" w:hAnsi="Times New Roman"/>
        </w:rPr>
        <w:t>Capacchietti</w:t>
      </w:r>
      <w:proofErr w:type="spellEnd"/>
      <w:r w:rsidRPr="00673F95">
        <w:rPr>
          <w:rFonts w:ascii="Times New Roman" w:hAnsi="Times New Roman"/>
        </w:rPr>
        <w:t xml:space="preserve">, G., </w:t>
      </w:r>
      <w:proofErr w:type="spellStart"/>
      <w:r w:rsidRPr="00673F95">
        <w:rPr>
          <w:rFonts w:ascii="Times New Roman" w:hAnsi="Times New Roman"/>
        </w:rPr>
        <w:t>Canciello</w:t>
      </w:r>
      <w:proofErr w:type="spellEnd"/>
      <w:r w:rsidRPr="00673F95">
        <w:rPr>
          <w:rFonts w:ascii="Times New Roman" w:hAnsi="Times New Roman"/>
        </w:rPr>
        <w:t xml:space="preserve">, A., Konstantinidou, F., Donato, M., </w:t>
      </w:r>
      <w:proofErr w:type="spellStart"/>
      <w:r w:rsidRPr="00673F95">
        <w:rPr>
          <w:rFonts w:ascii="Times New Roman" w:hAnsi="Times New Roman"/>
        </w:rPr>
        <w:t>Stuppia</w:t>
      </w:r>
      <w:proofErr w:type="spellEnd"/>
      <w:r w:rsidRPr="00673F95">
        <w:rPr>
          <w:rFonts w:ascii="Times New Roman" w:hAnsi="Times New Roman"/>
        </w:rPr>
        <w:t>, L., &amp; Gatta, V. (2025). Transcriptomic Profile of Early Antral Follicles: Predictive Somatic Gene Markers of Oocyte Maturation Outcome. </w:t>
      </w:r>
      <w:r w:rsidRPr="00673F95">
        <w:rPr>
          <w:rFonts w:ascii="Times New Roman" w:hAnsi="Times New Roman"/>
          <w:i/>
          <w:iCs/>
        </w:rPr>
        <w:t>Cells</w:t>
      </w:r>
      <w:r w:rsidRPr="00673F95">
        <w:rPr>
          <w:rFonts w:ascii="Times New Roman" w:hAnsi="Times New Roman"/>
        </w:rPr>
        <w:t xml:space="preserve">, 14. </w:t>
      </w:r>
      <w:hyperlink r:id="rId38" w:history="1">
        <w:r w:rsidRPr="00DF6B36">
          <w:rPr>
            <w:rStyle w:val="Hyperlink"/>
            <w:rFonts w:ascii="Times New Roman" w:hAnsi="Times New Roman"/>
          </w:rPr>
          <w:t>https://doi.org/10.3390/cells14100704</w:t>
        </w:r>
      </w:hyperlink>
      <w:r w:rsidRPr="00673F95">
        <w:rPr>
          <w:rFonts w:ascii="Times New Roman" w:hAnsi="Times New Roman"/>
        </w:rPr>
        <w:t>.</w:t>
      </w:r>
    </w:p>
    <w:p w14:paraId="4B946696" w14:textId="77777777" w:rsidR="006E35FC" w:rsidRDefault="006E35FC" w:rsidP="008C24A0">
      <w:pPr>
        <w:spacing w:line="360" w:lineRule="auto"/>
        <w:ind w:left="720" w:hanging="720"/>
        <w:jc w:val="both"/>
        <w:rPr>
          <w:rFonts w:ascii="Times New Roman" w:hAnsi="Times New Roman"/>
        </w:rPr>
      </w:pPr>
      <w:proofErr w:type="spellStart"/>
      <w:r w:rsidRPr="002B3474">
        <w:rPr>
          <w:rFonts w:ascii="Times New Roman" w:hAnsi="Times New Roman"/>
        </w:rPr>
        <w:t>Petrogiannis</w:t>
      </w:r>
      <w:proofErr w:type="spellEnd"/>
      <w:r w:rsidRPr="002B3474">
        <w:rPr>
          <w:rFonts w:ascii="Times New Roman" w:hAnsi="Times New Roman"/>
        </w:rPr>
        <w:t xml:space="preserve">, N., Filippa, M., Chatzovoulou, K., </w:t>
      </w:r>
      <w:proofErr w:type="spellStart"/>
      <w:r w:rsidRPr="002B3474">
        <w:rPr>
          <w:rFonts w:ascii="Times New Roman" w:hAnsi="Times New Roman"/>
        </w:rPr>
        <w:t>Petrogiannis</w:t>
      </w:r>
      <w:proofErr w:type="spellEnd"/>
      <w:r w:rsidRPr="002B3474">
        <w:rPr>
          <w:rFonts w:ascii="Times New Roman" w:hAnsi="Times New Roman"/>
        </w:rPr>
        <w:t xml:space="preserve">, S., Filippas, I., </w:t>
      </w:r>
      <w:proofErr w:type="spellStart"/>
      <w:r w:rsidRPr="002B3474">
        <w:rPr>
          <w:rFonts w:ascii="Times New Roman" w:hAnsi="Times New Roman"/>
        </w:rPr>
        <w:t>Grimbizis</w:t>
      </w:r>
      <w:proofErr w:type="spellEnd"/>
      <w:r w:rsidRPr="002B3474">
        <w:rPr>
          <w:rFonts w:ascii="Times New Roman" w:hAnsi="Times New Roman"/>
        </w:rPr>
        <w:t xml:space="preserve">, G., </w:t>
      </w:r>
      <w:proofErr w:type="spellStart"/>
      <w:r w:rsidRPr="002B3474">
        <w:rPr>
          <w:rFonts w:ascii="Times New Roman" w:hAnsi="Times New Roman"/>
        </w:rPr>
        <w:t>Kolibianakis</w:t>
      </w:r>
      <w:proofErr w:type="spellEnd"/>
      <w:r w:rsidRPr="002B3474">
        <w:rPr>
          <w:rFonts w:ascii="Times New Roman" w:hAnsi="Times New Roman"/>
        </w:rPr>
        <w:t xml:space="preserve">, E., &amp; </w:t>
      </w:r>
      <w:proofErr w:type="spellStart"/>
      <w:r w:rsidRPr="002B3474">
        <w:rPr>
          <w:rFonts w:ascii="Times New Roman" w:hAnsi="Times New Roman"/>
        </w:rPr>
        <w:t>Chatzimeletiou</w:t>
      </w:r>
      <w:proofErr w:type="spellEnd"/>
      <w:r w:rsidRPr="002B3474">
        <w:rPr>
          <w:rFonts w:ascii="Times New Roman" w:hAnsi="Times New Roman"/>
        </w:rPr>
        <w:t xml:space="preserve">, K. (2025). Add-On Technologies That Aim to Improve </w:t>
      </w:r>
      <w:r w:rsidRPr="002B3474">
        <w:rPr>
          <w:rFonts w:ascii="Times New Roman" w:hAnsi="Times New Roman"/>
        </w:rPr>
        <w:lastRenderedPageBreak/>
        <w:t>Oocyte Quality and Embryo Implantation Potential. </w:t>
      </w:r>
      <w:r w:rsidRPr="002B3474">
        <w:rPr>
          <w:rFonts w:ascii="Times New Roman" w:hAnsi="Times New Roman"/>
          <w:i/>
          <w:iCs/>
        </w:rPr>
        <w:t>Medicina</w:t>
      </w:r>
      <w:r w:rsidRPr="002B3474">
        <w:rPr>
          <w:rFonts w:ascii="Times New Roman" w:hAnsi="Times New Roman"/>
        </w:rPr>
        <w:t xml:space="preserve">, 61. </w:t>
      </w:r>
      <w:hyperlink r:id="rId39" w:history="1">
        <w:r w:rsidRPr="00DF6B36">
          <w:rPr>
            <w:rStyle w:val="Hyperlink"/>
            <w:rFonts w:ascii="Times New Roman" w:hAnsi="Times New Roman"/>
          </w:rPr>
          <w:t>https://doi.org/10.3390/medicina61030367</w:t>
        </w:r>
      </w:hyperlink>
      <w:r w:rsidRPr="002B3474">
        <w:rPr>
          <w:rFonts w:ascii="Times New Roman" w:hAnsi="Times New Roman"/>
        </w:rPr>
        <w:t>.</w:t>
      </w:r>
    </w:p>
    <w:p w14:paraId="398C0245" w14:textId="77777777" w:rsidR="006E35FC" w:rsidRDefault="006E35FC" w:rsidP="008C24A0">
      <w:pPr>
        <w:spacing w:line="360" w:lineRule="auto"/>
        <w:ind w:left="720" w:hanging="720"/>
        <w:jc w:val="both"/>
        <w:rPr>
          <w:rFonts w:ascii="Times New Roman" w:hAnsi="Times New Roman"/>
        </w:rPr>
      </w:pPr>
      <w:r w:rsidRPr="00532CF0">
        <w:rPr>
          <w:rFonts w:ascii="Times New Roman" w:hAnsi="Times New Roman"/>
        </w:rPr>
        <w:t xml:space="preserve">Possible O. P., Adnan M., Ayomide D. F., Emmanuel O. O., Titus T. O., Iyanuoluwa D. A., </w:t>
      </w:r>
      <w:proofErr w:type="spellStart"/>
      <w:r w:rsidRPr="00532CF0">
        <w:rPr>
          <w:rFonts w:ascii="Times New Roman" w:hAnsi="Times New Roman"/>
        </w:rPr>
        <w:t>Kabirat</w:t>
      </w:r>
      <w:proofErr w:type="spellEnd"/>
      <w:r w:rsidRPr="00532CF0">
        <w:rPr>
          <w:rFonts w:ascii="Times New Roman" w:hAnsi="Times New Roman"/>
        </w:rPr>
        <w:t xml:space="preserve"> A. A. and Esther T. A.. "A Review Diagnosing Male Infertility: Beyond Conventional Semen Analysis." </w:t>
      </w:r>
      <w:r w:rsidRPr="00532CF0">
        <w:rPr>
          <w:rFonts w:ascii="Times New Roman" w:hAnsi="Times New Roman"/>
          <w:i/>
          <w:iCs/>
        </w:rPr>
        <w:t>African Journal of Biology and Medical Research</w:t>
      </w:r>
      <w:r w:rsidRPr="00532CF0">
        <w:rPr>
          <w:rFonts w:ascii="Times New Roman" w:hAnsi="Times New Roman"/>
        </w:rPr>
        <w:t xml:space="preserve"> (2024). </w:t>
      </w:r>
      <w:hyperlink r:id="rId40" w:history="1">
        <w:r w:rsidRPr="00BD496C">
          <w:rPr>
            <w:rStyle w:val="Hyperlink"/>
            <w:rFonts w:ascii="Times New Roman" w:hAnsi="Times New Roman"/>
          </w:rPr>
          <w:t>https://doi.org/10.52589/ajbmr-rso6lq0b</w:t>
        </w:r>
      </w:hyperlink>
      <w:r w:rsidRPr="00532CF0">
        <w:rPr>
          <w:rFonts w:ascii="Times New Roman" w:hAnsi="Times New Roman"/>
        </w:rPr>
        <w:t>.</w:t>
      </w:r>
    </w:p>
    <w:p w14:paraId="4B3FF23F" w14:textId="77777777" w:rsidR="006E35FC" w:rsidRDefault="006E35FC" w:rsidP="008C24A0">
      <w:pPr>
        <w:spacing w:line="360" w:lineRule="auto"/>
        <w:ind w:left="720" w:hanging="720"/>
        <w:jc w:val="both"/>
        <w:rPr>
          <w:rFonts w:ascii="Times New Roman" w:hAnsi="Times New Roman"/>
        </w:rPr>
      </w:pPr>
      <w:r w:rsidRPr="000D7BD5">
        <w:rPr>
          <w:rFonts w:ascii="Times New Roman" w:hAnsi="Times New Roman"/>
        </w:rPr>
        <w:t xml:space="preserve">Qin, J., Wei, Y., Ning, A., Hu, W., Wan, P., Cao, B., Pan, B., </w:t>
      </w:r>
      <w:proofErr w:type="spellStart"/>
      <w:r w:rsidRPr="000D7BD5">
        <w:rPr>
          <w:rFonts w:ascii="Times New Roman" w:hAnsi="Times New Roman"/>
        </w:rPr>
        <w:t>Lv</w:t>
      </w:r>
      <w:proofErr w:type="spellEnd"/>
      <w:r w:rsidRPr="000D7BD5">
        <w:rPr>
          <w:rFonts w:ascii="Times New Roman" w:hAnsi="Times New Roman"/>
        </w:rPr>
        <w:t>, T., Du, K., Yao, X., Zou, S., Chen, X., Zang, S., Ye, J., Yu, G., Liang, Q., Shen, L., Zhang, L., Chen, X., Cheng, K., Meng, L., &amp; Zhou, G. (2025). Decoding the Molecular Landscape of Prepubertal Oocyte Maturation: GTPBP4 as a Key Driver of In Vitro Developmental Competence. </w:t>
      </w:r>
      <w:r w:rsidRPr="000D7BD5">
        <w:rPr>
          <w:rFonts w:ascii="Times New Roman" w:hAnsi="Times New Roman"/>
          <w:i/>
          <w:iCs/>
        </w:rPr>
        <w:t>Cell Proliferation</w:t>
      </w:r>
      <w:r w:rsidRPr="000D7BD5">
        <w:rPr>
          <w:rFonts w:ascii="Times New Roman" w:hAnsi="Times New Roman"/>
        </w:rPr>
        <w:t xml:space="preserve">, 58. </w:t>
      </w:r>
      <w:hyperlink r:id="rId41" w:history="1">
        <w:r w:rsidRPr="00DF6B36">
          <w:rPr>
            <w:rStyle w:val="Hyperlink"/>
            <w:rFonts w:ascii="Times New Roman" w:hAnsi="Times New Roman"/>
          </w:rPr>
          <w:t>https://doi.org/10.1111/cpr.70017</w:t>
        </w:r>
      </w:hyperlink>
      <w:r w:rsidRPr="000D7BD5">
        <w:rPr>
          <w:rFonts w:ascii="Times New Roman" w:hAnsi="Times New Roman"/>
        </w:rPr>
        <w:t>.</w:t>
      </w:r>
    </w:p>
    <w:p w14:paraId="6F3D4B47" w14:textId="77777777" w:rsidR="006E35FC" w:rsidRDefault="006E35FC" w:rsidP="008C24A0">
      <w:pPr>
        <w:spacing w:line="360" w:lineRule="auto"/>
        <w:ind w:left="720" w:hanging="720"/>
        <w:jc w:val="both"/>
        <w:rPr>
          <w:rFonts w:ascii="Times New Roman" w:hAnsi="Times New Roman"/>
        </w:rPr>
      </w:pPr>
      <w:r w:rsidRPr="007C17B4">
        <w:rPr>
          <w:rFonts w:ascii="Times New Roman" w:hAnsi="Times New Roman"/>
        </w:rPr>
        <w:t>Reader, K., Stanton, J., &amp; Juengel, J. (2017). The Role of Oocyte Organelles in Determining Developmental Competence. </w:t>
      </w:r>
      <w:r w:rsidRPr="007C17B4">
        <w:rPr>
          <w:rFonts w:ascii="Times New Roman" w:hAnsi="Times New Roman"/>
          <w:i/>
          <w:iCs/>
        </w:rPr>
        <w:t>Biology</w:t>
      </w:r>
      <w:r w:rsidRPr="007C17B4">
        <w:rPr>
          <w:rFonts w:ascii="Times New Roman" w:hAnsi="Times New Roman"/>
        </w:rPr>
        <w:t xml:space="preserve">, 6. </w:t>
      </w:r>
      <w:hyperlink r:id="rId42" w:history="1">
        <w:r w:rsidRPr="00DF6B36">
          <w:rPr>
            <w:rStyle w:val="Hyperlink"/>
            <w:rFonts w:ascii="Times New Roman" w:hAnsi="Times New Roman"/>
          </w:rPr>
          <w:t>https://doi.org/10.3390/biology6030035</w:t>
        </w:r>
      </w:hyperlink>
      <w:r w:rsidRPr="007C17B4">
        <w:rPr>
          <w:rFonts w:ascii="Times New Roman" w:hAnsi="Times New Roman"/>
        </w:rPr>
        <w:t>.</w:t>
      </w:r>
    </w:p>
    <w:p w14:paraId="7E60C613" w14:textId="73A0965E" w:rsidR="006E35FC" w:rsidRDefault="006E35FC" w:rsidP="001104AD">
      <w:pPr>
        <w:spacing w:line="360" w:lineRule="auto"/>
        <w:ind w:left="720" w:hanging="720"/>
        <w:jc w:val="both"/>
        <w:rPr>
          <w:rFonts w:ascii="Times New Roman" w:hAnsi="Times New Roman"/>
        </w:rPr>
      </w:pPr>
      <w:r w:rsidRPr="005E7A5C">
        <w:rPr>
          <w:rFonts w:ascii="Times New Roman" w:hAnsi="Times New Roman"/>
        </w:rPr>
        <w:t>Richani, D., Dunning, K., Thompson, J., &amp; Gilchrist, R. (2020). Metabolic co-dependence of the oocyte and cumulus cells: essential role in determining oocyte developmental competence.. </w:t>
      </w:r>
      <w:r w:rsidRPr="005E7A5C">
        <w:rPr>
          <w:rFonts w:ascii="Times New Roman" w:hAnsi="Times New Roman"/>
          <w:i/>
          <w:iCs/>
        </w:rPr>
        <w:t>Human reproduction update</w:t>
      </w:r>
      <w:r w:rsidRPr="005E7A5C">
        <w:rPr>
          <w:rFonts w:ascii="Times New Roman" w:hAnsi="Times New Roman"/>
        </w:rPr>
        <w:t xml:space="preserve">. </w:t>
      </w:r>
      <w:hyperlink r:id="rId43" w:history="1">
        <w:r w:rsidRPr="00DF6B36">
          <w:rPr>
            <w:rStyle w:val="Hyperlink"/>
            <w:rFonts w:ascii="Times New Roman" w:hAnsi="Times New Roman"/>
          </w:rPr>
          <w:t>https://doi.org/10.1093/humupd/dmaa043</w:t>
        </w:r>
      </w:hyperlink>
      <w:r w:rsidRPr="005E7A5C">
        <w:rPr>
          <w:rFonts w:ascii="Times New Roman" w:hAnsi="Times New Roman"/>
        </w:rPr>
        <w:t>.</w:t>
      </w:r>
    </w:p>
    <w:p w14:paraId="619BC022" w14:textId="77777777" w:rsidR="006E35FC" w:rsidRDefault="006E35FC" w:rsidP="008C24A0">
      <w:pPr>
        <w:spacing w:line="360" w:lineRule="auto"/>
        <w:ind w:left="720" w:hanging="720"/>
        <w:jc w:val="both"/>
        <w:rPr>
          <w:rFonts w:ascii="Times New Roman" w:hAnsi="Times New Roman"/>
        </w:rPr>
      </w:pPr>
      <w:r w:rsidRPr="000F3AC6">
        <w:rPr>
          <w:rFonts w:ascii="Times New Roman" w:hAnsi="Times New Roman"/>
        </w:rPr>
        <w:t xml:space="preserve">Sasaki, H., </w:t>
      </w:r>
      <w:proofErr w:type="spellStart"/>
      <w:r w:rsidRPr="000F3AC6">
        <w:rPr>
          <w:rFonts w:ascii="Times New Roman" w:hAnsi="Times New Roman"/>
        </w:rPr>
        <w:t>Hamatani</w:t>
      </w:r>
      <w:proofErr w:type="spellEnd"/>
      <w:r w:rsidRPr="000F3AC6">
        <w:rPr>
          <w:rFonts w:ascii="Times New Roman" w:hAnsi="Times New Roman"/>
        </w:rPr>
        <w:t xml:space="preserve">, T., </w:t>
      </w:r>
      <w:proofErr w:type="spellStart"/>
      <w:r w:rsidRPr="000F3AC6">
        <w:rPr>
          <w:rFonts w:ascii="Times New Roman" w:hAnsi="Times New Roman"/>
        </w:rPr>
        <w:t>Kamijo</w:t>
      </w:r>
      <w:proofErr w:type="spellEnd"/>
      <w:r w:rsidRPr="000F3AC6">
        <w:rPr>
          <w:rFonts w:ascii="Times New Roman" w:hAnsi="Times New Roman"/>
        </w:rPr>
        <w:t xml:space="preserve">, S., Iwai, M., </w:t>
      </w:r>
      <w:proofErr w:type="spellStart"/>
      <w:r w:rsidRPr="000F3AC6">
        <w:rPr>
          <w:rFonts w:ascii="Times New Roman" w:hAnsi="Times New Roman"/>
        </w:rPr>
        <w:t>Kobanawa</w:t>
      </w:r>
      <w:proofErr w:type="spellEnd"/>
      <w:r w:rsidRPr="000F3AC6">
        <w:rPr>
          <w:rFonts w:ascii="Times New Roman" w:hAnsi="Times New Roman"/>
        </w:rPr>
        <w:t xml:space="preserve">, M., Ogawa, S., </w:t>
      </w:r>
      <w:proofErr w:type="spellStart"/>
      <w:r w:rsidRPr="000F3AC6">
        <w:rPr>
          <w:rFonts w:ascii="Times New Roman" w:hAnsi="Times New Roman"/>
        </w:rPr>
        <w:t>Miyado</w:t>
      </w:r>
      <w:proofErr w:type="spellEnd"/>
      <w:r w:rsidRPr="000F3AC6">
        <w:rPr>
          <w:rFonts w:ascii="Times New Roman" w:hAnsi="Times New Roman"/>
        </w:rPr>
        <w:t>, K., &amp; Tanaka, M. (2019). Impact of Oxidative Stress on Age-Associated Decline in Oocyte Developmental Competence. </w:t>
      </w:r>
      <w:r w:rsidRPr="000F3AC6">
        <w:rPr>
          <w:rFonts w:ascii="Times New Roman" w:hAnsi="Times New Roman"/>
          <w:i/>
          <w:iCs/>
        </w:rPr>
        <w:t>Frontiers in Endocrinology</w:t>
      </w:r>
      <w:r w:rsidRPr="000F3AC6">
        <w:rPr>
          <w:rFonts w:ascii="Times New Roman" w:hAnsi="Times New Roman"/>
        </w:rPr>
        <w:t xml:space="preserve">, 10. </w:t>
      </w:r>
      <w:hyperlink r:id="rId44" w:history="1">
        <w:r w:rsidRPr="00DF6B36">
          <w:rPr>
            <w:rStyle w:val="Hyperlink"/>
            <w:rFonts w:ascii="Times New Roman" w:hAnsi="Times New Roman"/>
          </w:rPr>
          <w:t>https://doi.org/10.3389/fendo.2019.00811</w:t>
        </w:r>
      </w:hyperlink>
      <w:r w:rsidRPr="000F3AC6">
        <w:rPr>
          <w:rFonts w:ascii="Times New Roman" w:hAnsi="Times New Roman"/>
        </w:rPr>
        <w:t>.</w:t>
      </w:r>
    </w:p>
    <w:p w14:paraId="2F26D4A9" w14:textId="77777777" w:rsidR="006E35FC" w:rsidRDefault="006E35FC" w:rsidP="008C24A0">
      <w:pPr>
        <w:spacing w:line="360" w:lineRule="auto"/>
        <w:ind w:left="720" w:hanging="720"/>
        <w:jc w:val="both"/>
        <w:rPr>
          <w:rFonts w:ascii="Times New Roman" w:hAnsi="Times New Roman"/>
        </w:rPr>
      </w:pPr>
      <w:proofErr w:type="spellStart"/>
      <w:r w:rsidRPr="00BB331A">
        <w:rPr>
          <w:rFonts w:ascii="Times New Roman" w:hAnsi="Times New Roman"/>
        </w:rPr>
        <w:t>Sciorio</w:t>
      </w:r>
      <w:proofErr w:type="spellEnd"/>
      <w:r w:rsidRPr="00BB331A">
        <w:rPr>
          <w:rFonts w:ascii="Times New Roman" w:hAnsi="Times New Roman"/>
        </w:rPr>
        <w:t xml:space="preserve">, R., </w:t>
      </w:r>
      <w:proofErr w:type="spellStart"/>
      <w:r w:rsidRPr="00BB331A">
        <w:rPr>
          <w:rFonts w:ascii="Times New Roman" w:hAnsi="Times New Roman"/>
        </w:rPr>
        <w:t>Miranian</w:t>
      </w:r>
      <w:proofErr w:type="spellEnd"/>
      <w:r w:rsidRPr="00BB331A">
        <w:rPr>
          <w:rFonts w:ascii="Times New Roman" w:hAnsi="Times New Roman"/>
        </w:rPr>
        <w:t>, D., &amp; Smith, G. (2022). Non-invasive oocyte quality assessment. </w:t>
      </w:r>
      <w:r w:rsidRPr="00BB331A">
        <w:rPr>
          <w:rFonts w:ascii="Times New Roman" w:hAnsi="Times New Roman"/>
          <w:i/>
          <w:iCs/>
        </w:rPr>
        <w:t>Biology of Reproduction</w:t>
      </w:r>
      <w:r w:rsidRPr="00BB331A">
        <w:rPr>
          <w:rFonts w:ascii="Times New Roman" w:hAnsi="Times New Roman"/>
        </w:rPr>
        <w:t xml:space="preserve">, 106, 274 - 290. </w:t>
      </w:r>
      <w:hyperlink r:id="rId45" w:history="1">
        <w:r w:rsidRPr="00DF6B36">
          <w:rPr>
            <w:rStyle w:val="Hyperlink"/>
            <w:rFonts w:ascii="Times New Roman" w:hAnsi="Times New Roman"/>
          </w:rPr>
          <w:t>https://doi.org/10.1093/biolre/ioac009</w:t>
        </w:r>
      </w:hyperlink>
      <w:r w:rsidRPr="00BB331A">
        <w:rPr>
          <w:rFonts w:ascii="Times New Roman" w:hAnsi="Times New Roman"/>
        </w:rPr>
        <w:t>.</w:t>
      </w:r>
    </w:p>
    <w:p w14:paraId="7FB917FB" w14:textId="77777777" w:rsidR="006E35FC" w:rsidRDefault="006E35FC" w:rsidP="008C24A0">
      <w:pPr>
        <w:spacing w:line="360" w:lineRule="auto"/>
        <w:ind w:left="720" w:hanging="720"/>
        <w:jc w:val="both"/>
        <w:rPr>
          <w:rFonts w:ascii="Times New Roman" w:hAnsi="Times New Roman"/>
        </w:rPr>
      </w:pPr>
      <w:proofErr w:type="spellStart"/>
      <w:r w:rsidRPr="00684DDE">
        <w:rPr>
          <w:rFonts w:ascii="Times New Roman" w:hAnsi="Times New Roman"/>
        </w:rPr>
        <w:t>Sirait</w:t>
      </w:r>
      <w:proofErr w:type="spellEnd"/>
      <w:r w:rsidRPr="00684DDE">
        <w:rPr>
          <w:rFonts w:ascii="Times New Roman" w:hAnsi="Times New Roman"/>
        </w:rPr>
        <w:t xml:space="preserve">, B., </w:t>
      </w:r>
      <w:proofErr w:type="spellStart"/>
      <w:r w:rsidRPr="00684DDE">
        <w:rPr>
          <w:rFonts w:ascii="Times New Roman" w:hAnsi="Times New Roman"/>
        </w:rPr>
        <w:t>Wiweko</w:t>
      </w:r>
      <w:proofErr w:type="spellEnd"/>
      <w:r w:rsidRPr="00684DDE">
        <w:rPr>
          <w:rFonts w:ascii="Times New Roman" w:hAnsi="Times New Roman"/>
        </w:rPr>
        <w:t xml:space="preserve">, B., Jusuf, A., </w:t>
      </w:r>
      <w:proofErr w:type="spellStart"/>
      <w:r w:rsidRPr="00684DDE">
        <w:rPr>
          <w:rFonts w:ascii="Times New Roman" w:hAnsi="Times New Roman"/>
        </w:rPr>
        <w:t>Iftitah</w:t>
      </w:r>
      <w:proofErr w:type="spellEnd"/>
      <w:r w:rsidRPr="00684DDE">
        <w:rPr>
          <w:rFonts w:ascii="Times New Roman" w:hAnsi="Times New Roman"/>
        </w:rPr>
        <w:t xml:space="preserve">, D., &amp; </w:t>
      </w:r>
      <w:proofErr w:type="spellStart"/>
      <w:r w:rsidRPr="00684DDE">
        <w:rPr>
          <w:rFonts w:ascii="Times New Roman" w:hAnsi="Times New Roman"/>
        </w:rPr>
        <w:t>Muharam</w:t>
      </w:r>
      <w:proofErr w:type="spellEnd"/>
      <w:r w:rsidRPr="00684DDE">
        <w:rPr>
          <w:rFonts w:ascii="Times New Roman" w:hAnsi="Times New Roman"/>
        </w:rPr>
        <w:t>, R. (2021). Oocyte Competence Biomarkers Associated With Oocyte Maturation: A Review. </w:t>
      </w:r>
      <w:r w:rsidRPr="00684DDE">
        <w:rPr>
          <w:rFonts w:ascii="Times New Roman" w:hAnsi="Times New Roman"/>
          <w:i/>
          <w:iCs/>
        </w:rPr>
        <w:t>Frontiers in Cell and Developmental Biology</w:t>
      </w:r>
      <w:r w:rsidRPr="00684DDE">
        <w:rPr>
          <w:rFonts w:ascii="Times New Roman" w:hAnsi="Times New Roman"/>
        </w:rPr>
        <w:t xml:space="preserve">, 9. </w:t>
      </w:r>
      <w:hyperlink r:id="rId46" w:history="1">
        <w:r w:rsidRPr="00DF6B36">
          <w:rPr>
            <w:rStyle w:val="Hyperlink"/>
            <w:rFonts w:ascii="Times New Roman" w:hAnsi="Times New Roman"/>
          </w:rPr>
          <w:t>https://doi.org/10.3389/fcell.2021.710292</w:t>
        </w:r>
      </w:hyperlink>
      <w:r w:rsidRPr="00684DDE">
        <w:rPr>
          <w:rFonts w:ascii="Times New Roman" w:hAnsi="Times New Roman"/>
        </w:rPr>
        <w:t>.</w:t>
      </w:r>
    </w:p>
    <w:p w14:paraId="7AD9E80C" w14:textId="77777777" w:rsidR="006E35FC" w:rsidRDefault="006E35FC" w:rsidP="008C24A0">
      <w:pPr>
        <w:spacing w:line="360" w:lineRule="auto"/>
        <w:ind w:left="720" w:hanging="720"/>
        <w:jc w:val="both"/>
        <w:rPr>
          <w:rFonts w:ascii="Times New Roman" w:hAnsi="Times New Roman"/>
        </w:rPr>
      </w:pPr>
      <w:r w:rsidRPr="003B78BA">
        <w:rPr>
          <w:rFonts w:ascii="Times New Roman" w:hAnsi="Times New Roman"/>
        </w:rPr>
        <w:t xml:space="preserve">Takahashi, T., </w:t>
      </w:r>
      <w:proofErr w:type="spellStart"/>
      <w:r w:rsidRPr="003B78BA">
        <w:rPr>
          <w:rFonts w:ascii="Times New Roman" w:hAnsi="Times New Roman"/>
        </w:rPr>
        <w:t>Ezoe</w:t>
      </w:r>
      <w:proofErr w:type="spellEnd"/>
      <w:r w:rsidRPr="003B78BA">
        <w:rPr>
          <w:rFonts w:ascii="Times New Roman" w:hAnsi="Times New Roman"/>
        </w:rPr>
        <w:t xml:space="preserve">, K., Akaike, H., Kawakami, M., Katakura, S., Ishii, M., Tsuchiya, R., </w:t>
      </w:r>
      <w:proofErr w:type="spellStart"/>
      <w:r w:rsidRPr="003B78BA">
        <w:rPr>
          <w:rFonts w:ascii="Times New Roman" w:hAnsi="Times New Roman"/>
        </w:rPr>
        <w:t>Namerikawa</w:t>
      </w:r>
      <w:proofErr w:type="spellEnd"/>
      <w:r w:rsidRPr="003B78BA">
        <w:rPr>
          <w:rFonts w:ascii="Times New Roman" w:hAnsi="Times New Roman"/>
        </w:rPr>
        <w:t xml:space="preserve">, S., </w:t>
      </w:r>
      <w:proofErr w:type="spellStart"/>
      <w:r w:rsidRPr="003B78BA">
        <w:rPr>
          <w:rFonts w:ascii="Times New Roman" w:hAnsi="Times New Roman"/>
        </w:rPr>
        <w:t>Takenouchi</w:t>
      </w:r>
      <w:proofErr w:type="spellEnd"/>
      <w:r w:rsidRPr="003B78BA">
        <w:rPr>
          <w:rFonts w:ascii="Times New Roman" w:hAnsi="Times New Roman"/>
        </w:rPr>
        <w:t xml:space="preserve">, H., Shimazaki, K., Okimura, T., Rienzi, L., Coticchio, G., </w:t>
      </w:r>
      <w:proofErr w:type="spellStart"/>
      <w:r w:rsidRPr="003B78BA">
        <w:rPr>
          <w:rFonts w:ascii="Times New Roman" w:hAnsi="Times New Roman"/>
        </w:rPr>
        <w:t>Cimadomo</w:t>
      </w:r>
      <w:proofErr w:type="spellEnd"/>
      <w:r w:rsidRPr="003B78BA">
        <w:rPr>
          <w:rFonts w:ascii="Times New Roman" w:hAnsi="Times New Roman"/>
        </w:rPr>
        <w:t>, D., &amp; Kato, K. (2025). P-122 The position of germinal vesicle breakdown and cytoplasmic membrane-ruffling during rescue in vitro maturation culture is associated with maturation and pre-implantation developmental competence in humans. </w:t>
      </w:r>
      <w:r w:rsidRPr="003B78BA">
        <w:rPr>
          <w:rFonts w:ascii="Times New Roman" w:hAnsi="Times New Roman"/>
          <w:i/>
          <w:iCs/>
        </w:rPr>
        <w:t>Human Reproduction</w:t>
      </w:r>
      <w:r w:rsidRPr="003B78BA">
        <w:rPr>
          <w:rFonts w:ascii="Times New Roman" w:hAnsi="Times New Roman"/>
        </w:rPr>
        <w:t xml:space="preserve">. </w:t>
      </w:r>
      <w:hyperlink r:id="rId47" w:history="1">
        <w:r w:rsidRPr="00DF6B36">
          <w:rPr>
            <w:rStyle w:val="Hyperlink"/>
            <w:rFonts w:ascii="Times New Roman" w:hAnsi="Times New Roman"/>
          </w:rPr>
          <w:t>https://doi.org/10.1093/humrep/deaf097.431</w:t>
        </w:r>
      </w:hyperlink>
      <w:r w:rsidRPr="003B78BA">
        <w:rPr>
          <w:rFonts w:ascii="Times New Roman" w:hAnsi="Times New Roman"/>
        </w:rPr>
        <w:t>.</w:t>
      </w:r>
    </w:p>
    <w:p w14:paraId="14A81BE8" w14:textId="77777777" w:rsidR="006E35FC" w:rsidRDefault="006E35FC" w:rsidP="008C24A0">
      <w:pPr>
        <w:spacing w:line="360" w:lineRule="auto"/>
        <w:ind w:left="720" w:hanging="720"/>
        <w:jc w:val="both"/>
        <w:rPr>
          <w:rFonts w:ascii="Times New Roman" w:hAnsi="Times New Roman"/>
        </w:rPr>
      </w:pPr>
      <w:r w:rsidRPr="006D1D35">
        <w:rPr>
          <w:rFonts w:ascii="Times New Roman" w:hAnsi="Times New Roman"/>
        </w:rPr>
        <w:t xml:space="preserve">Thomson, A., Iliev, D., Popa, T., He, C., Bailey, M., Paun, O., Coffey, H., Zapeda, A., Ruso, H., Taneja, J., Chami, A., Franchi, M., Fatum, M., &amp; Hickman, C. (2025). P-291 AI-driven insights into the oocyte-to-embryo relationship: predictive value of oocyte quality (OQ) for embryo quality (EQ) and </w:t>
      </w:r>
      <w:proofErr w:type="spellStart"/>
      <w:r w:rsidRPr="006D1D35">
        <w:rPr>
          <w:rFonts w:ascii="Times New Roman" w:hAnsi="Times New Roman"/>
        </w:rPr>
        <w:t>Fertilisation</w:t>
      </w:r>
      <w:proofErr w:type="spellEnd"/>
      <w:r w:rsidRPr="006D1D35">
        <w:rPr>
          <w:rFonts w:ascii="Times New Roman" w:hAnsi="Times New Roman"/>
        </w:rPr>
        <w:t xml:space="preserve"> Outcomes in ART. </w:t>
      </w:r>
      <w:r w:rsidRPr="006D1D35">
        <w:rPr>
          <w:rFonts w:ascii="Times New Roman" w:hAnsi="Times New Roman"/>
          <w:i/>
          <w:iCs/>
        </w:rPr>
        <w:t>Human Reproduction</w:t>
      </w:r>
      <w:r w:rsidRPr="006D1D35">
        <w:rPr>
          <w:rFonts w:ascii="Times New Roman" w:hAnsi="Times New Roman"/>
        </w:rPr>
        <w:t xml:space="preserve">. </w:t>
      </w:r>
      <w:hyperlink r:id="rId48" w:history="1">
        <w:r w:rsidRPr="00DF6B36">
          <w:rPr>
            <w:rStyle w:val="Hyperlink"/>
            <w:rFonts w:ascii="Times New Roman" w:hAnsi="Times New Roman"/>
          </w:rPr>
          <w:t>https://doi.org/10.1093/humrep/deaf097.599</w:t>
        </w:r>
      </w:hyperlink>
      <w:r w:rsidRPr="006D1D35">
        <w:rPr>
          <w:rFonts w:ascii="Times New Roman" w:hAnsi="Times New Roman"/>
        </w:rPr>
        <w:t>.</w:t>
      </w:r>
    </w:p>
    <w:p w14:paraId="10435D63" w14:textId="77777777" w:rsidR="006E35FC" w:rsidRDefault="006E35FC" w:rsidP="008C24A0">
      <w:pPr>
        <w:spacing w:line="360" w:lineRule="auto"/>
        <w:ind w:left="720" w:hanging="720"/>
        <w:jc w:val="both"/>
        <w:rPr>
          <w:rFonts w:ascii="Times New Roman" w:hAnsi="Times New Roman"/>
        </w:rPr>
      </w:pPr>
      <w:r w:rsidRPr="00BF44CF">
        <w:rPr>
          <w:rFonts w:ascii="Times New Roman" w:hAnsi="Times New Roman"/>
        </w:rPr>
        <w:lastRenderedPageBreak/>
        <w:t xml:space="preserve">Voros, C., Athanasiou, D., Papapanagiotou, I., </w:t>
      </w:r>
      <w:proofErr w:type="spellStart"/>
      <w:r w:rsidRPr="00BF44CF">
        <w:rPr>
          <w:rFonts w:ascii="Times New Roman" w:hAnsi="Times New Roman"/>
        </w:rPr>
        <w:t>Mavrogianni</w:t>
      </w:r>
      <w:proofErr w:type="spellEnd"/>
      <w:r w:rsidRPr="00BF44CF">
        <w:rPr>
          <w:rFonts w:ascii="Times New Roman" w:hAnsi="Times New Roman"/>
        </w:rPr>
        <w:t xml:space="preserve">, D., </w:t>
      </w:r>
      <w:proofErr w:type="spellStart"/>
      <w:r w:rsidRPr="00BF44CF">
        <w:rPr>
          <w:rFonts w:ascii="Times New Roman" w:hAnsi="Times New Roman"/>
        </w:rPr>
        <w:t>Varthaliti</w:t>
      </w:r>
      <w:proofErr w:type="spellEnd"/>
      <w:r w:rsidRPr="00BF44CF">
        <w:rPr>
          <w:rFonts w:ascii="Times New Roman" w:hAnsi="Times New Roman"/>
        </w:rPr>
        <w:t xml:space="preserve">, A., </w:t>
      </w:r>
      <w:proofErr w:type="spellStart"/>
      <w:r w:rsidRPr="00BF44CF">
        <w:rPr>
          <w:rFonts w:ascii="Times New Roman" w:hAnsi="Times New Roman"/>
        </w:rPr>
        <w:t>Bananis</w:t>
      </w:r>
      <w:proofErr w:type="spellEnd"/>
      <w:r w:rsidRPr="00BF44CF">
        <w:rPr>
          <w:rFonts w:ascii="Times New Roman" w:hAnsi="Times New Roman"/>
        </w:rPr>
        <w:t xml:space="preserve">, K., Athanasiou, A., Athanasiou, A., Papadimas, G., </w:t>
      </w:r>
      <w:proofErr w:type="spellStart"/>
      <w:r w:rsidRPr="00BF44CF">
        <w:rPr>
          <w:rFonts w:ascii="Times New Roman" w:hAnsi="Times New Roman"/>
        </w:rPr>
        <w:t>Gkirgkinoudis</w:t>
      </w:r>
      <w:proofErr w:type="spellEnd"/>
      <w:r w:rsidRPr="00BF44CF">
        <w:rPr>
          <w:rFonts w:ascii="Times New Roman" w:hAnsi="Times New Roman"/>
        </w:rPr>
        <w:t xml:space="preserve">, A., </w:t>
      </w:r>
      <w:proofErr w:type="spellStart"/>
      <w:r w:rsidRPr="00BF44CF">
        <w:rPr>
          <w:rFonts w:ascii="Times New Roman" w:hAnsi="Times New Roman"/>
        </w:rPr>
        <w:t>Migklis</w:t>
      </w:r>
      <w:proofErr w:type="spellEnd"/>
      <w:r w:rsidRPr="00BF44CF">
        <w:rPr>
          <w:rFonts w:ascii="Times New Roman" w:hAnsi="Times New Roman"/>
        </w:rPr>
        <w:t xml:space="preserve">, K., </w:t>
      </w:r>
      <w:proofErr w:type="spellStart"/>
      <w:r w:rsidRPr="00BF44CF">
        <w:rPr>
          <w:rFonts w:ascii="Times New Roman" w:hAnsi="Times New Roman"/>
        </w:rPr>
        <w:t>Vaitsis</w:t>
      </w:r>
      <w:proofErr w:type="spellEnd"/>
      <w:r w:rsidRPr="00BF44CF">
        <w:rPr>
          <w:rFonts w:ascii="Times New Roman" w:hAnsi="Times New Roman"/>
        </w:rPr>
        <w:t xml:space="preserve">, D., </w:t>
      </w:r>
      <w:proofErr w:type="spellStart"/>
      <w:r w:rsidRPr="00BF44CF">
        <w:rPr>
          <w:rFonts w:ascii="Times New Roman" w:hAnsi="Times New Roman"/>
        </w:rPr>
        <w:t>Koulakmanidis</w:t>
      </w:r>
      <w:proofErr w:type="spellEnd"/>
      <w:r w:rsidRPr="00BF44CF">
        <w:rPr>
          <w:rFonts w:ascii="Times New Roman" w:hAnsi="Times New Roman"/>
        </w:rPr>
        <w:t xml:space="preserve">, A., </w:t>
      </w:r>
      <w:proofErr w:type="spellStart"/>
      <w:r w:rsidRPr="00BF44CF">
        <w:rPr>
          <w:rFonts w:ascii="Times New Roman" w:hAnsi="Times New Roman"/>
        </w:rPr>
        <w:t>Tsimpoukelis</w:t>
      </w:r>
      <w:proofErr w:type="spellEnd"/>
      <w:r w:rsidRPr="00BF44CF">
        <w:rPr>
          <w:rFonts w:ascii="Times New Roman" w:hAnsi="Times New Roman"/>
        </w:rPr>
        <w:t xml:space="preserve">, C., Ivanidou, S., Stepanyan, A., Daskalaki, M., Theodora, M., </w:t>
      </w:r>
      <w:proofErr w:type="spellStart"/>
      <w:r w:rsidRPr="00BF44CF">
        <w:rPr>
          <w:rFonts w:ascii="Times New Roman" w:hAnsi="Times New Roman"/>
        </w:rPr>
        <w:t>Antsaklis</w:t>
      </w:r>
      <w:proofErr w:type="spellEnd"/>
      <w:r w:rsidRPr="00BF44CF">
        <w:rPr>
          <w:rFonts w:ascii="Times New Roman" w:hAnsi="Times New Roman"/>
        </w:rPr>
        <w:t>, P., Loutradis, D., &amp; Daskalakis, G. (2025). Cracking the Code of Oocyte Quality: The Oxidative Stress Link to IVF Success. </w:t>
      </w:r>
      <w:r w:rsidRPr="00BF44CF">
        <w:rPr>
          <w:rFonts w:ascii="Times New Roman" w:hAnsi="Times New Roman"/>
          <w:i/>
          <w:iCs/>
        </w:rPr>
        <w:t>International Journal of Molecular Sciences</w:t>
      </w:r>
      <w:r w:rsidRPr="00BF44CF">
        <w:rPr>
          <w:rFonts w:ascii="Times New Roman" w:hAnsi="Times New Roman"/>
        </w:rPr>
        <w:t xml:space="preserve">, 26. </w:t>
      </w:r>
      <w:hyperlink r:id="rId49" w:history="1">
        <w:r w:rsidRPr="00DF6B36">
          <w:rPr>
            <w:rStyle w:val="Hyperlink"/>
            <w:rFonts w:ascii="Times New Roman" w:hAnsi="Times New Roman"/>
          </w:rPr>
          <w:t>https://doi.org/10.3390/ijms26136377</w:t>
        </w:r>
      </w:hyperlink>
      <w:r w:rsidRPr="00BF44CF">
        <w:rPr>
          <w:rFonts w:ascii="Times New Roman" w:hAnsi="Times New Roman"/>
        </w:rPr>
        <w:t>.</w:t>
      </w:r>
    </w:p>
    <w:p w14:paraId="03626B19" w14:textId="77777777" w:rsidR="006E35FC" w:rsidRDefault="006E35FC" w:rsidP="008C24A0">
      <w:pPr>
        <w:spacing w:line="360" w:lineRule="auto"/>
        <w:ind w:left="720" w:hanging="720"/>
        <w:jc w:val="both"/>
        <w:rPr>
          <w:rFonts w:ascii="Times New Roman" w:hAnsi="Times New Roman"/>
        </w:rPr>
      </w:pPr>
      <w:r w:rsidRPr="00F003D4">
        <w:rPr>
          <w:rFonts w:ascii="Times New Roman" w:hAnsi="Times New Roman"/>
        </w:rPr>
        <w:t>Walker, B., &amp; Biase, F. (2020). The blueprint of RNA storages relative to oocyte developmental competence in cattle (Bos taurus). </w:t>
      </w:r>
      <w:r w:rsidRPr="00F003D4">
        <w:rPr>
          <w:rFonts w:ascii="Times New Roman" w:hAnsi="Times New Roman"/>
          <w:i/>
          <w:iCs/>
        </w:rPr>
        <w:t>Biology of Reproduction</w:t>
      </w:r>
      <w:r w:rsidRPr="00F003D4">
        <w:rPr>
          <w:rFonts w:ascii="Times New Roman" w:hAnsi="Times New Roman"/>
        </w:rPr>
        <w:t xml:space="preserve">, 102, 784 - 794. </w:t>
      </w:r>
      <w:hyperlink r:id="rId50" w:history="1">
        <w:r w:rsidRPr="00DF6B36">
          <w:rPr>
            <w:rStyle w:val="Hyperlink"/>
            <w:rFonts w:ascii="Times New Roman" w:hAnsi="Times New Roman"/>
          </w:rPr>
          <w:t>https://doi.org/10.1093/biolre/ioaa015</w:t>
        </w:r>
      </w:hyperlink>
      <w:r w:rsidRPr="00F003D4">
        <w:rPr>
          <w:rFonts w:ascii="Times New Roman" w:hAnsi="Times New Roman"/>
        </w:rPr>
        <w:t>.</w:t>
      </w:r>
    </w:p>
    <w:p w14:paraId="71B3402C" w14:textId="77777777" w:rsidR="006E35FC" w:rsidRDefault="006E35FC" w:rsidP="008C24A0">
      <w:pPr>
        <w:spacing w:line="360" w:lineRule="auto"/>
        <w:ind w:left="720" w:hanging="720"/>
        <w:jc w:val="both"/>
        <w:rPr>
          <w:rFonts w:ascii="Times New Roman" w:hAnsi="Times New Roman"/>
        </w:rPr>
      </w:pPr>
    </w:p>
    <w:p w14:paraId="04B1CAA1" w14:textId="77777777" w:rsidR="006E35FC" w:rsidRPr="009C0195" w:rsidRDefault="006E35FC" w:rsidP="008C24A0">
      <w:pPr>
        <w:spacing w:line="360" w:lineRule="auto"/>
        <w:ind w:left="720" w:hanging="720"/>
        <w:jc w:val="both"/>
        <w:rPr>
          <w:rFonts w:ascii="Times New Roman" w:hAnsi="Times New Roman"/>
        </w:rPr>
      </w:pPr>
    </w:p>
    <w:p w14:paraId="4EE7E539" w14:textId="77777777" w:rsidR="00505F06" w:rsidRPr="00A24E7E" w:rsidRDefault="00505F06" w:rsidP="008C24A0">
      <w:pPr>
        <w:pStyle w:val="Body"/>
        <w:spacing w:after="0"/>
        <w:ind w:left="720" w:hanging="720"/>
        <w:rPr>
          <w:rFonts w:ascii="Arial" w:hAnsi="Arial" w:cs="Arial"/>
          <w:i/>
        </w:rPr>
      </w:pPr>
    </w:p>
    <w:sectPr w:rsidR="00505F06" w:rsidRPr="00A24E7E" w:rsidSect="00460AD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BD9E5" w14:textId="77777777" w:rsidR="00CB348C" w:rsidRDefault="00CB348C" w:rsidP="00C37E61">
      <w:r>
        <w:separator/>
      </w:r>
    </w:p>
  </w:endnote>
  <w:endnote w:type="continuationSeparator" w:id="0">
    <w:p w14:paraId="3DF1BF09" w14:textId="77777777" w:rsidR="00CB348C" w:rsidRDefault="00CB34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5B64" w14:textId="77777777" w:rsidR="009E048A" w:rsidRDefault="009E048A">
    <w:pPr>
      <w:pStyle w:val="Footer"/>
      <w:rPr>
        <w:rFonts w:ascii="Arial" w:hAnsi="Arial" w:cs="Arial"/>
        <w:sz w:val="16"/>
      </w:rPr>
    </w:pPr>
  </w:p>
  <w:p w14:paraId="2701DC5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D6E438F" w14:textId="77777777" w:rsidR="009E048A" w:rsidRDefault="009E048A">
    <w:pPr>
      <w:pStyle w:val="Footer"/>
      <w:rPr>
        <w:rFonts w:ascii="Arial" w:hAnsi="Arial" w:cs="Arial"/>
        <w:sz w:val="16"/>
      </w:rPr>
    </w:pPr>
  </w:p>
  <w:p w14:paraId="5A226B8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B3BBB" w14:textId="77777777" w:rsidR="00CB348C" w:rsidRDefault="00CB348C" w:rsidP="00C37E61">
      <w:r>
        <w:separator/>
      </w:r>
    </w:p>
  </w:footnote>
  <w:footnote w:type="continuationSeparator" w:id="0">
    <w:p w14:paraId="5E16E530" w14:textId="77777777" w:rsidR="00CB348C" w:rsidRDefault="00CB34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D9CEC" w14:textId="2A8B3553" w:rsidR="00460AD1" w:rsidRDefault="005A7345">
    <w:pPr>
      <w:pStyle w:val="Header"/>
    </w:pPr>
    <w:r>
      <w:rPr>
        <w:noProof/>
      </w:rPr>
      <w:pict w14:anchorId="366DB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73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48E44" w14:textId="7006C19A" w:rsidR="00460AD1" w:rsidRDefault="005A7345">
    <w:pPr>
      <w:pStyle w:val="Header"/>
    </w:pPr>
    <w:r>
      <w:rPr>
        <w:noProof/>
      </w:rPr>
      <w:pict w14:anchorId="2C591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73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665F" w14:textId="06DB8C80" w:rsidR="00296529" w:rsidRPr="00296529" w:rsidRDefault="005A7345" w:rsidP="00296529">
    <w:pPr>
      <w:ind w:left="2160"/>
      <w:jc w:val="center"/>
      <w:rPr>
        <w:rFonts w:ascii="Times New Roman" w:eastAsia="Calibri" w:hAnsi="Times New Roman"/>
        <w:i/>
        <w:sz w:val="18"/>
        <w:szCs w:val="22"/>
      </w:rPr>
    </w:pPr>
    <w:r>
      <w:rPr>
        <w:noProof/>
      </w:rPr>
      <w:pict w14:anchorId="745F4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73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633495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9262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DBBF6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4A6F6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A11A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88BE7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B560B"/>
    <w:multiLevelType w:val="hybridMultilevel"/>
    <w:tmpl w:val="766E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284610"/>
    <w:multiLevelType w:val="hybridMultilevel"/>
    <w:tmpl w:val="BEB8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2719F8"/>
    <w:multiLevelType w:val="multilevel"/>
    <w:tmpl w:val="E5185D3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ACF72F8"/>
    <w:multiLevelType w:val="multilevel"/>
    <w:tmpl w:val="C8867632"/>
    <w:lvl w:ilvl="0">
      <w:start w:val="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B341C7F"/>
    <w:multiLevelType w:val="multilevel"/>
    <w:tmpl w:val="E7D0A9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C81E23"/>
    <w:multiLevelType w:val="multilevel"/>
    <w:tmpl w:val="C026146C"/>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4031E92"/>
    <w:multiLevelType w:val="multilevel"/>
    <w:tmpl w:val="196EEB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9344364"/>
    <w:multiLevelType w:val="multilevel"/>
    <w:tmpl w:val="30A8E9A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2A168F6"/>
    <w:multiLevelType w:val="multilevel"/>
    <w:tmpl w:val="FE1AF4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58A113B"/>
    <w:multiLevelType w:val="multilevel"/>
    <w:tmpl w:val="660C70F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6091BF8"/>
    <w:multiLevelType w:val="multilevel"/>
    <w:tmpl w:val="472E10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0601E3E"/>
    <w:multiLevelType w:val="hybridMultilevel"/>
    <w:tmpl w:val="D0E6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F392E11"/>
    <w:multiLevelType w:val="multilevel"/>
    <w:tmpl w:val="19647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BB771D"/>
    <w:multiLevelType w:val="multilevel"/>
    <w:tmpl w:val="DF1266A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7"/>
  </w:num>
  <w:num w:numId="9">
    <w:abstractNumId w:val="38"/>
  </w:num>
  <w:num w:numId="10">
    <w:abstractNumId w:val="3"/>
  </w:num>
  <w:num w:numId="11">
    <w:abstractNumId w:val="30"/>
  </w:num>
  <w:num w:numId="12">
    <w:abstractNumId w:val="4"/>
  </w:num>
  <w:num w:numId="13">
    <w:abstractNumId w:val="28"/>
  </w:num>
  <w:num w:numId="14">
    <w:abstractNumId w:val="11"/>
  </w:num>
  <w:num w:numId="15">
    <w:abstractNumId w:val="34"/>
  </w:num>
  <w:num w:numId="16">
    <w:abstractNumId w:val="6"/>
  </w:num>
  <w:num w:numId="17">
    <w:abstractNumId w:val="35"/>
  </w:num>
  <w:num w:numId="18">
    <w:abstractNumId w:val="20"/>
  </w:num>
  <w:num w:numId="19">
    <w:abstractNumId w:val="42"/>
  </w:num>
  <w:num w:numId="20">
    <w:abstractNumId w:val="14"/>
  </w:num>
  <w:num w:numId="21">
    <w:abstractNumId w:val="12"/>
  </w:num>
  <w:num w:numId="22">
    <w:abstractNumId w:val="19"/>
  </w:num>
  <w:num w:numId="23">
    <w:abstractNumId w:val="32"/>
  </w:num>
  <w:num w:numId="24">
    <w:abstractNumId w:val="39"/>
  </w:num>
  <w:num w:numId="25">
    <w:abstractNumId w:val="5"/>
  </w:num>
  <w:num w:numId="26">
    <w:abstractNumId w:val="27"/>
  </w:num>
  <w:num w:numId="27">
    <w:abstractNumId w:val="33"/>
  </w:num>
  <w:num w:numId="28">
    <w:abstractNumId w:val="40"/>
  </w:num>
  <w:num w:numId="29">
    <w:abstractNumId w:val="37"/>
  </w:num>
  <w:num w:numId="30">
    <w:abstractNumId w:val="13"/>
  </w:num>
  <w:num w:numId="31">
    <w:abstractNumId w:val="7"/>
  </w:num>
  <w:num w:numId="32">
    <w:abstractNumId w:val="29"/>
  </w:num>
  <w:num w:numId="33">
    <w:abstractNumId w:val="1"/>
  </w:num>
  <w:num w:numId="34">
    <w:abstractNumId w:val="15"/>
  </w:num>
  <w:num w:numId="35">
    <w:abstractNumId w:val="25"/>
  </w:num>
  <w:num w:numId="36">
    <w:abstractNumId w:val="41"/>
  </w:num>
  <w:num w:numId="37">
    <w:abstractNumId w:val="21"/>
  </w:num>
  <w:num w:numId="38">
    <w:abstractNumId w:val="31"/>
  </w:num>
  <w:num w:numId="39">
    <w:abstractNumId w:val="23"/>
  </w:num>
  <w:num w:numId="40">
    <w:abstractNumId w:val="22"/>
  </w:num>
  <w:num w:numId="41">
    <w:abstractNumId w:val="16"/>
  </w:num>
  <w:num w:numId="42">
    <w:abstractNumId w:val="18"/>
  </w:num>
  <w:num w:numId="43">
    <w:abstractNumId w:val="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rQwMbUwtTAzMLawMDdR0lEKTi0uzszPAykwrAUAy4D/TSwAAAA="/>
  </w:docVars>
  <w:rsids>
    <w:rsidRoot w:val="00AA6219"/>
    <w:rsid w:val="00000F8F"/>
    <w:rsid w:val="000132DA"/>
    <w:rsid w:val="00030174"/>
    <w:rsid w:val="0004579C"/>
    <w:rsid w:val="000A47FA"/>
    <w:rsid w:val="000A65D3"/>
    <w:rsid w:val="000B1E33"/>
    <w:rsid w:val="000D689F"/>
    <w:rsid w:val="000D750F"/>
    <w:rsid w:val="000E7B7B"/>
    <w:rsid w:val="000E7D62"/>
    <w:rsid w:val="00103357"/>
    <w:rsid w:val="001104AD"/>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AD1"/>
    <w:rsid w:val="00465A0E"/>
    <w:rsid w:val="00471A80"/>
    <w:rsid w:val="004D305E"/>
    <w:rsid w:val="004D4277"/>
    <w:rsid w:val="00502516"/>
    <w:rsid w:val="00505F06"/>
    <w:rsid w:val="00506828"/>
    <w:rsid w:val="0053056E"/>
    <w:rsid w:val="00554FDA"/>
    <w:rsid w:val="005A1C54"/>
    <w:rsid w:val="005A7345"/>
    <w:rsid w:val="005C784C"/>
    <w:rsid w:val="005D17F6"/>
    <w:rsid w:val="005E5539"/>
    <w:rsid w:val="00602BF5"/>
    <w:rsid w:val="00616B3E"/>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5E3"/>
    <w:rsid w:val="006D6940"/>
    <w:rsid w:val="006E35FC"/>
    <w:rsid w:val="006F11EC"/>
    <w:rsid w:val="0070082C"/>
    <w:rsid w:val="007249FD"/>
    <w:rsid w:val="007369E6"/>
    <w:rsid w:val="00746E59"/>
    <w:rsid w:val="00754C9A"/>
    <w:rsid w:val="0075599A"/>
    <w:rsid w:val="00761D52"/>
    <w:rsid w:val="0077749E"/>
    <w:rsid w:val="00784408"/>
    <w:rsid w:val="00790ADA"/>
    <w:rsid w:val="007A63E4"/>
    <w:rsid w:val="007D2288"/>
    <w:rsid w:val="007D27C7"/>
    <w:rsid w:val="007E088F"/>
    <w:rsid w:val="007F7B32"/>
    <w:rsid w:val="00804BC2"/>
    <w:rsid w:val="0081431A"/>
    <w:rsid w:val="0083216F"/>
    <w:rsid w:val="00860000"/>
    <w:rsid w:val="00863BD3"/>
    <w:rsid w:val="008641ED"/>
    <w:rsid w:val="00866D66"/>
    <w:rsid w:val="008671C6"/>
    <w:rsid w:val="00875803"/>
    <w:rsid w:val="0088224F"/>
    <w:rsid w:val="008B459E"/>
    <w:rsid w:val="008B7DD8"/>
    <w:rsid w:val="008C24A0"/>
    <w:rsid w:val="008E13AE"/>
    <w:rsid w:val="008E1506"/>
    <w:rsid w:val="008E710C"/>
    <w:rsid w:val="008F69D6"/>
    <w:rsid w:val="008F719E"/>
    <w:rsid w:val="00902823"/>
    <w:rsid w:val="00915CA6"/>
    <w:rsid w:val="00923F49"/>
    <w:rsid w:val="00927834"/>
    <w:rsid w:val="009465E0"/>
    <w:rsid w:val="009500A6"/>
    <w:rsid w:val="00957C18"/>
    <w:rsid w:val="00964F49"/>
    <w:rsid w:val="009659BA"/>
    <w:rsid w:val="00983040"/>
    <w:rsid w:val="009B3FB9"/>
    <w:rsid w:val="009C2465"/>
    <w:rsid w:val="009D0CFC"/>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1F20"/>
    <w:rsid w:val="00B95236"/>
    <w:rsid w:val="00B96BD9"/>
    <w:rsid w:val="00BA1B01"/>
    <w:rsid w:val="00BA2641"/>
    <w:rsid w:val="00BB37AA"/>
    <w:rsid w:val="00BC53A0"/>
    <w:rsid w:val="00BE62AD"/>
    <w:rsid w:val="00BF121F"/>
    <w:rsid w:val="00BF1F80"/>
    <w:rsid w:val="00C129DB"/>
    <w:rsid w:val="00C166EF"/>
    <w:rsid w:val="00C17EB0"/>
    <w:rsid w:val="00C27F5F"/>
    <w:rsid w:val="00C30A0F"/>
    <w:rsid w:val="00C37E61"/>
    <w:rsid w:val="00C70F1B"/>
    <w:rsid w:val="00C71A47"/>
    <w:rsid w:val="00C7464C"/>
    <w:rsid w:val="00C85588"/>
    <w:rsid w:val="00CB348C"/>
    <w:rsid w:val="00CD6755"/>
    <w:rsid w:val="00CD6856"/>
    <w:rsid w:val="00CE0089"/>
    <w:rsid w:val="00CE793C"/>
    <w:rsid w:val="00CF193C"/>
    <w:rsid w:val="00CF718A"/>
    <w:rsid w:val="00D173F1"/>
    <w:rsid w:val="00D2099E"/>
    <w:rsid w:val="00D74200"/>
    <w:rsid w:val="00D74CB0"/>
    <w:rsid w:val="00D8092E"/>
    <w:rsid w:val="00D8295D"/>
    <w:rsid w:val="00D85D84"/>
    <w:rsid w:val="00DC2A65"/>
    <w:rsid w:val="00DE15F0"/>
    <w:rsid w:val="00DE5663"/>
    <w:rsid w:val="00DE78AA"/>
    <w:rsid w:val="00E053D0"/>
    <w:rsid w:val="00E15994"/>
    <w:rsid w:val="00E3114E"/>
    <w:rsid w:val="00E31A70"/>
    <w:rsid w:val="00E35B02"/>
    <w:rsid w:val="00E66496"/>
    <w:rsid w:val="00E66B35"/>
    <w:rsid w:val="00E66E10"/>
    <w:rsid w:val="00E769F6"/>
    <w:rsid w:val="00E77760"/>
    <w:rsid w:val="00E8407C"/>
    <w:rsid w:val="00E84F3C"/>
    <w:rsid w:val="00EA012C"/>
    <w:rsid w:val="00EA4C6E"/>
    <w:rsid w:val="00EC6227"/>
    <w:rsid w:val="00EC6A55"/>
    <w:rsid w:val="00ED0288"/>
    <w:rsid w:val="00EE52CB"/>
    <w:rsid w:val="00EF0DCD"/>
    <w:rsid w:val="00EF57E0"/>
    <w:rsid w:val="00EF581D"/>
    <w:rsid w:val="00EF7FD8"/>
    <w:rsid w:val="00F06F59"/>
    <w:rsid w:val="00F17988"/>
    <w:rsid w:val="00F469F0"/>
    <w:rsid w:val="00F53273"/>
    <w:rsid w:val="00F755E4"/>
    <w:rsid w:val="00F77D02"/>
    <w:rsid w:val="00FB3A86"/>
    <w:rsid w:val="00FC510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2" type="connector" idref="#_x0000_s1026"/>
      </o:rules>
    </o:shapelayout>
  </w:shapeDefaults>
  <w:decimalSymbol w:val="."/>
  <w:listSeparator w:val=","/>
  <w14:docId w14:val="274BFA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E35FC"/>
    <w:pPr>
      <w:spacing w:after="160" w:line="278" w:lineRule="auto"/>
      <w:ind w:left="720"/>
      <w:contextualSpacing/>
    </w:pPr>
    <w:rPr>
      <w:rFonts w:asciiTheme="minorHAnsi" w:eastAsiaTheme="minorHAnsi" w:hAnsiTheme="minorHAnsi" w:cstheme="minorBidi"/>
      <w:kern w:val="2"/>
      <w:sz w:val="24"/>
      <w:szCs w:val="24"/>
    </w:rPr>
  </w:style>
  <w:style w:type="paragraph" w:styleId="NoSpacing">
    <w:name w:val="No Spacing"/>
    <w:uiPriority w:val="1"/>
    <w:qFormat/>
    <w:rsid w:val="007D27C7"/>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93/humrep/deaf153" TargetMode="External"/><Relationship Id="rId26" Type="http://schemas.openxmlformats.org/officeDocument/2006/relationships/hyperlink" Target="https://doi.org/10.1016/j.fertnstert.2023.05.149" TargetMode="External"/><Relationship Id="rId39" Type="http://schemas.openxmlformats.org/officeDocument/2006/relationships/hyperlink" Target="https://doi.org/10.3390/medicina61030367" TargetMode="External"/><Relationship Id="rId21" Type="http://schemas.openxmlformats.org/officeDocument/2006/relationships/hyperlink" Target="https://doi.org/10.1007/s10815-022-02552-7" TargetMode="External"/><Relationship Id="rId34" Type="http://schemas.openxmlformats.org/officeDocument/2006/relationships/hyperlink" Target="https://doi.org/10.1016/j.fertnstert.2022.12.033" TargetMode="External"/><Relationship Id="rId42" Type="http://schemas.openxmlformats.org/officeDocument/2006/relationships/hyperlink" Target="https://doi.org/10.3390/biology6030035" TargetMode="External"/><Relationship Id="rId47" Type="http://schemas.openxmlformats.org/officeDocument/2006/relationships/hyperlink" Target="https://doi.org/10.1093/humrep/deaf097.431" TargetMode="External"/><Relationship Id="rId50" Type="http://schemas.openxmlformats.org/officeDocument/2006/relationships/hyperlink" Target="https://doi.org/10.1093/biolre/ioaa0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93/humrep/deaf097.441" TargetMode="External"/><Relationship Id="rId29" Type="http://schemas.openxmlformats.org/officeDocument/2006/relationships/hyperlink" Target="https://doi.org/10.3390/ijms22115918" TargetMode="External"/><Relationship Id="rId11" Type="http://schemas.openxmlformats.org/officeDocument/2006/relationships/footer" Target="footer1.xml"/><Relationship Id="rId24" Type="http://schemas.openxmlformats.org/officeDocument/2006/relationships/hyperlink" Target="https://doi.org/10.1016/j.artmed.2024.102997" TargetMode="External"/><Relationship Id="rId32" Type="http://schemas.openxmlformats.org/officeDocument/2006/relationships/hyperlink" Target="https://doi.org/10.1530/biosciprocs.4.035" TargetMode="External"/><Relationship Id="rId37" Type="http://schemas.openxmlformats.org/officeDocument/2006/relationships/hyperlink" Target="https://doi.org/10.1016/j.theriogenology.2020.01.027" TargetMode="External"/><Relationship Id="rId40" Type="http://schemas.openxmlformats.org/officeDocument/2006/relationships/hyperlink" Target="https://doi.org/10.52589/ajbmr-rso6lq0b" TargetMode="External"/><Relationship Id="rId45" Type="http://schemas.openxmlformats.org/officeDocument/2006/relationships/hyperlink" Target="https://doi.org/10.1093/biolre/ioac009" TargetMode="External"/><Relationship Id="rId5" Type="http://schemas.openxmlformats.org/officeDocument/2006/relationships/webSettings" Target="webSettings.xml"/><Relationship Id="rId15" Type="http://schemas.openxmlformats.org/officeDocument/2006/relationships/hyperlink" Target="https://doi.org/10.3390/ijms252212197" TargetMode="External"/><Relationship Id="rId23" Type="http://schemas.openxmlformats.org/officeDocument/2006/relationships/hyperlink" Target="https://doi.org/10.1002/wsbm.1613" TargetMode="External"/><Relationship Id="rId28" Type="http://schemas.openxmlformats.org/officeDocument/2006/relationships/hyperlink" Target="https://doi.org/10.4236/ojim.2024.141010" TargetMode="External"/><Relationship Id="rId36" Type="http://schemas.openxmlformats.org/officeDocument/2006/relationships/hyperlink" Target="https://doi.org/10.3390/ani14131893" TargetMode="External"/><Relationship Id="rId49" Type="http://schemas.openxmlformats.org/officeDocument/2006/relationships/hyperlink" Target="https://doi.org/10.3390/ijms26136377" TargetMode="External"/><Relationship Id="rId10" Type="http://schemas.openxmlformats.org/officeDocument/2006/relationships/header" Target="header3.xml"/><Relationship Id="rId19" Type="http://schemas.openxmlformats.org/officeDocument/2006/relationships/hyperlink" Target="https://doi.org/10.1093/humupd/dmx040" TargetMode="External"/><Relationship Id="rId31" Type="http://schemas.openxmlformats.org/officeDocument/2006/relationships/hyperlink" Target="https://doi.org/10.1007/s10815-023-02984-9" TargetMode="External"/><Relationship Id="rId44" Type="http://schemas.openxmlformats.org/officeDocument/2006/relationships/hyperlink" Target="https://doi.org/10.3389/fendo.2019.0081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16/j.rbmo.2025.104804" TargetMode="External"/><Relationship Id="rId22" Type="http://schemas.openxmlformats.org/officeDocument/2006/relationships/hyperlink" Target="https://doi.org/10.3389/fendo.2024.1274376" TargetMode="External"/><Relationship Id="rId27" Type="http://schemas.openxmlformats.org/officeDocument/2006/relationships/hyperlink" Target="https://doi.org/10.4236/ojim.2024.141010" TargetMode="External"/><Relationship Id="rId30" Type="http://schemas.openxmlformats.org/officeDocument/2006/relationships/hyperlink" Target="https://doi.org/10.3390/ani11102818" TargetMode="External"/><Relationship Id="rId35" Type="http://schemas.openxmlformats.org/officeDocument/2006/relationships/hyperlink" Target="https://doi.org/10.1093/humrep/dead093.709" TargetMode="External"/><Relationship Id="rId43" Type="http://schemas.openxmlformats.org/officeDocument/2006/relationships/hyperlink" Target="https://doi.org/10.1093/humupd/dmaa043" TargetMode="External"/><Relationship Id="rId48" Type="http://schemas.openxmlformats.org/officeDocument/2006/relationships/hyperlink" Target="https://doi.org/10.1093/humrep/deaf097.599"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2741/s543" TargetMode="External"/><Relationship Id="rId25" Type="http://schemas.openxmlformats.org/officeDocument/2006/relationships/hyperlink" Target="https://doi.org/10.1007/s10815-022-02434-y" TargetMode="External"/><Relationship Id="rId33" Type="http://schemas.openxmlformats.org/officeDocument/2006/relationships/hyperlink" Target="https://doi.org/10.5935/1518-0557.20250043" TargetMode="External"/><Relationship Id="rId38" Type="http://schemas.openxmlformats.org/officeDocument/2006/relationships/hyperlink" Target="https://doi.org/10.3390/cells14100704" TargetMode="External"/><Relationship Id="rId46" Type="http://schemas.openxmlformats.org/officeDocument/2006/relationships/hyperlink" Target="https://doi.org/10.3389/fcell.2021.710292" TargetMode="External"/><Relationship Id="rId20" Type="http://schemas.openxmlformats.org/officeDocument/2006/relationships/hyperlink" Target="https://doi.org/10.1016/j.theriogenology.2025.117670" TargetMode="External"/><Relationship Id="rId41" Type="http://schemas.openxmlformats.org/officeDocument/2006/relationships/hyperlink" Target="https://doi.org/10.1111/cpr.7001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6014D-E2E0-47AF-AF99-D5F90BF3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154</TotalTime>
  <Pages>34</Pages>
  <Words>14298</Words>
  <Characters>81500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95607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20</cp:revision>
  <cp:lastPrinted>1999-07-06T11:00:00Z</cp:lastPrinted>
  <dcterms:created xsi:type="dcterms:W3CDTF">2026-04-15T13:12:00Z</dcterms:created>
  <dcterms:modified xsi:type="dcterms:W3CDTF">2026-04-28T10:37:00Z</dcterms:modified>
</cp:coreProperties>
</file>