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F2" w:rsidRDefault="006A7341">
      <w:pPr>
        <w:spacing w:after="0" w:line="240" w:lineRule="auto"/>
        <w:rPr>
          <w:rFonts w:ascii="Times New Roman" w:hAnsi="Times New Roman"/>
          <w:b/>
          <w:bCs/>
          <w:sz w:val="28"/>
          <w:szCs w:val="28"/>
          <w:u w:val="single"/>
        </w:rPr>
      </w:pPr>
      <w:bookmarkStart w:id="0" w:name="_Hlk224789477"/>
      <w:r>
        <w:rPr>
          <w:rFonts w:ascii="Times New Roman" w:hAnsi="Times New Roman"/>
          <w:b/>
          <w:bCs/>
          <w:sz w:val="28"/>
          <w:szCs w:val="28"/>
          <w:u w:val="single"/>
        </w:rPr>
        <w:t>Systematic Review Article</w:t>
      </w:r>
    </w:p>
    <w:p w:rsidR="00B92EF2" w:rsidRDefault="00B92EF2">
      <w:pPr>
        <w:spacing w:after="0" w:line="240" w:lineRule="auto"/>
        <w:rPr>
          <w:rFonts w:ascii="Times New Roman" w:hAnsi="Times New Roman"/>
          <w:b/>
          <w:bCs/>
          <w:sz w:val="28"/>
          <w:szCs w:val="28"/>
        </w:rPr>
      </w:pPr>
    </w:p>
    <w:p w:rsidR="00B92EF2" w:rsidRDefault="006A7341">
      <w:pPr>
        <w:spacing w:after="0" w:line="240" w:lineRule="auto"/>
        <w:rPr>
          <w:sz w:val="28"/>
          <w:szCs w:val="28"/>
        </w:rPr>
      </w:pPr>
      <w:r>
        <w:rPr>
          <w:rFonts w:ascii="Times New Roman" w:hAnsi="Times New Roman"/>
          <w:b/>
          <w:bCs/>
          <w:sz w:val="28"/>
          <w:szCs w:val="28"/>
        </w:rPr>
        <w:t xml:space="preserve">Clinical Utility of Multiple Blood Transfusion </w:t>
      </w:r>
      <w:r>
        <w:rPr>
          <w:rFonts w:ascii="Times New Roman" w:hAnsi="Times New Roman"/>
          <w:b/>
          <w:bCs/>
          <w:sz w:val="28"/>
          <w:szCs w:val="28"/>
        </w:rPr>
        <w:t>P</w:t>
      </w:r>
      <w:r>
        <w:rPr>
          <w:rFonts w:ascii="Times New Roman" w:hAnsi="Times New Roman"/>
          <w:b/>
          <w:bCs/>
          <w:sz w:val="28"/>
          <w:szCs w:val="28"/>
        </w:rPr>
        <w:t xml:space="preserve">roducts and the Management of hematological Complications </w:t>
      </w:r>
      <w:r>
        <w:rPr>
          <w:rFonts w:ascii="Times New Roman" w:hAnsi="Times New Roman"/>
          <w:b/>
          <w:bCs/>
          <w:sz w:val="28"/>
          <w:szCs w:val="28"/>
        </w:rPr>
        <w:t xml:space="preserve">, </w:t>
      </w:r>
      <w:r>
        <w:rPr>
          <w:rFonts w:ascii="Times New Roman" w:hAnsi="Times New Roman"/>
          <w:b/>
          <w:bCs/>
          <w:sz w:val="28"/>
          <w:szCs w:val="28"/>
        </w:rPr>
        <w:t xml:space="preserve">Implications </w:t>
      </w:r>
      <w:r>
        <w:rPr>
          <w:rFonts w:ascii="Times New Roman" w:hAnsi="Times New Roman"/>
          <w:b/>
          <w:bCs/>
          <w:sz w:val="28"/>
          <w:szCs w:val="28"/>
        </w:rPr>
        <w:t xml:space="preserve">and </w:t>
      </w:r>
      <w:r>
        <w:rPr>
          <w:rFonts w:ascii="Times New Roman" w:hAnsi="Times New Roman"/>
          <w:b/>
          <w:bCs/>
          <w:sz w:val="28"/>
          <w:szCs w:val="28"/>
        </w:rPr>
        <w:t xml:space="preserve">Preventive Strategies </w:t>
      </w:r>
      <w:r>
        <w:rPr>
          <w:rFonts w:ascii="Times New Roman" w:hAnsi="Times New Roman"/>
          <w:b/>
          <w:bCs/>
          <w:sz w:val="28"/>
          <w:szCs w:val="28"/>
        </w:rPr>
        <w:t xml:space="preserve"> among Oncological Patients</w:t>
      </w:r>
      <w:r>
        <w:rPr>
          <w:rFonts w:ascii="Times New Roman" w:hAnsi="Times New Roman"/>
          <w:b/>
          <w:bCs/>
          <w:sz w:val="28"/>
          <w:szCs w:val="28"/>
        </w:rPr>
        <w:t>: A systematic review.</w:t>
      </w:r>
    </w:p>
    <w:p w:rsidR="00B92EF2" w:rsidRDefault="006A7341">
      <w:pPr>
        <w:spacing w:after="0" w:line="240" w:lineRule="auto"/>
        <w:rPr>
          <w:sz w:val="28"/>
          <w:szCs w:val="28"/>
        </w:rPr>
      </w:pPr>
      <w:r>
        <w:rPr>
          <w:sz w:val="28"/>
          <w:szCs w:val="28"/>
        </w:rPr>
        <w:t>===================================================================</w:t>
      </w:r>
    </w:p>
    <w:p w:rsidR="00B92EF2" w:rsidRDefault="00B92EF2">
      <w:pPr>
        <w:spacing w:after="0" w:line="240" w:lineRule="auto"/>
        <w:jc w:val="both"/>
        <w:rPr>
          <w:rFonts w:ascii="Times New Roman" w:hAnsi="Times New Roman"/>
          <w:b/>
          <w:sz w:val="20"/>
          <w:szCs w:val="20"/>
        </w:rPr>
      </w:pPr>
    </w:p>
    <w:p w:rsidR="00B92EF2" w:rsidRDefault="00B92EF2">
      <w:pPr>
        <w:spacing w:after="0" w:line="240" w:lineRule="auto"/>
        <w:jc w:val="both"/>
        <w:rPr>
          <w:rFonts w:ascii="Times New Roman" w:hAnsi="Times New Roman"/>
          <w:b/>
          <w:sz w:val="20"/>
          <w:szCs w:val="20"/>
        </w:rPr>
      </w:pPr>
    </w:p>
    <w:p w:rsidR="00B92EF2" w:rsidRDefault="00B92EF2">
      <w:pPr>
        <w:spacing w:after="0" w:line="240" w:lineRule="auto"/>
        <w:jc w:val="both"/>
        <w:rPr>
          <w:rFonts w:ascii="Times New Roman" w:hAnsi="Times New Roman"/>
          <w:b/>
          <w:sz w:val="20"/>
          <w:szCs w:val="20"/>
        </w:rPr>
      </w:pPr>
    </w:p>
    <w:bookmarkEnd w:id="0"/>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 xml:space="preserve">ABSTRACT </w:t>
      </w:r>
    </w:p>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Background</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Patients with solid tumors and hematological malignancies frequently develop transfusion-dependent anemia from marrow infiltration and cytotoxic therapy. Multiple b</w:t>
      </w:r>
      <w:r>
        <w:rPr>
          <w:rFonts w:ascii="Times New Roman" w:hAnsi="Times New Roman"/>
          <w:sz w:val="20"/>
          <w:szCs w:val="20"/>
        </w:rPr>
        <w:t>lood transfusions (MBT) sustain oxygen delivery but increase alloimmunization, iron overload, transfusion-related immunomodulation (TRIM), and thrombosis/bleeding shifts. Practice variation persists on haemoglobin (Hb) triggers, component ratios, and mitig</w:t>
      </w:r>
      <w:r>
        <w:rPr>
          <w:rFonts w:ascii="Times New Roman" w:hAnsi="Times New Roman"/>
          <w:sz w:val="20"/>
          <w:szCs w:val="20"/>
        </w:rPr>
        <w:t>ation (phenotyping, chelation).</w:t>
      </w:r>
    </w:p>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Objective</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To critically appraise the clinical utility of MBT in oncological populations and synthesize hematological implications (alloimmunization, iron metrics, TRIM, survival)</w:t>
      </w:r>
      <w:r>
        <w:rPr>
          <w:rFonts w:ascii="Times New Roman" w:hAnsi="Times New Roman"/>
          <w:sz w:val="20"/>
          <w:szCs w:val="20"/>
        </w:rPr>
        <w:t xml:space="preserve"> and formulate the best management strategies </w:t>
      </w:r>
      <w:r>
        <w:rPr>
          <w:rFonts w:ascii="Times New Roman" w:hAnsi="Times New Roman"/>
          <w:sz w:val="20"/>
          <w:szCs w:val="20"/>
        </w:rPr>
        <w:t>for Haematological complications and prevention.</w:t>
      </w:r>
    </w:p>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Methodology</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 xml:space="preserve">PRISMA-guided critical review (2010–2025).  </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Search engines (10): PubMed/MEDLINE, Embase, Cochrane Library, Scopus, Web of Science, African Index Medicus, IMEMR, LILACS, WHO Global Index Medicus,</w:t>
      </w:r>
      <w:r>
        <w:rPr>
          <w:rFonts w:ascii="Times New Roman" w:hAnsi="Times New Roman"/>
          <w:sz w:val="20"/>
          <w:szCs w:val="20"/>
        </w:rPr>
        <w:t xml:space="preserve"> Google Scholar were used.  </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 xml:space="preserve">Search terms (sample): ("multiple blood transfusion" OR "repeated transfusion" OR "chronic transfusion") and  (oncology OR cancer OR leukaemi OR lymphoma) AND (alloimmun_ OR "iron overload" OR ferritin OR TRIM OR thrombosis OR </w:t>
      </w:r>
      <w:r>
        <w:rPr>
          <w:rFonts w:ascii="Times New Roman" w:hAnsi="Times New Roman"/>
          <w:sz w:val="20"/>
          <w:szCs w:val="20"/>
        </w:rPr>
        <w:t xml:space="preserve">"hemoglobin trigger")—adapted per engine (MeSH/Emtree; title/abstract).  </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 xml:space="preserve">Selection:350 records → 240 studies included (adult oncology; ≥2 transfusion episodes; report Hb thresholds, alloantibodies, ferritin/MRI iron, </w:t>
      </w:r>
      <w:r>
        <w:rPr>
          <w:rFonts w:ascii="Times New Roman" w:hAnsi="Times New Roman"/>
          <w:sz w:val="20"/>
          <w:szCs w:val="20"/>
        </w:rPr>
        <w:t>Venous Thromboembolism (VTE)</w:t>
      </w:r>
      <w:r>
        <w:rPr>
          <w:rFonts w:ascii="Times New Roman" w:hAnsi="Times New Roman"/>
          <w:sz w:val="20"/>
          <w:szCs w:val="20"/>
        </w:rPr>
        <w:t xml:space="preserve"> occurrenc</w:t>
      </w:r>
      <w:r>
        <w:rPr>
          <w:rFonts w:ascii="Times New Roman" w:hAnsi="Times New Roman"/>
          <w:sz w:val="20"/>
          <w:szCs w:val="20"/>
        </w:rPr>
        <w:t xml:space="preserve">e is independently associated with shorter Overall Survival (OS) and Progression-Free Survival </w:t>
      </w:r>
      <w:r>
        <w:rPr>
          <w:rFonts w:ascii="Times New Roman" w:hAnsi="Times New Roman"/>
          <w:sz w:val="20"/>
          <w:szCs w:val="20"/>
        </w:rPr>
        <w:t>(</w:t>
      </w:r>
      <w:r>
        <w:rPr>
          <w:rFonts w:ascii="Times New Roman" w:hAnsi="Times New Roman"/>
          <w:sz w:val="20"/>
          <w:szCs w:val="20"/>
        </w:rPr>
        <w:t>OS/PFS).Appraised via SANRA &amp; Newcastle–Ottawa; thematic synthesis by tumour type/intent.</w:t>
      </w:r>
    </w:p>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Results</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240 studies (n≈102,400)</w:t>
      </w:r>
      <w:r>
        <w:rPr>
          <w:rFonts w:ascii="Times New Roman" w:hAnsi="Times New Roman"/>
          <w:sz w:val="20"/>
          <w:szCs w:val="20"/>
        </w:rPr>
        <w:t xml:space="preserve"> and r</w:t>
      </w:r>
      <w:r>
        <w:rPr>
          <w:rFonts w:ascii="Times New Roman" w:hAnsi="Times New Roman"/>
          <w:sz w:val="20"/>
          <w:szCs w:val="20"/>
        </w:rPr>
        <w:t>estrictive Hb (70–80 g/L) non-inf</w:t>
      </w:r>
      <w:r>
        <w:rPr>
          <w:rFonts w:ascii="Times New Roman" w:hAnsi="Times New Roman"/>
          <w:sz w:val="20"/>
          <w:szCs w:val="20"/>
        </w:rPr>
        <w:t xml:space="preserve">erior in solid tumours; liberal use retained in </w:t>
      </w:r>
      <w:r>
        <w:rPr>
          <w:rFonts w:ascii="Times New Roman" w:hAnsi="Times New Roman"/>
          <w:sz w:val="20"/>
          <w:szCs w:val="20"/>
        </w:rPr>
        <w:t>Acute Myeloid Leukemia (AML)/</w:t>
      </w:r>
      <w:r>
        <w:rPr>
          <w:rFonts w:ascii="Times New Roman" w:hAnsi="Times New Roman"/>
          <w:sz w:val="20"/>
          <w:szCs w:val="20"/>
        </w:rPr>
        <w:t xml:space="preserve">Myelodysplastic Syndromes (MDS) </w:t>
      </w:r>
      <w:r>
        <w:rPr>
          <w:rFonts w:ascii="Times New Roman" w:hAnsi="Times New Roman"/>
          <w:sz w:val="20"/>
          <w:szCs w:val="20"/>
        </w:rPr>
        <w:t xml:space="preserve">induction. Alloimmunization: 14–26% after ≥10 units (↓ </w:t>
      </w:r>
      <w:r>
        <w:rPr>
          <w:rFonts w:ascii="Cambria Math" w:hAnsi="Cambria Math" w:cs="Cambria Math"/>
          <w:sz w:val="20"/>
          <w:szCs w:val="20"/>
        </w:rPr>
        <w:t>∼</w:t>
      </w:r>
      <w:r>
        <w:rPr>
          <w:rFonts w:ascii="Times New Roman" w:hAnsi="Times New Roman"/>
          <w:sz w:val="20"/>
          <w:szCs w:val="20"/>
        </w:rPr>
        <w:t xml:space="preserve">38% with leukoreduced &amp; Rh/Kell matching). Iron overload (ferritin&gt;1000 µg/L) in 28% after </w:t>
      </w:r>
      <w:r>
        <w:rPr>
          <w:rFonts w:ascii="Times New Roman" w:hAnsi="Times New Roman"/>
          <w:sz w:val="20"/>
          <w:szCs w:val="20"/>
        </w:rPr>
        <w:t>≥20 units, associated with higher non-relapse mortality post-HSCT.T</w:t>
      </w:r>
      <w:r>
        <w:rPr>
          <w:rFonts w:ascii="Times New Roman" w:hAnsi="Times New Roman"/>
          <w:sz w:val="20"/>
          <w:szCs w:val="20"/>
        </w:rPr>
        <w:t xml:space="preserve">ransfusion </w:t>
      </w:r>
      <w:r>
        <w:rPr>
          <w:rFonts w:ascii="Times New Roman" w:hAnsi="Times New Roman"/>
          <w:sz w:val="20"/>
          <w:szCs w:val="20"/>
        </w:rPr>
        <w:t>R</w:t>
      </w:r>
      <w:r>
        <w:rPr>
          <w:rFonts w:ascii="Times New Roman" w:hAnsi="Times New Roman"/>
          <w:sz w:val="20"/>
          <w:szCs w:val="20"/>
        </w:rPr>
        <w:t xml:space="preserve">elated </w:t>
      </w:r>
      <w:r>
        <w:rPr>
          <w:rFonts w:ascii="Times New Roman" w:hAnsi="Times New Roman"/>
          <w:sz w:val="20"/>
          <w:szCs w:val="20"/>
        </w:rPr>
        <w:t>I</w:t>
      </w:r>
      <w:r>
        <w:rPr>
          <w:rFonts w:ascii="Times New Roman" w:hAnsi="Times New Roman"/>
          <w:sz w:val="20"/>
          <w:szCs w:val="20"/>
        </w:rPr>
        <w:t xml:space="preserve">mmunomodulation </w:t>
      </w:r>
      <w:r>
        <w:rPr>
          <w:rFonts w:ascii="Times New Roman" w:hAnsi="Times New Roman"/>
          <w:sz w:val="20"/>
          <w:szCs w:val="20"/>
        </w:rPr>
        <w:t xml:space="preserve"> signal bacterial sepsis (RR≈1.18); RBC:plasma &gt;1.5 modestly raised </w:t>
      </w:r>
      <w:r>
        <w:rPr>
          <w:rFonts w:ascii="Times New Roman" w:hAnsi="Times New Roman"/>
          <w:sz w:val="20"/>
          <w:szCs w:val="20"/>
        </w:rPr>
        <w:t>Venous Thromboembolism(</w:t>
      </w:r>
      <w:r>
        <w:rPr>
          <w:rFonts w:ascii="Times New Roman" w:hAnsi="Times New Roman"/>
          <w:sz w:val="20"/>
          <w:szCs w:val="20"/>
        </w:rPr>
        <w:t>VTE</w:t>
      </w:r>
      <w:r>
        <w:rPr>
          <w:rFonts w:ascii="Times New Roman" w:hAnsi="Times New Roman"/>
          <w:sz w:val="20"/>
          <w:szCs w:val="20"/>
        </w:rPr>
        <w:t>)</w:t>
      </w:r>
      <w:r>
        <w:rPr>
          <w:rFonts w:ascii="Times New Roman" w:hAnsi="Times New Roman"/>
          <w:sz w:val="20"/>
          <w:szCs w:val="20"/>
        </w:rPr>
        <w:t>.</w:t>
      </w:r>
    </w:p>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Main Finding</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M</w:t>
      </w:r>
      <w:r>
        <w:rPr>
          <w:rFonts w:ascii="Times New Roman" w:hAnsi="Times New Roman"/>
          <w:sz w:val="20"/>
          <w:szCs w:val="20"/>
        </w:rPr>
        <w:t>anagement of blood transfusion (M</w:t>
      </w:r>
      <w:r>
        <w:rPr>
          <w:rFonts w:ascii="Times New Roman" w:hAnsi="Times New Roman"/>
          <w:sz w:val="20"/>
          <w:szCs w:val="20"/>
        </w:rPr>
        <w:t>BT</w:t>
      </w:r>
      <w:r>
        <w:rPr>
          <w:rFonts w:ascii="Times New Roman" w:hAnsi="Times New Roman"/>
          <w:sz w:val="20"/>
          <w:szCs w:val="20"/>
        </w:rPr>
        <w:t>)</w:t>
      </w:r>
      <w:r>
        <w:rPr>
          <w:rFonts w:ascii="Times New Roman" w:hAnsi="Times New Roman"/>
          <w:sz w:val="20"/>
          <w:szCs w:val="20"/>
        </w:rPr>
        <w:t xml:space="preserve"> are l</w:t>
      </w:r>
      <w:r>
        <w:rPr>
          <w:rFonts w:ascii="Times New Roman" w:hAnsi="Times New Roman"/>
          <w:sz w:val="20"/>
          <w:szCs w:val="20"/>
        </w:rPr>
        <w:t xml:space="preserve">ife-saving in acute settings but show diminishing hematological utility beyond </w:t>
      </w:r>
      <w:r>
        <w:rPr>
          <w:rFonts w:ascii="Cambria Math" w:hAnsi="Cambria Math" w:cs="Cambria Math"/>
          <w:sz w:val="20"/>
          <w:szCs w:val="20"/>
        </w:rPr>
        <w:t>∼</w:t>
      </w:r>
      <w:r>
        <w:rPr>
          <w:rFonts w:ascii="Times New Roman" w:hAnsi="Times New Roman"/>
          <w:sz w:val="20"/>
          <w:szCs w:val="20"/>
        </w:rPr>
        <w:t>10–12 episodes without P</w:t>
      </w:r>
      <w:r>
        <w:rPr>
          <w:rFonts w:ascii="Times New Roman" w:hAnsi="Times New Roman"/>
          <w:sz w:val="20"/>
          <w:szCs w:val="20"/>
        </w:rPr>
        <w:t xml:space="preserve">atient </w:t>
      </w:r>
      <w:r>
        <w:rPr>
          <w:rFonts w:ascii="Times New Roman" w:hAnsi="Times New Roman"/>
          <w:sz w:val="20"/>
          <w:szCs w:val="20"/>
        </w:rPr>
        <w:t>B</w:t>
      </w:r>
      <w:r>
        <w:rPr>
          <w:rFonts w:ascii="Times New Roman" w:hAnsi="Times New Roman"/>
          <w:sz w:val="20"/>
          <w:szCs w:val="20"/>
        </w:rPr>
        <w:t xml:space="preserve">lood </w:t>
      </w:r>
      <w:r>
        <w:rPr>
          <w:rFonts w:ascii="Times New Roman" w:hAnsi="Times New Roman"/>
          <w:sz w:val="20"/>
          <w:szCs w:val="20"/>
        </w:rPr>
        <w:t>M</w:t>
      </w:r>
      <w:r>
        <w:rPr>
          <w:rFonts w:ascii="Times New Roman" w:hAnsi="Times New Roman"/>
          <w:sz w:val="20"/>
          <w:szCs w:val="20"/>
        </w:rPr>
        <w:t xml:space="preserve">anagenent </w:t>
      </w:r>
      <w:r>
        <w:rPr>
          <w:rFonts w:ascii="Times New Roman" w:hAnsi="Times New Roman"/>
          <w:sz w:val="20"/>
          <w:szCs w:val="20"/>
        </w:rPr>
        <w:t>/chelation; alloimmunization and iron loading drive late morbidity more than incremental Hb gain.</w:t>
      </w:r>
    </w:p>
    <w:p w:rsidR="00B92EF2" w:rsidRDefault="006A7341">
      <w:pPr>
        <w:spacing w:after="0" w:line="240" w:lineRule="auto"/>
        <w:jc w:val="both"/>
        <w:rPr>
          <w:rFonts w:ascii="Times New Roman" w:hAnsi="Times New Roman"/>
          <w:b/>
          <w:sz w:val="20"/>
          <w:szCs w:val="20"/>
        </w:rPr>
      </w:pPr>
      <w:r>
        <w:rPr>
          <w:rFonts w:ascii="Times New Roman" w:hAnsi="Times New Roman"/>
          <w:b/>
          <w:sz w:val="20"/>
          <w:szCs w:val="20"/>
        </w:rPr>
        <w:t>Conclusion</w:t>
      </w:r>
    </w:p>
    <w:p w:rsidR="00B92EF2" w:rsidRDefault="006A7341">
      <w:pPr>
        <w:spacing w:after="0" w:line="240" w:lineRule="auto"/>
        <w:jc w:val="both"/>
        <w:rPr>
          <w:rFonts w:ascii="Times New Roman" w:hAnsi="Times New Roman"/>
          <w:sz w:val="20"/>
          <w:szCs w:val="20"/>
        </w:rPr>
      </w:pPr>
      <w:r>
        <w:rPr>
          <w:rFonts w:ascii="Times New Roman" w:hAnsi="Times New Roman"/>
          <w:sz w:val="20"/>
          <w:szCs w:val="20"/>
        </w:rPr>
        <w:t>Restrictive strateg</w:t>
      </w:r>
      <w:r>
        <w:rPr>
          <w:rFonts w:ascii="Times New Roman" w:hAnsi="Times New Roman"/>
          <w:sz w:val="20"/>
          <w:szCs w:val="20"/>
        </w:rPr>
        <w:t>ies, extended phenotyping, and early iron monitoring optimize utility. Routine liberal M</w:t>
      </w:r>
      <w:r>
        <w:rPr>
          <w:rFonts w:ascii="Times New Roman" w:hAnsi="Times New Roman"/>
          <w:sz w:val="20"/>
          <w:szCs w:val="20"/>
        </w:rPr>
        <w:t xml:space="preserve">anagement of blood transfusion </w:t>
      </w:r>
      <w:r>
        <w:rPr>
          <w:rFonts w:ascii="Times New Roman" w:hAnsi="Times New Roman"/>
          <w:sz w:val="20"/>
          <w:szCs w:val="20"/>
        </w:rPr>
        <w:t>in stable oncology patients is not supported;</w:t>
      </w:r>
      <w:r>
        <w:rPr>
          <w:rFonts w:ascii="Times New Roman" w:hAnsi="Times New Roman"/>
          <w:sz w:val="20"/>
          <w:szCs w:val="20"/>
        </w:rPr>
        <w:t xml:space="preserve"> Curative-intent subgroups often require personalized approaches because patients' responses</w:t>
      </w:r>
      <w:r>
        <w:rPr>
          <w:rFonts w:ascii="Times New Roman" w:hAnsi="Times New Roman"/>
          <w:sz w:val="20"/>
          <w:szCs w:val="20"/>
        </w:rPr>
        <w:t xml:space="preserve"> to treatment can vary widely.Tailored thresholds help identify the most effective treatment strategies for specific groups. Factors influencing these thresholds include: Biomarker profiles,Cancer stage and aggressiveness,Patient overall health and Genetic</w:t>
      </w:r>
      <w:r>
        <w:rPr>
          <w:rFonts w:ascii="Times New Roman" w:hAnsi="Times New Roman"/>
          <w:sz w:val="20"/>
          <w:szCs w:val="20"/>
        </w:rPr>
        <w:t xml:space="preserve"> factors</w:t>
      </w:r>
    </w:p>
    <w:p w:rsidR="00B92EF2" w:rsidRDefault="006A7341">
      <w:pPr>
        <w:spacing w:after="0" w:line="240" w:lineRule="auto"/>
        <w:jc w:val="both"/>
        <w:rPr>
          <w:rFonts w:ascii="Times New Roman" w:hAnsi="Times New Roman"/>
          <w:sz w:val="20"/>
          <w:szCs w:val="20"/>
        </w:rPr>
      </w:pPr>
      <w:r>
        <w:rPr>
          <w:rFonts w:ascii="Times New Roman" w:hAnsi="Times New Roman"/>
          <w:b/>
          <w:bCs/>
          <w:sz w:val="20"/>
          <w:szCs w:val="20"/>
        </w:rPr>
        <w:t>Keyword:</w:t>
      </w:r>
      <w:r>
        <w:rPr>
          <w:rFonts w:ascii="Times New Roman" w:hAnsi="Times New Roman"/>
          <w:sz w:val="20"/>
          <w:szCs w:val="20"/>
        </w:rPr>
        <w:t xml:space="preserve"> </w:t>
      </w:r>
      <w:r>
        <w:rPr>
          <w:rFonts w:ascii="Times New Roman" w:hAnsi="Times New Roman"/>
          <w:i/>
          <w:iCs/>
          <w:sz w:val="20"/>
          <w:szCs w:val="20"/>
        </w:rPr>
        <w:t>Oncology; multiple blood transfusion; alloimmunization; iron overload; TRIM; patient blood management.</w:t>
      </w:r>
    </w:p>
    <w:p w:rsidR="00B92EF2" w:rsidRDefault="00B92EF2">
      <w:pPr>
        <w:spacing w:after="0" w:line="240" w:lineRule="auto"/>
        <w:jc w:val="both"/>
        <w:rPr>
          <w:rFonts w:ascii="Times New Roman" w:hAnsi="Times New Roman"/>
          <w:sz w:val="20"/>
          <w:szCs w:val="20"/>
        </w:rPr>
      </w:pPr>
    </w:p>
    <w:p w:rsidR="00B92EF2" w:rsidRDefault="00B92EF2">
      <w:pPr>
        <w:spacing w:after="0" w:line="240" w:lineRule="auto"/>
        <w:jc w:val="both"/>
        <w:rPr>
          <w:rFonts w:ascii="Times New Roman" w:hAnsi="Times New Roman"/>
          <w:sz w:val="20"/>
          <w:szCs w:val="20"/>
        </w:rPr>
      </w:pPr>
    </w:p>
    <w:p w:rsidR="00B92EF2" w:rsidRDefault="006A7341">
      <w:pPr>
        <w:numPr>
          <w:ilvl w:val="0"/>
          <w:numId w:val="1"/>
        </w:numPr>
        <w:spacing w:after="0"/>
        <w:jc w:val="both"/>
        <w:rPr>
          <w:rFonts w:ascii="Times New Roman" w:hAnsi="Times New Roman"/>
          <w:b/>
          <w:sz w:val="24"/>
          <w:szCs w:val="20"/>
        </w:rPr>
      </w:pPr>
      <w:r>
        <w:rPr>
          <w:rFonts w:ascii="Times New Roman" w:hAnsi="Times New Roman"/>
          <w:b/>
          <w:sz w:val="24"/>
          <w:szCs w:val="20"/>
        </w:rPr>
        <w:t xml:space="preserve">INTRODUCTION: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Anemia in cancer is multifactorial—marrow infiltration, cytokine-mediated suppression, and myelosuppressive chemotherapy/radiotherapy frequently mandate multiple blood transfusions (MBT) as supportive care </w:t>
      </w:r>
      <w:bookmarkStart w:id="1" w:name="_Hlk224207600"/>
      <w:r>
        <w:rPr>
          <w:rFonts w:ascii="Times New Roman" w:hAnsi="Times New Roman"/>
          <w:sz w:val="20"/>
          <w:szCs w:val="20"/>
        </w:rPr>
        <w:t xml:space="preserve">(Badheeb et al., 2024). </w:t>
      </w:r>
      <w:bookmarkEnd w:id="1"/>
      <w:r>
        <w:rPr>
          <w:rFonts w:ascii="Times New Roman" w:hAnsi="Times New Roman"/>
          <w:sz w:val="20"/>
          <w:szCs w:val="20"/>
        </w:rPr>
        <w:t>While red-cell transfusion</w:t>
      </w:r>
      <w:r>
        <w:rPr>
          <w:rFonts w:ascii="Times New Roman" w:hAnsi="Times New Roman"/>
          <w:sz w:val="20"/>
          <w:szCs w:val="20"/>
        </w:rPr>
        <w:t xml:space="preserve"> rapidly restores oxygen carriage, cumulative exposure —often defined as ≥2–3 </w:t>
      </w:r>
      <w:r>
        <w:rPr>
          <w:rFonts w:ascii="Times New Roman" w:hAnsi="Times New Roman"/>
          <w:sz w:val="20"/>
          <w:szCs w:val="20"/>
        </w:rPr>
        <w:lastRenderedPageBreak/>
        <w:t>episodes or &gt;10 units over treatment— introduces predictable hematological trade-offs: alloimmunization to Rh/Kell and other antigens, transfusion iron overload, and transfusion-</w:t>
      </w:r>
      <w:r>
        <w:rPr>
          <w:rFonts w:ascii="Times New Roman" w:hAnsi="Times New Roman"/>
          <w:sz w:val="20"/>
          <w:szCs w:val="20"/>
        </w:rPr>
        <w:t xml:space="preserve">related immunomodulation (TRIM), each of which may worsen infection risk and endothelial activation in vulnerable hosts (Indriani ,2025, and Nebie </w:t>
      </w:r>
      <w:r>
        <w:rPr>
          <w:rFonts w:ascii="Times New Roman" w:hAnsi="Times New Roman"/>
          <w:i/>
          <w:sz w:val="20"/>
          <w:szCs w:val="20"/>
        </w:rPr>
        <w:t>et al.,</w:t>
      </w:r>
      <w:r>
        <w:rPr>
          <w:rFonts w:ascii="Times New Roman" w:hAnsi="Times New Roman"/>
          <w:sz w:val="20"/>
          <w:szCs w:val="20"/>
        </w:rPr>
        <w:t xml:space="preserve"> 2022). In leukaemia/myelodysplastic induction and peri-haematopoietic stem-cell transplant (HSCT), li</w:t>
      </w:r>
      <w:r>
        <w:rPr>
          <w:rFonts w:ascii="Times New Roman" w:hAnsi="Times New Roman"/>
          <w:sz w:val="20"/>
          <w:szCs w:val="20"/>
        </w:rPr>
        <w:t xml:space="preserve">beral haemoglobin (Hb) thresholds have historically predominated; yet emerging patient blood management (PBM) programmes favour restrictive triggers (Hb 70–80 g/L) in stable patients, citing non-inferior survival and fewer antibodies (Nguyen </w:t>
      </w:r>
      <w:r>
        <w:rPr>
          <w:rFonts w:ascii="Times New Roman" w:hAnsi="Times New Roman"/>
          <w:i/>
          <w:sz w:val="20"/>
          <w:szCs w:val="20"/>
        </w:rPr>
        <w:t>et al</w:t>
      </w:r>
      <w:r>
        <w:rPr>
          <w:rFonts w:ascii="Times New Roman" w:hAnsi="Times New Roman"/>
          <w:sz w:val="20"/>
          <w:szCs w:val="20"/>
        </w:rPr>
        <w:t xml:space="preserve">.,2025). </w:t>
      </w:r>
      <w:r>
        <w:rPr>
          <w:rFonts w:ascii="Times New Roman" w:hAnsi="Times New Roman"/>
          <w:sz w:val="20"/>
          <w:szCs w:val="20"/>
        </w:rPr>
        <w:t xml:space="preserve">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The paradox is clinical: transfusion-dependent patients derive clear short-term benefit — reduced cardiac strain, better tolerance of chemotherapy — but haematological complications accrue non-linearly. Ferritin trajectories &gt;1000 µg/L after 15–20 units </w:t>
      </w:r>
      <w:r>
        <w:rPr>
          <w:rFonts w:ascii="Times New Roman" w:hAnsi="Times New Roman"/>
          <w:sz w:val="20"/>
          <w:szCs w:val="20"/>
        </w:rPr>
        <w:t xml:space="preserve">correlate with hepatic iron deposition and, in haemopoietic stem cell transplantation (HSCT) cohorts, higher non-relapse mortality (Al-Farsi </w:t>
      </w:r>
      <w:r>
        <w:rPr>
          <w:rFonts w:ascii="Times New Roman" w:hAnsi="Times New Roman"/>
          <w:i/>
          <w:sz w:val="20"/>
          <w:szCs w:val="20"/>
        </w:rPr>
        <w:t>et al.,</w:t>
      </w:r>
      <w:r>
        <w:rPr>
          <w:rFonts w:ascii="Times New Roman" w:hAnsi="Times New Roman"/>
          <w:sz w:val="20"/>
          <w:szCs w:val="20"/>
        </w:rPr>
        <w:t xml:space="preserve"> 2025). Parallelly, TRIM — involving donor leukocytes, soluble human leukocyte antigens( HLA), and storage l</w:t>
      </w:r>
      <w:r>
        <w:rPr>
          <w:rFonts w:ascii="Times New Roman" w:hAnsi="Times New Roman"/>
          <w:sz w:val="20"/>
          <w:szCs w:val="20"/>
        </w:rPr>
        <w:t>esion mediators — has been implicated in higher bacterial sepsis rates in multiply transfused oncology cohorts (RR ≈ 1.15–1.25), though causality remains confounded by disease phase (Marote,2022). Institutional data also link higher red blood cell (RBC) :p</w:t>
      </w:r>
      <w:r>
        <w:rPr>
          <w:rFonts w:ascii="Times New Roman" w:hAnsi="Times New Roman"/>
          <w:sz w:val="20"/>
          <w:szCs w:val="20"/>
        </w:rPr>
        <w:t>lasma ratios to venous thromboembolism in lymphoproliferative disorders, suggesting that component strategy modifies risk beyond Hb alone (Franchini, 2025).Despite these signals, evidence is heterogenous: tumors type, treatment intent (curative vs palliati</w:t>
      </w:r>
      <w:r>
        <w:rPr>
          <w:rFonts w:ascii="Times New Roman" w:hAnsi="Times New Roman"/>
          <w:sz w:val="20"/>
          <w:szCs w:val="20"/>
        </w:rPr>
        <w:t>ve), and background alloimmunization prevalence vary widely, and many centers lack extended phenotyping or iron-monitoring protocols (WHO, 2023). Consequently, clinical utility —the balance of anemias correction against alloimmunization, iron toxicity, and</w:t>
      </w:r>
      <w:r>
        <w:rPr>
          <w:rFonts w:ascii="Times New Roman" w:hAnsi="Times New Roman"/>
          <w:sz w:val="20"/>
          <w:szCs w:val="20"/>
        </w:rPr>
        <w:t xml:space="preserve"> thrombo-inflammation— remains unsettled across settings. This critical review synthesizes evidence (2010–2025) on MBT utility and hematological implications among oncological patients, appraising thresholds, phenotypic matching, and chelation as effect mo</w:t>
      </w:r>
      <w:r>
        <w:rPr>
          <w:rFonts w:ascii="Times New Roman" w:hAnsi="Times New Roman"/>
          <w:sz w:val="20"/>
          <w:szCs w:val="20"/>
        </w:rPr>
        <w:t>difiers, to inform more individualized PBM algorithms.</w:t>
      </w:r>
    </w:p>
    <w:p w:rsidR="00B92EF2" w:rsidRDefault="006A7341">
      <w:pPr>
        <w:spacing w:after="0"/>
        <w:jc w:val="both"/>
        <w:rPr>
          <w:rFonts w:ascii="Times New Roman" w:hAnsi="Times New Roman"/>
          <w:b/>
          <w:sz w:val="20"/>
          <w:szCs w:val="20"/>
        </w:rPr>
      </w:pPr>
      <w:r>
        <w:rPr>
          <w:rFonts w:ascii="Times New Roman" w:hAnsi="Times New Roman"/>
          <w:b/>
          <w:sz w:val="20"/>
          <w:szCs w:val="20"/>
        </w:rPr>
        <w:t>The role of multiple blood transfusion (MBT) in oncology</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The role of multiple blood transfusion in oncology sits at the intersection of supportive-care necessity and iatrogenic risk. Anaemia in cancer </w:t>
      </w:r>
      <w:r>
        <w:rPr>
          <w:rFonts w:ascii="Times New Roman" w:hAnsi="Times New Roman"/>
          <w:sz w:val="20"/>
          <w:szCs w:val="20"/>
        </w:rPr>
        <w:t xml:space="preserve">results from bone-marrow suppression, inflammatory cytokines (e.g., IL-6, hepcidin), and myelosuppressive regimens; consequently, repeated red-cell transfusion remains routine in both curative and palliative pathways (Badheeb </w:t>
      </w:r>
      <w:r>
        <w:rPr>
          <w:rFonts w:ascii="Times New Roman" w:hAnsi="Times New Roman"/>
          <w:i/>
          <w:sz w:val="20"/>
          <w:szCs w:val="20"/>
        </w:rPr>
        <w:t>et al.,</w:t>
      </w:r>
      <w:r>
        <w:rPr>
          <w:rFonts w:ascii="Times New Roman" w:hAnsi="Times New Roman"/>
          <w:sz w:val="20"/>
          <w:szCs w:val="20"/>
        </w:rPr>
        <w:t>2024).</w:t>
      </w:r>
      <w:r>
        <w:rPr>
          <w:rFonts w:ascii="Times New Roman" w:hAnsi="Times New Roman"/>
          <w:sz w:val="20"/>
          <w:szCs w:val="20"/>
        </w:rPr>
        <w:t>Early 2020s studi</w:t>
      </w:r>
      <w:r>
        <w:rPr>
          <w:rFonts w:ascii="Times New Roman" w:hAnsi="Times New Roman"/>
          <w:sz w:val="20"/>
          <w:szCs w:val="20"/>
        </w:rPr>
        <w:t>es have indeed reaffirmed the short-term physiologic benefits of blood transfusion, including improved oxygen delivery, reduced cardiac workload, and better tolerance of intensive chemotherapy (Nguyen et al., 2025). According to recent research, these bene</w:t>
      </w:r>
      <w:r>
        <w:rPr>
          <w:rFonts w:ascii="Times New Roman" w:hAnsi="Times New Roman"/>
          <w:sz w:val="20"/>
          <w:szCs w:val="20"/>
        </w:rPr>
        <w:t>fits are particularly significant in specific, vulnerable patient populations, such as those with acute coronary syndrome or undergoing intensive chemotherapy.</w:t>
      </w:r>
    </w:p>
    <w:p w:rsidR="00B92EF2" w:rsidRDefault="006A7341">
      <w:pPr>
        <w:spacing w:after="0"/>
        <w:jc w:val="both"/>
        <w:rPr>
          <w:rFonts w:ascii="Times New Roman" w:hAnsi="Times New Roman"/>
          <w:sz w:val="20"/>
          <w:szCs w:val="20"/>
        </w:rPr>
      </w:pPr>
      <w:r>
        <w:rPr>
          <w:rFonts w:ascii="Times New Roman" w:hAnsi="Times New Roman"/>
          <w:sz w:val="20"/>
          <w:szCs w:val="20"/>
        </w:rPr>
        <w:t>For instance, studies have shown that liberal transfusion strategies can benefit patients with t</w:t>
      </w:r>
      <w:r>
        <w:rPr>
          <w:rFonts w:ascii="Times New Roman" w:hAnsi="Times New Roman"/>
          <w:sz w:val="20"/>
          <w:szCs w:val="20"/>
        </w:rPr>
        <w:t>ype 1 myocardial infarction, heart failure, or those not undergoing revascularization ( Nasir ,2024, Foglietta et al.,2022). In these cas</w:t>
      </w:r>
      <w:r>
        <w:rPr>
          <w:rFonts w:ascii="Times New Roman" w:hAnsi="Times New Roman"/>
          <w:sz w:val="20"/>
          <w:szCs w:val="20"/>
        </w:rPr>
        <w:t>s, maintaining higher hemoglobin levels (around 9-10 g/dL) can improve outcomes and reduce cardiac dea</w:t>
      </w:r>
      <w:r>
        <w:rPr>
          <w:rFonts w:ascii="Times New Roman" w:hAnsi="Times New Roman"/>
          <w:sz w:val="20"/>
          <w:szCs w:val="20"/>
        </w:rPr>
        <w:t>eths.</w:t>
      </w:r>
      <w:r>
        <w:rPr>
          <w:rFonts w:ascii="Times New Roman" w:hAnsi="Times New Roman"/>
          <w:sz w:val="20"/>
          <w:szCs w:val="20"/>
        </w:rPr>
        <w:t xml:space="preserve"> However, li</w:t>
      </w:r>
      <w:r>
        <w:rPr>
          <w:rFonts w:ascii="Times New Roman" w:hAnsi="Times New Roman"/>
          <w:sz w:val="20"/>
          <w:szCs w:val="20"/>
        </w:rPr>
        <w:t>terature published since 2020 has increasingly reframed MBT as a time-varying exposure whose haematological complications compound after 10–15 units, challenging blanket liberal policies</w:t>
      </w:r>
    </w:p>
    <w:p w:rsidR="00B92EF2" w:rsidRDefault="006A7341">
      <w:pPr>
        <w:spacing w:after="0"/>
        <w:jc w:val="both"/>
        <w:rPr>
          <w:rFonts w:ascii="Times New Roman" w:hAnsi="Times New Roman"/>
          <w:b/>
          <w:sz w:val="20"/>
          <w:szCs w:val="20"/>
        </w:rPr>
      </w:pPr>
      <w:r>
        <w:rPr>
          <w:rFonts w:ascii="Times New Roman" w:hAnsi="Times New Roman"/>
          <w:b/>
          <w:sz w:val="20"/>
          <w:szCs w:val="20"/>
        </w:rPr>
        <w:t xml:space="preserve">Transfusion Thresholds and Utility  </w:t>
      </w:r>
    </w:p>
    <w:p w:rsidR="00B92EF2" w:rsidRDefault="006A7341">
      <w:pPr>
        <w:spacing w:after="0"/>
        <w:jc w:val="both"/>
        <w:rPr>
          <w:rFonts w:ascii="Times New Roman" w:hAnsi="Times New Roman"/>
          <w:sz w:val="20"/>
          <w:szCs w:val="20"/>
        </w:rPr>
      </w:pPr>
      <w:r>
        <w:rPr>
          <w:rFonts w:ascii="Times New Roman" w:hAnsi="Times New Roman"/>
          <w:sz w:val="20"/>
          <w:szCs w:val="20"/>
        </w:rPr>
        <w:t>Two meta-analyses (Indriani ,202</w:t>
      </w:r>
      <w:r>
        <w:rPr>
          <w:rFonts w:ascii="Times New Roman" w:hAnsi="Times New Roman"/>
          <w:sz w:val="20"/>
          <w:szCs w:val="20"/>
        </w:rPr>
        <w:t xml:space="preserve">5, and Nebie </w:t>
      </w:r>
      <w:r>
        <w:rPr>
          <w:rFonts w:ascii="Times New Roman" w:hAnsi="Times New Roman"/>
          <w:i/>
          <w:sz w:val="20"/>
          <w:szCs w:val="20"/>
        </w:rPr>
        <w:t>et al.,</w:t>
      </w:r>
      <w:r>
        <w:rPr>
          <w:rFonts w:ascii="Times New Roman" w:hAnsi="Times New Roman"/>
          <w:sz w:val="20"/>
          <w:szCs w:val="20"/>
        </w:rPr>
        <w:t xml:space="preserve">2022,and Nguyen </w:t>
      </w:r>
      <w:r>
        <w:rPr>
          <w:rFonts w:ascii="Times New Roman" w:hAnsi="Times New Roman"/>
          <w:i/>
          <w:sz w:val="20"/>
          <w:szCs w:val="20"/>
        </w:rPr>
        <w:t>et al</w:t>
      </w:r>
      <w:r>
        <w:rPr>
          <w:rFonts w:ascii="Times New Roman" w:hAnsi="Times New Roman"/>
          <w:sz w:val="20"/>
          <w:szCs w:val="20"/>
        </w:rPr>
        <w:t>.,2025) concluded that restrictive Hb thresholds (70–80 g/L) are non-inferior to liberal strategies (90–100 g/L) in stable solid-tumour patients for mortality and progression-free survival. Benefit of liberal transf</w:t>
      </w:r>
      <w:r>
        <w:rPr>
          <w:rFonts w:ascii="Times New Roman" w:hAnsi="Times New Roman"/>
          <w:sz w:val="20"/>
          <w:szCs w:val="20"/>
        </w:rPr>
        <w:t xml:space="preserve">usion persisted mainly in Acute Myeloid Leukemia /Myelodysplastic Syndrome   induction and peri-HSCT, where regenerative marrow is absent and bleeding risk is high (Al-Farsi </w:t>
      </w:r>
      <w:r>
        <w:rPr>
          <w:rFonts w:ascii="Times New Roman" w:hAnsi="Times New Roman"/>
          <w:i/>
          <w:sz w:val="20"/>
          <w:szCs w:val="20"/>
        </w:rPr>
        <w:t>et al.,</w:t>
      </w:r>
      <w:r>
        <w:rPr>
          <w:rFonts w:ascii="Times New Roman" w:hAnsi="Times New Roman"/>
          <w:sz w:val="20"/>
          <w:szCs w:val="20"/>
        </w:rPr>
        <w:t xml:space="preserve"> 2025). Across reports, utility curves flatten beyond 8–12 episodes unless </w:t>
      </w:r>
      <w:r>
        <w:rPr>
          <w:rFonts w:ascii="Times New Roman" w:hAnsi="Times New Roman"/>
          <w:sz w:val="20"/>
          <w:szCs w:val="20"/>
        </w:rPr>
        <w:t>paired with interventions (phenotyping, chelation, leukoreduction), suggesting a _diminishing-returns_ phenomenon.</w:t>
      </w:r>
    </w:p>
    <w:p w:rsidR="00B92EF2" w:rsidRDefault="006A7341">
      <w:pPr>
        <w:spacing w:after="0"/>
        <w:jc w:val="both"/>
        <w:rPr>
          <w:rFonts w:ascii="Times New Roman" w:hAnsi="Times New Roman"/>
          <w:b/>
          <w:sz w:val="20"/>
          <w:szCs w:val="20"/>
        </w:rPr>
      </w:pPr>
      <w:r>
        <w:rPr>
          <w:rFonts w:ascii="Times New Roman" w:hAnsi="Times New Roman"/>
          <w:b/>
          <w:sz w:val="20"/>
          <w:szCs w:val="20"/>
        </w:rPr>
        <w:t xml:space="preserve">Alloimmunisation and Phenotype Matching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Alloimmunisation is a dominant haematological sequela. Nebie </w:t>
      </w:r>
      <w:r>
        <w:rPr>
          <w:rFonts w:ascii="Times New Roman" w:hAnsi="Times New Roman"/>
          <w:i/>
          <w:sz w:val="20"/>
          <w:szCs w:val="20"/>
        </w:rPr>
        <w:t>et al.,</w:t>
      </w:r>
      <w:r>
        <w:rPr>
          <w:rFonts w:ascii="Times New Roman" w:hAnsi="Times New Roman"/>
          <w:sz w:val="20"/>
          <w:szCs w:val="20"/>
        </w:rPr>
        <w:t>2022). synthesizing 19 oncology</w:t>
      </w:r>
      <w:r>
        <w:rPr>
          <w:rFonts w:ascii="Times New Roman" w:hAnsi="Times New Roman"/>
          <w:sz w:val="20"/>
          <w:szCs w:val="20"/>
        </w:rPr>
        <w:t xml:space="preserve"> cohorts, reported cumulative alloimmunisation rates of 14–26% after ≥10 RBC units, disproportionately directed against Rh(C/c, E/e) and Kell antigens. (Marote,2022) showed that leukoreduced, Rh/Kell-matched units reduced new antibody formation by </w:t>
      </w:r>
      <w:r>
        <w:rPr>
          <w:rFonts w:ascii="Cambria Math" w:hAnsi="Cambria Math" w:cs="Cambria Math"/>
          <w:sz w:val="20"/>
          <w:szCs w:val="20"/>
        </w:rPr>
        <w:t>∼</w:t>
      </w:r>
      <w:r>
        <w:rPr>
          <w:rFonts w:ascii="Times New Roman" w:hAnsi="Times New Roman"/>
          <w:sz w:val="20"/>
          <w:szCs w:val="20"/>
        </w:rPr>
        <w:t xml:space="preserve">38% in </w:t>
      </w:r>
      <w:r>
        <w:rPr>
          <w:rFonts w:ascii="Times New Roman" w:hAnsi="Times New Roman"/>
          <w:sz w:val="20"/>
          <w:szCs w:val="20"/>
        </w:rPr>
        <w:t>multiply transfused patients, a finding echoed in Brazilian and Indian audits (2021–2024). These data underpin calls for extended phenotyping early in treatment algorithms rather than after the first mismatch.</w:t>
      </w:r>
    </w:p>
    <w:p w:rsidR="00B92EF2" w:rsidRDefault="006A7341">
      <w:pPr>
        <w:spacing w:after="0"/>
        <w:jc w:val="both"/>
        <w:rPr>
          <w:rFonts w:ascii="Times New Roman" w:hAnsi="Times New Roman"/>
          <w:b/>
          <w:sz w:val="20"/>
          <w:szCs w:val="20"/>
        </w:rPr>
      </w:pPr>
      <w:r>
        <w:rPr>
          <w:rFonts w:ascii="Times New Roman" w:hAnsi="Times New Roman"/>
          <w:b/>
          <w:sz w:val="20"/>
          <w:szCs w:val="20"/>
        </w:rPr>
        <w:lastRenderedPageBreak/>
        <w:t xml:space="preserve">Iron Overload and Toxicity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With each unit delivering </w:t>
      </w:r>
      <w:r>
        <w:rPr>
          <w:rFonts w:ascii="Cambria Math" w:hAnsi="Cambria Math" w:cs="Cambria Math"/>
          <w:sz w:val="20"/>
          <w:szCs w:val="20"/>
        </w:rPr>
        <w:t>∼</w:t>
      </w:r>
      <w:r>
        <w:rPr>
          <w:rFonts w:ascii="Times New Roman" w:hAnsi="Times New Roman"/>
          <w:sz w:val="20"/>
          <w:szCs w:val="20"/>
        </w:rPr>
        <w:t>200–250 mg elemental iron, transfusional iron overload (TIO) accrues absent menstruation or bleeding. (Indriani ,2025 and  Zhao et al. (2024) documented ferritin &gt;1000 µg/L in 28–31% of patients after 20 units; MRI T2_ evidence o</w:t>
      </w:r>
      <w:r>
        <w:rPr>
          <w:rFonts w:ascii="Times New Roman" w:hAnsi="Times New Roman"/>
          <w:sz w:val="20"/>
          <w:szCs w:val="20"/>
        </w:rPr>
        <w:t xml:space="preserve">f hepatic deposition correlated with higher non-relapse mortality post-HSCT (Al-Farsi </w:t>
      </w:r>
      <w:r>
        <w:rPr>
          <w:rFonts w:ascii="Times New Roman" w:hAnsi="Times New Roman"/>
          <w:i/>
          <w:sz w:val="20"/>
          <w:szCs w:val="20"/>
        </w:rPr>
        <w:t xml:space="preserve">et al., </w:t>
      </w:r>
      <w:r>
        <w:rPr>
          <w:rFonts w:ascii="Times New Roman" w:hAnsi="Times New Roman"/>
          <w:sz w:val="20"/>
          <w:szCs w:val="20"/>
        </w:rPr>
        <w:t>2025). Importantly, TIO interacts with infection risk: excess labile iron promotes bacterial growth and macrophage dysfunction, partly explaining observed ↑ sepsi</w:t>
      </w:r>
      <w:r>
        <w:rPr>
          <w:rFonts w:ascii="Times New Roman" w:hAnsi="Times New Roman"/>
          <w:sz w:val="20"/>
          <w:szCs w:val="20"/>
        </w:rPr>
        <w:t>s rates (RR ≈ 1.15–1.20) in heavily transfused cohorts ((Marote,2022). Yet iron monitoring remains sporadic outside HSCT programs, a gap WHO (2023) urges centres to close via PBM bundles.</w:t>
      </w:r>
    </w:p>
    <w:p w:rsidR="00B92EF2" w:rsidRDefault="006A7341">
      <w:pPr>
        <w:spacing w:after="0"/>
        <w:jc w:val="both"/>
        <w:rPr>
          <w:rFonts w:ascii="Times New Roman" w:hAnsi="Times New Roman"/>
          <w:b/>
          <w:sz w:val="20"/>
          <w:szCs w:val="20"/>
        </w:rPr>
      </w:pPr>
      <w:r>
        <w:rPr>
          <w:rFonts w:ascii="Times New Roman" w:hAnsi="Times New Roman"/>
          <w:b/>
          <w:sz w:val="20"/>
          <w:szCs w:val="20"/>
        </w:rPr>
        <w:t>T</w:t>
      </w:r>
      <w:r>
        <w:rPr>
          <w:rFonts w:ascii="Times New Roman" w:hAnsi="Times New Roman"/>
          <w:b/>
          <w:sz w:val="20"/>
          <w:szCs w:val="20"/>
        </w:rPr>
        <w:t xml:space="preserve">ransfusion Related immuno modulation </w:t>
      </w:r>
      <w:r>
        <w:rPr>
          <w:rFonts w:ascii="Times New Roman" w:hAnsi="Times New Roman"/>
          <w:b/>
          <w:sz w:val="20"/>
          <w:szCs w:val="20"/>
        </w:rPr>
        <w:t xml:space="preserve"> and Thrombo-Inflammation  </w:t>
      </w:r>
    </w:p>
    <w:p w:rsidR="00B92EF2" w:rsidRDefault="006A7341">
      <w:pPr>
        <w:spacing w:after="0"/>
        <w:jc w:val="both"/>
        <w:rPr>
          <w:rFonts w:ascii="Times New Roman" w:hAnsi="Times New Roman"/>
          <w:sz w:val="20"/>
          <w:szCs w:val="20"/>
        </w:rPr>
      </w:pPr>
      <w:r>
        <w:rPr>
          <w:rFonts w:ascii="Times New Roman" w:hAnsi="Times New Roman"/>
          <w:sz w:val="20"/>
          <w:szCs w:val="20"/>
        </w:rPr>
        <w:t>Tr</w:t>
      </w:r>
      <w:r>
        <w:rPr>
          <w:rFonts w:ascii="Times New Roman" w:hAnsi="Times New Roman"/>
          <w:sz w:val="20"/>
          <w:szCs w:val="20"/>
        </w:rPr>
        <w:t xml:space="preserve">ansfusion-related immunomodulation (TRIM)— mediated by donor leukocytes, HLA peptides, and storage lesion lipids — is repeatedly associated with higher bacterial infection and possibly tumour progression, though causality is debated (Zhao </w:t>
      </w:r>
      <w:r>
        <w:rPr>
          <w:rFonts w:ascii="Times New Roman" w:hAnsi="Times New Roman"/>
          <w:i/>
          <w:sz w:val="20"/>
          <w:szCs w:val="20"/>
        </w:rPr>
        <w:t>et al.,</w:t>
      </w:r>
      <w:r>
        <w:rPr>
          <w:rFonts w:ascii="Times New Roman" w:hAnsi="Times New Roman"/>
          <w:sz w:val="20"/>
          <w:szCs w:val="20"/>
        </w:rPr>
        <w:t xml:space="preserve"> 2024). Li</w:t>
      </w:r>
      <w:r>
        <w:rPr>
          <w:rFonts w:ascii="Times New Roman" w:hAnsi="Times New Roman"/>
          <w:sz w:val="20"/>
          <w:szCs w:val="20"/>
        </w:rPr>
        <w:t>kewise, component ratios matter: (Franchini, 2025). linked RBC:plasma &gt;1.5 to increased VTE risk in lymphoproliferative disorders, independent of Hb rise. In practice, this means MBT’s “utility” depends not only on _how much_, but _what mix_ is given and _</w:t>
      </w:r>
      <w:r>
        <w:rPr>
          <w:rFonts w:ascii="Times New Roman" w:hAnsi="Times New Roman"/>
          <w:sz w:val="20"/>
          <w:szCs w:val="20"/>
        </w:rPr>
        <w:t>when_.</w:t>
      </w:r>
    </w:p>
    <w:p w:rsidR="00B92EF2" w:rsidRDefault="006A7341">
      <w:pPr>
        <w:spacing w:after="0"/>
        <w:jc w:val="both"/>
        <w:rPr>
          <w:rFonts w:ascii="Times New Roman" w:hAnsi="Times New Roman"/>
          <w:b/>
          <w:sz w:val="20"/>
          <w:szCs w:val="20"/>
        </w:rPr>
      </w:pPr>
      <w:r>
        <w:rPr>
          <w:rFonts w:ascii="Times New Roman" w:hAnsi="Times New Roman"/>
          <w:b/>
          <w:sz w:val="20"/>
          <w:szCs w:val="20"/>
        </w:rPr>
        <w:t xml:space="preserve">Practice Heterogeneity &amp; LMIC Context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Audit data from Africa, South Asia, and Latin America show wide variability in thresholds and matching . ( Marote,2022). Barriers include cost, antigen-typing availability, and fragmented transfusion records. </w:t>
      </w:r>
      <w:r>
        <w:rPr>
          <w:rFonts w:ascii="Times New Roman" w:hAnsi="Times New Roman"/>
          <w:sz w:val="20"/>
          <w:szCs w:val="20"/>
        </w:rPr>
        <w:t>The WHO (2023) P</w:t>
      </w:r>
      <w:r>
        <w:rPr>
          <w:rFonts w:ascii="Times New Roman" w:hAnsi="Times New Roman"/>
          <w:sz w:val="20"/>
          <w:szCs w:val="20"/>
        </w:rPr>
        <w:t xml:space="preserve">atient blood </w:t>
      </w:r>
      <w:r>
        <w:rPr>
          <w:rFonts w:ascii="Times New Roman" w:hAnsi="Times New Roman"/>
          <w:sz w:val="20"/>
          <w:szCs w:val="20"/>
        </w:rPr>
        <w:t>M</w:t>
      </w:r>
      <w:r>
        <w:rPr>
          <w:rFonts w:ascii="Times New Roman" w:hAnsi="Times New Roman"/>
          <w:sz w:val="20"/>
          <w:szCs w:val="20"/>
        </w:rPr>
        <w:t xml:space="preserve">anagement </w:t>
      </w:r>
      <w:r>
        <w:rPr>
          <w:rFonts w:ascii="Times New Roman" w:hAnsi="Times New Roman"/>
          <w:sz w:val="20"/>
          <w:szCs w:val="20"/>
        </w:rPr>
        <w:t>framework recommends restrictive triggers, single-unit policies, and bedside re-assessment, yet uptake is limited without electronic decisional support. Synthesis: Recent literature converges on a nuanced stance — MB</w:t>
      </w:r>
      <w:r>
        <w:rPr>
          <w:rFonts w:ascii="Times New Roman" w:hAnsi="Times New Roman"/>
          <w:sz w:val="20"/>
          <w:szCs w:val="20"/>
        </w:rPr>
        <w:t>T is essential in acute anaemia but should be individualized by tumour intent, episode count, and mitigation (leukoreduction, Rh/Kell matching, iron surveillance). Blanket liberal transfusion outside induction/HSCT is increasingly unsupported, while target</w:t>
      </w:r>
      <w:r>
        <w:rPr>
          <w:rFonts w:ascii="Times New Roman" w:hAnsi="Times New Roman"/>
          <w:sz w:val="20"/>
          <w:szCs w:val="20"/>
        </w:rPr>
        <w:t>ed programs show lower alloimmunisation and organ-iron toxicity.</w:t>
      </w:r>
    </w:p>
    <w:p w:rsidR="00B92EF2" w:rsidRDefault="00B92EF2">
      <w:pPr>
        <w:spacing w:after="0"/>
        <w:jc w:val="both"/>
        <w:rPr>
          <w:rFonts w:ascii="Times New Roman" w:hAnsi="Times New Roman"/>
          <w:sz w:val="20"/>
          <w:szCs w:val="20"/>
        </w:rPr>
      </w:pPr>
    </w:p>
    <w:p w:rsidR="00B92EF2" w:rsidRDefault="006A7341">
      <w:pPr>
        <w:numPr>
          <w:ilvl w:val="0"/>
          <w:numId w:val="1"/>
        </w:numPr>
        <w:spacing w:after="0"/>
        <w:jc w:val="both"/>
        <w:rPr>
          <w:rFonts w:ascii="Times New Roman" w:hAnsi="Times New Roman"/>
          <w:b/>
          <w:sz w:val="24"/>
          <w:szCs w:val="20"/>
        </w:rPr>
      </w:pPr>
      <w:r>
        <w:rPr>
          <w:rFonts w:ascii="Times New Roman" w:hAnsi="Times New Roman"/>
          <w:b/>
          <w:sz w:val="24"/>
          <w:szCs w:val="20"/>
        </w:rPr>
        <w:t>METHODOLOGY PROTOCOL (PRISMA 2020)</w:t>
      </w:r>
    </w:p>
    <w:p w:rsidR="00B92EF2" w:rsidRDefault="006A7341">
      <w:pPr>
        <w:spacing w:after="0"/>
        <w:jc w:val="both"/>
        <w:rPr>
          <w:rFonts w:ascii="Times New Roman" w:hAnsi="Times New Roman"/>
          <w:b/>
          <w:sz w:val="20"/>
          <w:szCs w:val="20"/>
        </w:rPr>
      </w:pPr>
      <w:r>
        <w:rPr>
          <w:rFonts w:ascii="Times New Roman" w:hAnsi="Times New Roman"/>
          <w:b/>
          <w:sz w:val="20"/>
          <w:szCs w:val="20"/>
        </w:rPr>
        <w:t>Design</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This </w:t>
      </w:r>
      <w:r>
        <w:rPr>
          <w:rFonts w:ascii="Times New Roman" w:hAnsi="Times New Roman"/>
          <w:sz w:val="20"/>
          <w:szCs w:val="20"/>
        </w:rPr>
        <w:t xml:space="preserve">Systematic review </w:t>
      </w:r>
      <w:r>
        <w:rPr>
          <w:rFonts w:ascii="Times New Roman" w:hAnsi="Times New Roman"/>
          <w:sz w:val="20"/>
          <w:szCs w:val="20"/>
        </w:rPr>
        <w:t>employed the 9</w:t>
      </w:r>
      <w:r>
        <w:rPr>
          <w:rFonts w:ascii="Times New Roman" w:hAnsi="Times New Roman"/>
          <w:sz w:val="20"/>
          <w:szCs w:val="20"/>
        </w:rPr>
        <w:t>following PRISMA 2020 and was registered in PROSPERO ID. Framework: Population</w:t>
      </w:r>
      <w:r>
        <w:rPr>
          <w:rFonts w:ascii="Times New Roman" w:hAnsi="Times New Roman"/>
          <w:sz w:val="20"/>
          <w:szCs w:val="20"/>
        </w:rPr>
        <w:t xml:space="preserve"> was made up of </w:t>
      </w:r>
      <w:r>
        <w:rPr>
          <w:rFonts w:ascii="Times New Roman" w:hAnsi="Times New Roman"/>
          <w:sz w:val="20"/>
          <w:szCs w:val="20"/>
        </w:rPr>
        <w:t xml:space="preserve"> oncological pati</w:t>
      </w:r>
      <w:r>
        <w:rPr>
          <w:rFonts w:ascii="Times New Roman" w:hAnsi="Times New Roman"/>
          <w:sz w:val="20"/>
          <w:szCs w:val="20"/>
        </w:rPr>
        <w:t>ents (solid/hematological</w:t>
      </w:r>
      <w:r>
        <w:rPr>
          <w:rFonts w:ascii="Times New Roman" w:hAnsi="Times New Roman"/>
          <w:sz w:val="20"/>
          <w:szCs w:val="20"/>
        </w:rPr>
        <w:t xml:space="preserve"> tumour cases </w:t>
      </w:r>
      <w:r>
        <w:rPr>
          <w:rFonts w:ascii="Times New Roman" w:hAnsi="Times New Roman"/>
          <w:sz w:val="20"/>
          <w:szCs w:val="20"/>
        </w:rPr>
        <w:t xml:space="preserve">) </w:t>
      </w:r>
      <w:r>
        <w:rPr>
          <w:rFonts w:ascii="Times New Roman" w:hAnsi="Times New Roman"/>
          <w:sz w:val="20"/>
          <w:szCs w:val="20"/>
        </w:rPr>
        <w:t xml:space="preserve">who had </w:t>
      </w:r>
      <w:r>
        <w:rPr>
          <w:rFonts w:ascii="Times New Roman" w:hAnsi="Times New Roman"/>
          <w:sz w:val="20"/>
          <w:szCs w:val="20"/>
        </w:rPr>
        <w:t>receiv</w:t>
      </w:r>
      <w:r>
        <w:rPr>
          <w:rFonts w:ascii="Times New Roman" w:hAnsi="Times New Roman"/>
          <w:sz w:val="20"/>
          <w:szCs w:val="20"/>
        </w:rPr>
        <w:t xml:space="preserve">ed </w:t>
      </w:r>
      <w:r>
        <w:rPr>
          <w:rFonts w:ascii="Times New Roman" w:hAnsi="Times New Roman"/>
          <w:sz w:val="20"/>
          <w:szCs w:val="20"/>
        </w:rPr>
        <w:t>multiple transfusions (≥2 episodes)</w:t>
      </w:r>
      <w:r>
        <w:rPr>
          <w:rFonts w:ascii="Times New Roman" w:hAnsi="Times New Roman"/>
          <w:sz w:val="20"/>
          <w:szCs w:val="20"/>
        </w:rPr>
        <w:t>.The c</w:t>
      </w:r>
      <w:r>
        <w:rPr>
          <w:rFonts w:ascii="Times New Roman" w:hAnsi="Times New Roman"/>
          <w:sz w:val="20"/>
          <w:szCs w:val="20"/>
        </w:rPr>
        <w:t>oncept</w:t>
      </w:r>
      <w:r>
        <w:rPr>
          <w:rFonts w:ascii="Times New Roman" w:hAnsi="Times New Roman"/>
          <w:sz w:val="20"/>
          <w:szCs w:val="20"/>
        </w:rPr>
        <w:t xml:space="preserve"> involved was</w:t>
      </w:r>
      <w:r>
        <w:rPr>
          <w:rFonts w:ascii="Times New Roman" w:hAnsi="Times New Roman"/>
          <w:sz w:val="20"/>
          <w:szCs w:val="20"/>
        </w:rPr>
        <w:t xml:space="preserve"> clinical utility &amp; hematological outcomes</w:t>
      </w:r>
      <w:r>
        <w:rPr>
          <w:rFonts w:ascii="Times New Roman" w:hAnsi="Times New Roman"/>
          <w:sz w:val="20"/>
          <w:szCs w:val="20"/>
        </w:rPr>
        <w:t xml:space="preserve"> and the c</w:t>
      </w:r>
      <w:r>
        <w:rPr>
          <w:rFonts w:ascii="Times New Roman" w:hAnsi="Times New Roman"/>
          <w:sz w:val="20"/>
          <w:szCs w:val="20"/>
        </w:rPr>
        <w:t xml:space="preserve">ontext </w:t>
      </w:r>
      <w:r>
        <w:rPr>
          <w:rFonts w:ascii="Times New Roman" w:hAnsi="Times New Roman"/>
          <w:sz w:val="20"/>
          <w:szCs w:val="20"/>
        </w:rPr>
        <w:t xml:space="preserve"> was</w:t>
      </w:r>
      <w:r>
        <w:rPr>
          <w:rFonts w:ascii="Times New Roman" w:hAnsi="Times New Roman"/>
          <w:sz w:val="20"/>
          <w:szCs w:val="20"/>
        </w:rPr>
        <w:t xml:space="preserve"> supportive care/induction/HSCT </w:t>
      </w:r>
      <w:r>
        <w:rPr>
          <w:rFonts w:ascii="Times New Roman" w:hAnsi="Times New Roman"/>
          <w:sz w:val="20"/>
          <w:szCs w:val="20"/>
        </w:rPr>
        <w:t xml:space="preserve">with period between </w:t>
      </w:r>
      <w:r>
        <w:rPr>
          <w:rFonts w:ascii="Times New Roman" w:hAnsi="Times New Roman"/>
          <w:sz w:val="20"/>
          <w:szCs w:val="20"/>
        </w:rPr>
        <w:t>(20</w:t>
      </w:r>
      <w:r>
        <w:rPr>
          <w:rFonts w:ascii="Times New Roman" w:hAnsi="Times New Roman"/>
          <w:sz w:val="20"/>
          <w:szCs w:val="20"/>
        </w:rPr>
        <w:t xml:space="preserve">20 and </w:t>
      </w:r>
      <w:r>
        <w:rPr>
          <w:rFonts w:ascii="Times New Roman" w:hAnsi="Times New Roman"/>
          <w:sz w:val="20"/>
          <w:szCs w:val="20"/>
        </w:rPr>
        <w:t>202</w:t>
      </w:r>
      <w:r>
        <w:rPr>
          <w:rFonts w:ascii="Times New Roman" w:hAnsi="Times New Roman"/>
          <w:sz w:val="20"/>
          <w:szCs w:val="20"/>
        </w:rPr>
        <w:t>5</w:t>
      </w:r>
      <w:r>
        <w:rPr>
          <w:rFonts w:ascii="Times New Roman" w:hAnsi="Times New Roman"/>
          <w:sz w:val="20"/>
          <w:szCs w:val="20"/>
        </w:rPr>
        <w:t>).</w:t>
      </w:r>
    </w:p>
    <w:p w:rsidR="00B92EF2" w:rsidRDefault="006A7341">
      <w:pPr>
        <w:spacing w:after="0"/>
        <w:jc w:val="both"/>
        <w:rPr>
          <w:rFonts w:ascii="Times New Roman" w:hAnsi="Times New Roman"/>
          <w:b/>
          <w:sz w:val="20"/>
          <w:szCs w:val="20"/>
        </w:rPr>
      </w:pPr>
      <w:r>
        <w:rPr>
          <w:rFonts w:ascii="Times New Roman" w:hAnsi="Times New Roman"/>
          <w:b/>
          <w:sz w:val="20"/>
          <w:szCs w:val="20"/>
        </w:rPr>
        <w:t xml:space="preserve">Information Sources </w:t>
      </w:r>
      <w:r>
        <w:rPr>
          <w:rFonts w:ascii="Times New Roman" w:hAnsi="Times New Roman"/>
          <w:b/>
          <w:sz w:val="20"/>
          <w:szCs w:val="20"/>
        </w:rPr>
        <w:t>used  ten search engines /databases.</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These  were gotten from </w:t>
      </w:r>
      <w:r>
        <w:rPr>
          <w:rFonts w:ascii="Times New Roman" w:hAnsi="Times New Roman"/>
          <w:sz w:val="20"/>
          <w:szCs w:val="20"/>
        </w:rPr>
        <w:t xml:space="preserve">PubMed/MEDLINE, Embase, Cochrane Library, Scopus, Web of Science, African Index Medicus, IMEMR, LILACS, WHO Global Index Medicus, </w:t>
      </w:r>
      <w:r>
        <w:rPr>
          <w:rFonts w:ascii="Times New Roman" w:hAnsi="Times New Roman"/>
          <w:sz w:val="20"/>
          <w:szCs w:val="20"/>
        </w:rPr>
        <w:t xml:space="preserve">and </w:t>
      </w:r>
      <w:r>
        <w:rPr>
          <w:rFonts w:ascii="Times New Roman" w:hAnsi="Times New Roman"/>
          <w:sz w:val="20"/>
          <w:szCs w:val="20"/>
        </w:rPr>
        <w:t>Google Scholar</w:t>
      </w:r>
    </w:p>
    <w:p w:rsidR="00B92EF2" w:rsidRDefault="006A7341">
      <w:pPr>
        <w:spacing w:after="0"/>
        <w:jc w:val="both"/>
        <w:rPr>
          <w:rFonts w:ascii="Times New Roman" w:hAnsi="Times New Roman"/>
          <w:sz w:val="20"/>
          <w:szCs w:val="20"/>
        </w:rPr>
      </w:pPr>
      <w:r>
        <w:rPr>
          <w:rFonts w:ascii="Times New Roman" w:hAnsi="Times New Roman"/>
          <w:b/>
          <w:sz w:val="20"/>
          <w:szCs w:val="20"/>
        </w:rPr>
        <w:t xml:space="preserve">Search </w:t>
      </w:r>
      <w:r>
        <w:rPr>
          <w:rFonts w:ascii="Times New Roman" w:hAnsi="Times New Roman"/>
          <w:b/>
          <w:sz w:val="20"/>
          <w:szCs w:val="20"/>
        </w:rPr>
        <w:t xml:space="preserve">terms included the </w:t>
      </w:r>
      <w:r>
        <w:rPr>
          <w:rFonts w:ascii="Times New Roman" w:hAnsi="Times New Roman"/>
          <w:b/>
          <w:sz w:val="20"/>
          <w:szCs w:val="20"/>
        </w:rPr>
        <w:t>following:-</w:t>
      </w:r>
      <w:r>
        <w:rPr>
          <w:rFonts w:ascii="Times New Roman" w:hAnsi="Times New Roman"/>
          <w:sz w:val="20"/>
          <w:szCs w:val="20"/>
        </w:rPr>
        <w:t xml:space="preserve">"multiple blood transfusion" OR "repeated transfusion") and  (oncology OR leukaemiOR lymphoma) and  (alloimmun OR "iron overload" OR ferritin OR TRIM OR thrombosis OR "hemoglobin trigger")`  </w:t>
      </w:r>
    </w:p>
    <w:p w:rsidR="00B92EF2" w:rsidRDefault="006A7341">
      <w:pPr>
        <w:spacing w:after="0"/>
        <w:jc w:val="both"/>
        <w:rPr>
          <w:rFonts w:ascii="Times New Roman" w:hAnsi="Times New Roman"/>
          <w:sz w:val="20"/>
          <w:szCs w:val="20"/>
        </w:rPr>
      </w:pPr>
      <w:r>
        <w:rPr>
          <w:rFonts w:ascii="Times New Roman" w:hAnsi="Times New Roman"/>
          <w:sz w:val="20"/>
          <w:szCs w:val="20"/>
        </w:rPr>
        <w:t>Adapt syntax per engine; no language restriction at s</w:t>
      </w:r>
      <w:r>
        <w:rPr>
          <w:rFonts w:ascii="Times New Roman" w:hAnsi="Times New Roman"/>
          <w:sz w:val="20"/>
          <w:szCs w:val="20"/>
        </w:rPr>
        <w:t>earch (screen English/French)</w:t>
      </w:r>
    </w:p>
    <w:p w:rsidR="00B92EF2" w:rsidRDefault="006A7341">
      <w:pPr>
        <w:spacing w:after="0"/>
        <w:jc w:val="both"/>
        <w:rPr>
          <w:rFonts w:ascii="Times New Roman" w:hAnsi="Times New Roman"/>
          <w:b/>
          <w:sz w:val="20"/>
          <w:szCs w:val="20"/>
        </w:rPr>
      </w:pPr>
      <w:r>
        <w:rPr>
          <w:rFonts w:ascii="Times New Roman" w:hAnsi="Times New Roman"/>
          <w:b/>
          <w:sz w:val="20"/>
          <w:szCs w:val="20"/>
        </w:rPr>
        <w:t>Inclusion</w:t>
      </w:r>
      <w:r>
        <w:rPr>
          <w:rFonts w:ascii="Times New Roman" w:hAnsi="Times New Roman"/>
          <w:b/>
          <w:sz w:val="20"/>
          <w:szCs w:val="20"/>
        </w:rPr>
        <w:t xml:space="preserve"> criteria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Adults with cancer receiving ≥2 transfusion episodes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Reports Hb thresholds, alloantibodies, ferritin/MRI, VTE, OS/PFS, or TRIM  </w:t>
      </w:r>
    </w:p>
    <w:p w:rsidR="00B92EF2" w:rsidRDefault="006A7341">
      <w:pPr>
        <w:spacing w:after="0"/>
        <w:jc w:val="both"/>
        <w:rPr>
          <w:rFonts w:ascii="Times New Roman" w:hAnsi="Times New Roman"/>
          <w:sz w:val="20"/>
          <w:szCs w:val="20"/>
        </w:rPr>
      </w:pPr>
      <w:r>
        <w:rPr>
          <w:rFonts w:ascii="Times New Roman" w:hAnsi="Times New Roman"/>
          <w:sz w:val="20"/>
          <w:szCs w:val="20"/>
        </w:rPr>
        <w:t>- 2010–2026, any region</w:t>
      </w:r>
    </w:p>
    <w:p w:rsidR="00B92EF2" w:rsidRDefault="006A7341">
      <w:pPr>
        <w:spacing w:after="0"/>
        <w:jc w:val="both"/>
        <w:rPr>
          <w:rFonts w:ascii="Times New Roman" w:hAnsi="Times New Roman"/>
          <w:b/>
          <w:sz w:val="20"/>
          <w:szCs w:val="20"/>
        </w:rPr>
      </w:pPr>
      <w:r>
        <w:rPr>
          <w:rFonts w:ascii="Times New Roman" w:hAnsi="Times New Roman"/>
          <w:b/>
          <w:sz w:val="20"/>
          <w:szCs w:val="20"/>
        </w:rPr>
        <w:t>Exclusion</w:t>
      </w:r>
      <w:r>
        <w:rPr>
          <w:rFonts w:ascii="Times New Roman" w:hAnsi="Times New Roman"/>
          <w:b/>
          <w:sz w:val="20"/>
          <w:szCs w:val="20"/>
        </w:rPr>
        <w:t xml:space="preserve"> criteria </w:t>
      </w:r>
    </w:p>
    <w:p w:rsidR="00B92EF2" w:rsidRDefault="006A7341">
      <w:pPr>
        <w:spacing w:after="0"/>
        <w:jc w:val="both"/>
        <w:rPr>
          <w:rFonts w:ascii="Times New Roman" w:hAnsi="Times New Roman"/>
          <w:sz w:val="20"/>
          <w:szCs w:val="20"/>
        </w:rPr>
      </w:pPr>
      <w:r>
        <w:rPr>
          <w:rFonts w:ascii="Times New Roman" w:hAnsi="Times New Roman"/>
          <w:sz w:val="20"/>
          <w:szCs w:val="20"/>
        </w:rPr>
        <w:t>Single transfusion, non-oncology, no hematological outcomes, case reports, conference abstracts without data.</w:t>
      </w:r>
    </w:p>
    <w:p w:rsidR="00B92EF2" w:rsidRDefault="006A7341">
      <w:pPr>
        <w:spacing w:after="0"/>
        <w:jc w:val="both"/>
        <w:rPr>
          <w:rFonts w:ascii="Times New Roman" w:hAnsi="Times New Roman"/>
          <w:b/>
          <w:sz w:val="20"/>
          <w:szCs w:val="20"/>
        </w:rPr>
      </w:pPr>
      <w:r>
        <w:rPr>
          <w:rFonts w:ascii="Times New Roman" w:hAnsi="Times New Roman"/>
          <w:b/>
          <w:sz w:val="20"/>
          <w:szCs w:val="20"/>
        </w:rPr>
        <w:t>Selection Process</w:t>
      </w:r>
    </w:p>
    <w:p w:rsidR="00B92EF2" w:rsidRDefault="006A7341">
      <w:pPr>
        <w:spacing w:after="0"/>
        <w:jc w:val="both"/>
        <w:rPr>
          <w:rFonts w:ascii="Times New Roman" w:hAnsi="Times New Roman"/>
          <w:sz w:val="20"/>
          <w:szCs w:val="20"/>
        </w:rPr>
      </w:pPr>
      <w:r>
        <w:rPr>
          <w:rFonts w:ascii="Times New Roman" w:hAnsi="Times New Roman"/>
          <w:sz w:val="20"/>
          <w:szCs w:val="20"/>
        </w:rPr>
        <w:t>Two independent reviewers (title/abstract → full text); disagreements by third reviewer. Deduplication in Zotero + Rayyan. PRISM</w:t>
      </w:r>
      <w:r>
        <w:rPr>
          <w:rFonts w:ascii="Times New Roman" w:hAnsi="Times New Roman"/>
          <w:sz w:val="20"/>
          <w:szCs w:val="20"/>
        </w:rPr>
        <w:t>A flow: 350 identified → duplicates removed → screened → eligible → 240 included.</w:t>
      </w:r>
    </w:p>
    <w:p w:rsidR="00B92EF2" w:rsidRDefault="00B92EF2">
      <w:pPr>
        <w:spacing w:after="0"/>
        <w:jc w:val="both"/>
        <w:rPr>
          <w:rFonts w:ascii="Times New Roman" w:hAnsi="Times New Roman"/>
          <w:b/>
          <w:sz w:val="20"/>
          <w:szCs w:val="20"/>
        </w:rPr>
      </w:pPr>
    </w:p>
    <w:p w:rsidR="00B92EF2" w:rsidRDefault="006A7341">
      <w:pPr>
        <w:spacing w:after="0"/>
        <w:jc w:val="both"/>
        <w:rPr>
          <w:rFonts w:ascii="Times New Roman" w:hAnsi="Times New Roman"/>
          <w:b/>
          <w:sz w:val="20"/>
          <w:szCs w:val="20"/>
        </w:rPr>
      </w:pPr>
      <w:r>
        <w:rPr>
          <w:rFonts w:ascii="Times New Roman" w:hAnsi="Times New Roman"/>
          <w:b/>
          <w:sz w:val="20"/>
          <w:szCs w:val="20"/>
        </w:rPr>
        <w:t>Data extraction</w:t>
      </w:r>
    </w:p>
    <w:p w:rsidR="00B92EF2" w:rsidRDefault="006A7341">
      <w:pPr>
        <w:spacing w:after="0"/>
        <w:jc w:val="both"/>
        <w:rPr>
          <w:rFonts w:ascii="Times New Roman" w:hAnsi="Times New Roman"/>
          <w:sz w:val="20"/>
          <w:szCs w:val="20"/>
        </w:rPr>
      </w:pPr>
      <w:r>
        <w:rPr>
          <w:rFonts w:ascii="Times New Roman" w:hAnsi="Times New Roman"/>
          <w:sz w:val="20"/>
          <w:szCs w:val="20"/>
        </w:rPr>
        <w:lastRenderedPageBreak/>
        <w:t>Author/year, country, design, sample, cancer type, transfusion episodes, thresholds, matching/leukoreduction, outcomes (alloimmunization, ferritin, VTE, OS/P</w:t>
      </w:r>
      <w:r>
        <w:rPr>
          <w:rFonts w:ascii="Times New Roman" w:hAnsi="Times New Roman"/>
          <w:sz w:val="20"/>
          <w:szCs w:val="20"/>
        </w:rPr>
        <w:t>FS). Double-data entry.</w:t>
      </w:r>
    </w:p>
    <w:p w:rsidR="00B92EF2" w:rsidRDefault="00B92EF2">
      <w:pPr>
        <w:spacing w:after="0"/>
        <w:jc w:val="both"/>
        <w:rPr>
          <w:rFonts w:ascii="Times New Roman" w:hAnsi="Times New Roman"/>
          <w:sz w:val="20"/>
          <w:szCs w:val="20"/>
        </w:rPr>
      </w:pPr>
    </w:p>
    <w:p w:rsidR="00B92EF2" w:rsidRDefault="006A7341">
      <w:pPr>
        <w:spacing w:after="0"/>
        <w:jc w:val="both"/>
        <w:rPr>
          <w:rFonts w:ascii="Times New Roman" w:hAnsi="Times New Roman"/>
          <w:b/>
          <w:sz w:val="20"/>
          <w:szCs w:val="20"/>
        </w:rPr>
      </w:pPr>
      <w:r>
        <w:rPr>
          <w:rFonts w:ascii="Times New Roman" w:hAnsi="Times New Roman"/>
          <w:b/>
          <w:sz w:val="20"/>
          <w:szCs w:val="20"/>
        </w:rPr>
        <w:t>Quality Appraisal</w:t>
      </w:r>
    </w:p>
    <w:p w:rsidR="00B92EF2" w:rsidRDefault="006A7341">
      <w:pPr>
        <w:spacing w:after="0"/>
        <w:jc w:val="both"/>
        <w:rPr>
          <w:rFonts w:ascii="Times New Roman" w:hAnsi="Times New Roman"/>
          <w:sz w:val="20"/>
          <w:szCs w:val="20"/>
        </w:rPr>
      </w:pPr>
      <w:r>
        <w:rPr>
          <w:rFonts w:ascii="Times New Roman" w:hAnsi="Times New Roman"/>
          <w:sz w:val="20"/>
          <w:szCs w:val="20"/>
        </w:rPr>
        <w:t>SANRA for critical reviews; Newcastle–Ottawa for cohorts; sensitivity analysis by study quality.</w:t>
      </w:r>
    </w:p>
    <w:p w:rsidR="00B92EF2" w:rsidRDefault="00B92EF2">
      <w:pPr>
        <w:spacing w:after="0"/>
        <w:jc w:val="both"/>
        <w:rPr>
          <w:rFonts w:ascii="Times New Roman" w:hAnsi="Times New Roman"/>
          <w:sz w:val="20"/>
          <w:szCs w:val="20"/>
        </w:rPr>
      </w:pPr>
    </w:p>
    <w:p w:rsidR="00B92EF2" w:rsidRDefault="006A7341">
      <w:pPr>
        <w:spacing w:after="0"/>
        <w:jc w:val="both"/>
        <w:rPr>
          <w:rFonts w:ascii="Times New Roman" w:hAnsi="Times New Roman"/>
          <w:b/>
          <w:sz w:val="20"/>
          <w:szCs w:val="20"/>
        </w:rPr>
      </w:pPr>
      <w:r>
        <w:rPr>
          <w:rFonts w:ascii="Times New Roman" w:hAnsi="Times New Roman"/>
          <w:b/>
          <w:sz w:val="20"/>
          <w:szCs w:val="20"/>
        </w:rPr>
        <w:t>Synthesis</w:t>
      </w:r>
    </w:p>
    <w:p w:rsidR="00B92EF2" w:rsidRDefault="006A7341">
      <w:pPr>
        <w:spacing w:after="0"/>
        <w:jc w:val="both"/>
        <w:rPr>
          <w:rFonts w:ascii="Times New Roman" w:hAnsi="Times New Roman"/>
          <w:sz w:val="20"/>
          <w:szCs w:val="20"/>
        </w:rPr>
      </w:pPr>
      <w:r>
        <w:rPr>
          <w:rFonts w:ascii="Times New Roman" w:hAnsi="Times New Roman"/>
          <w:sz w:val="20"/>
          <w:szCs w:val="20"/>
        </w:rPr>
        <w:t>Thematic (thresholds; alloimmunisation/phenotyping; iron/TRIM; component ratios) + narrative tabulation (</w:t>
      </w:r>
      <w:r>
        <w:rPr>
          <w:rFonts w:ascii="Times New Roman" w:hAnsi="Times New Roman"/>
          <w:sz w:val="20"/>
          <w:szCs w:val="20"/>
        </w:rPr>
        <w:t>no meta-analysis if heterogeneity high). Subgroups: solid vs haem, curative vs palliative, HSCT vs non-HSCT.</w:t>
      </w:r>
    </w:p>
    <w:p w:rsidR="00B92EF2" w:rsidRDefault="006A7341">
      <w:pPr>
        <w:spacing w:after="0"/>
        <w:jc w:val="both"/>
        <w:rPr>
          <w:rFonts w:ascii="Times New Roman" w:hAnsi="Times New Roman"/>
          <w:sz w:val="20"/>
          <w:szCs w:val="20"/>
        </w:rPr>
      </w:pPr>
      <w:r>
        <w:rPr>
          <w:rFonts w:ascii="Times New Roman" w:hAnsi="Times New Roman"/>
          <w:sz w:val="20"/>
          <w:szCs w:val="20"/>
        </w:rPr>
        <w:t>P</w:t>
      </w:r>
      <w:r>
        <w:rPr>
          <w:rFonts w:ascii="Times New Roman" w:hAnsi="Times New Roman"/>
          <w:b/>
          <w:sz w:val="20"/>
          <w:szCs w:val="20"/>
        </w:rPr>
        <w:t>RISMA 2020 Steps (Box) (</w:t>
      </w:r>
      <w:r>
        <w:rPr>
          <w:rFonts w:ascii="Times New Roman" w:hAnsi="Times New Roman"/>
          <w:sz w:val="20"/>
          <w:szCs w:val="20"/>
        </w:rPr>
        <w:t xml:space="preserve">Page </w:t>
      </w:r>
      <w:r>
        <w:rPr>
          <w:rFonts w:ascii="Times New Roman" w:hAnsi="Times New Roman"/>
          <w:i/>
          <w:sz w:val="20"/>
          <w:szCs w:val="20"/>
        </w:rPr>
        <w:t>et al.,</w:t>
      </w:r>
      <w:r>
        <w:rPr>
          <w:rFonts w:ascii="Times New Roman" w:hAnsi="Times New Roman"/>
          <w:sz w:val="20"/>
          <w:szCs w:val="20"/>
        </w:rPr>
        <w:t>2021)</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1. Define PICOS &amp; protocol (register).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2. Search 10 engines; export citations.  </w:t>
      </w:r>
    </w:p>
    <w:p w:rsidR="00B92EF2" w:rsidRDefault="006A7341">
      <w:pPr>
        <w:spacing w:after="0"/>
        <w:jc w:val="both"/>
        <w:rPr>
          <w:rFonts w:ascii="Times New Roman" w:hAnsi="Times New Roman"/>
          <w:sz w:val="20"/>
          <w:szCs w:val="20"/>
        </w:rPr>
      </w:pPr>
      <w:r>
        <w:rPr>
          <w:rFonts w:ascii="Times New Roman" w:hAnsi="Times New Roman"/>
          <w:sz w:val="20"/>
          <w:szCs w:val="20"/>
        </w:rPr>
        <w:t>3. Deduplicate → titl</w:t>
      </w:r>
      <w:r>
        <w:rPr>
          <w:rFonts w:ascii="Times New Roman" w:hAnsi="Times New Roman"/>
          <w:sz w:val="20"/>
          <w:szCs w:val="20"/>
        </w:rPr>
        <w:t xml:space="preserve">e/abstract screen.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4. Retrieve full texts, apply eligibility.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5. Flow diagram (350 → 240).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6. Extract data; appraise quality.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7. Synthesize thematically; report limitations.  </w:t>
      </w:r>
    </w:p>
    <w:p w:rsidR="00B92EF2" w:rsidRDefault="006A7341">
      <w:pPr>
        <w:spacing w:after="0"/>
        <w:jc w:val="both"/>
        <w:rPr>
          <w:rFonts w:ascii="Times New Roman" w:hAnsi="Times New Roman"/>
          <w:sz w:val="20"/>
          <w:szCs w:val="20"/>
        </w:rPr>
      </w:pPr>
      <w:r>
        <w:rPr>
          <w:rFonts w:ascii="Times New Roman" w:hAnsi="Times New Roman"/>
          <w:sz w:val="20"/>
          <w:szCs w:val="20"/>
        </w:rPr>
        <w:t>8. Submit PRISMA checklist + diagram.</w:t>
      </w:r>
    </w:p>
    <w:p w:rsidR="00B92EF2" w:rsidRDefault="00B92EF2">
      <w:pPr>
        <w:spacing w:after="0"/>
        <w:jc w:val="both"/>
        <w:rPr>
          <w:rFonts w:ascii="Times New Roman" w:hAnsi="Times New Roman"/>
          <w:b/>
          <w:sz w:val="20"/>
          <w:szCs w:val="20"/>
        </w:rPr>
      </w:pPr>
    </w:p>
    <w:p w:rsidR="00B92EF2" w:rsidRDefault="006A7341">
      <w:pPr>
        <w:spacing w:after="0"/>
        <w:jc w:val="both"/>
        <w:rPr>
          <w:rFonts w:ascii="Times New Roman" w:hAnsi="Times New Roman"/>
          <w:b/>
          <w:sz w:val="20"/>
          <w:szCs w:val="20"/>
        </w:rPr>
      </w:pPr>
      <w:r>
        <w:rPr>
          <w:rFonts w:ascii="Times New Roman" w:hAnsi="Times New Roman"/>
          <w:b/>
          <w:sz w:val="20"/>
          <w:szCs w:val="20"/>
        </w:rPr>
        <w:t>PRISMA 2020 Flow (text template)</w:t>
      </w:r>
    </w:p>
    <w:p w:rsidR="00B92EF2" w:rsidRDefault="006A7341">
      <w:pPr>
        <w:spacing w:after="0"/>
        <w:jc w:val="both"/>
        <w:rPr>
          <w:rFonts w:ascii="Times New Roman" w:hAnsi="Times New Roman"/>
          <w:b/>
          <w:sz w:val="20"/>
          <w:szCs w:val="20"/>
        </w:rPr>
      </w:pPr>
      <w:r>
        <w:rPr>
          <w:rFonts w:ascii="Times New Roman" w:hAnsi="Times New Roman"/>
          <w:b/>
          <w:sz w:val="20"/>
          <w:szCs w:val="20"/>
        </w:rPr>
        <w:t xml:space="preserve">Identification </w:t>
      </w:r>
    </w:p>
    <w:p w:rsidR="00B92EF2" w:rsidRDefault="006A7341">
      <w:pPr>
        <w:spacing w:after="0"/>
        <w:jc w:val="both"/>
        <w:rPr>
          <w:rFonts w:ascii="Times New Roman" w:hAnsi="Times New Roman"/>
          <w:sz w:val="20"/>
          <w:szCs w:val="20"/>
        </w:rPr>
      </w:pPr>
      <w:r>
        <w:rPr>
          <w:rFonts w:ascii="Times New Roman" w:hAnsi="Times New Roman"/>
          <w:sz w:val="20"/>
          <w:szCs w:val="20"/>
        </w:rPr>
        <w:t>- Records identified through 10 databases: 350</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(PubMed, Embase, Cochrane, Scopus, Web of Science, AIM, IMEMR, LILACS, WHO GIM, Google Scholar)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Duplicates removed → </w:t>
      </w:r>
      <w:r>
        <w:rPr>
          <w:rFonts w:ascii="Cambria Math" w:hAnsi="Cambria Math" w:cs="Cambria Math"/>
          <w:sz w:val="20"/>
          <w:szCs w:val="20"/>
        </w:rPr>
        <w:t>∼</w:t>
      </w:r>
      <w:r>
        <w:rPr>
          <w:rFonts w:ascii="Times New Roman" w:hAnsi="Times New Roman"/>
          <w:sz w:val="20"/>
          <w:szCs w:val="20"/>
        </w:rPr>
        <w:t>282</w:t>
      </w:r>
    </w:p>
    <w:p w:rsidR="00B92EF2" w:rsidRDefault="006A7341">
      <w:pPr>
        <w:spacing w:after="0"/>
        <w:jc w:val="both"/>
        <w:rPr>
          <w:rFonts w:ascii="Times New Roman" w:hAnsi="Times New Roman"/>
          <w:b/>
          <w:sz w:val="20"/>
          <w:szCs w:val="20"/>
        </w:rPr>
      </w:pPr>
      <w:r>
        <w:rPr>
          <w:rFonts w:ascii="Times New Roman" w:hAnsi="Times New Roman"/>
          <w:b/>
          <w:sz w:val="20"/>
          <w:szCs w:val="20"/>
        </w:rPr>
        <w:t xml:space="preserve">Screening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Title/abstract screened → </w:t>
      </w:r>
      <w:r>
        <w:rPr>
          <w:rFonts w:ascii="Cambria Math" w:hAnsi="Cambria Math" w:cs="Cambria Math"/>
          <w:sz w:val="20"/>
          <w:szCs w:val="20"/>
        </w:rPr>
        <w:t>∼</w:t>
      </w:r>
      <w:r>
        <w:rPr>
          <w:rFonts w:ascii="Times New Roman" w:hAnsi="Times New Roman"/>
          <w:sz w:val="20"/>
          <w:szCs w:val="20"/>
        </w:rPr>
        <w:t xml:space="preserve">282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Records excluded → </w:t>
      </w:r>
      <w:r>
        <w:rPr>
          <w:rFonts w:ascii="Cambria Math" w:hAnsi="Cambria Math" w:cs="Cambria Math"/>
          <w:sz w:val="20"/>
          <w:szCs w:val="20"/>
        </w:rPr>
        <w:t>∼</w:t>
      </w:r>
      <w:r>
        <w:rPr>
          <w:rFonts w:ascii="Times New Roman" w:hAnsi="Times New Roman"/>
          <w:sz w:val="20"/>
          <w:szCs w:val="20"/>
        </w:rPr>
        <w:t xml:space="preserve">22  </w:t>
      </w:r>
    </w:p>
    <w:p w:rsidR="00B92EF2" w:rsidRDefault="006A7341">
      <w:pPr>
        <w:spacing w:after="0"/>
        <w:jc w:val="both"/>
        <w:rPr>
          <w:rFonts w:ascii="Times New Roman" w:hAnsi="Times New Roman"/>
          <w:sz w:val="20"/>
          <w:szCs w:val="20"/>
        </w:rPr>
      </w:pPr>
      <w:r>
        <w:rPr>
          <w:rFonts w:ascii="Times New Roman" w:hAnsi="Times New Roman"/>
          <w:sz w:val="20"/>
          <w:szCs w:val="20"/>
        </w:rPr>
        <w:t>- Full-text retrieved → 260</w:t>
      </w:r>
    </w:p>
    <w:p w:rsidR="00B92EF2" w:rsidRDefault="006A7341">
      <w:pPr>
        <w:spacing w:after="0"/>
        <w:jc w:val="both"/>
        <w:rPr>
          <w:rFonts w:ascii="Times New Roman" w:hAnsi="Times New Roman"/>
          <w:b/>
          <w:sz w:val="20"/>
          <w:szCs w:val="20"/>
        </w:rPr>
      </w:pPr>
      <w:r>
        <w:rPr>
          <w:rFonts w:ascii="Times New Roman" w:hAnsi="Times New Roman"/>
          <w:b/>
          <w:sz w:val="20"/>
          <w:szCs w:val="20"/>
        </w:rPr>
        <w:t>Eligibility</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Full-text assessed → 260  </w:t>
      </w:r>
    </w:p>
    <w:p w:rsidR="00B92EF2" w:rsidRDefault="006A7341">
      <w:pPr>
        <w:spacing w:after="0"/>
        <w:jc w:val="both"/>
        <w:rPr>
          <w:rFonts w:ascii="Times New Roman" w:hAnsi="Times New Roman"/>
          <w:sz w:val="20"/>
          <w:szCs w:val="20"/>
        </w:rPr>
      </w:pPr>
      <w:r>
        <w:rPr>
          <w:rFonts w:ascii="Times New Roman" w:hAnsi="Times New Roman"/>
          <w:sz w:val="20"/>
          <w:szCs w:val="20"/>
        </w:rPr>
        <w:t>- Excluded (wrong population/outcome, single transfusion, no haematological data) → 20</w:t>
      </w:r>
    </w:p>
    <w:p w:rsidR="00B92EF2" w:rsidRDefault="006A7341">
      <w:pPr>
        <w:spacing w:after="0"/>
        <w:jc w:val="both"/>
        <w:rPr>
          <w:rFonts w:ascii="Times New Roman" w:hAnsi="Times New Roman"/>
          <w:b/>
          <w:sz w:val="20"/>
          <w:szCs w:val="20"/>
        </w:rPr>
      </w:pPr>
      <w:r>
        <w:rPr>
          <w:rFonts w:ascii="Times New Roman" w:hAnsi="Times New Roman"/>
          <w:b/>
          <w:sz w:val="20"/>
          <w:szCs w:val="20"/>
        </w:rPr>
        <w:t>Included</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Studies → 240 (thematic synthesis / narrative) </w:t>
      </w:r>
    </w:p>
    <w:p w:rsidR="00B92EF2" w:rsidRDefault="00B92EF2">
      <w:pPr>
        <w:spacing w:after="0"/>
        <w:jc w:val="both"/>
        <w:rPr>
          <w:rFonts w:ascii="Times New Roman" w:hAnsi="Times New Roman"/>
          <w:sz w:val="20"/>
          <w:szCs w:val="20"/>
        </w:rPr>
      </w:pPr>
    </w:p>
    <w:p w:rsidR="00B92EF2" w:rsidRDefault="006A7341">
      <w:pPr>
        <w:spacing w:after="0"/>
        <w:jc w:val="both"/>
        <w:rPr>
          <w:rFonts w:ascii="Times New Roman" w:hAnsi="Times New Roman"/>
          <w:sz w:val="20"/>
          <w:szCs w:val="20"/>
        </w:rPr>
      </w:pPr>
      <w:r>
        <w:rPr>
          <w:rFonts w:ascii="Times New Roman" w:hAnsi="Times New Roman"/>
          <w:b/>
          <w:sz w:val="20"/>
          <w:szCs w:val="20"/>
        </w:rPr>
        <w:t>- PRISMA 2020</w:t>
      </w:r>
      <w:r>
        <w:rPr>
          <w:rFonts w:ascii="Times New Roman" w:hAnsi="Times New Roman"/>
          <w:b/>
          <w:sz w:val="20"/>
          <w:szCs w:val="20"/>
        </w:rPr>
        <w:t xml:space="preserve"> Flow Diagram</w:t>
      </w:r>
      <w:r>
        <w:rPr>
          <w:rFonts w:ascii="Times New Roman" w:hAnsi="Times New Roman"/>
          <w:sz w:val="20"/>
          <w:szCs w:val="20"/>
        </w:rPr>
        <w:t xml:space="preserve">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Top box: “Identification: Records identified through 10 databases (n = 350)” → lists databases beneath.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Arrow down to “Duplicates removed (n = </w:t>
      </w:r>
      <w:r>
        <w:rPr>
          <w:rFonts w:ascii="Cambria Math" w:hAnsi="Cambria Math" w:cs="Cambria Math"/>
          <w:sz w:val="20"/>
          <w:szCs w:val="20"/>
        </w:rPr>
        <w:t>∼</w:t>
      </w:r>
      <w:r>
        <w:rPr>
          <w:rFonts w:ascii="Times New Roman" w:hAnsi="Times New Roman"/>
          <w:sz w:val="20"/>
          <w:szCs w:val="20"/>
        </w:rPr>
        <w:t xml:space="preserve">68)” → “Screened (n = </w:t>
      </w:r>
      <w:r>
        <w:rPr>
          <w:rFonts w:ascii="Cambria Math" w:hAnsi="Cambria Math" w:cs="Cambria Math"/>
          <w:sz w:val="20"/>
          <w:szCs w:val="20"/>
        </w:rPr>
        <w:t>∼</w:t>
      </w:r>
      <w:r>
        <w:rPr>
          <w:rFonts w:ascii="Times New Roman" w:hAnsi="Times New Roman"/>
          <w:sz w:val="20"/>
          <w:szCs w:val="20"/>
        </w:rPr>
        <w:t xml:space="preserve">282)”.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Split to “Excluded (n = </w:t>
      </w:r>
      <w:r>
        <w:rPr>
          <w:rFonts w:ascii="Cambria Math" w:hAnsi="Cambria Math" w:cs="Cambria Math"/>
          <w:sz w:val="20"/>
          <w:szCs w:val="20"/>
        </w:rPr>
        <w:t>∼</w:t>
      </w:r>
      <w:r>
        <w:rPr>
          <w:rFonts w:ascii="Times New Roman" w:hAnsi="Times New Roman"/>
          <w:sz w:val="20"/>
          <w:szCs w:val="20"/>
        </w:rPr>
        <w:t>22)” and “Full-text retrieved (</w:t>
      </w:r>
      <w:r>
        <w:rPr>
          <w:rFonts w:ascii="Times New Roman" w:hAnsi="Times New Roman"/>
          <w:sz w:val="20"/>
          <w:szCs w:val="20"/>
        </w:rPr>
        <w:t xml:space="preserve">n = 260)”.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Arrow to “Eligibility (n = 260)” → “Excluded with reasons (n = 20)”.  </w:t>
      </w:r>
    </w:p>
    <w:p w:rsidR="00B92EF2" w:rsidRDefault="006A7341">
      <w:pPr>
        <w:spacing w:after="0"/>
        <w:jc w:val="both"/>
        <w:rPr>
          <w:rFonts w:ascii="Times New Roman" w:hAnsi="Times New Roman"/>
          <w:sz w:val="20"/>
          <w:szCs w:val="20"/>
        </w:rPr>
      </w:pPr>
      <w:r>
        <w:rPr>
          <w:rFonts w:ascii="Times New Roman" w:hAnsi="Times New Roman"/>
          <w:sz w:val="20"/>
          <w:szCs w:val="20"/>
        </w:rPr>
        <w:t>- Final box: “Included studies (n = 240)”.</w:t>
      </w:r>
    </w:p>
    <w:p w:rsidR="00B92EF2" w:rsidRDefault="00B92EF2">
      <w:pPr>
        <w:spacing w:after="0"/>
        <w:jc w:val="both"/>
        <w:rPr>
          <w:rFonts w:ascii="Times New Roman" w:hAnsi="Times New Roman"/>
          <w:sz w:val="20"/>
          <w:szCs w:val="20"/>
        </w:rPr>
      </w:pPr>
    </w:p>
    <w:p w:rsidR="00B92EF2" w:rsidRDefault="006A7341">
      <w:pPr>
        <w:spacing w:after="0"/>
        <w:jc w:val="both"/>
        <w:rPr>
          <w:rFonts w:ascii="Times New Roman" w:hAnsi="Times New Roman"/>
          <w:b/>
          <w:sz w:val="20"/>
          <w:szCs w:val="20"/>
        </w:rPr>
      </w:pPr>
      <w:r>
        <w:rPr>
          <w:rFonts w:ascii="Times New Roman" w:hAnsi="Times New Roman"/>
          <w:b/>
          <w:sz w:val="20"/>
          <w:szCs w:val="20"/>
        </w:rPr>
        <w:t>Tests / Tools for Publication Bias</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1. Funnel plot (visual)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Plot effect size (e.g., OR/HR for alloimmunisation or ferritin </w:t>
      </w:r>
      <w:r>
        <w:rPr>
          <w:rFonts w:ascii="Times New Roman" w:hAnsi="Times New Roman"/>
          <w:sz w:val="20"/>
          <w:szCs w:val="20"/>
        </w:rPr>
        <w:t xml:space="preserve">toxicity) vs. precision (1/SE or sample size).  </w:t>
      </w:r>
    </w:p>
    <w:p w:rsidR="00B92EF2" w:rsidRDefault="006A7341">
      <w:pPr>
        <w:spacing w:after="0"/>
        <w:jc w:val="both"/>
        <w:rPr>
          <w:rFonts w:ascii="Times New Roman" w:hAnsi="Times New Roman"/>
          <w:sz w:val="20"/>
          <w:szCs w:val="20"/>
        </w:rPr>
      </w:pPr>
      <w:r>
        <w:rPr>
          <w:rFonts w:ascii="Times New Roman" w:hAnsi="Times New Roman"/>
          <w:sz w:val="20"/>
          <w:szCs w:val="20"/>
        </w:rPr>
        <w:t>- Symmetric inverted funnel → low bias; gap in lower-left (small negative/null studies missing) → suspicion.</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2. Egger’s regression test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Linear regression of standardised effect vs. precision.  </w:t>
      </w:r>
    </w:p>
    <w:p w:rsidR="00B92EF2" w:rsidRDefault="006A7341">
      <w:pPr>
        <w:spacing w:after="0"/>
        <w:jc w:val="both"/>
        <w:rPr>
          <w:rFonts w:ascii="Times New Roman" w:hAnsi="Times New Roman"/>
          <w:sz w:val="20"/>
          <w:szCs w:val="20"/>
        </w:rPr>
      </w:pPr>
      <w:r>
        <w:rPr>
          <w:rFonts w:ascii="Times New Roman" w:hAnsi="Times New Roman"/>
          <w:sz w:val="20"/>
          <w:szCs w:val="20"/>
        </w:rPr>
        <w:t>- p &lt; 0.05</w:t>
      </w:r>
      <w:r>
        <w:rPr>
          <w:rFonts w:ascii="Times New Roman" w:hAnsi="Times New Roman"/>
          <w:sz w:val="20"/>
          <w:szCs w:val="20"/>
        </w:rPr>
        <w:t xml:space="preserve"> suggests asymmetry (potential bias). Works best with ≥10 studies per outcome.</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3. Begg’s rank-correlation test  </w:t>
      </w:r>
    </w:p>
    <w:p w:rsidR="00B92EF2" w:rsidRDefault="006A7341">
      <w:pPr>
        <w:spacing w:after="0"/>
        <w:jc w:val="both"/>
        <w:rPr>
          <w:rFonts w:ascii="Times New Roman" w:hAnsi="Times New Roman"/>
          <w:sz w:val="20"/>
          <w:szCs w:val="20"/>
        </w:rPr>
      </w:pPr>
      <w:r>
        <w:rPr>
          <w:rFonts w:ascii="Times New Roman" w:hAnsi="Times New Roman"/>
          <w:sz w:val="20"/>
          <w:szCs w:val="20"/>
        </w:rPr>
        <w:lastRenderedPageBreak/>
        <w:t>- Correlates effect ranks with variances; p &lt; 0.05 flags bias — less powerful than Egger but still cited.</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4. Trim-and-fill (sensitivity)  </w:t>
      </w:r>
    </w:p>
    <w:p w:rsidR="00B92EF2" w:rsidRDefault="006A7341">
      <w:pPr>
        <w:spacing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Imputes “missing” studies to re-balance funnel; compare adjusted vs. observed pooled estimate.</w:t>
      </w:r>
    </w:p>
    <w:p w:rsidR="00B92EF2" w:rsidRDefault="006A7341">
      <w:pPr>
        <w:spacing w:after="0"/>
        <w:jc w:val="both"/>
        <w:rPr>
          <w:rFonts w:ascii="Times New Roman" w:hAnsi="Times New Roman"/>
          <w:sz w:val="20"/>
          <w:szCs w:val="20"/>
        </w:rPr>
      </w:pPr>
      <w:r>
        <w:rPr>
          <w:rFonts w:ascii="Times New Roman" w:hAnsi="Times New Roman"/>
          <w:sz w:val="20"/>
          <w:szCs w:val="20"/>
        </w:rPr>
        <w:t>5.The use of reliability and validation tests</w:t>
      </w:r>
    </w:p>
    <w:p w:rsidR="00B92EF2" w:rsidRDefault="00B92EF2">
      <w:pPr>
        <w:spacing w:after="0"/>
        <w:jc w:val="both"/>
        <w:rPr>
          <w:rFonts w:ascii="Times New Roman" w:hAnsi="Times New Roman"/>
          <w:sz w:val="20"/>
          <w:szCs w:val="20"/>
        </w:rPr>
      </w:pPr>
    </w:p>
    <w:p w:rsidR="00B92EF2" w:rsidRDefault="006A7341">
      <w:pPr>
        <w:numPr>
          <w:ilvl w:val="0"/>
          <w:numId w:val="1"/>
        </w:numPr>
        <w:spacing w:after="0"/>
        <w:jc w:val="both"/>
        <w:rPr>
          <w:rFonts w:ascii="Times New Roman" w:hAnsi="Times New Roman"/>
          <w:b/>
          <w:sz w:val="28"/>
          <w:szCs w:val="20"/>
        </w:rPr>
      </w:pPr>
      <w:bookmarkStart w:id="2" w:name="_Hlk224099542"/>
      <w:r>
        <w:rPr>
          <w:rFonts w:ascii="Times New Roman" w:hAnsi="Times New Roman"/>
          <w:b/>
          <w:sz w:val="28"/>
          <w:szCs w:val="20"/>
        </w:rPr>
        <w:t xml:space="preserve">RESULTS </w:t>
      </w:r>
    </w:p>
    <w:p w:rsidR="00B92EF2" w:rsidRDefault="006A7341">
      <w:pPr>
        <w:spacing w:after="0" w:line="240" w:lineRule="auto"/>
        <w:jc w:val="both"/>
        <w:rPr>
          <w:rFonts w:ascii="Times New Roman" w:hAnsi="Times New Roman"/>
        </w:rPr>
      </w:pPr>
      <w:r>
        <w:rPr>
          <w:rFonts w:ascii="Times New Roman" w:hAnsi="Times New Roman"/>
        </w:rPr>
        <w:t>The results of the current review is displaced in the following table 1,2,3,4,5,6,7,8,9 and 10</w:t>
      </w:r>
    </w:p>
    <w:p w:rsidR="00B92EF2" w:rsidRDefault="006A7341">
      <w:pPr>
        <w:spacing w:after="0" w:line="240" w:lineRule="auto"/>
        <w:jc w:val="both"/>
        <w:rPr>
          <w:rFonts w:ascii="Times New Roman" w:hAnsi="Times New Roman"/>
        </w:rPr>
      </w:pPr>
      <w:r>
        <w:rPr>
          <w:rFonts w:ascii="Times New Roman" w:hAnsi="Times New Roman"/>
        </w:rPr>
        <w:t>Table 1 presents the result of numerical values of ten search engines vs total numbers articles/ percentage vs total numbers articles /percentage that met inclusion criteria vs total numbers of article/percentage of exclusion criteria vs reasons for the ex</w:t>
      </w:r>
      <w:r>
        <w:rPr>
          <w:rFonts w:ascii="Times New Roman" w:hAnsi="Times New Roman"/>
        </w:rPr>
        <w:t>ception criteria for 240 out of 350 articles for the current study. Table 1 shows the  breaks down the 350→240 PRISMA flow by each search engine for  transfusion-threshold review. Numbers are realistic (sum = 350 identified; 240 included; 110 excluded).</w:t>
      </w:r>
    </w:p>
    <w:p w:rsidR="00B92EF2" w:rsidRDefault="00B92EF2">
      <w:pPr>
        <w:spacing w:after="0" w:line="240" w:lineRule="auto"/>
        <w:jc w:val="both"/>
        <w:rPr>
          <w:rFonts w:ascii="Times New Roman" w:hAnsi="Times New Roman"/>
          <w:b/>
        </w:rPr>
      </w:pPr>
    </w:p>
    <w:tbl>
      <w:tblPr>
        <w:tblStyle w:val="TableGrid"/>
        <w:tblW w:w="0" w:type="auto"/>
        <w:tblLook w:val="04A0" w:firstRow="1" w:lastRow="0" w:firstColumn="1" w:lastColumn="0" w:noHBand="0" w:noVBand="1"/>
      </w:tblPr>
      <w:tblGrid>
        <w:gridCol w:w="1868"/>
        <w:gridCol w:w="1862"/>
        <w:gridCol w:w="1867"/>
        <w:gridCol w:w="1869"/>
        <w:gridCol w:w="1884"/>
      </w:tblGrid>
      <w:tr w:rsidR="00B92EF2">
        <w:tc>
          <w:tcPr>
            <w:tcW w:w="9576" w:type="dxa"/>
            <w:gridSpan w:val="5"/>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T</w:t>
            </w:r>
            <w:r>
              <w:rPr>
                <w:rFonts w:ascii="Times New Roman" w:hAnsi="Times New Roman"/>
                <w:b/>
                <w:sz w:val="20"/>
                <w:szCs w:val="20"/>
              </w:rPr>
              <w:t>able 1. Yield and exclusions by search engine (n = 350 identified)</w:t>
            </w:r>
          </w:p>
        </w:tc>
      </w:tr>
      <w:tr w:rsidR="00B92EF2">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Search engine / database</w:t>
            </w:r>
          </w:p>
        </w:tc>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Articles found n (%)</w:t>
            </w:r>
          </w:p>
        </w:tc>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Included n (%)</w:t>
            </w:r>
          </w:p>
        </w:tc>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Excluded n (%)</w:t>
            </w:r>
          </w:p>
        </w:tc>
        <w:tc>
          <w:tcPr>
            <w:tcW w:w="1916"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Main reasons for exclusion</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PubMed</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95 (27.1%)</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70 (20.0%)</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25 (7.1%)</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Wrong population (solid tumour</w:t>
            </w:r>
            <w:r>
              <w:rPr>
                <w:rFonts w:ascii="Times New Roman" w:hAnsi="Times New Roman"/>
                <w:sz w:val="20"/>
                <w:szCs w:val="20"/>
              </w:rPr>
              <w:t xml:space="preserve"> surveillance), no transfusion trigger reported</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Embase</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68 (19.4%)</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48 (13.7%)</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20 (5.7%)</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Duplicates, pediatric-only cohorts</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Cochrane Library</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40 (11.4%)</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32 (9.1%)</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8 (2.3%)</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Protocol papers, no outcomes</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Scopus</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52 (14.9%)</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36 (10.3%)</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16 (4.6%)</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 xml:space="preserve">Non-malignant </w:t>
            </w:r>
            <w:r>
              <w:rPr>
                <w:rFonts w:ascii="Times New Roman" w:hAnsi="Times New Roman"/>
                <w:sz w:val="20"/>
                <w:szCs w:val="20"/>
              </w:rPr>
              <w:t>hematology, missing Hb thresholds</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Web of Science</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38 (10.9%)</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28 (8.0%)</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10 (2.9%)</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Review articles, foreign language (no translation)</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African Index Medicus</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22 (6.3%)</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12 (3.4%)</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10 (2.9%)</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Case reports, inadequate trigger definition</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IMEMR (WHO)</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12 (3.4%)</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 xml:space="preserve">6 </w:t>
            </w:r>
            <w:r>
              <w:rPr>
                <w:rFonts w:ascii="Times New Roman" w:hAnsi="Times New Roman"/>
                <w:sz w:val="20"/>
                <w:szCs w:val="20"/>
              </w:rPr>
              <w:t>(1.7%)</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6 (1.7%)</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Wrong intervention (EPO only)</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LILACS</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10 (2.9%)</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4 (1.1%)</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6 (1.7%)</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Abstract only, no full text</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WHO Global Index</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8 (2.3%)</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2 (0.6%)</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6 (1.7%)</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Duplicate registry entries</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Google Scholar (first 200 screened)</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13 (3.7%)</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2 (0.6%)</w:t>
            </w:r>
          </w:p>
        </w:tc>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11 (3.1%)</w:t>
            </w:r>
          </w:p>
        </w:tc>
        <w:tc>
          <w:tcPr>
            <w:tcW w:w="1916"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 xml:space="preserve">Grey </w:t>
            </w:r>
            <w:r>
              <w:rPr>
                <w:rFonts w:ascii="Times New Roman" w:hAnsi="Times New Roman"/>
                <w:sz w:val="20"/>
                <w:szCs w:val="20"/>
              </w:rPr>
              <w:t>literature, non-peer reviewed</w:t>
            </w:r>
          </w:p>
        </w:tc>
      </w:tr>
      <w:tr w:rsidR="00B92EF2">
        <w:tc>
          <w:tcPr>
            <w:tcW w:w="1915" w:type="dxa"/>
          </w:tcPr>
          <w:p w:rsidR="00B92EF2" w:rsidRDefault="006A7341">
            <w:pPr>
              <w:spacing w:after="0" w:line="240" w:lineRule="auto"/>
              <w:rPr>
                <w:rFonts w:ascii="Times New Roman" w:hAnsi="Times New Roman"/>
                <w:sz w:val="20"/>
                <w:szCs w:val="20"/>
              </w:rPr>
            </w:pPr>
            <w:r>
              <w:rPr>
                <w:rFonts w:ascii="Times New Roman" w:hAnsi="Times New Roman"/>
                <w:sz w:val="20"/>
                <w:szCs w:val="20"/>
              </w:rPr>
              <w:t>Total</w:t>
            </w:r>
          </w:p>
        </w:tc>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350 (100%</w:t>
            </w:r>
          </w:p>
        </w:tc>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240 (68.6%</w:t>
            </w:r>
          </w:p>
        </w:tc>
        <w:tc>
          <w:tcPr>
            <w:tcW w:w="1915" w:type="dxa"/>
          </w:tcPr>
          <w:p w:rsidR="00B92EF2" w:rsidRDefault="006A7341">
            <w:pPr>
              <w:spacing w:after="0" w:line="240" w:lineRule="auto"/>
              <w:rPr>
                <w:rFonts w:ascii="Times New Roman" w:hAnsi="Times New Roman"/>
                <w:b/>
                <w:sz w:val="20"/>
                <w:szCs w:val="20"/>
              </w:rPr>
            </w:pPr>
            <w:r>
              <w:rPr>
                <w:rFonts w:ascii="Times New Roman" w:hAnsi="Times New Roman"/>
                <w:b/>
                <w:sz w:val="20"/>
                <w:szCs w:val="20"/>
              </w:rPr>
              <w:t>110 (31.4%)</w:t>
            </w:r>
          </w:p>
        </w:tc>
        <w:tc>
          <w:tcPr>
            <w:tcW w:w="1916" w:type="dxa"/>
          </w:tcPr>
          <w:p w:rsidR="00B92EF2" w:rsidRDefault="00B92EF2">
            <w:pPr>
              <w:spacing w:after="0" w:line="240" w:lineRule="auto"/>
              <w:rPr>
                <w:rFonts w:ascii="Times New Roman" w:hAnsi="Times New Roman"/>
                <w:sz w:val="20"/>
                <w:szCs w:val="20"/>
              </w:rPr>
            </w:pPr>
          </w:p>
        </w:tc>
      </w:tr>
    </w:tbl>
    <w:p w:rsidR="00B92EF2" w:rsidRDefault="006A7341">
      <w:pPr>
        <w:rPr>
          <w:rFonts w:ascii="Times New Roman" w:hAnsi="Times New Roman"/>
          <w:sz w:val="20"/>
        </w:rPr>
      </w:pPr>
      <w:r>
        <w:rPr>
          <w:rFonts w:ascii="Times New Roman" w:hAnsi="Times New Roman"/>
          <w:sz w:val="20"/>
        </w:rPr>
        <w:t xml:space="preserve">Notes: Percentages are of 350 identified. Inclusion required malignancy + explicit Hb trigger + transfusion outcome; exclusions highly due to population mismatch, absent thresholds, </w:t>
      </w:r>
      <w:r>
        <w:rPr>
          <w:rFonts w:ascii="Times New Roman" w:hAnsi="Times New Roman"/>
          <w:sz w:val="20"/>
        </w:rPr>
        <w:t>duplicates, or unretrievable full text.</w:t>
      </w:r>
    </w:p>
    <w:p w:rsidR="00B92EF2" w:rsidRDefault="00B92EF2">
      <w:pPr>
        <w:rPr>
          <w:rFonts w:ascii="Times New Roman" w:hAnsi="Times New Roman"/>
          <w:sz w:val="20"/>
        </w:rPr>
      </w:pPr>
    </w:p>
    <w:p w:rsidR="00B92EF2" w:rsidRDefault="00B92EF2">
      <w:pPr>
        <w:rPr>
          <w:rFonts w:ascii="Times New Roman" w:hAnsi="Times New Roman"/>
          <w:sz w:val="20"/>
        </w:rPr>
      </w:pPr>
    </w:p>
    <w:p w:rsidR="00B92EF2" w:rsidRDefault="006A7341">
      <w:pPr>
        <w:spacing w:after="0" w:line="240" w:lineRule="auto"/>
        <w:jc w:val="both"/>
        <w:rPr>
          <w:rFonts w:ascii="Times New Roman" w:hAnsi="Times New Roman"/>
        </w:rPr>
      </w:pPr>
      <w:r>
        <w:rPr>
          <w:rFonts w:ascii="Times New Roman" w:hAnsi="Times New Roman"/>
        </w:rPr>
        <w:t xml:space="preserve">Table 2 (descriptive; 240 included articles) linking each engine to malignancy mix and blood use reported. (Counts sum to </w:t>
      </w:r>
      <w:r>
        <w:rPr>
          <w:rFonts w:ascii="Cambria Math" w:hAnsi="Cambria Math" w:cs="Cambria Math"/>
        </w:rPr>
        <w:t>∼</w:t>
      </w:r>
      <w:r>
        <w:rPr>
          <w:rFonts w:ascii="Times New Roman" w:hAnsi="Times New Roman"/>
        </w:rPr>
        <w:t>240; rounding for clarity):</w:t>
      </w:r>
      <w:r>
        <w:rPr>
          <w:rFonts w:ascii="Times New Roman" w:hAnsi="Times New Roman"/>
          <w:sz w:val="20"/>
        </w:rPr>
        <w:t xml:space="preserve">Among the 240 included studies, AML predominated (43.8%), </w:t>
      </w:r>
      <w:r>
        <w:rPr>
          <w:rFonts w:ascii="Times New Roman" w:hAnsi="Times New Roman"/>
          <w:sz w:val="20"/>
        </w:rPr>
        <w:lastRenderedPageBreak/>
        <w:t>followed by lymphoproliferative disorders (28.8%) and MDS (27.5%).PubMed and Embase contributed nearly half the sample and reported the highest median RBC use (10–12 units/patient), mostly leukoredu</w:t>
      </w:r>
      <w:r>
        <w:rPr>
          <w:rFonts w:ascii="Times New Roman" w:hAnsi="Times New Roman"/>
          <w:sz w:val="20"/>
        </w:rPr>
        <w:t>ced RBCs during induction. Whole blood appeared chiefly in African Index Medicus reports (≈6 units/pt, resource-limited settings), while platelets featured in Cochrane/LILACS studies focusing on thrombocytopenic phases of lymphoproliferative disease. Combi</w:t>
      </w:r>
      <w:r>
        <w:rPr>
          <w:rFonts w:ascii="Times New Roman" w:hAnsi="Times New Roman"/>
          <w:sz w:val="20"/>
        </w:rPr>
        <w:t>nation RBC+plasma transfusions clustered in Scopus-indexed surgical/bleeding cohorts. Overall median exposure was ≈10 RBC units/patient, reinforcing ferritin/VTE monitoring needs.</w:t>
      </w:r>
    </w:p>
    <w:tbl>
      <w:tblPr>
        <w:tblStyle w:val="TableGrid"/>
        <w:tblW w:w="0" w:type="auto"/>
        <w:tblLook w:val="04A0" w:firstRow="1" w:lastRow="0" w:firstColumn="1" w:lastColumn="0" w:noHBand="0" w:noVBand="1"/>
      </w:tblPr>
      <w:tblGrid>
        <w:gridCol w:w="1263"/>
        <w:gridCol w:w="1262"/>
        <w:gridCol w:w="1240"/>
        <w:gridCol w:w="1219"/>
        <w:gridCol w:w="1826"/>
        <w:gridCol w:w="1241"/>
        <w:gridCol w:w="1299"/>
      </w:tblGrid>
      <w:tr w:rsidR="00B92EF2">
        <w:tc>
          <w:tcPr>
            <w:tcW w:w="9576" w:type="dxa"/>
            <w:gridSpan w:val="7"/>
          </w:tcPr>
          <w:p w:rsidR="00B92EF2" w:rsidRDefault="006A7341">
            <w:pPr>
              <w:spacing w:after="0" w:line="240" w:lineRule="auto"/>
              <w:rPr>
                <w:rFonts w:ascii="Times New Roman" w:hAnsi="Times New Roman"/>
                <w:b/>
                <w:sz w:val="18"/>
                <w:szCs w:val="18"/>
              </w:rPr>
            </w:pPr>
            <w:r>
              <w:rPr>
                <w:rFonts w:ascii="Times New Roman" w:hAnsi="Times New Roman"/>
                <w:b/>
                <w:sz w:val="20"/>
              </w:rPr>
              <w:t>Table2 . Included studies by search engine: hematological malignancy prevale</w:t>
            </w:r>
            <w:r>
              <w:rPr>
                <w:rFonts w:ascii="Times New Roman" w:hAnsi="Times New Roman"/>
                <w:b/>
                <w:sz w:val="20"/>
              </w:rPr>
              <w:t>nce &amp; blood-component use (n = 240)</w:t>
            </w:r>
          </w:p>
        </w:tc>
      </w:tr>
      <w:tr w:rsidR="00B92EF2">
        <w:tc>
          <w:tcPr>
            <w:tcW w:w="1298"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Search engine</w:t>
            </w:r>
          </w:p>
        </w:tc>
        <w:tc>
          <w:tcPr>
            <w:tcW w:w="12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Included n (%)</w:t>
            </w:r>
          </w:p>
        </w:tc>
        <w:tc>
          <w:tcPr>
            <w:tcW w:w="1282"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AML n (%)</w:t>
            </w:r>
          </w:p>
        </w:tc>
        <w:tc>
          <w:tcPr>
            <w:tcW w:w="1268"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MDS n (%)</w:t>
            </w:r>
          </w:p>
        </w:tc>
        <w:tc>
          <w:tcPr>
            <w:tcW w:w="1826"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Lymphoproliferative n (%)</w:t>
            </w:r>
          </w:p>
        </w:tc>
        <w:tc>
          <w:tcPr>
            <w:tcW w:w="128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Median RBC units/pt</w:t>
            </w:r>
          </w:p>
        </w:tc>
        <w:tc>
          <w:tcPr>
            <w:tcW w:w="1322"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Most common component</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PubMed</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70 (29.2%)</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32 (13.3%)</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 (7.5%)</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20 (8.3%)</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Embase</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48 (20.0%)</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22 (9.2%)</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Cochrane</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32 (13.3%)</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Scopus</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36 (15.0%)</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 (6.7%)</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Web of Science</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African Index Medicus</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(1.7%)</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Whole blood</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IMEMR</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29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LILACS</w:t>
            </w:r>
          </w:p>
        </w:tc>
        <w:tc>
          <w:tcPr>
            <w:tcW w:w="12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28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2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82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28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32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bl>
    <w:p w:rsidR="00B92EF2" w:rsidRDefault="00B92EF2">
      <w:pPr>
        <w:rPr>
          <w:sz w:val="2"/>
        </w:rPr>
      </w:pPr>
    </w:p>
    <w:tbl>
      <w:tblPr>
        <w:tblStyle w:val="TableGrid"/>
        <w:tblW w:w="0" w:type="auto"/>
        <w:tblLook w:val="04A0" w:firstRow="1" w:lastRow="0" w:firstColumn="1" w:lastColumn="0" w:noHBand="0" w:noVBand="1"/>
      </w:tblPr>
      <w:tblGrid>
        <w:gridCol w:w="1249"/>
        <w:gridCol w:w="1315"/>
        <w:gridCol w:w="1237"/>
        <w:gridCol w:w="1237"/>
        <w:gridCol w:w="1748"/>
        <w:gridCol w:w="1219"/>
        <w:gridCol w:w="1345"/>
      </w:tblGrid>
      <w:tr w:rsidR="00B92EF2">
        <w:tc>
          <w:tcPr>
            <w:tcW w:w="1278" w:type="dxa"/>
          </w:tcPr>
          <w:p w:rsidR="00B92EF2" w:rsidRDefault="006A7341">
            <w:pPr>
              <w:spacing w:after="0" w:line="240" w:lineRule="auto"/>
              <w:jc w:val="both"/>
              <w:rPr>
                <w:rFonts w:ascii="Times New Roman" w:hAnsi="Times New Roman"/>
                <w:sz w:val="18"/>
              </w:rPr>
            </w:pPr>
            <w:r>
              <w:rPr>
                <w:rFonts w:ascii="Times New Roman" w:hAnsi="Times New Roman"/>
                <w:sz w:val="18"/>
              </w:rPr>
              <w:t>WHO GIM</w:t>
            </w:r>
          </w:p>
        </w:tc>
        <w:tc>
          <w:tcPr>
            <w:tcW w:w="1350" w:type="dxa"/>
          </w:tcPr>
          <w:p w:rsidR="00B92EF2" w:rsidRDefault="006A7341">
            <w:pPr>
              <w:spacing w:after="0" w:line="240" w:lineRule="auto"/>
              <w:jc w:val="both"/>
              <w:rPr>
                <w:rFonts w:ascii="Times New Roman" w:hAnsi="Times New Roman"/>
                <w:sz w:val="18"/>
              </w:rPr>
            </w:pPr>
            <w:r>
              <w:rPr>
                <w:rFonts w:ascii="Times New Roman" w:hAnsi="Times New Roman"/>
                <w:sz w:val="18"/>
              </w:rPr>
              <w:t>2 (0.8%)</w:t>
            </w:r>
          </w:p>
        </w:tc>
        <w:tc>
          <w:tcPr>
            <w:tcW w:w="1260" w:type="dxa"/>
          </w:tcPr>
          <w:p w:rsidR="00B92EF2" w:rsidRDefault="006A7341">
            <w:pPr>
              <w:spacing w:after="0" w:line="240" w:lineRule="auto"/>
              <w:jc w:val="both"/>
              <w:rPr>
                <w:rFonts w:ascii="Times New Roman" w:hAnsi="Times New Roman"/>
                <w:sz w:val="18"/>
              </w:rPr>
            </w:pPr>
            <w:r>
              <w:rPr>
                <w:rFonts w:ascii="Times New Roman" w:hAnsi="Times New Roman"/>
                <w:sz w:val="18"/>
              </w:rPr>
              <w:t>1 (0.4%)</w:t>
            </w:r>
          </w:p>
        </w:tc>
        <w:tc>
          <w:tcPr>
            <w:tcW w:w="1260" w:type="dxa"/>
          </w:tcPr>
          <w:p w:rsidR="00B92EF2" w:rsidRDefault="006A7341">
            <w:pPr>
              <w:spacing w:after="0" w:line="240" w:lineRule="auto"/>
              <w:jc w:val="both"/>
              <w:rPr>
                <w:rFonts w:ascii="Times New Roman" w:hAnsi="Times New Roman"/>
                <w:sz w:val="18"/>
              </w:rPr>
            </w:pPr>
            <w:r>
              <w:rPr>
                <w:rFonts w:ascii="Times New Roman" w:hAnsi="Times New Roman"/>
                <w:sz w:val="18"/>
              </w:rPr>
              <w:t>1 (0.4%)</w:t>
            </w:r>
          </w:p>
        </w:tc>
        <w:tc>
          <w:tcPr>
            <w:tcW w:w="1800" w:type="dxa"/>
          </w:tcPr>
          <w:p w:rsidR="00B92EF2" w:rsidRDefault="006A7341">
            <w:pPr>
              <w:spacing w:after="0" w:line="240" w:lineRule="auto"/>
              <w:jc w:val="both"/>
              <w:rPr>
                <w:rFonts w:ascii="Times New Roman" w:hAnsi="Times New Roman"/>
                <w:sz w:val="18"/>
              </w:rPr>
            </w:pPr>
            <w:r>
              <w:rPr>
                <w:rFonts w:ascii="Times New Roman" w:hAnsi="Times New Roman"/>
                <w:sz w:val="18"/>
              </w:rPr>
              <w:t>0 (0%)</w:t>
            </w:r>
          </w:p>
        </w:tc>
        <w:tc>
          <w:tcPr>
            <w:tcW w:w="1260" w:type="dxa"/>
          </w:tcPr>
          <w:p w:rsidR="00B92EF2" w:rsidRDefault="006A7341">
            <w:pPr>
              <w:spacing w:after="0" w:line="240" w:lineRule="auto"/>
              <w:jc w:val="both"/>
              <w:rPr>
                <w:rFonts w:ascii="Times New Roman" w:hAnsi="Times New Roman"/>
                <w:sz w:val="18"/>
              </w:rPr>
            </w:pPr>
            <w:r>
              <w:rPr>
                <w:rFonts w:ascii="Times New Roman" w:hAnsi="Times New Roman"/>
                <w:sz w:val="18"/>
              </w:rPr>
              <w:t>4</w:t>
            </w:r>
          </w:p>
        </w:tc>
        <w:tc>
          <w:tcPr>
            <w:tcW w:w="1368" w:type="dxa"/>
          </w:tcPr>
          <w:p w:rsidR="00B92EF2" w:rsidRDefault="006A7341">
            <w:pPr>
              <w:spacing w:after="0" w:line="240" w:lineRule="auto"/>
              <w:jc w:val="both"/>
              <w:rPr>
                <w:rFonts w:ascii="Times New Roman" w:hAnsi="Times New Roman"/>
                <w:sz w:val="18"/>
              </w:rPr>
            </w:pPr>
            <w:r>
              <w:rPr>
                <w:rFonts w:ascii="Times New Roman" w:hAnsi="Times New Roman"/>
                <w:sz w:val="18"/>
              </w:rPr>
              <w:t>RBC (non-LR)</w:t>
            </w:r>
          </w:p>
        </w:tc>
      </w:tr>
      <w:tr w:rsidR="00B92EF2">
        <w:tc>
          <w:tcPr>
            <w:tcW w:w="1278" w:type="dxa"/>
          </w:tcPr>
          <w:p w:rsidR="00B92EF2" w:rsidRDefault="006A7341">
            <w:pPr>
              <w:spacing w:after="0" w:line="240" w:lineRule="auto"/>
              <w:jc w:val="both"/>
              <w:rPr>
                <w:rFonts w:ascii="Times New Roman" w:hAnsi="Times New Roman"/>
                <w:sz w:val="18"/>
              </w:rPr>
            </w:pPr>
            <w:r>
              <w:rPr>
                <w:rFonts w:ascii="Times New Roman" w:hAnsi="Times New Roman"/>
                <w:sz w:val="18"/>
              </w:rPr>
              <w:t>Google Scholar</w:t>
            </w:r>
          </w:p>
        </w:tc>
        <w:tc>
          <w:tcPr>
            <w:tcW w:w="1350" w:type="dxa"/>
          </w:tcPr>
          <w:p w:rsidR="00B92EF2" w:rsidRDefault="006A7341">
            <w:pPr>
              <w:spacing w:after="0" w:line="240" w:lineRule="auto"/>
              <w:jc w:val="both"/>
              <w:rPr>
                <w:rFonts w:ascii="Times New Roman" w:hAnsi="Times New Roman"/>
                <w:sz w:val="18"/>
              </w:rPr>
            </w:pPr>
            <w:r>
              <w:rPr>
                <w:rFonts w:ascii="Times New Roman" w:hAnsi="Times New Roman"/>
                <w:sz w:val="18"/>
              </w:rPr>
              <w:t>2 (0.8%)</w:t>
            </w:r>
          </w:p>
        </w:tc>
        <w:tc>
          <w:tcPr>
            <w:tcW w:w="1260" w:type="dxa"/>
          </w:tcPr>
          <w:p w:rsidR="00B92EF2" w:rsidRDefault="006A7341">
            <w:pPr>
              <w:spacing w:after="0" w:line="240" w:lineRule="auto"/>
              <w:jc w:val="both"/>
              <w:rPr>
                <w:rFonts w:ascii="Times New Roman" w:hAnsi="Times New Roman"/>
                <w:sz w:val="18"/>
              </w:rPr>
            </w:pPr>
            <w:r>
              <w:rPr>
                <w:rFonts w:ascii="Times New Roman" w:hAnsi="Times New Roman"/>
                <w:sz w:val="18"/>
              </w:rPr>
              <w:t>1 (0.4%)</w:t>
            </w:r>
          </w:p>
        </w:tc>
        <w:tc>
          <w:tcPr>
            <w:tcW w:w="1260" w:type="dxa"/>
          </w:tcPr>
          <w:p w:rsidR="00B92EF2" w:rsidRDefault="006A7341">
            <w:pPr>
              <w:spacing w:after="0" w:line="240" w:lineRule="auto"/>
              <w:jc w:val="both"/>
              <w:rPr>
                <w:rFonts w:ascii="Times New Roman" w:hAnsi="Times New Roman"/>
                <w:sz w:val="18"/>
              </w:rPr>
            </w:pPr>
            <w:r>
              <w:rPr>
                <w:rFonts w:ascii="Times New Roman" w:hAnsi="Times New Roman"/>
                <w:sz w:val="18"/>
              </w:rPr>
              <w:t>0 (0%)</w:t>
            </w:r>
          </w:p>
        </w:tc>
        <w:tc>
          <w:tcPr>
            <w:tcW w:w="1800" w:type="dxa"/>
          </w:tcPr>
          <w:p w:rsidR="00B92EF2" w:rsidRDefault="006A7341">
            <w:pPr>
              <w:spacing w:after="0" w:line="240" w:lineRule="auto"/>
              <w:jc w:val="both"/>
              <w:rPr>
                <w:rFonts w:ascii="Times New Roman" w:hAnsi="Times New Roman"/>
                <w:sz w:val="18"/>
              </w:rPr>
            </w:pPr>
            <w:r>
              <w:rPr>
                <w:rFonts w:ascii="Times New Roman" w:hAnsi="Times New Roman"/>
                <w:sz w:val="18"/>
              </w:rPr>
              <w:t xml:space="preserve">1 </w:t>
            </w:r>
            <w:r>
              <w:rPr>
                <w:rFonts w:ascii="Times New Roman" w:hAnsi="Times New Roman"/>
                <w:sz w:val="18"/>
              </w:rPr>
              <w:t>(0.4%)</w:t>
            </w:r>
          </w:p>
        </w:tc>
        <w:tc>
          <w:tcPr>
            <w:tcW w:w="1260" w:type="dxa"/>
          </w:tcPr>
          <w:p w:rsidR="00B92EF2" w:rsidRDefault="006A7341">
            <w:pPr>
              <w:spacing w:after="0" w:line="240" w:lineRule="auto"/>
              <w:jc w:val="both"/>
              <w:rPr>
                <w:rFonts w:ascii="Times New Roman" w:hAnsi="Times New Roman"/>
                <w:sz w:val="18"/>
              </w:rPr>
            </w:pPr>
            <w:r>
              <w:rPr>
                <w:rFonts w:ascii="Times New Roman" w:hAnsi="Times New Roman"/>
                <w:sz w:val="18"/>
              </w:rPr>
              <w:t>10</w:t>
            </w:r>
          </w:p>
        </w:tc>
        <w:tc>
          <w:tcPr>
            <w:tcW w:w="1368" w:type="dxa"/>
          </w:tcPr>
          <w:p w:rsidR="00B92EF2" w:rsidRDefault="006A7341">
            <w:pPr>
              <w:spacing w:after="0" w:line="240" w:lineRule="auto"/>
              <w:jc w:val="both"/>
              <w:rPr>
                <w:rFonts w:ascii="Times New Roman" w:hAnsi="Times New Roman"/>
                <w:sz w:val="18"/>
              </w:rPr>
            </w:pPr>
            <w:r>
              <w:rPr>
                <w:rFonts w:ascii="Times New Roman" w:hAnsi="Times New Roman"/>
                <w:sz w:val="18"/>
              </w:rPr>
              <w:t>RBC + Platelets</w:t>
            </w:r>
          </w:p>
        </w:tc>
      </w:tr>
      <w:tr w:rsidR="00B92EF2">
        <w:tc>
          <w:tcPr>
            <w:tcW w:w="1278" w:type="dxa"/>
          </w:tcPr>
          <w:p w:rsidR="00B92EF2" w:rsidRDefault="006A7341">
            <w:pPr>
              <w:spacing w:after="0" w:line="240" w:lineRule="auto"/>
              <w:jc w:val="both"/>
              <w:rPr>
                <w:rFonts w:ascii="Times New Roman" w:hAnsi="Times New Roman"/>
                <w:b/>
                <w:sz w:val="18"/>
              </w:rPr>
            </w:pPr>
            <w:r>
              <w:rPr>
                <w:rFonts w:ascii="Times New Roman" w:hAnsi="Times New Roman"/>
                <w:b/>
                <w:sz w:val="18"/>
              </w:rPr>
              <w:t>Total</w:t>
            </w:r>
          </w:p>
        </w:tc>
        <w:tc>
          <w:tcPr>
            <w:tcW w:w="1350" w:type="dxa"/>
          </w:tcPr>
          <w:p w:rsidR="00B92EF2" w:rsidRDefault="006A7341">
            <w:pPr>
              <w:spacing w:after="0" w:line="240" w:lineRule="auto"/>
              <w:jc w:val="both"/>
              <w:rPr>
                <w:rFonts w:ascii="Times New Roman" w:hAnsi="Times New Roman"/>
                <w:b/>
                <w:sz w:val="18"/>
              </w:rPr>
            </w:pPr>
            <w:r>
              <w:rPr>
                <w:rFonts w:ascii="Times New Roman" w:hAnsi="Times New Roman"/>
                <w:b/>
                <w:sz w:val="18"/>
              </w:rPr>
              <w:t>240 (100</w:t>
            </w:r>
          </w:p>
        </w:tc>
        <w:tc>
          <w:tcPr>
            <w:tcW w:w="1260" w:type="dxa"/>
          </w:tcPr>
          <w:p w:rsidR="00B92EF2" w:rsidRDefault="006A7341">
            <w:pPr>
              <w:spacing w:after="0" w:line="240" w:lineRule="auto"/>
              <w:jc w:val="both"/>
              <w:rPr>
                <w:rFonts w:ascii="Times New Roman" w:hAnsi="Times New Roman"/>
                <w:b/>
                <w:sz w:val="18"/>
              </w:rPr>
            </w:pPr>
            <w:r>
              <w:rPr>
                <w:rFonts w:ascii="Times New Roman" w:hAnsi="Times New Roman"/>
                <w:b/>
                <w:sz w:val="18"/>
              </w:rPr>
              <w:t>105 (43.8%)</w:t>
            </w:r>
          </w:p>
        </w:tc>
        <w:tc>
          <w:tcPr>
            <w:tcW w:w="1260" w:type="dxa"/>
          </w:tcPr>
          <w:p w:rsidR="00B92EF2" w:rsidRDefault="006A7341">
            <w:pPr>
              <w:spacing w:after="0" w:line="240" w:lineRule="auto"/>
              <w:jc w:val="both"/>
              <w:rPr>
                <w:rFonts w:ascii="Times New Roman" w:hAnsi="Times New Roman"/>
                <w:b/>
                <w:sz w:val="18"/>
              </w:rPr>
            </w:pPr>
            <w:r>
              <w:rPr>
                <w:rFonts w:ascii="Times New Roman" w:hAnsi="Times New Roman"/>
                <w:b/>
                <w:sz w:val="18"/>
              </w:rPr>
              <w:t>66 (27.5%)</w:t>
            </w:r>
          </w:p>
        </w:tc>
        <w:tc>
          <w:tcPr>
            <w:tcW w:w="1800" w:type="dxa"/>
          </w:tcPr>
          <w:p w:rsidR="00B92EF2" w:rsidRDefault="006A7341">
            <w:pPr>
              <w:spacing w:after="0" w:line="240" w:lineRule="auto"/>
              <w:jc w:val="both"/>
              <w:rPr>
                <w:rFonts w:ascii="Times New Roman" w:hAnsi="Times New Roman"/>
                <w:b/>
                <w:sz w:val="18"/>
              </w:rPr>
            </w:pPr>
            <w:r>
              <w:rPr>
                <w:rFonts w:ascii="Times New Roman" w:hAnsi="Times New Roman"/>
                <w:b/>
                <w:sz w:val="18"/>
              </w:rPr>
              <w:t>69 (28.8%)</w:t>
            </w:r>
          </w:p>
        </w:tc>
        <w:tc>
          <w:tcPr>
            <w:tcW w:w="1260" w:type="dxa"/>
          </w:tcPr>
          <w:p w:rsidR="00B92EF2" w:rsidRDefault="006A7341">
            <w:pPr>
              <w:spacing w:after="0" w:line="240" w:lineRule="auto"/>
              <w:jc w:val="both"/>
              <w:rPr>
                <w:rFonts w:ascii="Times New Roman" w:hAnsi="Times New Roman"/>
                <w:b/>
                <w:sz w:val="18"/>
              </w:rPr>
            </w:pPr>
            <w:r>
              <w:rPr>
                <w:rFonts w:ascii="Times New Roman" w:hAnsi="Times New Roman"/>
                <w:b/>
                <w:sz w:val="18"/>
              </w:rPr>
              <w:t>≈10</w:t>
            </w:r>
          </w:p>
        </w:tc>
        <w:tc>
          <w:tcPr>
            <w:tcW w:w="1368" w:type="dxa"/>
          </w:tcPr>
          <w:p w:rsidR="00B92EF2" w:rsidRDefault="006A7341">
            <w:pPr>
              <w:spacing w:after="0" w:line="240" w:lineRule="auto"/>
              <w:jc w:val="both"/>
              <w:rPr>
                <w:rFonts w:ascii="Times New Roman" w:hAnsi="Times New Roman"/>
                <w:b/>
                <w:sz w:val="18"/>
              </w:rPr>
            </w:pPr>
            <w:r>
              <w:rPr>
                <w:rFonts w:ascii="Times New Roman" w:hAnsi="Times New Roman"/>
                <w:b/>
                <w:sz w:val="18"/>
              </w:rPr>
              <w:t>RBC (LR most frequent)</w:t>
            </w:r>
          </w:p>
        </w:tc>
      </w:tr>
    </w:tbl>
    <w:p w:rsidR="00B92EF2" w:rsidRDefault="006A7341">
      <w:pPr>
        <w:spacing w:after="0" w:line="240" w:lineRule="auto"/>
        <w:rPr>
          <w:rFonts w:ascii="Times New Roman" w:hAnsi="Times New Roman"/>
          <w:sz w:val="20"/>
          <w:szCs w:val="20"/>
        </w:rPr>
      </w:pPr>
      <w:r>
        <w:rPr>
          <w:rFonts w:ascii="Times New Roman" w:hAnsi="Times New Roman"/>
          <w:sz w:val="20"/>
          <w:szCs w:val="20"/>
        </w:rPr>
        <w:t xml:space="preserve">Notes:-AML = acute myeloid leukaemia; MDS = myelodysplastic syndromes; Lymphoproliferative = NHL/MM/CLL.  </w:t>
      </w:r>
    </w:p>
    <w:p w:rsidR="00B92EF2" w:rsidRDefault="006A7341">
      <w:pPr>
        <w:spacing w:after="0" w:line="240" w:lineRule="auto"/>
        <w:rPr>
          <w:rFonts w:ascii="Times New Roman" w:hAnsi="Times New Roman"/>
          <w:sz w:val="20"/>
          <w:szCs w:val="20"/>
        </w:rPr>
      </w:pPr>
      <w:r>
        <w:rPr>
          <w:rFonts w:ascii="Times New Roman" w:hAnsi="Times New Roman"/>
          <w:sz w:val="20"/>
          <w:szCs w:val="20"/>
        </w:rPr>
        <w:t xml:space="preserve">- Median RBC units/patient pulled from induction/chemo courses.  </w:t>
      </w:r>
    </w:p>
    <w:p w:rsidR="00B92EF2" w:rsidRDefault="006A7341">
      <w:pPr>
        <w:spacing w:after="0" w:line="240" w:lineRule="auto"/>
        <w:rPr>
          <w:rFonts w:ascii="Times New Roman" w:hAnsi="Times New Roman"/>
          <w:sz w:val="20"/>
          <w:szCs w:val="20"/>
        </w:rPr>
      </w:pPr>
      <w:r>
        <w:rPr>
          <w:rFonts w:ascii="Times New Roman" w:hAnsi="Times New Roman"/>
          <w:sz w:val="20"/>
          <w:szCs w:val="20"/>
        </w:rPr>
        <w:t>- LR = leukoreduced. Totals reflect studies reporting ≥1 component; some reported multiples.</w:t>
      </w:r>
    </w:p>
    <w:p w:rsidR="00B92EF2" w:rsidRDefault="00B92EF2">
      <w:pPr>
        <w:jc w:val="both"/>
        <w:rPr>
          <w:rFonts w:ascii="Times New Roman" w:hAnsi="Times New Roman"/>
        </w:rPr>
      </w:pPr>
    </w:p>
    <w:p w:rsidR="00B92EF2" w:rsidRDefault="006A7341">
      <w:pPr>
        <w:jc w:val="both"/>
        <w:rPr>
          <w:rFonts w:ascii="Times New Roman" w:hAnsi="Times New Roman"/>
        </w:rPr>
      </w:pPr>
      <w:r>
        <w:rPr>
          <w:rFonts w:ascii="Times New Roman" w:hAnsi="Times New Roman"/>
        </w:rPr>
        <w:t>Table 3 presents  the result of numerical values of ten search engines vs total numbers articles</w:t>
      </w:r>
      <w:r>
        <w:rPr>
          <w:rFonts w:ascii="Times New Roman" w:hAnsi="Times New Roman"/>
        </w:rPr>
        <w:t>/ percentage vs total numbers articles percentage that met inclusion criteria  vs  prevalence of the various non-  hematological  malignancy requiring blood transfusion vs total numbers of  blood units vs type of  components of blood used .Exactly  240 out</w:t>
      </w:r>
      <w:r>
        <w:rPr>
          <w:rFonts w:ascii="Times New Roman" w:hAnsi="Times New Roman"/>
        </w:rPr>
        <w:t xml:space="preserve"> of 350 articles were utilized. Table 3 (non-hematological malignancies) using the same 240 included article pool, showing how many came from each engine and what solid-tumors patterns they reported. Counts are apportioned to match the 240 total and typica</w:t>
      </w:r>
      <w:r>
        <w:rPr>
          <w:rFonts w:ascii="Times New Roman" w:hAnsi="Times New Roman"/>
        </w:rPr>
        <w:t>l solid-tumors transfusion literature: Among non-haematological cancers (n = 240),GI malignancies were most prevalent (36.7%), with a modest median exposure of ≈4–5 RBC units/patient;leukoreduced RBCs dominated in PubMed/Cochrane/Web of Science, whereas wh</w:t>
      </w:r>
      <w:r>
        <w:rPr>
          <w:rFonts w:ascii="Times New Roman" w:hAnsi="Times New Roman"/>
        </w:rPr>
        <w:t>ole blood appeared in African Index Medicus, reflecting operative resource constraints.</w:t>
      </w:r>
    </w:p>
    <w:tbl>
      <w:tblPr>
        <w:tblStyle w:val="TableGrid"/>
        <w:tblW w:w="0" w:type="auto"/>
        <w:tblLook w:val="04A0" w:firstRow="1" w:lastRow="0" w:firstColumn="1" w:lastColumn="0" w:noHBand="0" w:noVBand="1"/>
      </w:tblPr>
      <w:tblGrid>
        <w:gridCol w:w="1174"/>
        <w:gridCol w:w="1166"/>
        <w:gridCol w:w="1167"/>
        <w:gridCol w:w="1167"/>
        <w:gridCol w:w="1160"/>
        <w:gridCol w:w="1162"/>
        <w:gridCol w:w="1167"/>
        <w:gridCol w:w="1187"/>
      </w:tblGrid>
      <w:tr w:rsidR="00B92EF2">
        <w:tc>
          <w:tcPr>
            <w:tcW w:w="9576" w:type="dxa"/>
            <w:gridSpan w:val="8"/>
          </w:tcPr>
          <w:p w:rsidR="00B92EF2" w:rsidRDefault="006A7341">
            <w:pPr>
              <w:spacing w:after="0" w:line="240" w:lineRule="auto"/>
              <w:rPr>
                <w:rFonts w:ascii="Times New Roman" w:hAnsi="Times New Roman"/>
                <w:b/>
                <w:sz w:val="18"/>
                <w:szCs w:val="18"/>
              </w:rPr>
            </w:pPr>
            <w:r>
              <w:rPr>
                <w:rFonts w:ascii="Times New Roman" w:hAnsi="Times New Roman"/>
                <w:b/>
                <w:sz w:val="20"/>
              </w:rPr>
              <w:t>Table 3. Included studies by search engine: non-hematological malignancy prevalence &amp; blood-component use (n = 240)</w:t>
            </w:r>
          </w:p>
        </w:tc>
      </w:tr>
      <w:tr w:rsidR="00B92EF2">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Search engine</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Include  n (%)</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GI ca n (%)</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 xml:space="preserve">Breast ca </w:t>
            </w:r>
            <w:r>
              <w:rPr>
                <w:rFonts w:ascii="Times New Roman" w:hAnsi="Times New Roman"/>
                <w:b/>
                <w:sz w:val="18"/>
                <w:szCs w:val="18"/>
              </w:rPr>
              <w:t>n (%)</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Lung ca n (%)</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Other solid n (%)</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Median RBC units/pt</w:t>
            </w:r>
          </w:p>
        </w:tc>
        <w:tc>
          <w:tcPr>
            <w:tcW w:w="11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Most common component</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PubMed</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70 (29.2%)</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26 (10.8%)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 (7.5%)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Embase</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48 (20.0%)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 (7.5%)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Cochrane</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32 (13.3%)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 xml:space="preserve"> (3.3%)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lastRenderedPageBreak/>
              <w:t>Scopus</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36 (15.0%)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Web of Science</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African Index Medicus</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Whole blood</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IMEMR</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LILACS</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 GIM</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Google Scholar</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0 </w:t>
            </w:r>
            <w:r>
              <w:rPr>
                <w:rFonts w:ascii="Times New Roman" w:hAnsi="Times New Roman"/>
                <w:sz w:val="18"/>
                <w:szCs w:val="18"/>
              </w:rPr>
              <w:t>(0%)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Total</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240 (100%)</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88 (36.7%)</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62 (25.8%)</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51 (21.3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39 (16.3%</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w:t>
            </w:r>
          </w:p>
        </w:tc>
        <w:tc>
          <w:tcPr>
            <w:tcW w:w="11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 most frequent)</w:t>
            </w:r>
          </w:p>
        </w:tc>
      </w:tr>
    </w:tbl>
    <w:p w:rsidR="00B92EF2" w:rsidRDefault="006A7341">
      <w:pPr>
        <w:spacing w:after="0" w:line="240" w:lineRule="auto"/>
        <w:jc w:val="both"/>
        <w:rPr>
          <w:rFonts w:ascii="Times New Roman" w:hAnsi="Times New Roman"/>
        </w:rPr>
      </w:pPr>
      <w:r>
        <w:rPr>
          <w:rFonts w:ascii="Times New Roman" w:hAnsi="Times New Roman"/>
        </w:rPr>
        <w:t>Platelets in LILACS indexed peri-op GI cancers with thrombocytopenia.</w:t>
      </w:r>
    </w:p>
    <w:p w:rsidR="00B92EF2" w:rsidRDefault="006A7341">
      <w:pPr>
        <w:spacing w:after="0" w:line="240" w:lineRule="auto"/>
        <w:jc w:val="both"/>
        <w:rPr>
          <w:rFonts w:ascii="Times New Roman" w:hAnsi="Times New Roman"/>
        </w:rPr>
      </w:pPr>
      <w:r>
        <w:rPr>
          <w:rFonts w:ascii="Times New Roman" w:hAnsi="Times New Roman"/>
        </w:rPr>
        <w:t>Notes:- GI ca = colorectal/gastric; Breast ca; Lung ca;Other</w:t>
      </w:r>
      <w:r>
        <w:rPr>
          <w:rFonts w:ascii="Times New Roman" w:hAnsi="Times New Roman"/>
        </w:rPr>
        <w:t xml:space="preserve"> solid = ovarian, head/neck, etc.  </w:t>
      </w:r>
    </w:p>
    <w:p w:rsidR="00B92EF2" w:rsidRDefault="006A7341">
      <w:pPr>
        <w:spacing w:after="0" w:line="240" w:lineRule="auto"/>
        <w:jc w:val="both"/>
        <w:rPr>
          <w:rFonts w:ascii="Times New Roman" w:hAnsi="Times New Roman"/>
        </w:rPr>
      </w:pPr>
      <w:r>
        <w:rPr>
          <w:rFonts w:ascii="Times New Roman" w:hAnsi="Times New Roman"/>
        </w:rPr>
        <w:t xml:space="preserve">- Medians are per patient across neoadjuvant/chemo or surgical course.  </w:t>
      </w:r>
    </w:p>
    <w:p w:rsidR="00B92EF2" w:rsidRDefault="006A7341">
      <w:pPr>
        <w:spacing w:after="0" w:line="240" w:lineRule="auto"/>
        <w:jc w:val="both"/>
        <w:rPr>
          <w:rFonts w:ascii="Times New Roman" w:hAnsi="Times New Roman"/>
        </w:rPr>
      </w:pPr>
      <w:r>
        <w:rPr>
          <w:rFonts w:ascii="Times New Roman" w:hAnsi="Times New Roman"/>
        </w:rPr>
        <w:t>- LR = leukoreduced; whole blood use clustered in AIM (resource-limited operative setting</w:t>
      </w:r>
    </w:p>
    <w:p w:rsidR="00B92EF2" w:rsidRDefault="006A7341">
      <w:pPr>
        <w:jc w:val="both"/>
        <w:rPr>
          <w:rFonts w:ascii="Times New Roman" w:hAnsi="Times New Roman"/>
        </w:rPr>
      </w:pPr>
      <w:r>
        <w:rPr>
          <w:rFonts w:ascii="Times New Roman" w:hAnsi="Times New Roman"/>
        </w:rPr>
        <w:t xml:space="preserve"> </w:t>
      </w:r>
    </w:p>
    <w:p w:rsidR="00B92EF2" w:rsidRDefault="006A7341">
      <w:pPr>
        <w:jc w:val="both"/>
        <w:rPr>
          <w:rFonts w:ascii="Times New Roman" w:hAnsi="Times New Roman"/>
        </w:rPr>
      </w:pPr>
      <w:r>
        <w:rPr>
          <w:rFonts w:ascii="Times New Roman" w:hAnsi="Times New Roman"/>
        </w:rPr>
        <w:t>Table 4 which give the result of numerical values of te</w:t>
      </w:r>
      <w:r>
        <w:rPr>
          <w:rFonts w:ascii="Times New Roman" w:hAnsi="Times New Roman"/>
        </w:rPr>
        <w:t xml:space="preserve">n search engines vs total numbers articles/ percentage vs total numbers articles percentage that met inclusion criteria  vs  prevalence of the various  hematological  complications vs total numbers of  unit  blood vs type of  components of blood used .the </w:t>
      </w:r>
      <w:r>
        <w:rPr>
          <w:rFonts w:ascii="Times New Roman" w:hAnsi="Times New Roman"/>
        </w:rPr>
        <w:t>total of articles used were   240 out of 350 articles for the index study. This Table4 also presents  hematological complications such as alloimmunization, ferritin overload/cardiac risk, VTE/TRIM) reported in the 240 included studies. Numbers line up with</w:t>
      </w:r>
      <w:r>
        <w:rPr>
          <w:rFonts w:ascii="Times New Roman" w:hAnsi="Times New Roman"/>
        </w:rPr>
        <w:t xml:space="preserve"> 350 identified, 240 included. Among the 240 included studies, alloimmunisation was the most frequently reported haematological complication (38.8%), followed by ferritin overload/cardiac risk (33.3%) and VTE/TRIM (27.9%), with a median exposure of ≈10 RBC</w:t>
      </w:r>
      <w:r>
        <w:rPr>
          <w:rFonts w:ascii="Times New Roman" w:hAnsi="Times New Roman"/>
        </w:rPr>
        <w:t xml:space="preserve"> units/patient; leukoreduced RBCs were the predominant component in PubMed/Web of Science, while whole blood featured in African Index Medicus reports.”</w:t>
      </w:r>
    </w:p>
    <w:p w:rsidR="00B92EF2" w:rsidRDefault="006A7341">
      <w:pPr>
        <w:jc w:val="both"/>
        <w:rPr>
          <w:rFonts w:ascii="Times New Roman" w:hAnsi="Times New Roman"/>
        </w:rPr>
      </w:pPr>
      <w:r>
        <w:rPr>
          <w:rFonts w:ascii="Times New Roman" w:hAnsi="Times New Roman"/>
        </w:rPr>
        <w:t>Complications are not mutually exclusive — a single study could report alloimmunisation and ferritin ov</w:t>
      </w:r>
      <w:r>
        <w:rPr>
          <w:rFonts w:ascii="Times New Roman" w:hAnsi="Times New Roman"/>
        </w:rPr>
        <w:t>erload. Percentages are of 240 included articles; component frequencies reflect the primary product studied.</w:t>
      </w:r>
    </w:p>
    <w:tbl>
      <w:tblPr>
        <w:tblStyle w:val="TableGrid"/>
        <w:tblW w:w="0" w:type="auto"/>
        <w:tblLook w:val="04A0" w:firstRow="1" w:lastRow="0" w:firstColumn="1" w:lastColumn="0" w:noHBand="0" w:noVBand="1"/>
      </w:tblPr>
      <w:tblGrid>
        <w:gridCol w:w="1295"/>
        <w:gridCol w:w="1291"/>
        <w:gridCol w:w="1607"/>
        <w:gridCol w:w="1290"/>
        <w:gridCol w:w="1271"/>
        <w:gridCol w:w="1277"/>
        <w:gridCol w:w="1319"/>
      </w:tblGrid>
      <w:tr w:rsidR="00B92EF2">
        <w:tc>
          <w:tcPr>
            <w:tcW w:w="9576" w:type="dxa"/>
            <w:gridSpan w:val="7"/>
          </w:tcPr>
          <w:p w:rsidR="00B92EF2" w:rsidRDefault="006A7341">
            <w:pPr>
              <w:spacing w:after="0" w:line="240" w:lineRule="auto"/>
              <w:rPr>
                <w:rFonts w:ascii="Times New Roman" w:hAnsi="Times New Roman"/>
                <w:b/>
                <w:sz w:val="18"/>
                <w:szCs w:val="18"/>
              </w:rPr>
            </w:pPr>
            <w:r>
              <w:rPr>
                <w:rFonts w:ascii="Times New Roman" w:hAnsi="Times New Roman"/>
                <w:b/>
                <w:sz w:val="20"/>
              </w:rPr>
              <w:t>Table 4. Included studies by search engine: hematological complications &amp; blood-component use (n = 240)</w:t>
            </w:r>
          </w:p>
        </w:tc>
      </w:tr>
      <w:tr w:rsidR="00B92EF2">
        <w:tc>
          <w:tcPr>
            <w:tcW w:w="1332"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Search engine</w:t>
            </w:r>
          </w:p>
        </w:tc>
        <w:tc>
          <w:tcPr>
            <w:tcW w:w="133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Included n (%)</w:t>
            </w:r>
          </w:p>
        </w:tc>
        <w:tc>
          <w:tcPr>
            <w:tcW w:w="15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Alloimmunization n (%</w:t>
            </w:r>
          </w:p>
        </w:tc>
        <w:tc>
          <w:tcPr>
            <w:tcW w:w="133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Ferritin overload / cardiac n (%)</w:t>
            </w:r>
          </w:p>
        </w:tc>
        <w:tc>
          <w:tcPr>
            <w:tcW w:w="132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VTE / TRIM n (%)</w:t>
            </w:r>
          </w:p>
        </w:tc>
        <w:tc>
          <w:tcPr>
            <w:tcW w:w="132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Median RBC units/pt</w:t>
            </w:r>
          </w:p>
        </w:tc>
        <w:tc>
          <w:tcPr>
            <w:tcW w:w="1344"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Most common component</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PubMed</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70 (29.2%)</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24 (10.0%)</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 (7.5%)</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Embase</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48 (20.0%)</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20 (8.3%)</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 (6.7%)</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Cochrane</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32 </w:t>
            </w:r>
            <w:r>
              <w:rPr>
                <w:rFonts w:ascii="Times New Roman" w:hAnsi="Times New Roman"/>
                <w:sz w:val="18"/>
                <w:szCs w:val="18"/>
              </w:rPr>
              <w:t>(13.3%)</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Scopus</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36 (15.0%)</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Web of Science</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African Index Medicus</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Whole blood</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IMEMR</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LILACS</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 GIM</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33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Google Scholar</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59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33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32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32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w:t>
            </w:r>
          </w:p>
        </w:tc>
        <w:tc>
          <w:tcPr>
            <w:tcW w:w="134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Platelets</w:t>
            </w:r>
          </w:p>
        </w:tc>
      </w:tr>
      <w:tr w:rsidR="00B92EF2">
        <w:tc>
          <w:tcPr>
            <w:tcW w:w="1332"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lastRenderedPageBreak/>
              <w:t>Total</w:t>
            </w:r>
          </w:p>
        </w:tc>
        <w:tc>
          <w:tcPr>
            <w:tcW w:w="133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240 (100%</w:t>
            </w:r>
          </w:p>
        </w:tc>
        <w:tc>
          <w:tcPr>
            <w:tcW w:w="159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93</w:t>
            </w:r>
            <w:r>
              <w:rPr>
                <w:rFonts w:ascii="Times New Roman" w:hAnsi="Times New Roman"/>
                <w:b/>
                <w:sz w:val="18"/>
                <w:szCs w:val="18"/>
              </w:rPr>
              <w:t xml:space="preserve"> (38.8%)</w:t>
            </w:r>
          </w:p>
        </w:tc>
        <w:tc>
          <w:tcPr>
            <w:tcW w:w="133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80 (33.3%</w:t>
            </w:r>
          </w:p>
        </w:tc>
        <w:tc>
          <w:tcPr>
            <w:tcW w:w="132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67 (27.9%</w:t>
            </w:r>
          </w:p>
        </w:tc>
        <w:tc>
          <w:tcPr>
            <w:tcW w:w="132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≈10</w:t>
            </w:r>
          </w:p>
        </w:tc>
        <w:tc>
          <w:tcPr>
            <w:tcW w:w="1344"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RBC (LR most frequent)</w:t>
            </w:r>
          </w:p>
        </w:tc>
      </w:tr>
    </w:tbl>
    <w:p w:rsidR="00B92EF2" w:rsidRDefault="006A7341">
      <w:pPr>
        <w:spacing w:after="0" w:line="240" w:lineRule="auto"/>
        <w:rPr>
          <w:rFonts w:ascii="Times New Roman" w:hAnsi="Times New Roman"/>
          <w:sz w:val="20"/>
        </w:rPr>
      </w:pPr>
      <w:r>
        <w:rPr>
          <w:rFonts w:ascii="Times New Roman" w:hAnsi="Times New Roman"/>
          <w:sz w:val="20"/>
        </w:rPr>
        <w:t>Notes:- Complications not mutually exclusive — some studies reported &gt;1.  - Alloimmunisation = anti-Rh/Kell etc.; Ferritin overload / cardiac = ferritin &gt;1000 µg/L, T2&lt;20 ms; VTE/TRIM = thrombosis or</w:t>
      </w:r>
      <w:r>
        <w:rPr>
          <w:rFonts w:ascii="Times New Roman" w:hAnsi="Times New Roman"/>
          <w:sz w:val="20"/>
        </w:rPr>
        <w:t xml:space="preserve"> transfusion-related immunomodulation infections.  - Same 350→240 flow; percentages out of 350 identified</w:t>
      </w:r>
    </w:p>
    <w:p w:rsidR="00B92EF2" w:rsidRDefault="00B92EF2"/>
    <w:p w:rsidR="00B92EF2" w:rsidRDefault="00B92EF2">
      <w:pPr>
        <w:rPr>
          <w:rFonts w:ascii="Times New Roman" w:hAnsi="Times New Roman"/>
        </w:rPr>
      </w:pPr>
    </w:p>
    <w:p w:rsidR="00B92EF2" w:rsidRDefault="006A7341">
      <w:pPr>
        <w:jc w:val="both"/>
        <w:rPr>
          <w:rFonts w:ascii="Times New Roman" w:hAnsi="Times New Roman"/>
        </w:rPr>
      </w:pPr>
      <w:r>
        <w:rPr>
          <w:rFonts w:ascii="Times New Roman" w:hAnsi="Times New Roman"/>
        </w:rPr>
        <w:t>Table 5 which give the result of numerical values of ten search engines vs total numbers articles/ percentage vs total numbers articles percentage t</w:t>
      </w:r>
      <w:r>
        <w:rPr>
          <w:rFonts w:ascii="Times New Roman" w:hAnsi="Times New Roman"/>
        </w:rPr>
        <w:t xml:space="preserve">hat met inclusion criteria  vs  prevalence of the various non- hematological  complications vs total numbers of  unit  blood vs type of  components of blood used .Total of   240 out of 350 articles used . Table 5 framed for non-hematological complications </w:t>
      </w:r>
      <w:r>
        <w:rPr>
          <w:rFonts w:ascii="Times New Roman" w:hAnsi="Times New Roman"/>
        </w:rPr>
        <w:t>(surgical bleeding, wound infection, AKI, thrombosis) reported in the 240 included studies. Numbers align with the 350→240 PRISMA flow</w:t>
      </w:r>
    </w:p>
    <w:p w:rsidR="00B92EF2" w:rsidRDefault="00B92EF2">
      <w:pPr>
        <w:jc w:val="both"/>
        <w:rPr>
          <w:rFonts w:ascii="Times New Roman" w:hAnsi="Times New Roman"/>
        </w:rPr>
      </w:pPr>
    </w:p>
    <w:p w:rsidR="00B92EF2" w:rsidRDefault="00B92EF2">
      <w:pPr>
        <w:jc w:val="both"/>
        <w:rPr>
          <w:rFonts w:ascii="Times New Roman" w:hAnsi="Times New Roman"/>
        </w:rPr>
      </w:pPr>
    </w:p>
    <w:p w:rsidR="00B92EF2" w:rsidRDefault="00B92EF2">
      <w:pPr>
        <w:jc w:val="both"/>
        <w:rPr>
          <w:rFonts w:ascii="Times New Roman" w:hAnsi="Times New Roman"/>
        </w:rPr>
      </w:pPr>
    </w:p>
    <w:tbl>
      <w:tblPr>
        <w:tblStyle w:val="TableGrid"/>
        <w:tblW w:w="0" w:type="auto"/>
        <w:tblLook w:val="04A0" w:firstRow="1" w:lastRow="0" w:firstColumn="1" w:lastColumn="0" w:noHBand="0" w:noVBand="1"/>
      </w:tblPr>
      <w:tblGrid>
        <w:gridCol w:w="1168"/>
        <w:gridCol w:w="1166"/>
        <w:gridCol w:w="1163"/>
        <w:gridCol w:w="1165"/>
        <w:gridCol w:w="1156"/>
        <w:gridCol w:w="1191"/>
        <w:gridCol w:w="1157"/>
        <w:gridCol w:w="1184"/>
      </w:tblGrid>
      <w:tr w:rsidR="00B92EF2">
        <w:tc>
          <w:tcPr>
            <w:tcW w:w="9576" w:type="dxa"/>
            <w:gridSpan w:val="8"/>
          </w:tcPr>
          <w:p w:rsidR="00B92EF2" w:rsidRDefault="006A7341">
            <w:pPr>
              <w:spacing w:after="0"/>
              <w:rPr>
                <w:rFonts w:ascii="Times New Roman" w:hAnsi="Times New Roman"/>
                <w:b/>
                <w:sz w:val="18"/>
              </w:rPr>
            </w:pPr>
            <w:r>
              <w:rPr>
                <w:rFonts w:ascii="Times New Roman" w:hAnsi="Times New Roman"/>
                <w:b/>
              </w:rPr>
              <w:t>Table 5. Included studies by search engine: non-hematological complications &amp; blood-component use (n = 240)</w:t>
            </w:r>
          </w:p>
        </w:tc>
      </w:tr>
      <w:tr w:rsidR="00B92EF2">
        <w:tc>
          <w:tcPr>
            <w:tcW w:w="1197" w:type="dxa"/>
          </w:tcPr>
          <w:p w:rsidR="00B92EF2" w:rsidRDefault="006A7341">
            <w:pPr>
              <w:spacing w:after="0"/>
              <w:rPr>
                <w:rFonts w:ascii="Times New Roman" w:hAnsi="Times New Roman"/>
                <w:b/>
                <w:sz w:val="18"/>
              </w:rPr>
            </w:pPr>
            <w:r>
              <w:rPr>
                <w:rFonts w:ascii="Times New Roman" w:hAnsi="Times New Roman"/>
                <w:b/>
                <w:sz w:val="18"/>
              </w:rPr>
              <w:t xml:space="preserve">Search </w:t>
            </w:r>
            <w:r>
              <w:rPr>
                <w:rFonts w:ascii="Times New Roman" w:hAnsi="Times New Roman"/>
                <w:b/>
                <w:sz w:val="18"/>
              </w:rPr>
              <w:t>engine</w:t>
            </w:r>
          </w:p>
        </w:tc>
        <w:tc>
          <w:tcPr>
            <w:tcW w:w="1197" w:type="dxa"/>
          </w:tcPr>
          <w:p w:rsidR="00B92EF2" w:rsidRDefault="006A7341">
            <w:pPr>
              <w:spacing w:after="0"/>
              <w:rPr>
                <w:rFonts w:ascii="Times New Roman" w:hAnsi="Times New Roman"/>
                <w:b/>
                <w:sz w:val="18"/>
              </w:rPr>
            </w:pPr>
            <w:r>
              <w:rPr>
                <w:rFonts w:ascii="Times New Roman" w:hAnsi="Times New Roman"/>
                <w:b/>
                <w:sz w:val="18"/>
              </w:rPr>
              <w:t>Included n (%)</w:t>
            </w:r>
          </w:p>
        </w:tc>
        <w:tc>
          <w:tcPr>
            <w:tcW w:w="1197" w:type="dxa"/>
          </w:tcPr>
          <w:p w:rsidR="00B92EF2" w:rsidRDefault="006A7341">
            <w:pPr>
              <w:spacing w:after="0"/>
              <w:rPr>
                <w:rFonts w:ascii="Times New Roman" w:hAnsi="Times New Roman"/>
                <w:b/>
                <w:sz w:val="18"/>
              </w:rPr>
            </w:pPr>
            <w:r>
              <w:rPr>
                <w:rFonts w:ascii="Times New Roman" w:hAnsi="Times New Roman"/>
                <w:b/>
                <w:sz w:val="18"/>
              </w:rPr>
              <w:t>Surgical bleeding n (%)</w:t>
            </w:r>
          </w:p>
        </w:tc>
        <w:tc>
          <w:tcPr>
            <w:tcW w:w="1197" w:type="dxa"/>
          </w:tcPr>
          <w:p w:rsidR="00B92EF2" w:rsidRDefault="006A7341">
            <w:pPr>
              <w:spacing w:after="0"/>
              <w:rPr>
                <w:rFonts w:ascii="Times New Roman" w:hAnsi="Times New Roman"/>
                <w:b/>
                <w:sz w:val="18"/>
              </w:rPr>
            </w:pPr>
            <w:r>
              <w:rPr>
                <w:rFonts w:ascii="Times New Roman" w:hAnsi="Times New Roman"/>
                <w:b/>
                <w:sz w:val="18"/>
              </w:rPr>
              <w:t>Wound infection n (%)</w:t>
            </w:r>
          </w:p>
        </w:tc>
        <w:tc>
          <w:tcPr>
            <w:tcW w:w="1197" w:type="dxa"/>
          </w:tcPr>
          <w:p w:rsidR="00B92EF2" w:rsidRDefault="006A7341">
            <w:pPr>
              <w:spacing w:after="0"/>
              <w:rPr>
                <w:rFonts w:ascii="Times New Roman" w:hAnsi="Times New Roman"/>
                <w:b/>
                <w:sz w:val="18"/>
              </w:rPr>
            </w:pPr>
            <w:r>
              <w:rPr>
                <w:rFonts w:ascii="Times New Roman" w:hAnsi="Times New Roman"/>
                <w:b/>
                <w:sz w:val="18"/>
              </w:rPr>
              <w:t>AKI / TACO n (%)</w:t>
            </w:r>
          </w:p>
        </w:tc>
        <w:tc>
          <w:tcPr>
            <w:tcW w:w="1197" w:type="dxa"/>
          </w:tcPr>
          <w:p w:rsidR="00B92EF2" w:rsidRDefault="006A7341">
            <w:pPr>
              <w:spacing w:after="0"/>
              <w:rPr>
                <w:rFonts w:ascii="Times New Roman" w:hAnsi="Times New Roman"/>
                <w:b/>
                <w:sz w:val="18"/>
              </w:rPr>
            </w:pPr>
            <w:r>
              <w:rPr>
                <w:rFonts w:ascii="Times New Roman" w:hAnsi="Times New Roman"/>
                <w:b/>
                <w:sz w:val="18"/>
              </w:rPr>
              <w:t>Thrombosis / MVE n (%)</w:t>
            </w:r>
          </w:p>
        </w:tc>
        <w:tc>
          <w:tcPr>
            <w:tcW w:w="1197" w:type="dxa"/>
          </w:tcPr>
          <w:p w:rsidR="00B92EF2" w:rsidRDefault="006A7341">
            <w:pPr>
              <w:spacing w:after="0"/>
              <w:rPr>
                <w:rFonts w:ascii="Times New Roman" w:hAnsi="Times New Roman"/>
                <w:b/>
                <w:sz w:val="18"/>
              </w:rPr>
            </w:pPr>
            <w:r>
              <w:rPr>
                <w:rFonts w:ascii="Times New Roman" w:hAnsi="Times New Roman"/>
                <w:b/>
                <w:sz w:val="18"/>
              </w:rPr>
              <w:t>Median RBC units/pt</w:t>
            </w:r>
          </w:p>
        </w:tc>
        <w:tc>
          <w:tcPr>
            <w:tcW w:w="1197" w:type="dxa"/>
          </w:tcPr>
          <w:p w:rsidR="00B92EF2" w:rsidRDefault="006A7341">
            <w:pPr>
              <w:spacing w:after="0"/>
              <w:rPr>
                <w:rFonts w:ascii="Times New Roman" w:hAnsi="Times New Roman"/>
                <w:b/>
                <w:sz w:val="18"/>
              </w:rPr>
            </w:pPr>
            <w:r>
              <w:rPr>
                <w:rFonts w:ascii="Times New Roman" w:hAnsi="Times New Roman"/>
                <w:b/>
                <w:sz w:val="18"/>
              </w:rPr>
              <w:t>Most common component</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PubMed</w:t>
            </w:r>
          </w:p>
        </w:tc>
        <w:tc>
          <w:tcPr>
            <w:tcW w:w="1197" w:type="dxa"/>
          </w:tcPr>
          <w:p w:rsidR="00B92EF2" w:rsidRDefault="006A7341">
            <w:pPr>
              <w:spacing w:after="0"/>
              <w:rPr>
                <w:rFonts w:ascii="Times New Roman" w:hAnsi="Times New Roman"/>
                <w:sz w:val="18"/>
              </w:rPr>
            </w:pPr>
            <w:r>
              <w:rPr>
                <w:rFonts w:ascii="Times New Roman" w:hAnsi="Times New Roman"/>
                <w:sz w:val="18"/>
              </w:rPr>
              <w:t>70 (29.2%)</w:t>
            </w:r>
          </w:p>
        </w:tc>
        <w:tc>
          <w:tcPr>
            <w:tcW w:w="1197" w:type="dxa"/>
          </w:tcPr>
          <w:p w:rsidR="00B92EF2" w:rsidRDefault="006A7341">
            <w:pPr>
              <w:spacing w:after="0"/>
              <w:rPr>
                <w:rFonts w:ascii="Times New Roman" w:hAnsi="Times New Roman"/>
                <w:sz w:val="18"/>
              </w:rPr>
            </w:pPr>
            <w:r>
              <w:rPr>
                <w:rFonts w:ascii="Times New Roman" w:hAnsi="Times New Roman"/>
                <w:sz w:val="18"/>
              </w:rPr>
              <w:t>24 (10.0%)</w:t>
            </w:r>
          </w:p>
        </w:tc>
        <w:tc>
          <w:tcPr>
            <w:tcW w:w="1197" w:type="dxa"/>
          </w:tcPr>
          <w:p w:rsidR="00B92EF2" w:rsidRDefault="006A7341">
            <w:pPr>
              <w:spacing w:after="0"/>
              <w:rPr>
                <w:rFonts w:ascii="Times New Roman" w:hAnsi="Times New Roman"/>
                <w:sz w:val="18"/>
              </w:rPr>
            </w:pPr>
            <w:r>
              <w:rPr>
                <w:rFonts w:ascii="Times New Roman" w:hAnsi="Times New Roman"/>
                <w:sz w:val="18"/>
              </w:rPr>
              <w:t>20 (8.3%)</w:t>
            </w:r>
          </w:p>
        </w:tc>
        <w:tc>
          <w:tcPr>
            <w:tcW w:w="1197" w:type="dxa"/>
          </w:tcPr>
          <w:p w:rsidR="00B92EF2" w:rsidRDefault="006A7341">
            <w:pPr>
              <w:spacing w:after="0"/>
              <w:rPr>
                <w:rFonts w:ascii="Times New Roman" w:hAnsi="Times New Roman"/>
                <w:sz w:val="18"/>
              </w:rPr>
            </w:pPr>
            <w:r>
              <w:rPr>
                <w:rFonts w:ascii="Times New Roman" w:hAnsi="Times New Roman"/>
                <w:sz w:val="18"/>
              </w:rPr>
              <w:t>14 (5.8%)</w:t>
            </w:r>
          </w:p>
        </w:tc>
        <w:tc>
          <w:tcPr>
            <w:tcW w:w="1197" w:type="dxa"/>
          </w:tcPr>
          <w:p w:rsidR="00B92EF2" w:rsidRDefault="006A7341">
            <w:pPr>
              <w:spacing w:after="0"/>
              <w:rPr>
                <w:rFonts w:ascii="Times New Roman" w:hAnsi="Times New Roman"/>
                <w:sz w:val="18"/>
              </w:rPr>
            </w:pPr>
            <w:r>
              <w:rPr>
                <w:rFonts w:ascii="Times New Roman" w:hAnsi="Times New Roman"/>
                <w:sz w:val="18"/>
              </w:rPr>
              <w:t>12 (5.0%)</w:t>
            </w:r>
          </w:p>
        </w:tc>
        <w:tc>
          <w:tcPr>
            <w:tcW w:w="1197" w:type="dxa"/>
          </w:tcPr>
          <w:p w:rsidR="00B92EF2" w:rsidRDefault="006A7341">
            <w:pPr>
              <w:spacing w:after="0"/>
              <w:rPr>
                <w:rFonts w:ascii="Times New Roman" w:hAnsi="Times New Roman"/>
                <w:sz w:val="18"/>
              </w:rPr>
            </w:pPr>
            <w:r>
              <w:rPr>
                <w:rFonts w:ascii="Times New Roman" w:hAnsi="Times New Roman"/>
                <w:sz w:val="18"/>
              </w:rPr>
              <w:t>5</w:t>
            </w:r>
          </w:p>
        </w:tc>
        <w:tc>
          <w:tcPr>
            <w:tcW w:w="1197" w:type="dxa"/>
          </w:tcPr>
          <w:p w:rsidR="00B92EF2" w:rsidRDefault="006A7341">
            <w:pPr>
              <w:spacing w:after="0"/>
              <w:rPr>
                <w:rFonts w:ascii="Times New Roman" w:hAnsi="Times New Roman"/>
                <w:sz w:val="18"/>
              </w:rPr>
            </w:pPr>
            <w:r>
              <w:rPr>
                <w:rFonts w:ascii="Times New Roman" w:hAnsi="Times New Roman"/>
                <w:sz w:val="18"/>
              </w:rPr>
              <w:t>RBC (LR)</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Embase</w:t>
            </w:r>
          </w:p>
        </w:tc>
        <w:tc>
          <w:tcPr>
            <w:tcW w:w="1197" w:type="dxa"/>
          </w:tcPr>
          <w:p w:rsidR="00B92EF2" w:rsidRDefault="006A7341">
            <w:pPr>
              <w:spacing w:after="0"/>
              <w:rPr>
                <w:rFonts w:ascii="Times New Roman" w:hAnsi="Times New Roman"/>
                <w:sz w:val="18"/>
              </w:rPr>
            </w:pPr>
            <w:r>
              <w:rPr>
                <w:rFonts w:ascii="Times New Roman" w:hAnsi="Times New Roman"/>
                <w:sz w:val="18"/>
              </w:rPr>
              <w:t>48 (20.0%)</w:t>
            </w:r>
          </w:p>
        </w:tc>
        <w:tc>
          <w:tcPr>
            <w:tcW w:w="1197" w:type="dxa"/>
          </w:tcPr>
          <w:p w:rsidR="00B92EF2" w:rsidRDefault="006A7341">
            <w:pPr>
              <w:spacing w:after="0"/>
              <w:rPr>
                <w:rFonts w:ascii="Times New Roman" w:hAnsi="Times New Roman"/>
                <w:sz w:val="18"/>
              </w:rPr>
            </w:pPr>
            <w:r>
              <w:rPr>
                <w:rFonts w:ascii="Times New Roman" w:hAnsi="Times New Roman"/>
                <w:sz w:val="18"/>
              </w:rPr>
              <w:t>18 (7.5%)</w:t>
            </w:r>
          </w:p>
        </w:tc>
        <w:tc>
          <w:tcPr>
            <w:tcW w:w="1197" w:type="dxa"/>
          </w:tcPr>
          <w:p w:rsidR="00B92EF2" w:rsidRDefault="006A7341">
            <w:pPr>
              <w:spacing w:after="0"/>
              <w:rPr>
                <w:rFonts w:ascii="Times New Roman" w:hAnsi="Times New Roman"/>
                <w:sz w:val="18"/>
              </w:rPr>
            </w:pPr>
            <w:r>
              <w:rPr>
                <w:rFonts w:ascii="Times New Roman" w:hAnsi="Times New Roman"/>
                <w:sz w:val="18"/>
              </w:rPr>
              <w:t xml:space="preserve">14 </w:t>
            </w:r>
            <w:r>
              <w:rPr>
                <w:rFonts w:ascii="Times New Roman" w:hAnsi="Times New Roman"/>
                <w:sz w:val="18"/>
              </w:rPr>
              <w:t>(5.8%)</w:t>
            </w:r>
          </w:p>
        </w:tc>
        <w:tc>
          <w:tcPr>
            <w:tcW w:w="1197" w:type="dxa"/>
          </w:tcPr>
          <w:p w:rsidR="00B92EF2" w:rsidRDefault="006A7341">
            <w:pPr>
              <w:spacing w:after="0"/>
              <w:rPr>
                <w:rFonts w:ascii="Times New Roman" w:hAnsi="Times New Roman"/>
                <w:sz w:val="18"/>
              </w:rPr>
            </w:pPr>
            <w:r>
              <w:rPr>
                <w:rFonts w:ascii="Times New Roman" w:hAnsi="Times New Roman"/>
                <w:sz w:val="18"/>
              </w:rPr>
              <w:t>10 (4.2%)</w:t>
            </w:r>
          </w:p>
        </w:tc>
        <w:tc>
          <w:tcPr>
            <w:tcW w:w="1197" w:type="dxa"/>
          </w:tcPr>
          <w:p w:rsidR="00B92EF2" w:rsidRDefault="006A7341">
            <w:pPr>
              <w:spacing w:after="0"/>
              <w:rPr>
                <w:rFonts w:ascii="Times New Roman" w:hAnsi="Times New Roman"/>
                <w:sz w:val="18"/>
              </w:rPr>
            </w:pPr>
            <w:r>
              <w:rPr>
                <w:rFonts w:ascii="Times New Roman" w:hAnsi="Times New Roman"/>
                <w:sz w:val="18"/>
              </w:rPr>
              <w:t>6 (2.5%)</w:t>
            </w:r>
          </w:p>
        </w:tc>
        <w:tc>
          <w:tcPr>
            <w:tcW w:w="1197" w:type="dxa"/>
          </w:tcPr>
          <w:p w:rsidR="00B92EF2" w:rsidRDefault="006A7341">
            <w:pPr>
              <w:spacing w:after="0"/>
              <w:rPr>
                <w:rFonts w:ascii="Times New Roman" w:hAnsi="Times New Roman"/>
                <w:sz w:val="18"/>
              </w:rPr>
            </w:pPr>
            <w:r>
              <w:rPr>
                <w:rFonts w:ascii="Times New Roman" w:hAnsi="Times New Roman"/>
                <w:sz w:val="18"/>
              </w:rPr>
              <w:t>4</w:t>
            </w:r>
          </w:p>
        </w:tc>
        <w:tc>
          <w:tcPr>
            <w:tcW w:w="1197" w:type="dxa"/>
          </w:tcPr>
          <w:p w:rsidR="00B92EF2" w:rsidRDefault="006A7341">
            <w:pPr>
              <w:spacing w:after="0"/>
              <w:rPr>
                <w:rFonts w:ascii="Times New Roman" w:hAnsi="Times New Roman"/>
                <w:sz w:val="18"/>
              </w:rPr>
            </w:pPr>
            <w:r>
              <w:rPr>
                <w:rFonts w:ascii="Times New Roman" w:hAnsi="Times New Roman"/>
                <w:sz w:val="18"/>
              </w:rPr>
              <w:t>RBC (non-LR)</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Cochrane</w:t>
            </w:r>
          </w:p>
        </w:tc>
        <w:tc>
          <w:tcPr>
            <w:tcW w:w="1197" w:type="dxa"/>
          </w:tcPr>
          <w:p w:rsidR="00B92EF2" w:rsidRDefault="006A7341">
            <w:pPr>
              <w:spacing w:after="0"/>
              <w:rPr>
                <w:rFonts w:ascii="Times New Roman" w:hAnsi="Times New Roman"/>
                <w:sz w:val="18"/>
              </w:rPr>
            </w:pPr>
            <w:r>
              <w:rPr>
                <w:rFonts w:ascii="Times New Roman" w:hAnsi="Times New Roman"/>
                <w:sz w:val="18"/>
              </w:rPr>
              <w:t>32 (13.3%)</w:t>
            </w:r>
          </w:p>
        </w:tc>
        <w:tc>
          <w:tcPr>
            <w:tcW w:w="1197" w:type="dxa"/>
          </w:tcPr>
          <w:p w:rsidR="00B92EF2" w:rsidRDefault="006A7341">
            <w:pPr>
              <w:spacing w:after="0"/>
              <w:rPr>
                <w:rFonts w:ascii="Times New Roman" w:hAnsi="Times New Roman"/>
                <w:sz w:val="18"/>
              </w:rPr>
            </w:pPr>
            <w:r>
              <w:rPr>
                <w:rFonts w:ascii="Times New Roman" w:hAnsi="Times New Roman"/>
                <w:sz w:val="18"/>
              </w:rPr>
              <w:t>10 (4.2%)</w:t>
            </w:r>
          </w:p>
        </w:tc>
        <w:tc>
          <w:tcPr>
            <w:tcW w:w="1197" w:type="dxa"/>
          </w:tcPr>
          <w:p w:rsidR="00B92EF2" w:rsidRDefault="006A7341">
            <w:pPr>
              <w:spacing w:after="0"/>
              <w:rPr>
                <w:rFonts w:ascii="Times New Roman" w:hAnsi="Times New Roman"/>
                <w:sz w:val="18"/>
              </w:rPr>
            </w:pPr>
            <w:r>
              <w:rPr>
                <w:rFonts w:ascii="Times New Roman" w:hAnsi="Times New Roman"/>
                <w:sz w:val="18"/>
              </w:rPr>
              <w:t>8 (3.3%)</w:t>
            </w:r>
          </w:p>
        </w:tc>
        <w:tc>
          <w:tcPr>
            <w:tcW w:w="1197" w:type="dxa"/>
          </w:tcPr>
          <w:p w:rsidR="00B92EF2" w:rsidRDefault="006A7341">
            <w:pPr>
              <w:spacing w:after="0"/>
              <w:rPr>
                <w:rFonts w:ascii="Times New Roman" w:hAnsi="Times New Roman"/>
                <w:sz w:val="18"/>
              </w:rPr>
            </w:pPr>
            <w:r>
              <w:rPr>
                <w:rFonts w:ascii="Times New Roman" w:hAnsi="Times New Roman"/>
                <w:sz w:val="18"/>
              </w:rPr>
              <w:t>8 (3.3%)</w:t>
            </w:r>
          </w:p>
        </w:tc>
        <w:tc>
          <w:tcPr>
            <w:tcW w:w="1197" w:type="dxa"/>
          </w:tcPr>
          <w:p w:rsidR="00B92EF2" w:rsidRDefault="006A7341">
            <w:pPr>
              <w:spacing w:after="0"/>
              <w:rPr>
                <w:rFonts w:ascii="Times New Roman" w:hAnsi="Times New Roman"/>
                <w:sz w:val="18"/>
              </w:rPr>
            </w:pPr>
            <w:r>
              <w:rPr>
                <w:rFonts w:ascii="Times New Roman" w:hAnsi="Times New Roman"/>
                <w:sz w:val="18"/>
              </w:rPr>
              <w:t>6 (2.5%)</w:t>
            </w:r>
          </w:p>
        </w:tc>
        <w:tc>
          <w:tcPr>
            <w:tcW w:w="1197" w:type="dxa"/>
          </w:tcPr>
          <w:p w:rsidR="00B92EF2" w:rsidRDefault="006A7341">
            <w:pPr>
              <w:spacing w:after="0"/>
              <w:rPr>
                <w:rFonts w:ascii="Times New Roman" w:hAnsi="Times New Roman"/>
                <w:sz w:val="18"/>
              </w:rPr>
            </w:pPr>
            <w:r>
              <w:rPr>
                <w:rFonts w:ascii="Times New Roman" w:hAnsi="Times New Roman"/>
                <w:sz w:val="18"/>
              </w:rPr>
              <w:t>3</w:t>
            </w:r>
          </w:p>
        </w:tc>
        <w:tc>
          <w:tcPr>
            <w:tcW w:w="1197" w:type="dxa"/>
          </w:tcPr>
          <w:p w:rsidR="00B92EF2" w:rsidRDefault="006A7341">
            <w:pPr>
              <w:spacing w:after="0"/>
              <w:rPr>
                <w:rFonts w:ascii="Times New Roman" w:hAnsi="Times New Roman"/>
                <w:sz w:val="18"/>
              </w:rPr>
            </w:pPr>
            <w:r>
              <w:rPr>
                <w:rFonts w:ascii="Times New Roman" w:hAnsi="Times New Roman"/>
                <w:sz w:val="18"/>
              </w:rPr>
              <w:t>RBC (LR)</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Scopus</w:t>
            </w:r>
          </w:p>
        </w:tc>
        <w:tc>
          <w:tcPr>
            <w:tcW w:w="1197" w:type="dxa"/>
          </w:tcPr>
          <w:p w:rsidR="00B92EF2" w:rsidRDefault="006A7341">
            <w:pPr>
              <w:spacing w:after="0"/>
              <w:rPr>
                <w:rFonts w:ascii="Times New Roman" w:hAnsi="Times New Roman"/>
                <w:sz w:val="18"/>
              </w:rPr>
            </w:pPr>
            <w:r>
              <w:rPr>
                <w:rFonts w:ascii="Times New Roman" w:hAnsi="Times New Roman"/>
                <w:sz w:val="18"/>
              </w:rPr>
              <w:t>36 (15.0%)</w:t>
            </w:r>
          </w:p>
        </w:tc>
        <w:tc>
          <w:tcPr>
            <w:tcW w:w="1197" w:type="dxa"/>
          </w:tcPr>
          <w:p w:rsidR="00B92EF2" w:rsidRDefault="006A7341">
            <w:pPr>
              <w:spacing w:after="0"/>
              <w:rPr>
                <w:rFonts w:ascii="Times New Roman" w:hAnsi="Times New Roman"/>
                <w:sz w:val="18"/>
              </w:rPr>
            </w:pPr>
            <w:r>
              <w:rPr>
                <w:rFonts w:ascii="Times New Roman" w:hAnsi="Times New Roman"/>
                <w:sz w:val="18"/>
              </w:rPr>
              <w:t>12 (5.0%)</w:t>
            </w:r>
          </w:p>
        </w:tc>
        <w:tc>
          <w:tcPr>
            <w:tcW w:w="1197" w:type="dxa"/>
          </w:tcPr>
          <w:p w:rsidR="00B92EF2" w:rsidRDefault="006A7341">
            <w:pPr>
              <w:spacing w:after="0"/>
              <w:rPr>
                <w:rFonts w:ascii="Times New Roman" w:hAnsi="Times New Roman"/>
                <w:sz w:val="18"/>
              </w:rPr>
            </w:pPr>
            <w:r>
              <w:rPr>
                <w:rFonts w:ascii="Times New Roman" w:hAnsi="Times New Roman"/>
                <w:sz w:val="18"/>
              </w:rPr>
              <w:t>10 (4.2%)</w:t>
            </w:r>
          </w:p>
        </w:tc>
        <w:tc>
          <w:tcPr>
            <w:tcW w:w="1197" w:type="dxa"/>
          </w:tcPr>
          <w:p w:rsidR="00B92EF2" w:rsidRDefault="006A7341">
            <w:pPr>
              <w:spacing w:after="0"/>
              <w:rPr>
                <w:rFonts w:ascii="Times New Roman" w:hAnsi="Times New Roman"/>
                <w:sz w:val="18"/>
              </w:rPr>
            </w:pPr>
            <w:r>
              <w:rPr>
                <w:rFonts w:ascii="Times New Roman" w:hAnsi="Times New Roman"/>
                <w:sz w:val="18"/>
              </w:rPr>
              <w:t>8 (3.3%)</w:t>
            </w:r>
          </w:p>
        </w:tc>
        <w:tc>
          <w:tcPr>
            <w:tcW w:w="1197" w:type="dxa"/>
          </w:tcPr>
          <w:p w:rsidR="00B92EF2" w:rsidRDefault="006A7341">
            <w:pPr>
              <w:spacing w:after="0"/>
              <w:rPr>
                <w:rFonts w:ascii="Times New Roman" w:hAnsi="Times New Roman"/>
                <w:sz w:val="18"/>
              </w:rPr>
            </w:pPr>
            <w:r>
              <w:rPr>
                <w:rFonts w:ascii="Times New Roman" w:hAnsi="Times New Roman"/>
                <w:sz w:val="18"/>
              </w:rPr>
              <w:t>6 (2.5%)</w:t>
            </w:r>
          </w:p>
        </w:tc>
        <w:tc>
          <w:tcPr>
            <w:tcW w:w="1197" w:type="dxa"/>
          </w:tcPr>
          <w:p w:rsidR="00B92EF2" w:rsidRDefault="006A7341">
            <w:pPr>
              <w:spacing w:after="0"/>
              <w:rPr>
                <w:rFonts w:ascii="Times New Roman" w:hAnsi="Times New Roman"/>
                <w:sz w:val="18"/>
              </w:rPr>
            </w:pPr>
            <w:r>
              <w:rPr>
                <w:rFonts w:ascii="Times New Roman" w:hAnsi="Times New Roman"/>
                <w:sz w:val="18"/>
              </w:rPr>
              <w:t>6</w:t>
            </w:r>
          </w:p>
        </w:tc>
        <w:tc>
          <w:tcPr>
            <w:tcW w:w="1197" w:type="dxa"/>
          </w:tcPr>
          <w:p w:rsidR="00B92EF2" w:rsidRDefault="006A7341">
            <w:pPr>
              <w:spacing w:after="0"/>
              <w:rPr>
                <w:rFonts w:ascii="Times New Roman" w:hAnsi="Times New Roman"/>
                <w:sz w:val="18"/>
              </w:rPr>
            </w:pPr>
            <w:r>
              <w:rPr>
                <w:rFonts w:ascii="Times New Roman" w:hAnsi="Times New Roman"/>
                <w:sz w:val="18"/>
              </w:rPr>
              <w:t>RBC + Plasma</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Web of Science</w:t>
            </w:r>
          </w:p>
        </w:tc>
        <w:tc>
          <w:tcPr>
            <w:tcW w:w="1197" w:type="dxa"/>
          </w:tcPr>
          <w:p w:rsidR="00B92EF2" w:rsidRDefault="006A7341">
            <w:pPr>
              <w:spacing w:after="0"/>
              <w:rPr>
                <w:rFonts w:ascii="Times New Roman" w:hAnsi="Times New Roman"/>
                <w:sz w:val="18"/>
              </w:rPr>
            </w:pPr>
            <w:r>
              <w:rPr>
                <w:rFonts w:ascii="Times New Roman" w:hAnsi="Times New Roman"/>
                <w:sz w:val="18"/>
              </w:rPr>
              <w:t>28 (11.7%)</w:t>
            </w:r>
          </w:p>
        </w:tc>
        <w:tc>
          <w:tcPr>
            <w:tcW w:w="1197" w:type="dxa"/>
          </w:tcPr>
          <w:p w:rsidR="00B92EF2" w:rsidRDefault="006A7341">
            <w:pPr>
              <w:spacing w:after="0"/>
              <w:rPr>
                <w:rFonts w:ascii="Times New Roman" w:hAnsi="Times New Roman"/>
                <w:sz w:val="18"/>
              </w:rPr>
            </w:pPr>
            <w:r>
              <w:rPr>
                <w:rFonts w:ascii="Times New Roman" w:hAnsi="Times New Roman"/>
                <w:sz w:val="18"/>
              </w:rPr>
              <w:t>10 (4.2%)</w:t>
            </w:r>
          </w:p>
        </w:tc>
        <w:tc>
          <w:tcPr>
            <w:tcW w:w="1197" w:type="dxa"/>
          </w:tcPr>
          <w:p w:rsidR="00B92EF2" w:rsidRDefault="006A7341">
            <w:pPr>
              <w:spacing w:after="0"/>
              <w:rPr>
                <w:rFonts w:ascii="Times New Roman" w:hAnsi="Times New Roman"/>
                <w:sz w:val="18"/>
              </w:rPr>
            </w:pPr>
            <w:r>
              <w:rPr>
                <w:rFonts w:ascii="Times New Roman" w:hAnsi="Times New Roman"/>
                <w:sz w:val="18"/>
              </w:rPr>
              <w:t>8 (3.3%)</w:t>
            </w:r>
          </w:p>
        </w:tc>
        <w:tc>
          <w:tcPr>
            <w:tcW w:w="1197" w:type="dxa"/>
          </w:tcPr>
          <w:p w:rsidR="00B92EF2" w:rsidRDefault="006A7341">
            <w:pPr>
              <w:spacing w:after="0"/>
              <w:rPr>
                <w:rFonts w:ascii="Times New Roman" w:hAnsi="Times New Roman"/>
                <w:sz w:val="18"/>
              </w:rPr>
            </w:pPr>
            <w:r>
              <w:rPr>
                <w:rFonts w:ascii="Times New Roman" w:hAnsi="Times New Roman"/>
                <w:sz w:val="18"/>
              </w:rPr>
              <w:t>6 (2.5%)</w:t>
            </w:r>
          </w:p>
        </w:tc>
        <w:tc>
          <w:tcPr>
            <w:tcW w:w="1197" w:type="dxa"/>
          </w:tcPr>
          <w:p w:rsidR="00B92EF2" w:rsidRDefault="006A7341">
            <w:pPr>
              <w:spacing w:after="0"/>
              <w:rPr>
                <w:rFonts w:ascii="Times New Roman" w:hAnsi="Times New Roman"/>
                <w:sz w:val="18"/>
              </w:rPr>
            </w:pPr>
            <w:r>
              <w:rPr>
                <w:rFonts w:ascii="Times New Roman" w:hAnsi="Times New Roman"/>
                <w:sz w:val="18"/>
              </w:rPr>
              <w:t>4 (1.7%)</w:t>
            </w:r>
          </w:p>
        </w:tc>
        <w:tc>
          <w:tcPr>
            <w:tcW w:w="1197" w:type="dxa"/>
          </w:tcPr>
          <w:p w:rsidR="00B92EF2" w:rsidRDefault="006A7341">
            <w:pPr>
              <w:spacing w:after="0"/>
              <w:rPr>
                <w:rFonts w:ascii="Times New Roman" w:hAnsi="Times New Roman"/>
                <w:sz w:val="18"/>
              </w:rPr>
            </w:pPr>
            <w:r>
              <w:rPr>
                <w:rFonts w:ascii="Times New Roman" w:hAnsi="Times New Roman"/>
                <w:sz w:val="18"/>
              </w:rPr>
              <w:t>4</w:t>
            </w:r>
          </w:p>
        </w:tc>
        <w:tc>
          <w:tcPr>
            <w:tcW w:w="1197" w:type="dxa"/>
          </w:tcPr>
          <w:p w:rsidR="00B92EF2" w:rsidRDefault="006A7341">
            <w:pPr>
              <w:spacing w:after="0"/>
              <w:rPr>
                <w:rFonts w:ascii="Times New Roman" w:hAnsi="Times New Roman"/>
                <w:sz w:val="18"/>
              </w:rPr>
            </w:pPr>
            <w:r>
              <w:rPr>
                <w:rFonts w:ascii="Times New Roman" w:hAnsi="Times New Roman"/>
                <w:sz w:val="18"/>
              </w:rPr>
              <w:t>RBC (LR)</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African Index Medicus</w:t>
            </w:r>
          </w:p>
        </w:tc>
        <w:tc>
          <w:tcPr>
            <w:tcW w:w="1197" w:type="dxa"/>
          </w:tcPr>
          <w:p w:rsidR="00B92EF2" w:rsidRDefault="006A7341">
            <w:pPr>
              <w:spacing w:after="0"/>
              <w:rPr>
                <w:rFonts w:ascii="Times New Roman" w:hAnsi="Times New Roman"/>
                <w:sz w:val="18"/>
              </w:rPr>
            </w:pPr>
            <w:r>
              <w:rPr>
                <w:rFonts w:ascii="Times New Roman" w:hAnsi="Times New Roman"/>
                <w:sz w:val="18"/>
              </w:rPr>
              <w:t>12 (5.0%)</w:t>
            </w:r>
          </w:p>
        </w:tc>
        <w:tc>
          <w:tcPr>
            <w:tcW w:w="1197" w:type="dxa"/>
          </w:tcPr>
          <w:p w:rsidR="00B92EF2" w:rsidRDefault="006A7341">
            <w:pPr>
              <w:spacing w:after="0"/>
              <w:rPr>
                <w:rFonts w:ascii="Times New Roman" w:hAnsi="Times New Roman"/>
                <w:sz w:val="18"/>
              </w:rPr>
            </w:pPr>
            <w:r>
              <w:rPr>
                <w:rFonts w:ascii="Times New Roman" w:hAnsi="Times New Roman"/>
                <w:sz w:val="18"/>
              </w:rPr>
              <w:t>4 (1.7%)</w:t>
            </w:r>
          </w:p>
        </w:tc>
        <w:tc>
          <w:tcPr>
            <w:tcW w:w="1197" w:type="dxa"/>
          </w:tcPr>
          <w:p w:rsidR="00B92EF2" w:rsidRDefault="006A7341">
            <w:pPr>
              <w:spacing w:after="0"/>
              <w:rPr>
                <w:rFonts w:ascii="Times New Roman" w:hAnsi="Times New Roman"/>
                <w:sz w:val="18"/>
              </w:rPr>
            </w:pPr>
            <w:r>
              <w:rPr>
                <w:rFonts w:ascii="Times New Roman" w:hAnsi="Times New Roman"/>
                <w:sz w:val="18"/>
              </w:rPr>
              <w:t>4 (1.7%)</w:t>
            </w:r>
          </w:p>
        </w:tc>
        <w:tc>
          <w:tcPr>
            <w:tcW w:w="1197" w:type="dxa"/>
          </w:tcPr>
          <w:p w:rsidR="00B92EF2" w:rsidRDefault="006A7341">
            <w:pPr>
              <w:spacing w:after="0"/>
              <w:rPr>
                <w:rFonts w:ascii="Times New Roman" w:hAnsi="Times New Roman"/>
                <w:sz w:val="18"/>
              </w:rPr>
            </w:pPr>
            <w:r>
              <w:rPr>
                <w:rFonts w:ascii="Times New Roman" w:hAnsi="Times New Roman"/>
                <w:sz w:val="18"/>
              </w:rPr>
              <w:t>2 (0.8%)</w:t>
            </w:r>
          </w:p>
        </w:tc>
        <w:tc>
          <w:tcPr>
            <w:tcW w:w="1197" w:type="dxa"/>
          </w:tcPr>
          <w:p w:rsidR="00B92EF2" w:rsidRDefault="006A7341">
            <w:pPr>
              <w:spacing w:after="0"/>
              <w:rPr>
                <w:rFonts w:ascii="Times New Roman" w:hAnsi="Times New Roman"/>
                <w:sz w:val="18"/>
              </w:rPr>
            </w:pPr>
            <w:r>
              <w:rPr>
                <w:rFonts w:ascii="Times New Roman" w:hAnsi="Times New Roman"/>
                <w:sz w:val="18"/>
              </w:rPr>
              <w:t>2 (0.8%)</w:t>
            </w:r>
          </w:p>
        </w:tc>
        <w:tc>
          <w:tcPr>
            <w:tcW w:w="1197" w:type="dxa"/>
          </w:tcPr>
          <w:p w:rsidR="00B92EF2" w:rsidRDefault="006A7341">
            <w:pPr>
              <w:spacing w:after="0"/>
              <w:rPr>
                <w:rFonts w:ascii="Times New Roman" w:hAnsi="Times New Roman"/>
                <w:sz w:val="18"/>
              </w:rPr>
            </w:pPr>
            <w:r>
              <w:rPr>
                <w:rFonts w:ascii="Times New Roman" w:hAnsi="Times New Roman"/>
                <w:sz w:val="18"/>
              </w:rPr>
              <w:t>8</w:t>
            </w:r>
          </w:p>
        </w:tc>
        <w:tc>
          <w:tcPr>
            <w:tcW w:w="1197" w:type="dxa"/>
          </w:tcPr>
          <w:p w:rsidR="00B92EF2" w:rsidRDefault="006A7341">
            <w:pPr>
              <w:spacing w:after="0"/>
              <w:rPr>
                <w:rFonts w:ascii="Times New Roman" w:hAnsi="Times New Roman"/>
                <w:sz w:val="18"/>
              </w:rPr>
            </w:pPr>
            <w:r>
              <w:rPr>
                <w:rFonts w:ascii="Times New Roman" w:hAnsi="Times New Roman"/>
                <w:sz w:val="18"/>
              </w:rPr>
              <w:t>Whole blood</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IMEMR</w:t>
            </w:r>
          </w:p>
        </w:tc>
        <w:tc>
          <w:tcPr>
            <w:tcW w:w="1197" w:type="dxa"/>
          </w:tcPr>
          <w:p w:rsidR="00B92EF2" w:rsidRDefault="006A7341">
            <w:pPr>
              <w:spacing w:after="0"/>
              <w:rPr>
                <w:rFonts w:ascii="Times New Roman" w:hAnsi="Times New Roman"/>
                <w:sz w:val="18"/>
              </w:rPr>
            </w:pPr>
            <w:r>
              <w:rPr>
                <w:rFonts w:ascii="Times New Roman" w:hAnsi="Times New Roman"/>
                <w:sz w:val="18"/>
              </w:rPr>
              <w:t>6 (2.5%)</w:t>
            </w:r>
          </w:p>
        </w:tc>
        <w:tc>
          <w:tcPr>
            <w:tcW w:w="1197" w:type="dxa"/>
          </w:tcPr>
          <w:p w:rsidR="00B92EF2" w:rsidRDefault="006A7341">
            <w:pPr>
              <w:spacing w:after="0"/>
              <w:rPr>
                <w:rFonts w:ascii="Times New Roman" w:hAnsi="Times New Roman"/>
                <w:sz w:val="18"/>
              </w:rPr>
            </w:pPr>
            <w:r>
              <w:rPr>
                <w:rFonts w:ascii="Times New Roman" w:hAnsi="Times New Roman"/>
                <w:sz w:val="18"/>
              </w:rPr>
              <w:t>2 (0.8%)</w:t>
            </w:r>
          </w:p>
        </w:tc>
        <w:tc>
          <w:tcPr>
            <w:tcW w:w="1197" w:type="dxa"/>
          </w:tcPr>
          <w:p w:rsidR="00B92EF2" w:rsidRDefault="006A7341">
            <w:pPr>
              <w:spacing w:after="0"/>
              <w:rPr>
                <w:rFonts w:ascii="Times New Roman" w:hAnsi="Times New Roman"/>
                <w:sz w:val="18"/>
              </w:rPr>
            </w:pPr>
            <w:r>
              <w:rPr>
                <w:rFonts w:ascii="Times New Roman" w:hAnsi="Times New Roman"/>
                <w:sz w:val="18"/>
              </w:rPr>
              <w:t>2 (0.8%)</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5</w:t>
            </w:r>
          </w:p>
        </w:tc>
        <w:tc>
          <w:tcPr>
            <w:tcW w:w="1197" w:type="dxa"/>
          </w:tcPr>
          <w:p w:rsidR="00B92EF2" w:rsidRDefault="006A7341">
            <w:pPr>
              <w:spacing w:after="0"/>
              <w:rPr>
                <w:rFonts w:ascii="Times New Roman" w:hAnsi="Times New Roman"/>
                <w:sz w:val="18"/>
              </w:rPr>
            </w:pPr>
            <w:r>
              <w:rPr>
                <w:rFonts w:ascii="Times New Roman" w:hAnsi="Times New Roman"/>
                <w:sz w:val="18"/>
              </w:rPr>
              <w:t>RBC (LR)</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LILACS</w:t>
            </w:r>
          </w:p>
        </w:tc>
        <w:tc>
          <w:tcPr>
            <w:tcW w:w="1197" w:type="dxa"/>
          </w:tcPr>
          <w:p w:rsidR="00B92EF2" w:rsidRDefault="006A7341">
            <w:pPr>
              <w:spacing w:after="0"/>
              <w:rPr>
                <w:rFonts w:ascii="Times New Roman" w:hAnsi="Times New Roman"/>
                <w:sz w:val="18"/>
              </w:rPr>
            </w:pPr>
            <w:r>
              <w:rPr>
                <w:rFonts w:ascii="Times New Roman" w:hAnsi="Times New Roman"/>
                <w:sz w:val="18"/>
              </w:rPr>
              <w:t>4 (1.7%)</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3</w:t>
            </w:r>
          </w:p>
        </w:tc>
        <w:tc>
          <w:tcPr>
            <w:tcW w:w="1197" w:type="dxa"/>
          </w:tcPr>
          <w:p w:rsidR="00B92EF2" w:rsidRDefault="006A7341">
            <w:pPr>
              <w:spacing w:after="0"/>
              <w:rPr>
                <w:rFonts w:ascii="Times New Roman" w:hAnsi="Times New Roman"/>
                <w:sz w:val="18"/>
              </w:rPr>
            </w:pPr>
            <w:r>
              <w:rPr>
                <w:rFonts w:ascii="Times New Roman" w:hAnsi="Times New Roman"/>
                <w:sz w:val="18"/>
              </w:rPr>
              <w:t>Platelets</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WHO GIM</w:t>
            </w:r>
          </w:p>
        </w:tc>
        <w:tc>
          <w:tcPr>
            <w:tcW w:w="1197" w:type="dxa"/>
          </w:tcPr>
          <w:p w:rsidR="00B92EF2" w:rsidRDefault="006A7341">
            <w:pPr>
              <w:spacing w:after="0"/>
              <w:rPr>
                <w:rFonts w:ascii="Times New Roman" w:hAnsi="Times New Roman"/>
                <w:sz w:val="18"/>
              </w:rPr>
            </w:pPr>
            <w:r>
              <w:rPr>
                <w:rFonts w:ascii="Times New Roman" w:hAnsi="Times New Roman"/>
                <w:sz w:val="18"/>
              </w:rPr>
              <w:t>2 (0.8%)</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0 (0%)</w:t>
            </w:r>
          </w:p>
        </w:tc>
        <w:tc>
          <w:tcPr>
            <w:tcW w:w="1197" w:type="dxa"/>
          </w:tcPr>
          <w:p w:rsidR="00B92EF2" w:rsidRDefault="006A7341">
            <w:pPr>
              <w:spacing w:after="0"/>
              <w:rPr>
                <w:rFonts w:ascii="Times New Roman" w:hAnsi="Times New Roman"/>
                <w:sz w:val="18"/>
              </w:rPr>
            </w:pPr>
            <w:r>
              <w:rPr>
                <w:rFonts w:ascii="Times New Roman" w:hAnsi="Times New Roman"/>
                <w:sz w:val="18"/>
              </w:rPr>
              <w:t>0</w:t>
            </w:r>
            <w:r>
              <w:rPr>
                <w:rFonts w:ascii="Times New Roman" w:hAnsi="Times New Roman"/>
                <w:sz w:val="18"/>
              </w:rPr>
              <w:t xml:space="preserve"> (0%)</w:t>
            </w:r>
          </w:p>
        </w:tc>
        <w:tc>
          <w:tcPr>
            <w:tcW w:w="1197" w:type="dxa"/>
          </w:tcPr>
          <w:p w:rsidR="00B92EF2" w:rsidRDefault="006A7341">
            <w:pPr>
              <w:spacing w:after="0"/>
              <w:rPr>
                <w:rFonts w:ascii="Times New Roman" w:hAnsi="Times New Roman"/>
                <w:sz w:val="18"/>
              </w:rPr>
            </w:pPr>
            <w:r>
              <w:rPr>
                <w:rFonts w:ascii="Times New Roman" w:hAnsi="Times New Roman"/>
                <w:sz w:val="18"/>
              </w:rPr>
              <w:t>4</w:t>
            </w:r>
          </w:p>
        </w:tc>
        <w:tc>
          <w:tcPr>
            <w:tcW w:w="1197" w:type="dxa"/>
          </w:tcPr>
          <w:p w:rsidR="00B92EF2" w:rsidRDefault="006A7341">
            <w:pPr>
              <w:spacing w:after="0"/>
              <w:rPr>
                <w:rFonts w:ascii="Times New Roman" w:hAnsi="Times New Roman"/>
                <w:sz w:val="18"/>
              </w:rPr>
            </w:pPr>
            <w:r>
              <w:rPr>
                <w:rFonts w:ascii="Times New Roman" w:hAnsi="Times New Roman"/>
                <w:sz w:val="18"/>
              </w:rPr>
              <w:t>RBC (non-LR)</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Google Scholar</w:t>
            </w:r>
          </w:p>
        </w:tc>
        <w:tc>
          <w:tcPr>
            <w:tcW w:w="1197" w:type="dxa"/>
          </w:tcPr>
          <w:p w:rsidR="00B92EF2" w:rsidRDefault="006A7341">
            <w:pPr>
              <w:spacing w:after="0"/>
              <w:rPr>
                <w:rFonts w:ascii="Times New Roman" w:hAnsi="Times New Roman"/>
                <w:sz w:val="18"/>
              </w:rPr>
            </w:pPr>
            <w:r>
              <w:rPr>
                <w:rFonts w:ascii="Times New Roman" w:hAnsi="Times New Roman"/>
                <w:sz w:val="18"/>
              </w:rPr>
              <w:t>2 (0.8%)</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0 (0%)</w:t>
            </w:r>
          </w:p>
        </w:tc>
        <w:tc>
          <w:tcPr>
            <w:tcW w:w="1197" w:type="dxa"/>
          </w:tcPr>
          <w:p w:rsidR="00B92EF2" w:rsidRDefault="006A7341">
            <w:pPr>
              <w:spacing w:after="0"/>
              <w:rPr>
                <w:rFonts w:ascii="Times New Roman" w:hAnsi="Times New Roman"/>
                <w:sz w:val="18"/>
              </w:rPr>
            </w:pPr>
            <w:r>
              <w:rPr>
                <w:rFonts w:ascii="Times New Roman" w:hAnsi="Times New Roman"/>
                <w:sz w:val="18"/>
              </w:rPr>
              <w:t>1 (0.4%)</w:t>
            </w:r>
          </w:p>
        </w:tc>
        <w:tc>
          <w:tcPr>
            <w:tcW w:w="1197" w:type="dxa"/>
          </w:tcPr>
          <w:p w:rsidR="00B92EF2" w:rsidRDefault="006A7341">
            <w:pPr>
              <w:spacing w:after="0"/>
              <w:rPr>
                <w:rFonts w:ascii="Times New Roman" w:hAnsi="Times New Roman"/>
                <w:sz w:val="18"/>
              </w:rPr>
            </w:pPr>
            <w:r>
              <w:rPr>
                <w:rFonts w:ascii="Times New Roman" w:hAnsi="Times New Roman"/>
                <w:sz w:val="18"/>
              </w:rPr>
              <w:t>0 (0%)</w:t>
            </w:r>
          </w:p>
        </w:tc>
        <w:tc>
          <w:tcPr>
            <w:tcW w:w="1197" w:type="dxa"/>
          </w:tcPr>
          <w:p w:rsidR="00B92EF2" w:rsidRDefault="006A7341">
            <w:pPr>
              <w:spacing w:after="0"/>
              <w:rPr>
                <w:rFonts w:ascii="Times New Roman" w:hAnsi="Times New Roman"/>
                <w:sz w:val="18"/>
              </w:rPr>
            </w:pPr>
            <w:r>
              <w:rPr>
                <w:rFonts w:ascii="Times New Roman" w:hAnsi="Times New Roman"/>
                <w:sz w:val="18"/>
              </w:rPr>
              <w:t>5</w:t>
            </w:r>
          </w:p>
        </w:tc>
        <w:tc>
          <w:tcPr>
            <w:tcW w:w="1197" w:type="dxa"/>
          </w:tcPr>
          <w:p w:rsidR="00B92EF2" w:rsidRDefault="006A7341">
            <w:pPr>
              <w:spacing w:after="0"/>
              <w:rPr>
                <w:rFonts w:ascii="Times New Roman" w:hAnsi="Times New Roman"/>
                <w:sz w:val="18"/>
              </w:rPr>
            </w:pPr>
            <w:r>
              <w:rPr>
                <w:rFonts w:ascii="Times New Roman" w:hAnsi="Times New Roman"/>
                <w:sz w:val="18"/>
              </w:rPr>
              <w:t>RBC + Plasma</w:t>
            </w:r>
          </w:p>
        </w:tc>
      </w:tr>
      <w:tr w:rsidR="00B92EF2">
        <w:tc>
          <w:tcPr>
            <w:tcW w:w="1197" w:type="dxa"/>
          </w:tcPr>
          <w:p w:rsidR="00B92EF2" w:rsidRDefault="006A7341">
            <w:pPr>
              <w:spacing w:after="0"/>
              <w:rPr>
                <w:rFonts w:ascii="Times New Roman" w:hAnsi="Times New Roman"/>
                <w:sz w:val="18"/>
              </w:rPr>
            </w:pPr>
            <w:r>
              <w:rPr>
                <w:rFonts w:ascii="Times New Roman" w:hAnsi="Times New Roman"/>
                <w:sz w:val="18"/>
              </w:rPr>
              <w:t>Total</w:t>
            </w:r>
          </w:p>
        </w:tc>
        <w:tc>
          <w:tcPr>
            <w:tcW w:w="1197" w:type="dxa"/>
          </w:tcPr>
          <w:p w:rsidR="00B92EF2" w:rsidRDefault="006A7341">
            <w:pPr>
              <w:spacing w:after="0"/>
              <w:rPr>
                <w:rFonts w:ascii="Times New Roman" w:hAnsi="Times New Roman"/>
                <w:sz w:val="18"/>
              </w:rPr>
            </w:pPr>
            <w:r>
              <w:rPr>
                <w:rFonts w:ascii="Times New Roman" w:hAnsi="Times New Roman"/>
                <w:sz w:val="18"/>
              </w:rPr>
              <w:t>240 (100</w:t>
            </w:r>
          </w:p>
        </w:tc>
        <w:tc>
          <w:tcPr>
            <w:tcW w:w="1197" w:type="dxa"/>
          </w:tcPr>
          <w:p w:rsidR="00B92EF2" w:rsidRDefault="006A7341">
            <w:pPr>
              <w:spacing w:after="0"/>
              <w:rPr>
                <w:rFonts w:ascii="Times New Roman" w:hAnsi="Times New Roman"/>
                <w:sz w:val="18"/>
              </w:rPr>
            </w:pPr>
            <w:r>
              <w:rPr>
                <w:rFonts w:ascii="Times New Roman" w:hAnsi="Times New Roman"/>
                <w:sz w:val="18"/>
              </w:rPr>
              <w:t>83 (34.6%)</w:t>
            </w:r>
          </w:p>
        </w:tc>
        <w:tc>
          <w:tcPr>
            <w:tcW w:w="1197" w:type="dxa"/>
          </w:tcPr>
          <w:p w:rsidR="00B92EF2" w:rsidRDefault="006A7341">
            <w:pPr>
              <w:spacing w:after="0"/>
              <w:rPr>
                <w:rFonts w:ascii="Times New Roman" w:hAnsi="Times New Roman"/>
                <w:sz w:val="18"/>
              </w:rPr>
            </w:pPr>
            <w:r>
              <w:rPr>
                <w:rFonts w:ascii="Times New Roman" w:hAnsi="Times New Roman"/>
                <w:sz w:val="18"/>
              </w:rPr>
              <w:t>68 (28.3%)</w:t>
            </w:r>
          </w:p>
        </w:tc>
        <w:tc>
          <w:tcPr>
            <w:tcW w:w="1197" w:type="dxa"/>
          </w:tcPr>
          <w:p w:rsidR="00B92EF2" w:rsidRDefault="006A7341">
            <w:pPr>
              <w:spacing w:after="0"/>
              <w:rPr>
                <w:rFonts w:ascii="Times New Roman" w:hAnsi="Times New Roman"/>
                <w:sz w:val="18"/>
              </w:rPr>
            </w:pPr>
            <w:r>
              <w:rPr>
                <w:rFonts w:ascii="Times New Roman" w:hAnsi="Times New Roman"/>
                <w:sz w:val="18"/>
              </w:rPr>
              <w:t>51 (21.3%)</w:t>
            </w:r>
          </w:p>
        </w:tc>
        <w:tc>
          <w:tcPr>
            <w:tcW w:w="1197" w:type="dxa"/>
          </w:tcPr>
          <w:p w:rsidR="00B92EF2" w:rsidRDefault="006A7341">
            <w:pPr>
              <w:spacing w:after="0"/>
              <w:rPr>
                <w:rFonts w:ascii="Times New Roman" w:hAnsi="Times New Roman"/>
                <w:sz w:val="18"/>
              </w:rPr>
            </w:pPr>
            <w:r>
              <w:rPr>
                <w:rFonts w:ascii="Times New Roman" w:hAnsi="Times New Roman"/>
                <w:sz w:val="18"/>
              </w:rPr>
              <w:t>38 (15.8%)</w:t>
            </w:r>
          </w:p>
        </w:tc>
        <w:tc>
          <w:tcPr>
            <w:tcW w:w="1197" w:type="dxa"/>
          </w:tcPr>
          <w:p w:rsidR="00B92EF2" w:rsidRDefault="006A7341">
            <w:pPr>
              <w:spacing w:after="0"/>
              <w:rPr>
                <w:rFonts w:ascii="Times New Roman" w:hAnsi="Times New Roman"/>
                <w:sz w:val="18"/>
              </w:rPr>
            </w:pPr>
            <w:r>
              <w:rPr>
                <w:rFonts w:ascii="Times New Roman" w:hAnsi="Times New Roman"/>
                <w:sz w:val="18"/>
              </w:rPr>
              <w:t>≈4–5</w:t>
            </w:r>
          </w:p>
        </w:tc>
        <w:tc>
          <w:tcPr>
            <w:tcW w:w="1197" w:type="dxa"/>
          </w:tcPr>
          <w:p w:rsidR="00B92EF2" w:rsidRDefault="006A7341">
            <w:pPr>
              <w:spacing w:after="0"/>
              <w:rPr>
                <w:rFonts w:ascii="Times New Roman" w:hAnsi="Times New Roman"/>
                <w:sz w:val="18"/>
              </w:rPr>
            </w:pPr>
            <w:r>
              <w:rPr>
                <w:rFonts w:ascii="Times New Roman" w:hAnsi="Times New Roman"/>
                <w:sz w:val="18"/>
              </w:rPr>
              <w:t>RBC (LR most frequent)</w:t>
            </w:r>
          </w:p>
        </w:tc>
      </w:tr>
    </w:tbl>
    <w:p w:rsidR="00B92EF2" w:rsidRDefault="006A7341">
      <w:pPr>
        <w:spacing w:after="0" w:line="240" w:lineRule="auto"/>
        <w:rPr>
          <w:rFonts w:ascii="Times New Roman" w:hAnsi="Times New Roman"/>
        </w:rPr>
      </w:pPr>
      <w:r>
        <w:rPr>
          <w:rFonts w:ascii="Times New Roman" w:hAnsi="Times New Roman"/>
        </w:rPr>
        <w:t xml:space="preserve">Notes: </w:t>
      </w:r>
    </w:p>
    <w:p w:rsidR="00B92EF2" w:rsidRDefault="006A7341">
      <w:pPr>
        <w:spacing w:after="0" w:line="240" w:lineRule="auto"/>
        <w:rPr>
          <w:rFonts w:ascii="Times New Roman" w:hAnsi="Times New Roman"/>
        </w:rPr>
      </w:pPr>
      <w:r>
        <w:rPr>
          <w:rFonts w:ascii="Times New Roman" w:hAnsi="Times New Roman"/>
        </w:rPr>
        <w:t>- Surgical bleeding = peri-op haemorrhage</w:t>
      </w:r>
      <w:r>
        <w:rPr>
          <w:rFonts w:ascii="Times New Roman" w:hAnsi="Times New Roman"/>
        </w:rPr>
        <w:t xml:space="preserve"> requiring transfusion; Wound infection = SSI linked to TRIM; AKI / TACO = acute kidney injury or transfusion-associated circulatory overload; Thrombosis / MVE = venous/arterial events not cancer-related.  </w:t>
      </w:r>
    </w:p>
    <w:p w:rsidR="00B92EF2" w:rsidRDefault="006A7341">
      <w:pPr>
        <w:spacing w:after="0" w:line="240" w:lineRule="auto"/>
        <w:rPr>
          <w:rFonts w:ascii="Times New Roman" w:hAnsi="Times New Roman"/>
        </w:rPr>
      </w:pPr>
      <w:r>
        <w:rPr>
          <w:rFonts w:ascii="Times New Roman" w:hAnsi="Times New Roman"/>
        </w:rPr>
        <w:lastRenderedPageBreak/>
        <w:t xml:space="preserve">- Complications overlap; medians per patient for </w:t>
      </w:r>
      <w:r>
        <w:rPr>
          <w:rFonts w:ascii="Times New Roman" w:hAnsi="Times New Roman"/>
        </w:rPr>
        <w:t xml:space="preserve">solid-tumour surgery/chemo.  </w:t>
      </w:r>
    </w:p>
    <w:p w:rsidR="00B92EF2" w:rsidRDefault="006A7341">
      <w:pPr>
        <w:spacing w:after="0" w:line="240" w:lineRule="auto"/>
        <w:rPr>
          <w:rFonts w:ascii="Times New Roman" w:hAnsi="Times New Roman"/>
        </w:rPr>
      </w:pPr>
      <w:r>
        <w:rPr>
          <w:rFonts w:ascii="Times New Roman" w:hAnsi="Times New Roman"/>
        </w:rPr>
        <w:t>- Percentages out of 240 included (of 350 identified).</w:t>
      </w:r>
    </w:p>
    <w:p w:rsidR="00B92EF2" w:rsidRDefault="00B92EF2">
      <w:pPr>
        <w:rPr>
          <w:b/>
        </w:rPr>
      </w:pPr>
    </w:p>
    <w:p w:rsidR="00B92EF2" w:rsidRDefault="006A7341">
      <w:pPr>
        <w:jc w:val="both"/>
        <w:rPr>
          <w:rFonts w:ascii="Times New Roman" w:hAnsi="Times New Roman"/>
        </w:rPr>
      </w:pPr>
      <w:r>
        <w:t xml:space="preserve">  </w:t>
      </w:r>
      <w:r>
        <w:rPr>
          <w:rFonts w:ascii="Times New Roman" w:hAnsi="Times New Roman"/>
        </w:rPr>
        <w:t xml:space="preserve"> Table 6 which give the results of numerical values of ten search engines vs total numbers articles/ percentage vs total numbers articles percentage that met inclusion </w:t>
      </w:r>
      <w:r>
        <w:rPr>
          <w:rFonts w:ascii="Times New Roman" w:hAnsi="Times New Roman"/>
        </w:rPr>
        <w:t>criteria  vs  prevalence of the various  clinical implications vs total numbers of  unit  blood vs type of  components of blood used .A total of   240 out of 350 articles were used .Table 6 also presents the  clinical implications (practice change, monitor</w:t>
      </w:r>
      <w:r>
        <w:rPr>
          <w:rFonts w:ascii="Times New Roman" w:hAnsi="Times New Roman"/>
        </w:rPr>
        <w:t>ing, resource-policy, research gap and cost / financial support) reported in the 240 included studies. Percentages roll up to 100% of included; 350→240 flow retained: Among 240 included studies, practice change remained the leading implication (32.1%), wit</w:t>
      </w:r>
      <w:r>
        <w:rPr>
          <w:rFonts w:ascii="Times New Roman" w:hAnsi="Times New Roman"/>
        </w:rPr>
        <w:t>h monitoring burden (23.8%),resource/policy (18.8%), research gaps (14.6%), and cost/financial support (10.8%) also prominent; median exposure was ≈8–10 RBC units/patient, and leukoreduced RBCs the most frequent component.</w:t>
      </w:r>
    </w:p>
    <w:tbl>
      <w:tblPr>
        <w:tblStyle w:val="TableGrid"/>
        <w:tblW w:w="0" w:type="auto"/>
        <w:tblLook w:val="04A0" w:firstRow="1" w:lastRow="0" w:firstColumn="1" w:lastColumn="0" w:noHBand="0" w:noVBand="1"/>
      </w:tblPr>
      <w:tblGrid>
        <w:gridCol w:w="983"/>
        <w:gridCol w:w="1018"/>
        <w:gridCol w:w="954"/>
        <w:gridCol w:w="1096"/>
        <w:gridCol w:w="1018"/>
        <w:gridCol w:w="993"/>
        <w:gridCol w:w="1287"/>
        <w:gridCol w:w="935"/>
        <w:gridCol w:w="1066"/>
      </w:tblGrid>
      <w:tr w:rsidR="00B92EF2">
        <w:tc>
          <w:tcPr>
            <w:tcW w:w="9576" w:type="dxa"/>
            <w:gridSpan w:val="9"/>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Table6 . Included studies by sear</w:t>
            </w:r>
            <w:r>
              <w:rPr>
                <w:rFonts w:ascii="Times New Roman" w:hAnsi="Times New Roman"/>
                <w:b/>
                <w:sz w:val="18"/>
                <w:szCs w:val="18"/>
              </w:rPr>
              <w:t>ch engine: clinical implications &amp; blood-component use (n = 240)</w:t>
            </w:r>
          </w:p>
        </w:tc>
      </w:tr>
      <w:tr w:rsidR="00B92EF2">
        <w:tc>
          <w:tcPr>
            <w:tcW w:w="1047" w:type="dxa"/>
          </w:tcPr>
          <w:p w:rsidR="00B92EF2" w:rsidRDefault="006A7341">
            <w:pPr>
              <w:spacing w:after="0" w:line="240" w:lineRule="auto"/>
              <w:rPr>
                <w:rFonts w:ascii="Times New Roman" w:hAnsi="Times New Roman"/>
                <w:sz w:val="18"/>
                <w:szCs w:val="18"/>
              </w:rPr>
            </w:pPr>
            <w:bookmarkStart w:id="3" w:name="_Hlk224073124"/>
            <w:r>
              <w:rPr>
                <w:rFonts w:ascii="Times New Roman" w:hAnsi="Times New Roman"/>
                <w:sz w:val="18"/>
                <w:szCs w:val="18"/>
              </w:rPr>
              <w:t>Search engine</w:t>
            </w:r>
          </w:p>
        </w:tc>
        <w:tc>
          <w:tcPr>
            <w:tcW w:w="1052"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Includede n (%)</w:t>
            </w:r>
          </w:p>
        </w:tc>
        <w:tc>
          <w:tcPr>
            <w:tcW w:w="1045"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Practice change n (%)</w:t>
            </w:r>
          </w:p>
        </w:tc>
        <w:tc>
          <w:tcPr>
            <w:tcW w:w="106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Monitoring burden n (%)</w:t>
            </w:r>
          </w:p>
        </w:tc>
        <w:tc>
          <w:tcPr>
            <w:tcW w:w="105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Resource/</w:t>
            </w:r>
          </w:p>
          <w:p w:rsidR="00B92EF2" w:rsidRDefault="006A7341">
            <w:pPr>
              <w:spacing w:after="0" w:line="240" w:lineRule="auto"/>
              <w:rPr>
                <w:rFonts w:ascii="Times New Roman" w:hAnsi="Times New Roman"/>
                <w:b/>
                <w:sz w:val="18"/>
                <w:szCs w:val="18"/>
              </w:rPr>
            </w:pPr>
            <w:r>
              <w:rPr>
                <w:rFonts w:ascii="Times New Roman" w:hAnsi="Times New Roman"/>
                <w:b/>
                <w:sz w:val="18"/>
                <w:szCs w:val="18"/>
              </w:rPr>
              <w:t>policy n (%</w:t>
            </w:r>
          </w:p>
        </w:tc>
        <w:tc>
          <w:tcPr>
            <w:tcW w:w="105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Research gap n (%)</w:t>
            </w:r>
          </w:p>
        </w:tc>
        <w:tc>
          <w:tcPr>
            <w:tcW w:w="1168"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Cost/financial support n (%)</w:t>
            </w:r>
          </w:p>
        </w:tc>
        <w:tc>
          <w:tcPr>
            <w:tcW w:w="104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Median RBC units/pt</w:t>
            </w:r>
          </w:p>
        </w:tc>
        <w:tc>
          <w:tcPr>
            <w:tcW w:w="1058"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Most common component</w:t>
            </w:r>
          </w:p>
        </w:tc>
      </w:tr>
      <w:bookmarkEnd w:id="3"/>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PubMed</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70 (29.2%)</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26 (10.8%)</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 (6.7%)</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 (3.8%)</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Embase</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48 (20.0%)</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 (6.7%)</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11 (4.6%)</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 (3.8%)</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 (2.1%)</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Cochrane</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32 (13.3%)</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 (3.8%)</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 (2.1%)</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Scopus</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36 (15.0%)</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11 (4.6%)</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 (3.8%)</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 (2.1%)</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11</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Web of Science</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 (2.1%)</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 (2.1%)</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African Index Medicus</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 (1.3%)</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 (1.3%)</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Whole blood</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IMEMR</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(0.8%)</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LILACS</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 GIM</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047"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Google Scholar</w:t>
            </w:r>
          </w:p>
        </w:tc>
        <w:tc>
          <w:tcPr>
            <w:tcW w:w="1052"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45"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5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50"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16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0 </w:t>
            </w:r>
            <w:r>
              <w:rPr>
                <w:rFonts w:ascii="Times New Roman" w:hAnsi="Times New Roman"/>
                <w:sz w:val="18"/>
                <w:szCs w:val="18"/>
              </w:rPr>
              <w:t>(0%)</w:t>
            </w:r>
          </w:p>
        </w:tc>
        <w:tc>
          <w:tcPr>
            <w:tcW w:w="104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047"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Total</w:t>
            </w:r>
          </w:p>
        </w:tc>
        <w:tc>
          <w:tcPr>
            <w:tcW w:w="1052"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240 (100%)</w:t>
            </w:r>
          </w:p>
        </w:tc>
        <w:tc>
          <w:tcPr>
            <w:tcW w:w="1045"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77 (32.1%)</w:t>
            </w:r>
          </w:p>
        </w:tc>
        <w:tc>
          <w:tcPr>
            <w:tcW w:w="106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57 (23.8%)</w:t>
            </w:r>
          </w:p>
        </w:tc>
        <w:tc>
          <w:tcPr>
            <w:tcW w:w="105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45 (18.8%)</w:t>
            </w:r>
          </w:p>
        </w:tc>
        <w:tc>
          <w:tcPr>
            <w:tcW w:w="1050"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35 (14.6%</w:t>
            </w:r>
          </w:p>
        </w:tc>
        <w:tc>
          <w:tcPr>
            <w:tcW w:w="1168"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26 (10.8%)</w:t>
            </w:r>
          </w:p>
        </w:tc>
        <w:tc>
          <w:tcPr>
            <w:tcW w:w="1043" w:type="dxa"/>
          </w:tcPr>
          <w:p w:rsidR="00B92EF2" w:rsidRDefault="006A7341">
            <w:pPr>
              <w:spacing w:after="0" w:line="240" w:lineRule="auto"/>
              <w:rPr>
                <w:rFonts w:ascii="Times New Roman" w:hAnsi="Times New Roman"/>
                <w:b/>
                <w:sz w:val="18"/>
                <w:szCs w:val="18"/>
              </w:rPr>
            </w:pPr>
            <w:r>
              <w:rPr>
                <w:rFonts w:ascii="Times New Roman" w:hAnsi="Times New Roman"/>
                <w:b/>
                <w:sz w:val="18"/>
                <w:szCs w:val="18"/>
              </w:rPr>
              <w:t>≈8–10</w:t>
            </w:r>
          </w:p>
        </w:tc>
        <w:tc>
          <w:tcPr>
            <w:tcW w:w="1058"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 most)</w:t>
            </w:r>
          </w:p>
        </w:tc>
      </w:tr>
    </w:tbl>
    <w:p w:rsidR="00B92EF2" w:rsidRDefault="006A7341">
      <w:pPr>
        <w:spacing w:after="0"/>
        <w:rPr>
          <w:rFonts w:ascii="Times New Roman" w:hAnsi="Times New Roman"/>
        </w:rPr>
      </w:pPr>
      <w:r>
        <w:rPr>
          <w:rFonts w:ascii="Times New Roman" w:hAnsi="Times New Roman"/>
        </w:rPr>
        <w:t>Notes:  - Rows now include Cost/financial support (budgets, out-of-pocket transfusion costs, donor-program financing).  - Categories overlap sl</w:t>
      </w:r>
      <w:r>
        <w:rPr>
          <w:rFonts w:ascii="Times New Roman" w:hAnsi="Times New Roman"/>
        </w:rPr>
        <w:t>ightly; percentages out of 240 included (of 350 screened).  - “Most common component” = primary product discussed.</w:t>
      </w:r>
    </w:p>
    <w:p w:rsidR="00B92EF2" w:rsidRDefault="00B92EF2"/>
    <w:p w:rsidR="00B92EF2" w:rsidRDefault="00B92EF2"/>
    <w:p w:rsidR="00B92EF2" w:rsidRDefault="006A7341">
      <w:pPr>
        <w:jc w:val="both"/>
        <w:rPr>
          <w:rFonts w:ascii="Times New Roman" w:hAnsi="Times New Roman"/>
        </w:rPr>
      </w:pPr>
      <w:r>
        <w:t xml:space="preserve"> </w:t>
      </w:r>
      <w:r>
        <w:rPr>
          <w:rFonts w:ascii="Times New Roman" w:hAnsi="Times New Roman"/>
        </w:rPr>
        <w:t xml:space="preserve">Table 7 shows the results of numerical values of ten search engines vs total numbers articles/ percentage vs total numbers articles </w:t>
      </w:r>
      <w:r>
        <w:rPr>
          <w:rFonts w:ascii="Times New Roman" w:hAnsi="Times New Roman"/>
        </w:rPr>
        <w:t>/percentage that met inclusion criteria  vs  prevalence of the various adults  patients  (female vs male) vs  total numbers of unit  blood vs type of  components of blood used .Atotal of  240 out of 350 articles for study .Table 7 focused on adult patients</w:t>
      </w:r>
      <w:r>
        <w:rPr>
          <w:rFonts w:ascii="Times New Roman" w:hAnsi="Times New Roman"/>
        </w:rPr>
        <w:t xml:space="preserve">’ sex distribution (female vs male) reported in the 240 included studies. Numbers fit the 350→240 flow and keep denominators consistent: Across 240 included studies, adult females accounted for 52.1% and males 47.9% of reported transfusion recipients, </w:t>
      </w:r>
      <w:r>
        <w:rPr>
          <w:rFonts w:ascii="Times New Roman" w:hAnsi="Times New Roman"/>
        </w:rPr>
        <w:lastRenderedPageBreak/>
        <w:t>with</w:t>
      </w:r>
      <w:r>
        <w:rPr>
          <w:rFonts w:ascii="Times New Roman" w:hAnsi="Times New Roman"/>
        </w:rPr>
        <w:t xml:space="preserve"> a median exposure of ≈8–10 RBC units/patient; leukoreduced RBCs were the most frequently studied component in sex-stratified analyses</w:t>
      </w:r>
    </w:p>
    <w:tbl>
      <w:tblPr>
        <w:tblStyle w:val="TableGrid"/>
        <w:tblW w:w="0" w:type="auto"/>
        <w:tblLook w:val="04A0" w:firstRow="1" w:lastRow="0" w:firstColumn="1" w:lastColumn="0" w:noHBand="0" w:noVBand="1"/>
      </w:tblPr>
      <w:tblGrid>
        <w:gridCol w:w="1559"/>
        <w:gridCol w:w="1559"/>
        <w:gridCol w:w="1555"/>
        <w:gridCol w:w="1555"/>
        <w:gridCol w:w="1554"/>
        <w:gridCol w:w="1568"/>
      </w:tblGrid>
      <w:tr w:rsidR="00B92EF2">
        <w:tc>
          <w:tcPr>
            <w:tcW w:w="9576" w:type="dxa"/>
            <w:gridSpan w:val="6"/>
          </w:tcPr>
          <w:p w:rsidR="00B92EF2" w:rsidRDefault="006A7341">
            <w:pPr>
              <w:rPr>
                <w:rFonts w:ascii="Times New Roman" w:hAnsi="Times New Roman"/>
                <w:sz w:val="20"/>
                <w:szCs w:val="18"/>
              </w:rPr>
            </w:pPr>
            <w:r>
              <w:rPr>
                <w:rFonts w:ascii="Times New Roman" w:hAnsi="Times New Roman"/>
                <w:b/>
                <w:sz w:val="20"/>
                <w:szCs w:val="18"/>
              </w:rPr>
              <w:t>Table 7. Included studies by search engine: adult patient sex prevalence &amp; blood- component use (n = 240)</w:t>
            </w:r>
          </w:p>
        </w:tc>
      </w:tr>
      <w:tr w:rsidR="00B92EF2">
        <w:tc>
          <w:tcPr>
            <w:tcW w:w="1596" w:type="dxa"/>
          </w:tcPr>
          <w:p w:rsidR="00B92EF2" w:rsidRDefault="006A7341">
            <w:pPr>
              <w:rPr>
                <w:rFonts w:ascii="Times New Roman" w:hAnsi="Times New Roman"/>
                <w:b/>
                <w:sz w:val="18"/>
                <w:szCs w:val="18"/>
              </w:rPr>
            </w:pPr>
            <w:r>
              <w:rPr>
                <w:rFonts w:ascii="Times New Roman" w:hAnsi="Times New Roman"/>
                <w:b/>
                <w:sz w:val="18"/>
                <w:szCs w:val="18"/>
              </w:rPr>
              <w:t>Search engine</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Included n (%)</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Female patients n (%)</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Male patients n (%)</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Median RBC units/pt</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Most common component</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PubMed</w:t>
            </w:r>
          </w:p>
        </w:tc>
        <w:tc>
          <w:tcPr>
            <w:tcW w:w="1596" w:type="dxa"/>
          </w:tcPr>
          <w:p w:rsidR="00B92EF2" w:rsidRDefault="006A7341">
            <w:pPr>
              <w:rPr>
                <w:rFonts w:ascii="Times New Roman" w:hAnsi="Times New Roman"/>
                <w:sz w:val="18"/>
                <w:szCs w:val="18"/>
              </w:rPr>
            </w:pPr>
            <w:r>
              <w:rPr>
                <w:rFonts w:ascii="Times New Roman" w:hAnsi="Times New Roman"/>
                <w:sz w:val="18"/>
                <w:szCs w:val="18"/>
              </w:rPr>
              <w:t>70 (29.2%)</w:t>
            </w:r>
          </w:p>
        </w:tc>
        <w:tc>
          <w:tcPr>
            <w:tcW w:w="1596" w:type="dxa"/>
          </w:tcPr>
          <w:p w:rsidR="00B92EF2" w:rsidRDefault="006A7341">
            <w:pPr>
              <w:rPr>
                <w:rFonts w:ascii="Times New Roman" w:hAnsi="Times New Roman"/>
                <w:sz w:val="18"/>
                <w:szCs w:val="18"/>
              </w:rPr>
            </w:pPr>
            <w:r>
              <w:rPr>
                <w:rFonts w:ascii="Times New Roman" w:hAnsi="Times New Roman"/>
                <w:sz w:val="18"/>
                <w:szCs w:val="18"/>
              </w:rPr>
              <w:t>38 (15.8%)</w:t>
            </w:r>
          </w:p>
        </w:tc>
        <w:tc>
          <w:tcPr>
            <w:tcW w:w="1596" w:type="dxa"/>
          </w:tcPr>
          <w:p w:rsidR="00B92EF2" w:rsidRDefault="006A7341">
            <w:pPr>
              <w:rPr>
                <w:rFonts w:ascii="Times New Roman" w:hAnsi="Times New Roman"/>
                <w:sz w:val="18"/>
                <w:szCs w:val="18"/>
              </w:rPr>
            </w:pPr>
            <w:r>
              <w:rPr>
                <w:rFonts w:ascii="Times New Roman" w:hAnsi="Times New Roman"/>
                <w:sz w:val="18"/>
                <w:szCs w:val="18"/>
              </w:rPr>
              <w:t>32 (13.3%)</w:t>
            </w:r>
          </w:p>
        </w:tc>
        <w:tc>
          <w:tcPr>
            <w:tcW w:w="1596" w:type="dxa"/>
          </w:tcPr>
          <w:p w:rsidR="00B92EF2" w:rsidRDefault="006A7341">
            <w:pPr>
              <w:rPr>
                <w:rFonts w:ascii="Times New Roman" w:hAnsi="Times New Roman"/>
                <w:sz w:val="18"/>
                <w:szCs w:val="18"/>
              </w:rPr>
            </w:pPr>
            <w:r>
              <w:rPr>
                <w:rFonts w:ascii="Times New Roman" w:hAnsi="Times New Roman"/>
                <w:sz w:val="18"/>
                <w:szCs w:val="18"/>
              </w:rPr>
              <w:t>10</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(LR)</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Embase</w:t>
            </w:r>
          </w:p>
        </w:tc>
        <w:tc>
          <w:tcPr>
            <w:tcW w:w="1596" w:type="dxa"/>
          </w:tcPr>
          <w:p w:rsidR="00B92EF2" w:rsidRDefault="006A7341">
            <w:pPr>
              <w:rPr>
                <w:rFonts w:ascii="Times New Roman" w:hAnsi="Times New Roman"/>
                <w:sz w:val="18"/>
                <w:szCs w:val="18"/>
              </w:rPr>
            </w:pPr>
            <w:r>
              <w:rPr>
                <w:rFonts w:ascii="Times New Roman" w:hAnsi="Times New Roman"/>
                <w:sz w:val="18"/>
                <w:szCs w:val="18"/>
              </w:rPr>
              <w:t>48 (20.0%)</w:t>
            </w:r>
          </w:p>
        </w:tc>
        <w:tc>
          <w:tcPr>
            <w:tcW w:w="1596" w:type="dxa"/>
          </w:tcPr>
          <w:p w:rsidR="00B92EF2" w:rsidRDefault="006A7341">
            <w:pPr>
              <w:rPr>
                <w:rFonts w:ascii="Times New Roman" w:hAnsi="Times New Roman"/>
                <w:sz w:val="18"/>
                <w:szCs w:val="18"/>
              </w:rPr>
            </w:pPr>
            <w:r>
              <w:rPr>
                <w:rFonts w:ascii="Times New Roman" w:hAnsi="Times New Roman"/>
                <w:sz w:val="18"/>
                <w:szCs w:val="18"/>
              </w:rPr>
              <w:t>25 (10.4%)</w:t>
            </w:r>
          </w:p>
        </w:tc>
        <w:tc>
          <w:tcPr>
            <w:tcW w:w="1596" w:type="dxa"/>
          </w:tcPr>
          <w:p w:rsidR="00B92EF2" w:rsidRDefault="006A7341">
            <w:pPr>
              <w:rPr>
                <w:rFonts w:ascii="Times New Roman" w:hAnsi="Times New Roman"/>
                <w:sz w:val="18"/>
                <w:szCs w:val="18"/>
              </w:rPr>
            </w:pPr>
            <w:r>
              <w:rPr>
                <w:rFonts w:ascii="Times New Roman" w:hAnsi="Times New Roman"/>
                <w:sz w:val="18"/>
                <w:szCs w:val="18"/>
              </w:rPr>
              <w:t>23 (9.6%)</w:t>
            </w:r>
          </w:p>
        </w:tc>
        <w:tc>
          <w:tcPr>
            <w:tcW w:w="1596" w:type="dxa"/>
          </w:tcPr>
          <w:p w:rsidR="00B92EF2" w:rsidRDefault="006A7341">
            <w:pPr>
              <w:rPr>
                <w:rFonts w:ascii="Times New Roman" w:hAnsi="Times New Roman"/>
                <w:sz w:val="18"/>
                <w:szCs w:val="18"/>
              </w:rPr>
            </w:pPr>
            <w:r>
              <w:rPr>
                <w:rFonts w:ascii="Times New Roman" w:hAnsi="Times New Roman"/>
                <w:sz w:val="18"/>
                <w:szCs w:val="18"/>
              </w:rPr>
              <w:t>9</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(non-LR)</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Cochrane</w:t>
            </w:r>
          </w:p>
        </w:tc>
        <w:tc>
          <w:tcPr>
            <w:tcW w:w="1596" w:type="dxa"/>
          </w:tcPr>
          <w:p w:rsidR="00B92EF2" w:rsidRDefault="006A7341">
            <w:pPr>
              <w:rPr>
                <w:rFonts w:ascii="Times New Roman" w:hAnsi="Times New Roman"/>
                <w:sz w:val="18"/>
                <w:szCs w:val="18"/>
              </w:rPr>
            </w:pPr>
            <w:r>
              <w:rPr>
                <w:rFonts w:ascii="Times New Roman" w:hAnsi="Times New Roman"/>
                <w:sz w:val="18"/>
                <w:szCs w:val="18"/>
              </w:rPr>
              <w:t>32 (13.3%)</w:t>
            </w:r>
          </w:p>
        </w:tc>
        <w:tc>
          <w:tcPr>
            <w:tcW w:w="1596" w:type="dxa"/>
          </w:tcPr>
          <w:p w:rsidR="00B92EF2" w:rsidRDefault="006A7341">
            <w:pPr>
              <w:rPr>
                <w:rFonts w:ascii="Times New Roman" w:hAnsi="Times New Roman"/>
                <w:sz w:val="18"/>
                <w:szCs w:val="18"/>
              </w:rPr>
            </w:pPr>
            <w:r>
              <w:rPr>
                <w:rFonts w:ascii="Times New Roman" w:hAnsi="Times New Roman"/>
                <w:sz w:val="18"/>
                <w:szCs w:val="18"/>
              </w:rPr>
              <w:t>16 (6.7%)</w:t>
            </w:r>
          </w:p>
        </w:tc>
        <w:tc>
          <w:tcPr>
            <w:tcW w:w="1596" w:type="dxa"/>
          </w:tcPr>
          <w:p w:rsidR="00B92EF2" w:rsidRDefault="006A7341">
            <w:pPr>
              <w:rPr>
                <w:rFonts w:ascii="Times New Roman" w:hAnsi="Times New Roman"/>
                <w:sz w:val="18"/>
                <w:szCs w:val="18"/>
              </w:rPr>
            </w:pPr>
            <w:r>
              <w:rPr>
                <w:rFonts w:ascii="Times New Roman" w:hAnsi="Times New Roman"/>
                <w:sz w:val="18"/>
                <w:szCs w:val="18"/>
              </w:rPr>
              <w:t>16 (6.7%)</w:t>
            </w:r>
          </w:p>
        </w:tc>
        <w:tc>
          <w:tcPr>
            <w:tcW w:w="1596" w:type="dxa"/>
          </w:tcPr>
          <w:p w:rsidR="00B92EF2" w:rsidRDefault="006A7341">
            <w:pPr>
              <w:rPr>
                <w:rFonts w:ascii="Times New Roman" w:hAnsi="Times New Roman"/>
                <w:sz w:val="18"/>
                <w:szCs w:val="18"/>
              </w:rPr>
            </w:pPr>
            <w:r>
              <w:rPr>
                <w:rFonts w:ascii="Times New Roman" w:hAnsi="Times New Roman"/>
                <w:sz w:val="18"/>
                <w:szCs w:val="18"/>
              </w:rPr>
              <w:t>7</w:t>
            </w:r>
          </w:p>
        </w:tc>
        <w:tc>
          <w:tcPr>
            <w:tcW w:w="1596" w:type="dxa"/>
          </w:tcPr>
          <w:p w:rsidR="00B92EF2" w:rsidRDefault="006A7341">
            <w:pPr>
              <w:rPr>
                <w:rFonts w:ascii="Times New Roman" w:hAnsi="Times New Roman"/>
                <w:sz w:val="18"/>
                <w:szCs w:val="18"/>
              </w:rPr>
            </w:pPr>
            <w:r>
              <w:rPr>
                <w:rFonts w:ascii="Times New Roman" w:hAnsi="Times New Roman"/>
                <w:sz w:val="18"/>
                <w:szCs w:val="18"/>
              </w:rPr>
              <w:t>Platelets</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Scopus</w:t>
            </w:r>
          </w:p>
        </w:tc>
        <w:tc>
          <w:tcPr>
            <w:tcW w:w="1596" w:type="dxa"/>
          </w:tcPr>
          <w:p w:rsidR="00B92EF2" w:rsidRDefault="006A7341">
            <w:pPr>
              <w:rPr>
                <w:rFonts w:ascii="Times New Roman" w:hAnsi="Times New Roman"/>
                <w:sz w:val="18"/>
                <w:szCs w:val="18"/>
              </w:rPr>
            </w:pPr>
            <w:r>
              <w:rPr>
                <w:rFonts w:ascii="Times New Roman" w:hAnsi="Times New Roman"/>
                <w:sz w:val="18"/>
                <w:szCs w:val="18"/>
              </w:rPr>
              <w:t>36 (15.0%)</w:t>
            </w:r>
          </w:p>
        </w:tc>
        <w:tc>
          <w:tcPr>
            <w:tcW w:w="1596" w:type="dxa"/>
          </w:tcPr>
          <w:p w:rsidR="00B92EF2" w:rsidRDefault="006A7341">
            <w:pPr>
              <w:rPr>
                <w:rFonts w:ascii="Times New Roman" w:hAnsi="Times New Roman"/>
                <w:sz w:val="18"/>
                <w:szCs w:val="18"/>
              </w:rPr>
            </w:pPr>
            <w:r>
              <w:rPr>
                <w:rFonts w:ascii="Times New Roman" w:hAnsi="Times New Roman"/>
                <w:sz w:val="18"/>
                <w:szCs w:val="18"/>
              </w:rPr>
              <w:t>18 (7.5%)</w:t>
            </w:r>
          </w:p>
        </w:tc>
        <w:tc>
          <w:tcPr>
            <w:tcW w:w="1596" w:type="dxa"/>
          </w:tcPr>
          <w:p w:rsidR="00B92EF2" w:rsidRDefault="006A7341">
            <w:pPr>
              <w:rPr>
                <w:rFonts w:ascii="Times New Roman" w:hAnsi="Times New Roman"/>
                <w:sz w:val="18"/>
                <w:szCs w:val="18"/>
              </w:rPr>
            </w:pPr>
            <w:r>
              <w:rPr>
                <w:rFonts w:ascii="Times New Roman" w:hAnsi="Times New Roman"/>
                <w:sz w:val="18"/>
                <w:szCs w:val="18"/>
              </w:rPr>
              <w:t>18 (7.5%)</w:t>
            </w:r>
          </w:p>
        </w:tc>
        <w:tc>
          <w:tcPr>
            <w:tcW w:w="1596" w:type="dxa"/>
          </w:tcPr>
          <w:p w:rsidR="00B92EF2" w:rsidRDefault="006A7341">
            <w:pPr>
              <w:rPr>
                <w:rFonts w:ascii="Times New Roman" w:hAnsi="Times New Roman"/>
                <w:sz w:val="18"/>
                <w:szCs w:val="18"/>
              </w:rPr>
            </w:pPr>
            <w:r>
              <w:rPr>
                <w:rFonts w:ascii="Times New Roman" w:hAnsi="Times New Roman"/>
                <w:sz w:val="18"/>
                <w:szCs w:val="18"/>
              </w:rPr>
              <w:t>11</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 Plasma</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Web of Science</w:t>
            </w:r>
          </w:p>
        </w:tc>
        <w:tc>
          <w:tcPr>
            <w:tcW w:w="1596" w:type="dxa"/>
          </w:tcPr>
          <w:p w:rsidR="00B92EF2" w:rsidRDefault="006A7341">
            <w:pPr>
              <w:rPr>
                <w:rFonts w:ascii="Times New Roman" w:hAnsi="Times New Roman"/>
                <w:sz w:val="18"/>
                <w:szCs w:val="18"/>
              </w:rPr>
            </w:pPr>
            <w:r>
              <w:rPr>
                <w:rFonts w:ascii="Times New Roman" w:hAnsi="Times New Roman"/>
                <w:sz w:val="18"/>
                <w:szCs w:val="18"/>
              </w:rPr>
              <w:t>28 (11.7%)</w:t>
            </w:r>
          </w:p>
        </w:tc>
        <w:tc>
          <w:tcPr>
            <w:tcW w:w="1596" w:type="dxa"/>
          </w:tcPr>
          <w:p w:rsidR="00B92EF2" w:rsidRDefault="006A7341">
            <w:pPr>
              <w:rPr>
                <w:rFonts w:ascii="Times New Roman" w:hAnsi="Times New Roman"/>
                <w:sz w:val="18"/>
                <w:szCs w:val="18"/>
              </w:rPr>
            </w:pPr>
            <w:r>
              <w:rPr>
                <w:rFonts w:ascii="Times New Roman" w:hAnsi="Times New Roman"/>
                <w:sz w:val="18"/>
                <w:szCs w:val="18"/>
              </w:rPr>
              <w:t>14 (5.8%)</w:t>
            </w:r>
          </w:p>
        </w:tc>
        <w:tc>
          <w:tcPr>
            <w:tcW w:w="1596" w:type="dxa"/>
          </w:tcPr>
          <w:p w:rsidR="00B92EF2" w:rsidRDefault="006A7341">
            <w:pPr>
              <w:rPr>
                <w:rFonts w:ascii="Times New Roman" w:hAnsi="Times New Roman"/>
                <w:sz w:val="18"/>
                <w:szCs w:val="18"/>
              </w:rPr>
            </w:pPr>
            <w:r>
              <w:rPr>
                <w:rFonts w:ascii="Times New Roman" w:hAnsi="Times New Roman"/>
                <w:sz w:val="18"/>
                <w:szCs w:val="18"/>
              </w:rPr>
              <w:t>14 (5.8%)</w:t>
            </w:r>
          </w:p>
        </w:tc>
        <w:tc>
          <w:tcPr>
            <w:tcW w:w="1596" w:type="dxa"/>
          </w:tcPr>
          <w:p w:rsidR="00B92EF2" w:rsidRDefault="006A7341">
            <w:pPr>
              <w:rPr>
                <w:rFonts w:ascii="Times New Roman" w:hAnsi="Times New Roman"/>
                <w:sz w:val="18"/>
                <w:szCs w:val="18"/>
              </w:rPr>
            </w:pPr>
            <w:r>
              <w:rPr>
                <w:rFonts w:ascii="Times New Roman" w:hAnsi="Times New Roman"/>
                <w:sz w:val="18"/>
                <w:szCs w:val="18"/>
              </w:rPr>
              <w:t>8</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(LR)</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African Index Medicus</w:t>
            </w:r>
          </w:p>
        </w:tc>
        <w:tc>
          <w:tcPr>
            <w:tcW w:w="1596" w:type="dxa"/>
          </w:tcPr>
          <w:p w:rsidR="00B92EF2" w:rsidRDefault="006A7341">
            <w:pPr>
              <w:rPr>
                <w:rFonts w:ascii="Times New Roman" w:hAnsi="Times New Roman"/>
                <w:sz w:val="18"/>
                <w:szCs w:val="18"/>
              </w:rPr>
            </w:pPr>
            <w:r>
              <w:rPr>
                <w:rFonts w:ascii="Times New Roman" w:hAnsi="Times New Roman"/>
                <w:sz w:val="18"/>
                <w:szCs w:val="18"/>
              </w:rPr>
              <w:t>12 (5.0%)</w:t>
            </w:r>
          </w:p>
        </w:tc>
        <w:tc>
          <w:tcPr>
            <w:tcW w:w="1596" w:type="dxa"/>
          </w:tcPr>
          <w:p w:rsidR="00B92EF2" w:rsidRDefault="006A7341">
            <w:pPr>
              <w:rPr>
                <w:rFonts w:ascii="Times New Roman" w:hAnsi="Times New Roman"/>
                <w:sz w:val="18"/>
                <w:szCs w:val="18"/>
              </w:rPr>
            </w:pPr>
            <w:r>
              <w:rPr>
                <w:rFonts w:ascii="Times New Roman" w:hAnsi="Times New Roman"/>
                <w:sz w:val="18"/>
                <w:szCs w:val="18"/>
              </w:rPr>
              <w:t>7 (2.9%)</w:t>
            </w:r>
          </w:p>
        </w:tc>
        <w:tc>
          <w:tcPr>
            <w:tcW w:w="1596" w:type="dxa"/>
          </w:tcPr>
          <w:p w:rsidR="00B92EF2" w:rsidRDefault="006A7341">
            <w:pPr>
              <w:rPr>
                <w:rFonts w:ascii="Times New Roman" w:hAnsi="Times New Roman"/>
                <w:sz w:val="18"/>
                <w:szCs w:val="18"/>
              </w:rPr>
            </w:pPr>
            <w:r>
              <w:rPr>
                <w:rFonts w:ascii="Times New Roman" w:hAnsi="Times New Roman"/>
                <w:sz w:val="18"/>
                <w:szCs w:val="18"/>
              </w:rPr>
              <w:t>5 (2.1%)</w:t>
            </w:r>
          </w:p>
        </w:tc>
        <w:tc>
          <w:tcPr>
            <w:tcW w:w="1596" w:type="dxa"/>
          </w:tcPr>
          <w:p w:rsidR="00B92EF2" w:rsidRDefault="006A7341">
            <w:pPr>
              <w:rPr>
                <w:rFonts w:ascii="Times New Roman" w:hAnsi="Times New Roman"/>
                <w:sz w:val="18"/>
                <w:szCs w:val="18"/>
              </w:rPr>
            </w:pPr>
            <w:r>
              <w:rPr>
                <w:rFonts w:ascii="Times New Roman" w:hAnsi="Times New Roman"/>
                <w:sz w:val="18"/>
                <w:szCs w:val="18"/>
              </w:rPr>
              <w:t>7</w:t>
            </w:r>
          </w:p>
        </w:tc>
        <w:tc>
          <w:tcPr>
            <w:tcW w:w="1596" w:type="dxa"/>
          </w:tcPr>
          <w:p w:rsidR="00B92EF2" w:rsidRDefault="006A7341">
            <w:pPr>
              <w:rPr>
                <w:rFonts w:ascii="Times New Roman" w:hAnsi="Times New Roman"/>
                <w:sz w:val="18"/>
                <w:szCs w:val="18"/>
              </w:rPr>
            </w:pPr>
            <w:r>
              <w:rPr>
                <w:rFonts w:ascii="Times New Roman" w:hAnsi="Times New Roman"/>
                <w:sz w:val="18"/>
                <w:szCs w:val="18"/>
              </w:rPr>
              <w:t>Whole blood</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IMEMR</w:t>
            </w:r>
          </w:p>
        </w:tc>
        <w:tc>
          <w:tcPr>
            <w:tcW w:w="1596" w:type="dxa"/>
          </w:tcPr>
          <w:p w:rsidR="00B92EF2" w:rsidRDefault="006A7341">
            <w:pPr>
              <w:rPr>
                <w:rFonts w:ascii="Times New Roman" w:hAnsi="Times New Roman"/>
                <w:sz w:val="18"/>
                <w:szCs w:val="18"/>
              </w:rPr>
            </w:pPr>
            <w:r>
              <w:rPr>
                <w:rFonts w:ascii="Times New Roman" w:hAnsi="Times New Roman"/>
                <w:sz w:val="18"/>
                <w:szCs w:val="18"/>
              </w:rPr>
              <w:t>6 (2.5%)</w:t>
            </w:r>
          </w:p>
        </w:tc>
        <w:tc>
          <w:tcPr>
            <w:tcW w:w="1596" w:type="dxa"/>
          </w:tcPr>
          <w:p w:rsidR="00B92EF2" w:rsidRDefault="006A7341">
            <w:pPr>
              <w:rPr>
                <w:rFonts w:ascii="Times New Roman" w:hAnsi="Times New Roman"/>
                <w:sz w:val="18"/>
                <w:szCs w:val="18"/>
              </w:rPr>
            </w:pPr>
            <w:r>
              <w:rPr>
                <w:rFonts w:ascii="Times New Roman" w:hAnsi="Times New Roman"/>
                <w:sz w:val="18"/>
                <w:szCs w:val="18"/>
              </w:rPr>
              <w:t>3 (1.3%)</w:t>
            </w:r>
          </w:p>
        </w:tc>
        <w:tc>
          <w:tcPr>
            <w:tcW w:w="1596" w:type="dxa"/>
          </w:tcPr>
          <w:p w:rsidR="00B92EF2" w:rsidRDefault="006A7341">
            <w:pPr>
              <w:rPr>
                <w:rFonts w:ascii="Times New Roman" w:hAnsi="Times New Roman"/>
                <w:sz w:val="18"/>
                <w:szCs w:val="18"/>
              </w:rPr>
            </w:pPr>
            <w:r>
              <w:rPr>
                <w:rFonts w:ascii="Times New Roman" w:hAnsi="Times New Roman"/>
                <w:sz w:val="18"/>
                <w:szCs w:val="18"/>
              </w:rPr>
              <w:t>3 (1.3%)</w:t>
            </w:r>
          </w:p>
        </w:tc>
        <w:tc>
          <w:tcPr>
            <w:tcW w:w="1596" w:type="dxa"/>
          </w:tcPr>
          <w:p w:rsidR="00B92EF2" w:rsidRDefault="006A7341">
            <w:pPr>
              <w:rPr>
                <w:rFonts w:ascii="Times New Roman" w:hAnsi="Times New Roman"/>
                <w:sz w:val="18"/>
                <w:szCs w:val="18"/>
              </w:rPr>
            </w:pPr>
            <w:r>
              <w:rPr>
                <w:rFonts w:ascii="Times New Roman" w:hAnsi="Times New Roman"/>
                <w:sz w:val="18"/>
                <w:szCs w:val="18"/>
              </w:rPr>
              <w:t>6</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(LR)</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LILACS</w:t>
            </w:r>
          </w:p>
        </w:tc>
        <w:tc>
          <w:tcPr>
            <w:tcW w:w="1596" w:type="dxa"/>
          </w:tcPr>
          <w:p w:rsidR="00B92EF2" w:rsidRDefault="006A7341">
            <w:pPr>
              <w:rPr>
                <w:rFonts w:ascii="Times New Roman" w:hAnsi="Times New Roman"/>
                <w:sz w:val="18"/>
                <w:szCs w:val="18"/>
              </w:rPr>
            </w:pPr>
            <w:r>
              <w:rPr>
                <w:rFonts w:ascii="Times New Roman" w:hAnsi="Times New Roman"/>
                <w:sz w:val="18"/>
                <w:szCs w:val="18"/>
              </w:rPr>
              <w:t>4 (1.7%)</w:t>
            </w:r>
          </w:p>
        </w:tc>
        <w:tc>
          <w:tcPr>
            <w:tcW w:w="1596" w:type="dxa"/>
          </w:tcPr>
          <w:p w:rsidR="00B92EF2" w:rsidRDefault="006A7341">
            <w:pPr>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(0.8%)</w:t>
            </w:r>
          </w:p>
        </w:tc>
        <w:tc>
          <w:tcPr>
            <w:tcW w:w="1596" w:type="dxa"/>
          </w:tcPr>
          <w:p w:rsidR="00B92EF2" w:rsidRDefault="006A7341">
            <w:pPr>
              <w:rPr>
                <w:rFonts w:ascii="Times New Roman" w:hAnsi="Times New Roman"/>
                <w:sz w:val="18"/>
                <w:szCs w:val="18"/>
              </w:rPr>
            </w:pPr>
            <w:r>
              <w:rPr>
                <w:rFonts w:ascii="Times New Roman" w:hAnsi="Times New Roman"/>
                <w:sz w:val="18"/>
                <w:szCs w:val="18"/>
              </w:rPr>
              <w:t>2 (0.8%)</w:t>
            </w:r>
          </w:p>
        </w:tc>
        <w:tc>
          <w:tcPr>
            <w:tcW w:w="1596" w:type="dxa"/>
          </w:tcPr>
          <w:p w:rsidR="00B92EF2" w:rsidRDefault="006A7341">
            <w:pPr>
              <w:rPr>
                <w:rFonts w:ascii="Times New Roman" w:hAnsi="Times New Roman"/>
                <w:sz w:val="18"/>
                <w:szCs w:val="18"/>
              </w:rPr>
            </w:pPr>
            <w:r>
              <w:rPr>
                <w:rFonts w:ascii="Times New Roman" w:hAnsi="Times New Roman"/>
                <w:sz w:val="18"/>
                <w:szCs w:val="18"/>
              </w:rPr>
              <w:t>5</w:t>
            </w:r>
          </w:p>
        </w:tc>
        <w:tc>
          <w:tcPr>
            <w:tcW w:w="1596" w:type="dxa"/>
          </w:tcPr>
          <w:p w:rsidR="00B92EF2" w:rsidRDefault="006A7341">
            <w:pPr>
              <w:rPr>
                <w:rFonts w:ascii="Times New Roman" w:hAnsi="Times New Roman"/>
                <w:sz w:val="18"/>
                <w:szCs w:val="18"/>
              </w:rPr>
            </w:pPr>
            <w:r>
              <w:rPr>
                <w:rFonts w:ascii="Times New Roman" w:hAnsi="Times New Roman"/>
                <w:sz w:val="18"/>
                <w:szCs w:val="18"/>
              </w:rPr>
              <w:t>Platelets</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WHO GIM</w:t>
            </w:r>
          </w:p>
        </w:tc>
        <w:tc>
          <w:tcPr>
            <w:tcW w:w="1596" w:type="dxa"/>
          </w:tcPr>
          <w:p w:rsidR="00B92EF2" w:rsidRDefault="006A7341">
            <w:pPr>
              <w:rPr>
                <w:rFonts w:ascii="Times New Roman" w:hAnsi="Times New Roman"/>
                <w:sz w:val="18"/>
                <w:szCs w:val="18"/>
              </w:rPr>
            </w:pPr>
            <w:r>
              <w:rPr>
                <w:rFonts w:ascii="Times New Roman" w:hAnsi="Times New Roman"/>
                <w:sz w:val="18"/>
                <w:szCs w:val="18"/>
              </w:rPr>
              <w:t>2 (0.8%)</w:t>
            </w:r>
          </w:p>
        </w:tc>
        <w:tc>
          <w:tcPr>
            <w:tcW w:w="1596" w:type="dxa"/>
          </w:tcPr>
          <w:p w:rsidR="00B92EF2" w:rsidRDefault="006A7341">
            <w:pPr>
              <w:rPr>
                <w:rFonts w:ascii="Times New Roman" w:hAnsi="Times New Roman"/>
                <w:sz w:val="18"/>
                <w:szCs w:val="18"/>
              </w:rPr>
            </w:pPr>
            <w:r>
              <w:rPr>
                <w:rFonts w:ascii="Times New Roman" w:hAnsi="Times New Roman"/>
                <w:sz w:val="18"/>
                <w:szCs w:val="18"/>
              </w:rPr>
              <w:t>1 (0.4%)</w:t>
            </w:r>
          </w:p>
        </w:tc>
        <w:tc>
          <w:tcPr>
            <w:tcW w:w="1596" w:type="dxa"/>
          </w:tcPr>
          <w:p w:rsidR="00B92EF2" w:rsidRDefault="006A7341">
            <w:pPr>
              <w:rPr>
                <w:rFonts w:ascii="Times New Roman" w:hAnsi="Times New Roman"/>
                <w:sz w:val="18"/>
                <w:szCs w:val="18"/>
              </w:rPr>
            </w:pPr>
            <w:r>
              <w:rPr>
                <w:rFonts w:ascii="Times New Roman" w:hAnsi="Times New Roman"/>
                <w:sz w:val="18"/>
                <w:szCs w:val="18"/>
              </w:rPr>
              <w:t>1 (0.4%)</w:t>
            </w:r>
          </w:p>
        </w:tc>
        <w:tc>
          <w:tcPr>
            <w:tcW w:w="1596" w:type="dxa"/>
          </w:tcPr>
          <w:p w:rsidR="00B92EF2" w:rsidRDefault="006A7341">
            <w:pPr>
              <w:rPr>
                <w:rFonts w:ascii="Times New Roman" w:hAnsi="Times New Roman"/>
                <w:sz w:val="18"/>
                <w:szCs w:val="18"/>
              </w:rPr>
            </w:pPr>
            <w:r>
              <w:rPr>
                <w:rFonts w:ascii="Times New Roman" w:hAnsi="Times New Roman"/>
                <w:sz w:val="18"/>
                <w:szCs w:val="18"/>
              </w:rPr>
              <w:t>4</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(non-LR)</w:t>
            </w:r>
          </w:p>
        </w:tc>
      </w:tr>
      <w:tr w:rsidR="00B92EF2">
        <w:tc>
          <w:tcPr>
            <w:tcW w:w="1596" w:type="dxa"/>
          </w:tcPr>
          <w:p w:rsidR="00B92EF2" w:rsidRDefault="006A7341">
            <w:pPr>
              <w:rPr>
                <w:rFonts w:ascii="Times New Roman" w:hAnsi="Times New Roman"/>
                <w:sz w:val="18"/>
                <w:szCs w:val="18"/>
              </w:rPr>
            </w:pPr>
            <w:r>
              <w:rPr>
                <w:rFonts w:ascii="Times New Roman" w:hAnsi="Times New Roman"/>
                <w:sz w:val="18"/>
                <w:szCs w:val="18"/>
              </w:rPr>
              <w:t>Google Scholar</w:t>
            </w:r>
          </w:p>
        </w:tc>
        <w:tc>
          <w:tcPr>
            <w:tcW w:w="1596" w:type="dxa"/>
          </w:tcPr>
          <w:p w:rsidR="00B92EF2" w:rsidRDefault="006A7341">
            <w:pPr>
              <w:rPr>
                <w:rFonts w:ascii="Times New Roman" w:hAnsi="Times New Roman"/>
                <w:sz w:val="18"/>
                <w:szCs w:val="18"/>
              </w:rPr>
            </w:pPr>
            <w:r>
              <w:rPr>
                <w:rFonts w:ascii="Times New Roman" w:hAnsi="Times New Roman"/>
                <w:sz w:val="18"/>
                <w:szCs w:val="18"/>
              </w:rPr>
              <w:t>2 (0.8%)</w:t>
            </w:r>
          </w:p>
        </w:tc>
        <w:tc>
          <w:tcPr>
            <w:tcW w:w="1596" w:type="dxa"/>
          </w:tcPr>
          <w:p w:rsidR="00B92EF2" w:rsidRDefault="006A7341">
            <w:pPr>
              <w:rPr>
                <w:rFonts w:ascii="Times New Roman" w:hAnsi="Times New Roman"/>
                <w:sz w:val="18"/>
                <w:szCs w:val="18"/>
              </w:rPr>
            </w:pPr>
            <w:r>
              <w:rPr>
                <w:rFonts w:ascii="Times New Roman" w:hAnsi="Times New Roman"/>
                <w:sz w:val="18"/>
                <w:szCs w:val="18"/>
              </w:rPr>
              <w:t>1 (0.4%)</w:t>
            </w:r>
          </w:p>
        </w:tc>
        <w:tc>
          <w:tcPr>
            <w:tcW w:w="1596" w:type="dxa"/>
          </w:tcPr>
          <w:p w:rsidR="00B92EF2" w:rsidRDefault="006A7341">
            <w:pPr>
              <w:rPr>
                <w:rFonts w:ascii="Times New Roman" w:hAnsi="Times New Roman"/>
                <w:sz w:val="18"/>
                <w:szCs w:val="18"/>
              </w:rPr>
            </w:pPr>
            <w:r>
              <w:rPr>
                <w:rFonts w:ascii="Times New Roman" w:hAnsi="Times New Roman"/>
                <w:sz w:val="18"/>
                <w:szCs w:val="18"/>
              </w:rPr>
              <w:t>1 (0.4%)</w:t>
            </w:r>
          </w:p>
        </w:tc>
        <w:tc>
          <w:tcPr>
            <w:tcW w:w="1596" w:type="dxa"/>
          </w:tcPr>
          <w:p w:rsidR="00B92EF2" w:rsidRDefault="006A7341">
            <w:pPr>
              <w:rPr>
                <w:rFonts w:ascii="Times New Roman" w:hAnsi="Times New Roman"/>
                <w:sz w:val="18"/>
                <w:szCs w:val="18"/>
              </w:rPr>
            </w:pPr>
            <w:r>
              <w:rPr>
                <w:rFonts w:ascii="Times New Roman" w:hAnsi="Times New Roman"/>
                <w:sz w:val="18"/>
                <w:szCs w:val="18"/>
              </w:rPr>
              <w:t>9</w:t>
            </w:r>
          </w:p>
        </w:tc>
        <w:tc>
          <w:tcPr>
            <w:tcW w:w="1596" w:type="dxa"/>
          </w:tcPr>
          <w:p w:rsidR="00B92EF2" w:rsidRDefault="006A7341">
            <w:pPr>
              <w:rPr>
                <w:rFonts w:ascii="Times New Roman" w:hAnsi="Times New Roman"/>
                <w:sz w:val="18"/>
                <w:szCs w:val="18"/>
              </w:rPr>
            </w:pPr>
            <w:r>
              <w:rPr>
                <w:rFonts w:ascii="Times New Roman" w:hAnsi="Times New Roman"/>
                <w:sz w:val="18"/>
                <w:szCs w:val="18"/>
              </w:rPr>
              <w:t>RBC + Plasma</w:t>
            </w:r>
          </w:p>
        </w:tc>
      </w:tr>
      <w:tr w:rsidR="00B92EF2">
        <w:tc>
          <w:tcPr>
            <w:tcW w:w="1596" w:type="dxa"/>
          </w:tcPr>
          <w:p w:rsidR="00B92EF2" w:rsidRDefault="006A7341">
            <w:pPr>
              <w:rPr>
                <w:rFonts w:ascii="Times New Roman" w:hAnsi="Times New Roman"/>
                <w:b/>
                <w:sz w:val="18"/>
                <w:szCs w:val="18"/>
              </w:rPr>
            </w:pPr>
            <w:r>
              <w:rPr>
                <w:rFonts w:ascii="Times New Roman" w:hAnsi="Times New Roman"/>
                <w:b/>
                <w:sz w:val="18"/>
                <w:szCs w:val="18"/>
              </w:rPr>
              <w:t>Total</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240 (100%)</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125 (52.1%)</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115 (47.9%)</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≈8–10</w:t>
            </w:r>
          </w:p>
        </w:tc>
        <w:tc>
          <w:tcPr>
            <w:tcW w:w="1596" w:type="dxa"/>
          </w:tcPr>
          <w:p w:rsidR="00B92EF2" w:rsidRDefault="006A7341">
            <w:pPr>
              <w:rPr>
                <w:rFonts w:ascii="Times New Roman" w:hAnsi="Times New Roman"/>
                <w:b/>
                <w:sz w:val="18"/>
                <w:szCs w:val="18"/>
              </w:rPr>
            </w:pPr>
            <w:r>
              <w:rPr>
                <w:rFonts w:ascii="Times New Roman" w:hAnsi="Times New Roman"/>
                <w:b/>
                <w:sz w:val="18"/>
                <w:szCs w:val="18"/>
              </w:rPr>
              <w:t>RBC (LR most frequent)</w:t>
            </w:r>
          </w:p>
        </w:tc>
      </w:tr>
    </w:tbl>
    <w:p w:rsidR="00B92EF2" w:rsidRDefault="006A7341">
      <w:pPr>
        <w:spacing w:after="0"/>
        <w:rPr>
          <w:rFonts w:ascii="Times New Roman" w:hAnsi="Times New Roman"/>
          <w:sz w:val="20"/>
          <w:szCs w:val="18"/>
        </w:rPr>
      </w:pPr>
      <w:r>
        <w:rPr>
          <w:rFonts w:ascii="Times New Roman" w:hAnsi="Times New Roman"/>
          <w:sz w:val="20"/>
          <w:szCs w:val="18"/>
        </w:rPr>
        <w:t xml:space="preserve">Notes: - Female and Male refer to adult participants (≥18 y) whose data were disaggregated in studies on transfusion support.  - Sex was not always reported; these counts reflect studies where sex-specific denominators/units were given.  - Percentages are </w:t>
      </w:r>
      <w:r>
        <w:rPr>
          <w:rFonts w:ascii="Times New Roman" w:hAnsi="Times New Roman"/>
          <w:sz w:val="20"/>
          <w:szCs w:val="18"/>
        </w:rPr>
        <w:t>out of 240 included (of 350 screened).  - “Most common component” = primary product analysed in sex-stratified outcomes.</w:t>
      </w:r>
    </w:p>
    <w:p w:rsidR="00B92EF2" w:rsidRDefault="00B92EF2">
      <w:pPr>
        <w:rPr>
          <w:rFonts w:ascii="Times New Roman" w:hAnsi="Times New Roman"/>
          <w:sz w:val="18"/>
          <w:szCs w:val="18"/>
        </w:rPr>
      </w:pPr>
    </w:p>
    <w:p w:rsidR="00B92EF2" w:rsidRDefault="006A7341">
      <w:pPr>
        <w:jc w:val="both"/>
        <w:rPr>
          <w:rFonts w:ascii="Times New Roman" w:hAnsi="Times New Roman"/>
        </w:rPr>
      </w:pPr>
      <w:r>
        <w:rPr>
          <w:rFonts w:ascii="Times New Roman" w:hAnsi="Times New Roman"/>
        </w:rPr>
        <w:t>In table 8 the results of the  numerical values of ten search engines vs total numbers of articles/ percentage vs total numbers of art</w:t>
      </w:r>
      <w:r>
        <w:rPr>
          <w:rFonts w:ascii="Times New Roman" w:hAnsi="Times New Roman"/>
        </w:rPr>
        <w:t>icles/ percentage that met inclusion criteria  vs  prevalence of the various adults  patients  female vs male   vs multiple transfusions massive transfusion vs super transfusion vs  total numbers of  unit  blood vs type of  components of blood used are sho</w:t>
      </w:r>
      <w:r>
        <w:rPr>
          <w:rFonts w:ascii="Times New Roman" w:hAnsi="Times New Roman"/>
        </w:rPr>
        <w:t>wn .the total number of articles used were   240 out of 350 articles. This  Table 8 also presents the  adult sex breakdown plus transfusion intensity (multiple, massive, super-massive) across the 240 included studies with all percentages out of 240 (from 3</w:t>
      </w:r>
      <w:r>
        <w:rPr>
          <w:rFonts w:ascii="Times New Roman" w:hAnsi="Times New Roman"/>
        </w:rPr>
        <w:t>50 screened).Among 240 included studies, adults were 52.1% female and 47.9% male, with multiple transfusion reported in 38.8%, massive in 20.4%, and super-massive in 7.1%; median exposure was ≈10–12 RBC units/patient, most often as leukoreduced RBCs. Trans</w:t>
      </w:r>
      <w:r>
        <w:rPr>
          <w:rFonts w:ascii="Times New Roman" w:hAnsi="Times New Roman"/>
        </w:rPr>
        <w:t xml:space="preserve">fusion-intensity categories are hierarchical and minimally overlapping (super-massive </w:t>
      </w:r>
      <w:r>
        <w:rPr>
          <w:rFonts w:ascii="Cambria Math" w:hAnsi="Cambria Math" w:cs="Cambria Math"/>
          <w:sz w:val="18"/>
        </w:rPr>
        <w:t>&lt;</w:t>
      </w:r>
      <w:r>
        <w:rPr>
          <w:rFonts w:ascii="Times New Roman" w:hAnsi="Times New Roman"/>
        </w:rPr>
        <w:t xml:space="preserve"> massive &lt;multiple); sex-specific counts reflect studies reporting disaggregated data. Percentages out of 240 included articles.</w:t>
      </w:r>
    </w:p>
    <w:tbl>
      <w:tblPr>
        <w:tblStyle w:val="TableGrid"/>
        <w:tblW w:w="0" w:type="auto"/>
        <w:tblLook w:val="04A0" w:firstRow="1" w:lastRow="0" w:firstColumn="1" w:lastColumn="0" w:noHBand="0" w:noVBand="1"/>
      </w:tblPr>
      <w:tblGrid>
        <w:gridCol w:w="1045"/>
        <w:gridCol w:w="1043"/>
        <w:gridCol w:w="1032"/>
        <w:gridCol w:w="1032"/>
        <w:gridCol w:w="1041"/>
        <w:gridCol w:w="1037"/>
        <w:gridCol w:w="1021"/>
        <w:gridCol w:w="1033"/>
        <w:gridCol w:w="1066"/>
      </w:tblGrid>
      <w:tr w:rsidR="00B92EF2">
        <w:tc>
          <w:tcPr>
            <w:tcW w:w="9576" w:type="dxa"/>
            <w:gridSpan w:val="9"/>
          </w:tcPr>
          <w:p w:rsidR="00B92EF2" w:rsidRDefault="006A7341">
            <w:pPr>
              <w:spacing w:after="0" w:line="240" w:lineRule="auto"/>
              <w:rPr>
                <w:rFonts w:ascii="Times New Roman" w:hAnsi="Times New Roman"/>
                <w:b/>
                <w:sz w:val="18"/>
              </w:rPr>
            </w:pPr>
            <w:r>
              <w:rPr>
                <w:rFonts w:ascii="Times New Roman" w:hAnsi="Times New Roman"/>
                <w:b/>
              </w:rPr>
              <w:t>Table 8. Included studies by search engi</w:t>
            </w:r>
            <w:r>
              <w:rPr>
                <w:rFonts w:ascii="Times New Roman" w:hAnsi="Times New Roman"/>
                <w:b/>
              </w:rPr>
              <w:t>ne: adult sex &amp; transfusion intensity (n = 240)</w:t>
            </w:r>
          </w:p>
        </w:tc>
      </w:tr>
      <w:tr w:rsidR="00B92EF2">
        <w:tc>
          <w:tcPr>
            <w:tcW w:w="1063" w:type="dxa"/>
          </w:tcPr>
          <w:p w:rsidR="00B92EF2" w:rsidRDefault="006A7341">
            <w:pPr>
              <w:spacing w:after="0" w:line="240" w:lineRule="auto"/>
              <w:rPr>
                <w:rFonts w:ascii="Times New Roman" w:hAnsi="Times New Roman"/>
                <w:b/>
                <w:sz w:val="18"/>
              </w:rPr>
            </w:pPr>
            <w:r>
              <w:rPr>
                <w:rFonts w:ascii="Times New Roman" w:hAnsi="Times New Roman"/>
                <w:b/>
                <w:sz w:val="18"/>
              </w:rPr>
              <w:lastRenderedPageBreak/>
              <w:t>Search engine</w:t>
            </w:r>
          </w:p>
        </w:tc>
        <w:tc>
          <w:tcPr>
            <w:tcW w:w="1063" w:type="dxa"/>
          </w:tcPr>
          <w:p w:rsidR="00B92EF2" w:rsidRDefault="006A7341">
            <w:pPr>
              <w:spacing w:after="0" w:line="240" w:lineRule="auto"/>
              <w:rPr>
                <w:rFonts w:ascii="Times New Roman" w:hAnsi="Times New Roman"/>
                <w:b/>
                <w:sz w:val="18"/>
              </w:rPr>
            </w:pPr>
            <w:r>
              <w:rPr>
                <w:rFonts w:ascii="Times New Roman" w:hAnsi="Times New Roman"/>
                <w:b/>
                <w:sz w:val="18"/>
              </w:rPr>
              <w:t xml:space="preserve">Included n (%) </w:t>
            </w:r>
          </w:p>
          <w:p w:rsidR="00B92EF2" w:rsidRDefault="00B92EF2">
            <w:pPr>
              <w:spacing w:after="0" w:line="240" w:lineRule="auto"/>
              <w:rPr>
                <w:rFonts w:ascii="Times New Roman" w:hAnsi="Times New Roman"/>
                <w:b/>
                <w:sz w:val="18"/>
              </w:rPr>
            </w:pPr>
          </w:p>
        </w:tc>
        <w:tc>
          <w:tcPr>
            <w:tcW w:w="1064" w:type="dxa"/>
          </w:tcPr>
          <w:p w:rsidR="00B92EF2" w:rsidRDefault="006A7341">
            <w:pPr>
              <w:spacing w:after="0" w:line="240" w:lineRule="auto"/>
              <w:rPr>
                <w:rFonts w:ascii="Times New Roman" w:hAnsi="Times New Roman"/>
                <w:b/>
                <w:sz w:val="18"/>
              </w:rPr>
            </w:pPr>
            <w:r>
              <w:rPr>
                <w:rFonts w:ascii="Times New Roman" w:hAnsi="Times New Roman"/>
                <w:b/>
                <w:sz w:val="18"/>
              </w:rPr>
              <w:t>Female n (%)</w:t>
            </w:r>
          </w:p>
        </w:tc>
        <w:tc>
          <w:tcPr>
            <w:tcW w:w="1064" w:type="dxa"/>
          </w:tcPr>
          <w:p w:rsidR="00B92EF2" w:rsidRDefault="006A7341">
            <w:pPr>
              <w:spacing w:after="0" w:line="240" w:lineRule="auto"/>
              <w:rPr>
                <w:rFonts w:ascii="Times New Roman" w:hAnsi="Times New Roman"/>
                <w:b/>
                <w:sz w:val="18"/>
              </w:rPr>
            </w:pPr>
            <w:r>
              <w:rPr>
                <w:rFonts w:ascii="Times New Roman" w:hAnsi="Times New Roman"/>
                <w:b/>
                <w:sz w:val="18"/>
              </w:rPr>
              <w:t>Male n (%)</w:t>
            </w:r>
          </w:p>
        </w:tc>
        <w:tc>
          <w:tcPr>
            <w:tcW w:w="1064" w:type="dxa"/>
          </w:tcPr>
          <w:p w:rsidR="00B92EF2" w:rsidRDefault="006A7341">
            <w:pPr>
              <w:spacing w:after="0" w:line="240" w:lineRule="auto"/>
              <w:rPr>
                <w:rFonts w:ascii="Times New Roman" w:hAnsi="Times New Roman"/>
                <w:b/>
                <w:sz w:val="18"/>
              </w:rPr>
            </w:pPr>
            <w:r>
              <w:rPr>
                <w:rFonts w:ascii="Times New Roman" w:hAnsi="Times New Roman"/>
                <w:b/>
                <w:sz w:val="18"/>
              </w:rPr>
              <w:t>Multiple tx n (%)</w:t>
            </w:r>
          </w:p>
        </w:tc>
        <w:tc>
          <w:tcPr>
            <w:tcW w:w="1064" w:type="dxa"/>
          </w:tcPr>
          <w:p w:rsidR="00B92EF2" w:rsidRDefault="006A7341">
            <w:pPr>
              <w:spacing w:after="0" w:line="240" w:lineRule="auto"/>
              <w:rPr>
                <w:rFonts w:ascii="Times New Roman" w:hAnsi="Times New Roman"/>
                <w:b/>
                <w:sz w:val="18"/>
              </w:rPr>
            </w:pPr>
            <w:r>
              <w:rPr>
                <w:rFonts w:ascii="Times New Roman" w:hAnsi="Times New Roman"/>
                <w:b/>
                <w:sz w:val="18"/>
              </w:rPr>
              <w:t>Massive tx n (%)</w:t>
            </w:r>
          </w:p>
        </w:tc>
        <w:tc>
          <w:tcPr>
            <w:tcW w:w="1064" w:type="dxa"/>
          </w:tcPr>
          <w:p w:rsidR="00B92EF2" w:rsidRDefault="006A7341">
            <w:pPr>
              <w:spacing w:after="0" w:line="240" w:lineRule="auto"/>
              <w:rPr>
                <w:rFonts w:ascii="Times New Roman" w:hAnsi="Times New Roman"/>
                <w:b/>
                <w:sz w:val="18"/>
              </w:rPr>
            </w:pPr>
            <w:r>
              <w:rPr>
                <w:rFonts w:ascii="Times New Roman" w:hAnsi="Times New Roman"/>
                <w:b/>
                <w:sz w:val="18"/>
              </w:rPr>
              <w:t>Super tx n (%)</w:t>
            </w:r>
          </w:p>
        </w:tc>
        <w:tc>
          <w:tcPr>
            <w:tcW w:w="1064" w:type="dxa"/>
          </w:tcPr>
          <w:p w:rsidR="00B92EF2" w:rsidRDefault="006A7341">
            <w:pPr>
              <w:spacing w:after="0" w:line="240" w:lineRule="auto"/>
              <w:rPr>
                <w:rFonts w:ascii="Times New Roman" w:hAnsi="Times New Roman"/>
                <w:b/>
                <w:sz w:val="18"/>
              </w:rPr>
            </w:pPr>
            <w:r>
              <w:rPr>
                <w:rFonts w:ascii="Times New Roman" w:hAnsi="Times New Roman"/>
                <w:b/>
                <w:sz w:val="18"/>
              </w:rPr>
              <w:t>Median RBC units/pt</w:t>
            </w:r>
          </w:p>
        </w:tc>
        <w:tc>
          <w:tcPr>
            <w:tcW w:w="1066" w:type="dxa"/>
          </w:tcPr>
          <w:p w:rsidR="00B92EF2" w:rsidRDefault="006A7341">
            <w:pPr>
              <w:spacing w:after="0" w:line="240" w:lineRule="auto"/>
              <w:rPr>
                <w:rFonts w:ascii="Times New Roman" w:hAnsi="Times New Roman"/>
                <w:b/>
                <w:sz w:val="18"/>
              </w:rPr>
            </w:pPr>
            <w:r>
              <w:rPr>
                <w:rFonts w:ascii="Times New Roman" w:hAnsi="Times New Roman"/>
                <w:b/>
                <w:sz w:val="18"/>
              </w:rPr>
              <w:t>Most common component</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PubMed</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70 (29.2%)</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38 (15.8%)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32 (13.3%)</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14 </w:t>
            </w:r>
            <w:r>
              <w:rPr>
                <w:rFonts w:ascii="Times New Roman" w:hAnsi="Times New Roman"/>
                <w:sz w:val="18"/>
                <w:szCs w:val="18"/>
              </w:rPr>
              <w:t>(5.8%)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Embase</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48 (20.0%)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25 (10.4%)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23 (9.6%)</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20 (8.3%)</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Cochrane</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32 (13.3%)</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 (6.7%)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 (6.7%)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Scopus</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36 (15.0%)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 (7.5%)</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 (7.5%)</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8 (3.3%)</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Web of Science</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28 (11.7%)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14 (5.8%)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 (4.2%)</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African Index Medicus</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 (5.0%)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7 (2.9%)</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 (2.1%)</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16</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Whole blood</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IMEMR</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 (2.5%)</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 (1.3%)</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3 (1.3%)</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 xml:space="preserve">0 </w:t>
            </w:r>
            <w:r>
              <w:rPr>
                <w:rFonts w:ascii="Times New Roman" w:hAnsi="Times New Roman"/>
                <w:sz w:val="18"/>
                <w:szCs w:val="18"/>
              </w:rPr>
              <w:t>(0%)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11</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LILACS</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 (1.7%)</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6</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Platelets</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WHO GIM</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5</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(non-LR)</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Google Scholar</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 (0.8%)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 (0.4%)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0 (0%)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18</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 Plasma</w:t>
            </w:r>
          </w:p>
        </w:tc>
      </w:tr>
      <w:tr w:rsidR="00B92EF2">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Total</w:t>
            </w:r>
          </w:p>
        </w:tc>
        <w:tc>
          <w:tcPr>
            <w:tcW w:w="1063"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240 (100%)</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125 (52.1%)</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115 (47.9%)</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93 (38.8%)</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49 (20.4%)</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17 (7.1%)</w:t>
            </w:r>
          </w:p>
        </w:tc>
        <w:tc>
          <w:tcPr>
            <w:tcW w:w="1064"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≈10–12</w:t>
            </w:r>
          </w:p>
        </w:tc>
        <w:tc>
          <w:tcPr>
            <w:tcW w:w="1066" w:type="dxa"/>
          </w:tcPr>
          <w:p w:rsidR="00B92EF2" w:rsidRDefault="006A7341">
            <w:pPr>
              <w:spacing w:after="0" w:line="240" w:lineRule="auto"/>
              <w:rPr>
                <w:rFonts w:ascii="Times New Roman" w:hAnsi="Times New Roman"/>
                <w:sz w:val="18"/>
                <w:szCs w:val="18"/>
              </w:rPr>
            </w:pPr>
            <w:r>
              <w:rPr>
                <w:rFonts w:ascii="Times New Roman" w:hAnsi="Times New Roman"/>
                <w:sz w:val="18"/>
                <w:szCs w:val="18"/>
              </w:rPr>
              <w:t>RBC (LR most</w:t>
            </w:r>
          </w:p>
        </w:tc>
      </w:tr>
    </w:tbl>
    <w:p w:rsidR="00B92EF2" w:rsidRDefault="006A7341">
      <w:pPr>
        <w:spacing w:after="0" w:line="240" w:lineRule="auto"/>
        <w:rPr>
          <w:rFonts w:ascii="Times New Roman" w:hAnsi="Times New Roman"/>
          <w:b/>
          <w:sz w:val="20"/>
          <w:szCs w:val="20"/>
        </w:rPr>
      </w:pPr>
      <w:r>
        <w:rPr>
          <w:rFonts w:ascii="Times New Roman" w:hAnsi="Times New Roman"/>
          <w:b/>
          <w:sz w:val="20"/>
          <w:szCs w:val="20"/>
        </w:rPr>
        <w:t xml:space="preserve">Definitions: </w:t>
      </w:r>
      <w:r>
        <w:rPr>
          <w:rFonts w:ascii="Times New Roman" w:hAnsi="Times New Roman"/>
          <w:sz w:val="20"/>
          <w:szCs w:val="20"/>
        </w:rPr>
        <w:t>- Multiple tx = ≥3 RBC units/admission; Massive tx= ≥10 units/24h (or equivalent); Super tx = ≥20 units/24h or exchange protocols.  - Categories overlap mi</w:t>
      </w:r>
      <w:r>
        <w:rPr>
          <w:rFonts w:ascii="Times New Roman" w:hAnsi="Times New Roman"/>
          <w:sz w:val="20"/>
          <w:szCs w:val="20"/>
        </w:rPr>
        <w:t>nimally; medians reflect intensity subgroup reported.  - Percentages out of 240 included; components = primary studied product.</w:t>
      </w:r>
    </w:p>
    <w:p w:rsidR="00B92EF2" w:rsidRDefault="00B92EF2">
      <w:pPr>
        <w:spacing w:after="0"/>
        <w:jc w:val="both"/>
        <w:rPr>
          <w:rFonts w:ascii="Times New Roman" w:hAnsi="Times New Roman"/>
          <w:b/>
          <w:sz w:val="28"/>
          <w:szCs w:val="20"/>
        </w:rPr>
      </w:pPr>
    </w:p>
    <w:p w:rsidR="00B92EF2" w:rsidRDefault="006A7341">
      <w:pPr>
        <w:spacing w:after="0" w:line="240" w:lineRule="auto"/>
        <w:jc w:val="both"/>
        <w:rPr>
          <w:rFonts w:ascii="Times New Roman" w:hAnsi="Times New Roman"/>
          <w:b/>
        </w:rPr>
      </w:pPr>
      <w:r>
        <w:rPr>
          <w:rFonts w:ascii="Times New Roman" w:hAnsi="Times New Roman"/>
          <w:b/>
        </w:rPr>
        <w:t xml:space="preserve">Table 9 Results shows publication-bias tests for the AML/MDS threshold subset, n≈42 studies; solid tumors. </w:t>
      </w:r>
      <w:r>
        <w:rPr>
          <w:rFonts w:ascii="Times New Roman" w:hAnsi="Times New Roman"/>
        </w:rPr>
        <w:t>We evaluated small-s</w:t>
      </w:r>
      <w:r>
        <w:rPr>
          <w:rFonts w:ascii="Times New Roman" w:hAnsi="Times New Roman"/>
        </w:rPr>
        <w:t>tudy effects and selective reporting within the AML/MDS transfusion-threshold subset (n ≈ 42 studies) that reported comparable effect sizes (odds ratios for alloimmunization or ferritin-related cardiac toxicity per liberal vs restrictive Hb trigger). Solid</w:t>
      </w:r>
      <w:r>
        <w:rPr>
          <w:rFonts w:ascii="Times New Roman" w:hAnsi="Times New Roman"/>
        </w:rPr>
        <w:t>-tumors cohorts (n ≈ 198) were excluded from pooling because of clinical heterogeneity (different malignancies, triggers, and outcome definitions), so bias there is discussed descriptively.</w:t>
      </w:r>
    </w:p>
    <w:p w:rsidR="00B92EF2" w:rsidRDefault="006A7341">
      <w:pPr>
        <w:spacing w:after="0" w:line="240" w:lineRule="auto"/>
        <w:jc w:val="both"/>
        <w:rPr>
          <w:rFonts w:ascii="Times New Roman" w:hAnsi="Times New Roman"/>
        </w:rPr>
      </w:pPr>
      <w:r>
        <w:rPr>
          <w:rFonts w:ascii="Times New Roman" w:hAnsi="Times New Roman"/>
        </w:rPr>
        <w:t xml:space="preserve">In table 9 the Egger’s regression test regresses the standardized </w:t>
      </w:r>
      <w:r>
        <w:rPr>
          <w:rFonts w:ascii="Times New Roman" w:hAnsi="Times New Roman"/>
        </w:rPr>
        <w:t>effect size (effect/SE) on its precision (1/SE). The intercept 1.17 (95% CI −0.42 to 2.76), p = 0.21, indicates the funnel plot does not deviate significantly from symmetry: if small studies were systematically missing (e.g., negative trials), the intercep</w:t>
      </w:r>
      <w:r>
        <w:rPr>
          <w:rFonts w:ascii="Times New Roman" w:hAnsi="Times New Roman"/>
        </w:rPr>
        <w:t>t would be larger and p &lt; 0.05. Here, non-significance suggests low risk that our pooled estimate is inflated by unpublished small negative findings.</w:t>
      </w:r>
    </w:p>
    <w:p w:rsidR="00B92EF2" w:rsidRDefault="006A7341">
      <w:pPr>
        <w:spacing w:after="0" w:line="240" w:lineRule="auto"/>
        <w:jc w:val="both"/>
        <w:rPr>
          <w:rFonts w:ascii="Times New Roman" w:hAnsi="Times New Roman"/>
        </w:rPr>
      </w:pPr>
      <w:r>
        <w:rPr>
          <w:rFonts w:ascii="Times New Roman" w:hAnsi="Times New Roman"/>
        </w:rPr>
        <w:t>While Begg’s rank-correlation test computes Kendall’s τ between effect sizes and their variances. We obtai</w:t>
      </w:r>
      <w:r>
        <w:rPr>
          <w:rFonts w:ascii="Times New Roman" w:hAnsi="Times New Roman"/>
        </w:rPr>
        <w:t>ned τ = 0.11, p = 0.34, meaning ranks of effects are essentially independent of study size — another signal that smaller studies aren’t disproportionately reporting extreme benefits or harms.</w:t>
      </w:r>
    </w:p>
    <w:p w:rsidR="00B92EF2" w:rsidRDefault="006A7341">
      <w:pPr>
        <w:spacing w:after="0" w:line="240" w:lineRule="auto"/>
        <w:jc w:val="both"/>
        <w:rPr>
          <w:rFonts w:ascii="Times New Roman" w:hAnsi="Times New Roman"/>
        </w:rPr>
      </w:pPr>
      <w:r>
        <w:rPr>
          <w:rFonts w:ascii="Times New Roman" w:hAnsi="Times New Roman"/>
        </w:rPr>
        <w:t xml:space="preserve">Similarly, Trim-and-fill (Duval &amp; Tweedie) imputes hypothetical </w:t>
      </w:r>
      <w:r>
        <w:rPr>
          <w:rFonts w:ascii="Times New Roman" w:hAnsi="Times New Roman"/>
        </w:rPr>
        <w:t>missing studies to force funnel symmetry. It added 2 studies to the low-precision left side (suggesting tiny, null/negative effects might be under-reported). The pooled OR moved from 1.12 → 1.08, a &lt;4% shift, implying our estimate is robust even if those s</w:t>
      </w:r>
      <w:r>
        <w:rPr>
          <w:rFonts w:ascii="Times New Roman" w:hAnsi="Times New Roman"/>
        </w:rPr>
        <w:t>tudies existed.</w:t>
      </w:r>
    </w:p>
    <w:p w:rsidR="00B92EF2" w:rsidRDefault="006A7341">
      <w:pPr>
        <w:spacing w:after="0" w:line="240" w:lineRule="auto"/>
        <w:jc w:val="both"/>
        <w:rPr>
          <w:rFonts w:ascii="Times New Roman" w:hAnsi="Times New Roman"/>
        </w:rPr>
      </w:pPr>
      <w:r>
        <w:rPr>
          <w:rFonts w:ascii="Times New Roman" w:hAnsi="Times New Roman"/>
        </w:rPr>
        <w:t xml:space="preserve">Finally, Visual funnel plot (effect vs 1/SE) showed a roughly inverted symmetric funnel, with the cloud of points narrowing as precision increased. There was a slight sparsity among studies with SE &gt; 0.8 (very small samples), but not a </w:t>
      </w:r>
      <w:r>
        <w:rPr>
          <w:rFonts w:ascii="Times New Roman" w:hAnsi="Times New Roman"/>
        </w:rPr>
        <w:t>dramatic empty quadrant; this aligns with Egger/Begg stats — acceptable bias, though we note possible under-reporting of null harms, especially in older solid-tumors papers.</w:t>
      </w:r>
    </w:p>
    <w:p w:rsidR="00B92EF2" w:rsidRDefault="006A7341">
      <w:pPr>
        <w:spacing w:after="0" w:line="240" w:lineRule="auto"/>
        <w:jc w:val="both"/>
        <w:rPr>
          <w:rFonts w:ascii="Times New Roman" w:hAnsi="Times New Roman"/>
        </w:rPr>
      </w:pPr>
      <w:r>
        <w:rPr>
          <w:rFonts w:ascii="Times New Roman" w:hAnsi="Times New Roman"/>
        </w:rPr>
        <w:t xml:space="preserve">Take-away for review (2026): For AML/MDS thresholds, publication bias is unlikely </w:t>
      </w:r>
      <w:r>
        <w:rPr>
          <w:rFonts w:ascii="Times New Roman" w:hAnsi="Times New Roman"/>
        </w:rPr>
        <w:t>to overturn the conclusion that restrictive triggers are safe outside induction/HSCT. For solid tumors, we caution readers that null transfusion-harm studies may be missing, reinforcing our call for protocolized, matched practice in some  context.</w:t>
      </w:r>
    </w:p>
    <w:p w:rsidR="00B92EF2" w:rsidRDefault="00B92EF2">
      <w:pPr>
        <w:rPr>
          <w:rFonts w:ascii="Times New Roman" w:hAnsi="Times New Roman"/>
          <w:b/>
        </w:rPr>
      </w:pPr>
    </w:p>
    <w:tbl>
      <w:tblPr>
        <w:tblStyle w:val="TableGrid"/>
        <w:tblW w:w="0" w:type="auto"/>
        <w:tblLook w:val="04A0" w:firstRow="1" w:lastRow="0" w:firstColumn="1" w:lastColumn="0" w:noHBand="0" w:noVBand="1"/>
      </w:tblPr>
      <w:tblGrid>
        <w:gridCol w:w="3112"/>
        <w:gridCol w:w="3113"/>
        <w:gridCol w:w="3125"/>
      </w:tblGrid>
      <w:tr w:rsidR="00B92EF2">
        <w:tc>
          <w:tcPr>
            <w:tcW w:w="9576" w:type="dxa"/>
            <w:gridSpan w:val="3"/>
          </w:tcPr>
          <w:p w:rsidR="00B92EF2" w:rsidRDefault="006A7341">
            <w:pPr>
              <w:spacing w:after="0" w:line="240" w:lineRule="auto"/>
              <w:rPr>
                <w:rFonts w:ascii="Times New Roman" w:hAnsi="Times New Roman"/>
                <w:b/>
                <w:sz w:val="18"/>
              </w:rPr>
            </w:pPr>
            <w:r>
              <w:rPr>
                <w:rFonts w:ascii="Times New Roman" w:hAnsi="Times New Roman"/>
                <w:b/>
              </w:rPr>
              <w:lastRenderedPageBreak/>
              <w:t>Table 9</w:t>
            </w:r>
            <w:r>
              <w:rPr>
                <w:rFonts w:ascii="Times New Roman" w:hAnsi="Times New Roman"/>
                <w:b/>
              </w:rPr>
              <w:t>. Publication-bias assessments (AML/MDS transfusion-threshold studies)</w:t>
            </w:r>
          </w:p>
        </w:tc>
      </w:tr>
      <w:tr w:rsidR="00B92EF2">
        <w:tc>
          <w:tcPr>
            <w:tcW w:w="3192" w:type="dxa"/>
          </w:tcPr>
          <w:p w:rsidR="00B92EF2" w:rsidRDefault="006A7341">
            <w:pPr>
              <w:spacing w:after="0" w:line="240" w:lineRule="auto"/>
              <w:rPr>
                <w:rFonts w:ascii="Times New Roman" w:hAnsi="Times New Roman"/>
                <w:b/>
                <w:sz w:val="20"/>
              </w:rPr>
            </w:pPr>
            <w:r>
              <w:rPr>
                <w:rFonts w:ascii="Times New Roman" w:hAnsi="Times New Roman"/>
                <w:b/>
                <w:sz w:val="20"/>
              </w:rPr>
              <w:t>Test</w:t>
            </w:r>
          </w:p>
        </w:tc>
        <w:tc>
          <w:tcPr>
            <w:tcW w:w="3192" w:type="dxa"/>
          </w:tcPr>
          <w:p w:rsidR="00B92EF2" w:rsidRDefault="006A7341">
            <w:pPr>
              <w:spacing w:after="0" w:line="240" w:lineRule="auto"/>
              <w:rPr>
                <w:rFonts w:ascii="Times New Roman" w:hAnsi="Times New Roman"/>
                <w:b/>
                <w:sz w:val="20"/>
              </w:rPr>
            </w:pPr>
            <w:r>
              <w:rPr>
                <w:rFonts w:ascii="Times New Roman" w:hAnsi="Times New Roman"/>
                <w:b/>
                <w:sz w:val="20"/>
              </w:rPr>
              <w:t>Numerical result</w:t>
            </w:r>
          </w:p>
        </w:tc>
        <w:tc>
          <w:tcPr>
            <w:tcW w:w="3192" w:type="dxa"/>
          </w:tcPr>
          <w:p w:rsidR="00B92EF2" w:rsidRDefault="006A7341">
            <w:pPr>
              <w:spacing w:after="0" w:line="240" w:lineRule="auto"/>
              <w:rPr>
                <w:rFonts w:ascii="Times New Roman" w:hAnsi="Times New Roman"/>
                <w:b/>
                <w:sz w:val="20"/>
              </w:rPr>
            </w:pPr>
            <w:r>
              <w:rPr>
                <w:rFonts w:ascii="Times New Roman" w:hAnsi="Times New Roman"/>
                <w:b/>
                <w:sz w:val="20"/>
              </w:rPr>
              <w:t>Interpretation</w:t>
            </w:r>
          </w:p>
        </w:tc>
      </w:tr>
      <w:tr w:rsidR="00B92EF2">
        <w:tc>
          <w:tcPr>
            <w:tcW w:w="3192" w:type="dxa"/>
          </w:tcPr>
          <w:p w:rsidR="00B92EF2" w:rsidRDefault="006A7341">
            <w:pPr>
              <w:spacing w:after="0" w:line="240" w:lineRule="auto"/>
              <w:rPr>
                <w:rFonts w:ascii="Times New Roman" w:hAnsi="Times New Roman"/>
                <w:sz w:val="20"/>
              </w:rPr>
            </w:pPr>
            <w:r>
              <w:rPr>
                <w:rFonts w:ascii="Times New Roman" w:hAnsi="Times New Roman"/>
                <w:sz w:val="20"/>
              </w:rPr>
              <w:t>Egger’s regression intercept</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1.17 (95% CI −0.42 to 2.76); p = 0.2</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No significant funnel asymmetry → low risk of small-study bias</w:t>
            </w:r>
          </w:p>
        </w:tc>
      </w:tr>
      <w:tr w:rsidR="00B92EF2">
        <w:tc>
          <w:tcPr>
            <w:tcW w:w="3192" w:type="dxa"/>
          </w:tcPr>
          <w:p w:rsidR="00B92EF2" w:rsidRDefault="006A7341">
            <w:pPr>
              <w:spacing w:after="0" w:line="240" w:lineRule="auto"/>
              <w:rPr>
                <w:rFonts w:ascii="Times New Roman" w:hAnsi="Times New Roman"/>
                <w:sz w:val="20"/>
              </w:rPr>
            </w:pPr>
            <w:r>
              <w:rPr>
                <w:rFonts w:ascii="Times New Roman" w:hAnsi="Times New Roman"/>
                <w:sz w:val="20"/>
              </w:rPr>
              <w:t>Begg’s rank corr</w:t>
            </w:r>
            <w:r>
              <w:rPr>
                <w:rFonts w:ascii="Times New Roman" w:hAnsi="Times New Roman"/>
                <w:sz w:val="20"/>
              </w:rPr>
              <w:t>elation (Kendall’s τ)</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τ = 0.11; p = 0.34</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Non-significant → consistent with minimal bias</w:t>
            </w:r>
          </w:p>
        </w:tc>
      </w:tr>
      <w:tr w:rsidR="00B92EF2">
        <w:tc>
          <w:tcPr>
            <w:tcW w:w="3192" w:type="dxa"/>
          </w:tcPr>
          <w:p w:rsidR="00B92EF2" w:rsidRDefault="006A7341">
            <w:pPr>
              <w:spacing w:after="0" w:line="240" w:lineRule="auto"/>
              <w:rPr>
                <w:rFonts w:ascii="Times New Roman" w:hAnsi="Times New Roman"/>
                <w:sz w:val="20"/>
              </w:rPr>
            </w:pPr>
            <w:r>
              <w:rPr>
                <w:rFonts w:ascii="Times New Roman" w:hAnsi="Times New Roman"/>
                <w:sz w:val="20"/>
              </w:rPr>
              <w:t>Trim-and-fill imputed studies</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2 studies imputed (left side); adjusted OR 1.08 vs. observed OR 1.12</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Trivial shift → robust pooled estimate</w:t>
            </w:r>
          </w:p>
        </w:tc>
      </w:tr>
      <w:tr w:rsidR="00B92EF2">
        <w:tc>
          <w:tcPr>
            <w:tcW w:w="3192" w:type="dxa"/>
          </w:tcPr>
          <w:p w:rsidR="00B92EF2" w:rsidRDefault="006A7341">
            <w:pPr>
              <w:spacing w:after="0" w:line="240" w:lineRule="auto"/>
              <w:rPr>
                <w:rFonts w:ascii="Times New Roman" w:hAnsi="Times New Roman"/>
                <w:sz w:val="20"/>
              </w:rPr>
            </w:pPr>
            <w:r>
              <w:rPr>
                <w:rFonts w:ascii="Times New Roman" w:hAnsi="Times New Roman"/>
                <w:sz w:val="20"/>
              </w:rPr>
              <w:t>Funnel plot (visual)</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Symmetric inverted funnel; slight gap among n&lt;50, SE&gt;0.8</w:t>
            </w:r>
          </w:p>
        </w:tc>
        <w:tc>
          <w:tcPr>
            <w:tcW w:w="3192" w:type="dxa"/>
          </w:tcPr>
          <w:p w:rsidR="00B92EF2" w:rsidRDefault="006A7341">
            <w:pPr>
              <w:spacing w:after="0" w:line="240" w:lineRule="auto"/>
              <w:rPr>
                <w:rFonts w:ascii="Times New Roman" w:hAnsi="Times New Roman"/>
                <w:sz w:val="20"/>
              </w:rPr>
            </w:pPr>
            <w:r>
              <w:rPr>
                <w:rFonts w:ascii="Times New Roman" w:hAnsi="Times New Roman"/>
                <w:sz w:val="20"/>
              </w:rPr>
              <w:t>Acceptable ; small negative studies possibly under-reported</w:t>
            </w:r>
          </w:p>
        </w:tc>
      </w:tr>
    </w:tbl>
    <w:p w:rsidR="00B92EF2" w:rsidRDefault="006A7341">
      <w:pPr>
        <w:spacing w:after="0" w:line="240" w:lineRule="auto"/>
        <w:rPr>
          <w:rFonts w:ascii="Times New Roman" w:hAnsi="Times New Roman"/>
        </w:rPr>
      </w:pPr>
      <w:r>
        <w:rPr>
          <w:rFonts w:ascii="Times New Roman" w:hAnsi="Times New Roman"/>
        </w:rPr>
        <w:t xml:space="preserve">Notes:  - Subset = AML/MDS induction threshold studies (n ≈ 42; outcomes: alloimmunisation, ferritin toxicity). - Solid-tumour cohorts (n </w:t>
      </w:r>
      <w:r>
        <w:rPr>
          <w:rFonts w:ascii="Times New Roman" w:hAnsi="Times New Roman"/>
        </w:rPr>
        <w:t>≈ 198) too heterogeneous for pooling; bias judged descriptively (likely under-reporting of null transfusion harms). - Egger/Begg run in R (metafor), two-tailed α=0.05.</w:t>
      </w:r>
    </w:p>
    <w:p w:rsidR="00B92EF2" w:rsidRDefault="00B92EF2">
      <w:pPr>
        <w:spacing w:after="0"/>
        <w:jc w:val="both"/>
        <w:rPr>
          <w:rFonts w:ascii="Times New Roman" w:hAnsi="Times New Roman"/>
          <w:b/>
          <w:sz w:val="28"/>
          <w:szCs w:val="20"/>
        </w:rPr>
      </w:pPr>
    </w:p>
    <w:p w:rsidR="00B92EF2" w:rsidRDefault="00B92EF2">
      <w:pPr>
        <w:jc w:val="both"/>
        <w:rPr>
          <w:rFonts w:ascii="Times New Roman" w:hAnsi="Times New Roman"/>
          <w:b/>
        </w:rPr>
      </w:pPr>
    </w:p>
    <w:p w:rsidR="00B92EF2" w:rsidRDefault="00B92EF2">
      <w:pPr>
        <w:spacing w:after="0" w:line="240" w:lineRule="auto"/>
        <w:rPr>
          <w:rFonts w:ascii="Times New Roman" w:hAnsi="Times New Roman"/>
        </w:rPr>
      </w:pPr>
    </w:p>
    <w:p w:rsidR="00B92EF2" w:rsidRDefault="006A7341">
      <w:pPr>
        <w:spacing w:after="0" w:line="240" w:lineRule="auto"/>
        <w:jc w:val="both"/>
        <w:rPr>
          <w:rFonts w:ascii="Times New Roman" w:hAnsi="Times New Roman"/>
          <w:b/>
        </w:rPr>
      </w:pPr>
      <w:r>
        <w:rPr>
          <w:rFonts w:ascii="Times New Roman" w:hAnsi="Times New Roman"/>
          <w:b/>
        </w:rPr>
        <w:t>Table 10 . Results publication-bias assessment for all included studies (n = 240)</w:t>
      </w:r>
    </w:p>
    <w:p w:rsidR="00B92EF2" w:rsidRDefault="006A7341">
      <w:pPr>
        <w:spacing w:after="0" w:line="240" w:lineRule="auto"/>
        <w:jc w:val="both"/>
        <w:rPr>
          <w:rFonts w:ascii="Times New Roman" w:hAnsi="Times New Roman"/>
        </w:rPr>
      </w:pPr>
      <w:r>
        <w:rPr>
          <w:rFonts w:ascii="Times New Roman" w:hAnsi="Times New Roman"/>
        </w:rPr>
        <w:t>Tab</w:t>
      </w:r>
      <w:r>
        <w:rPr>
          <w:rFonts w:ascii="Times New Roman" w:hAnsi="Times New Roman"/>
        </w:rPr>
        <w:t xml:space="preserve">le 10 presents the formal publication-bias analysis for the full set of 240 included studies (from 350 screened). Bias was examined separately for hematologic complications (alloimmunizations, ferritin overload, VTE/TRIM) and non-hematologic complications </w:t>
      </w:r>
      <w:r>
        <w:rPr>
          <w:rFonts w:ascii="Times New Roman" w:hAnsi="Times New Roman"/>
        </w:rPr>
        <w:t>(surgical bleeding, wound infection, AKI/TACO, thrombosis).</w:t>
      </w:r>
    </w:p>
    <w:p w:rsidR="00B92EF2" w:rsidRDefault="006A7341">
      <w:pPr>
        <w:spacing w:after="0" w:line="240" w:lineRule="auto"/>
        <w:jc w:val="both"/>
        <w:rPr>
          <w:rFonts w:ascii="Times New Roman" w:hAnsi="Times New Roman"/>
        </w:rPr>
      </w:pPr>
      <w:r>
        <w:rPr>
          <w:rFonts w:ascii="Times New Roman" w:hAnsi="Times New Roman"/>
        </w:rPr>
        <w:t>Egger’s regression test showed a significant intercept for hematologic complications (β = 1.84, p = .003) and a smaller but still significant intercept for non-hematologic complications (β = 1.21,</w:t>
      </w:r>
      <w:r>
        <w:rPr>
          <w:rFonts w:ascii="Times New Roman" w:hAnsi="Times New Roman"/>
        </w:rPr>
        <w:t xml:space="preserve"> p = .041), indicating mild small-study effects — i.e., smaller datasets tended to report larger harms Begg’s rank-correlation test was borderline (τ = 0.19, p = .058), suggesting rankings of effect sizes were not fully independent of study precision.</w:t>
      </w:r>
    </w:p>
    <w:p w:rsidR="00B92EF2" w:rsidRDefault="00B92EF2">
      <w:pPr>
        <w:spacing w:after="0" w:line="240" w:lineRule="auto"/>
        <w:jc w:val="both"/>
        <w:rPr>
          <w:rFonts w:ascii="Times New Roman" w:hAnsi="Times New Roman"/>
        </w:rPr>
      </w:pPr>
    </w:p>
    <w:p w:rsidR="00B92EF2" w:rsidRDefault="006A7341">
      <w:pPr>
        <w:spacing w:after="0" w:line="240" w:lineRule="auto"/>
        <w:jc w:val="both"/>
        <w:rPr>
          <w:rFonts w:ascii="Times New Roman" w:hAnsi="Times New Roman"/>
        </w:rPr>
      </w:pPr>
      <w:r>
        <w:rPr>
          <w:rFonts w:ascii="Times New Roman" w:hAnsi="Times New Roman"/>
        </w:rPr>
        <w:t xml:space="preserve">To </w:t>
      </w:r>
      <w:r>
        <w:rPr>
          <w:rFonts w:ascii="Times New Roman" w:hAnsi="Times New Roman"/>
        </w:rPr>
        <w:t>quantify bias, the Trim-and-Fill method imputed 7 missing studies on the funnel plot’s left side , which attenuated the pooled complication incidence by 3.2% absolute. This shift is modest, implying our summary estimates are robust. Rosenthal’s fail-safe N</w:t>
      </w:r>
      <w:r>
        <w:rPr>
          <w:rFonts w:ascii="Times New Roman" w:hAnsi="Times New Roman"/>
        </w:rPr>
        <w:t xml:space="preserve"> = 412 further supports robustness: more than 400 null studies would be needed to overturn the overall finding.</w:t>
      </w:r>
    </w:p>
    <w:p w:rsidR="00B92EF2" w:rsidRDefault="006A7341">
      <w:pPr>
        <w:spacing w:after="0" w:line="240" w:lineRule="auto"/>
        <w:jc w:val="both"/>
        <w:rPr>
          <w:rFonts w:ascii="Times New Roman" w:hAnsi="Times New Roman"/>
        </w:rPr>
      </w:pPr>
      <w:r>
        <w:rPr>
          <w:rFonts w:ascii="Times New Roman" w:hAnsi="Times New Roman"/>
        </w:rPr>
        <w:t>Visual inspection of the funnel plot (effect size vs 1/SE) confirmed a roughly symmetric inverted funnel with mild sparsity at high standard err</w:t>
      </w:r>
      <w:r>
        <w:rPr>
          <w:rFonts w:ascii="Times New Roman" w:hAnsi="Times New Roman"/>
        </w:rPr>
        <w:t>ors (small studies), consistent with Egger/Begg statistics. Bias-adjusted estimates were computed in Stata 18 using metabolas and metafunnel, following Cochrane guidance for missing results.</w:t>
      </w:r>
    </w:p>
    <w:p w:rsidR="00B92EF2" w:rsidRDefault="006A7341">
      <w:pPr>
        <w:spacing w:after="0" w:line="240" w:lineRule="auto"/>
        <w:jc w:val="both"/>
        <w:rPr>
          <w:rFonts w:ascii="Times New Roman" w:hAnsi="Times New Roman"/>
        </w:rPr>
      </w:pPr>
      <w:r>
        <w:rPr>
          <w:rFonts w:ascii="Times New Roman" w:hAnsi="Times New Roman"/>
        </w:rPr>
        <w:t xml:space="preserve"> </w:t>
      </w:r>
    </w:p>
    <w:p w:rsidR="00B92EF2" w:rsidRDefault="006A7341">
      <w:pPr>
        <w:spacing w:after="0" w:line="240" w:lineRule="auto"/>
        <w:jc w:val="both"/>
        <w:rPr>
          <w:rFonts w:ascii="Times New Roman" w:hAnsi="Times New Roman"/>
        </w:rPr>
      </w:pPr>
      <w:r>
        <w:rPr>
          <w:rFonts w:ascii="Times New Roman" w:hAnsi="Times New Roman"/>
        </w:rPr>
        <w:t>Interpretation for practice: In some  context, where many trans</w:t>
      </w:r>
      <w:r>
        <w:rPr>
          <w:rFonts w:ascii="Times New Roman" w:hAnsi="Times New Roman"/>
        </w:rPr>
        <w:t>fusion audits are small and hospital-based, this bias signal likely reflects under-reporting of null harms rather than inflation of positive findings. Consequently, the true complication rate (alloimmunization, ferritin overload) may be marginally lower th</w:t>
      </w:r>
      <w:r>
        <w:rPr>
          <w:rFonts w:ascii="Times New Roman" w:hAnsi="Times New Roman"/>
        </w:rPr>
        <w:t>an pooled estimates, but not materially different. The main takeaway remains: leukoreduction, ferritin monitoring, and VTE audits are critical — publication bias does not weaken this conclusion.</w:t>
      </w:r>
    </w:p>
    <w:p w:rsidR="00B92EF2" w:rsidRDefault="00B92EF2">
      <w:pPr>
        <w:spacing w:after="0"/>
        <w:jc w:val="both"/>
        <w:rPr>
          <w:rFonts w:ascii="Times New Roman" w:hAnsi="Times New Roman"/>
          <w:b/>
          <w:sz w:val="28"/>
          <w:szCs w:val="20"/>
        </w:rPr>
      </w:pPr>
    </w:p>
    <w:tbl>
      <w:tblPr>
        <w:tblStyle w:val="TableGrid"/>
        <w:tblW w:w="0" w:type="auto"/>
        <w:tblLook w:val="04A0" w:firstRow="1" w:lastRow="0" w:firstColumn="1" w:lastColumn="0" w:noHBand="0" w:noVBand="1"/>
      </w:tblPr>
      <w:tblGrid>
        <w:gridCol w:w="1879"/>
        <w:gridCol w:w="1863"/>
        <w:gridCol w:w="1850"/>
        <w:gridCol w:w="1890"/>
        <w:gridCol w:w="1868"/>
      </w:tblGrid>
      <w:tr w:rsidR="00B92EF2">
        <w:tc>
          <w:tcPr>
            <w:tcW w:w="9576" w:type="dxa"/>
            <w:gridSpan w:val="5"/>
          </w:tcPr>
          <w:p w:rsidR="00B92EF2" w:rsidRDefault="006A7341">
            <w:pPr>
              <w:rPr>
                <w:rFonts w:ascii="Times New Roman" w:hAnsi="Times New Roman"/>
                <w:b/>
                <w:sz w:val="20"/>
              </w:rPr>
            </w:pPr>
            <w:r>
              <w:rPr>
                <w:rFonts w:ascii="Times New Roman" w:hAnsi="Times New Roman"/>
                <w:b/>
              </w:rPr>
              <w:t xml:space="preserve">Table 10. </w:t>
            </w:r>
            <w:r>
              <w:rPr>
                <w:rFonts w:ascii="Times New Roman" w:hAnsi="Times New Roman"/>
                <w:b/>
              </w:rPr>
              <w:t>Results publication-bias assessment for included studies (n = 240)</w:t>
            </w:r>
          </w:p>
        </w:tc>
      </w:tr>
      <w:tr w:rsidR="00B92EF2">
        <w:tc>
          <w:tcPr>
            <w:tcW w:w="1915" w:type="dxa"/>
          </w:tcPr>
          <w:p w:rsidR="00B92EF2" w:rsidRDefault="006A7341">
            <w:pPr>
              <w:rPr>
                <w:rFonts w:ascii="Times New Roman" w:hAnsi="Times New Roman"/>
                <w:b/>
                <w:sz w:val="20"/>
              </w:rPr>
            </w:pPr>
            <w:r>
              <w:rPr>
                <w:rFonts w:ascii="Times New Roman" w:hAnsi="Times New Roman"/>
                <w:b/>
                <w:sz w:val="20"/>
              </w:rPr>
              <w:t>Test / Model</w:t>
            </w:r>
          </w:p>
        </w:tc>
        <w:tc>
          <w:tcPr>
            <w:tcW w:w="1915" w:type="dxa"/>
          </w:tcPr>
          <w:p w:rsidR="00B92EF2" w:rsidRDefault="006A7341">
            <w:pPr>
              <w:rPr>
                <w:rFonts w:ascii="Times New Roman" w:hAnsi="Times New Roman"/>
                <w:b/>
                <w:sz w:val="20"/>
              </w:rPr>
            </w:pPr>
            <w:r>
              <w:rPr>
                <w:rFonts w:ascii="Times New Roman" w:hAnsi="Times New Roman"/>
                <w:b/>
                <w:sz w:val="20"/>
              </w:rPr>
              <w:t>Statistic</w:t>
            </w:r>
          </w:p>
        </w:tc>
        <w:tc>
          <w:tcPr>
            <w:tcW w:w="1915" w:type="dxa"/>
          </w:tcPr>
          <w:p w:rsidR="00B92EF2" w:rsidRDefault="006A7341">
            <w:pPr>
              <w:rPr>
                <w:rFonts w:ascii="Times New Roman" w:hAnsi="Times New Roman"/>
                <w:b/>
                <w:sz w:val="20"/>
              </w:rPr>
            </w:pPr>
            <w:r>
              <w:rPr>
                <w:rFonts w:ascii="Times New Roman" w:hAnsi="Times New Roman"/>
                <w:b/>
                <w:sz w:val="20"/>
              </w:rPr>
              <w:t>p-value</w:t>
            </w:r>
          </w:p>
        </w:tc>
        <w:tc>
          <w:tcPr>
            <w:tcW w:w="1915" w:type="dxa"/>
          </w:tcPr>
          <w:p w:rsidR="00B92EF2" w:rsidRDefault="006A7341">
            <w:pPr>
              <w:rPr>
                <w:rFonts w:ascii="Times New Roman" w:hAnsi="Times New Roman"/>
                <w:b/>
                <w:sz w:val="20"/>
              </w:rPr>
            </w:pPr>
            <w:r>
              <w:rPr>
                <w:rFonts w:ascii="Times New Roman" w:hAnsi="Times New Roman"/>
                <w:b/>
                <w:sz w:val="20"/>
              </w:rPr>
              <w:t>Interpretation</w:t>
            </w:r>
          </w:p>
        </w:tc>
        <w:tc>
          <w:tcPr>
            <w:tcW w:w="1916" w:type="dxa"/>
          </w:tcPr>
          <w:p w:rsidR="00B92EF2" w:rsidRDefault="006A7341">
            <w:pPr>
              <w:rPr>
                <w:rFonts w:ascii="Times New Roman" w:hAnsi="Times New Roman"/>
                <w:b/>
                <w:sz w:val="20"/>
              </w:rPr>
            </w:pPr>
            <w:r>
              <w:rPr>
                <w:rFonts w:ascii="Times New Roman" w:hAnsi="Times New Roman"/>
                <w:b/>
                <w:sz w:val="20"/>
              </w:rPr>
              <w:t>Bias-adjusted pooled estimate</w:t>
            </w:r>
          </w:p>
        </w:tc>
      </w:tr>
      <w:tr w:rsidR="00B92EF2">
        <w:tc>
          <w:tcPr>
            <w:tcW w:w="1915" w:type="dxa"/>
          </w:tcPr>
          <w:p w:rsidR="00B92EF2" w:rsidRDefault="006A7341">
            <w:pPr>
              <w:rPr>
                <w:rFonts w:ascii="Times New Roman" w:hAnsi="Times New Roman"/>
                <w:sz w:val="18"/>
              </w:rPr>
            </w:pPr>
            <w:r>
              <w:rPr>
                <w:rFonts w:ascii="Times New Roman" w:hAnsi="Times New Roman"/>
                <w:sz w:val="18"/>
              </w:rPr>
              <w:lastRenderedPageBreak/>
              <w:t>Egger’s regression (haematologic comp.)</w:t>
            </w:r>
          </w:p>
        </w:tc>
        <w:tc>
          <w:tcPr>
            <w:tcW w:w="1915" w:type="dxa"/>
          </w:tcPr>
          <w:p w:rsidR="00B92EF2" w:rsidRDefault="006A7341">
            <w:pPr>
              <w:rPr>
                <w:rFonts w:ascii="Times New Roman" w:hAnsi="Times New Roman"/>
                <w:sz w:val="18"/>
              </w:rPr>
            </w:pPr>
            <w:r>
              <w:rPr>
                <w:rFonts w:ascii="Times New Roman" w:hAnsi="Times New Roman"/>
                <w:sz w:val="18"/>
              </w:rPr>
              <w:t>intercept = 1.84 (SE 0.57)</w:t>
            </w:r>
          </w:p>
        </w:tc>
        <w:tc>
          <w:tcPr>
            <w:tcW w:w="1915" w:type="dxa"/>
          </w:tcPr>
          <w:p w:rsidR="00B92EF2" w:rsidRDefault="006A7341">
            <w:pPr>
              <w:rPr>
                <w:rFonts w:ascii="Times New Roman" w:hAnsi="Times New Roman"/>
                <w:sz w:val="18"/>
              </w:rPr>
            </w:pPr>
            <w:r>
              <w:rPr>
                <w:rFonts w:ascii="Times New Roman" w:hAnsi="Times New Roman"/>
                <w:sz w:val="18"/>
              </w:rPr>
              <w:t>0.003</w:t>
            </w:r>
          </w:p>
        </w:tc>
        <w:tc>
          <w:tcPr>
            <w:tcW w:w="1915" w:type="dxa"/>
          </w:tcPr>
          <w:p w:rsidR="00B92EF2" w:rsidRDefault="006A7341">
            <w:pPr>
              <w:rPr>
                <w:rFonts w:ascii="Times New Roman" w:hAnsi="Times New Roman"/>
                <w:sz w:val="18"/>
              </w:rPr>
            </w:pPr>
            <w:r>
              <w:rPr>
                <w:rFonts w:ascii="Times New Roman" w:hAnsi="Times New Roman"/>
                <w:sz w:val="18"/>
              </w:rPr>
              <w:t xml:space="preserve">Small-study effects present → funnel </w:t>
            </w:r>
            <w:r>
              <w:rPr>
                <w:rFonts w:ascii="Times New Roman" w:hAnsi="Times New Roman"/>
                <w:sz w:val="18"/>
              </w:rPr>
              <w:t>asymmetry</w:t>
            </w:r>
          </w:p>
        </w:tc>
        <w:tc>
          <w:tcPr>
            <w:tcW w:w="1916" w:type="dxa"/>
          </w:tcPr>
          <w:p w:rsidR="00B92EF2" w:rsidRDefault="006A7341">
            <w:pPr>
              <w:rPr>
                <w:rFonts w:ascii="Times New Roman" w:hAnsi="Times New Roman"/>
                <w:sz w:val="18"/>
              </w:rPr>
            </w:pPr>
            <w:r>
              <w:rPr>
                <w:rFonts w:ascii="Times New Roman" w:hAnsi="Times New Roman"/>
                <w:sz w:val="18"/>
              </w:rPr>
              <w:t>OR 1.42 → 1.31 (95% CI 1.12–1.54)</w:t>
            </w:r>
          </w:p>
        </w:tc>
      </w:tr>
      <w:tr w:rsidR="00B92EF2">
        <w:tc>
          <w:tcPr>
            <w:tcW w:w="1915" w:type="dxa"/>
          </w:tcPr>
          <w:p w:rsidR="00B92EF2" w:rsidRDefault="006A7341">
            <w:pPr>
              <w:rPr>
                <w:rFonts w:ascii="Times New Roman" w:hAnsi="Times New Roman"/>
                <w:sz w:val="18"/>
              </w:rPr>
            </w:pPr>
            <w:r>
              <w:rPr>
                <w:rFonts w:ascii="Times New Roman" w:hAnsi="Times New Roman"/>
                <w:sz w:val="18"/>
              </w:rPr>
              <w:t>Egger’s regression (non-haematologic comp.)</w:t>
            </w:r>
          </w:p>
        </w:tc>
        <w:tc>
          <w:tcPr>
            <w:tcW w:w="1915" w:type="dxa"/>
          </w:tcPr>
          <w:p w:rsidR="00B92EF2" w:rsidRDefault="006A7341">
            <w:pPr>
              <w:rPr>
                <w:rFonts w:ascii="Times New Roman" w:hAnsi="Times New Roman"/>
                <w:sz w:val="18"/>
              </w:rPr>
            </w:pPr>
            <w:r>
              <w:rPr>
                <w:rFonts w:ascii="Times New Roman" w:hAnsi="Times New Roman"/>
                <w:sz w:val="18"/>
              </w:rPr>
              <w:t>intercept = 1.21(SE 0.49)</w:t>
            </w:r>
          </w:p>
        </w:tc>
        <w:tc>
          <w:tcPr>
            <w:tcW w:w="1915" w:type="dxa"/>
          </w:tcPr>
          <w:p w:rsidR="00B92EF2" w:rsidRDefault="006A7341">
            <w:pPr>
              <w:rPr>
                <w:rFonts w:ascii="Times New Roman" w:hAnsi="Times New Roman"/>
                <w:sz w:val="18"/>
              </w:rPr>
            </w:pPr>
            <w:r>
              <w:rPr>
                <w:rFonts w:ascii="Times New Roman" w:hAnsi="Times New Roman"/>
                <w:sz w:val="18"/>
              </w:rPr>
              <w:t>0.041</w:t>
            </w:r>
          </w:p>
        </w:tc>
        <w:tc>
          <w:tcPr>
            <w:tcW w:w="1915" w:type="dxa"/>
          </w:tcPr>
          <w:p w:rsidR="00B92EF2" w:rsidRDefault="006A7341">
            <w:pPr>
              <w:rPr>
                <w:rFonts w:ascii="Times New Roman" w:hAnsi="Times New Roman"/>
                <w:sz w:val="18"/>
              </w:rPr>
            </w:pPr>
            <w:r>
              <w:rPr>
                <w:rFonts w:ascii="Times New Roman" w:hAnsi="Times New Roman"/>
                <w:sz w:val="18"/>
              </w:rPr>
              <w:t>Mild asymmetry</w:t>
            </w:r>
          </w:p>
        </w:tc>
        <w:tc>
          <w:tcPr>
            <w:tcW w:w="1916" w:type="dxa"/>
          </w:tcPr>
          <w:p w:rsidR="00B92EF2" w:rsidRDefault="006A7341">
            <w:pPr>
              <w:rPr>
                <w:rFonts w:ascii="Times New Roman" w:hAnsi="Times New Roman"/>
                <w:sz w:val="18"/>
              </w:rPr>
            </w:pPr>
            <w:r>
              <w:rPr>
                <w:rFonts w:ascii="Times New Roman" w:hAnsi="Times New Roman"/>
                <w:sz w:val="18"/>
              </w:rPr>
              <w:t>RR 1.36 → 1.28(1.09–1.50)</w:t>
            </w:r>
          </w:p>
        </w:tc>
      </w:tr>
      <w:tr w:rsidR="00B92EF2">
        <w:tc>
          <w:tcPr>
            <w:tcW w:w="1915" w:type="dxa"/>
          </w:tcPr>
          <w:p w:rsidR="00B92EF2" w:rsidRDefault="006A7341">
            <w:pPr>
              <w:rPr>
                <w:rFonts w:ascii="Times New Roman" w:hAnsi="Times New Roman"/>
                <w:sz w:val="18"/>
              </w:rPr>
            </w:pPr>
            <w:r>
              <w:rPr>
                <w:rFonts w:ascii="Times New Roman" w:hAnsi="Times New Roman"/>
                <w:sz w:val="18"/>
              </w:rPr>
              <w:t>Begg’s rank correlatio</w:t>
            </w:r>
          </w:p>
        </w:tc>
        <w:tc>
          <w:tcPr>
            <w:tcW w:w="1915" w:type="dxa"/>
          </w:tcPr>
          <w:p w:rsidR="00B92EF2" w:rsidRDefault="006A7341">
            <w:pPr>
              <w:rPr>
                <w:rFonts w:ascii="Times New Roman" w:hAnsi="Times New Roman"/>
                <w:sz w:val="18"/>
              </w:rPr>
            </w:pPr>
            <w:r>
              <w:rPr>
                <w:rFonts w:ascii="Times New Roman" w:hAnsi="Times New Roman"/>
                <w:sz w:val="18"/>
              </w:rPr>
              <w:t>Kendall’s τ =0.19</w:t>
            </w:r>
          </w:p>
        </w:tc>
        <w:tc>
          <w:tcPr>
            <w:tcW w:w="1915" w:type="dxa"/>
          </w:tcPr>
          <w:p w:rsidR="00B92EF2" w:rsidRDefault="006A7341">
            <w:pPr>
              <w:rPr>
                <w:rFonts w:ascii="Times New Roman" w:hAnsi="Times New Roman"/>
                <w:sz w:val="18"/>
              </w:rPr>
            </w:pPr>
            <w:r>
              <w:rPr>
                <w:rFonts w:ascii="Times New Roman" w:hAnsi="Times New Roman"/>
                <w:sz w:val="18"/>
              </w:rPr>
              <w:t>0.058</w:t>
            </w:r>
          </w:p>
        </w:tc>
        <w:tc>
          <w:tcPr>
            <w:tcW w:w="1915" w:type="dxa"/>
          </w:tcPr>
          <w:p w:rsidR="00B92EF2" w:rsidRDefault="006A7341">
            <w:pPr>
              <w:rPr>
                <w:rFonts w:ascii="Times New Roman" w:hAnsi="Times New Roman"/>
                <w:sz w:val="18"/>
              </w:rPr>
            </w:pPr>
            <w:r>
              <w:rPr>
                <w:rFonts w:ascii="Times New Roman" w:hAnsi="Times New Roman"/>
                <w:sz w:val="18"/>
              </w:rPr>
              <w:t>Borderline; funnel visually acceptable</w:t>
            </w:r>
          </w:p>
        </w:tc>
        <w:tc>
          <w:tcPr>
            <w:tcW w:w="1916" w:type="dxa"/>
          </w:tcPr>
          <w:p w:rsidR="00B92EF2" w:rsidRDefault="006A7341">
            <w:pPr>
              <w:rPr>
                <w:rFonts w:ascii="Times New Roman" w:hAnsi="Times New Roman"/>
                <w:sz w:val="18"/>
              </w:rPr>
            </w:pPr>
            <w:r>
              <w:rPr>
                <w:rFonts w:ascii="Times New Roman" w:hAnsi="Times New Roman"/>
                <w:sz w:val="18"/>
              </w:rPr>
              <w:t>—</w:t>
            </w:r>
          </w:p>
        </w:tc>
      </w:tr>
      <w:tr w:rsidR="00B92EF2">
        <w:trPr>
          <w:trHeight w:val="728"/>
        </w:trPr>
        <w:tc>
          <w:tcPr>
            <w:tcW w:w="1915" w:type="dxa"/>
          </w:tcPr>
          <w:p w:rsidR="00B92EF2" w:rsidRDefault="006A7341">
            <w:pPr>
              <w:rPr>
                <w:rFonts w:ascii="Times New Roman" w:hAnsi="Times New Roman"/>
                <w:sz w:val="18"/>
              </w:rPr>
            </w:pPr>
            <w:r>
              <w:rPr>
                <w:rFonts w:ascii="Times New Roman" w:hAnsi="Times New Roman"/>
                <w:sz w:val="18"/>
              </w:rPr>
              <w:t>Trim-and-fill (R0 estimator)</w:t>
            </w:r>
          </w:p>
        </w:tc>
        <w:tc>
          <w:tcPr>
            <w:tcW w:w="1915" w:type="dxa"/>
          </w:tcPr>
          <w:p w:rsidR="00B92EF2" w:rsidRDefault="006A7341">
            <w:pPr>
              <w:rPr>
                <w:rFonts w:ascii="Times New Roman" w:hAnsi="Times New Roman"/>
                <w:sz w:val="18"/>
              </w:rPr>
            </w:pPr>
            <w:r>
              <w:rPr>
                <w:rFonts w:ascii="Times New Roman" w:hAnsi="Times New Roman"/>
                <w:sz w:val="18"/>
              </w:rPr>
              <w:t>7 studies imputed left side</w:t>
            </w:r>
          </w:p>
        </w:tc>
        <w:tc>
          <w:tcPr>
            <w:tcW w:w="1915" w:type="dxa"/>
          </w:tcPr>
          <w:p w:rsidR="00B92EF2" w:rsidRDefault="006A7341">
            <w:pPr>
              <w:rPr>
                <w:rFonts w:ascii="Times New Roman" w:hAnsi="Times New Roman"/>
                <w:sz w:val="18"/>
              </w:rPr>
            </w:pPr>
            <w:r>
              <w:rPr>
                <w:rFonts w:ascii="Times New Roman" w:hAnsi="Times New Roman"/>
                <w:sz w:val="18"/>
              </w:rPr>
              <w:t>—</w:t>
            </w:r>
          </w:p>
        </w:tc>
        <w:tc>
          <w:tcPr>
            <w:tcW w:w="1915" w:type="dxa"/>
          </w:tcPr>
          <w:p w:rsidR="00B92EF2" w:rsidRDefault="006A7341">
            <w:pPr>
              <w:rPr>
                <w:rFonts w:ascii="Times New Roman" w:hAnsi="Times New Roman"/>
                <w:sz w:val="18"/>
              </w:rPr>
            </w:pPr>
            <w:r>
              <w:rPr>
                <w:rFonts w:ascii="Times New Roman" w:hAnsi="Times New Roman"/>
                <w:sz w:val="18"/>
              </w:rPr>
              <w:t>Adjusts for missing small/null studies</w:t>
            </w:r>
          </w:p>
        </w:tc>
        <w:tc>
          <w:tcPr>
            <w:tcW w:w="1916" w:type="dxa"/>
          </w:tcPr>
          <w:p w:rsidR="00B92EF2" w:rsidRDefault="006A7341">
            <w:pPr>
              <w:rPr>
                <w:rFonts w:ascii="Times New Roman" w:hAnsi="Times New Roman"/>
                <w:sz w:val="18"/>
              </w:rPr>
            </w:pPr>
            <w:r>
              <w:rPr>
                <w:rFonts w:ascii="Times New Roman" w:hAnsi="Times New Roman"/>
                <w:sz w:val="18"/>
              </w:rPr>
              <w:t>Incidence ↓ 3.2% absolute</w:t>
            </w:r>
          </w:p>
        </w:tc>
      </w:tr>
      <w:tr w:rsidR="00B92EF2">
        <w:tc>
          <w:tcPr>
            <w:tcW w:w="1915" w:type="dxa"/>
          </w:tcPr>
          <w:p w:rsidR="00B92EF2" w:rsidRDefault="006A7341">
            <w:pPr>
              <w:rPr>
                <w:rFonts w:ascii="Times New Roman" w:hAnsi="Times New Roman"/>
                <w:sz w:val="18"/>
              </w:rPr>
            </w:pPr>
            <w:r>
              <w:rPr>
                <w:rFonts w:ascii="Times New Roman" w:hAnsi="Times New Roman"/>
                <w:sz w:val="18"/>
              </w:rPr>
              <w:t>Fail-safe N (Rosenthal)**</w:t>
            </w:r>
          </w:p>
        </w:tc>
        <w:tc>
          <w:tcPr>
            <w:tcW w:w="1915" w:type="dxa"/>
          </w:tcPr>
          <w:p w:rsidR="00B92EF2" w:rsidRDefault="006A7341">
            <w:pPr>
              <w:rPr>
                <w:rFonts w:ascii="Times New Roman" w:hAnsi="Times New Roman"/>
                <w:sz w:val="18"/>
              </w:rPr>
            </w:pPr>
            <w:r>
              <w:rPr>
                <w:rFonts w:ascii="Times New Roman" w:hAnsi="Times New Roman"/>
                <w:sz w:val="18"/>
              </w:rPr>
              <w:t>412 null studies needed</w:t>
            </w:r>
          </w:p>
        </w:tc>
        <w:tc>
          <w:tcPr>
            <w:tcW w:w="1915" w:type="dxa"/>
          </w:tcPr>
          <w:p w:rsidR="00B92EF2" w:rsidRDefault="006A7341">
            <w:pPr>
              <w:rPr>
                <w:rFonts w:ascii="Times New Roman" w:hAnsi="Times New Roman"/>
                <w:sz w:val="18"/>
              </w:rPr>
            </w:pPr>
            <w:r>
              <w:rPr>
                <w:rFonts w:ascii="Times New Roman" w:hAnsi="Times New Roman"/>
                <w:sz w:val="18"/>
              </w:rPr>
              <w:t>—</w:t>
            </w:r>
          </w:p>
        </w:tc>
        <w:tc>
          <w:tcPr>
            <w:tcW w:w="1915" w:type="dxa"/>
          </w:tcPr>
          <w:p w:rsidR="00B92EF2" w:rsidRDefault="006A7341">
            <w:pPr>
              <w:rPr>
                <w:rFonts w:ascii="Times New Roman" w:hAnsi="Times New Roman"/>
                <w:sz w:val="18"/>
              </w:rPr>
            </w:pPr>
            <w:r>
              <w:rPr>
                <w:rFonts w:ascii="Times New Roman" w:hAnsi="Times New Roman"/>
                <w:sz w:val="18"/>
              </w:rPr>
              <w:t>Robust to unpublished nulls</w:t>
            </w:r>
          </w:p>
        </w:tc>
        <w:tc>
          <w:tcPr>
            <w:tcW w:w="1916" w:type="dxa"/>
          </w:tcPr>
          <w:p w:rsidR="00B92EF2" w:rsidRDefault="006A7341">
            <w:pPr>
              <w:rPr>
                <w:rFonts w:ascii="Times New Roman" w:hAnsi="Times New Roman"/>
                <w:sz w:val="18"/>
              </w:rPr>
            </w:pPr>
            <w:r>
              <w:rPr>
                <w:rFonts w:ascii="Times New Roman" w:hAnsi="Times New Roman"/>
                <w:sz w:val="18"/>
              </w:rPr>
              <w:t>—</w:t>
            </w:r>
          </w:p>
        </w:tc>
      </w:tr>
      <w:bookmarkEnd w:id="2"/>
    </w:tbl>
    <w:p w:rsidR="00B92EF2" w:rsidRDefault="00B92EF2">
      <w:pPr>
        <w:spacing w:after="0" w:line="240" w:lineRule="auto"/>
        <w:rPr>
          <w:rFonts w:ascii="Times New Roman" w:hAnsi="Times New Roman"/>
        </w:rPr>
      </w:pPr>
    </w:p>
    <w:p w:rsidR="00B92EF2" w:rsidRDefault="00B92EF2">
      <w:pPr>
        <w:spacing w:after="0" w:line="240" w:lineRule="auto"/>
        <w:rPr>
          <w:rFonts w:ascii="Times New Roman" w:hAnsi="Times New Roman"/>
        </w:rPr>
      </w:pPr>
    </w:p>
    <w:p w:rsidR="00B92EF2" w:rsidRDefault="006A7341">
      <w:pPr>
        <w:spacing w:after="0" w:line="240" w:lineRule="auto"/>
        <w:rPr>
          <w:rFonts w:ascii="Times New Roman" w:hAnsi="Times New Roman"/>
          <w:b/>
          <w:sz w:val="28"/>
        </w:rPr>
      </w:pPr>
      <w:r>
        <w:rPr>
          <w:rFonts w:ascii="Times New Roman" w:hAnsi="Times New Roman"/>
          <w:b/>
          <w:sz w:val="28"/>
        </w:rPr>
        <w:t xml:space="preserve">DISCUSSION </w:t>
      </w:r>
    </w:p>
    <w:p w:rsidR="00B92EF2" w:rsidRDefault="00B92EF2">
      <w:pPr>
        <w:spacing w:after="0" w:line="240" w:lineRule="auto"/>
        <w:rPr>
          <w:rFonts w:ascii="Times New Roman" w:hAnsi="Times New Roman"/>
        </w:rPr>
      </w:pPr>
    </w:p>
    <w:p w:rsidR="00B92EF2" w:rsidRDefault="006A7341">
      <w:pPr>
        <w:spacing w:after="0" w:line="240" w:lineRule="auto"/>
        <w:jc w:val="both"/>
        <w:rPr>
          <w:rFonts w:ascii="Times New Roman" w:hAnsi="Times New Roman"/>
        </w:rPr>
      </w:pPr>
      <w:r>
        <w:rPr>
          <w:rFonts w:ascii="Times New Roman" w:hAnsi="Times New Roman"/>
        </w:rPr>
        <w:t xml:space="preserve">This study synthesized 240 </w:t>
      </w:r>
      <w:r>
        <w:rPr>
          <w:rFonts w:ascii="Times New Roman" w:hAnsi="Times New Roman"/>
        </w:rPr>
        <w:t>included studies (out of 350 screened) on transfusion thresholds and complications in adult malignancy. This review also synthesizes evidence from 240 studies (of 350 screened) on transfusion support in hematologic and oncologic care, mapping complications</w:t>
      </w:r>
      <w:r>
        <w:rPr>
          <w:rFonts w:ascii="Times New Roman" w:hAnsi="Times New Roman"/>
        </w:rPr>
        <w:t>, clinical implications, and blood-component use across ten search engines.</w:t>
      </w:r>
    </w:p>
    <w:p w:rsidR="00B92EF2" w:rsidRDefault="006A7341">
      <w:pPr>
        <w:spacing w:after="0" w:line="240" w:lineRule="auto"/>
        <w:jc w:val="both"/>
        <w:rPr>
          <w:rFonts w:ascii="Times New Roman" w:hAnsi="Times New Roman"/>
        </w:rPr>
      </w:pPr>
      <w:r>
        <w:rPr>
          <w:rFonts w:ascii="Times New Roman" w:hAnsi="Times New Roman"/>
        </w:rPr>
        <w:t>Each table is discussed using the conventional research  pattern: result → interpretation → comparison with literature → limitations → implications, with 3–4 APA references per tab</w:t>
      </w:r>
      <w:r>
        <w:rPr>
          <w:rFonts w:ascii="Times New Roman" w:hAnsi="Times New Roman"/>
        </w:rPr>
        <w:t>le (2020–2026).</w:t>
      </w:r>
    </w:p>
    <w:p w:rsidR="00B92EF2" w:rsidRDefault="00B92EF2">
      <w:pPr>
        <w:spacing w:after="0" w:line="240" w:lineRule="auto"/>
        <w:jc w:val="both"/>
        <w:rPr>
          <w:rFonts w:ascii="Times New Roman" w:hAnsi="Times New Roman"/>
        </w:rPr>
      </w:pPr>
    </w:p>
    <w:p w:rsidR="00B92EF2" w:rsidRDefault="006A7341">
      <w:pPr>
        <w:spacing w:after="0" w:line="240" w:lineRule="auto"/>
        <w:jc w:val="both"/>
        <w:rPr>
          <w:rFonts w:ascii="Times New Roman" w:hAnsi="Times New Roman"/>
          <w:b/>
        </w:rPr>
      </w:pPr>
      <w:r>
        <w:rPr>
          <w:rFonts w:ascii="Times New Roman" w:hAnsi="Times New Roman"/>
          <w:b/>
        </w:rPr>
        <w:t>Table 1 – PRISMA Flow and Search Yield</w:t>
      </w:r>
    </w:p>
    <w:p w:rsidR="00B92EF2" w:rsidRDefault="006A7341">
      <w:pPr>
        <w:spacing w:after="0" w:line="240" w:lineRule="auto"/>
        <w:jc w:val="both"/>
        <w:rPr>
          <w:rFonts w:ascii="Times New Roman" w:hAnsi="Times New Roman"/>
        </w:rPr>
      </w:pPr>
      <w:r>
        <w:rPr>
          <w:rFonts w:ascii="Times New Roman" w:hAnsi="Times New Roman"/>
        </w:rPr>
        <w:t xml:space="preserve">Search yield and inclusion. PubMed and Embase contributed half of included studies (49.2%; Table 2), but African Index Medicus, IMEMR, and LILACS—though small—were vital for retrieving Cameroon/SSA work on whole-blood use and out-of-pocket costs (Mvondo </w:t>
      </w:r>
      <w:r>
        <w:rPr>
          <w:rFonts w:ascii="Times New Roman" w:hAnsi="Times New Roman"/>
          <w:i/>
        </w:rPr>
        <w:t>et</w:t>
      </w:r>
      <w:r>
        <w:rPr>
          <w:rFonts w:ascii="Times New Roman" w:hAnsi="Times New Roman"/>
          <w:i/>
        </w:rPr>
        <w:t xml:space="preserve"> al.,</w:t>
      </w:r>
      <w:r>
        <w:rPr>
          <w:rFonts w:ascii="Times New Roman" w:hAnsi="Times New Roman"/>
        </w:rPr>
        <w:t xml:space="preserve"> 2024). The 350→240 progression (Tables 2–3) reflects strict inclusion around adult haematologic/oncologic transfusions; pediatric and surgical-only reports were excluded, sharpening focus but reducing rural representativeness PubMed, Embase, and Web </w:t>
      </w:r>
      <w:r>
        <w:rPr>
          <w:rFonts w:ascii="Times New Roman" w:hAnsi="Times New Roman"/>
        </w:rPr>
        <w:t xml:space="preserve">of Science contributed </w:t>
      </w:r>
      <w:r>
        <w:rPr>
          <w:rFonts w:ascii="Cambria Math" w:hAnsi="Cambria Math" w:cs="Cambria Math"/>
        </w:rPr>
        <w:t>∼</w:t>
      </w:r>
      <w:r>
        <w:rPr>
          <w:rFonts w:ascii="Times New Roman" w:hAnsi="Times New Roman"/>
        </w:rPr>
        <w:t>48% of studies; African Index Medicus contributed 12%, with higher proportions of whole-blood reports. Exclusions (n = 110) were due to population mismatch, missing Hb trigger, or duplication. Database skew reflects indexing bias; r</w:t>
      </w:r>
      <w:r>
        <w:rPr>
          <w:rFonts w:ascii="Times New Roman" w:hAnsi="Times New Roman"/>
        </w:rPr>
        <w:t xml:space="preserve">egional indexes captured resource-limited settings using whole blood (Page </w:t>
      </w:r>
      <w:r>
        <w:rPr>
          <w:rFonts w:ascii="Times New Roman" w:hAnsi="Times New Roman"/>
          <w:i/>
        </w:rPr>
        <w:t>et al.,</w:t>
      </w:r>
      <w:r>
        <w:rPr>
          <w:rFonts w:ascii="Times New Roman" w:hAnsi="Times New Roman"/>
        </w:rPr>
        <w:t xml:space="preserve"> 2021; Njoya </w:t>
      </w:r>
      <w:r>
        <w:rPr>
          <w:rFonts w:ascii="Times New Roman" w:hAnsi="Times New Roman"/>
          <w:i/>
        </w:rPr>
        <w:t>et al.,</w:t>
      </w:r>
      <w:r>
        <w:rPr>
          <w:rFonts w:ascii="Times New Roman" w:hAnsi="Times New Roman"/>
        </w:rPr>
        <w:t xml:space="preserve"> 2021; WHO, 2023).  </w:t>
      </w:r>
    </w:p>
    <w:p w:rsidR="00B92EF2" w:rsidRDefault="006A7341">
      <w:pPr>
        <w:spacing w:after="0" w:line="240" w:lineRule="auto"/>
        <w:jc w:val="both"/>
        <w:rPr>
          <w:rFonts w:ascii="Times New Roman" w:hAnsi="Times New Roman"/>
        </w:rPr>
      </w:pPr>
      <w:r>
        <w:rPr>
          <w:rFonts w:ascii="Times New Roman" w:hAnsi="Times New Roman"/>
        </w:rPr>
        <w:t xml:space="preserve"> Grey literature may be under-represented. Systematic reviews were made to  include regional databases to capture component-quality v</w:t>
      </w:r>
      <w:r>
        <w:rPr>
          <w:rFonts w:ascii="Times New Roman" w:hAnsi="Times New Roman"/>
        </w:rPr>
        <w:t xml:space="preserve">ariation (Pombo-Coira </w:t>
      </w:r>
      <w:r>
        <w:rPr>
          <w:rFonts w:ascii="Times New Roman" w:hAnsi="Times New Roman"/>
          <w:i/>
        </w:rPr>
        <w:t>et al.,</w:t>
      </w:r>
      <w:r>
        <w:rPr>
          <w:rFonts w:ascii="Times New Roman" w:hAnsi="Times New Roman"/>
        </w:rPr>
        <w:t xml:space="preserve"> 2023).</w:t>
      </w:r>
    </w:p>
    <w:p w:rsidR="00B92EF2" w:rsidRDefault="00B92EF2">
      <w:pPr>
        <w:spacing w:after="0" w:line="240" w:lineRule="auto"/>
        <w:jc w:val="both"/>
        <w:rPr>
          <w:rFonts w:ascii="Times New Roman" w:hAnsi="Times New Roman"/>
        </w:rPr>
      </w:pPr>
    </w:p>
    <w:p w:rsidR="00B92EF2" w:rsidRDefault="006A7341">
      <w:pPr>
        <w:spacing w:after="0" w:line="240" w:lineRule="auto"/>
        <w:jc w:val="both"/>
        <w:rPr>
          <w:rFonts w:ascii="Times New Roman" w:hAnsi="Times New Roman"/>
          <w:b/>
        </w:rPr>
      </w:pPr>
      <w:r>
        <w:rPr>
          <w:rFonts w:ascii="Times New Roman" w:hAnsi="Times New Roman"/>
          <w:b/>
        </w:rPr>
        <w:t>Table 2 – Haematologic Malignancies</w:t>
      </w:r>
    </w:p>
    <w:p w:rsidR="00B92EF2" w:rsidRDefault="006A7341">
      <w:pPr>
        <w:spacing w:after="0" w:line="240" w:lineRule="auto"/>
        <w:jc w:val="both"/>
        <w:rPr>
          <w:rFonts w:ascii="Times New Roman" w:hAnsi="Times New Roman"/>
        </w:rPr>
      </w:pPr>
      <w:r>
        <w:rPr>
          <w:rFonts w:ascii="Times New Roman" w:hAnsi="Times New Roman"/>
        </w:rPr>
        <w:t xml:space="preserve">AML 43.8%, lymphoproliferative disorders 28.8%, MDS 27.5%; median 10–12 RBC units/patient, LR-RBCs most common.  AML induction drives heaviest use (Cochrane </w:t>
      </w:r>
      <w:r>
        <w:rPr>
          <w:rFonts w:ascii="Times New Roman" w:hAnsi="Times New Roman"/>
          <w:i/>
        </w:rPr>
        <w:t>et al.,</w:t>
      </w:r>
      <w:r>
        <w:rPr>
          <w:rFonts w:ascii="Times New Roman" w:hAnsi="Times New Roman"/>
        </w:rPr>
        <w:t xml:space="preserve"> 2023); LR-RBCs re</w:t>
      </w:r>
      <w:r>
        <w:rPr>
          <w:rFonts w:ascii="Times New Roman" w:hAnsi="Times New Roman"/>
        </w:rPr>
        <w:t xml:space="preserve">duce but do not eliminate alloimmunization (Corson </w:t>
      </w:r>
      <w:r>
        <w:rPr>
          <w:rFonts w:ascii="Times New Roman" w:hAnsi="Times New Roman"/>
          <w:i/>
        </w:rPr>
        <w:t>et al.,</w:t>
      </w:r>
      <w:r>
        <w:rPr>
          <w:rFonts w:ascii="Times New Roman" w:hAnsi="Times New Roman"/>
        </w:rPr>
        <w:t xml:space="preserve"> 2022; Goel </w:t>
      </w:r>
      <w:r>
        <w:rPr>
          <w:rFonts w:ascii="Times New Roman" w:hAnsi="Times New Roman"/>
          <w:i/>
        </w:rPr>
        <w:t>et al.,</w:t>
      </w:r>
      <w:r>
        <w:rPr>
          <w:rFonts w:ascii="Times New Roman" w:hAnsi="Times New Roman"/>
        </w:rPr>
        <w:t xml:space="preserve"> 2020).  </w:t>
      </w:r>
    </w:p>
    <w:p w:rsidR="00B92EF2" w:rsidRDefault="006A7341">
      <w:pPr>
        <w:spacing w:after="0" w:line="240" w:lineRule="auto"/>
        <w:jc w:val="both"/>
        <w:rPr>
          <w:rFonts w:ascii="Times New Roman" w:hAnsi="Times New Roman"/>
          <w:sz w:val="24"/>
        </w:rPr>
      </w:pPr>
      <w:r>
        <w:rPr>
          <w:rFonts w:ascii="Times New Roman" w:hAnsi="Times New Roman"/>
        </w:rPr>
        <w:t xml:space="preserve">Limitations: Definitions of RBC “unit” varied according to different authors </w:t>
      </w:r>
      <w:r>
        <w:rPr>
          <w:rFonts w:ascii="Times New Roman" w:hAnsi="Times New Roman"/>
          <w:szCs w:val="20"/>
        </w:rPr>
        <w:t>- Categories overlap minimally; medians reflect intensity subgroup reported</w:t>
      </w:r>
      <w:r>
        <w:rPr>
          <w:rFonts w:ascii="Times New Roman" w:hAnsi="Times New Roman"/>
          <w:sz w:val="24"/>
        </w:rPr>
        <w:t>.</w:t>
      </w:r>
    </w:p>
    <w:p w:rsidR="00B92EF2" w:rsidRDefault="006A7341">
      <w:pPr>
        <w:spacing w:after="0" w:line="240" w:lineRule="auto"/>
        <w:jc w:val="both"/>
        <w:rPr>
          <w:rFonts w:ascii="Times New Roman" w:hAnsi="Times New Roman"/>
        </w:rPr>
      </w:pPr>
      <w:r>
        <w:rPr>
          <w:rFonts w:ascii="Times New Roman" w:hAnsi="Times New Roman"/>
        </w:rPr>
        <w:t>Implications: P</w:t>
      </w:r>
      <w:r>
        <w:rPr>
          <w:rFonts w:ascii="Times New Roman" w:hAnsi="Times New Roman"/>
        </w:rPr>
        <w:t>rotocols should integrate ferritin and VTE monitoring after repeated exposure.</w:t>
      </w:r>
    </w:p>
    <w:p w:rsidR="00B92EF2" w:rsidRDefault="00B92EF2">
      <w:pPr>
        <w:spacing w:after="0" w:line="240" w:lineRule="auto"/>
        <w:jc w:val="both"/>
        <w:rPr>
          <w:rFonts w:ascii="Times New Roman" w:hAnsi="Times New Roman"/>
        </w:rPr>
      </w:pPr>
    </w:p>
    <w:p w:rsidR="00B92EF2" w:rsidRDefault="006A7341">
      <w:pPr>
        <w:spacing w:after="0" w:line="240" w:lineRule="auto"/>
        <w:jc w:val="both"/>
        <w:rPr>
          <w:rFonts w:ascii="Times New Roman" w:hAnsi="Times New Roman"/>
          <w:b/>
        </w:rPr>
      </w:pPr>
      <w:r>
        <w:rPr>
          <w:rFonts w:ascii="Times New Roman" w:hAnsi="Times New Roman"/>
          <w:b/>
        </w:rPr>
        <w:t>Table 3 – Non-haematologic Malignancies</w:t>
      </w:r>
    </w:p>
    <w:p w:rsidR="00B92EF2" w:rsidRDefault="006A7341">
      <w:pPr>
        <w:spacing w:after="0" w:line="240" w:lineRule="auto"/>
        <w:jc w:val="both"/>
        <w:rPr>
          <w:rFonts w:ascii="Times New Roman" w:hAnsi="Times New Roman"/>
        </w:rPr>
      </w:pPr>
      <w:r>
        <w:rPr>
          <w:rFonts w:ascii="Times New Roman" w:hAnsi="Times New Roman"/>
        </w:rPr>
        <w:t xml:space="preserve"> GI cancers 36.7%, median 4–5 RBC units/patient; platelets prominent in peri-operative reports.  </w:t>
      </w:r>
    </w:p>
    <w:p w:rsidR="00B92EF2" w:rsidRDefault="006A7341">
      <w:pPr>
        <w:spacing w:after="0" w:line="240" w:lineRule="auto"/>
        <w:jc w:val="both"/>
        <w:rPr>
          <w:rFonts w:ascii="Times New Roman" w:hAnsi="Times New Roman"/>
        </w:rPr>
      </w:pPr>
      <w:r>
        <w:rPr>
          <w:rFonts w:ascii="Times New Roman" w:hAnsi="Times New Roman"/>
        </w:rPr>
        <w:lastRenderedPageBreak/>
        <w:t>Interpretation: Solid-tumour</w:t>
      </w:r>
      <w:r>
        <w:rPr>
          <w:rFonts w:ascii="Times New Roman" w:hAnsi="Times New Roman"/>
        </w:rPr>
        <w:t xml:space="preserve"> transfusion is primarily surgical (Pombo-Coira </w:t>
      </w:r>
      <w:r>
        <w:rPr>
          <w:rFonts w:ascii="Times New Roman" w:hAnsi="Times New Roman"/>
          <w:i/>
        </w:rPr>
        <w:t>et al.,</w:t>
      </w:r>
      <w:r>
        <w:rPr>
          <w:rFonts w:ascii="Times New Roman" w:hAnsi="Times New Roman"/>
        </w:rPr>
        <w:t xml:space="preserve"> 2023; Sharma </w:t>
      </w:r>
      <w:r>
        <w:rPr>
          <w:rFonts w:ascii="Times New Roman" w:hAnsi="Times New Roman"/>
          <w:i/>
        </w:rPr>
        <w:t>et al.,</w:t>
      </w:r>
      <w:r>
        <w:rPr>
          <w:rFonts w:ascii="Times New Roman" w:hAnsi="Times New Roman"/>
        </w:rPr>
        <w:t xml:space="preserve"> 2021). Whole blood use reflects resource constraints (Njoya et al., 2021).  </w:t>
      </w:r>
    </w:p>
    <w:p w:rsidR="00B92EF2" w:rsidRDefault="006A7341">
      <w:pPr>
        <w:spacing w:after="0" w:line="240" w:lineRule="auto"/>
        <w:jc w:val="both"/>
        <w:rPr>
          <w:rFonts w:ascii="Times New Roman" w:hAnsi="Times New Roman"/>
        </w:rPr>
      </w:pPr>
      <w:r>
        <w:rPr>
          <w:rFonts w:ascii="Times New Roman" w:hAnsi="Times New Roman"/>
        </w:rPr>
        <w:t xml:space="preserve">Limitations involved  heterogeneity in surgical contexts.  </w:t>
      </w:r>
    </w:p>
    <w:p w:rsidR="00B92EF2" w:rsidRDefault="006A7341">
      <w:pPr>
        <w:spacing w:after="0" w:line="240" w:lineRule="auto"/>
        <w:jc w:val="both"/>
        <w:rPr>
          <w:rFonts w:ascii="Times New Roman" w:hAnsi="Times New Roman"/>
        </w:rPr>
      </w:pPr>
      <w:r>
        <w:rPr>
          <w:rFonts w:ascii="Times New Roman" w:hAnsi="Times New Roman"/>
        </w:rPr>
        <w:t>Implications:Tiered recommendations needed</w:t>
      </w:r>
      <w:r>
        <w:rPr>
          <w:rFonts w:ascii="Times New Roman" w:hAnsi="Times New Roman"/>
        </w:rPr>
        <w:t xml:space="preserve"> for settings with limited component modification.</w:t>
      </w:r>
    </w:p>
    <w:p w:rsidR="00B92EF2" w:rsidRDefault="00B92EF2">
      <w:pPr>
        <w:spacing w:after="0" w:line="240" w:lineRule="auto"/>
        <w:jc w:val="both"/>
        <w:rPr>
          <w:rFonts w:ascii="Times New Roman" w:hAnsi="Times New Roman"/>
        </w:rPr>
      </w:pPr>
    </w:p>
    <w:p w:rsidR="00B92EF2" w:rsidRDefault="006A7341">
      <w:pPr>
        <w:spacing w:after="0" w:line="240" w:lineRule="auto"/>
        <w:jc w:val="both"/>
        <w:rPr>
          <w:rFonts w:ascii="Times New Roman" w:hAnsi="Times New Roman"/>
          <w:b/>
        </w:rPr>
      </w:pPr>
      <w:r>
        <w:rPr>
          <w:rFonts w:ascii="Times New Roman" w:hAnsi="Times New Roman"/>
          <w:b/>
        </w:rPr>
        <w:t>Table 4 – Haematologic Complications</w:t>
      </w:r>
    </w:p>
    <w:p w:rsidR="00B92EF2" w:rsidRDefault="006A7341">
      <w:pPr>
        <w:jc w:val="both"/>
        <w:rPr>
          <w:rFonts w:ascii="Times New Roman" w:hAnsi="Times New Roman"/>
        </w:rPr>
      </w:pPr>
      <w:r>
        <w:rPr>
          <w:rFonts w:ascii="Times New Roman" w:hAnsi="Times New Roman"/>
        </w:rPr>
        <w:t xml:space="preserve">Table 4 exposes the clinical core: alloimmunization (29.2%), ferritin overload (23.3%), VTE (17.5%). These echo Nigerian and Senegalese cohorts linking cumulative RBC </w:t>
      </w:r>
      <w:r>
        <w:rPr>
          <w:rFonts w:ascii="Times New Roman" w:hAnsi="Times New Roman"/>
        </w:rPr>
        <w:t xml:space="preserve">exposure to antibody formation and iron toxicity (Diop </w:t>
      </w:r>
      <w:r>
        <w:rPr>
          <w:rFonts w:ascii="Times New Roman" w:hAnsi="Times New Roman"/>
          <w:i/>
        </w:rPr>
        <w:t>et al.,</w:t>
      </w:r>
      <w:r>
        <w:rPr>
          <w:rFonts w:ascii="Times New Roman" w:hAnsi="Times New Roman"/>
        </w:rPr>
        <w:t xml:space="preserve"> 2022; Okoroiwu </w:t>
      </w:r>
      <w:r>
        <w:rPr>
          <w:rFonts w:ascii="Times New Roman" w:hAnsi="Times New Roman"/>
          <w:i/>
        </w:rPr>
        <w:t xml:space="preserve">et al., </w:t>
      </w:r>
      <w:r>
        <w:rPr>
          <w:rFonts w:ascii="Times New Roman" w:hAnsi="Times New Roman"/>
        </w:rPr>
        <w:t>2021). Median 6–8 units/patient matches “multiple transfusion” thresholds associated with HLA alloimmunization in SCD. Notably, African Index Medicus studies reported hig</w:t>
      </w:r>
      <w:r>
        <w:rPr>
          <w:rFonts w:ascii="Times New Roman" w:hAnsi="Times New Roman"/>
        </w:rPr>
        <w:t>her ferritin and VTE despite fewer units—likely reflecting delayed chelation and limited thromboprophylaxis. This table justifies our later policy call for routine ferritin and D-dimer surveillance in Cameroon’s transfusion programmed. The interpretation i</w:t>
      </w:r>
      <w:r>
        <w:rPr>
          <w:rFonts w:ascii="Times New Roman" w:hAnsi="Times New Roman"/>
        </w:rPr>
        <w:t xml:space="preserve">s that the Risks scale with cumulative dose (Corson </w:t>
      </w:r>
      <w:r>
        <w:rPr>
          <w:rFonts w:ascii="Times New Roman" w:hAnsi="Times New Roman"/>
          <w:i/>
        </w:rPr>
        <w:t>et al.,</w:t>
      </w:r>
      <w:r>
        <w:rPr>
          <w:rFonts w:ascii="Times New Roman" w:hAnsi="Times New Roman"/>
        </w:rPr>
        <w:t xml:space="preserve"> 2022; Salama </w:t>
      </w:r>
      <w:r>
        <w:rPr>
          <w:rFonts w:ascii="Times New Roman" w:hAnsi="Times New Roman"/>
          <w:i/>
        </w:rPr>
        <w:t>et al.,</w:t>
      </w:r>
      <w:r>
        <w:rPr>
          <w:rFonts w:ascii="Times New Roman" w:hAnsi="Times New Roman"/>
        </w:rPr>
        <w:t xml:space="preserve"> 2020).  The only Limitation is that there may be an overlap between complications. The implication here  is that there is need for  routine surveillance for iron overload and </w:t>
      </w:r>
      <w:r>
        <w:rPr>
          <w:rFonts w:ascii="Times New Roman" w:hAnsi="Times New Roman"/>
        </w:rPr>
        <w:t>thrombosis in heavily transfused patients.</w:t>
      </w:r>
    </w:p>
    <w:p w:rsidR="00B92EF2" w:rsidRDefault="006A7341">
      <w:pPr>
        <w:spacing w:after="0" w:line="240" w:lineRule="auto"/>
        <w:jc w:val="both"/>
        <w:rPr>
          <w:rFonts w:ascii="Times New Roman" w:hAnsi="Times New Roman"/>
          <w:b/>
        </w:rPr>
      </w:pPr>
      <w:r>
        <w:rPr>
          <w:rFonts w:ascii="Times New Roman" w:hAnsi="Times New Roman"/>
          <w:b/>
        </w:rPr>
        <w:t>Table 5 – Non-hematologic Complications</w:t>
      </w:r>
    </w:p>
    <w:p w:rsidR="00B92EF2" w:rsidRDefault="006A7341">
      <w:pPr>
        <w:jc w:val="both"/>
        <w:rPr>
          <w:rFonts w:ascii="Times New Roman" w:hAnsi="Times New Roman"/>
        </w:rPr>
      </w:pPr>
      <w:r>
        <w:rPr>
          <w:rFonts w:ascii="Times New Roman" w:hAnsi="Times New Roman"/>
        </w:rPr>
        <w:t>Table 5 balances table 4 by showing surgical bleeding (34.6%), wound infection (28.3%), AKI/TACO (21.3%). Here, component quality matters: whole blood and non-leukoreduced R</w:t>
      </w:r>
      <w:r>
        <w:rPr>
          <w:rFonts w:ascii="Times New Roman" w:hAnsi="Times New Roman"/>
        </w:rPr>
        <w:t xml:space="preserve">BCs correlated with wound infection, consistent with TRIM mechanisms (Abdullah </w:t>
      </w:r>
      <w:r>
        <w:rPr>
          <w:rFonts w:ascii="Times New Roman" w:hAnsi="Times New Roman"/>
          <w:i/>
        </w:rPr>
        <w:t>et al.,</w:t>
      </w:r>
      <w:r>
        <w:rPr>
          <w:rFonts w:ascii="Times New Roman" w:hAnsi="Times New Roman"/>
        </w:rPr>
        <w:t xml:space="preserve"> 2020). Massive transfusion clusters under AKI/TACO, aligning with Zhao and Patel’s (2021) meta-analysis. For Cameroon, this implies that scaling leukoreduction could cut</w:t>
      </w:r>
      <w:r>
        <w:rPr>
          <w:rFonts w:ascii="Times New Roman" w:hAnsi="Times New Roman"/>
        </w:rPr>
        <w:t xml:space="preserve"> post-op infection as much as antibiotics stewardship—a framing that may persuade Ministry of Health budget holders. Therefore,  complications here are surgical bleeding, wound infection, AKI/TACO, thrombosis; median 6–8 units, platelets/whole blood common</w:t>
      </w:r>
      <w:r>
        <w:rPr>
          <w:rFonts w:ascii="Times New Roman" w:hAnsi="Times New Roman"/>
        </w:rPr>
        <w:t xml:space="preserve">.  The Interpretation here is that TRIM and volume overload risks highlighted in surgical cohorts (Pombo-Coira </w:t>
      </w:r>
      <w:r>
        <w:rPr>
          <w:rFonts w:ascii="Times New Roman" w:hAnsi="Times New Roman"/>
          <w:i/>
        </w:rPr>
        <w:t>et al.,</w:t>
      </w:r>
      <w:r>
        <w:rPr>
          <w:rFonts w:ascii="Times New Roman" w:hAnsi="Times New Roman"/>
        </w:rPr>
        <w:t xml:space="preserve"> 2023; Sharma </w:t>
      </w:r>
      <w:r>
        <w:rPr>
          <w:rFonts w:ascii="Times New Roman" w:hAnsi="Times New Roman"/>
          <w:i/>
        </w:rPr>
        <w:t>et al.,</w:t>
      </w:r>
      <w:r>
        <w:rPr>
          <w:rFonts w:ascii="Times New Roman" w:hAnsi="Times New Roman"/>
        </w:rPr>
        <w:t xml:space="preserve"> 2021).  The   major limitations here are that composite outcomes limit specificity with the Implications that there </w:t>
      </w:r>
      <w:r>
        <w:rPr>
          <w:rFonts w:ascii="Times New Roman" w:hAnsi="Times New Roman"/>
        </w:rPr>
        <w:t>is need for  Restrictive triggers and aseptic transfusion protocols recommended.</w:t>
      </w:r>
    </w:p>
    <w:p w:rsidR="00B92EF2" w:rsidRDefault="006A7341">
      <w:pPr>
        <w:spacing w:after="0" w:line="240" w:lineRule="auto"/>
        <w:jc w:val="both"/>
        <w:rPr>
          <w:rFonts w:ascii="Times New Roman" w:hAnsi="Times New Roman"/>
          <w:b/>
        </w:rPr>
      </w:pPr>
      <w:r>
        <w:rPr>
          <w:rFonts w:ascii="Times New Roman" w:hAnsi="Times New Roman"/>
          <w:b/>
        </w:rPr>
        <w:t xml:space="preserve">Table 6 – Clinical Implications and management </w:t>
      </w:r>
    </w:p>
    <w:p w:rsidR="00B92EF2" w:rsidRDefault="006A7341">
      <w:pPr>
        <w:jc w:val="both"/>
        <w:rPr>
          <w:rFonts w:ascii="Times New Roman" w:hAnsi="Times New Roman"/>
        </w:rPr>
      </w:pPr>
      <w:r>
        <w:rPr>
          <w:rFonts w:ascii="Times New Roman" w:hAnsi="Times New Roman"/>
        </w:rPr>
        <w:t xml:space="preserve">Table 6 moves from complications to authors’ recommendations: practice change (32.1%) (e.g., restrictive triggers), monitoring </w:t>
      </w:r>
      <w:r>
        <w:rPr>
          <w:rFonts w:ascii="Times New Roman" w:hAnsi="Times New Roman"/>
        </w:rPr>
        <w:t xml:space="preserve">burden (23.8%) (iron/VTE labs), resource/policy (18.8%), and cost/financial support (10.8%). Cost entries came almost exclusively from SSA sources (Ngouadjeu </w:t>
      </w:r>
      <w:r>
        <w:rPr>
          <w:rFonts w:ascii="Times New Roman" w:hAnsi="Times New Roman"/>
          <w:i/>
        </w:rPr>
        <w:t xml:space="preserve">et al., </w:t>
      </w:r>
      <w:r>
        <w:rPr>
          <w:rFonts w:ascii="Times New Roman" w:hAnsi="Times New Roman"/>
        </w:rPr>
        <w:t>2022), where patients pay per unit. This column is small globally but massive locally, and</w:t>
      </w:r>
      <w:r>
        <w:rPr>
          <w:rFonts w:ascii="Times New Roman" w:hAnsi="Times New Roman"/>
        </w:rPr>
        <w:t xml:space="preserve"> we argue it should weigh heavily in African guidelines. It also explains why Table 7 later shows whole blood lingering: clinicians balance safety against affordability. The Interpretation is that  Financial and resource constraints directly influence tran</w:t>
      </w:r>
      <w:r>
        <w:rPr>
          <w:rFonts w:ascii="Times New Roman" w:hAnsi="Times New Roman"/>
        </w:rPr>
        <w:t>sfusion practice (WHO, 2023). The only Limitations is that Policy data depend on study context. The implications  that Cost-protection strategies and monitoring frameworks should be integrated.</w:t>
      </w:r>
    </w:p>
    <w:p w:rsidR="00B92EF2" w:rsidRDefault="006A7341">
      <w:pPr>
        <w:spacing w:after="0" w:line="240" w:lineRule="auto"/>
        <w:jc w:val="both"/>
        <w:rPr>
          <w:rFonts w:ascii="Times New Roman" w:hAnsi="Times New Roman"/>
          <w:b/>
        </w:rPr>
      </w:pPr>
      <w:r>
        <w:rPr>
          <w:rFonts w:ascii="Times New Roman" w:hAnsi="Times New Roman"/>
          <w:b/>
        </w:rPr>
        <w:t>Table 7 – Sex Distribution</w:t>
      </w:r>
    </w:p>
    <w:p w:rsidR="00B92EF2" w:rsidRDefault="006A7341">
      <w:pPr>
        <w:jc w:val="both"/>
        <w:rPr>
          <w:rFonts w:ascii="Times New Roman" w:hAnsi="Times New Roman"/>
        </w:rPr>
      </w:pPr>
      <w:r>
        <w:rPr>
          <w:rFonts w:ascii="Times New Roman" w:hAnsi="Times New Roman"/>
        </w:rPr>
        <w:t>Table 7’s 52.1% for female and 47.9</w:t>
      </w:r>
      <w:r>
        <w:rPr>
          <w:rFonts w:ascii="Times New Roman" w:hAnsi="Times New Roman"/>
        </w:rPr>
        <w:t xml:space="preserve">% for male split reflects study-level denominators, not population incidence; still, it’s valuable because sex-specific outcomes (pregnancy alloimmunization, </w:t>
      </w:r>
      <w:r>
        <w:rPr>
          <w:rFonts w:ascii="Times New Roman" w:hAnsi="Times New Roman"/>
        </w:rPr>
        <w:t xml:space="preserve">Transfusion-associated circulatory overload (TACO) </w:t>
      </w:r>
      <w:r>
        <w:rPr>
          <w:rFonts w:ascii="Times New Roman" w:hAnsi="Times New Roman"/>
        </w:rPr>
        <w:t>susceptibility) are under-studied. Females show</w:t>
      </w:r>
      <w:r>
        <w:rPr>
          <w:rFonts w:ascii="Times New Roman" w:hAnsi="Times New Roman"/>
        </w:rPr>
        <w:t xml:space="preserve">ed slightly higher multiple-transfusion counts, matching Bianafa </w:t>
      </w:r>
      <w:r>
        <w:rPr>
          <w:rFonts w:ascii="Times New Roman" w:hAnsi="Times New Roman"/>
          <w:i/>
        </w:rPr>
        <w:t xml:space="preserve">et al., </w:t>
      </w:r>
      <w:r>
        <w:rPr>
          <w:rFonts w:ascii="Times New Roman" w:hAnsi="Times New Roman"/>
        </w:rPr>
        <w:t>2025) Cameroonian oncology case series. Component-use column reveals leukoreduced RBCs dominate globally, but whole blood persists in African Index Medicus—a concrete example of resou</w:t>
      </w:r>
      <w:r>
        <w:rPr>
          <w:rFonts w:ascii="Times New Roman" w:hAnsi="Times New Roman"/>
        </w:rPr>
        <w:t xml:space="preserve">rce-driven compromise. The interpretation of Female =52.1%, </w:t>
      </w:r>
      <w:r>
        <w:rPr>
          <w:rFonts w:ascii="Times New Roman" w:hAnsi="Times New Roman"/>
        </w:rPr>
        <w:lastRenderedPageBreak/>
        <w:t xml:space="preserve">male =47.9%; median =8–10 units. Means that balance reported but sex-disaggregated analysis remains rare (Lin </w:t>
      </w:r>
      <w:r>
        <w:rPr>
          <w:rFonts w:ascii="Times New Roman" w:hAnsi="Times New Roman"/>
          <w:i/>
        </w:rPr>
        <w:t>et al.,</w:t>
      </w:r>
      <w:r>
        <w:rPr>
          <w:rFonts w:ascii="Times New Roman" w:hAnsi="Times New Roman"/>
        </w:rPr>
        <w:t xml:space="preserve"> 2021).  The limitations are that  few studies stratified outcomes by sex with </w:t>
      </w:r>
      <w:r>
        <w:rPr>
          <w:rFonts w:ascii="Times New Roman" w:hAnsi="Times New Roman"/>
        </w:rPr>
        <w:t>the implications of sex-disaggregation should be routine in transfusion research.</w:t>
      </w:r>
    </w:p>
    <w:p w:rsidR="00B92EF2" w:rsidRDefault="006A7341">
      <w:pPr>
        <w:spacing w:after="0" w:line="240" w:lineRule="auto"/>
        <w:jc w:val="both"/>
        <w:rPr>
          <w:rFonts w:ascii="Times New Roman" w:hAnsi="Times New Roman"/>
          <w:b/>
        </w:rPr>
      </w:pPr>
      <w:r>
        <w:rPr>
          <w:rFonts w:ascii="Times New Roman" w:hAnsi="Times New Roman"/>
          <w:b/>
        </w:rPr>
        <w:t>Table 8 – Transfusion Intensity</w:t>
      </w:r>
    </w:p>
    <w:p w:rsidR="00B92EF2" w:rsidRDefault="00B92EF2">
      <w:pPr>
        <w:spacing w:after="0" w:line="240" w:lineRule="auto"/>
        <w:jc w:val="both"/>
        <w:rPr>
          <w:rFonts w:ascii="Times New Roman" w:hAnsi="Times New Roman"/>
          <w:b/>
        </w:rPr>
      </w:pPr>
    </w:p>
    <w:p w:rsidR="00B92EF2" w:rsidRDefault="006A7341">
      <w:pPr>
        <w:jc w:val="both"/>
        <w:rPr>
          <w:rFonts w:ascii="Times New Roman" w:hAnsi="Times New Roman"/>
        </w:rPr>
      </w:pPr>
      <w:r>
        <w:rPr>
          <w:rFonts w:ascii="Times New Roman" w:hAnsi="Times New Roman"/>
        </w:rPr>
        <w:t xml:space="preserve">Table 8 adds granularity: multiple (38.8%), massive (20.4%), super-massive (7.1%), median 10–12 units). Intensity aligns with complications: </w:t>
      </w:r>
      <w:r>
        <w:rPr>
          <w:rFonts w:ascii="Times New Roman" w:hAnsi="Times New Roman"/>
        </w:rPr>
        <w:t>massive protocols overlap AKI/TACO (Table 5), super-massive with ferritin spikes (Table 4). Median units climb from 8 (multiple) to 18 (super), echoing dose-dependent endothelial injury models (Zhao &amp; Patel, 2021). Cameroon data cluster in “multiple” rathe</w:t>
      </w:r>
      <w:r>
        <w:rPr>
          <w:rFonts w:ascii="Times New Roman" w:hAnsi="Times New Roman"/>
        </w:rPr>
        <w:t>r than “super,” suggesting capacity limitations rather than lack of need; patients who _would_ require exchange may die without access. This interpretation frames our conclusion: improving component access is an equity imperative. Interpretation is that  i</w:t>
      </w:r>
      <w:r>
        <w:rPr>
          <w:rFonts w:ascii="Times New Roman" w:hAnsi="Times New Roman"/>
        </w:rPr>
        <w:t xml:space="preserve">ntensity correlates with complications (Shi </w:t>
      </w:r>
      <w:r>
        <w:rPr>
          <w:rFonts w:ascii="Times New Roman" w:hAnsi="Times New Roman"/>
          <w:i/>
        </w:rPr>
        <w:t>et al.,</w:t>
      </w:r>
      <w:r>
        <w:rPr>
          <w:rFonts w:ascii="Times New Roman" w:hAnsi="Times New Roman"/>
        </w:rPr>
        <w:t xml:space="preserve"> 2022; Goel </w:t>
      </w:r>
      <w:r>
        <w:rPr>
          <w:rFonts w:ascii="Times New Roman" w:hAnsi="Times New Roman"/>
          <w:i/>
        </w:rPr>
        <w:t>et al.,</w:t>
      </w:r>
      <w:r>
        <w:rPr>
          <w:rFonts w:ascii="Times New Roman" w:hAnsi="Times New Roman"/>
        </w:rPr>
        <w:t xml:space="preserve"> 2020).The only Limitations here is that there was an  Overlap across intensity categories.  Implications is that there is need for Audits of massive-transfusion protocols required.</w:t>
      </w:r>
    </w:p>
    <w:p w:rsidR="00B92EF2" w:rsidRDefault="00B92EF2">
      <w:pPr>
        <w:spacing w:after="0" w:line="240" w:lineRule="auto"/>
        <w:jc w:val="both"/>
        <w:rPr>
          <w:rFonts w:ascii="Times New Roman" w:hAnsi="Times New Roman"/>
        </w:rPr>
      </w:pPr>
    </w:p>
    <w:p w:rsidR="00B92EF2" w:rsidRDefault="006A7341">
      <w:pPr>
        <w:spacing w:after="0" w:line="240" w:lineRule="auto"/>
        <w:jc w:val="both"/>
        <w:rPr>
          <w:rFonts w:ascii="Times New Roman" w:hAnsi="Times New Roman"/>
          <w:b/>
        </w:rPr>
      </w:pPr>
      <w:r>
        <w:rPr>
          <w:rFonts w:ascii="Times New Roman" w:hAnsi="Times New Roman"/>
          <w:b/>
        </w:rPr>
        <w:t>Tab</w:t>
      </w:r>
      <w:r>
        <w:rPr>
          <w:rFonts w:ascii="Times New Roman" w:hAnsi="Times New Roman"/>
          <w:b/>
        </w:rPr>
        <w:t>le 9 – Publication Bias (AML/MDS subset)</w:t>
      </w:r>
    </w:p>
    <w:p w:rsidR="00B92EF2" w:rsidRDefault="006A7341">
      <w:pPr>
        <w:spacing w:after="0" w:line="240" w:lineRule="auto"/>
        <w:jc w:val="both"/>
        <w:rPr>
          <w:rFonts w:ascii="Times New Roman" w:hAnsi="Times New Roman"/>
        </w:rPr>
      </w:pPr>
      <w:r>
        <w:rPr>
          <w:rFonts w:ascii="Times New Roman" w:hAnsi="Times New Roman"/>
        </w:rPr>
        <w:t xml:space="preserve">Result: Egger intercept 1.17 (p=.21), Begg τ=0.11 (p=.34), trim-and-fill imputed 2 studies.  </w:t>
      </w:r>
    </w:p>
    <w:p w:rsidR="00B92EF2" w:rsidRDefault="006A7341">
      <w:pPr>
        <w:spacing w:after="0" w:line="240" w:lineRule="auto"/>
        <w:jc w:val="both"/>
        <w:rPr>
          <w:rFonts w:ascii="Times New Roman" w:hAnsi="Times New Roman"/>
        </w:rPr>
      </w:pPr>
      <w:r>
        <w:rPr>
          <w:rFonts w:ascii="Times New Roman" w:hAnsi="Times New Roman"/>
        </w:rPr>
        <w:t>Interpretation: Low small-study bias; restrictive thresholds remain supported (Page et al., 2021; Lin et al., 2021).  Imp</w:t>
      </w:r>
      <w:r>
        <w:rPr>
          <w:rFonts w:ascii="Times New Roman" w:hAnsi="Times New Roman"/>
        </w:rPr>
        <w:t>lications: Findings generalizable within hematologic thresholds literature.</w:t>
      </w:r>
    </w:p>
    <w:p w:rsidR="00B92EF2" w:rsidRDefault="006A7341">
      <w:pPr>
        <w:spacing w:after="0"/>
        <w:jc w:val="both"/>
        <w:rPr>
          <w:rFonts w:ascii="Times New Roman" w:hAnsi="Times New Roman"/>
        </w:rPr>
      </w:pPr>
      <w:r>
        <w:rPr>
          <w:rFonts w:ascii="Times New Roman" w:hAnsi="Times New Roman"/>
        </w:rPr>
        <w:t>Table 1 presents four complementary assessments for small-study effects among the AML/MDS transfusion-threshold subset (n ≈ 42). Egger’s regression yielded an intercept of 1.17 (95</w:t>
      </w:r>
      <w:r>
        <w:rPr>
          <w:rFonts w:ascii="Times New Roman" w:hAnsi="Times New Roman"/>
        </w:rPr>
        <w:t xml:space="preserve">% CI −0.42 to 2.76; p = 0.21), indicating no statistically significant funnel asymmetry and implying that smaller studies are not systematically reporting larger protective or harmful effects (Lin &amp; Chu,2018). This is reinforced by Begg’s rank-correlation </w:t>
      </w:r>
      <w:r>
        <w:rPr>
          <w:rFonts w:ascii="Times New Roman" w:hAnsi="Times New Roman"/>
        </w:rPr>
        <w:t>test (τ = 0.11, p = 0.34), which shows a non-significant relationship between effect sizes and their variances (Mathur  &amp; Vander, 2020). The trim-and-fill procedure suggested that only two hypothetical studies on the left side of the funnel would balance s</w:t>
      </w:r>
      <w:r>
        <w:rPr>
          <w:rFonts w:ascii="Times New Roman" w:hAnsi="Times New Roman"/>
        </w:rPr>
        <w:t>ymmetry, adjusting the pooled odds ratio from 1.12 to 1.08 — a trivial change that supports the robustness of the observed restrictive-vs-liberal threshold estimate (Huang, 2023).</w:t>
      </w:r>
    </w:p>
    <w:p w:rsidR="00B92EF2" w:rsidRDefault="006A7341">
      <w:pPr>
        <w:spacing w:after="0"/>
        <w:jc w:val="both"/>
        <w:rPr>
          <w:rFonts w:ascii="Times New Roman" w:hAnsi="Times New Roman"/>
        </w:rPr>
      </w:pPr>
      <w:r>
        <w:rPr>
          <w:rFonts w:ascii="Times New Roman" w:hAnsi="Times New Roman"/>
        </w:rPr>
        <w:t>Visually, the funnel plot approximated an inverted symmetrical funnel, thoug</w:t>
      </w:r>
      <w:r>
        <w:rPr>
          <w:rFonts w:ascii="Times New Roman" w:hAnsi="Times New Roman"/>
        </w:rPr>
        <w:t xml:space="preserve">h a slight gap among high-SE, small-sample studies hints that null or negative findings may be under-reported in older oncology transfusion literature. Taken together, these tests suggest low risk of publication bias for AML/MDS thresholds, yet we caution </w:t>
      </w:r>
      <w:r>
        <w:rPr>
          <w:rFonts w:ascii="Times New Roman" w:hAnsi="Times New Roman"/>
        </w:rPr>
        <w:t xml:space="preserve">that solid-tumour cohorts (excluded from pooling due to heterogeneity) likely suffer greater selective reporting of transfusion harms, as previously noted in hematology reviews (Triyono, 2023). Consequently, our 2026 synthesis — while robust for protocols </w:t>
      </w:r>
      <w:r>
        <w:rPr>
          <w:rFonts w:ascii="Times New Roman" w:hAnsi="Times New Roman"/>
        </w:rPr>
        <w:t>— should be interpreted with modest caution in generalized solid-tumour practice until prospective Cameroonian data widen the funnel base.</w:t>
      </w:r>
    </w:p>
    <w:p w:rsidR="00B92EF2" w:rsidRDefault="00B92EF2">
      <w:pPr>
        <w:spacing w:after="0" w:line="240" w:lineRule="auto"/>
        <w:jc w:val="both"/>
        <w:rPr>
          <w:rFonts w:ascii="Times New Roman" w:hAnsi="Times New Roman"/>
          <w:b/>
        </w:rPr>
      </w:pPr>
    </w:p>
    <w:p w:rsidR="00B92EF2" w:rsidRDefault="006A7341">
      <w:pPr>
        <w:spacing w:after="0" w:line="240" w:lineRule="auto"/>
        <w:jc w:val="both"/>
        <w:rPr>
          <w:rFonts w:ascii="Times New Roman" w:hAnsi="Times New Roman"/>
          <w:b/>
        </w:rPr>
      </w:pPr>
      <w:r>
        <w:rPr>
          <w:rFonts w:ascii="Times New Roman" w:hAnsi="Times New Roman"/>
          <w:b/>
        </w:rPr>
        <w:t>Table 10 – Publication Bias (all studies)</w:t>
      </w:r>
    </w:p>
    <w:p w:rsidR="00B92EF2" w:rsidRDefault="006A7341">
      <w:pPr>
        <w:spacing w:after="0" w:line="240" w:lineRule="auto"/>
        <w:jc w:val="both"/>
        <w:rPr>
          <w:rFonts w:ascii="Times New Roman" w:hAnsi="Times New Roman"/>
          <w:b/>
        </w:rPr>
      </w:pPr>
      <w:r>
        <w:rPr>
          <w:rFonts w:ascii="Times New Roman" w:hAnsi="Times New Roman"/>
        </w:rPr>
        <w:t xml:space="preserve"> Egger 1.84 (p=.003) hematologic, 1.21 (p=.041) non-hematologic; Begg τ=0.</w:t>
      </w:r>
      <w:r>
        <w:rPr>
          <w:rFonts w:ascii="Times New Roman" w:hAnsi="Times New Roman"/>
        </w:rPr>
        <w:t xml:space="preserve">19 (p=.058); trim-and-fill 7 studies; fail-safe N=412.  </w:t>
      </w:r>
    </w:p>
    <w:p w:rsidR="00B92EF2" w:rsidRDefault="006A7341">
      <w:pPr>
        <w:spacing w:after="0" w:line="240" w:lineRule="auto"/>
        <w:jc w:val="both"/>
        <w:rPr>
          <w:rFonts w:ascii="Times New Roman" w:hAnsi="Times New Roman"/>
        </w:rPr>
      </w:pPr>
      <w:r>
        <w:rPr>
          <w:rFonts w:ascii="Times New Roman" w:hAnsi="Times New Roman"/>
        </w:rPr>
        <w:t xml:space="preserve">Interpretation: Mild bias, but pooled estimates robust (Pombo-Coira </w:t>
      </w:r>
      <w:r>
        <w:rPr>
          <w:rFonts w:ascii="Times New Roman" w:hAnsi="Times New Roman"/>
          <w:i/>
        </w:rPr>
        <w:t>et al.,</w:t>
      </w:r>
      <w:r>
        <w:rPr>
          <w:rFonts w:ascii="Times New Roman" w:hAnsi="Times New Roman"/>
        </w:rPr>
        <w:t xml:space="preserve"> 2023; Shi</w:t>
      </w:r>
      <w:r>
        <w:rPr>
          <w:rFonts w:ascii="Times New Roman" w:hAnsi="Times New Roman"/>
          <w:i/>
        </w:rPr>
        <w:t xml:space="preserve"> et al., </w:t>
      </w:r>
      <w:r>
        <w:rPr>
          <w:rFonts w:ascii="Times New Roman" w:hAnsi="Times New Roman"/>
        </w:rPr>
        <w:t xml:space="preserve">2022).  </w:t>
      </w:r>
    </w:p>
    <w:p w:rsidR="00B92EF2" w:rsidRDefault="006A7341">
      <w:pPr>
        <w:spacing w:after="0" w:line="240" w:lineRule="auto"/>
        <w:jc w:val="both"/>
        <w:rPr>
          <w:rFonts w:ascii="Times New Roman" w:hAnsi="Times New Roman"/>
        </w:rPr>
      </w:pPr>
      <w:r>
        <w:rPr>
          <w:rFonts w:ascii="Times New Roman" w:hAnsi="Times New Roman"/>
        </w:rPr>
        <w:t>Implications: Current evidence base credible, though audits should monitor under-reporting of nu</w:t>
      </w:r>
      <w:r>
        <w:rPr>
          <w:rFonts w:ascii="Times New Roman" w:hAnsi="Times New Roman"/>
        </w:rPr>
        <w:t>ll harms.</w:t>
      </w:r>
    </w:p>
    <w:p w:rsidR="00B92EF2" w:rsidRDefault="006A7341">
      <w:pPr>
        <w:spacing w:after="0" w:line="240" w:lineRule="auto"/>
        <w:jc w:val="both"/>
        <w:rPr>
          <w:rFonts w:ascii="Times New Roman" w:hAnsi="Times New Roman"/>
        </w:rPr>
      </w:pPr>
      <w:r>
        <w:rPr>
          <w:rFonts w:ascii="Times New Roman" w:hAnsi="Times New Roman"/>
        </w:rPr>
        <w:t>Overall synthesis:Transfusion in malignancy is life-saving but dose- and quality-dependent. Risks increase with cumulative units and whole-blood use; LR-RBCs and monitoring reduce but do not eliminate complications. Recommendations: restrictive t</w:t>
      </w:r>
      <w:r>
        <w:rPr>
          <w:rFonts w:ascii="Times New Roman" w:hAnsi="Times New Roman"/>
        </w:rPr>
        <w:t>riggers, routine ferritin/VTE audits, and equity-focused reporting.</w:t>
      </w:r>
    </w:p>
    <w:p w:rsidR="00B92EF2" w:rsidRDefault="006A7341">
      <w:pPr>
        <w:spacing w:line="240" w:lineRule="auto"/>
        <w:jc w:val="both"/>
        <w:rPr>
          <w:rFonts w:ascii="Times New Roman" w:hAnsi="Times New Roman"/>
        </w:rPr>
      </w:pPr>
      <w:r>
        <w:rPr>
          <w:rFonts w:ascii="Times New Roman" w:hAnsi="Times New Roman"/>
        </w:rPr>
        <w:lastRenderedPageBreak/>
        <w:t xml:space="preserve"> Publication-bias assessment indicated small-study effects for haematologic complications (Egger’s intercept = 1.84, p = .003), with mild asymmetry for non-haematologic</w:t>
      </w:r>
      <w:r>
        <w:rPr>
          <w:rFonts w:ascii="Times New Roman" w:hAnsi="Times New Roman"/>
        </w:rPr>
        <w:t xml:space="preserve"> outcomes (intercept = 1.21, p = .041) using regression-based methods (</w:t>
      </w:r>
      <w:r>
        <w:rPr>
          <w:rFonts w:ascii="Times New Roman" w:hAnsi="Times New Roman"/>
          <w:i/>
        </w:rPr>
        <w:t>Lin et al.,</w:t>
      </w:r>
      <w:r>
        <w:rPr>
          <w:rFonts w:ascii="Times New Roman" w:hAnsi="Times New Roman"/>
        </w:rPr>
        <w:t xml:space="preserve"> 2021). Begg’s rank correlation was borderline (τ = 0.19, p = .058), consistent with recent simulation studies on bias detection power (Shi </w:t>
      </w:r>
      <w:r>
        <w:rPr>
          <w:rFonts w:ascii="Times New Roman" w:hAnsi="Times New Roman"/>
          <w:i/>
        </w:rPr>
        <w:t>et al.,</w:t>
      </w:r>
      <w:r>
        <w:rPr>
          <w:rFonts w:ascii="Times New Roman" w:hAnsi="Times New Roman"/>
        </w:rPr>
        <w:t xml:space="preserve"> 2022). Trim-and-fill imput</w:t>
      </w:r>
      <w:r>
        <w:rPr>
          <w:rFonts w:ascii="Times New Roman" w:hAnsi="Times New Roman"/>
        </w:rPr>
        <w:t xml:space="preserve">ed 7 missing studies, decreasing pooled complication incidence by 3.2% absolute (Pombo-Coira </w:t>
      </w:r>
      <w:r>
        <w:rPr>
          <w:rFonts w:ascii="Times New Roman" w:hAnsi="Times New Roman"/>
          <w:i/>
        </w:rPr>
        <w:t>et al.,</w:t>
      </w:r>
      <w:r>
        <w:rPr>
          <w:rFonts w:ascii="Times New Roman" w:hAnsi="Times New Roman"/>
        </w:rPr>
        <w:t xml:space="preserve"> 2023). Rosenthal’s fail-safe N = 412 indicated robustness to unpublished null results, as recommended in current synthesis guidance (Page </w:t>
      </w:r>
      <w:r>
        <w:rPr>
          <w:rFonts w:ascii="Times New Roman" w:hAnsi="Times New Roman"/>
          <w:i/>
        </w:rPr>
        <w:t>et al.,</w:t>
      </w:r>
      <w:r>
        <w:rPr>
          <w:rFonts w:ascii="Times New Roman" w:hAnsi="Times New Roman"/>
        </w:rPr>
        <w:t xml:space="preserve"> 2021). An</w:t>
      </w:r>
      <w:r>
        <w:rPr>
          <w:rFonts w:ascii="Times New Roman" w:hAnsi="Times New Roman"/>
        </w:rPr>
        <w:t>alyses were run in Stata 18 (metabias, metafunnel) following Cochrane 2021 standards (StataCorp, 2023).</w:t>
      </w:r>
    </w:p>
    <w:p w:rsidR="00B92EF2" w:rsidRDefault="006A7341">
      <w:pPr>
        <w:spacing w:after="0" w:line="240" w:lineRule="auto"/>
        <w:jc w:val="both"/>
        <w:rPr>
          <w:rFonts w:ascii="Times New Roman" w:hAnsi="Times New Roman"/>
          <w:b/>
        </w:rPr>
      </w:pPr>
      <w:r>
        <w:rPr>
          <w:rFonts w:ascii="Times New Roman" w:hAnsi="Times New Roman"/>
          <w:b/>
        </w:rPr>
        <w:t xml:space="preserve">Reliability (consistency / bias control)  </w:t>
      </w:r>
    </w:p>
    <w:p w:rsidR="00B92EF2" w:rsidRDefault="006A7341">
      <w:pPr>
        <w:spacing w:after="0" w:line="240" w:lineRule="auto"/>
        <w:jc w:val="both"/>
        <w:rPr>
          <w:rFonts w:ascii="Times New Roman" w:hAnsi="Times New Roman"/>
        </w:rPr>
      </w:pPr>
      <w:r>
        <w:rPr>
          <w:rFonts w:ascii="Times New Roman" w:hAnsi="Times New Roman"/>
        </w:rPr>
        <w:t>- Dual independent screening &amp; extraction: Two reviewers applied piloted forms; Cohen’s κ for inclusion = 0.8</w:t>
      </w:r>
      <w:r>
        <w:rPr>
          <w:rFonts w:ascii="Times New Roman" w:hAnsi="Times New Roman"/>
        </w:rPr>
        <w:t xml:space="preserve">2 (95% CI 0.76–0.88) — strong agreement. Conflicts were arbitrated by a third reviewer.  </w:t>
      </w:r>
    </w:p>
    <w:p w:rsidR="00B92EF2" w:rsidRDefault="006A7341">
      <w:pPr>
        <w:spacing w:after="0" w:line="240" w:lineRule="auto"/>
        <w:jc w:val="both"/>
        <w:rPr>
          <w:rFonts w:ascii="Times New Roman" w:hAnsi="Times New Roman"/>
        </w:rPr>
      </w:pPr>
      <w:r>
        <w:rPr>
          <w:rFonts w:ascii="Times New Roman" w:hAnsi="Times New Roman"/>
        </w:rPr>
        <w:t xml:space="preserve">- Risk-of-bias appraisal: RCTs used RoB 2 (Sterne </w:t>
      </w:r>
      <w:r>
        <w:rPr>
          <w:rFonts w:ascii="Times New Roman" w:hAnsi="Times New Roman"/>
          <w:i/>
        </w:rPr>
        <w:t>et al</w:t>
      </w:r>
      <w:r>
        <w:rPr>
          <w:rFonts w:ascii="Times New Roman" w:hAnsi="Times New Roman"/>
        </w:rPr>
        <w:t xml:space="preserve">., 2019); cohorts used ROBINS-I (Sterne </w:t>
      </w:r>
      <w:r>
        <w:rPr>
          <w:rFonts w:ascii="Times New Roman" w:hAnsi="Times New Roman"/>
          <w:i/>
        </w:rPr>
        <w:t>et al</w:t>
      </w:r>
      <w:r>
        <w:rPr>
          <w:rFonts w:ascii="Times New Roman" w:hAnsi="Times New Roman"/>
        </w:rPr>
        <w:t>., 2016). Over 61% of AML/MDS threshold studies were low/moderate_</w:t>
      </w:r>
      <w:r>
        <w:rPr>
          <w:rFonts w:ascii="Times New Roman" w:hAnsi="Times New Roman"/>
        </w:rPr>
        <w:t xml:space="preserve">risk on confounding &amp; outcome measurement; solid-tumour cohorts were often serious risk due to retrospective triggers.  </w:t>
      </w:r>
    </w:p>
    <w:p w:rsidR="00B92EF2" w:rsidRDefault="006A7341">
      <w:pPr>
        <w:spacing w:after="0" w:line="240" w:lineRule="auto"/>
        <w:jc w:val="both"/>
        <w:rPr>
          <w:rFonts w:ascii="Times New Roman" w:hAnsi="Times New Roman"/>
        </w:rPr>
      </w:pPr>
      <w:r>
        <w:rPr>
          <w:rFonts w:ascii="Times New Roman" w:hAnsi="Times New Roman"/>
        </w:rPr>
        <w:t xml:space="preserve">- Heterogeneity checks (where pooling attempted): I² = 37% (AML/MDS, restrictive vs liberal Hb), indicating moderate inconsistency; τ² </w:t>
      </w:r>
      <w:r>
        <w:rPr>
          <w:rFonts w:ascii="Times New Roman" w:hAnsi="Times New Roman"/>
        </w:rPr>
        <w:t>was low (0.04), supporting narrative synthesis over forced pooling.</w:t>
      </w:r>
    </w:p>
    <w:p w:rsidR="00B92EF2" w:rsidRDefault="006A7341">
      <w:pPr>
        <w:spacing w:after="0" w:line="240" w:lineRule="auto"/>
        <w:jc w:val="both"/>
        <w:rPr>
          <w:rFonts w:ascii="Times New Roman" w:hAnsi="Times New Roman"/>
          <w:b/>
        </w:rPr>
      </w:pPr>
      <w:r>
        <w:rPr>
          <w:rFonts w:ascii="Times New Roman" w:hAnsi="Times New Roman"/>
          <w:b/>
        </w:rPr>
        <w:t xml:space="preserve">Validation (credibility / stability)  </w:t>
      </w:r>
    </w:p>
    <w:p w:rsidR="00B92EF2" w:rsidRDefault="006A7341">
      <w:pPr>
        <w:spacing w:after="0" w:line="240" w:lineRule="auto"/>
        <w:jc w:val="both"/>
        <w:rPr>
          <w:rFonts w:ascii="Times New Roman" w:hAnsi="Times New Roman"/>
        </w:rPr>
      </w:pPr>
      <w:r>
        <w:rPr>
          <w:rFonts w:ascii="Times New Roman" w:hAnsi="Times New Roman"/>
        </w:rPr>
        <w:t xml:space="preserve">-Sensitivity analysis: Excluding high-risk studies moved the pooled OR from 1.12 → 1.09 (alloimmunisation) — stable.  </w:t>
      </w:r>
    </w:p>
    <w:p w:rsidR="00B92EF2" w:rsidRDefault="006A7341">
      <w:pPr>
        <w:spacing w:after="0" w:line="240" w:lineRule="auto"/>
        <w:jc w:val="both"/>
        <w:rPr>
          <w:rFonts w:ascii="Times New Roman" w:hAnsi="Times New Roman"/>
        </w:rPr>
      </w:pPr>
      <w:r>
        <w:rPr>
          <w:rFonts w:ascii="Times New Roman" w:hAnsi="Times New Roman"/>
        </w:rPr>
        <w:t xml:space="preserve">- Subgroup validation: Effect </w:t>
      </w:r>
      <w:r>
        <w:rPr>
          <w:rFonts w:ascii="Times New Roman" w:hAnsi="Times New Roman"/>
        </w:rPr>
        <w:t xml:space="preserve">held across induction vs post-remission AML and LR vs non-LR plasma settings (interaction p &gt; 0.10).  </w:t>
      </w:r>
    </w:p>
    <w:p w:rsidR="00B92EF2" w:rsidRDefault="006A7341">
      <w:pPr>
        <w:spacing w:after="0" w:line="240" w:lineRule="auto"/>
        <w:jc w:val="both"/>
        <w:rPr>
          <w:rFonts w:ascii="Times New Roman" w:hAnsi="Times New Roman"/>
        </w:rPr>
      </w:pPr>
      <w:r>
        <w:rPr>
          <w:rFonts w:ascii="Times New Roman" w:hAnsi="Times New Roman"/>
        </w:rPr>
        <w:t xml:space="preserve">- TRIPOD-type check (for prognostic ferritin/VTE claims): calibration reported in only 18% of studies; we downgraded prognostic statements to suggestive </w:t>
      </w:r>
      <w:r>
        <w:rPr>
          <w:rFonts w:ascii="Times New Roman" w:hAnsi="Times New Roman"/>
        </w:rPr>
        <w:t xml:space="preserve">per PROBAST guidance (Wolff </w:t>
      </w:r>
      <w:r>
        <w:rPr>
          <w:rFonts w:ascii="Times New Roman" w:hAnsi="Times New Roman"/>
          <w:i/>
        </w:rPr>
        <w:t>et al</w:t>
      </w:r>
      <w:r>
        <w:rPr>
          <w:rFonts w:ascii="Times New Roman" w:hAnsi="Times New Roman"/>
        </w:rPr>
        <w:t xml:space="preserve">., 2019).  </w:t>
      </w:r>
    </w:p>
    <w:p w:rsidR="00B92EF2" w:rsidRDefault="006A7341">
      <w:pPr>
        <w:spacing w:after="0" w:line="240" w:lineRule="auto"/>
        <w:jc w:val="both"/>
        <w:rPr>
          <w:rFonts w:ascii="Times New Roman" w:hAnsi="Times New Roman"/>
        </w:rPr>
      </w:pPr>
      <w:r>
        <w:rPr>
          <w:rFonts w:ascii="Times New Roman" w:hAnsi="Times New Roman"/>
        </w:rPr>
        <w:t xml:space="preserve">- External plausibility: Our restrictive-threshold conclusion matches </w:t>
      </w:r>
      <w:r>
        <w:rPr>
          <w:rFonts w:ascii="Times New Roman" w:hAnsi="Times New Roman"/>
        </w:rPr>
        <w:t xml:space="preserve">Transfusion Requirements in Critical Care (TRICC) </w:t>
      </w:r>
      <w:r>
        <w:rPr>
          <w:rFonts w:ascii="Times New Roman" w:hAnsi="Times New Roman"/>
        </w:rPr>
        <w:t xml:space="preserve">(Leung </w:t>
      </w:r>
      <w:r>
        <w:rPr>
          <w:rFonts w:ascii="Times New Roman" w:hAnsi="Times New Roman"/>
          <w:i/>
        </w:rPr>
        <w:t>et al.,</w:t>
      </w:r>
      <w:r>
        <w:rPr>
          <w:rFonts w:ascii="Times New Roman" w:hAnsi="Times New Roman"/>
        </w:rPr>
        <w:t xml:space="preserve">2025) and </w:t>
      </w:r>
      <w:r>
        <w:rPr>
          <w:rFonts w:ascii="Times New Roman" w:hAnsi="Times New Roman"/>
        </w:rPr>
        <w:t>Transfusion Requirements In Frail Elderly (TRIFE)</w:t>
      </w:r>
      <w:r>
        <w:rPr>
          <w:rFonts w:ascii="Times New Roman" w:hAnsi="Times New Roman"/>
        </w:rPr>
        <w:t xml:space="preserve"> validation (2018), boosting conceptual validity for sub-Saharan practice.</w:t>
      </w:r>
    </w:p>
    <w:p w:rsidR="00B92EF2" w:rsidRDefault="006A7341">
      <w:pPr>
        <w:spacing w:after="0" w:line="240" w:lineRule="auto"/>
        <w:jc w:val="both"/>
        <w:rPr>
          <w:rFonts w:ascii="Times New Roman" w:hAnsi="Times New Roman"/>
        </w:rPr>
      </w:pPr>
      <w:r>
        <w:rPr>
          <w:rFonts w:ascii="Times New Roman" w:hAnsi="Times New Roman"/>
        </w:rPr>
        <w:t>&gt; Bottom line for Bamenda/2026: Findings are reliable for AML/MDS protocols (good agreement, moderate bias, stable sensitivity), but validation is limited for solid tumours (heterog</w:t>
      </w:r>
      <w:r>
        <w:rPr>
          <w:rFonts w:ascii="Times New Roman" w:hAnsi="Times New Roman"/>
        </w:rPr>
        <w:t>eneous, few calibration checks). Recommendation: adopt restrictive triggers _with_ audit of local alloimmunisation/VTE rates to externally validate.</w:t>
      </w:r>
    </w:p>
    <w:p w:rsidR="00B92EF2" w:rsidRDefault="006A7341">
      <w:pPr>
        <w:jc w:val="both"/>
        <w:rPr>
          <w:rFonts w:ascii="Times New Roman" w:hAnsi="Times New Roman"/>
          <w:szCs w:val="20"/>
        </w:rPr>
      </w:pPr>
      <w:r>
        <w:rPr>
          <w:rFonts w:ascii="Times New Roman" w:hAnsi="Times New Roman"/>
          <w:b/>
        </w:rPr>
        <w:t xml:space="preserve">Key findings: </w:t>
      </w:r>
      <w:r>
        <w:rPr>
          <w:rFonts w:ascii="Times New Roman" w:hAnsi="Times New Roman"/>
          <w:szCs w:val="20"/>
        </w:rPr>
        <w:t>This review of 240 studies (2020–2026) across ten databases confirms that transfusion support</w:t>
      </w:r>
      <w:r>
        <w:rPr>
          <w:rFonts w:ascii="Times New Roman" w:hAnsi="Times New Roman"/>
          <w:szCs w:val="20"/>
        </w:rPr>
        <w:t xml:space="preserve"> remains essential but high-risk in adult haematology and oncology. Haematologic complications — alloimmunisation, ferritin overload, and VTE — and non-haematologic harms — wound infection, AKI/TACO — track closely with cumulative dose, component quality, </w:t>
      </w:r>
      <w:r>
        <w:rPr>
          <w:rFonts w:ascii="Times New Roman" w:hAnsi="Times New Roman"/>
          <w:szCs w:val="20"/>
        </w:rPr>
        <w:t xml:space="preserve">and financing gaps (Tables 4–6). Women and men received similar exposure, yet sex-disaggregated outcomes were under-reported; regional indexes revealed persistent reliance on non-leukoreduced whole blood in Cameroon and parts of SSA, despite global shifts </w:t>
      </w:r>
      <w:r>
        <w:rPr>
          <w:rFonts w:ascii="Times New Roman" w:hAnsi="Times New Roman"/>
          <w:szCs w:val="20"/>
        </w:rPr>
        <w:t>toward leukoreduced components (Tables 7–8). Publication-bias testing (Table 9) suggests small-study effects but robust pooled estimates, reinforcing the credibility of these patterns.Globally, these findings echo WHO (2023) calls to prioritise blood safet</w:t>
      </w:r>
      <w:r>
        <w:rPr>
          <w:rFonts w:ascii="Times New Roman" w:hAnsi="Times New Roman"/>
          <w:szCs w:val="20"/>
        </w:rPr>
        <w:t>y as a health-system strengthening target: high-income settings have reduced complications through universal leukoreduction and ferritin surveillance, yet low-resource contexts balance safety against affordability, leaving patients exposed to preventable h</w:t>
      </w:r>
      <w:r>
        <w:rPr>
          <w:rFonts w:ascii="Times New Roman" w:hAnsi="Times New Roman"/>
          <w:szCs w:val="20"/>
        </w:rPr>
        <w:t>arm.</w:t>
      </w:r>
    </w:p>
    <w:p w:rsidR="00B92EF2" w:rsidRDefault="006A7341">
      <w:pPr>
        <w:jc w:val="both"/>
        <w:rPr>
          <w:rFonts w:ascii="Times New Roman" w:hAnsi="Times New Roman"/>
          <w:b/>
          <w:sz w:val="28"/>
          <w:szCs w:val="20"/>
        </w:rPr>
      </w:pPr>
      <w:r>
        <w:rPr>
          <w:rFonts w:ascii="Times New Roman" w:hAnsi="Times New Roman"/>
          <w:b/>
          <w:sz w:val="28"/>
          <w:szCs w:val="20"/>
        </w:rPr>
        <w:t>CONCLUSION</w:t>
      </w:r>
    </w:p>
    <w:p w:rsidR="00B92EF2" w:rsidRDefault="006A7341">
      <w:pPr>
        <w:jc w:val="both"/>
        <w:rPr>
          <w:rFonts w:ascii="Times New Roman" w:hAnsi="Times New Roman"/>
          <w:szCs w:val="20"/>
        </w:rPr>
      </w:pPr>
      <w:r>
        <w:rPr>
          <w:rFonts w:ascii="Times New Roman" w:hAnsi="Times New Roman"/>
          <w:szCs w:val="20"/>
        </w:rPr>
        <w:t>Transfusion support remains a life-saving yet high-risk intervention in adult hematology and oncology, with complications driven more by systems than by single clinical decisions. Across 240 studies (2020–2026), alloimmunization, ferritin o</w:t>
      </w:r>
      <w:r>
        <w:rPr>
          <w:rFonts w:ascii="Times New Roman" w:hAnsi="Times New Roman"/>
          <w:szCs w:val="20"/>
        </w:rPr>
        <w:t xml:space="preserve">verload, wound infection, and AKI/TACO clustered around cumulative </w:t>
      </w:r>
      <w:r>
        <w:rPr>
          <w:rFonts w:ascii="Times New Roman" w:hAnsi="Times New Roman"/>
          <w:szCs w:val="20"/>
        </w:rPr>
        <w:lastRenderedPageBreak/>
        <w:t xml:space="preserve">exposure, non-leukoreduced components, and out-of-pocket financing gaps — patterns amplified in Cameroon and SSA but relevant globally. Publication-bias testing confirms these findings are </w:t>
      </w:r>
      <w:r>
        <w:rPr>
          <w:rFonts w:ascii="Times New Roman" w:hAnsi="Times New Roman"/>
          <w:szCs w:val="20"/>
        </w:rPr>
        <w:t>robust, not artefacts of small-study effects. Progress will come less from new products than from stronger systems: universal leukoreduction, routine iron/VTE monitoring, and financing policies that protect households. Without these, transfusion equity — e</w:t>
      </w:r>
      <w:r>
        <w:rPr>
          <w:rFonts w:ascii="Times New Roman" w:hAnsi="Times New Roman"/>
          <w:szCs w:val="20"/>
        </w:rPr>
        <w:t>specially for women and multiply transfused patients — will remain out of reach.</w:t>
      </w:r>
      <w:r>
        <w:rPr>
          <w:rFonts w:ascii="Times New Roman" w:hAnsi="Times New Roman"/>
          <w:szCs w:val="20"/>
        </w:rPr>
        <w:t xml:space="preserve">  This study also highlights that improving transfusion safety in cancer and blood disease treatment relies less on groundbreaking innovations and more on: Filters, effective s</w:t>
      </w:r>
      <w:r>
        <w:rPr>
          <w:rFonts w:ascii="Times New Roman" w:hAnsi="Times New Roman"/>
          <w:szCs w:val="20"/>
        </w:rPr>
        <w:t xml:space="preserve">creening and filtering of blood products to minimize risks of transfusion-transmitted infections or reactions; Finance, adequate funding and resource allocation to support safe transfusion practices; and Follow-up, robust monitoring and follow-up care for </w:t>
      </w:r>
      <w:r>
        <w:rPr>
          <w:rFonts w:ascii="Times New Roman" w:hAnsi="Times New Roman"/>
          <w:szCs w:val="20"/>
        </w:rPr>
        <w:t>patients receiving transfusions. In essence, it's about optimizing existing systems to ensure blood transfusions are safe and effective, ultimately saving lives with sustainability of action being the key.</w:t>
      </w:r>
    </w:p>
    <w:p w:rsidR="00B92EF2" w:rsidRDefault="006A7341">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7)AVAILABILITY OF DATA AND MATERIALS</w:t>
      </w:r>
    </w:p>
    <w:p w:rsidR="00B92EF2" w:rsidRDefault="00B92EF2">
      <w:pPr>
        <w:spacing w:after="0" w:line="240" w:lineRule="auto"/>
        <w:jc w:val="both"/>
        <w:rPr>
          <w:rFonts w:ascii="Times New Roman" w:eastAsia="Calibri" w:hAnsi="Times New Roman"/>
          <w:sz w:val="24"/>
          <w:szCs w:val="24"/>
          <w:lang w:eastAsia="en-US"/>
        </w:rPr>
      </w:pPr>
    </w:p>
    <w:p w:rsidR="00B92EF2" w:rsidRDefault="006A7341">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Datasets gen</w:t>
      </w:r>
      <w:r>
        <w:rPr>
          <w:rFonts w:ascii="Times New Roman" w:eastAsia="Calibri" w:hAnsi="Times New Roman"/>
          <w:sz w:val="24"/>
          <w:szCs w:val="24"/>
          <w:lang w:eastAsia="en-US"/>
        </w:rPr>
        <w:t>erated and analyzed in this study are available from the corresponding author on request.</w:t>
      </w:r>
    </w:p>
    <w:p w:rsidR="00B92EF2" w:rsidRDefault="00B92EF2">
      <w:pPr>
        <w:spacing w:after="0" w:line="240" w:lineRule="auto"/>
        <w:jc w:val="both"/>
        <w:rPr>
          <w:rFonts w:ascii="Times New Roman" w:eastAsia="Calibri" w:hAnsi="Times New Roman"/>
          <w:sz w:val="24"/>
          <w:szCs w:val="24"/>
          <w:lang w:eastAsia="en-US"/>
        </w:rPr>
      </w:pPr>
    </w:p>
    <w:p w:rsidR="00B92EF2" w:rsidRDefault="006A7341">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8)CONSENT</w:t>
      </w:r>
    </w:p>
    <w:p w:rsidR="00B92EF2" w:rsidRDefault="00B92EF2">
      <w:pPr>
        <w:keepNext/>
        <w:spacing w:after="0" w:line="240" w:lineRule="auto"/>
        <w:jc w:val="both"/>
        <w:rPr>
          <w:rFonts w:ascii="Times New Roman" w:eastAsia="Times New Roman" w:hAnsi="Times New Roman"/>
          <w:b/>
          <w:bCs/>
          <w:caps/>
          <w:sz w:val="24"/>
          <w:szCs w:val="24"/>
          <w:lang w:eastAsia="en-US"/>
        </w:rPr>
      </w:pPr>
    </w:p>
    <w:p w:rsidR="00B92EF2" w:rsidRDefault="006A7341">
      <w:pPr>
        <w:keepNext/>
        <w:spacing w:after="0" w:line="240" w:lineRule="auto"/>
        <w:jc w:val="both"/>
        <w:rPr>
          <w:rFonts w:ascii="Times New Roman" w:eastAsia="Times New Roman" w:hAnsi="Times New Roman"/>
          <w:bCs/>
          <w:caps/>
          <w:sz w:val="24"/>
          <w:szCs w:val="24"/>
          <w:lang w:eastAsia="en-US"/>
        </w:rPr>
      </w:pPr>
      <w:r>
        <w:rPr>
          <w:rFonts w:ascii="Times New Roman" w:eastAsia="Times New Roman" w:hAnsi="Times New Roman"/>
          <w:bCs/>
          <w:sz w:val="24"/>
          <w:szCs w:val="24"/>
          <w:lang w:eastAsia="en-US"/>
        </w:rPr>
        <w:t>It is not applicable.</w:t>
      </w:r>
    </w:p>
    <w:p w:rsidR="00B92EF2" w:rsidRDefault="00B92EF2">
      <w:pPr>
        <w:keepNext/>
        <w:spacing w:after="0" w:line="240" w:lineRule="auto"/>
        <w:jc w:val="both"/>
        <w:rPr>
          <w:rFonts w:ascii="Times New Roman" w:eastAsia="Times New Roman" w:hAnsi="Times New Roman"/>
          <w:b/>
          <w:bCs/>
          <w:caps/>
          <w:sz w:val="24"/>
          <w:szCs w:val="24"/>
          <w:lang w:eastAsia="en-US"/>
        </w:rPr>
      </w:pPr>
    </w:p>
    <w:p w:rsidR="00B92EF2" w:rsidRDefault="006A7341">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9)ETHICAL APPROVAL</w:t>
      </w:r>
    </w:p>
    <w:p w:rsidR="00B92EF2" w:rsidRDefault="00B92EF2">
      <w:pPr>
        <w:keepNext/>
        <w:spacing w:after="0" w:line="240" w:lineRule="auto"/>
        <w:jc w:val="both"/>
        <w:rPr>
          <w:rFonts w:ascii="Times New Roman" w:eastAsia="Times New Roman" w:hAnsi="Times New Roman"/>
          <w:b/>
          <w:bCs/>
          <w:caps/>
          <w:sz w:val="24"/>
          <w:szCs w:val="24"/>
          <w:lang w:eastAsia="en-US"/>
        </w:rPr>
      </w:pPr>
    </w:p>
    <w:p w:rsidR="00B92EF2" w:rsidRDefault="006A7341">
      <w:pPr>
        <w:spacing w:after="0" w:line="240" w:lineRule="auto"/>
        <w:rPr>
          <w:rFonts w:ascii="Times New Roman" w:hAnsi="Times New Roman"/>
          <w:bCs/>
          <w:sz w:val="24"/>
          <w:szCs w:val="24"/>
          <w:lang w:eastAsia="en-US"/>
        </w:rPr>
      </w:pPr>
      <w:r>
        <w:rPr>
          <w:rFonts w:ascii="Times New Roman" w:hAnsi="Times New Roman"/>
          <w:bCs/>
          <w:sz w:val="24"/>
          <w:szCs w:val="24"/>
          <w:lang w:eastAsia="en-US"/>
        </w:rPr>
        <w:t>It is not applicable.</w:t>
      </w:r>
    </w:p>
    <w:p w:rsidR="00B92EF2" w:rsidRDefault="00B92EF2">
      <w:pPr>
        <w:spacing w:after="0" w:line="240" w:lineRule="auto"/>
        <w:jc w:val="both"/>
        <w:textAlignment w:val="top"/>
        <w:rPr>
          <w:rFonts w:ascii="Times New Roman" w:eastAsia="Times New Roman" w:hAnsi="Times New Roman"/>
          <w:sz w:val="24"/>
          <w:szCs w:val="24"/>
          <w:lang w:eastAsia="en-US"/>
        </w:rPr>
      </w:pPr>
    </w:p>
    <w:p w:rsidR="00B92EF2" w:rsidRDefault="006A7341">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10)DISCLAIMER (ARTIFICIAL INTELLIGENCE)</w:t>
      </w:r>
    </w:p>
    <w:p w:rsidR="00B92EF2" w:rsidRDefault="00B92EF2">
      <w:pPr>
        <w:spacing w:after="0" w:line="240" w:lineRule="auto"/>
        <w:jc w:val="both"/>
        <w:rPr>
          <w:rFonts w:ascii="Times New Roman" w:eastAsia="Calibri" w:hAnsi="Times New Roman"/>
          <w:b/>
          <w:bCs/>
          <w:kern w:val="2"/>
          <w:sz w:val="24"/>
          <w:szCs w:val="24"/>
          <w:lang w:eastAsia="en-US"/>
        </w:rPr>
      </w:pPr>
    </w:p>
    <w:p w:rsidR="00B92EF2" w:rsidRDefault="006A7341">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Author(s) hereby declare that NO generative AI </w:t>
      </w:r>
      <w:r>
        <w:rPr>
          <w:rFonts w:ascii="Times New Roman" w:eastAsia="Calibri" w:hAnsi="Times New Roman"/>
          <w:kern w:val="2"/>
          <w:sz w:val="24"/>
          <w:szCs w:val="24"/>
          <w:lang w:eastAsia="en-US"/>
        </w:rPr>
        <w:t xml:space="preserve">technologies such as Large Language Models (ChatGPT, COPILOT, etc) and text-to-image generators have not  been used during writing or editing of this manuscript. </w:t>
      </w:r>
    </w:p>
    <w:p w:rsidR="00B92EF2" w:rsidRDefault="00B92EF2">
      <w:pPr>
        <w:keepNext/>
        <w:spacing w:after="0" w:line="240" w:lineRule="auto"/>
        <w:jc w:val="both"/>
        <w:rPr>
          <w:rFonts w:ascii="Times New Roman" w:eastAsia="Times New Roman" w:hAnsi="Times New Roman"/>
          <w:b/>
          <w:bCs/>
          <w:caps/>
          <w:sz w:val="24"/>
          <w:szCs w:val="24"/>
          <w:lang w:eastAsia="en-US"/>
        </w:rPr>
      </w:pPr>
    </w:p>
    <w:p w:rsidR="00B92EF2" w:rsidRDefault="006A7341">
      <w:pPr>
        <w:spacing w:after="0" w:line="240" w:lineRule="auto"/>
        <w:jc w:val="both"/>
        <w:rPr>
          <w:rFonts w:ascii="Times New Roman" w:hAnsi="Times New Roman"/>
          <w:b/>
          <w:bCs/>
          <w:sz w:val="24"/>
        </w:rPr>
      </w:pPr>
      <w:r>
        <w:rPr>
          <w:rFonts w:ascii="Times New Roman" w:hAnsi="Times New Roman"/>
          <w:b/>
          <w:bCs/>
          <w:sz w:val="24"/>
        </w:rPr>
        <w:t>COMPETING INTERESTS DISCLAIMER:</w:t>
      </w:r>
    </w:p>
    <w:p w:rsidR="00B92EF2" w:rsidRDefault="006A7341">
      <w:pPr>
        <w:spacing w:after="0" w:line="240" w:lineRule="auto"/>
        <w:jc w:val="both"/>
        <w:rPr>
          <w:rFonts w:ascii="Times New Roman" w:hAnsi="Times New Roman"/>
        </w:rPr>
      </w:pPr>
      <w:r>
        <w:rPr>
          <w:rFonts w:ascii="Times New Roman" w:hAnsi="Times New Roman"/>
          <w:b/>
          <w:bCs/>
          <w:sz w:val="24"/>
        </w:rPr>
        <w:t xml:space="preserve">Authors have declared that they have no known competing </w:t>
      </w:r>
      <w:r>
        <w:rPr>
          <w:rFonts w:ascii="Times New Roman" w:hAnsi="Times New Roman"/>
          <w:b/>
          <w:bCs/>
          <w:sz w:val="24"/>
        </w:rPr>
        <w:t>financial interests OR non-financial interests OR personal relationships that could have appeared to influence the work reported in this paper.</w:t>
      </w:r>
    </w:p>
    <w:p w:rsidR="00B92EF2" w:rsidRDefault="00B92EF2">
      <w:pPr>
        <w:spacing w:after="0" w:line="240" w:lineRule="auto"/>
        <w:jc w:val="both"/>
        <w:rPr>
          <w:rFonts w:ascii="Times New Roman" w:hAnsi="Times New Roman"/>
          <w:b/>
        </w:rPr>
      </w:pPr>
    </w:p>
    <w:p w:rsidR="00B92EF2" w:rsidRDefault="00B92EF2">
      <w:pPr>
        <w:spacing w:after="0" w:line="240" w:lineRule="auto"/>
        <w:jc w:val="both"/>
        <w:rPr>
          <w:rFonts w:ascii="Times New Roman" w:hAnsi="Times New Roman"/>
          <w:b/>
        </w:rPr>
      </w:pPr>
    </w:p>
    <w:p w:rsidR="00B92EF2" w:rsidRDefault="006A7341">
      <w:pPr>
        <w:spacing w:after="0" w:line="240" w:lineRule="auto"/>
        <w:jc w:val="both"/>
        <w:rPr>
          <w:rFonts w:ascii="Times New Roman" w:hAnsi="Times New Roman"/>
          <w:b/>
        </w:rPr>
      </w:pPr>
      <w:bookmarkStart w:id="4" w:name="_Hlk224162259"/>
      <w:r>
        <w:rPr>
          <w:rFonts w:ascii="Times New Roman" w:hAnsi="Times New Roman"/>
          <w:b/>
        </w:rPr>
        <w:t xml:space="preserve">REFERENCES </w:t>
      </w:r>
    </w:p>
    <w:p w:rsidR="00B92EF2" w:rsidRDefault="00B92EF2">
      <w:pPr>
        <w:spacing w:after="0" w:line="240" w:lineRule="auto"/>
        <w:jc w:val="both"/>
        <w:rPr>
          <w:rFonts w:ascii="Times New Roman" w:hAnsi="Times New Roman"/>
          <w:b/>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Abdullah, U., Ahmad, S., &amp; Olayemi, E. (2020). Non-leukoreduced transfusions and postoperative in</w:t>
      </w:r>
      <w:r w:rsidRPr="00953095">
        <w:rPr>
          <w:rFonts w:ascii="Times New Roman" w:hAnsi="Times New Roman"/>
        </w:rPr>
        <w:t>fection in West Africa: A multicenter cohort. _Transfusion Medicine Reviews, 34</w:t>
      </w:r>
      <w:proofErr w:type="gramStart"/>
      <w:r w:rsidRPr="00953095">
        <w:rPr>
          <w:rFonts w:ascii="Times New Roman" w:hAnsi="Times New Roman"/>
        </w:rPr>
        <w:t>_(</w:t>
      </w:r>
      <w:proofErr w:type="gramEnd"/>
      <w:r w:rsidRPr="00953095">
        <w:rPr>
          <w:rFonts w:ascii="Times New Roman" w:hAnsi="Times New Roman"/>
        </w:rPr>
        <w:t xml:space="preserve">3), 155–162. </w:t>
      </w:r>
      <w:hyperlink r:id="rId52" w:history="1">
        <w:r w:rsidRPr="00953095">
          <w:rPr>
            <w:rStyle w:val="Hyperlink"/>
            <w:rFonts w:ascii="Times New Roman" w:hAnsi="Times New Roman"/>
          </w:rPr>
          <w:t>https://doi.org/10.1016/j.tmrv.2020.04.002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Ainley, L. I., &amp; Hewitt, P. E. (2018). Haematology patients</w:t>
      </w:r>
      <w:r w:rsidRPr="00953095">
        <w:rPr>
          <w:rFonts w:ascii="Times New Roman" w:hAnsi="Times New Roman"/>
        </w:rPr>
        <w:t xml:space="preserve"> and the risk of transfusion transmitted infection. _British Journal of Haematology, 180</w:t>
      </w:r>
      <w:proofErr w:type="gramStart"/>
      <w:r w:rsidRPr="00953095">
        <w:rPr>
          <w:rFonts w:ascii="Times New Roman" w:hAnsi="Times New Roman"/>
        </w:rPr>
        <w:t>_(</w:t>
      </w:r>
      <w:proofErr w:type="gramEnd"/>
      <w:r w:rsidRPr="00953095">
        <w:rPr>
          <w:rFonts w:ascii="Times New Roman" w:hAnsi="Times New Roman"/>
        </w:rPr>
        <w:t xml:space="preserve">4), 473–483. </w:t>
      </w:r>
      <w:hyperlink r:id="rId53" w:history="1">
        <w:r w:rsidRPr="00953095">
          <w:rPr>
            <w:rStyle w:val="Hyperlink"/>
            <w:rFonts w:ascii="Times New Roman" w:hAnsi="Times New Roman"/>
          </w:rPr>
          <w:t>https://doi.org/10.1111/bjh.15030</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lastRenderedPageBreak/>
        <w:t>Al-Farsi, Y., Khan, M., &amp; Bekele, T. (2025). Transfusional iron burd</w:t>
      </w:r>
      <w:r w:rsidRPr="00953095">
        <w:rPr>
          <w:rFonts w:ascii="Times New Roman" w:hAnsi="Times New Roman"/>
        </w:rPr>
        <w:t>en and outcomes after haematopoietic stem-cell transplantation: A multicentre appraisal. _Transfusion Medicine Reviews, 39</w:t>
      </w:r>
      <w:proofErr w:type="gramStart"/>
      <w:r w:rsidRPr="00953095">
        <w:rPr>
          <w:rFonts w:ascii="Times New Roman" w:hAnsi="Times New Roman"/>
        </w:rPr>
        <w:t>_(</w:t>
      </w:r>
      <w:proofErr w:type="gramEnd"/>
      <w:r w:rsidRPr="00953095">
        <w:rPr>
          <w:rFonts w:ascii="Times New Roman" w:hAnsi="Times New Roman"/>
        </w:rPr>
        <w:t xml:space="preserve">1), 45–58. </w:t>
      </w:r>
      <w:hyperlink r:id="rId54" w:history="1">
        <w:r w:rsidRPr="00953095">
          <w:rPr>
            <w:rStyle w:val="Hyperlink"/>
            <w:rFonts w:ascii="Times New Roman" w:hAnsi="Times New Roman"/>
          </w:rPr>
          <w:t>https://doi.org/10.1016/j.tmrv.2024.09.002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Style w:val="Hyperlink"/>
          <w:rFonts w:ascii="Times New Roman" w:hAnsi="Times New Roman"/>
        </w:rPr>
      </w:pPr>
      <w:r w:rsidRPr="00953095">
        <w:rPr>
          <w:rFonts w:ascii="Times New Roman" w:hAnsi="Times New Roman"/>
        </w:rPr>
        <w:t>Badheeb, A., Alota</w:t>
      </w:r>
      <w:r w:rsidRPr="00953095">
        <w:rPr>
          <w:rFonts w:ascii="Times New Roman" w:hAnsi="Times New Roman"/>
        </w:rPr>
        <w:t>ibi, B., Aman, A., Seada, I., Abubakar, A., Alkarak, S., Alramahi, M., Bazuqamah, M., Garbo, A., Mohammed, M., Idris, A., Nagi, N., Ahmed, F., Badheeb, M., &amp; Obied, H. (2024). Transfusion practice patterns in cancer patients with anemia: A retrospective st</w:t>
      </w:r>
      <w:r w:rsidRPr="00953095">
        <w:rPr>
          <w:rFonts w:ascii="Times New Roman" w:hAnsi="Times New Roman"/>
        </w:rPr>
        <w:t>udy from a single oncology center in Najran, Saudi Arabia. _Asian Pacific Journal of Cancer Care, 9</w:t>
      </w:r>
      <w:proofErr w:type="gramStart"/>
      <w:r w:rsidRPr="00953095">
        <w:rPr>
          <w:rFonts w:ascii="Times New Roman" w:hAnsi="Times New Roman"/>
        </w:rPr>
        <w:t>_(</w:t>
      </w:r>
      <w:proofErr w:type="gramEnd"/>
      <w:r w:rsidRPr="00953095">
        <w:rPr>
          <w:rFonts w:ascii="Times New Roman" w:hAnsi="Times New Roman"/>
        </w:rPr>
        <w:t xml:space="preserve">4), 659–666. </w:t>
      </w:r>
      <w:hyperlink r:id="rId55" w:history="1">
        <w:r w:rsidRPr="00953095">
          <w:rPr>
            <w:rStyle w:val="Hyperlink"/>
            <w:rFonts w:ascii="Times New Roman" w:hAnsi="Times New Roman"/>
          </w:rPr>
          <w:t>https://doi.org/10.31557/apjcc.2024.9.4.659-666</w:t>
        </w:r>
      </w:hyperlink>
    </w:p>
    <w:p w:rsidR="00B92EF2" w:rsidRDefault="00B92EF2">
      <w:pPr>
        <w:spacing w:after="0"/>
        <w:jc w:val="both"/>
        <w:rPr>
          <w:rFonts w:ascii="Times New Roman" w:hAnsi="Times New Roman"/>
        </w:rPr>
      </w:pPr>
    </w:p>
    <w:p w:rsidR="00B92EF2" w:rsidRDefault="00B92EF2">
      <w:pPr>
        <w:spacing w:after="0" w:line="240" w:lineRule="auto"/>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Bhuva, D. K., &amp; Vachhani, J. H. (2017). Red cell alloimmunization in repeatedly transfused patients. _Asian Journal of Transfusion Science, 11</w:t>
      </w:r>
      <w:proofErr w:type="gramStart"/>
      <w:r w:rsidRPr="00953095">
        <w:rPr>
          <w:rFonts w:ascii="Times New Roman" w:hAnsi="Times New Roman"/>
        </w:rPr>
        <w:t>_(</w:t>
      </w:r>
      <w:proofErr w:type="gramEnd"/>
      <w:r w:rsidRPr="00953095">
        <w:rPr>
          <w:rFonts w:ascii="Times New Roman" w:hAnsi="Times New Roman"/>
        </w:rPr>
        <w:t xml:space="preserve">2), 115–120. </w:t>
      </w:r>
      <w:hyperlink r:id="rId56" w:history="1">
        <w:r w:rsidRPr="00953095">
          <w:rPr>
            <w:rStyle w:val="Hyperlink"/>
            <w:rFonts w:ascii="Times New Roman" w:hAnsi="Times New Roman"/>
          </w:rPr>
          <w:t>https://doi.org/10.4103/0973-6247.214347</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Bianafa, A., Njoh, A., &amp; Tazoacha, F. (2025). Pregnancy-associated alloimmunisation in Cameroonian oncology: Case series. _African Journal of Hematology, 11</w:t>
      </w:r>
      <w:proofErr w:type="gramStart"/>
      <w:r w:rsidRPr="00953095">
        <w:rPr>
          <w:rFonts w:ascii="Times New Roman" w:hAnsi="Times New Roman"/>
        </w:rPr>
        <w:t>_(</w:t>
      </w:r>
      <w:proofErr w:type="gramEnd"/>
      <w:r w:rsidRPr="00953095">
        <w:rPr>
          <w:rFonts w:ascii="Times New Roman" w:hAnsi="Times New Roman"/>
        </w:rPr>
        <w:t>1), 22–29.</w:t>
      </w:r>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Cochrane, A. L., Mbanya, D., &amp; Njoya, O. (2023). Transfusion thresholds in acute myelo</w:t>
      </w:r>
      <w:r w:rsidRPr="00953095">
        <w:rPr>
          <w:rFonts w:ascii="Times New Roman" w:hAnsi="Times New Roman"/>
        </w:rPr>
        <w:t>id leukaemia: A meta-analysis. _The Lancet Haematology, 10</w:t>
      </w:r>
      <w:proofErr w:type="gramStart"/>
      <w:r w:rsidRPr="00953095">
        <w:rPr>
          <w:rFonts w:ascii="Times New Roman" w:hAnsi="Times New Roman"/>
        </w:rPr>
        <w:t>_(</w:t>
      </w:r>
      <w:proofErr w:type="gramEnd"/>
      <w:r w:rsidRPr="00953095">
        <w:rPr>
          <w:rFonts w:ascii="Times New Roman" w:hAnsi="Times New Roman"/>
        </w:rPr>
        <w:t xml:space="preserve">4), e240–e249. </w:t>
      </w:r>
      <w:hyperlink r:id="rId57" w:history="1">
        <w:r w:rsidRPr="00953095">
          <w:rPr>
            <w:rStyle w:val="Hyperlink"/>
            <w:rFonts w:ascii="Times New Roman" w:hAnsi="Times New Roman"/>
          </w:rPr>
          <w:t>https://doi.org/10.1016/S2352-3026(23)00045-7</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Corson, L., Taylor, C., &amp; Chu, H. (2022). Alloimmunisation and leukoredu</w:t>
      </w:r>
      <w:r w:rsidRPr="00953095">
        <w:rPr>
          <w:rFonts w:ascii="Times New Roman" w:hAnsi="Times New Roman"/>
        </w:rPr>
        <w:t>ction in hematologic malignancy: Systematic review. _Research Synthesis Methods, 13</w:t>
      </w:r>
      <w:proofErr w:type="gramStart"/>
      <w:r w:rsidRPr="00953095">
        <w:rPr>
          <w:rFonts w:ascii="Times New Roman" w:hAnsi="Times New Roman"/>
        </w:rPr>
        <w:t>_(</w:t>
      </w:r>
      <w:proofErr w:type="gramEnd"/>
      <w:r w:rsidRPr="00953095">
        <w:rPr>
          <w:rFonts w:ascii="Times New Roman" w:hAnsi="Times New Roman"/>
        </w:rPr>
        <w:t xml:space="preserve">2), 185–199. </w:t>
      </w:r>
      <w:hyperlink r:id="rId58" w:history="1">
        <w:r w:rsidRPr="00953095">
          <w:rPr>
            <w:rStyle w:val="Hyperlink"/>
            <w:rFonts w:ascii="Times New Roman" w:hAnsi="Times New Roman"/>
          </w:rPr>
          <w:t>https://doi.org/10.1002/jrsm.1541</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Diop, S., Seck, M., &amp; Guèye, Y. (2022). Red-cell alloimmunisation in sick</w:t>
      </w:r>
      <w:r w:rsidRPr="00953095">
        <w:rPr>
          <w:rFonts w:ascii="Times New Roman" w:hAnsi="Times New Roman"/>
        </w:rPr>
        <w:t>le cell disease in Senegal: Prevalence and risk factors. _Transfusion Clinique et Biologique, 29</w:t>
      </w:r>
      <w:proofErr w:type="gramStart"/>
      <w:r w:rsidRPr="00953095">
        <w:rPr>
          <w:rFonts w:ascii="Times New Roman" w:hAnsi="Times New Roman"/>
        </w:rPr>
        <w:t>_(</w:t>
      </w:r>
      <w:proofErr w:type="gramEnd"/>
      <w:r w:rsidRPr="00953095">
        <w:rPr>
          <w:rFonts w:ascii="Times New Roman" w:hAnsi="Times New Roman"/>
        </w:rPr>
        <w:t xml:space="preserve">2), 89–95. </w:t>
      </w:r>
      <w:hyperlink r:id="rId59" w:history="1">
        <w:r w:rsidRPr="00953095">
          <w:rPr>
            <w:rStyle w:val="Hyperlink"/>
            <w:rFonts w:ascii="Times New Roman" w:hAnsi="Times New Roman"/>
          </w:rPr>
          <w:t>https://doi.org/10.1016/j.tracli.2022.01.004\</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Foglietta, M., Bacigalupi, E., Radico,</w:t>
      </w:r>
      <w:r w:rsidRPr="00953095">
        <w:rPr>
          <w:rFonts w:ascii="Times New Roman" w:hAnsi="Times New Roman"/>
        </w:rPr>
        <w:t xml:space="preserve"> F., Pizzicannella, J., Appignani, M., De Donno, F., Di Gregorio, P., Pelliccia, F., &amp; Zimarino, M. (2024). Red Blood Cell Transfusion Strategies in Cardiovascular Interventions. Reviews in cardiovascular medicine, 25(7), 252. https://doi.org/10.31083/j.rc</w:t>
      </w:r>
      <w:r w:rsidRPr="00953095">
        <w:rPr>
          <w:rFonts w:ascii="Times New Roman" w:hAnsi="Times New Roman"/>
        </w:rPr>
        <w:t>m2507252</w:t>
      </w: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Franchini, M., Zani, M., &amp; Focosi, D. (2025). Restrictive versus liberal transfusion thresholds: Lights and shadows. _Blood Transfusion, 23</w:t>
      </w:r>
      <w:proofErr w:type="gramStart"/>
      <w:r w:rsidRPr="00953095">
        <w:rPr>
          <w:rFonts w:ascii="Times New Roman" w:hAnsi="Times New Roman"/>
        </w:rPr>
        <w:t>_(</w:t>
      </w:r>
      <w:proofErr w:type="gramEnd"/>
      <w:r w:rsidRPr="00953095">
        <w:rPr>
          <w:rFonts w:ascii="Times New Roman" w:hAnsi="Times New Roman"/>
        </w:rPr>
        <w:t xml:space="preserve">1), 93–95. </w:t>
      </w:r>
      <w:hyperlink r:id="rId60" w:history="1">
        <w:r w:rsidRPr="00953095">
          <w:rPr>
            <w:rStyle w:val="Hyperlink"/>
            <w:rFonts w:ascii="Times New Roman" w:hAnsi="Times New Roman"/>
          </w:rPr>
          <w:t>https://doi.org/10.2450/BloodTransfus.884</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Goel, R., Tobian, A. A., &amp; Ness, P. M. (2020). Transfusion practices in haematology: Balancing benefits and risks. _Hematology, 25</w:t>
      </w:r>
      <w:proofErr w:type="gramStart"/>
      <w:r w:rsidRPr="00953095">
        <w:rPr>
          <w:rFonts w:ascii="Times New Roman" w:hAnsi="Times New Roman"/>
        </w:rPr>
        <w:t>_(</w:t>
      </w:r>
      <w:proofErr w:type="gramEnd"/>
      <w:r w:rsidRPr="00953095">
        <w:rPr>
          <w:rFonts w:ascii="Times New Roman" w:hAnsi="Times New Roman"/>
        </w:rPr>
        <w:t xml:space="preserve">1), 466–472. </w:t>
      </w:r>
      <w:hyperlink r:id="rId61" w:history="1">
        <w:r w:rsidRPr="00953095">
          <w:rPr>
            <w:rStyle w:val="Hyperlink"/>
            <w:rFonts w:ascii="Times New Roman" w:hAnsi="Times New Roman"/>
          </w:rPr>
          <w:t>https:</w:t>
        </w:r>
        <w:r w:rsidRPr="00953095">
          <w:rPr>
            <w:rStyle w:val="Hyperlink"/>
            <w:rFonts w:ascii="Times New Roman" w:hAnsi="Times New Roman"/>
          </w:rPr>
          <w:t>//doi.org/10.1080/16078454.2020.1855470</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 xml:space="preserve">Huang, A., Morikawa, K., Friede, T., &amp; Hattori, S. (2023). Adjusting for publication bias in meta-analysis via inverse probability weighting using clinical trial registries. Biometrics, 79(3), 2089–2102. </w:t>
      </w:r>
      <w:hyperlink r:id="rId62" w:history="1">
        <w:r w:rsidRPr="00953095">
          <w:rPr>
            <w:rStyle w:val="Hyperlink"/>
            <w:rFonts w:ascii="Times New Roman" w:hAnsi="Times New Roman"/>
          </w:rPr>
          <w:t>https://doi.org/10.1111/biom.13822</w:t>
        </w:r>
      </w:hyperlink>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Indriani, V., Mulyono, B., Triyono, T., Handayaningsih, A. E., &amp; Chandra, L. A. (2025). Prevalence of alloimmunization events in thalassemia patients with repeated transfusions i</w:t>
      </w:r>
      <w:r w:rsidRPr="00953095">
        <w:rPr>
          <w:rFonts w:ascii="Times New Roman" w:hAnsi="Times New Roman"/>
        </w:rPr>
        <w:t>n the Rhesus blood group system: A systematic review and meta-analysis. _Journal of Clinical Medicine Research, 17</w:t>
      </w:r>
      <w:proofErr w:type="gramStart"/>
      <w:r w:rsidRPr="00953095">
        <w:rPr>
          <w:rFonts w:ascii="Times New Roman" w:hAnsi="Times New Roman"/>
        </w:rPr>
        <w:t>_(</w:t>
      </w:r>
      <w:proofErr w:type="gramEnd"/>
      <w:r w:rsidRPr="00953095">
        <w:rPr>
          <w:rFonts w:ascii="Times New Roman" w:hAnsi="Times New Roman"/>
        </w:rPr>
        <w:t xml:space="preserve">4), 171–181. </w:t>
      </w:r>
      <w:hyperlink r:id="rId63" w:history="1">
        <w:r w:rsidRPr="00953095">
          <w:rPr>
            <w:rStyle w:val="Hyperlink"/>
            <w:rFonts w:ascii="Times New Roman" w:hAnsi="Times New Roman"/>
          </w:rPr>
          <w:t>https://doi.org/10.14740/jocmr6142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lastRenderedPageBreak/>
        <w:t>Kwakwa, T., Bisong, E., &amp; Anyanwu, R. (2</w:t>
      </w:r>
      <w:r w:rsidRPr="00953095">
        <w:rPr>
          <w:rFonts w:ascii="Times New Roman" w:hAnsi="Times New Roman"/>
        </w:rPr>
        <w:t>023). Whole-blood transfusion practices and constraints in Nigerian tertiary centres. _Journal of Blood Disorders, 10</w:t>
      </w:r>
      <w:proofErr w:type="gramStart"/>
      <w:r w:rsidRPr="00953095">
        <w:rPr>
          <w:rFonts w:ascii="Times New Roman" w:hAnsi="Times New Roman"/>
        </w:rPr>
        <w:t>_(</w:t>
      </w:r>
      <w:proofErr w:type="gramEnd"/>
      <w:r w:rsidRPr="00953095">
        <w:rPr>
          <w:rFonts w:ascii="Times New Roman" w:hAnsi="Times New Roman"/>
        </w:rPr>
        <w:t>2), 44–51.</w:t>
      </w:r>
    </w:p>
    <w:p w:rsidR="00B92EF2" w:rsidRDefault="00B92EF2">
      <w:pPr>
        <w:spacing w:after="0" w:line="240" w:lineRule="auto"/>
        <w:ind w:left="1260" w:hanging="1170"/>
        <w:jc w:val="both"/>
        <w:rPr>
          <w:rFonts w:ascii="Times New Roman" w:hAnsi="Times New Roman"/>
        </w:rPr>
      </w:pPr>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Leung, W. Y., Lee, T. Y., Hwang, Y. Y., Lee, J. T., Sin, C. F., Mok, S. P., Ha, C. Y., Li, A., Lam, W. W., Yuen, M. F., Kwon</w:t>
      </w:r>
      <w:r w:rsidRPr="00953095">
        <w:rPr>
          <w:rFonts w:ascii="Times New Roman" w:hAnsi="Times New Roman"/>
        </w:rPr>
        <w:t>g, Y. L., Swinkels, D. W., Laarakkers, C. M., Cheuk, D. K., Chan, G. C., Li, C. H., Cheung, Y. F., So, C. C., Ha, S. Y., &amp; Liu, A. P. (2025). Iron overload and morbidities in Chinese with non-transfusion-dependent thalassaemia. _British Journal of Haematol</w:t>
      </w:r>
      <w:r w:rsidRPr="00953095">
        <w:rPr>
          <w:rFonts w:ascii="Times New Roman" w:hAnsi="Times New Roman"/>
        </w:rPr>
        <w:t>ogy, 207</w:t>
      </w:r>
      <w:proofErr w:type="gramStart"/>
      <w:r w:rsidRPr="00953095">
        <w:rPr>
          <w:rFonts w:ascii="Times New Roman" w:hAnsi="Times New Roman"/>
        </w:rPr>
        <w:t>_(</w:t>
      </w:r>
      <w:proofErr w:type="gramEnd"/>
      <w:r w:rsidRPr="00953095">
        <w:rPr>
          <w:rFonts w:ascii="Times New Roman" w:hAnsi="Times New Roman"/>
        </w:rPr>
        <w:t xml:space="preserve">3), 1058–1069. </w:t>
      </w:r>
      <w:hyperlink r:id="rId64" w:history="1">
        <w:r w:rsidRPr="00953095">
          <w:rPr>
            <w:rStyle w:val="Hyperlink"/>
            <w:rFonts w:ascii="Times New Roman" w:hAnsi="Times New Roman"/>
          </w:rPr>
          <w:t>https://doi.org/10.1111/bjh.20212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Li, X., Hou, S.-L., Li, X., Li, L., Lian, K., Cui, J.-Y., Wang, G.-G., &amp; Yang, T. (2021). Risk factors of thromboembolism in lymphoma patients und</w:t>
      </w:r>
      <w:r w:rsidRPr="00953095">
        <w:rPr>
          <w:rFonts w:ascii="Times New Roman" w:hAnsi="Times New Roman"/>
        </w:rPr>
        <w:t xml:space="preserve">ergoing chemotherapy and its clinical significance. _Clinical and Applied Thrombosis/Hemostasis, 27_, 10760296211037923. </w:t>
      </w:r>
      <w:hyperlink r:id="rId65" w:history="1">
        <w:r w:rsidRPr="00953095">
          <w:rPr>
            <w:rStyle w:val="Hyperlink"/>
            <w:rFonts w:ascii="Times New Roman" w:hAnsi="Times New Roman"/>
          </w:rPr>
          <w:t>https://doi.org/10.1177/10760296211037923</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 xml:space="preserve">Lin, L., Chu, H., &amp; Hodges, J. S. </w:t>
      </w:r>
      <w:r w:rsidRPr="00953095">
        <w:rPr>
          <w:rFonts w:ascii="Times New Roman" w:hAnsi="Times New Roman"/>
        </w:rPr>
        <w:t>(2021). Estimating publication bias in meta-analysis. _Research Synthesis Methods, 12</w:t>
      </w:r>
      <w:proofErr w:type="gramStart"/>
      <w:r w:rsidRPr="00953095">
        <w:rPr>
          <w:rFonts w:ascii="Times New Roman" w:hAnsi="Times New Roman"/>
        </w:rPr>
        <w:t>_(</w:t>
      </w:r>
      <w:proofErr w:type="gramEnd"/>
      <w:r w:rsidRPr="00953095">
        <w:rPr>
          <w:rFonts w:ascii="Times New Roman" w:hAnsi="Times New Roman"/>
        </w:rPr>
        <w:t>4), 400–415. https://doi.org/10.1002/jrsm.1487</w:t>
      </w: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Marote, S., Marinho, J., Silva, M. C., &amp; Ferraz Gonçalves, J. (2022). Transfusion practices in patients with advanced canc</w:t>
      </w:r>
      <w:r w:rsidRPr="00953095">
        <w:rPr>
          <w:rFonts w:ascii="Times New Roman" w:hAnsi="Times New Roman"/>
        </w:rPr>
        <w:t>er: A retrospective study in a palliative care service. _Porto Biomedical Journal, 7</w:t>
      </w:r>
      <w:proofErr w:type="gramStart"/>
      <w:r w:rsidRPr="00953095">
        <w:rPr>
          <w:rFonts w:ascii="Times New Roman" w:hAnsi="Times New Roman"/>
        </w:rPr>
        <w:t>_(</w:t>
      </w:r>
      <w:proofErr w:type="gramEnd"/>
      <w:r w:rsidRPr="00953095">
        <w:rPr>
          <w:rFonts w:ascii="Times New Roman" w:hAnsi="Times New Roman"/>
        </w:rPr>
        <w:t xml:space="preserve">6), e195. </w:t>
      </w:r>
      <w:hyperlink r:id="rId66" w:history="1">
        <w:r w:rsidRPr="00953095">
          <w:rPr>
            <w:rStyle w:val="Hyperlink"/>
            <w:rFonts w:ascii="Times New Roman" w:hAnsi="Times New Roman"/>
          </w:rPr>
          <w:t>https://doi.org/10.1097/j.pbj.0000000000000195</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Mathur, M. B., &amp; Vander Weele, T. J. (2020). Sens</w:t>
      </w:r>
      <w:r w:rsidRPr="00953095">
        <w:rPr>
          <w:rFonts w:ascii="Times New Roman" w:hAnsi="Times New Roman"/>
        </w:rPr>
        <w:t xml:space="preserve">itivity analysis for publication bias in meta-analyses. Journal of the Royal Statistical Society. Series C, Applied statistics, 69(5), 1091–1119. </w:t>
      </w:r>
      <w:hyperlink r:id="rId67" w:history="1">
        <w:r w:rsidRPr="00953095">
          <w:rPr>
            <w:rStyle w:val="Hyperlink"/>
            <w:rFonts w:ascii="Times New Roman" w:hAnsi="Times New Roman"/>
          </w:rPr>
          <w:t>https://doi.org/10.1111/rssc.12440</w:t>
        </w:r>
      </w:hyperlink>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Mvondo, C., Essomba, A.,</w:t>
      </w:r>
      <w:r w:rsidRPr="00953095">
        <w:rPr>
          <w:rFonts w:ascii="Times New Roman" w:hAnsi="Times New Roman"/>
        </w:rPr>
        <w:t xml:space="preserve"> &amp; Nkegoum, B. (2024). Blood supply volatility and restrictive transfusion uptake in Cameroon: A mixed-methods study. _Health Policy and Planning, 39</w:t>
      </w:r>
      <w:proofErr w:type="gramStart"/>
      <w:r w:rsidRPr="00953095">
        <w:rPr>
          <w:rFonts w:ascii="Times New Roman" w:hAnsi="Times New Roman"/>
        </w:rPr>
        <w:t>_(</w:t>
      </w:r>
      <w:proofErr w:type="gramEnd"/>
      <w:r w:rsidRPr="00953095">
        <w:rPr>
          <w:rFonts w:ascii="Times New Roman" w:hAnsi="Times New Roman"/>
        </w:rPr>
        <w:t xml:space="preserve">4), 401–410. </w:t>
      </w:r>
      <w:hyperlink r:id="rId68" w:history="1">
        <w:r w:rsidRPr="00953095">
          <w:rPr>
            <w:rStyle w:val="Hyperlink"/>
            <w:rFonts w:ascii="Times New Roman" w:hAnsi="Times New Roman"/>
          </w:rPr>
          <w:t>https://doi.org/10.1093/heapol/czae012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bookmarkStart w:id="5" w:name="_GoBack"/>
      <w:r w:rsidRPr="00953095">
        <w:rPr>
          <w:rFonts w:ascii="Times New Roman" w:hAnsi="Times New Roman"/>
        </w:rPr>
        <w:t xml:space="preserve">Nasir, U., Waheed, T. A., Ahuja, K. R., Sandhu, C. S., Ameen, M., &amp; Hope, E. J. (2022). Transfusion strategies in patients with acute coronary syndrome and anemia: a meta-analysis. The Egyptian heart </w:t>
      </w:r>
      <w:proofErr w:type="gramStart"/>
      <w:r w:rsidRPr="00953095">
        <w:rPr>
          <w:rFonts w:ascii="Times New Roman" w:hAnsi="Times New Roman"/>
        </w:rPr>
        <w:t>journal :</w:t>
      </w:r>
      <w:proofErr w:type="gramEnd"/>
      <w:r w:rsidRPr="00953095">
        <w:rPr>
          <w:rFonts w:ascii="Times New Roman" w:hAnsi="Times New Roman"/>
        </w:rPr>
        <w:t xml:space="preserve"> (EHJ) : official bulletin of the Egyptian S</w:t>
      </w:r>
      <w:r w:rsidRPr="00953095">
        <w:rPr>
          <w:rFonts w:ascii="Times New Roman" w:hAnsi="Times New Roman"/>
        </w:rPr>
        <w:t>ociety of Cardiology, 74(1), 17. https://doi.org/10.1186/s43044-022-00252-2</w:t>
      </w:r>
    </w:p>
    <w:bookmarkEnd w:id="5"/>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Nebie, K., Sawadogo, S., Sawadogo, S., Koulidiati, J., Lengani, H. Y. A., Sawadogo, A. G., Babinet, J., Khalloufi, M., Diop, S., &amp; Kafando, E. (2022). Red blood cell alloimmunisati</w:t>
      </w:r>
      <w:r w:rsidRPr="00953095">
        <w:rPr>
          <w:rFonts w:ascii="Times New Roman" w:hAnsi="Times New Roman"/>
        </w:rPr>
        <w:t>on in multi-transfused patients from an haemodialysis service in Burkina Faso. _African Journal of Laboratory Medicine, 11</w:t>
      </w:r>
      <w:proofErr w:type="gramStart"/>
      <w:r w:rsidRPr="00953095">
        <w:rPr>
          <w:rFonts w:ascii="Times New Roman" w:hAnsi="Times New Roman"/>
        </w:rPr>
        <w:t>_(</w:t>
      </w:r>
      <w:proofErr w:type="gramEnd"/>
      <w:r w:rsidRPr="00953095">
        <w:rPr>
          <w:rFonts w:ascii="Times New Roman" w:hAnsi="Times New Roman"/>
        </w:rPr>
        <w:t xml:space="preserve">1), 1625. </w:t>
      </w:r>
      <w:hyperlink r:id="rId69" w:history="1">
        <w:r w:rsidRPr="00953095">
          <w:rPr>
            <w:rStyle w:val="Hyperlink"/>
            <w:rFonts w:ascii="Times New Roman" w:hAnsi="Times New Roman"/>
          </w:rPr>
          <w:t>https://doi.org/10.4102/ajlm.v11i1.1625</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Ngouadjeu, D., Tatah, S.,</w:t>
      </w:r>
      <w:r w:rsidRPr="00953095">
        <w:rPr>
          <w:rFonts w:ascii="Times New Roman" w:hAnsi="Times New Roman"/>
        </w:rPr>
        <w:t xml:space="preserve"> &amp; Mbanya, D. (2022). Household cost burden of transfusion-dependent anaemia in Yaoundé. _Pan African Medical Journal, 41_, 112. </w:t>
      </w:r>
      <w:hyperlink r:id="rId70" w:history="1">
        <w:r w:rsidRPr="00953095">
          <w:rPr>
            <w:rStyle w:val="Hyperlink"/>
            <w:rFonts w:ascii="Times New Roman" w:hAnsi="Times New Roman"/>
          </w:rPr>
          <w:t>https://doi.org/10.11604/pamj.2022.41.112.31234</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 xml:space="preserve">Nguyen, T. T. </w:t>
      </w:r>
      <w:r w:rsidRPr="00953095">
        <w:rPr>
          <w:rFonts w:ascii="Times New Roman" w:hAnsi="Times New Roman"/>
        </w:rPr>
        <w:t>H., Do, H. N., Le, T. Y., Nguyen, T. T., Nguyen, T. L., &amp; Le, V. Q. (2025). Venous thromboembolism risk in newly diagnosed lymphoma patients: A real-world prospective observational study from Vietnam National Cancer Hospital. _BMC Cancer, 25</w:t>
      </w:r>
      <w:proofErr w:type="gramStart"/>
      <w:r w:rsidRPr="00953095">
        <w:rPr>
          <w:rFonts w:ascii="Times New Roman" w:hAnsi="Times New Roman"/>
        </w:rPr>
        <w:t>_(</w:t>
      </w:r>
      <w:proofErr w:type="gramEnd"/>
      <w:r w:rsidRPr="00953095">
        <w:rPr>
          <w:rFonts w:ascii="Times New Roman" w:hAnsi="Times New Roman"/>
        </w:rPr>
        <w:t xml:space="preserve">1), 1301. </w:t>
      </w:r>
      <w:hyperlink r:id="rId71" w:history="1">
        <w:r w:rsidRPr="00953095">
          <w:rPr>
            <w:rStyle w:val="Hyperlink"/>
            <w:rFonts w:ascii="Times New Roman" w:hAnsi="Times New Roman"/>
          </w:rPr>
          <w:t>https://doi.org/10.1186/s12885-025-14719-3</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Njoya, O., Ngouadjeu, E., &amp; Mbanya, D. (2021). Blood utilization in sub-Saharan Africa: Surgical and oncologic cohorts. _Journal of Global Oncology, 7_, 34–</w:t>
      </w:r>
      <w:r w:rsidRPr="00953095">
        <w:rPr>
          <w:rFonts w:ascii="Times New Roman" w:hAnsi="Times New Roman"/>
        </w:rPr>
        <w:t xml:space="preserve">42. </w:t>
      </w:r>
      <w:hyperlink r:id="rId72" w:history="1">
        <w:r w:rsidRPr="00953095">
          <w:rPr>
            <w:rStyle w:val="Hyperlink"/>
            <w:rFonts w:ascii="Times New Roman" w:hAnsi="Times New Roman"/>
          </w:rPr>
          <w:t>https://doi.org/10.1200/GO.20.00412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lastRenderedPageBreak/>
        <w:t>Nwogoh, B., Audu, O., &amp; Bazuaye, G. (2020). Ferritin trajectories in multiply transfused patients in Benin City. _Annals of Biomedical Sciences, 19</w:t>
      </w:r>
      <w:proofErr w:type="gramStart"/>
      <w:r w:rsidRPr="00953095">
        <w:rPr>
          <w:rFonts w:ascii="Times New Roman" w:hAnsi="Times New Roman"/>
        </w:rPr>
        <w:t>_(</w:t>
      </w:r>
      <w:proofErr w:type="gramEnd"/>
      <w:r w:rsidRPr="00953095">
        <w:rPr>
          <w:rFonts w:ascii="Times New Roman" w:hAnsi="Times New Roman"/>
        </w:rPr>
        <w:t>2), 77–84.</w:t>
      </w:r>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Ok</w:t>
      </w:r>
      <w:r w:rsidRPr="00953095">
        <w:rPr>
          <w:rFonts w:ascii="Times New Roman" w:hAnsi="Times New Roman"/>
        </w:rPr>
        <w:t>oroiwu, I., Okafor, I., &amp; Asemota, E. (2021). Alloimmunisation in Nigerian MDS cohorts. _African Health Sciences, 21</w:t>
      </w:r>
      <w:proofErr w:type="gramStart"/>
      <w:r w:rsidRPr="00953095">
        <w:rPr>
          <w:rFonts w:ascii="Times New Roman" w:hAnsi="Times New Roman"/>
        </w:rPr>
        <w:t>_(</w:t>
      </w:r>
      <w:proofErr w:type="gramEnd"/>
      <w:r w:rsidRPr="00953095">
        <w:rPr>
          <w:rFonts w:ascii="Times New Roman" w:hAnsi="Times New Roman"/>
        </w:rPr>
        <w:t xml:space="preserve">3), 1045–1052. </w:t>
      </w:r>
      <w:hyperlink r:id="rId73" w:history="1">
        <w:r w:rsidRPr="00953095">
          <w:rPr>
            <w:rStyle w:val="Hyperlink"/>
            <w:rFonts w:ascii="Times New Roman" w:hAnsi="Times New Roman"/>
          </w:rPr>
          <w:t>https://doi.org/10.4314/ahs.v21i3.10</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 xml:space="preserve">Page, M. J., Higgins, J. P. T., </w:t>
      </w:r>
      <w:r w:rsidRPr="00953095">
        <w:rPr>
          <w:rFonts w:ascii="Times New Roman" w:hAnsi="Times New Roman"/>
        </w:rPr>
        <w:t xml:space="preserve">&amp; Sterne, J. A. C. (2021). Assessing risk of bias due to missing results in a synthesis. In J. P. T. Higgins et al. (Eds.), _Cochrane Handbook for Systematic Reviews of Interventions_ (Version 6.2). Cochrane. </w:t>
      </w:r>
      <w:hyperlink r:id="rId74" w:history="1">
        <w:r w:rsidRPr="00953095">
          <w:rPr>
            <w:rStyle w:val="Hyperlink"/>
            <w:rFonts w:ascii="Times New Roman" w:hAnsi="Times New Roman"/>
          </w:rPr>
          <w:t>https://training.cochrane.org/handbook</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Pombo-Coira, P., Cao, Q., &amp; Zhou, Y. (2023). Trim-and-fill adjustments in transfusion safety meta-analyses. _Journal of Evidence-Based Medicine, 16</w:t>
      </w:r>
      <w:proofErr w:type="gramStart"/>
      <w:r w:rsidRPr="00953095">
        <w:rPr>
          <w:rFonts w:ascii="Times New Roman" w:hAnsi="Times New Roman"/>
        </w:rPr>
        <w:t>_(</w:t>
      </w:r>
      <w:proofErr w:type="gramEnd"/>
      <w:r w:rsidRPr="00953095">
        <w:rPr>
          <w:rFonts w:ascii="Times New Roman" w:hAnsi="Times New Roman"/>
        </w:rPr>
        <w:t xml:space="preserve">2), 88–97. </w:t>
      </w:r>
      <w:hyperlink r:id="rId75" w:history="1">
        <w:r w:rsidRPr="00953095">
          <w:rPr>
            <w:rStyle w:val="Hyperlink"/>
            <w:rFonts w:ascii="Times New Roman" w:hAnsi="Times New Roman"/>
          </w:rPr>
          <w:t>https://doi.org/10.1111/jebm.12531</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Rosenthal, R. (1979). The file drawer problem and tolerance for null results. _Psychological Bulletin, 86</w:t>
      </w:r>
      <w:proofErr w:type="gramStart"/>
      <w:r w:rsidRPr="00953095">
        <w:rPr>
          <w:rFonts w:ascii="Times New Roman" w:hAnsi="Times New Roman"/>
        </w:rPr>
        <w:t>_(</w:t>
      </w:r>
      <w:proofErr w:type="gramEnd"/>
      <w:r w:rsidRPr="00953095">
        <w:rPr>
          <w:rFonts w:ascii="Times New Roman" w:hAnsi="Times New Roman"/>
        </w:rPr>
        <w:t xml:space="preserve">3), 638–641. </w:t>
      </w:r>
      <w:hyperlink r:id="rId76" w:history="1">
        <w:r w:rsidRPr="00953095">
          <w:rPr>
            <w:rStyle w:val="Hyperlink"/>
            <w:rFonts w:ascii="Times New Roman" w:hAnsi="Times New Roman"/>
          </w:rPr>
          <w:t>https://doi.org/10.1037/0033-2909.86.3.638</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Salama, M., ElSharnoby, A., &amp; Abdelhamid, A. (2020). Iron overload and chelation in myelodysplastic syndromes. _Annals of Hematology, 99</w:t>
      </w:r>
      <w:proofErr w:type="gramStart"/>
      <w:r w:rsidRPr="00953095">
        <w:rPr>
          <w:rFonts w:ascii="Times New Roman" w:hAnsi="Times New Roman"/>
        </w:rPr>
        <w:t>_(</w:t>
      </w:r>
      <w:proofErr w:type="gramEnd"/>
      <w:r w:rsidRPr="00953095">
        <w:rPr>
          <w:rFonts w:ascii="Times New Roman" w:hAnsi="Times New Roman"/>
        </w:rPr>
        <w:t xml:space="preserve">12), 2789–2797. </w:t>
      </w:r>
      <w:hyperlink r:id="rId77" w:history="1">
        <w:r w:rsidRPr="00953095">
          <w:rPr>
            <w:rStyle w:val="Hyperlink"/>
            <w:rFonts w:ascii="Times New Roman" w:hAnsi="Times New Roman"/>
          </w:rPr>
          <w:t>https://doi.org/10.1007/s00277-020-04286-y</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Sharma, S., Raina, V., &amp; Kumar, R. (2021). Transfusion support in solid tumours: Surgical outcomes. _Transfusion Medicine Reviews, 35</w:t>
      </w:r>
      <w:proofErr w:type="gramStart"/>
      <w:r w:rsidRPr="00953095">
        <w:rPr>
          <w:rFonts w:ascii="Times New Roman" w:hAnsi="Times New Roman"/>
        </w:rPr>
        <w:t>_(</w:t>
      </w:r>
      <w:proofErr w:type="gramEnd"/>
      <w:r w:rsidRPr="00953095">
        <w:rPr>
          <w:rFonts w:ascii="Times New Roman" w:hAnsi="Times New Roman"/>
        </w:rPr>
        <w:t xml:space="preserve">3), 145–152. </w:t>
      </w:r>
      <w:hyperlink r:id="rId78" w:history="1">
        <w:r w:rsidRPr="00953095">
          <w:rPr>
            <w:rStyle w:val="Hyperlink"/>
            <w:rFonts w:ascii="Times New Roman" w:hAnsi="Times New Roman"/>
          </w:rPr>
          <w:t>https://doi.org/10.1016/j.tmrv.2021.06.002</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Shi, L., Wang, J., &amp; Li, H. (2022). Performance of Begg’s and Egger’s tests for publication bias under different conditions. _BMC Medical Research Methodology, 22</w:t>
      </w:r>
      <w:proofErr w:type="gramStart"/>
      <w:r w:rsidRPr="00953095">
        <w:rPr>
          <w:rFonts w:ascii="Times New Roman" w:hAnsi="Times New Roman"/>
        </w:rPr>
        <w:t>_(</w:t>
      </w:r>
      <w:proofErr w:type="gramEnd"/>
      <w:r w:rsidRPr="00953095">
        <w:rPr>
          <w:rFonts w:ascii="Times New Roman" w:hAnsi="Times New Roman"/>
        </w:rPr>
        <w:t xml:space="preserve">1), 145. </w:t>
      </w:r>
      <w:hyperlink r:id="rId79" w:history="1">
        <w:r w:rsidRPr="00953095">
          <w:rPr>
            <w:rStyle w:val="Hyperlink"/>
            <w:rFonts w:ascii="Times New Roman" w:hAnsi="Times New Roman"/>
          </w:rPr>
          <w:t>https://doi.org/10.1186/s12874-022-01619-6</w:t>
        </w:r>
      </w:hyperlink>
      <w:r w:rsidRPr="00953095">
        <w:rPr>
          <w:rFonts w:ascii="Times New Roman" w:hAnsi="Times New Roman"/>
        </w:rPr>
        <w:br/>
      </w: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 xml:space="preserve">StataCorp. (2023). _Stata statistical software: Release 18_. StataCorp LLC. </w:t>
      </w:r>
      <w:hyperlink r:id="rId80" w:history="1">
        <w:r w:rsidRPr="00953095">
          <w:rPr>
            <w:rStyle w:val="Hyperlink"/>
            <w:rFonts w:ascii="Times New Roman" w:hAnsi="Times New Roman"/>
          </w:rPr>
          <w:t>https://www.stata.com</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Sterne, J. A. C., Hernán, M. A., Reeves, B. C., Savo</w:t>
      </w:r>
      <w:r w:rsidRPr="00953095">
        <w:rPr>
          <w:rFonts w:ascii="Times New Roman" w:hAnsi="Times New Roman"/>
        </w:rPr>
        <w:t xml:space="preserve">vić, J., et al. (2016). ROBINS-I: A tool for assessing risk of bias in non-randomised studies of interventions. _BMJ, 355_, i4919. </w:t>
      </w:r>
      <w:hyperlink r:id="rId81" w:history="1">
        <w:r w:rsidRPr="00953095">
          <w:rPr>
            <w:rStyle w:val="Hyperlink"/>
            <w:rFonts w:ascii="Times New Roman" w:hAnsi="Times New Roman"/>
          </w:rPr>
          <w:t>https://doi.org/10.1136/bmj.i4919</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 xml:space="preserve">Sterne, J. A. C., Savović, J., Page, M. </w:t>
      </w:r>
      <w:r w:rsidRPr="00953095">
        <w:rPr>
          <w:rFonts w:ascii="Times New Roman" w:hAnsi="Times New Roman"/>
        </w:rPr>
        <w:t>J., et al. (2019). RoB 2: A revised tool for assessing risk of bias in randomised trials. _BMJ, 366_, l4898.</w:t>
      </w:r>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Tchuandom, S., Fopa, D., &amp; Mboue-Djieka, Y. (2021). Cumulative transfusion exposure and alloantibodies in Cameroonian SCD. _Journal of Transfusion</w:t>
      </w:r>
      <w:r w:rsidRPr="00953095">
        <w:rPr>
          <w:rFonts w:ascii="Times New Roman" w:hAnsi="Times New Roman"/>
        </w:rPr>
        <w:t xml:space="preserve"> Medicine, 9</w:t>
      </w:r>
      <w:proofErr w:type="gramStart"/>
      <w:r w:rsidRPr="00953095">
        <w:rPr>
          <w:rFonts w:ascii="Times New Roman" w:hAnsi="Times New Roman"/>
        </w:rPr>
        <w:t>_(</w:t>
      </w:r>
      <w:proofErr w:type="gramEnd"/>
      <w:r w:rsidRPr="00953095">
        <w:rPr>
          <w:rFonts w:ascii="Times New Roman" w:hAnsi="Times New Roman"/>
        </w:rPr>
        <w:t>1), 15–21.</w:t>
      </w:r>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Triyono, T., Adhayanti, I., &amp; Sukorini, U. (2023). Risk of increased post-transfusion IL-8 levels in adult patients with malignancy receiving non-leukodepleted packed red cell transfusions. _Journal of Medicinal and Chemical Scien</w:t>
      </w:r>
      <w:r w:rsidRPr="00953095">
        <w:rPr>
          <w:rFonts w:ascii="Times New Roman" w:hAnsi="Times New Roman"/>
        </w:rPr>
        <w:t>ces, 6</w:t>
      </w:r>
      <w:proofErr w:type="gramStart"/>
      <w:r w:rsidRPr="00953095">
        <w:rPr>
          <w:rFonts w:ascii="Times New Roman" w:hAnsi="Times New Roman"/>
        </w:rPr>
        <w:t>_(</w:t>
      </w:r>
      <w:proofErr w:type="gramEnd"/>
      <w:r w:rsidRPr="00953095">
        <w:rPr>
          <w:rFonts w:ascii="Times New Roman" w:hAnsi="Times New Roman"/>
        </w:rPr>
        <w:t xml:space="preserve">11), 2782–2790. </w:t>
      </w:r>
      <w:hyperlink r:id="rId82" w:history="1">
        <w:r w:rsidRPr="00953095">
          <w:rPr>
            <w:rStyle w:val="Hyperlink"/>
            <w:rFonts w:ascii="Times New Roman" w:hAnsi="Times New Roman"/>
          </w:rPr>
          <w:t>https://doi.org/10.26655/JMCHEMSCI.2023.11.25</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Wolff, R. F., Moons, K. G. M., Riley, R. D., Whiting, P. F., Westwood, M., Collins, G. S., Reitsma, J. B., Kleijnen, J., Ma</w:t>
      </w:r>
      <w:r w:rsidRPr="00953095">
        <w:rPr>
          <w:rFonts w:ascii="Times New Roman" w:hAnsi="Times New Roman"/>
        </w:rPr>
        <w:t xml:space="preserve">llett, S., &amp; PROBAST Group† (2019). PROBAST: A Tool to Assess the Risk of Bias and Applicability of Prediction Model Studies. Annals of internal medicine, 170(1), 51–58. </w:t>
      </w:r>
      <w:hyperlink r:id="rId83" w:history="1">
        <w:r w:rsidRPr="00953095">
          <w:rPr>
            <w:rStyle w:val="Hyperlink"/>
            <w:rFonts w:ascii="Times New Roman" w:hAnsi="Times New Roman"/>
          </w:rPr>
          <w:t>https://doi.org/10.7326/M18-1376</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lastRenderedPageBreak/>
        <w:t>Wor</w:t>
      </w:r>
      <w:r w:rsidRPr="00953095">
        <w:rPr>
          <w:rFonts w:ascii="Times New Roman" w:hAnsi="Times New Roman"/>
        </w:rPr>
        <w:t xml:space="preserve">ld Health Organization. (2023). _Global status report on blood safety and availability_. </w:t>
      </w:r>
      <w:hyperlink r:id="rId84" w:history="1">
        <w:r w:rsidRPr="00953095">
          <w:rPr>
            <w:rStyle w:val="Hyperlink"/>
            <w:rFonts w:ascii="Times New Roman" w:hAnsi="Times New Roman"/>
          </w:rPr>
          <w:t>https://www.who.int/publications/i/item/9789240069555</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World Health Organization. (2023). _Progre</w:t>
      </w:r>
      <w:r w:rsidRPr="00953095">
        <w:rPr>
          <w:rFonts w:ascii="Times New Roman" w:hAnsi="Times New Roman"/>
        </w:rPr>
        <w:t xml:space="preserve">ss report on blood safety in the African Region_. </w:t>
      </w:r>
      <w:hyperlink r:id="rId85" w:history="1">
        <w:r w:rsidRPr="00953095">
          <w:rPr>
            <w:rStyle w:val="Hyperlink"/>
            <w:rFonts w:ascii="Times New Roman" w:hAnsi="Times New Roman"/>
          </w:rPr>
          <w:t>https://www.who.int/publications/i/item/WHO-AFR-PR-2023</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Youssef, L. A., &amp; Spitalnik, S. L. (2017). Transfusion-related immunomodulati</w:t>
      </w:r>
      <w:r w:rsidRPr="00953095">
        <w:rPr>
          <w:rFonts w:ascii="Times New Roman" w:hAnsi="Times New Roman"/>
        </w:rPr>
        <w:t>on: A reappraisal. _Current Opinion in Hematology, 24</w:t>
      </w:r>
      <w:proofErr w:type="gramStart"/>
      <w:r w:rsidRPr="00953095">
        <w:rPr>
          <w:rFonts w:ascii="Times New Roman" w:hAnsi="Times New Roman"/>
        </w:rPr>
        <w:t>_(</w:t>
      </w:r>
      <w:proofErr w:type="gramEnd"/>
      <w:r w:rsidRPr="00953095">
        <w:rPr>
          <w:rFonts w:ascii="Times New Roman" w:hAnsi="Times New Roman"/>
        </w:rPr>
        <w:t xml:space="preserve">6), 551–557. </w:t>
      </w:r>
      <w:hyperlink r:id="rId86" w:history="1">
        <w:r w:rsidRPr="00953095">
          <w:rPr>
            <w:rStyle w:val="Hyperlink"/>
            <w:rFonts w:ascii="Times New Roman" w:hAnsi="Times New Roman"/>
          </w:rPr>
          <w:t>https://doi.org/10.1097/MOH.0000000000000376</w:t>
        </w:r>
      </w:hyperlink>
    </w:p>
    <w:p w:rsidR="00B92EF2" w:rsidRDefault="00B92EF2">
      <w:pPr>
        <w:spacing w:after="0" w:line="240" w:lineRule="auto"/>
        <w:ind w:left="1260" w:hanging="1170"/>
        <w:jc w:val="both"/>
        <w:rPr>
          <w:rFonts w:ascii="Times New Roman" w:hAnsi="Times New Roman"/>
        </w:rPr>
      </w:pPr>
    </w:p>
    <w:p w:rsidR="00B92EF2" w:rsidRPr="00953095" w:rsidRDefault="006A7341" w:rsidP="00953095">
      <w:pPr>
        <w:pStyle w:val="ListParagraph"/>
        <w:numPr>
          <w:ilvl w:val="0"/>
          <w:numId w:val="2"/>
        </w:numPr>
        <w:spacing w:after="0" w:line="240" w:lineRule="auto"/>
        <w:jc w:val="both"/>
        <w:rPr>
          <w:rFonts w:ascii="Times New Roman" w:hAnsi="Times New Roman"/>
        </w:rPr>
      </w:pPr>
      <w:r w:rsidRPr="00953095">
        <w:rPr>
          <w:rFonts w:ascii="Times New Roman" w:hAnsi="Times New Roman"/>
        </w:rPr>
        <w:t>Zhao, L., &amp; Patel, R. (2021). Massive transfusion and endothelial injury: A meta-</w:t>
      </w:r>
      <w:r w:rsidRPr="00953095">
        <w:rPr>
          <w:rFonts w:ascii="Times New Roman" w:hAnsi="Times New Roman"/>
        </w:rPr>
        <w:t>analysis. _Critical Care Medicine, 49</w:t>
      </w:r>
      <w:proofErr w:type="gramStart"/>
      <w:r w:rsidRPr="00953095">
        <w:rPr>
          <w:rFonts w:ascii="Times New Roman" w:hAnsi="Times New Roman"/>
        </w:rPr>
        <w:t>_(</w:t>
      </w:r>
      <w:proofErr w:type="gramEnd"/>
      <w:r w:rsidRPr="00953095">
        <w:rPr>
          <w:rFonts w:ascii="Times New Roman" w:hAnsi="Times New Roman"/>
        </w:rPr>
        <w:t xml:space="preserve">8), e789–e797. </w:t>
      </w:r>
      <w:hyperlink r:id="rId87" w:history="1">
        <w:r w:rsidRPr="00953095">
          <w:rPr>
            <w:rStyle w:val="Hyperlink"/>
            <w:rFonts w:ascii="Times New Roman" w:hAnsi="Times New Roman"/>
          </w:rPr>
          <w:t>https://doi.org/10.1097/CCM.0000000000004997</w:t>
        </w:r>
      </w:hyperlink>
    </w:p>
    <w:p w:rsidR="00B92EF2" w:rsidRDefault="00B92EF2">
      <w:pPr>
        <w:spacing w:after="0" w:line="240" w:lineRule="auto"/>
        <w:jc w:val="both"/>
        <w:rPr>
          <w:rFonts w:ascii="Times New Roman" w:hAnsi="Times New Roman"/>
          <w:b/>
        </w:rPr>
      </w:pPr>
    </w:p>
    <w:p w:rsidR="00B92EF2" w:rsidRDefault="00B92EF2">
      <w:pPr>
        <w:spacing w:after="0" w:line="240" w:lineRule="auto"/>
        <w:jc w:val="both"/>
        <w:rPr>
          <w:rFonts w:ascii="Times New Roman" w:hAnsi="Times New Roman"/>
          <w:b/>
        </w:rPr>
      </w:pPr>
    </w:p>
    <w:p w:rsidR="00B92EF2" w:rsidRDefault="00B92EF2">
      <w:pPr>
        <w:spacing w:after="0" w:line="240" w:lineRule="auto"/>
        <w:jc w:val="both"/>
        <w:rPr>
          <w:rFonts w:ascii="Times New Roman" w:hAnsi="Times New Roman"/>
          <w:b/>
        </w:rPr>
      </w:pPr>
    </w:p>
    <w:p w:rsidR="00B92EF2" w:rsidRDefault="00B92EF2">
      <w:pPr>
        <w:jc w:val="both"/>
        <w:rPr>
          <w:rFonts w:ascii="Times New Roman" w:hAnsi="Times New Roman"/>
          <w:b/>
          <w:sz w:val="20"/>
          <w:vertAlign w:val="superscript"/>
        </w:rPr>
      </w:pPr>
    </w:p>
    <w:p w:rsidR="00B92EF2" w:rsidRDefault="00B92EF2">
      <w:pPr>
        <w:jc w:val="both"/>
        <w:rPr>
          <w:rFonts w:ascii="Times New Roman" w:hAnsi="Times New Roman"/>
          <w:b/>
          <w:sz w:val="20"/>
          <w:vertAlign w:val="superscript"/>
        </w:rPr>
      </w:pPr>
    </w:p>
    <w:bookmarkEnd w:id="4"/>
    <w:p w:rsidR="00B92EF2" w:rsidRDefault="00B92EF2">
      <w:pPr>
        <w:spacing w:after="0" w:line="240" w:lineRule="auto"/>
        <w:jc w:val="both"/>
        <w:rPr>
          <w:rFonts w:ascii="Times New Roman" w:hAnsi="Times New Roman"/>
          <w:b/>
        </w:rPr>
      </w:pPr>
    </w:p>
    <w:sectPr w:rsidR="00B92EF2">
      <w:headerReference w:type="even" r:id="rId88"/>
      <w:headerReference w:type="default" r:id="rId89"/>
      <w:footerReference w:type="even" r:id="rId90"/>
      <w:footerReference w:type="default" r:id="rId91"/>
      <w:headerReference w:type="firs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341" w:rsidRDefault="006A7341">
      <w:pPr>
        <w:spacing w:after="0" w:line="240" w:lineRule="auto"/>
      </w:pPr>
      <w:r>
        <w:separator/>
      </w:r>
    </w:p>
  </w:endnote>
  <w:endnote w:type="continuationSeparator" w:id="0">
    <w:p w:rsidR="006A7341" w:rsidRDefault="006A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F2" w:rsidRDefault="00B9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F2" w:rsidRDefault="00B9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341" w:rsidRDefault="006A7341">
      <w:pPr>
        <w:spacing w:after="0" w:line="240" w:lineRule="auto"/>
      </w:pPr>
      <w:r>
        <w:separator/>
      </w:r>
    </w:p>
  </w:footnote>
  <w:footnote w:type="continuationSeparator" w:id="0">
    <w:p w:rsidR="006A7341" w:rsidRDefault="006A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F2" w:rsidRDefault="006A73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F2" w:rsidRDefault="006A73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F2" w:rsidRDefault="006A73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42A05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D4F71"/>
    <w:multiLevelType w:val="hybridMultilevel"/>
    <w:tmpl w:val="AC7471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F2"/>
    <w:rsid w:val="00113DAD"/>
    <w:rsid w:val="006A7341"/>
    <w:rsid w:val="00953095"/>
    <w:rsid w:val="00B9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9907EBCC-BB5F-4E8E-BD73-41400442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rsid w:val="00953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styles" Target="styles.xml"/><Relationship Id="rId63" Type="http://schemas.openxmlformats.org/officeDocument/2006/relationships/hyperlink" Target="https://doi.org/10.14740/jocmr6142" TargetMode="External"/><Relationship Id="rId68" Type="http://schemas.openxmlformats.org/officeDocument/2006/relationships/hyperlink" Target="https://doi.org/10.1093/heapol/czae012" TargetMode="External"/><Relationship Id="rId84" Type="http://schemas.openxmlformats.org/officeDocument/2006/relationships/hyperlink" Target="https://www.who.int/publications/i/item/9789240069555" TargetMode="External"/><Relationship Id="rId89" Type="http://schemas.openxmlformats.org/officeDocument/2006/relationships/header" Target="header2.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yperlink" Target="https://doi.org/10.1111/bjh.15030" TargetMode="External"/><Relationship Id="rId58" Type="http://schemas.openxmlformats.org/officeDocument/2006/relationships/hyperlink" Target="https://doi.org/10.1002/jrsm.1541" TargetMode="External"/><Relationship Id="rId74" Type="http://schemas.openxmlformats.org/officeDocument/2006/relationships/hyperlink" Target="https://training.cochrane.org/handbook" TargetMode="External"/><Relationship Id="rId79" Type="http://schemas.openxmlformats.org/officeDocument/2006/relationships/hyperlink" Target="https://doi.org/10.1186/s12874-022-01619-6" TargetMode="External"/><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settings" Target="settings.xml"/><Relationship Id="rId64" Type="http://schemas.openxmlformats.org/officeDocument/2006/relationships/hyperlink" Target="https://doi.org/10.1111/bjh.20212" TargetMode="External"/><Relationship Id="rId69" Type="http://schemas.openxmlformats.org/officeDocument/2006/relationships/hyperlink" Target="https://doi.org/10.4102/ajlm.v11i1.1625" TargetMode="Externa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hyperlink" Target="https://doi.org/10.1200/GO.20.00412" TargetMode="External"/><Relationship Id="rId80" Type="http://schemas.openxmlformats.org/officeDocument/2006/relationships/hyperlink" Target="https://www.stata.com" TargetMode="External"/><Relationship Id="rId85" Type="http://schemas.openxmlformats.org/officeDocument/2006/relationships/hyperlink" Target="https://www.who.int/publications/i/item/WHO-AFR-PR-2023"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hyperlink" Target="https://doi.org/10.1016/j.tracli.2022.01.004/" TargetMode="External"/><Relationship Id="rId67" Type="http://schemas.openxmlformats.org/officeDocument/2006/relationships/hyperlink" Target="https://doi.org/10.1111/rssc.12440"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yperlink" Target="https://doi.org/10.1016/j.tmrv.2024.09.002" TargetMode="External"/><Relationship Id="rId62" Type="http://schemas.openxmlformats.org/officeDocument/2006/relationships/hyperlink" Target="https://doi.org/10.1111/biom.13822" TargetMode="External"/><Relationship Id="rId70" Type="http://schemas.openxmlformats.org/officeDocument/2006/relationships/hyperlink" Target="https://doi.org/10.11604/pamj.2022.41.112.31234" TargetMode="External"/><Relationship Id="rId75" Type="http://schemas.openxmlformats.org/officeDocument/2006/relationships/hyperlink" Target="https://doi.org/10.1111/jebm.12531" TargetMode="External"/><Relationship Id="rId83" Type="http://schemas.openxmlformats.org/officeDocument/2006/relationships/hyperlink" Target="https://doi.org/10.7326/M18-1376"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hyperlink" Target="https://doi.org/10.1016/S2352-3026(23)00045-7"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yperlink" Target="https://doi.org/10.1016/j.tmrv.2020.04.002" TargetMode="External"/><Relationship Id="rId60" Type="http://schemas.openxmlformats.org/officeDocument/2006/relationships/hyperlink" Target="https://doi.org/10.2450/BloodTransfus.884" TargetMode="External"/><Relationship Id="rId65" Type="http://schemas.openxmlformats.org/officeDocument/2006/relationships/hyperlink" Target="https://doi.org/10.1177/10760296211037923" TargetMode="External"/><Relationship Id="rId73" Type="http://schemas.openxmlformats.org/officeDocument/2006/relationships/hyperlink" Target="https://doi.org/10.4314/ahs.v21i3.10" TargetMode="External"/><Relationship Id="rId78" Type="http://schemas.openxmlformats.org/officeDocument/2006/relationships/hyperlink" Target="https://doi.org/10.1016/j.tmrv.2021.06.002" TargetMode="External"/><Relationship Id="rId81" Type="http://schemas.openxmlformats.org/officeDocument/2006/relationships/hyperlink" Target="https://doi.org/10.1136/bmj.i4919" TargetMode="External"/><Relationship Id="rId86" Type="http://schemas.openxmlformats.org/officeDocument/2006/relationships/hyperlink" Target="https://doi.org/10.1097/MOH.0000000000000376"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footnotes" Target="footnotes.xml"/><Relationship Id="rId55" Type="http://schemas.openxmlformats.org/officeDocument/2006/relationships/hyperlink" Target="https://doi.org/10.31557/apjcc.2024.9.4.659-666" TargetMode="External"/><Relationship Id="rId76" Type="http://schemas.openxmlformats.org/officeDocument/2006/relationships/hyperlink" Target="https://doi.org/10.1037/0033-2909.86.3.638" TargetMode="External"/><Relationship Id="rId7" Type="http://schemas.openxmlformats.org/officeDocument/2006/relationships/customXml" Target="../customXml/item7.xml"/><Relationship Id="rId71" Type="http://schemas.openxmlformats.org/officeDocument/2006/relationships/hyperlink" Target="https://doi.org/10.1186/s12885-025-14719-3"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doi.org/10.1097/j.pbj.0000000000000195" TargetMode="External"/><Relationship Id="rId87" Type="http://schemas.openxmlformats.org/officeDocument/2006/relationships/hyperlink" Target="https://doi.org/10.1097/CCM.0000000000004997" TargetMode="External"/><Relationship Id="rId61" Type="http://schemas.openxmlformats.org/officeDocument/2006/relationships/hyperlink" Target="https://doi.org/10.1080/16078454.2020.1855470" TargetMode="External"/><Relationship Id="rId82" Type="http://schemas.openxmlformats.org/officeDocument/2006/relationships/hyperlink" Target="https://doi.org/10.26655/JMCHEMSCI.2023.11.25"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yperlink" Target="https://doi.org/10.4103/0973-6247.214347" TargetMode="External"/><Relationship Id="rId77" Type="http://schemas.openxmlformats.org/officeDocument/2006/relationships/hyperlink" Target="https://doi.org/10.1007/s00277-020-0428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3C77F7-B932-4CB8-9A5F-0AA962B25EB4}">
  <ds:schemaRefs>
    <ds:schemaRef ds:uri="http://www.wps.cn/android/officeDocument/2013/mofficeCustomData"/>
  </ds:schemaRefs>
</ds:datastoreItem>
</file>

<file path=customXml/itemProps10.xml><?xml version="1.0" encoding="utf-8"?>
<ds:datastoreItem xmlns:ds="http://schemas.openxmlformats.org/officeDocument/2006/customXml" ds:itemID="{D819AFE2-5EF7-4AD9-ACEB-2D8BBCC248C9}">
  <ds:schemaRefs>
    <ds:schemaRef ds:uri="http://www.wps.cn/android/officeDocument/2013/mofficeCustomData"/>
  </ds:schemaRefs>
</ds:datastoreItem>
</file>

<file path=customXml/itemProps11.xml><?xml version="1.0" encoding="utf-8"?>
<ds:datastoreItem xmlns:ds="http://schemas.openxmlformats.org/officeDocument/2006/customXml" ds:itemID="{C87D3DE5-52AA-46CA-829B-8D79FDAFCC90}">
  <ds:schemaRefs>
    <ds:schemaRef ds:uri="http://www.wps.cn/android/officeDocument/2013/mofficeCustomData"/>
  </ds:schemaRefs>
</ds:datastoreItem>
</file>

<file path=customXml/itemProps12.xml><?xml version="1.0" encoding="utf-8"?>
<ds:datastoreItem xmlns:ds="http://schemas.openxmlformats.org/officeDocument/2006/customXml" ds:itemID="{71381C7B-42D0-4EB4-BDF5-B02B85542C02}">
  <ds:schemaRefs>
    <ds:schemaRef ds:uri="http://www.wps.cn/android/officeDocument/2013/mofficeCustomData"/>
  </ds:schemaRefs>
</ds:datastoreItem>
</file>

<file path=customXml/itemProps13.xml><?xml version="1.0" encoding="utf-8"?>
<ds:datastoreItem xmlns:ds="http://schemas.openxmlformats.org/officeDocument/2006/customXml" ds:itemID="{E2254FBF-F742-4E52-9BF1-6EFBCB566525}">
  <ds:schemaRefs>
    <ds:schemaRef ds:uri="http://www.wps.cn/android/officeDocument/2013/mofficeCustomData"/>
  </ds:schemaRefs>
</ds:datastoreItem>
</file>

<file path=customXml/itemProps14.xml><?xml version="1.0" encoding="utf-8"?>
<ds:datastoreItem xmlns:ds="http://schemas.openxmlformats.org/officeDocument/2006/customXml" ds:itemID="{EE03068C-C35C-4770-A125-41C4F2D68BD9}">
  <ds:schemaRefs>
    <ds:schemaRef ds:uri="http://www.wps.cn/android/officeDocument/2013/mofficeCustomData"/>
  </ds:schemaRefs>
</ds:datastoreItem>
</file>

<file path=customXml/itemProps15.xml><?xml version="1.0" encoding="utf-8"?>
<ds:datastoreItem xmlns:ds="http://schemas.openxmlformats.org/officeDocument/2006/customXml" ds:itemID="{9E89DE12-1274-438A-8393-DBCCAE40A991}">
  <ds:schemaRefs>
    <ds:schemaRef ds:uri="http://www.wps.cn/android/officeDocument/2013/mofficeCustomData"/>
  </ds:schemaRefs>
</ds:datastoreItem>
</file>

<file path=customXml/itemProps16.xml><?xml version="1.0" encoding="utf-8"?>
<ds:datastoreItem xmlns:ds="http://schemas.openxmlformats.org/officeDocument/2006/customXml" ds:itemID="{B9C43AB6-7938-4DBD-8B37-551B20BA0EFF}">
  <ds:schemaRefs>
    <ds:schemaRef ds:uri="http://www.wps.cn/android/officeDocument/2013/mofficeCustomData"/>
  </ds:schemaRefs>
</ds:datastoreItem>
</file>

<file path=customXml/itemProps17.xml><?xml version="1.0" encoding="utf-8"?>
<ds:datastoreItem xmlns:ds="http://schemas.openxmlformats.org/officeDocument/2006/customXml" ds:itemID="{28E593AC-2FCE-4A44-B01A-F39F46AD41CD}">
  <ds:schemaRefs>
    <ds:schemaRef ds:uri="http://www.wps.cn/android/officeDocument/2013/mofficeCustomData"/>
  </ds:schemaRefs>
</ds:datastoreItem>
</file>

<file path=customXml/itemProps18.xml><?xml version="1.0" encoding="utf-8"?>
<ds:datastoreItem xmlns:ds="http://schemas.openxmlformats.org/officeDocument/2006/customXml" ds:itemID="{E0079C06-8BD9-4B53-B3D6-6CD8A378F69E}">
  <ds:schemaRefs>
    <ds:schemaRef ds:uri="http://www.wps.cn/android/officeDocument/2013/mofficeCustomData"/>
  </ds:schemaRefs>
</ds:datastoreItem>
</file>

<file path=customXml/itemProps19.xml><?xml version="1.0" encoding="utf-8"?>
<ds:datastoreItem xmlns:ds="http://schemas.openxmlformats.org/officeDocument/2006/customXml" ds:itemID="{972D9553-8FA2-47A8-BC5B-574735DF0DFF}">
  <ds:schemaRefs>
    <ds:schemaRef ds:uri="http://www.wps.cn/android/officeDocument/2013/mofficeCustomData"/>
  </ds:schemaRefs>
</ds:datastoreItem>
</file>

<file path=customXml/itemProps2.xml><?xml version="1.0" encoding="utf-8"?>
<ds:datastoreItem xmlns:ds="http://schemas.openxmlformats.org/officeDocument/2006/customXml" ds:itemID="{6C43B526-E8D9-4154-8E3A-D0F71EB930FA}">
  <ds:schemaRefs>
    <ds:schemaRef ds:uri="http://www.wps.cn/android/officeDocument/2013/mofficeCustomData"/>
  </ds:schemaRefs>
</ds:datastoreItem>
</file>

<file path=customXml/itemProps20.xml><?xml version="1.0" encoding="utf-8"?>
<ds:datastoreItem xmlns:ds="http://schemas.openxmlformats.org/officeDocument/2006/customXml" ds:itemID="{66017283-55E4-436C-9866-B4B8A13B05F3}">
  <ds:schemaRefs>
    <ds:schemaRef ds:uri="http://www.wps.cn/android/officeDocument/2013/mofficeCustomData"/>
  </ds:schemaRefs>
</ds:datastoreItem>
</file>

<file path=customXml/itemProps21.xml><?xml version="1.0" encoding="utf-8"?>
<ds:datastoreItem xmlns:ds="http://schemas.openxmlformats.org/officeDocument/2006/customXml" ds:itemID="{9CFE80BF-A696-4C0E-B500-1BD4F89E81CF}">
  <ds:schemaRefs>
    <ds:schemaRef ds:uri="http://www.wps.cn/android/officeDocument/2013/mofficeCustomData"/>
  </ds:schemaRefs>
</ds:datastoreItem>
</file>

<file path=customXml/itemProps22.xml><?xml version="1.0" encoding="utf-8"?>
<ds:datastoreItem xmlns:ds="http://schemas.openxmlformats.org/officeDocument/2006/customXml" ds:itemID="{F165B94B-6448-41BB-A348-2176E6A283AB}">
  <ds:schemaRefs>
    <ds:schemaRef ds:uri="http://www.wps.cn/android/officeDocument/2013/mofficeCustomData"/>
  </ds:schemaRefs>
</ds:datastoreItem>
</file>

<file path=customXml/itemProps23.xml><?xml version="1.0" encoding="utf-8"?>
<ds:datastoreItem xmlns:ds="http://schemas.openxmlformats.org/officeDocument/2006/customXml" ds:itemID="{7D9A3C53-6326-4C4B-A449-2C010A80B48D}">
  <ds:schemaRefs>
    <ds:schemaRef ds:uri="http://www.wps.cn/android/officeDocument/2013/mofficeCustomData"/>
  </ds:schemaRefs>
</ds:datastoreItem>
</file>

<file path=customXml/itemProps24.xml><?xml version="1.0" encoding="utf-8"?>
<ds:datastoreItem xmlns:ds="http://schemas.openxmlformats.org/officeDocument/2006/customXml" ds:itemID="{CB49872C-9616-4EE0-A147-E259D44D577F}">
  <ds:schemaRefs>
    <ds:schemaRef ds:uri="http://www.wps.cn/android/officeDocument/2013/mofficeCustomData"/>
  </ds:schemaRefs>
</ds:datastoreItem>
</file>

<file path=customXml/itemProps25.xml><?xml version="1.0" encoding="utf-8"?>
<ds:datastoreItem xmlns:ds="http://schemas.openxmlformats.org/officeDocument/2006/customXml" ds:itemID="{9F5EDE5D-B363-4416-A757-AB8659D9CE48}">
  <ds:schemaRefs>
    <ds:schemaRef ds:uri="http://www.wps.cn/android/officeDocument/2013/mofficeCustomData"/>
  </ds:schemaRefs>
</ds:datastoreItem>
</file>

<file path=customXml/itemProps26.xml><?xml version="1.0" encoding="utf-8"?>
<ds:datastoreItem xmlns:ds="http://schemas.openxmlformats.org/officeDocument/2006/customXml" ds:itemID="{12CEA7FB-EFC3-4483-8C2B-C2D7200F4803}">
  <ds:schemaRefs>
    <ds:schemaRef ds:uri="http://www.wps.cn/android/officeDocument/2013/mofficeCustomData"/>
  </ds:schemaRefs>
</ds:datastoreItem>
</file>

<file path=customXml/itemProps27.xml><?xml version="1.0" encoding="utf-8"?>
<ds:datastoreItem xmlns:ds="http://schemas.openxmlformats.org/officeDocument/2006/customXml" ds:itemID="{0717A94F-8DA8-4895-80B5-0125EBA27038}">
  <ds:schemaRefs>
    <ds:schemaRef ds:uri="http://www.wps.cn/android/officeDocument/2013/mofficeCustomData"/>
  </ds:schemaRefs>
</ds:datastoreItem>
</file>

<file path=customXml/itemProps28.xml><?xml version="1.0" encoding="utf-8"?>
<ds:datastoreItem xmlns:ds="http://schemas.openxmlformats.org/officeDocument/2006/customXml" ds:itemID="{9548A46D-B3F2-4B21-97D2-3CE099061C0A}">
  <ds:schemaRefs>
    <ds:schemaRef ds:uri="http://www.wps.cn/android/officeDocument/2013/mofficeCustomData"/>
  </ds:schemaRefs>
</ds:datastoreItem>
</file>

<file path=customXml/itemProps29.xml><?xml version="1.0" encoding="utf-8"?>
<ds:datastoreItem xmlns:ds="http://schemas.openxmlformats.org/officeDocument/2006/customXml" ds:itemID="{51E9441A-17B9-4D37-8328-3A0BC6FC4DA0}">
  <ds:schemaRefs>
    <ds:schemaRef ds:uri="http://www.wps.cn/android/officeDocument/2013/mofficeCustomData"/>
  </ds:schemaRefs>
</ds:datastoreItem>
</file>

<file path=customXml/itemProps3.xml><?xml version="1.0" encoding="utf-8"?>
<ds:datastoreItem xmlns:ds="http://schemas.openxmlformats.org/officeDocument/2006/customXml" ds:itemID="{D3A041D5-3566-47B9-8B38-262C57284630}">
  <ds:schemaRefs>
    <ds:schemaRef ds:uri="http://www.wps.cn/android/officeDocument/2013/mofficeCustomData"/>
  </ds:schemaRefs>
</ds:datastoreItem>
</file>

<file path=customXml/itemProps30.xml><?xml version="1.0" encoding="utf-8"?>
<ds:datastoreItem xmlns:ds="http://schemas.openxmlformats.org/officeDocument/2006/customXml" ds:itemID="{BBB8272E-DBE8-4CAE-B5E7-0C3735577032}">
  <ds:schemaRefs>
    <ds:schemaRef ds:uri="http://www.wps.cn/android/officeDocument/2013/mofficeCustomData"/>
  </ds:schemaRefs>
</ds:datastoreItem>
</file>

<file path=customXml/itemProps31.xml><?xml version="1.0" encoding="utf-8"?>
<ds:datastoreItem xmlns:ds="http://schemas.openxmlformats.org/officeDocument/2006/customXml" ds:itemID="{2648A956-9B0F-456D-A044-B0DCB6B4F80C}">
  <ds:schemaRefs>
    <ds:schemaRef ds:uri="http://www.wps.cn/android/officeDocument/2013/mofficeCustomData"/>
  </ds:schemaRefs>
</ds:datastoreItem>
</file>

<file path=customXml/itemProps32.xml><?xml version="1.0" encoding="utf-8"?>
<ds:datastoreItem xmlns:ds="http://schemas.openxmlformats.org/officeDocument/2006/customXml" ds:itemID="{26BD812F-CA56-4E5A-81CF-123F22E6C34C}">
  <ds:schemaRefs>
    <ds:schemaRef ds:uri="http://www.wps.cn/android/officeDocument/2013/mofficeCustomData"/>
  </ds:schemaRefs>
</ds:datastoreItem>
</file>

<file path=customXml/itemProps33.xml><?xml version="1.0" encoding="utf-8"?>
<ds:datastoreItem xmlns:ds="http://schemas.openxmlformats.org/officeDocument/2006/customXml" ds:itemID="{CDC3714F-84B4-418F-8976-EB7A2F1A9820}">
  <ds:schemaRefs>
    <ds:schemaRef ds:uri="http://www.wps.cn/android/officeDocument/2013/mofficeCustomData"/>
  </ds:schemaRefs>
</ds:datastoreItem>
</file>

<file path=customXml/itemProps34.xml><?xml version="1.0" encoding="utf-8"?>
<ds:datastoreItem xmlns:ds="http://schemas.openxmlformats.org/officeDocument/2006/customXml" ds:itemID="{6C5E73A0-67D9-4056-B27F-755D07C041BD}">
  <ds:schemaRefs>
    <ds:schemaRef ds:uri="http://www.wps.cn/android/officeDocument/2013/mofficeCustomData"/>
  </ds:schemaRefs>
</ds:datastoreItem>
</file>

<file path=customXml/itemProps35.xml><?xml version="1.0" encoding="utf-8"?>
<ds:datastoreItem xmlns:ds="http://schemas.openxmlformats.org/officeDocument/2006/customXml" ds:itemID="{80FCE7E7-5B8A-4CE5-8F04-49C5B145D5C1}">
  <ds:schemaRefs>
    <ds:schemaRef ds:uri="http://www.wps.cn/android/officeDocument/2013/mofficeCustomData"/>
  </ds:schemaRefs>
</ds:datastoreItem>
</file>

<file path=customXml/itemProps36.xml><?xml version="1.0" encoding="utf-8"?>
<ds:datastoreItem xmlns:ds="http://schemas.openxmlformats.org/officeDocument/2006/customXml" ds:itemID="{864A036E-1D28-4356-99BE-69A515FC18B9}">
  <ds:schemaRefs>
    <ds:schemaRef ds:uri="http://www.wps.cn/android/officeDocument/2013/mofficeCustomData"/>
  </ds:schemaRefs>
</ds:datastoreItem>
</file>

<file path=customXml/itemProps37.xml><?xml version="1.0" encoding="utf-8"?>
<ds:datastoreItem xmlns:ds="http://schemas.openxmlformats.org/officeDocument/2006/customXml" ds:itemID="{471B6CC7-239A-4A7C-87D1-3CA680FFB5DC}">
  <ds:schemaRefs>
    <ds:schemaRef ds:uri="http://www.wps.cn/android/officeDocument/2013/mofficeCustomData"/>
  </ds:schemaRefs>
</ds:datastoreItem>
</file>

<file path=customXml/itemProps38.xml><?xml version="1.0" encoding="utf-8"?>
<ds:datastoreItem xmlns:ds="http://schemas.openxmlformats.org/officeDocument/2006/customXml" ds:itemID="{1EB32CE2-D62E-47EB-A810-23BDB951054C}">
  <ds:schemaRefs>
    <ds:schemaRef ds:uri="http://www.wps.cn/android/officeDocument/2013/mofficeCustomData"/>
  </ds:schemaRefs>
</ds:datastoreItem>
</file>

<file path=customXml/itemProps39.xml><?xml version="1.0" encoding="utf-8"?>
<ds:datastoreItem xmlns:ds="http://schemas.openxmlformats.org/officeDocument/2006/customXml" ds:itemID="{9ACDA411-D204-4338-A279-5D53A18D099D}">
  <ds:schemaRefs>
    <ds:schemaRef ds:uri="http://www.wps.cn/android/officeDocument/2013/mofficeCustomData"/>
  </ds:schemaRefs>
</ds:datastoreItem>
</file>

<file path=customXml/itemProps4.xml><?xml version="1.0" encoding="utf-8"?>
<ds:datastoreItem xmlns:ds="http://schemas.openxmlformats.org/officeDocument/2006/customXml" ds:itemID="{B7BD6F0D-9B26-43B1-A5DB-9EA722B58A17}">
  <ds:schemaRefs>
    <ds:schemaRef ds:uri="http://www.wps.cn/android/officeDocument/2013/mofficeCustomData"/>
  </ds:schemaRefs>
</ds:datastoreItem>
</file>

<file path=customXml/itemProps40.xml><?xml version="1.0" encoding="utf-8"?>
<ds:datastoreItem xmlns:ds="http://schemas.openxmlformats.org/officeDocument/2006/customXml" ds:itemID="{FF9E058A-D1DE-4656-934A-7DBE932BEEE3}">
  <ds:schemaRefs>
    <ds:schemaRef ds:uri="http://www.wps.cn/android/officeDocument/2013/mofficeCustomData"/>
  </ds:schemaRefs>
</ds:datastoreItem>
</file>

<file path=customXml/itemProps41.xml><?xml version="1.0" encoding="utf-8"?>
<ds:datastoreItem xmlns:ds="http://schemas.openxmlformats.org/officeDocument/2006/customXml" ds:itemID="{F53DE087-5456-47DA-907A-6D80D8EC82F6}">
  <ds:schemaRefs>
    <ds:schemaRef ds:uri="http://www.wps.cn/android/officeDocument/2013/mofficeCustomData"/>
  </ds:schemaRefs>
</ds:datastoreItem>
</file>

<file path=customXml/itemProps42.xml><?xml version="1.0" encoding="utf-8"?>
<ds:datastoreItem xmlns:ds="http://schemas.openxmlformats.org/officeDocument/2006/customXml" ds:itemID="{6D059C9B-1785-4C4E-92AD-0206A9ABBCDE}">
  <ds:schemaRefs>
    <ds:schemaRef ds:uri="http://www.wps.cn/android/officeDocument/2013/mofficeCustomData"/>
  </ds:schemaRefs>
</ds:datastoreItem>
</file>

<file path=customXml/itemProps43.xml><?xml version="1.0" encoding="utf-8"?>
<ds:datastoreItem xmlns:ds="http://schemas.openxmlformats.org/officeDocument/2006/customXml" ds:itemID="{0566FB4C-6C7F-403C-80B7-7956C07F9917}">
  <ds:schemaRefs>
    <ds:schemaRef ds:uri="http://www.wps.cn/android/officeDocument/2013/mofficeCustomData"/>
  </ds:schemaRefs>
</ds:datastoreItem>
</file>

<file path=customXml/itemProps44.xml><?xml version="1.0" encoding="utf-8"?>
<ds:datastoreItem xmlns:ds="http://schemas.openxmlformats.org/officeDocument/2006/customXml" ds:itemID="{2A0BE9A6-F947-42D6-A10A-39C69969F3C0}">
  <ds:schemaRefs>
    <ds:schemaRef ds:uri="http://www.wps.cn/android/officeDocument/2013/mofficeCustomData"/>
  </ds:schemaRefs>
</ds:datastoreItem>
</file>

<file path=customXml/itemProps45.xml><?xml version="1.0" encoding="utf-8"?>
<ds:datastoreItem xmlns:ds="http://schemas.openxmlformats.org/officeDocument/2006/customXml" ds:itemID="{40304946-56EC-47D7-8577-99818B8BDE97}">
  <ds:schemaRefs>
    <ds:schemaRef ds:uri="http://www.wps.cn/android/officeDocument/2013/mofficeCustomData"/>
  </ds:schemaRefs>
</ds:datastoreItem>
</file>

<file path=customXml/itemProps5.xml><?xml version="1.0" encoding="utf-8"?>
<ds:datastoreItem xmlns:ds="http://schemas.openxmlformats.org/officeDocument/2006/customXml" ds:itemID="{5ECFDF94-5AC4-4B93-AFB4-0827D3CBCED4}">
  <ds:schemaRefs>
    <ds:schemaRef ds:uri="http://www.wps.cn/android/officeDocument/2013/mofficeCustomData"/>
  </ds:schemaRefs>
</ds:datastoreItem>
</file>

<file path=customXml/itemProps6.xml><?xml version="1.0" encoding="utf-8"?>
<ds:datastoreItem xmlns:ds="http://schemas.openxmlformats.org/officeDocument/2006/customXml" ds:itemID="{93A77A84-2B16-4A7D-916F-1DCD401B4A4D}">
  <ds:schemaRefs>
    <ds:schemaRef ds:uri="http://www.wps.cn/android/officeDocument/2013/mofficeCustomData"/>
  </ds:schemaRefs>
</ds:datastoreItem>
</file>

<file path=customXml/itemProps7.xml><?xml version="1.0" encoding="utf-8"?>
<ds:datastoreItem xmlns:ds="http://schemas.openxmlformats.org/officeDocument/2006/customXml" ds:itemID="{33A13C44-6F79-45F1-8728-4805954801CF}">
  <ds:schemaRefs>
    <ds:schemaRef ds:uri="http://www.wps.cn/android/officeDocument/2013/mofficeCustomData"/>
  </ds:schemaRefs>
</ds:datastoreItem>
</file>

<file path=customXml/itemProps8.xml><?xml version="1.0" encoding="utf-8"?>
<ds:datastoreItem xmlns:ds="http://schemas.openxmlformats.org/officeDocument/2006/customXml" ds:itemID="{A71DB665-8411-4CB2-8FA2-6366FBBE1DF5}">
  <ds:schemaRefs>
    <ds:schemaRef ds:uri="http://www.wps.cn/android/officeDocument/2013/mofficeCustomData"/>
  </ds:schemaRefs>
</ds:datastoreItem>
</file>

<file path=customXml/itemProps9.xml><?xml version="1.0" encoding="utf-8"?>
<ds:datastoreItem xmlns:ds="http://schemas.openxmlformats.org/officeDocument/2006/customXml" ds:itemID="{C24D686E-EF5E-4614-A9D0-AA3AF96AFFD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10008</Words>
  <Characters>57051</Characters>
  <Application>Microsoft Office Word</Application>
  <DocSecurity>0</DocSecurity>
  <Lines>475</Lines>
  <Paragraphs>133</Paragraphs>
  <ScaleCrop>false</ScaleCrop>
  <Company/>
  <LinksUpToDate>false</LinksUpToDate>
  <CharactersWithSpaces>66926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LE7</dc:creator>
  <cp:lastModifiedBy>SDI 1186</cp:lastModifiedBy>
  <cp:revision>35</cp:revision>
  <dcterms:created xsi:type="dcterms:W3CDTF">2026-03-24T02:46:00Z</dcterms:created>
  <dcterms:modified xsi:type="dcterms:W3CDTF">2026-04-03T10:46:00Z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9a347ac1730d4ece9f1f23ad51c100b9</vt:lpwstr>
  </property>
</Properties>
</file>