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27A88" w14:textId="77777777" w:rsidR="00CB4F5F" w:rsidRPr="00CB4F5F" w:rsidRDefault="00CB4F5F" w:rsidP="00CB4F5F">
      <w:pPr>
        <w:spacing w:after="240" w:line="288" w:lineRule="auto"/>
        <w:jc w:val="center"/>
        <w:rPr>
          <w:b/>
          <w:bCs/>
          <w:i/>
          <w:iCs/>
          <w:sz w:val="32"/>
          <w:u w:val="single"/>
        </w:rPr>
      </w:pPr>
      <w:r w:rsidRPr="00CB4F5F">
        <w:rPr>
          <w:b/>
          <w:bCs/>
          <w:i/>
          <w:iCs/>
          <w:sz w:val="32"/>
          <w:u w:val="single"/>
        </w:rPr>
        <w:t>Review Article</w:t>
      </w:r>
    </w:p>
    <w:p w14:paraId="37C24FB4" w14:textId="77777777" w:rsidR="005F6B50" w:rsidRDefault="00693C4D">
      <w:pPr>
        <w:spacing w:after="240" w:line="288" w:lineRule="auto"/>
        <w:jc w:val="center"/>
      </w:pPr>
      <w:r>
        <w:rPr>
          <w:b/>
          <w:sz w:val="32"/>
        </w:rPr>
        <w:t xml:space="preserve">Harnessing </w:t>
      </w:r>
      <w:proofErr w:type="spellStart"/>
      <w:r>
        <w:rPr>
          <w:b/>
          <w:sz w:val="32"/>
        </w:rPr>
        <w:t>Jasmonic</w:t>
      </w:r>
      <w:proofErr w:type="spellEnd"/>
      <w:r>
        <w:rPr>
          <w:b/>
          <w:sz w:val="32"/>
        </w:rPr>
        <w:t xml:space="preserve"> Acid for Sustainable Agriculture and Horticulture: A Comprehensive Review</w:t>
      </w:r>
    </w:p>
    <w:p w14:paraId="34786F4D" w14:textId="77777777" w:rsidR="005F6B50" w:rsidRDefault="00693C4D">
      <w:pPr>
        <w:pStyle w:val="Heading1"/>
        <w:spacing w:before="120" w:after="120" w:line="240" w:lineRule="auto"/>
      </w:pPr>
      <w:r>
        <w:t>Abstract</w:t>
      </w:r>
    </w:p>
    <w:p w14:paraId="0B52BEAF" w14:textId="75B6512C" w:rsidR="005F6B50" w:rsidRDefault="00E63AC8">
      <w:pPr>
        <w:spacing w:after="120"/>
        <w:jc w:val="both"/>
      </w:pPr>
      <w:r w:rsidRPr="00E33359">
        <w:rPr>
          <w:rFonts w:ascii="Arial" w:hAnsi="Arial" w:cs="Arial"/>
          <w:color w:val="000000"/>
          <w:sz w:val="22"/>
          <w:highlight w:val="yellow"/>
          <w:shd w:val="clear" w:color="auto" w:fill="FFFFFF"/>
        </w:rPr>
        <w:t>Phytohormones, pivotal regulators of plant growth and development, are increasingly recognized for their multifaceted roles in enhancing crop resilience against environmental stresses.</w:t>
      </w:r>
      <w:r w:rsidRPr="00E33359">
        <w:rPr>
          <w:sz w:val="22"/>
        </w:rPr>
        <w:t xml:space="preserve"> </w:t>
      </w:r>
      <w:proofErr w:type="spellStart"/>
      <w:r w:rsidR="00693C4D">
        <w:t>Jasmonic</w:t>
      </w:r>
      <w:proofErr w:type="spellEnd"/>
      <w:r w:rsidR="00693C4D">
        <w:t xml:space="preserve"> acid (JA) and allied </w:t>
      </w:r>
      <w:proofErr w:type="spellStart"/>
      <w:r w:rsidR="00693C4D">
        <w:t>jasmonates</w:t>
      </w:r>
      <w:proofErr w:type="spellEnd"/>
      <w:r w:rsidR="00693C4D">
        <w:t xml:space="preserve"> have moved from being regarded chiefly as wound hormones to being understood as central coordinators of plant </w:t>
      </w:r>
      <w:proofErr w:type="spellStart"/>
      <w:r w:rsidR="00693C4D">
        <w:t>defence</w:t>
      </w:r>
      <w:proofErr w:type="spellEnd"/>
      <w:r w:rsidR="00693C4D">
        <w:t xml:space="preserve">, development, metabolic reprogramming and environmental adaptation. This repositioning is highly relevant to sustainable agriculture and horticulture because crop production now requires lower external inputs, improved stress resilience, tighter postharvest management and </w:t>
      </w:r>
      <w:proofErr w:type="gramStart"/>
      <w:r w:rsidR="00693C4D">
        <w:t>better quality</w:t>
      </w:r>
      <w:proofErr w:type="gramEnd"/>
      <w:r w:rsidR="00693C4D">
        <w:t xml:space="preserve"> retent</w:t>
      </w:r>
      <w:bookmarkStart w:id="0" w:name="_GoBack"/>
      <w:bookmarkEnd w:id="0"/>
      <w:r w:rsidR="00693C4D">
        <w:t xml:space="preserve">ion across complex supply chains. This review </w:t>
      </w:r>
      <w:proofErr w:type="spellStart"/>
      <w:r w:rsidR="00693C4D">
        <w:t>synthesises</w:t>
      </w:r>
      <w:proofErr w:type="spellEnd"/>
      <w:r w:rsidR="00693C4D">
        <w:t xml:space="preserve"> current knowledge on JA biosynthesis, perception and </w:t>
      </w:r>
      <w:proofErr w:type="spellStart"/>
      <w:r w:rsidR="00693C4D">
        <w:t>signalling</w:t>
      </w:r>
      <w:proofErr w:type="spellEnd"/>
      <w:r w:rsidR="00693C4D">
        <w:t xml:space="preserve">, with emphasis on how the COI1-JAZ-MYC regulatory module integrates cues from pathogens, herbivores, nutrient status, light and temperature. Particular attention is given to the dual agronomic identity of </w:t>
      </w:r>
      <w:proofErr w:type="spellStart"/>
      <w:r w:rsidR="00693C4D">
        <w:t>jasmonates</w:t>
      </w:r>
      <w:proofErr w:type="spellEnd"/>
      <w:r w:rsidR="00693C4D">
        <w:t xml:space="preserve">: endogenous signals that can be tuned through breeding and biotechnology, and exogenous elicitors that can be applied before harvest or after harvest to prime resistance and improve quality. The evidence shows that </w:t>
      </w:r>
      <w:proofErr w:type="spellStart"/>
      <w:r w:rsidR="00693C4D">
        <w:t>jasmonates</w:t>
      </w:r>
      <w:proofErr w:type="spellEnd"/>
      <w:r w:rsidR="00693C4D">
        <w:t xml:space="preserve"> can strengthen tolerance to insect attack, necrotrophic pathogens, drought, salinity, temperature extremes and nutrient deficiency, while also reshaping </w:t>
      </w:r>
      <w:proofErr w:type="spellStart"/>
      <w:r w:rsidR="00693C4D">
        <w:t>specialised</w:t>
      </w:r>
      <w:proofErr w:type="spellEnd"/>
      <w:r w:rsidR="00693C4D">
        <w:t xml:space="preserve"> metabolism, fruit ripening, </w:t>
      </w:r>
      <w:proofErr w:type="spellStart"/>
      <w:r w:rsidR="00693C4D">
        <w:t>colour</w:t>
      </w:r>
      <w:proofErr w:type="spellEnd"/>
      <w:r w:rsidR="00693C4D">
        <w:t xml:space="preserve"> development, aroma formation and shelf life. However, these benefits are conditional. Dose, timing, crop genotype, developmental stage, formulation and environmental context determine whether JA promotes productive resilience or imposes unacceptable growth penalties. The review </w:t>
      </w:r>
      <w:r w:rsidR="00693C4D" w:rsidRPr="00C96664">
        <w:rPr>
          <w:highlight w:val="yellow"/>
        </w:rPr>
        <w:t>therefore</w:t>
      </w:r>
      <w:r w:rsidR="00B743F9" w:rsidRPr="00C96664">
        <w:rPr>
          <w:highlight w:val="yellow"/>
        </w:rPr>
        <w:t>,</w:t>
      </w:r>
      <w:r w:rsidR="00693C4D" w:rsidRPr="00C96664">
        <w:rPr>
          <w:highlight w:val="yellow"/>
        </w:rPr>
        <w:t xml:space="preserve"> evaluates</w:t>
      </w:r>
      <w:r w:rsidR="00693C4D">
        <w:t xml:space="preserve"> both promise and constraint, highlighting horticultural and postharvest systems where implementation is already relatively mature and field-scale row cropping systems where translation remains more variable. The paper concludes that the most realistic pathway for harnessing JA lies not in constitutively amplifying </w:t>
      </w:r>
      <w:proofErr w:type="spellStart"/>
      <w:r w:rsidR="00693C4D">
        <w:t>defence</w:t>
      </w:r>
      <w:proofErr w:type="spellEnd"/>
      <w:r w:rsidR="00693C4D">
        <w:t xml:space="preserve">, but in deploying precisely timed, context-aware </w:t>
      </w:r>
      <w:proofErr w:type="spellStart"/>
      <w:r w:rsidR="00693C4D">
        <w:t>jasmonate</w:t>
      </w:r>
      <w:proofErr w:type="spellEnd"/>
      <w:r w:rsidR="00693C4D">
        <w:t xml:space="preserve"> interventions integrated with breeding, microbiome management, protected cultivation and reduced-input crop protection.</w:t>
      </w:r>
    </w:p>
    <w:p w14:paraId="0069EDA9" w14:textId="77777777" w:rsidR="005F6B50" w:rsidRDefault="00693C4D">
      <w:pPr>
        <w:jc w:val="both"/>
      </w:pPr>
      <w:r>
        <w:rPr>
          <w:b/>
        </w:rPr>
        <w:t>Keywords:</w:t>
      </w:r>
      <w:r>
        <w:t xml:space="preserve"> </w:t>
      </w:r>
      <w:proofErr w:type="spellStart"/>
      <w:r>
        <w:t>jasmonic</w:t>
      </w:r>
      <w:proofErr w:type="spellEnd"/>
      <w:r>
        <w:t xml:space="preserve"> acid; methyl </w:t>
      </w:r>
      <w:proofErr w:type="spellStart"/>
      <w:r>
        <w:t>jasmonate</w:t>
      </w:r>
      <w:proofErr w:type="spellEnd"/>
      <w:r>
        <w:t xml:space="preserve">; </w:t>
      </w:r>
      <w:proofErr w:type="spellStart"/>
      <w:r>
        <w:t>jasmonate</w:t>
      </w:r>
      <w:proofErr w:type="spellEnd"/>
      <w:r>
        <w:t xml:space="preserve"> </w:t>
      </w:r>
      <w:proofErr w:type="spellStart"/>
      <w:r>
        <w:t>signalling</w:t>
      </w:r>
      <w:proofErr w:type="spellEnd"/>
      <w:r>
        <w:t xml:space="preserve">; sustainable agriculture; horticulture; postharvest biology; plant </w:t>
      </w:r>
      <w:proofErr w:type="spellStart"/>
      <w:r>
        <w:t>defence</w:t>
      </w:r>
      <w:proofErr w:type="spellEnd"/>
      <w:r>
        <w:t>; stress resilience</w:t>
      </w:r>
    </w:p>
    <w:p w14:paraId="7ACF14B4" w14:textId="5BE76D66" w:rsidR="005F6B50" w:rsidRDefault="00693C4D" w:rsidP="00C96664">
      <w:pPr>
        <w:pStyle w:val="Heading1"/>
        <w:numPr>
          <w:ilvl w:val="0"/>
          <w:numId w:val="10"/>
        </w:numPr>
        <w:spacing w:before="240" w:after="120" w:line="240" w:lineRule="auto"/>
      </w:pPr>
      <w:r>
        <w:t>Introduction</w:t>
      </w:r>
    </w:p>
    <w:p w14:paraId="4880B933" w14:textId="6E54F812" w:rsidR="00E63AC8" w:rsidRPr="00C96664" w:rsidRDefault="00E63AC8" w:rsidP="00C96664">
      <w:pPr>
        <w:jc w:val="both"/>
        <w:rPr>
          <w:sz w:val="22"/>
        </w:rPr>
      </w:pPr>
      <w:r w:rsidRPr="00C96664">
        <w:rPr>
          <w:rFonts w:ascii="Arial" w:hAnsi="Arial" w:cs="Arial"/>
          <w:color w:val="000000"/>
          <w:sz w:val="22"/>
          <w:highlight w:val="yellow"/>
          <w:shd w:val="clear" w:color="auto" w:fill="FFFFFF"/>
        </w:rPr>
        <w:t>Plants are remarkable organisms that possess an intricate system of chemical signaling to regulate various physiological processes. Among these signaling molecules, phytohormones, also known as plant hormones, stand out as key players. They orchestrate crucial aspects of plant growth, development, and responses to environmental challenges. Phytohormones are naturally occurring organic compounds produced in specific plant tissues, where they act as messengers, transmitting information and coordinating responses throughout the entire organism (</w:t>
      </w:r>
      <w:r w:rsidRPr="00C96664">
        <w:rPr>
          <w:rFonts w:ascii="Arial" w:hAnsi="Arial" w:cs="Arial"/>
          <w:color w:val="222222"/>
          <w:sz w:val="18"/>
          <w:szCs w:val="20"/>
          <w:highlight w:val="yellow"/>
          <w:shd w:val="clear" w:color="auto" w:fill="FFFFFF"/>
        </w:rPr>
        <w:t>Ali et al., 2024</w:t>
      </w:r>
      <w:r w:rsidRPr="00C96664">
        <w:rPr>
          <w:rFonts w:ascii="Arial" w:hAnsi="Arial" w:cs="Arial"/>
          <w:color w:val="000000"/>
          <w:sz w:val="22"/>
          <w:highlight w:val="yellow"/>
          <w:shd w:val="clear" w:color="auto" w:fill="FFFFFF"/>
        </w:rPr>
        <w:t>).</w:t>
      </w:r>
      <w:r w:rsidR="003B3AE7">
        <w:rPr>
          <w:rFonts w:ascii="Arial" w:hAnsi="Arial" w:cs="Arial"/>
          <w:color w:val="000000"/>
          <w:sz w:val="22"/>
          <w:highlight w:val="yellow"/>
          <w:shd w:val="clear" w:color="auto" w:fill="FFFFFF"/>
        </w:rPr>
        <w:t xml:space="preserve"> </w:t>
      </w:r>
      <w:r w:rsidR="003B3AE7">
        <w:rPr>
          <w:rFonts w:ascii="Arial" w:hAnsi="Arial" w:cs="Arial"/>
          <w:color w:val="222222"/>
          <w:sz w:val="20"/>
          <w:szCs w:val="20"/>
          <w:shd w:val="clear" w:color="auto" w:fill="FFFFFF"/>
        </w:rPr>
        <w:t> </w:t>
      </w:r>
      <w:proofErr w:type="spellStart"/>
      <w:r w:rsidR="003B3AE7" w:rsidRPr="00C96664">
        <w:rPr>
          <w:rFonts w:ascii="Arial" w:hAnsi="Arial" w:cs="Arial"/>
          <w:color w:val="222222"/>
          <w:sz w:val="20"/>
          <w:szCs w:val="20"/>
          <w:highlight w:val="yellow"/>
          <w:shd w:val="clear" w:color="auto" w:fill="FFFFFF"/>
        </w:rPr>
        <w:t>Jasmonic</w:t>
      </w:r>
      <w:proofErr w:type="spellEnd"/>
      <w:r w:rsidR="003B3AE7" w:rsidRPr="00C96664">
        <w:rPr>
          <w:rFonts w:ascii="Arial" w:hAnsi="Arial" w:cs="Arial"/>
          <w:color w:val="222222"/>
          <w:sz w:val="20"/>
          <w:szCs w:val="20"/>
          <w:highlight w:val="yellow"/>
          <w:shd w:val="clear" w:color="auto" w:fill="FFFFFF"/>
        </w:rPr>
        <w:t xml:space="preserve"> acid is one of the vital hormones that has a role in plant signaling pathways</w:t>
      </w:r>
      <w:r w:rsidR="00B743F9">
        <w:rPr>
          <w:rFonts w:ascii="Arial" w:hAnsi="Arial" w:cs="Arial"/>
          <w:color w:val="222222"/>
          <w:sz w:val="20"/>
          <w:szCs w:val="20"/>
          <w:highlight w:val="yellow"/>
          <w:shd w:val="clear" w:color="auto" w:fill="FFFFFF"/>
        </w:rPr>
        <w:t>,</w:t>
      </w:r>
      <w:r w:rsidR="003B3AE7" w:rsidRPr="00C96664">
        <w:rPr>
          <w:rFonts w:ascii="Arial" w:hAnsi="Arial" w:cs="Arial"/>
          <w:color w:val="222222"/>
          <w:sz w:val="20"/>
          <w:szCs w:val="20"/>
          <w:highlight w:val="yellow"/>
          <w:shd w:val="clear" w:color="auto" w:fill="FFFFFF"/>
        </w:rPr>
        <w:t xml:space="preserve"> which can induce biochemical and physiological modifications </w:t>
      </w:r>
      <w:r w:rsidR="003B3AE7" w:rsidRPr="00C96664">
        <w:rPr>
          <w:rFonts w:ascii="Arial" w:hAnsi="Arial" w:cs="Arial"/>
          <w:color w:val="222222"/>
          <w:sz w:val="20"/>
          <w:szCs w:val="20"/>
          <w:highlight w:val="yellow"/>
          <w:shd w:val="clear" w:color="auto" w:fill="FFFFFF"/>
        </w:rPr>
        <w:lastRenderedPageBreak/>
        <w:t xml:space="preserve">and helps plants mitigate the lethal effects of various abiotic stresses. Many studies have been conducted on the specific role of exogenous and endogenous </w:t>
      </w:r>
      <w:proofErr w:type="spellStart"/>
      <w:r w:rsidR="003B3AE7" w:rsidRPr="00C96664">
        <w:rPr>
          <w:rFonts w:ascii="Arial" w:hAnsi="Arial" w:cs="Arial"/>
          <w:color w:val="222222"/>
          <w:sz w:val="20"/>
          <w:szCs w:val="20"/>
          <w:highlight w:val="yellow"/>
          <w:shd w:val="clear" w:color="auto" w:fill="FFFFFF"/>
        </w:rPr>
        <w:t>Jasmonic</w:t>
      </w:r>
      <w:proofErr w:type="spellEnd"/>
      <w:r w:rsidR="003B3AE7" w:rsidRPr="00C96664">
        <w:rPr>
          <w:rFonts w:ascii="Arial" w:hAnsi="Arial" w:cs="Arial"/>
          <w:color w:val="222222"/>
          <w:sz w:val="20"/>
          <w:szCs w:val="20"/>
          <w:highlight w:val="yellow"/>
          <w:shd w:val="clear" w:color="auto" w:fill="FFFFFF"/>
        </w:rPr>
        <w:t xml:space="preserve"> acid against abiotic stresses in plants. Nevertheless, understanding the complex processes that regulate the synthesis and function of </w:t>
      </w:r>
      <w:proofErr w:type="spellStart"/>
      <w:r w:rsidR="003B3AE7" w:rsidRPr="00C96664">
        <w:rPr>
          <w:rFonts w:ascii="Arial" w:hAnsi="Arial" w:cs="Arial"/>
          <w:color w:val="222222"/>
          <w:sz w:val="20"/>
          <w:szCs w:val="20"/>
          <w:highlight w:val="yellow"/>
          <w:shd w:val="clear" w:color="auto" w:fill="FFFFFF"/>
        </w:rPr>
        <w:t>Jasmonic</w:t>
      </w:r>
      <w:proofErr w:type="spellEnd"/>
      <w:r w:rsidR="003B3AE7" w:rsidRPr="00C96664">
        <w:rPr>
          <w:rFonts w:ascii="Arial" w:hAnsi="Arial" w:cs="Arial"/>
          <w:color w:val="222222"/>
          <w:sz w:val="20"/>
          <w:szCs w:val="20"/>
          <w:highlight w:val="yellow"/>
          <w:shd w:val="clear" w:color="auto" w:fill="FFFFFF"/>
        </w:rPr>
        <w:t xml:space="preserve"> acids in plants is a highly challenging process characterized by numerous intricate stages and molecular pathways</w:t>
      </w:r>
      <w:r w:rsidR="007144F6">
        <w:rPr>
          <w:rFonts w:ascii="Arial" w:hAnsi="Arial" w:cs="Arial"/>
          <w:color w:val="222222"/>
          <w:sz w:val="20"/>
          <w:szCs w:val="20"/>
          <w:highlight w:val="yellow"/>
          <w:shd w:val="clear" w:color="auto" w:fill="FFFFFF"/>
        </w:rPr>
        <w:t xml:space="preserve"> (</w:t>
      </w:r>
      <w:r w:rsidR="007144F6" w:rsidRPr="00B72D96">
        <w:rPr>
          <w:rFonts w:ascii="inherit" w:hAnsi="inherit" w:cs="Helvetica"/>
          <w:color w:val="222222"/>
          <w:sz w:val="18"/>
          <w:szCs w:val="18"/>
          <w:highlight w:val="yellow"/>
        </w:rPr>
        <w:t>Rehman</w:t>
      </w:r>
      <w:r w:rsidR="007144F6">
        <w:rPr>
          <w:rFonts w:ascii="inherit" w:hAnsi="inherit" w:cs="Helvetica"/>
          <w:color w:val="222222"/>
          <w:sz w:val="18"/>
          <w:szCs w:val="18"/>
          <w:highlight w:val="yellow"/>
        </w:rPr>
        <w:t xml:space="preserve"> et al., 2023</w:t>
      </w:r>
      <w:r w:rsidR="003A784D">
        <w:rPr>
          <w:rFonts w:ascii="inherit" w:hAnsi="inherit" w:cs="Helvetica"/>
          <w:color w:val="222222"/>
          <w:sz w:val="18"/>
          <w:szCs w:val="18"/>
          <w:highlight w:val="yellow"/>
        </w:rPr>
        <w:t xml:space="preserve">; </w:t>
      </w:r>
      <w:proofErr w:type="spellStart"/>
      <w:r w:rsidR="003A784D" w:rsidRPr="00B72D96">
        <w:rPr>
          <w:rFonts w:ascii="Arial" w:hAnsi="Arial" w:cs="Arial"/>
          <w:color w:val="222222"/>
          <w:sz w:val="20"/>
          <w:szCs w:val="20"/>
          <w:highlight w:val="yellow"/>
          <w:shd w:val="clear" w:color="auto" w:fill="FFFFFF"/>
        </w:rPr>
        <w:t>Hewedy</w:t>
      </w:r>
      <w:proofErr w:type="spellEnd"/>
      <w:r w:rsidR="003A784D">
        <w:rPr>
          <w:rFonts w:ascii="Arial" w:hAnsi="Arial" w:cs="Arial"/>
          <w:color w:val="222222"/>
          <w:sz w:val="20"/>
          <w:szCs w:val="20"/>
          <w:highlight w:val="yellow"/>
          <w:shd w:val="clear" w:color="auto" w:fill="FFFFFF"/>
        </w:rPr>
        <w:t xml:space="preserve"> et al., 2023</w:t>
      </w:r>
      <w:r w:rsidR="007144F6">
        <w:rPr>
          <w:rFonts w:ascii="Arial" w:hAnsi="Arial" w:cs="Arial"/>
          <w:color w:val="222222"/>
          <w:sz w:val="20"/>
          <w:szCs w:val="20"/>
          <w:highlight w:val="yellow"/>
          <w:shd w:val="clear" w:color="auto" w:fill="FFFFFF"/>
        </w:rPr>
        <w:t>)</w:t>
      </w:r>
      <w:r w:rsidR="003B3AE7" w:rsidRPr="00C96664">
        <w:rPr>
          <w:rFonts w:ascii="Arial" w:hAnsi="Arial" w:cs="Arial"/>
          <w:color w:val="222222"/>
          <w:sz w:val="20"/>
          <w:szCs w:val="20"/>
          <w:highlight w:val="yellow"/>
          <w:shd w:val="clear" w:color="auto" w:fill="FFFFFF"/>
        </w:rPr>
        <w:t>.</w:t>
      </w:r>
    </w:p>
    <w:p w14:paraId="755A32F4" w14:textId="77777777" w:rsidR="005F6B50" w:rsidRDefault="00693C4D">
      <w:pPr>
        <w:pStyle w:val="Heading2"/>
        <w:spacing w:after="80" w:line="240" w:lineRule="auto"/>
      </w:pPr>
      <w:r>
        <w:t xml:space="preserve">1.1 </w:t>
      </w:r>
      <w:proofErr w:type="spellStart"/>
      <w:r>
        <w:t>Jasmonates</w:t>
      </w:r>
      <w:proofErr w:type="spellEnd"/>
      <w:r>
        <w:t xml:space="preserve"> as integrators of plant adaptation</w:t>
      </w:r>
    </w:p>
    <w:p w14:paraId="2061A2B8" w14:textId="77777777" w:rsidR="005F6B50" w:rsidRDefault="00693C4D">
      <w:pPr>
        <w:spacing w:after="120"/>
        <w:jc w:val="both"/>
      </w:pPr>
      <w:r>
        <w:t xml:space="preserve">Crop plants are increasingly required to deliver yield stability, nutritional quality and storability under simultaneous pressure from climate variability, pest outbreaks, pathogen evolution and restrictions on synthetic inputs. Within this wider transition towards more sustainable production, plant endogenous </w:t>
      </w:r>
      <w:proofErr w:type="spellStart"/>
      <w:r>
        <w:t>signalling</w:t>
      </w:r>
      <w:proofErr w:type="spellEnd"/>
      <w:r>
        <w:t xml:space="preserve"> pathways have become attractive targets because they permit resilience to be strengthened from within the crop rather than imposed solely through external chemical control. Among these pathways, </w:t>
      </w:r>
      <w:proofErr w:type="spellStart"/>
      <w:r>
        <w:t>jasmonates</w:t>
      </w:r>
      <w:proofErr w:type="spellEnd"/>
      <w:r>
        <w:t xml:space="preserve"> occupy a distinctive position because they connect wound perception, anti-herbivore </w:t>
      </w:r>
      <w:proofErr w:type="spellStart"/>
      <w:r>
        <w:t>defence</w:t>
      </w:r>
      <w:proofErr w:type="spellEnd"/>
      <w:r>
        <w:t xml:space="preserve">, immune regulation, </w:t>
      </w:r>
      <w:proofErr w:type="spellStart"/>
      <w:r>
        <w:t>specialised</w:t>
      </w:r>
      <w:proofErr w:type="spellEnd"/>
      <w:r>
        <w:t xml:space="preserve"> metabolism, reproductive development and acclimation to adverse environments (</w:t>
      </w:r>
      <w:proofErr w:type="spellStart"/>
      <w:r>
        <w:t>Wasternack</w:t>
      </w:r>
      <w:proofErr w:type="spellEnd"/>
      <w:r>
        <w:t xml:space="preserve"> &amp; </w:t>
      </w:r>
      <w:proofErr w:type="spellStart"/>
      <w:r>
        <w:t>Hause</w:t>
      </w:r>
      <w:proofErr w:type="spellEnd"/>
      <w:r>
        <w:t xml:space="preserve">, 2013; </w:t>
      </w:r>
      <w:proofErr w:type="spellStart"/>
      <w:r>
        <w:t>Wasternack</w:t>
      </w:r>
      <w:proofErr w:type="spellEnd"/>
      <w:r>
        <w:t xml:space="preserve"> &amp; Song, 2017; Howe et al., 2018).</w:t>
      </w:r>
    </w:p>
    <w:p w14:paraId="5CAC2BDB" w14:textId="77777777" w:rsidR="005F6B50" w:rsidRDefault="00693C4D">
      <w:pPr>
        <w:spacing w:after="120"/>
        <w:jc w:val="both"/>
      </w:pPr>
      <w:proofErr w:type="spellStart"/>
      <w:r>
        <w:t>Jasmonic</w:t>
      </w:r>
      <w:proofErr w:type="spellEnd"/>
      <w:r>
        <w:t xml:space="preserve"> acid is not a single-purpose hormone but the hub of a chemically and functionally diverse network that includes </w:t>
      </w:r>
      <w:proofErr w:type="spellStart"/>
      <w:r>
        <w:t>jasmonoyl</w:t>
      </w:r>
      <w:proofErr w:type="spellEnd"/>
      <w:r>
        <w:t xml:space="preserve">-isoleucine, methyl </w:t>
      </w:r>
      <w:proofErr w:type="spellStart"/>
      <w:r>
        <w:t>jasmonate</w:t>
      </w:r>
      <w:proofErr w:type="spellEnd"/>
      <w:r>
        <w:t xml:space="preserve"> and other derivatives with differing mobility, bioactivity and persistence. In modern plant biology, </w:t>
      </w:r>
      <w:proofErr w:type="spellStart"/>
      <w:r>
        <w:t>jasmonates</w:t>
      </w:r>
      <w:proofErr w:type="spellEnd"/>
      <w:r>
        <w:t xml:space="preserve"> are understood less as simple stress markers and more as information-rich regulators that translate tissue damage and environmental cues into transcriptional, metabolic and physiological change (Browse, 2009; </w:t>
      </w:r>
      <w:proofErr w:type="spellStart"/>
      <w:r>
        <w:t>Wasternack</w:t>
      </w:r>
      <w:proofErr w:type="spellEnd"/>
      <w:r>
        <w:t xml:space="preserve"> &amp; </w:t>
      </w:r>
      <w:proofErr w:type="spellStart"/>
      <w:r>
        <w:t>Feussner</w:t>
      </w:r>
      <w:proofErr w:type="spellEnd"/>
      <w:r>
        <w:t xml:space="preserve">, 2018; Nguyen et al., 2022). This shift in understanding matters for crop science because it reveals why the same </w:t>
      </w:r>
      <w:proofErr w:type="spellStart"/>
      <w:r>
        <w:t>jasmonate</w:t>
      </w:r>
      <w:proofErr w:type="spellEnd"/>
      <w:r>
        <w:t xml:space="preserve"> burst can suppress herbivory, alter root architecture, delay postharvest deterioration or, under other circumstances, reduce vegetative growth and reproductive output.</w:t>
      </w:r>
    </w:p>
    <w:p w14:paraId="541B678B" w14:textId="2817ACC6" w:rsidR="005F6B50" w:rsidRDefault="00693C4D">
      <w:pPr>
        <w:spacing w:after="120"/>
        <w:jc w:val="both"/>
      </w:pPr>
      <w:r>
        <w:t>The agricultural value of JA</w:t>
      </w:r>
      <w:r w:rsidR="00B743F9">
        <w:t>,</w:t>
      </w:r>
      <w:r>
        <w:t xml:space="preserve"> therefore</w:t>
      </w:r>
      <w:r w:rsidR="00B743F9">
        <w:t>,</w:t>
      </w:r>
      <w:r>
        <w:t xml:space="preserve"> lies in its ability to </w:t>
      </w:r>
      <w:proofErr w:type="spellStart"/>
      <w:r>
        <w:t>reorganise</w:t>
      </w:r>
      <w:proofErr w:type="spellEnd"/>
      <w:r>
        <w:t xml:space="preserve"> priorities within the plant. When stress is acute, </w:t>
      </w:r>
      <w:proofErr w:type="spellStart"/>
      <w:r>
        <w:t>jasmonate</w:t>
      </w:r>
      <w:proofErr w:type="spellEnd"/>
      <w:r>
        <w:t xml:space="preserve"> </w:t>
      </w:r>
      <w:proofErr w:type="spellStart"/>
      <w:r>
        <w:t>signalling</w:t>
      </w:r>
      <w:proofErr w:type="spellEnd"/>
      <w:r>
        <w:t xml:space="preserve"> can divert resources towards </w:t>
      </w:r>
      <w:proofErr w:type="spellStart"/>
      <w:r>
        <w:t>defence</w:t>
      </w:r>
      <w:proofErr w:type="spellEnd"/>
      <w:r>
        <w:t xml:space="preserve">, detoxification, membrane protection and </w:t>
      </w:r>
      <w:proofErr w:type="spellStart"/>
      <w:r>
        <w:t>specialised</w:t>
      </w:r>
      <w:proofErr w:type="spellEnd"/>
      <w:r>
        <w:t xml:space="preserve"> metabolites. When stress is absent or chronic, the same reallocations can become costly. Sustainable use of JA consequently depends on learning how to steer the pathway with temporal precision, spatial specificity and realistic agronomic expectations rather than assuming that stronger </w:t>
      </w:r>
      <w:proofErr w:type="spellStart"/>
      <w:r>
        <w:t>signalling</w:t>
      </w:r>
      <w:proofErr w:type="spellEnd"/>
      <w:r>
        <w:t xml:space="preserve"> is always better (Huang et al., 2017; Guo et al., 2018; Howe et al., 2018).</w:t>
      </w:r>
    </w:p>
    <w:p w14:paraId="3A602A6B" w14:textId="77777777" w:rsidR="005F6B50" w:rsidRDefault="00693C4D">
      <w:pPr>
        <w:pStyle w:val="Heading2"/>
        <w:spacing w:after="80" w:line="240" w:lineRule="auto"/>
      </w:pPr>
      <w:r>
        <w:t>1.2 Agricultural and horticultural relevance</w:t>
      </w:r>
    </w:p>
    <w:p w14:paraId="16482C6E" w14:textId="77777777" w:rsidR="005F6B50" w:rsidRDefault="00693C4D">
      <w:pPr>
        <w:spacing w:after="120"/>
        <w:jc w:val="both"/>
      </w:pPr>
      <w:r>
        <w:t xml:space="preserve">The relevance of </w:t>
      </w:r>
      <w:proofErr w:type="spellStart"/>
      <w:r>
        <w:t>jasmonates</w:t>
      </w:r>
      <w:proofErr w:type="spellEnd"/>
      <w:r>
        <w:t xml:space="preserve"> to agriculture and horticulture rests on two complementary translational routes. The first is genetic and molecular: breeders and biotechnologists can exploit natural variation or targeted editing in receptors, repressors, transcription factors and downstream metabolic branches to moderate growth-</w:t>
      </w:r>
      <w:proofErr w:type="spellStart"/>
      <w:r>
        <w:t>defence</w:t>
      </w:r>
      <w:proofErr w:type="spellEnd"/>
      <w:r>
        <w:t xml:space="preserve"> balance. The second is physiological and operational: </w:t>
      </w:r>
      <w:proofErr w:type="spellStart"/>
      <w:r>
        <w:t>jasmonic</w:t>
      </w:r>
      <w:proofErr w:type="spellEnd"/>
      <w:r>
        <w:t xml:space="preserve"> acid or, more commonly, methyl </w:t>
      </w:r>
      <w:proofErr w:type="spellStart"/>
      <w:r>
        <w:t>jasmonate</w:t>
      </w:r>
      <w:proofErr w:type="spellEnd"/>
      <w:r>
        <w:t xml:space="preserve"> can be applied exogenously as elicitors before harvest, during storage, or in postharvest handling systems to prime resistance and improve quality-related traits (</w:t>
      </w:r>
      <w:proofErr w:type="spellStart"/>
      <w:r>
        <w:t>Asghari</w:t>
      </w:r>
      <w:proofErr w:type="spellEnd"/>
      <w:r>
        <w:t xml:space="preserve">, 2019; </w:t>
      </w:r>
      <w:proofErr w:type="spellStart"/>
      <w:r>
        <w:t>Zhai</w:t>
      </w:r>
      <w:proofErr w:type="spellEnd"/>
      <w:r>
        <w:t xml:space="preserve"> et al., 2020; Hasan et al., 2025).</w:t>
      </w:r>
    </w:p>
    <w:p w14:paraId="69DD3E77" w14:textId="2F4BE1ED" w:rsidR="005F6B50" w:rsidRDefault="00693C4D">
      <w:pPr>
        <w:spacing w:after="120"/>
        <w:jc w:val="both"/>
      </w:pPr>
      <w:r>
        <w:lastRenderedPageBreak/>
        <w:t xml:space="preserve">Horticultural systems have provided especially compelling case studies because fruit, vegetable, ornamental and mushroom commodities combine high value with acute sensitivity to quality loss. In such systems, modest improvements in firmness, </w:t>
      </w:r>
      <w:proofErr w:type="spellStart"/>
      <w:r>
        <w:t>colour</w:t>
      </w:r>
      <w:proofErr w:type="spellEnd"/>
      <w:r>
        <w:t xml:space="preserve">, volatile retention, disease resistance or chilling tolerance can </w:t>
      </w:r>
      <w:r w:rsidRPr="00C96664">
        <w:rPr>
          <w:highlight w:val="yellow"/>
        </w:rPr>
        <w:t xml:space="preserve">have </w:t>
      </w:r>
      <w:r w:rsidR="00B743F9" w:rsidRPr="00C96664">
        <w:rPr>
          <w:highlight w:val="yellow"/>
        </w:rPr>
        <w:t xml:space="preserve">a </w:t>
      </w:r>
      <w:r w:rsidRPr="00C96664">
        <w:rPr>
          <w:highlight w:val="yellow"/>
        </w:rPr>
        <w:t>sub</w:t>
      </w:r>
      <w:r>
        <w:t xml:space="preserve">stantial commercial impact. Preharvest sprays have been associated with better phytochemical accumulation and storability in fruit crops, whereas postharvest </w:t>
      </w:r>
      <w:proofErr w:type="spellStart"/>
      <w:r>
        <w:t>vapour</w:t>
      </w:r>
      <w:proofErr w:type="spellEnd"/>
      <w:r>
        <w:t xml:space="preserve"> or dip treatments have often enhanced antioxidant metabolism and reduced decay or chilling injury during cold storage (Saavedra et al., 2016; </w:t>
      </w:r>
      <w:proofErr w:type="spellStart"/>
      <w:r>
        <w:t>Baek</w:t>
      </w:r>
      <w:proofErr w:type="spellEnd"/>
      <w:r>
        <w:t xml:space="preserve"> et al., 2023; Zhang et al., 2024; Min et al., 2024; He et al., 2025).</w:t>
      </w:r>
    </w:p>
    <w:p w14:paraId="67B25882" w14:textId="0D270B35" w:rsidR="005F6B50" w:rsidRDefault="00693C4D">
      <w:pPr>
        <w:spacing w:after="120"/>
        <w:jc w:val="both"/>
      </w:pPr>
      <w:r>
        <w:t xml:space="preserve">In broad-acre </w:t>
      </w:r>
      <w:r w:rsidRPr="00C96664">
        <w:rPr>
          <w:highlight w:val="yellow"/>
        </w:rPr>
        <w:t>agriculture</w:t>
      </w:r>
      <w:r w:rsidR="00B743F9" w:rsidRPr="00C96664">
        <w:rPr>
          <w:highlight w:val="yellow"/>
        </w:rPr>
        <w:t>,</w:t>
      </w:r>
      <w:r w:rsidRPr="00C96664">
        <w:rPr>
          <w:highlight w:val="yellow"/>
        </w:rPr>
        <w:t xml:space="preserve"> the </w:t>
      </w:r>
      <w:r>
        <w:t xml:space="preserve">case for JA is more nuanced but still important. </w:t>
      </w:r>
      <w:proofErr w:type="spellStart"/>
      <w:r>
        <w:t>Jasmonate</w:t>
      </w:r>
      <w:proofErr w:type="spellEnd"/>
      <w:r>
        <w:t xml:space="preserve"> pathway manipulation can reinforce resistance to chewing insects and some pathogens, contribute to drought or nutrient stress acclimation, and interact with root and rhizosphere processes relevant to </w:t>
      </w:r>
      <w:proofErr w:type="spellStart"/>
      <w:r>
        <w:t>fertiliser</w:t>
      </w:r>
      <w:proofErr w:type="spellEnd"/>
      <w:r>
        <w:t xml:space="preserve"> efficiency and below-ground resilience. Yet row crops also expose the main translational difficulty: any intervention that repeatedly pushes plants into a </w:t>
      </w:r>
      <w:proofErr w:type="spellStart"/>
      <w:r>
        <w:t>defence</w:t>
      </w:r>
      <w:proofErr w:type="spellEnd"/>
      <w:r>
        <w:t xml:space="preserve">-dominant state risks lowering canopy expansion, carbon gain or harvest index. For sustainable agriculture, the challenge is therefore to use </w:t>
      </w:r>
      <w:proofErr w:type="spellStart"/>
      <w:r>
        <w:t>jasmonates</w:t>
      </w:r>
      <w:proofErr w:type="spellEnd"/>
      <w:r>
        <w:t xml:space="preserve"> in ways that reduce reliance on pesticides and loss-preventive chemicals without substituting them with a new source of physiological inefficiency (Khan et al., 2016; Per et al., 2018; Shikha et al., 2023).</w:t>
      </w:r>
    </w:p>
    <w:p w14:paraId="3FFA680A" w14:textId="77777777" w:rsidR="005F6B50" w:rsidRDefault="00693C4D">
      <w:pPr>
        <w:pStyle w:val="Heading2"/>
        <w:spacing w:after="80" w:line="240" w:lineRule="auto"/>
      </w:pPr>
      <w:r>
        <w:t>1.3 Scope and objective of the review</w:t>
      </w:r>
    </w:p>
    <w:p w14:paraId="0476284B" w14:textId="2DE59605" w:rsidR="005F6B50" w:rsidRDefault="00693C4D">
      <w:pPr>
        <w:spacing w:after="120"/>
        <w:jc w:val="both"/>
      </w:pPr>
      <w:r>
        <w:t xml:space="preserve">This review examines how </w:t>
      </w:r>
      <w:proofErr w:type="spellStart"/>
      <w:r>
        <w:t>jasmonic</w:t>
      </w:r>
      <w:proofErr w:type="spellEnd"/>
      <w:r>
        <w:t xml:space="preserve"> acid can be harnessed for sustainable agriculture and horticulture by integrating molecular </w:t>
      </w:r>
      <w:r w:rsidRPr="00C96664">
        <w:rPr>
          <w:highlight w:val="yellow"/>
        </w:rPr>
        <w:t>mechanism</w:t>
      </w:r>
      <w:r w:rsidR="00B743F9" w:rsidRPr="00C96664">
        <w:rPr>
          <w:highlight w:val="yellow"/>
        </w:rPr>
        <w:t>s</w:t>
      </w:r>
      <w:r w:rsidRPr="00C96664">
        <w:rPr>
          <w:highlight w:val="yellow"/>
        </w:rPr>
        <w:t>, plant physiology</w:t>
      </w:r>
      <w:r>
        <w:t xml:space="preserve">, crop protection, quality formation and postharvest management within a single framework. The article first clarifies the biochemical and </w:t>
      </w:r>
      <w:proofErr w:type="spellStart"/>
      <w:r>
        <w:t>signalling</w:t>
      </w:r>
      <w:proofErr w:type="spellEnd"/>
      <w:r>
        <w:t xml:space="preserve"> basis of </w:t>
      </w:r>
      <w:proofErr w:type="spellStart"/>
      <w:r>
        <w:t>jasmonate</w:t>
      </w:r>
      <w:proofErr w:type="spellEnd"/>
      <w:r>
        <w:t xml:space="preserve"> action and then evaluates how JA influences biotic stress resistance, abiotic stress resilience, growth-</w:t>
      </w:r>
      <w:proofErr w:type="spellStart"/>
      <w:r>
        <w:t>defence</w:t>
      </w:r>
      <w:proofErr w:type="spellEnd"/>
      <w:r>
        <w:t xml:space="preserve"> trade-offs, yield-relevant processes and horticultural quality attributes. Particular emphasis is placed on the distinction between endogenous </w:t>
      </w:r>
      <w:proofErr w:type="spellStart"/>
      <w:r>
        <w:t>jasmonate</w:t>
      </w:r>
      <w:proofErr w:type="spellEnd"/>
      <w:r>
        <w:t xml:space="preserve"> regulation and exogenous methyl </w:t>
      </w:r>
      <w:proofErr w:type="spellStart"/>
      <w:r>
        <w:t>jasmonate</w:t>
      </w:r>
      <w:proofErr w:type="spellEnd"/>
      <w:r>
        <w:t xml:space="preserve"> application, because these routes differ in controllability, temporal scale and practical deployment. The objective is not simply to catalogue positive responses, but to identify the contexts in which </w:t>
      </w:r>
      <w:proofErr w:type="spellStart"/>
      <w:r>
        <w:t>jasmonates</w:t>
      </w:r>
      <w:proofErr w:type="spellEnd"/>
      <w:r>
        <w:t xml:space="preserve"> are most likely to contribute meaningfully to reduced-input, resilient and market-oriented production systems, while also acknowledging the biological and operational limits that constrain wider adoption.</w:t>
      </w:r>
    </w:p>
    <w:p w14:paraId="43F484DC" w14:textId="77777777" w:rsidR="005F6B50" w:rsidRDefault="00693C4D">
      <w:pPr>
        <w:pStyle w:val="Heading1"/>
        <w:spacing w:before="240" w:after="120" w:line="240" w:lineRule="auto"/>
      </w:pPr>
      <w:r>
        <w:t>2. Methods for literature selection</w:t>
      </w:r>
    </w:p>
    <w:p w14:paraId="1699CDEE" w14:textId="77777777" w:rsidR="005F6B50" w:rsidRDefault="00693C4D">
      <w:pPr>
        <w:spacing w:after="120"/>
        <w:jc w:val="both"/>
      </w:pPr>
      <w:r>
        <w:t>Literature for this review was identified through structured searches in Web of Science, Scopus, PubMed and Google Scholar. Searches were conducted between January and March 2026 using combinations of the terms "</w:t>
      </w:r>
      <w:proofErr w:type="spellStart"/>
      <w:r>
        <w:t>jasmonic</w:t>
      </w:r>
      <w:proofErr w:type="spellEnd"/>
      <w:r>
        <w:t xml:space="preserve"> acid", "</w:t>
      </w:r>
      <w:proofErr w:type="spellStart"/>
      <w:r>
        <w:t>jasmonate</w:t>
      </w:r>
      <w:proofErr w:type="spellEnd"/>
      <w:r>
        <w:t xml:space="preserve">", "methyl </w:t>
      </w:r>
      <w:proofErr w:type="spellStart"/>
      <w:r>
        <w:t>jasmonate</w:t>
      </w:r>
      <w:proofErr w:type="spellEnd"/>
      <w:r>
        <w:t xml:space="preserve">", "JA-Ile", "COI1", "JAZ", "crop", "agriculture", "horticulture", "fruit", "vegetable", "postharvest", "herbivore", "pathogen", "drought", "salinity", "temperature stress", "nutrient deficiency", "quality", "ripening" and "sustainable agriculture". The principal date window was 2005 to March 2026 so that recent mechanistic and applied studies would be </w:t>
      </w:r>
      <w:proofErr w:type="spellStart"/>
      <w:r>
        <w:t>prioritised</w:t>
      </w:r>
      <w:proofErr w:type="spellEnd"/>
      <w:r>
        <w:t>, although a limited number of earlier foundational papers were also screened when necessary to interpret later work.</w:t>
      </w:r>
    </w:p>
    <w:p w14:paraId="257DED6B" w14:textId="77777777" w:rsidR="005F6B50" w:rsidRDefault="00693C4D">
      <w:pPr>
        <w:spacing w:after="120"/>
        <w:jc w:val="both"/>
      </w:pPr>
      <w:r>
        <w:lastRenderedPageBreak/>
        <w:t xml:space="preserve">Peer-reviewed journal articles were included when they made one or more of the following contributions: elucidation of </w:t>
      </w:r>
      <w:proofErr w:type="spellStart"/>
      <w:r>
        <w:t>jasmonate</w:t>
      </w:r>
      <w:proofErr w:type="spellEnd"/>
      <w:r>
        <w:t xml:space="preserve"> biosynthesis or </w:t>
      </w:r>
      <w:proofErr w:type="spellStart"/>
      <w:r>
        <w:t>signalling</w:t>
      </w:r>
      <w:proofErr w:type="spellEnd"/>
      <w:r>
        <w:t xml:space="preserve">, demonstration of physiological effects relevant to crop performance, or clear application to agricultural, horticultural or postharvest systems. Review articles were used to </w:t>
      </w:r>
      <w:proofErr w:type="spellStart"/>
      <w:r>
        <w:t>synthesise</w:t>
      </w:r>
      <w:proofErr w:type="spellEnd"/>
      <w:r>
        <w:t xml:space="preserve"> mature areas, and original research articles were used when recent mechanistic or crop-specific evidence was needed. Conference papers, books, theses, non-verifiable grey literature, duplicate records and papers outside plant science or crop management were excluded. Reference lists of key reviews and recent primary articles were examined manually to capture influential studies that might have been missed in database searches.</w:t>
      </w:r>
    </w:p>
    <w:p w14:paraId="6B09E00F" w14:textId="77777777" w:rsidR="005F6B50" w:rsidRDefault="00693C4D">
      <w:pPr>
        <w:pStyle w:val="Heading1"/>
        <w:spacing w:before="240" w:after="120" w:line="240" w:lineRule="auto"/>
      </w:pPr>
      <w:r>
        <w:t xml:space="preserve">3. Biochemical basis of </w:t>
      </w:r>
      <w:proofErr w:type="spellStart"/>
      <w:r>
        <w:t>jasmonic</w:t>
      </w:r>
      <w:proofErr w:type="spellEnd"/>
      <w:r>
        <w:t xml:space="preserve"> acid action</w:t>
      </w:r>
    </w:p>
    <w:p w14:paraId="74E59682" w14:textId="77777777" w:rsidR="005F6B50" w:rsidRDefault="00693C4D">
      <w:pPr>
        <w:pStyle w:val="Heading2"/>
        <w:spacing w:after="80" w:line="240" w:lineRule="auto"/>
      </w:pPr>
      <w:r>
        <w:t>3.1 Biosynthesis and metabolic forms</w:t>
      </w:r>
    </w:p>
    <w:p w14:paraId="26CBEB32" w14:textId="77777777" w:rsidR="005F6B50" w:rsidRDefault="00693C4D">
      <w:pPr>
        <w:spacing w:after="120"/>
        <w:jc w:val="both"/>
      </w:pPr>
      <w:r>
        <w:t xml:space="preserve">The biochemical logic of </w:t>
      </w:r>
      <w:proofErr w:type="spellStart"/>
      <w:r>
        <w:t>jasmonate</w:t>
      </w:r>
      <w:proofErr w:type="spellEnd"/>
      <w:r>
        <w:t xml:space="preserve"> action explains both its flexibility and its management difficulty. </w:t>
      </w:r>
      <w:proofErr w:type="spellStart"/>
      <w:r>
        <w:t>Jasmonates</w:t>
      </w:r>
      <w:proofErr w:type="spellEnd"/>
      <w:r>
        <w:t xml:space="preserve"> are oxylipins derived mainly from alpha-linolenic acid released from chloroplast membranes after damage or stress perception. Through the lipoxygenase, </w:t>
      </w:r>
      <w:proofErr w:type="spellStart"/>
      <w:r>
        <w:t>allene</w:t>
      </w:r>
      <w:proofErr w:type="spellEnd"/>
      <w:r>
        <w:t xml:space="preserve"> oxide synthase and </w:t>
      </w:r>
      <w:proofErr w:type="spellStart"/>
      <w:r>
        <w:t>allene</w:t>
      </w:r>
      <w:proofErr w:type="spellEnd"/>
      <w:r>
        <w:t xml:space="preserve"> oxide cyclase reactions, membrane-derived fatty acids are </w:t>
      </w:r>
      <w:proofErr w:type="spellStart"/>
      <w:r>
        <w:t>channelled</w:t>
      </w:r>
      <w:proofErr w:type="spellEnd"/>
      <w:r>
        <w:t xml:space="preserve"> towards 12-oxo-phytodienoic acid, which is then transported to the peroxisome for reduction and beta-oxidation to form JA. This spatially distributed pathway links chloroplast integrity, peroxisomal metabolism and cellular redox state to hormone production, making </w:t>
      </w:r>
      <w:proofErr w:type="spellStart"/>
      <w:r>
        <w:t>jasmonate</w:t>
      </w:r>
      <w:proofErr w:type="spellEnd"/>
      <w:r>
        <w:t xml:space="preserve"> accumulation highly responsive to injury, herbivory and environmental disruption (Browse, 2009; </w:t>
      </w:r>
      <w:proofErr w:type="spellStart"/>
      <w:r>
        <w:t>Wasternack</w:t>
      </w:r>
      <w:proofErr w:type="spellEnd"/>
      <w:r>
        <w:t xml:space="preserve"> &amp; </w:t>
      </w:r>
      <w:proofErr w:type="spellStart"/>
      <w:r>
        <w:t>Feussner</w:t>
      </w:r>
      <w:proofErr w:type="spellEnd"/>
      <w:r>
        <w:t xml:space="preserve">, 2018; </w:t>
      </w:r>
      <w:proofErr w:type="spellStart"/>
      <w:r>
        <w:t>Wasternack</w:t>
      </w:r>
      <w:proofErr w:type="spellEnd"/>
      <w:r>
        <w:t xml:space="preserve"> &amp; Song, 2017).</w:t>
      </w:r>
    </w:p>
    <w:p w14:paraId="780A9B47" w14:textId="77777777" w:rsidR="005F6B50" w:rsidRDefault="00693C4D">
      <w:pPr>
        <w:spacing w:after="120"/>
        <w:jc w:val="both"/>
      </w:pPr>
      <w:r>
        <w:t xml:space="preserve">JA itself is only one node in a larger metabolic web. Conjugation to isoleucine produces </w:t>
      </w:r>
      <w:proofErr w:type="spellStart"/>
      <w:r>
        <w:t>jasmonoyl</w:t>
      </w:r>
      <w:proofErr w:type="spellEnd"/>
      <w:r>
        <w:t xml:space="preserve">-isoleucine, widely regarded as the principal bioactive ligand for receptor activation, whereas methylation generates methyl </w:t>
      </w:r>
      <w:proofErr w:type="spellStart"/>
      <w:r>
        <w:t>jasmonate</w:t>
      </w:r>
      <w:proofErr w:type="spellEnd"/>
      <w:r>
        <w:t xml:space="preserve">, a volatile derivative capable of moving through tissues and the surrounding atmosphere. Additional hydroxylation, oxidation and deconjugation reactions attenuate or redirect </w:t>
      </w:r>
      <w:proofErr w:type="spellStart"/>
      <w:r>
        <w:t>signalling</w:t>
      </w:r>
      <w:proofErr w:type="spellEnd"/>
      <w:r>
        <w:t xml:space="preserve">, creating strong feedback control over signal amplitude and duration. From a crop management perspective, this means that exogenously supplied </w:t>
      </w:r>
      <w:proofErr w:type="spellStart"/>
      <w:r>
        <w:t>MeJA</w:t>
      </w:r>
      <w:proofErr w:type="spellEnd"/>
      <w:r>
        <w:t xml:space="preserve"> is not merely an external analogue of endogenous JA; it enters a dynamic metabolic system in which conversion rate, volatility, tissue penetration and local catabolism all shape the final response (</w:t>
      </w:r>
      <w:proofErr w:type="spellStart"/>
      <w:r>
        <w:t>Wasternack</w:t>
      </w:r>
      <w:proofErr w:type="spellEnd"/>
      <w:r>
        <w:t xml:space="preserve"> &amp; </w:t>
      </w:r>
      <w:proofErr w:type="spellStart"/>
      <w:r>
        <w:t>Hause</w:t>
      </w:r>
      <w:proofErr w:type="spellEnd"/>
      <w:r>
        <w:t xml:space="preserve">, 2013; </w:t>
      </w:r>
      <w:proofErr w:type="spellStart"/>
      <w:r>
        <w:t>Wasternack</w:t>
      </w:r>
      <w:proofErr w:type="spellEnd"/>
      <w:r>
        <w:t xml:space="preserve"> &amp; Song, 2017; </w:t>
      </w:r>
      <w:proofErr w:type="spellStart"/>
      <w:r>
        <w:t>Wasternack</w:t>
      </w:r>
      <w:proofErr w:type="spellEnd"/>
      <w:r>
        <w:t xml:space="preserve"> &amp; </w:t>
      </w:r>
      <w:proofErr w:type="spellStart"/>
      <w:r>
        <w:t>Feussner</w:t>
      </w:r>
      <w:proofErr w:type="spellEnd"/>
      <w:r>
        <w:t>, 2018).</w:t>
      </w:r>
    </w:p>
    <w:p w14:paraId="49F3E2E3" w14:textId="77777777" w:rsidR="005F6B50" w:rsidRDefault="00693C4D">
      <w:pPr>
        <w:spacing w:after="120"/>
        <w:jc w:val="both"/>
      </w:pPr>
      <w:r>
        <w:t xml:space="preserve">This metabolic plurality is agronomically important because the desirable trait is rarely high hormone concentration per se. What matters is the capacity to trigger a transient </w:t>
      </w:r>
      <w:proofErr w:type="spellStart"/>
      <w:r>
        <w:t>signalling</w:t>
      </w:r>
      <w:proofErr w:type="spellEnd"/>
      <w:r>
        <w:t xml:space="preserve"> state that is strong enough to induce </w:t>
      </w:r>
      <w:proofErr w:type="spellStart"/>
      <w:r>
        <w:t>defence</w:t>
      </w:r>
      <w:proofErr w:type="spellEnd"/>
      <w:r>
        <w:t xml:space="preserve">, antioxidant capacity or quality-related metabolism but short enough to avoid prolonged suppression of growth. In practical terms, the same </w:t>
      </w:r>
      <w:proofErr w:type="spellStart"/>
      <w:r>
        <w:t>MeJA</w:t>
      </w:r>
      <w:proofErr w:type="spellEnd"/>
      <w:r>
        <w:t xml:space="preserve"> dose may be stimulatory in harvested fruit, protective in a cut flower, and growth-retarding in a vegetative field crop because the receiving tissues differ in sink strength, developmental priorities and endogenous hormone balance (</w:t>
      </w:r>
      <w:proofErr w:type="spellStart"/>
      <w:r>
        <w:t>Asghari</w:t>
      </w:r>
      <w:proofErr w:type="spellEnd"/>
      <w:r>
        <w:t>, 2019; Hasan et al., 2025).</w:t>
      </w:r>
    </w:p>
    <w:p w14:paraId="2C53EE1D" w14:textId="77777777" w:rsidR="005F6B50" w:rsidRDefault="00693C4D">
      <w:pPr>
        <w:pStyle w:val="Heading2"/>
        <w:spacing w:after="80" w:line="240" w:lineRule="auto"/>
      </w:pPr>
      <w:r>
        <w:lastRenderedPageBreak/>
        <w:t>3.2 Transport, volatility and systemic communication</w:t>
      </w:r>
    </w:p>
    <w:p w14:paraId="2AE2AB99" w14:textId="77777777" w:rsidR="005F6B50" w:rsidRDefault="00693C4D">
      <w:pPr>
        <w:spacing w:after="120"/>
        <w:jc w:val="both"/>
      </w:pPr>
      <w:r>
        <w:t xml:space="preserve">Transport properties further distinguish </w:t>
      </w:r>
      <w:proofErr w:type="spellStart"/>
      <w:r>
        <w:t>jasmonates</w:t>
      </w:r>
      <w:proofErr w:type="spellEnd"/>
      <w:r>
        <w:t xml:space="preserve"> from many other crop regulators. JA and its derivatives can operate locally at the wound site, systemically through vascular and electrical </w:t>
      </w:r>
      <w:proofErr w:type="spellStart"/>
      <w:r>
        <w:t>signalling</w:t>
      </w:r>
      <w:proofErr w:type="spellEnd"/>
      <w:r>
        <w:t xml:space="preserve">, and, in the case of </w:t>
      </w:r>
      <w:proofErr w:type="spellStart"/>
      <w:r>
        <w:t>MeJA</w:t>
      </w:r>
      <w:proofErr w:type="spellEnd"/>
      <w:r>
        <w:t xml:space="preserve">, via </w:t>
      </w:r>
      <w:proofErr w:type="spellStart"/>
      <w:r>
        <w:t>vapour</w:t>
      </w:r>
      <w:proofErr w:type="spellEnd"/>
      <w:r>
        <w:t xml:space="preserve">-mediated communication between plant organs or </w:t>
      </w:r>
      <w:proofErr w:type="spellStart"/>
      <w:r>
        <w:t>neighbouring</w:t>
      </w:r>
      <w:proofErr w:type="spellEnd"/>
      <w:r>
        <w:t xml:space="preserve"> plants. This capacity makes </w:t>
      </w:r>
      <w:proofErr w:type="spellStart"/>
      <w:r>
        <w:t>jasmonates</w:t>
      </w:r>
      <w:proofErr w:type="spellEnd"/>
      <w:r>
        <w:t xml:space="preserve"> especially suited to priming phenomena, in which tissues not yet damaged adopt a heightened state of readiness. Such priming has obvious ecological value in canopies facing patchy herbivory or infection and practical value in packhouse or storage environments where uniform protection is desirable across harvested lots (Howe &amp; </w:t>
      </w:r>
      <w:proofErr w:type="spellStart"/>
      <w:r>
        <w:t>Jander</w:t>
      </w:r>
      <w:proofErr w:type="spellEnd"/>
      <w:r>
        <w:t>, 2008; Kulkarni et al., 2024; Gaikwad et al., 2026).</w:t>
      </w:r>
    </w:p>
    <w:p w14:paraId="54DDD6FC" w14:textId="77777777" w:rsidR="005F6B50" w:rsidRDefault="00693C4D">
      <w:pPr>
        <w:spacing w:after="120"/>
        <w:jc w:val="both"/>
      </w:pPr>
      <w:r>
        <w:t xml:space="preserve">The volatility of </w:t>
      </w:r>
      <w:proofErr w:type="spellStart"/>
      <w:r>
        <w:t>MeJA</w:t>
      </w:r>
      <w:proofErr w:type="spellEnd"/>
      <w:r>
        <w:t xml:space="preserve"> is both an opportunity and a limitation. </w:t>
      </w:r>
      <w:proofErr w:type="spellStart"/>
      <w:r>
        <w:t>Vapour</w:t>
      </w:r>
      <w:proofErr w:type="spellEnd"/>
      <w:r>
        <w:t xml:space="preserve"> treatment can be an efficient way to expose harvested produce without excessive liquid handling, and volatile </w:t>
      </w:r>
      <w:proofErr w:type="spellStart"/>
      <w:r>
        <w:t>signalling</w:t>
      </w:r>
      <w:proofErr w:type="spellEnd"/>
      <w:r>
        <w:t xml:space="preserve"> may recruit beneficial rhizosphere or </w:t>
      </w:r>
      <w:proofErr w:type="spellStart"/>
      <w:r>
        <w:t>phyllosphere</w:t>
      </w:r>
      <w:proofErr w:type="spellEnd"/>
      <w:r>
        <w:t xml:space="preserve"> responses. Yet volatility also complicates dose control in open production environments, increases the importance of enclosure and airflow, and can lead to inconsistent responses when humidity, cuticle properties or canopy structure vary. This partially explains why </w:t>
      </w:r>
      <w:proofErr w:type="spellStart"/>
      <w:r>
        <w:t>jasmonate</w:t>
      </w:r>
      <w:proofErr w:type="spellEnd"/>
      <w:r>
        <w:t xml:space="preserve"> applications have often produced more reproducible outcomes in protected horticulture and postharvest systems than in exposed field conditions (</w:t>
      </w:r>
      <w:proofErr w:type="spellStart"/>
      <w:r>
        <w:t>Asghari</w:t>
      </w:r>
      <w:proofErr w:type="spellEnd"/>
      <w:r>
        <w:t>, 2019; Kulkarni et al., 2024; Min et al., 2024).</w:t>
      </w:r>
    </w:p>
    <w:p w14:paraId="5D8D698C" w14:textId="77777777" w:rsidR="005F6B50" w:rsidRDefault="00693C4D">
      <w:pPr>
        <w:pStyle w:val="Heading2"/>
        <w:spacing w:after="80" w:line="240" w:lineRule="auto"/>
      </w:pPr>
      <w:r>
        <w:t>3.3 Perception and transcriptional outputs</w:t>
      </w:r>
    </w:p>
    <w:p w14:paraId="1516FE32" w14:textId="77777777" w:rsidR="005F6B50" w:rsidRDefault="00693C4D">
      <w:pPr>
        <w:spacing w:after="120"/>
        <w:jc w:val="both"/>
      </w:pPr>
      <w:r>
        <w:t xml:space="preserve">The breakthrough that transformed </w:t>
      </w:r>
      <w:proofErr w:type="spellStart"/>
      <w:r>
        <w:t>jasmonate</w:t>
      </w:r>
      <w:proofErr w:type="spellEnd"/>
      <w:r>
        <w:t xml:space="preserve"> biology into a mature </w:t>
      </w:r>
      <w:proofErr w:type="spellStart"/>
      <w:r>
        <w:t>signalling</w:t>
      </w:r>
      <w:proofErr w:type="spellEnd"/>
      <w:r>
        <w:t xml:space="preserve"> field was the elucidation of its receptor module. JAZ proteins were identified as missing repressors in the pathway, and subsequent work showed that these repressors are degraded through the SCFCOI1 complex in response to </w:t>
      </w:r>
      <w:proofErr w:type="spellStart"/>
      <w:r>
        <w:t>jasmonate</w:t>
      </w:r>
      <w:proofErr w:type="spellEnd"/>
      <w:r>
        <w:t xml:space="preserve"> perception (</w:t>
      </w:r>
      <w:proofErr w:type="spellStart"/>
      <w:r>
        <w:t>Chini</w:t>
      </w:r>
      <w:proofErr w:type="spellEnd"/>
      <w:r>
        <w:t xml:space="preserve"> et al., 2007; </w:t>
      </w:r>
      <w:proofErr w:type="spellStart"/>
      <w:r>
        <w:t>Thines</w:t>
      </w:r>
      <w:proofErr w:type="spellEnd"/>
      <w:r>
        <w:t xml:space="preserve"> et al., 2007). Structural evidence then demonstrated that COI1 and JAZ form a co-receptor whose affinity is potentiated by inositol phosphate, thereby explaining how </w:t>
      </w:r>
      <w:proofErr w:type="spellStart"/>
      <w:r>
        <w:t>jasmonoyl</w:t>
      </w:r>
      <w:proofErr w:type="spellEnd"/>
      <w:r>
        <w:t>-isoleucine is translated into targeted proteolysis of repressors (Sheard et al., 2010).</w:t>
      </w:r>
    </w:p>
    <w:p w14:paraId="2E2291F1" w14:textId="77777777" w:rsidR="005F6B50" w:rsidRDefault="00693C4D">
      <w:pPr>
        <w:spacing w:after="120"/>
        <w:jc w:val="both"/>
      </w:pPr>
      <w:r>
        <w:t xml:space="preserve">At the transcriptional level, the consequence of JAZ degradation is not a uniform </w:t>
      </w:r>
      <w:proofErr w:type="spellStart"/>
      <w:r>
        <w:t>defence</w:t>
      </w:r>
      <w:proofErr w:type="spellEnd"/>
      <w:r>
        <w:t xml:space="preserve"> switch but the release of multiple transcription factors, especially members of the MYC family, alongside other regulators whose activity depends on tissue, developmental context and interacting hormone pathways. The Mediator complex subunit MED25 acts as a crucial hub connecting MYC-type regulators to the transcriptional machinery, thereby controlling initiation, amplification and fine-tuning of </w:t>
      </w:r>
      <w:proofErr w:type="spellStart"/>
      <w:r>
        <w:t>jasmonate</w:t>
      </w:r>
      <w:proofErr w:type="spellEnd"/>
      <w:r>
        <w:t>-responsive gene expression (</w:t>
      </w:r>
      <w:proofErr w:type="spellStart"/>
      <w:r>
        <w:t>Zhai</w:t>
      </w:r>
      <w:proofErr w:type="spellEnd"/>
      <w:r>
        <w:t xml:space="preserve"> et al., 2020). This layered architecture helps explain why </w:t>
      </w:r>
      <w:proofErr w:type="spellStart"/>
      <w:r>
        <w:t>jasmonate</w:t>
      </w:r>
      <w:proofErr w:type="spellEnd"/>
      <w:r>
        <w:t xml:space="preserve"> </w:t>
      </w:r>
      <w:proofErr w:type="spellStart"/>
      <w:r>
        <w:t>signalling</w:t>
      </w:r>
      <w:proofErr w:type="spellEnd"/>
      <w:r>
        <w:t xml:space="preserve"> can control phenomena as different as trichome development, root growth inhibition, volatile emission, pathogen resistance and fruit quality metabolism.</w:t>
      </w:r>
    </w:p>
    <w:p w14:paraId="7F4592DA" w14:textId="77777777" w:rsidR="005F6B50" w:rsidRDefault="00693C4D">
      <w:pPr>
        <w:spacing w:after="120"/>
        <w:jc w:val="both"/>
      </w:pPr>
      <w:r>
        <w:t xml:space="preserve">Agronomically, the COI1-JAZ-MYC module is attractive because it offers precise intervention points. Altering receptor sensitivity, the stability of selected JAZ repressors or the interaction surface of transcriptional co-regulators may allow crops to retain inducible </w:t>
      </w:r>
      <w:proofErr w:type="spellStart"/>
      <w:r>
        <w:t>defence</w:t>
      </w:r>
      <w:proofErr w:type="spellEnd"/>
      <w:r>
        <w:t xml:space="preserve"> without the full growth penalty associated with constitutive activation. The modularity of this system has therefore become central to efforts aimed at uncoupling growth </w:t>
      </w:r>
      <w:r>
        <w:lastRenderedPageBreak/>
        <w:t xml:space="preserve">and </w:t>
      </w:r>
      <w:proofErr w:type="spellStart"/>
      <w:r>
        <w:t>defence</w:t>
      </w:r>
      <w:proofErr w:type="spellEnd"/>
      <w:r>
        <w:t xml:space="preserve"> or restricting JA responses to particular organs or stress windows (Howe et al., 2018; Guo et al., 2018; </w:t>
      </w:r>
      <w:proofErr w:type="spellStart"/>
      <w:r>
        <w:t>Zhai</w:t>
      </w:r>
      <w:proofErr w:type="spellEnd"/>
      <w:r>
        <w:t xml:space="preserve"> et al., 2020).</w:t>
      </w:r>
    </w:p>
    <w:p w14:paraId="2B1FC044" w14:textId="77777777" w:rsidR="005F6B50" w:rsidRDefault="00693C4D">
      <w:pPr>
        <w:spacing w:after="120"/>
        <w:jc w:val="both"/>
      </w:pPr>
      <w:r>
        <w:t xml:space="preserve">A further implication of the receptor model is that successful </w:t>
      </w:r>
      <w:proofErr w:type="spellStart"/>
      <w:r>
        <w:t>jasmonate</w:t>
      </w:r>
      <w:proofErr w:type="spellEnd"/>
      <w:r>
        <w:t xml:space="preserve"> </w:t>
      </w:r>
      <w:proofErr w:type="spellStart"/>
      <w:r>
        <w:t>signalling</w:t>
      </w:r>
      <w:proofErr w:type="spellEnd"/>
      <w:r>
        <w:t xml:space="preserve"> depends on rapid termination as well as rapid activation. JAZ repressors are themselves </w:t>
      </w:r>
      <w:proofErr w:type="spellStart"/>
      <w:r>
        <w:t>resynthesised</w:t>
      </w:r>
      <w:proofErr w:type="spellEnd"/>
      <w:r>
        <w:t xml:space="preserve"> as part of feedback control, and the hormone pool is continuously </w:t>
      </w:r>
      <w:proofErr w:type="spellStart"/>
      <w:r>
        <w:t>remodelled</w:t>
      </w:r>
      <w:proofErr w:type="spellEnd"/>
      <w:r>
        <w:t xml:space="preserve"> through conjugation and catabolism. In agronomic terms, this means that crops can express sharp defensive pulses without remaining permanently trapped in a defensive state, but only if feedback integrity is preserved. It also explains why treatments that seem modest at the point of application may have unexpectedly durable effects in some tissues and fleeting effects in others. Tissue age, sink activity, prior stress exposure and the pace of JAZ re-accumulation all influence how long a </w:t>
      </w:r>
      <w:proofErr w:type="spellStart"/>
      <w:r>
        <w:t>jasmonate</w:t>
      </w:r>
      <w:proofErr w:type="spellEnd"/>
      <w:r>
        <w:t xml:space="preserve"> pulse remains biologically meaningful (</w:t>
      </w:r>
      <w:proofErr w:type="spellStart"/>
      <w:r>
        <w:t>Chini</w:t>
      </w:r>
      <w:proofErr w:type="spellEnd"/>
      <w:r>
        <w:t xml:space="preserve"> et al., 2007; </w:t>
      </w:r>
      <w:proofErr w:type="spellStart"/>
      <w:r>
        <w:t>Thines</w:t>
      </w:r>
      <w:proofErr w:type="spellEnd"/>
      <w:r>
        <w:t xml:space="preserve"> et al., 2007; Howe et al., 2018; </w:t>
      </w:r>
      <w:proofErr w:type="spellStart"/>
      <w:r>
        <w:t>Zhai</w:t>
      </w:r>
      <w:proofErr w:type="spellEnd"/>
      <w:r>
        <w:t xml:space="preserve"> et al., 2020).</w:t>
      </w:r>
    </w:p>
    <w:p w14:paraId="7C1FA8F9" w14:textId="77777777" w:rsidR="005F6B50" w:rsidRDefault="00693C4D">
      <w:pPr>
        <w:pStyle w:val="Heading1"/>
        <w:spacing w:before="240" w:after="120" w:line="240" w:lineRule="auto"/>
      </w:pPr>
      <w:r>
        <w:t>4. Crosstalk and the growth-</w:t>
      </w:r>
      <w:proofErr w:type="spellStart"/>
      <w:r>
        <w:t>defence</w:t>
      </w:r>
      <w:proofErr w:type="spellEnd"/>
      <w:r>
        <w:t xml:space="preserve"> balance</w:t>
      </w:r>
    </w:p>
    <w:p w14:paraId="65A2421B" w14:textId="77777777" w:rsidR="005F6B50" w:rsidRDefault="00693C4D">
      <w:pPr>
        <w:pStyle w:val="Heading2"/>
        <w:spacing w:after="80" w:line="240" w:lineRule="auto"/>
      </w:pPr>
      <w:r>
        <w:t>4.1 Hormonal crosstalk in stress decision making</w:t>
      </w:r>
    </w:p>
    <w:p w14:paraId="1CCEE425" w14:textId="77777777" w:rsidR="005F6B50" w:rsidRDefault="00693C4D">
      <w:pPr>
        <w:spacing w:after="120"/>
        <w:jc w:val="both"/>
      </w:pPr>
      <w:proofErr w:type="spellStart"/>
      <w:r>
        <w:t>Jasmonate</w:t>
      </w:r>
      <w:proofErr w:type="spellEnd"/>
      <w:r>
        <w:t xml:space="preserve"> </w:t>
      </w:r>
      <w:proofErr w:type="spellStart"/>
      <w:r>
        <w:t>signalling</w:t>
      </w:r>
      <w:proofErr w:type="spellEnd"/>
      <w:r>
        <w:t xml:space="preserve"> rarely acts in isolation. Instead, it operates within a dense network of interactions with salicylic acid, ethylene, gibberellins, auxin, abscisic acid and other growth regulators. These interactions are not peripheral details; they largely determine whether JA activation leads to effective crop protection, tolerated acclimation or excessive growth suppression. The agricultural significance of </w:t>
      </w:r>
      <w:proofErr w:type="spellStart"/>
      <w:r>
        <w:t>jasmonate</w:t>
      </w:r>
      <w:proofErr w:type="spellEnd"/>
      <w:r>
        <w:t xml:space="preserve"> crosstalk is therefore straightforward: the same external </w:t>
      </w:r>
      <w:proofErr w:type="spellStart"/>
      <w:r>
        <w:t>MeJA</w:t>
      </w:r>
      <w:proofErr w:type="spellEnd"/>
      <w:r>
        <w:t xml:space="preserve"> treatment can produce different outcomes depending on the endogenous hormonal state established by development, nutrition and prior stress history (</w:t>
      </w:r>
      <w:proofErr w:type="spellStart"/>
      <w:r>
        <w:t>Wasternack</w:t>
      </w:r>
      <w:proofErr w:type="spellEnd"/>
      <w:r>
        <w:t xml:space="preserve"> &amp; Song, 2017; Nguyen et al., 2022).</w:t>
      </w:r>
    </w:p>
    <w:p w14:paraId="48132D38" w14:textId="77777777" w:rsidR="005F6B50" w:rsidRDefault="00693C4D">
      <w:pPr>
        <w:spacing w:after="120"/>
        <w:jc w:val="both"/>
      </w:pPr>
      <w:r>
        <w:t xml:space="preserve">The relationship between </w:t>
      </w:r>
      <w:proofErr w:type="spellStart"/>
      <w:r>
        <w:t>jasmonate</w:t>
      </w:r>
      <w:proofErr w:type="spellEnd"/>
      <w:r>
        <w:t xml:space="preserve"> and salicylic acid is particularly influential in plant immunity. JA often dominates </w:t>
      </w:r>
      <w:proofErr w:type="spellStart"/>
      <w:r>
        <w:t>defences</w:t>
      </w:r>
      <w:proofErr w:type="spellEnd"/>
      <w:r>
        <w:t xml:space="preserve"> against chewing insects and many necrotrophic pathogens, whereas salicylic acid is typically associated with biotrophic and hemi-biotrophic interactions. However, the pathway relationship is not a simple binary antagonism. Crosstalk may be antagonistic, sequential, spatially separated or even cooperative, depending on infection stage and tissue type. This complexity is increasingly appreciated as a central reason why pathogens and herbivores manipulate </w:t>
      </w:r>
      <w:proofErr w:type="spellStart"/>
      <w:r>
        <w:t>jasmonate</w:t>
      </w:r>
      <w:proofErr w:type="spellEnd"/>
      <w:r>
        <w:t xml:space="preserve"> </w:t>
      </w:r>
      <w:proofErr w:type="spellStart"/>
      <w:r>
        <w:t>signalling</w:t>
      </w:r>
      <w:proofErr w:type="spellEnd"/>
      <w:r>
        <w:t xml:space="preserve">, and why successful crop interventions require timing that fits the biology of the attacking organism rather than a generic attempt to raise </w:t>
      </w:r>
      <w:proofErr w:type="spellStart"/>
      <w:r>
        <w:t>defence</w:t>
      </w:r>
      <w:proofErr w:type="spellEnd"/>
      <w:r>
        <w:t xml:space="preserve"> continuously (Howe &amp; </w:t>
      </w:r>
      <w:proofErr w:type="spellStart"/>
      <w:r>
        <w:t>Jander</w:t>
      </w:r>
      <w:proofErr w:type="spellEnd"/>
      <w:r>
        <w:t>, 2008; Li et al., 2023; Gaikwad et al., 2026).</w:t>
      </w:r>
    </w:p>
    <w:p w14:paraId="22BA85A7" w14:textId="77777777" w:rsidR="005F6B50" w:rsidRDefault="00693C4D">
      <w:pPr>
        <w:spacing w:after="120"/>
        <w:jc w:val="both"/>
      </w:pPr>
      <w:r>
        <w:t xml:space="preserve">Ethylene frequently reinforces </w:t>
      </w:r>
      <w:proofErr w:type="spellStart"/>
      <w:r>
        <w:t>jasmonate</w:t>
      </w:r>
      <w:proofErr w:type="spellEnd"/>
      <w:r>
        <w:t xml:space="preserve">-associated </w:t>
      </w:r>
      <w:proofErr w:type="spellStart"/>
      <w:r>
        <w:t>defence</w:t>
      </w:r>
      <w:proofErr w:type="spellEnd"/>
      <w:r>
        <w:t xml:space="preserve"> outputs, especially where wounding, senescence-related transitions or necrotrophic pressure are involved. By contrast, growth-promoting hormones such as gibberellins often counterbalance </w:t>
      </w:r>
      <w:proofErr w:type="spellStart"/>
      <w:r>
        <w:t>jasmonate</w:t>
      </w:r>
      <w:proofErr w:type="spellEnd"/>
      <w:r>
        <w:t xml:space="preserve"> effects because the plant must decide whether carbon and cellular resources are better spent on expansion or on </w:t>
      </w:r>
      <w:proofErr w:type="spellStart"/>
      <w:r>
        <w:t>defence</w:t>
      </w:r>
      <w:proofErr w:type="spellEnd"/>
      <w:r>
        <w:t xml:space="preserve"> compounds. In crop terms, crosstalk means that JA is not best viewed as an independent agrochemical. It is better understood as a signal modifier whose efficacy depends on the state of the wider hormonal network (</w:t>
      </w:r>
      <w:proofErr w:type="spellStart"/>
      <w:r>
        <w:t>Wasternack</w:t>
      </w:r>
      <w:proofErr w:type="spellEnd"/>
      <w:r>
        <w:t xml:space="preserve"> &amp; </w:t>
      </w:r>
      <w:proofErr w:type="spellStart"/>
      <w:r>
        <w:t>Hause</w:t>
      </w:r>
      <w:proofErr w:type="spellEnd"/>
      <w:r>
        <w:t>, 2013; Huang et al., 2017; Nguyen et al., 2022).</w:t>
      </w:r>
    </w:p>
    <w:p w14:paraId="68A61602" w14:textId="77777777" w:rsidR="005F6B50" w:rsidRDefault="00693C4D">
      <w:pPr>
        <w:spacing w:after="120"/>
        <w:jc w:val="both"/>
      </w:pPr>
      <w:r>
        <w:lastRenderedPageBreak/>
        <w:t xml:space="preserve">Crosstalk with abscisic acid and auxin is particularly relevant for abiotic stress adaptation and root system </w:t>
      </w:r>
      <w:proofErr w:type="spellStart"/>
      <w:r>
        <w:t>behaviour</w:t>
      </w:r>
      <w:proofErr w:type="spellEnd"/>
      <w:r>
        <w:t xml:space="preserve">. Under drought or nutrient limitation, </w:t>
      </w:r>
      <w:proofErr w:type="spellStart"/>
      <w:r>
        <w:t>jasmonate</w:t>
      </w:r>
      <w:proofErr w:type="spellEnd"/>
      <w:r>
        <w:t xml:space="preserve">-associated reprogramming may reinforce protective responses such as stomatal control, antioxidant </w:t>
      </w:r>
      <w:proofErr w:type="spellStart"/>
      <w:r>
        <w:t>defence</w:t>
      </w:r>
      <w:proofErr w:type="spellEnd"/>
      <w:r>
        <w:t xml:space="preserve"> or reallocation to roots, but it can also restrain elongation and meristem activity if </w:t>
      </w:r>
      <w:proofErr w:type="spellStart"/>
      <w:r>
        <w:t>signalling</w:t>
      </w:r>
      <w:proofErr w:type="spellEnd"/>
      <w:r>
        <w:t xml:space="preserve"> is excessive. Auxin-linked root architecture and </w:t>
      </w:r>
      <w:proofErr w:type="spellStart"/>
      <w:r>
        <w:t>jasmonate</w:t>
      </w:r>
      <w:proofErr w:type="spellEnd"/>
      <w:r>
        <w:t xml:space="preserve">-linked </w:t>
      </w:r>
      <w:proofErr w:type="spellStart"/>
      <w:r>
        <w:t>defence</w:t>
      </w:r>
      <w:proofErr w:type="spellEnd"/>
      <w:r>
        <w:t xml:space="preserve"> </w:t>
      </w:r>
      <w:proofErr w:type="spellStart"/>
      <w:r>
        <w:t>programmes</w:t>
      </w:r>
      <w:proofErr w:type="spellEnd"/>
      <w:r>
        <w:t xml:space="preserve"> therefore have to be coordinated rather than independently </w:t>
      </w:r>
      <w:proofErr w:type="spellStart"/>
      <w:r>
        <w:t>optimised</w:t>
      </w:r>
      <w:proofErr w:type="spellEnd"/>
      <w:r>
        <w:t xml:space="preserve">. This is one reason why JA treatments that appear </w:t>
      </w:r>
      <w:proofErr w:type="spellStart"/>
      <w:r>
        <w:t>favourable</w:t>
      </w:r>
      <w:proofErr w:type="spellEnd"/>
      <w:r>
        <w:t xml:space="preserve"> under controlled stress assays may behave differently in commercial crops whose root zones are simultaneously shaped by irrigation regime, substrate, </w:t>
      </w:r>
      <w:proofErr w:type="spellStart"/>
      <w:r>
        <w:t>fertiliser</w:t>
      </w:r>
      <w:proofErr w:type="spellEnd"/>
      <w:r>
        <w:t xml:space="preserve"> placement and microbial activity (</w:t>
      </w:r>
      <w:proofErr w:type="spellStart"/>
      <w:r>
        <w:t>Wasternack</w:t>
      </w:r>
      <w:proofErr w:type="spellEnd"/>
      <w:r>
        <w:t xml:space="preserve"> &amp; Song, 2017; Nguyen et al., 2022; Shikha et al., 2023).</w:t>
      </w:r>
    </w:p>
    <w:p w14:paraId="46A7295C" w14:textId="77777777" w:rsidR="005F6B50" w:rsidRDefault="00693C4D">
      <w:pPr>
        <w:pStyle w:val="Heading2"/>
        <w:spacing w:after="80" w:line="240" w:lineRule="auto"/>
      </w:pPr>
      <w:r>
        <w:t>4.2 Light, carbon and nutrient status</w:t>
      </w:r>
    </w:p>
    <w:p w14:paraId="15EA9813" w14:textId="77777777" w:rsidR="005F6B50" w:rsidRDefault="00693C4D">
      <w:pPr>
        <w:spacing w:after="120"/>
        <w:jc w:val="both"/>
      </w:pPr>
      <w:r>
        <w:t>The growth-</w:t>
      </w:r>
      <w:proofErr w:type="spellStart"/>
      <w:r>
        <w:t>defence</w:t>
      </w:r>
      <w:proofErr w:type="spellEnd"/>
      <w:r>
        <w:t xml:space="preserve"> balance becomes especially evident when </w:t>
      </w:r>
      <w:proofErr w:type="spellStart"/>
      <w:r>
        <w:t>jasmonate</w:t>
      </w:r>
      <w:proofErr w:type="spellEnd"/>
      <w:r>
        <w:t xml:space="preserve"> </w:t>
      </w:r>
      <w:proofErr w:type="spellStart"/>
      <w:r>
        <w:t>signalling</w:t>
      </w:r>
      <w:proofErr w:type="spellEnd"/>
      <w:r>
        <w:t xml:space="preserve"> is considered alongside light and carbon availability. Elegant genetic analyses have shown that growth inhibition associated with strong JA responses is not merely a passive consequence of resource depletion but is embedded in regulatory circuitry linking </w:t>
      </w:r>
      <w:proofErr w:type="spellStart"/>
      <w:r>
        <w:t>defence</w:t>
      </w:r>
      <w:proofErr w:type="spellEnd"/>
      <w:r>
        <w:t xml:space="preserve"> transcription with photomorphogenic and gibberellin pathways. In Arabidopsis, rewiring interactions between JAZ repressors and phytochrome B </w:t>
      </w:r>
      <w:proofErr w:type="spellStart"/>
      <w:r>
        <w:t>signalling</w:t>
      </w:r>
      <w:proofErr w:type="spellEnd"/>
      <w:r>
        <w:t xml:space="preserve"> can decouple robust anti-insect </w:t>
      </w:r>
      <w:proofErr w:type="spellStart"/>
      <w:r>
        <w:t>defence</w:t>
      </w:r>
      <w:proofErr w:type="spellEnd"/>
      <w:r>
        <w:t xml:space="preserve"> from severe growth restriction, demonstrating that trade-offs are partly programmable rather than purely unavoidable (Campos et al., 2016; Guo et al., 2018).</w:t>
      </w:r>
    </w:p>
    <w:p w14:paraId="63D8C8B9" w14:textId="77777777" w:rsidR="005F6B50" w:rsidRDefault="00693C4D">
      <w:pPr>
        <w:spacing w:after="120"/>
        <w:jc w:val="both"/>
      </w:pPr>
      <w:r>
        <w:t xml:space="preserve">Mechanistic support for this view comes from the interaction of JAZ and DELLA proteins with transcriptional complexes that integrate </w:t>
      </w:r>
      <w:proofErr w:type="spellStart"/>
      <w:r>
        <w:t>jasmonate</w:t>
      </w:r>
      <w:proofErr w:type="spellEnd"/>
      <w:r>
        <w:t xml:space="preserve"> and gibberellin cues. By modulating common transcriptional nodes, plants can </w:t>
      </w:r>
      <w:proofErr w:type="spellStart"/>
      <w:r>
        <w:t>prioritise</w:t>
      </w:r>
      <w:proofErr w:type="spellEnd"/>
      <w:r>
        <w:t xml:space="preserve"> trichome formation, </w:t>
      </w:r>
      <w:proofErr w:type="spellStart"/>
      <w:r>
        <w:t>defence</w:t>
      </w:r>
      <w:proofErr w:type="spellEnd"/>
      <w:r>
        <w:t xml:space="preserve"> metabolite accumulation or elongation growth according to current risk and resource context (Qi et al., 2014). This has strong implications for agriculture because it suggests that breeders may not need to abandon JA-</w:t>
      </w:r>
      <w:proofErr w:type="spellStart"/>
      <w:r>
        <w:t>centred</w:t>
      </w:r>
      <w:proofErr w:type="spellEnd"/>
      <w:r>
        <w:t xml:space="preserve"> resistance for fear of universal yield loss; instead, they may be able to select alleles that confine growth penalties to particular developmental stages or stress scenarios.</w:t>
      </w:r>
    </w:p>
    <w:p w14:paraId="0E99476A" w14:textId="77777777" w:rsidR="005F6B50" w:rsidRDefault="00693C4D">
      <w:pPr>
        <w:spacing w:after="120"/>
        <w:jc w:val="both"/>
      </w:pPr>
      <w:r>
        <w:t xml:space="preserve">Nutrient status also influences </w:t>
      </w:r>
      <w:proofErr w:type="spellStart"/>
      <w:r>
        <w:t>jasmonate</w:t>
      </w:r>
      <w:proofErr w:type="spellEnd"/>
      <w:r>
        <w:t xml:space="preserve"> outcomes. Recent syntheses show that nutrient deficiencies, especially phosphate limitation, can alter </w:t>
      </w:r>
      <w:proofErr w:type="spellStart"/>
      <w:r>
        <w:t>jasmonate</w:t>
      </w:r>
      <w:proofErr w:type="spellEnd"/>
      <w:r>
        <w:t xml:space="preserve"> biosynthesis, </w:t>
      </w:r>
      <w:proofErr w:type="spellStart"/>
      <w:r>
        <w:t>signalling</w:t>
      </w:r>
      <w:proofErr w:type="spellEnd"/>
      <w:r>
        <w:t xml:space="preserve"> sensitivity and downstream allocation patterns. Phosphate deficiency, for example, activates JA-related responses that can enhance resistance to insect herbivory, indicating that nutrient stress can pre-condition </w:t>
      </w:r>
      <w:proofErr w:type="spellStart"/>
      <w:r>
        <w:t>defence</w:t>
      </w:r>
      <w:proofErr w:type="spellEnd"/>
      <w:r>
        <w:t xml:space="preserve"> </w:t>
      </w:r>
      <w:proofErr w:type="spellStart"/>
      <w:r>
        <w:t>behaviour</w:t>
      </w:r>
      <w:proofErr w:type="spellEnd"/>
      <w:r>
        <w:t xml:space="preserve"> rather than simply weaken the plant (Khan et al., 2016; Shikha et al., 2023). This raises a significant sustainability question: in low-input systems, </w:t>
      </w:r>
      <w:proofErr w:type="spellStart"/>
      <w:r>
        <w:t>jasmonate</w:t>
      </w:r>
      <w:proofErr w:type="spellEnd"/>
      <w:r>
        <w:t xml:space="preserve"> interventions may function not only as </w:t>
      </w:r>
      <w:proofErr w:type="spellStart"/>
      <w:r>
        <w:t>defence</w:t>
      </w:r>
      <w:proofErr w:type="spellEnd"/>
      <w:r>
        <w:t xml:space="preserve"> elicitors but also as mediators of how nutrient scarcity is translated into root architecture, </w:t>
      </w:r>
      <w:proofErr w:type="spellStart"/>
      <w:r>
        <w:t>defence</w:t>
      </w:r>
      <w:proofErr w:type="spellEnd"/>
      <w:r>
        <w:t xml:space="preserve"> priming and resource conservation.</w:t>
      </w:r>
    </w:p>
    <w:p w14:paraId="295557B2" w14:textId="77777777" w:rsidR="005F6B50" w:rsidRDefault="00693C4D">
      <w:pPr>
        <w:pStyle w:val="Heading2"/>
        <w:spacing w:after="80" w:line="240" w:lineRule="auto"/>
      </w:pPr>
      <w:r>
        <w:t xml:space="preserve">4.3 Resource allocation, </w:t>
      </w:r>
      <w:proofErr w:type="spellStart"/>
      <w:r>
        <w:t>defence</w:t>
      </w:r>
      <w:proofErr w:type="spellEnd"/>
      <w:r>
        <w:t xml:space="preserve"> metabolism and productivity</w:t>
      </w:r>
    </w:p>
    <w:p w14:paraId="4A120541" w14:textId="7B757145" w:rsidR="005F6B50" w:rsidRDefault="00693C4D">
      <w:pPr>
        <w:spacing w:after="120"/>
        <w:jc w:val="both"/>
      </w:pPr>
      <w:r>
        <w:t xml:space="preserve">From the standpoint of crop productivity, the most useful insight from recent </w:t>
      </w:r>
      <w:proofErr w:type="spellStart"/>
      <w:r>
        <w:t>jasmonate</w:t>
      </w:r>
      <w:proofErr w:type="spellEnd"/>
      <w:r>
        <w:t xml:space="preserve"> research is that growth-</w:t>
      </w:r>
      <w:proofErr w:type="spellStart"/>
      <w:r>
        <w:t>defence</w:t>
      </w:r>
      <w:proofErr w:type="spellEnd"/>
      <w:r>
        <w:t xml:space="preserve"> conflict is dynamic and distributed. </w:t>
      </w:r>
      <w:proofErr w:type="spellStart"/>
      <w:r>
        <w:t>Jasmonates</w:t>
      </w:r>
      <w:proofErr w:type="spellEnd"/>
      <w:r>
        <w:t xml:space="preserve"> regulate not only defensive proteins or toxins but also carbon partitioning between primary metabolism and </w:t>
      </w:r>
      <w:proofErr w:type="spellStart"/>
      <w:r>
        <w:t>specialised</w:t>
      </w:r>
      <w:proofErr w:type="spellEnd"/>
      <w:r>
        <w:t xml:space="preserve"> metabolites. Repressors of metabolic </w:t>
      </w:r>
      <w:proofErr w:type="spellStart"/>
      <w:r>
        <w:t>defence</w:t>
      </w:r>
      <w:proofErr w:type="spellEnd"/>
      <w:r>
        <w:t xml:space="preserve"> can promote growth and </w:t>
      </w:r>
      <w:r>
        <w:lastRenderedPageBreak/>
        <w:t xml:space="preserve">reproductive fitness when stress pressure is low, whereas their removal </w:t>
      </w:r>
      <w:proofErr w:type="spellStart"/>
      <w:r>
        <w:t>favours</w:t>
      </w:r>
      <w:proofErr w:type="spellEnd"/>
      <w:r>
        <w:t xml:space="preserve"> immediate protection at a</w:t>
      </w:r>
      <w:r w:rsidR="00B743F9" w:rsidRPr="00C96664">
        <w:rPr>
          <w:highlight w:val="yellow"/>
        </w:rPr>
        <w:t>n expansion cost</w:t>
      </w:r>
      <w:r w:rsidRPr="00C96664">
        <w:rPr>
          <w:highlight w:val="yellow"/>
        </w:rPr>
        <w:t xml:space="preserve"> and</w:t>
      </w:r>
      <w:r>
        <w:t>, in some cases, seed set or harvestable biomass (Guo et al., 2018; Howe et al., 2018).</w:t>
      </w:r>
    </w:p>
    <w:p w14:paraId="3060744B" w14:textId="5BB90645" w:rsidR="005F6B50" w:rsidRDefault="00693C4D">
      <w:pPr>
        <w:spacing w:after="120"/>
        <w:jc w:val="both"/>
      </w:pPr>
      <w:r>
        <w:t xml:space="preserve">This does not mean that </w:t>
      </w:r>
      <w:proofErr w:type="spellStart"/>
      <w:r>
        <w:t>jasmonates</w:t>
      </w:r>
      <w:proofErr w:type="spellEnd"/>
      <w:r>
        <w:t xml:space="preserve"> are inherently yield-reducing. Rather, it means that beneficial deployment requires temporal selectivity. Short, well-timed activation around predictable windows of infection, herbivory or postharvest vulnerability may deliver net gains by preventing losses that would otherwise exceed any transient reduction in growth. Chronic activation, repeated high-dose applications or constitutive transgene-based upregulation are more likely to impose penalties. Sustainable use </w:t>
      </w:r>
      <w:r w:rsidRPr="00C96664">
        <w:rPr>
          <w:highlight w:val="yellow"/>
        </w:rPr>
        <w:t>of JA therefore</w:t>
      </w:r>
      <w:r w:rsidR="00B743F9" w:rsidRPr="00C96664">
        <w:rPr>
          <w:highlight w:val="yellow"/>
        </w:rPr>
        <w:t>,</w:t>
      </w:r>
      <w:r w:rsidRPr="00C96664">
        <w:rPr>
          <w:highlight w:val="yellow"/>
        </w:rPr>
        <w:t xml:space="preserve"> depe</w:t>
      </w:r>
      <w:r>
        <w:t xml:space="preserve">nds on replacing the question "Does </w:t>
      </w:r>
      <w:proofErr w:type="spellStart"/>
      <w:r>
        <w:t>jasmonate</w:t>
      </w:r>
      <w:proofErr w:type="spellEnd"/>
      <w:r>
        <w:t xml:space="preserve"> increase </w:t>
      </w:r>
      <w:proofErr w:type="spellStart"/>
      <w:r>
        <w:t>defence</w:t>
      </w:r>
      <w:proofErr w:type="spellEnd"/>
      <w:r>
        <w:t xml:space="preserve">?" with the more agronomically meaningful question "Under which developmental and environmental conditions does induced </w:t>
      </w:r>
      <w:proofErr w:type="spellStart"/>
      <w:r>
        <w:t>defence</w:t>
      </w:r>
      <w:proofErr w:type="spellEnd"/>
      <w:r>
        <w:t xml:space="preserve"> improve net crop value?" (</w:t>
      </w:r>
      <w:proofErr w:type="spellStart"/>
      <w:r>
        <w:t>Asghari</w:t>
      </w:r>
      <w:proofErr w:type="spellEnd"/>
      <w:r>
        <w:t>, 2019; Hasan et al., 2025).</w:t>
      </w:r>
    </w:p>
    <w:p w14:paraId="7F5A2760" w14:textId="77777777" w:rsidR="005F6B50" w:rsidRDefault="00693C4D">
      <w:pPr>
        <w:pStyle w:val="Heading1"/>
        <w:spacing w:before="240" w:after="120" w:line="240" w:lineRule="auto"/>
      </w:pPr>
      <w:r>
        <w:t xml:space="preserve">5. </w:t>
      </w:r>
      <w:proofErr w:type="spellStart"/>
      <w:r>
        <w:t>Jasmonic</w:t>
      </w:r>
      <w:proofErr w:type="spellEnd"/>
      <w:r>
        <w:t xml:space="preserve"> acid in sustainable management of biotic stress</w:t>
      </w:r>
    </w:p>
    <w:p w14:paraId="40A58EAD" w14:textId="77777777" w:rsidR="005F6B50" w:rsidRDefault="00693C4D">
      <w:pPr>
        <w:pStyle w:val="Heading2"/>
        <w:spacing w:after="80" w:line="240" w:lineRule="auto"/>
      </w:pPr>
      <w:r>
        <w:t>5.1 Insect herbivory</w:t>
      </w:r>
    </w:p>
    <w:p w14:paraId="2A5F65FB" w14:textId="77777777" w:rsidR="005F6B50" w:rsidRDefault="00693C4D">
      <w:pPr>
        <w:spacing w:after="120"/>
        <w:jc w:val="both"/>
      </w:pPr>
      <w:r>
        <w:t xml:space="preserve">Among all functions attributed to </w:t>
      </w:r>
      <w:proofErr w:type="spellStart"/>
      <w:r>
        <w:t>jasmonates</w:t>
      </w:r>
      <w:proofErr w:type="spellEnd"/>
      <w:r>
        <w:t xml:space="preserve">, anti-herbivore </w:t>
      </w:r>
      <w:proofErr w:type="spellStart"/>
      <w:r>
        <w:t>defence</w:t>
      </w:r>
      <w:proofErr w:type="spellEnd"/>
      <w:r>
        <w:t xml:space="preserve"> remains the most established. Tissue damage by chewing insects rapidly activates JA biosynthesis, leading to protease inhibitors, toxic or deterrent metabolites, altered digestibility and volatile signals that recruit natural enemies. This makes </w:t>
      </w:r>
      <w:proofErr w:type="spellStart"/>
      <w:r>
        <w:t>jasmonate</w:t>
      </w:r>
      <w:proofErr w:type="spellEnd"/>
      <w:r>
        <w:t xml:space="preserve"> </w:t>
      </w:r>
      <w:proofErr w:type="spellStart"/>
      <w:r>
        <w:t>signalling</w:t>
      </w:r>
      <w:proofErr w:type="spellEnd"/>
      <w:r>
        <w:t xml:space="preserve"> central to ecologically grounded crop protection because it links within-plant resistance to tri-trophic interactions rather than relying exclusively on external insecticides (Howe &amp; </w:t>
      </w:r>
      <w:proofErr w:type="spellStart"/>
      <w:r>
        <w:t>Jander</w:t>
      </w:r>
      <w:proofErr w:type="spellEnd"/>
      <w:r>
        <w:t>, 2008; Howe et al., 2018).</w:t>
      </w:r>
    </w:p>
    <w:p w14:paraId="28D80D93" w14:textId="77777777" w:rsidR="005F6B50" w:rsidRDefault="00693C4D">
      <w:pPr>
        <w:spacing w:after="120"/>
        <w:jc w:val="both"/>
      </w:pPr>
      <w:r>
        <w:t xml:space="preserve">Importantly, JA-mediated herbivore resistance is not limited to generic </w:t>
      </w:r>
      <w:proofErr w:type="spellStart"/>
      <w:r>
        <w:t>defence</w:t>
      </w:r>
      <w:proofErr w:type="spellEnd"/>
      <w:r>
        <w:t xml:space="preserve"> amplification. Plants can perceive herbivore-associated cues that shape the quality and </w:t>
      </w:r>
      <w:proofErr w:type="spellStart"/>
      <w:r>
        <w:t>localisation</w:t>
      </w:r>
      <w:proofErr w:type="spellEnd"/>
      <w:r>
        <w:t xml:space="preserve"> of the </w:t>
      </w:r>
      <w:proofErr w:type="spellStart"/>
      <w:r>
        <w:t>jasmonate</w:t>
      </w:r>
      <w:proofErr w:type="spellEnd"/>
      <w:r>
        <w:t xml:space="preserve"> response. Recent evidence that plant entry of a caterpillar effector is countered by </w:t>
      </w:r>
      <w:proofErr w:type="spellStart"/>
      <w:r>
        <w:t>jasmonate</w:t>
      </w:r>
      <w:proofErr w:type="spellEnd"/>
      <w:r>
        <w:t xml:space="preserve"> illustrates how the pathway participates in a </w:t>
      </w:r>
      <w:proofErr w:type="gramStart"/>
      <w:r>
        <w:t>molecular arms</w:t>
      </w:r>
      <w:proofErr w:type="gramEnd"/>
      <w:r>
        <w:t xml:space="preserve"> race rather than a simple wound reflex (Yan et al., 2023). Such findings reinforce the idea that successful </w:t>
      </w:r>
      <w:proofErr w:type="spellStart"/>
      <w:r>
        <w:t>jasmonate</w:t>
      </w:r>
      <w:proofErr w:type="spellEnd"/>
      <w:r>
        <w:t xml:space="preserve"> deployment in agriculture should be linked to attacker identity. A crop facing persistent chewing herbivores is biologically more compatible with JA-based priming than one dominated by pathogens against which salicylic acid-associated </w:t>
      </w:r>
      <w:proofErr w:type="spellStart"/>
      <w:r>
        <w:t>defences</w:t>
      </w:r>
      <w:proofErr w:type="spellEnd"/>
      <w:r>
        <w:t xml:space="preserve"> are more important.</w:t>
      </w:r>
    </w:p>
    <w:p w14:paraId="038D8D82" w14:textId="77777777" w:rsidR="005F6B50" w:rsidRDefault="00693C4D">
      <w:pPr>
        <w:pStyle w:val="Heading2"/>
        <w:spacing w:after="80" w:line="240" w:lineRule="auto"/>
      </w:pPr>
      <w:r>
        <w:t xml:space="preserve">5.2 Pathogens, immune orchestration and systemic </w:t>
      </w:r>
      <w:proofErr w:type="spellStart"/>
      <w:r>
        <w:t>signalling</w:t>
      </w:r>
      <w:proofErr w:type="spellEnd"/>
    </w:p>
    <w:p w14:paraId="687A642E" w14:textId="77777777" w:rsidR="005F6B50" w:rsidRDefault="00693C4D">
      <w:pPr>
        <w:spacing w:after="120"/>
        <w:jc w:val="both"/>
      </w:pPr>
      <w:proofErr w:type="spellStart"/>
      <w:r>
        <w:t>Jasmonates</w:t>
      </w:r>
      <w:proofErr w:type="spellEnd"/>
      <w:r>
        <w:t xml:space="preserve"> also make substantial contributions to disease resistance, especially against necrotrophic pathogens and infection contexts associated with tissue maceration or wounding. Exogenous </w:t>
      </w:r>
      <w:proofErr w:type="spellStart"/>
      <w:r>
        <w:t>MeJA</w:t>
      </w:r>
      <w:proofErr w:type="spellEnd"/>
      <w:r>
        <w:t xml:space="preserve"> frequently induces pathogenesis-related proteins, phenylpropanoid activity, antioxidant </w:t>
      </w:r>
      <w:proofErr w:type="spellStart"/>
      <w:r>
        <w:t>defences</w:t>
      </w:r>
      <w:proofErr w:type="spellEnd"/>
      <w:r>
        <w:t xml:space="preserve"> and structural reinforcement, all of which may reduce lesion expansion or delay symptom development in harvested and growing tissues. However, pathogen interactions are more heterogeneous than herbivore interactions because microbes differ profoundly in trophic strategy and in their ability to exploit host hormone crosstalk (Li et al., 2023; </w:t>
      </w:r>
      <w:proofErr w:type="spellStart"/>
      <w:r>
        <w:t>Asghari</w:t>
      </w:r>
      <w:proofErr w:type="spellEnd"/>
      <w:r>
        <w:t>, 2019).</w:t>
      </w:r>
    </w:p>
    <w:p w14:paraId="3A621C24" w14:textId="77777777" w:rsidR="005F6B50" w:rsidRDefault="00693C4D">
      <w:pPr>
        <w:spacing w:after="120"/>
        <w:jc w:val="both"/>
      </w:pPr>
      <w:r>
        <w:lastRenderedPageBreak/>
        <w:t xml:space="preserve">One of the most important recent conceptual advances is the recognition that </w:t>
      </w:r>
      <w:proofErr w:type="spellStart"/>
      <w:r>
        <w:t>jasmonate</w:t>
      </w:r>
      <w:proofErr w:type="spellEnd"/>
      <w:r>
        <w:t xml:space="preserve"> contributes not only to local </w:t>
      </w:r>
      <w:proofErr w:type="spellStart"/>
      <w:r>
        <w:t>defence</w:t>
      </w:r>
      <w:proofErr w:type="spellEnd"/>
      <w:r>
        <w:t xml:space="preserve"> but also to rapid systemic immune initiation. Evidence that rapid local and systemic </w:t>
      </w:r>
      <w:proofErr w:type="spellStart"/>
      <w:r>
        <w:t>jasmonate</w:t>
      </w:r>
      <w:proofErr w:type="spellEnd"/>
      <w:r>
        <w:t xml:space="preserve"> </w:t>
      </w:r>
      <w:proofErr w:type="spellStart"/>
      <w:r>
        <w:t>signalling</w:t>
      </w:r>
      <w:proofErr w:type="spellEnd"/>
      <w:r>
        <w:t xml:space="preserve"> drives the establishment of systemic immunity challenges older oversimplifications in which </w:t>
      </w:r>
      <w:proofErr w:type="spellStart"/>
      <w:r>
        <w:t>jasmonate</w:t>
      </w:r>
      <w:proofErr w:type="spellEnd"/>
      <w:r>
        <w:t xml:space="preserve"> and salicylic acid were assigned rigid, mutually exclusive immune domains (Gaikwad et al., 2026). For sustainable crop protection, </w:t>
      </w:r>
      <w:proofErr w:type="gramStart"/>
      <w:r>
        <w:t>this matters</w:t>
      </w:r>
      <w:proofErr w:type="gramEnd"/>
      <w:r>
        <w:t xml:space="preserve"> because systemic responses can protect tissues that have not yet been challenged, thereby increasing the efficiency of early or targeted interventions. A precisely timed </w:t>
      </w:r>
      <w:proofErr w:type="spellStart"/>
      <w:r>
        <w:t>jasmonate</w:t>
      </w:r>
      <w:proofErr w:type="spellEnd"/>
      <w:r>
        <w:t xml:space="preserve"> pulse may therefore generate benefits beyond the treated organ, especially when the crop is entering a high-risk phase for secondary infection.</w:t>
      </w:r>
    </w:p>
    <w:p w14:paraId="60DE6C57" w14:textId="77777777" w:rsidR="005F6B50" w:rsidRDefault="00693C4D">
      <w:pPr>
        <w:spacing w:after="120"/>
        <w:jc w:val="both"/>
      </w:pPr>
      <w:r>
        <w:t xml:space="preserve">Pathogens also manipulate </w:t>
      </w:r>
      <w:proofErr w:type="spellStart"/>
      <w:r>
        <w:t>jasmonate</w:t>
      </w:r>
      <w:proofErr w:type="spellEnd"/>
      <w:r>
        <w:t xml:space="preserve"> biology. Reviews of host-pathogen confrontation show that successful pathogens may activate, suppress or redirect JA responses to </w:t>
      </w:r>
      <w:proofErr w:type="spellStart"/>
      <w:r>
        <w:t>favour</w:t>
      </w:r>
      <w:proofErr w:type="spellEnd"/>
      <w:r>
        <w:t xml:space="preserve"> </w:t>
      </w:r>
      <w:proofErr w:type="spellStart"/>
      <w:r>
        <w:t>colonisation</w:t>
      </w:r>
      <w:proofErr w:type="spellEnd"/>
      <w:r>
        <w:t xml:space="preserve">, depending on whether host resources are better exploited through </w:t>
      </w:r>
      <w:proofErr w:type="spellStart"/>
      <w:r>
        <w:t>defence</w:t>
      </w:r>
      <w:proofErr w:type="spellEnd"/>
      <w:r>
        <w:t xml:space="preserve"> confusion or </w:t>
      </w:r>
      <w:proofErr w:type="spellStart"/>
      <w:r>
        <w:t>defence</w:t>
      </w:r>
      <w:proofErr w:type="spellEnd"/>
      <w:r>
        <w:t xml:space="preserve"> suppression (Li et al., 2023). This warns against simplistic recommendations for universal </w:t>
      </w:r>
      <w:proofErr w:type="spellStart"/>
      <w:r>
        <w:t>jasmonate</w:t>
      </w:r>
      <w:proofErr w:type="spellEnd"/>
      <w:r>
        <w:t xml:space="preserve"> application. A treatment that improves resistance to one </w:t>
      </w:r>
      <w:proofErr w:type="spellStart"/>
      <w:r>
        <w:t>necrotroph</w:t>
      </w:r>
      <w:proofErr w:type="spellEnd"/>
      <w:r>
        <w:t xml:space="preserve"> may not aid, and may even complicate, resistance to a biotrophic pathogen if timing or disease ecology is poorly matched.</w:t>
      </w:r>
    </w:p>
    <w:p w14:paraId="4FEF2896" w14:textId="77777777" w:rsidR="005F6B50" w:rsidRDefault="00693C4D">
      <w:pPr>
        <w:spacing w:after="120"/>
        <w:jc w:val="both"/>
      </w:pPr>
      <w:r>
        <w:t xml:space="preserve">For horticultural commodities, this distinction is especially important because harvested organs continue to face pathogen pressure after detachment while also undergoing senescence-associated weakening of barriers. In such tissues, </w:t>
      </w:r>
      <w:proofErr w:type="spellStart"/>
      <w:r>
        <w:t>jasmonate</w:t>
      </w:r>
      <w:proofErr w:type="spellEnd"/>
      <w:r>
        <w:t>-induced strengthening of phenylpropanoid metabolism, antioxidant buffering and pathogenesis-related proteins may provide enough additional resistance to delay lesion development and maintain marketability, even if the treatment is not completely fungicidal. This kind of partial suppression can still be valuable because it buys time for cold storage, distribution and retail display. In sustainable systems, where the aim is often to reduce chemical load rather than to eliminate every pathogen immediately, such physiological reinforcement has practical importance (</w:t>
      </w:r>
      <w:proofErr w:type="spellStart"/>
      <w:r>
        <w:t>Asghari</w:t>
      </w:r>
      <w:proofErr w:type="spellEnd"/>
      <w:r>
        <w:t>, 2019; Saavedra et al., 2016; Li et al., 2023).</w:t>
      </w:r>
    </w:p>
    <w:p w14:paraId="24F4DA4F" w14:textId="77777777" w:rsidR="005F6B50" w:rsidRDefault="00693C4D">
      <w:pPr>
        <w:pStyle w:val="Heading2"/>
        <w:spacing w:after="80" w:line="240" w:lineRule="auto"/>
      </w:pPr>
      <w:r>
        <w:t>5.3 Rhizosphere and microbiome interactions</w:t>
      </w:r>
    </w:p>
    <w:p w14:paraId="6067DE0A" w14:textId="77777777" w:rsidR="005F6B50" w:rsidRDefault="00693C4D">
      <w:pPr>
        <w:spacing w:after="120"/>
        <w:jc w:val="both"/>
      </w:pPr>
      <w:r>
        <w:t xml:space="preserve">An increasingly promising dimension of </w:t>
      </w:r>
      <w:proofErr w:type="spellStart"/>
      <w:r>
        <w:t>jasmonate</w:t>
      </w:r>
      <w:proofErr w:type="spellEnd"/>
      <w:r>
        <w:t xml:space="preserve"> research concerns the below-ground zone. Root-derived or root-associated </w:t>
      </w:r>
      <w:proofErr w:type="spellStart"/>
      <w:r>
        <w:t>jasmonate</w:t>
      </w:r>
      <w:proofErr w:type="spellEnd"/>
      <w:r>
        <w:t xml:space="preserve"> signals can influence microbial recruitment, biofilm formation and the assembly of beneficial rhizosphere communities. The demonstration that volatile methyl </w:t>
      </w:r>
      <w:proofErr w:type="spellStart"/>
      <w:r>
        <w:t>jasmonate</w:t>
      </w:r>
      <w:proofErr w:type="spellEnd"/>
      <w:r>
        <w:t xml:space="preserve"> from roots can trigger host-beneficial soil microbiome biofilms indicates that JA is not only an internal plant hormone but also part of the language through which plants shape their microbial </w:t>
      </w:r>
      <w:proofErr w:type="spellStart"/>
      <w:r>
        <w:t>neighbourhood</w:t>
      </w:r>
      <w:proofErr w:type="spellEnd"/>
      <w:r>
        <w:t xml:space="preserve"> (Kulkarni et al., 2024).</w:t>
      </w:r>
    </w:p>
    <w:p w14:paraId="0BBE2191" w14:textId="1D9542D8" w:rsidR="005F6B50" w:rsidRDefault="00693C4D">
      <w:pPr>
        <w:spacing w:after="120"/>
        <w:jc w:val="both"/>
      </w:pPr>
      <w:r>
        <w:t xml:space="preserve">This observation is highly relevant to sustainable agriculture because microbiome engineering is often constrained </w:t>
      </w:r>
      <w:r w:rsidRPr="00C96664">
        <w:rPr>
          <w:highlight w:val="yellow"/>
        </w:rPr>
        <w:t xml:space="preserve">by </w:t>
      </w:r>
      <w:r w:rsidR="00B743F9" w:rsidRPr="00C96664">
        <w:rPr>
          <w:highlight w:val="yellow"/>
        </w:rPr>
        <w:t xml:space="preserve">the </w:t>
      </w:r>
      <w:r w:rsidRPr="00C96664">
        <w:rPr>
          <w:highlight w:val="yellow"/>
        </w:rPr>
        <w:t>inconsistent</w:t>
      </w:r>
      <w:r>
        <w:t xml:space="preserve"> establishment of beneficial inoculants in the field. If </w:t>
      </w:r>
      <w:proofErr w:type="spellStart"/>
      <w:r>
        <w:t>jasmonate</w:t>
      </w:r>
      <w:proofErr w:type="spellEnd"/>
      <w:r>
        <w:t xml:space="preserve">-regulated exudation or volatility can bias the rhizosphere towards protective or growth-supporting communities, then JA could serve as a bridge between host physiology and biological control. The practical implication is not that </w:t>
      </w:r>
      <w:proofErr w:type="spellStart"/>
      <w:r>
        <w:t>jasmonate</w:t>
      </w:r>
      <w:proofErr w:type="spellEnd"/>
      <w:r>
        <w:t xml:space="preserve"> should replace microbial inputs, but that it might improve their establishment or performance when used in compatible formulations and cropping systems (Kulkarni et al., 2024).</w:t>
      </w:r>
    </w:p>
    <w:p w14:paraId="181A7BCA" w14:textId="02320940" w:rsidR="005F6B50" w:rsidRDefault="00693C4D">
      <w:pPr>
        <w:spacing w:after="120"/>
        <w:jc w:val="both"/>
      </w:pPr>
      <w:r>
        <w:lastRenderedPageBreak/>
        <w:t xml:space="preserve">Taken together, the biotic stress literature suggests that </w:t>
      </w:r>
      <w:proofErr w:type="spellStart"/>
      <w:r>
        <w:t>jasmonates</w:t>
      </w:r>
      <w:proofErr w:type="spellEnd"/>
      <w:r>
        <w:t xml:space="preserve"> are most valuable when used as </w:t>
      </w:r>
      <w:proofErr w:type="spellStart"/>
      <w:r>
        <w:t>organisers</w:t>
      </w:r>
      <w:proofErr w:type="spellEnd"/>
      <w:r>
        <w:t xml:space="preserve"> of resistance rather than as one-dimensional substitutes for pesticides. Their strength lies in coordinating local </w:t>
      </w:r>
      <w:proofErr w:type="spellStart"/>
      <w:r>
        <w:t>defence</w:t>
      </w:r>
      <w:proofErr w:type="spellEnd"/>
      <w:r>
        <w:t xml:space="preserve">, systemic readiness, indirect </w:t>
      </w:r>
      <w:proofErr w:type="spellStart"/>
      <w:r>
        <w:t>defence</w:t>
      </w:r>
      <w:proofErr w:type="spellEnd"/>
      <w:r>
        <w:t xml:space="preserve"> through volatile cues and, potentially, beneficial microbiome recruitment. Their weakness lies in context dependence. Sustainable </w:t>
      </w:r>
      <w:r w:rsidRPr="00C96664">
        <w:rPr>
          <w:highlight w:val="yellow"/>
        </w:rPr>
        <w:t>deployment therefore</w:t>
      </w:r>
      <w:r w:rsidR="00B743F9" w:rsidRPr="00C96664">
        <w:rPr>
          <w:highlight w:val="yellow"/>
        </w:rPr>
        <w:t>,</w:t>
      </w:r>
      <w:r w:rsidRPr="00C96664">
        <w:rPr>
          <w:highlight w:val="yellow"/>
        </w:rPr>
        <w:t xml:space="preserve"> requir</w:t>
      </w:r>
      <w:r>
        <w:t xml:space="preserve">es ecological discrimination, with </w:t>
      </w:r>
      <w:proofErr w:type="spellStart"/>
      <w:r>
        <w:t>jasmonate</w:t>
      </w:r>
      <w:proofErr w:type="spellEnd"/>
      <w:r>
        <w:t>-based strategies aligned to attacker type, crop phenology and the broader biological control framework.</w:t>
      </w:r>
    </w:p>
    <w:p w14:paraId="4B0BAC21" w14:textId="77777777" w:rsidR="005F6B50" w:rsidRDefault="00693C4D">
      <w:pPr>
        <w:pStyle w:val="Heading1"/>
        <w:spacing w:before="240" w:after="120" w:line="240" w:lineRule="auto"/>
      </w:pPr>
      <w:r>
        <w:t xml:space="preserve">6. </w:t>
      </w:r>
      <w:proofErr w:type="spellStart"/>
      <w:r>
        <w:t>Jasmonic</w:t>
      </w:r>
      <w:proofErr w:type="spellEnd"/>
      <w:r>
        <w:t xml:space="preserve"> acid in abiotic stress resilience</w:t>
      </w:r>
    </w:p>
    <w:p w14:paraId="19D74D3A" w14:textId="77777777" w:rsidR="005F6B50" w:rsidRDefault="00693C4D">
      <w:pPr>
        <w:pStyle w:val="Heading2"/>
        <w:spacing w:after="80" w:line="240" w:lineRule="auto"/>
      </w:pPr>
      <w:r>
        <w:t>6.1 Drought and salinity</w:t>
      </w:r>
    </w:p>
    <w:p w14:paraId="73BA5860" w14:textId="77777777" w:rsidR="005F6B50" w:rsidRDefault="00693C4D">
      <w:pPr>
        <w:spacing w:after="120"/>
        <w:jc w:val="both"/>
      </w:pPr>
      <w:r>
        <w:t xml:space="preserve">Abiotic stresses are often discussed separately from </w:t>
      </w:r>
      <w:proofErr w:type="spellStart"/>
      <w:r>
        <w:t>jasmonate</w:t>
      </w:r>
      <w:proofErr w:type="spellEnd"/>
      <w:r>
        <w:t xml:space="preserve"> biology, yet a large body of evidence now shows that JA participates directly in acclimation to water deficit, osmotic stress and salinity. Across multiple species, exogenous JA or </w:t>
      </w:r>
      <w:proofErr w:type="spellStart"/>
      <w:r>
        <w:t>MeJA</w:t>
      </w:r>
      <w:proofErr w:type="spellEnd"/>
      <w:r>
        <w:t xml:space="preserve"> has been associated with stronger antioxidant capacity, improved osmotic adjustment, reduced lipid peroxidation and altered stomatal or ion-regulatory </w:t>
      </w:r>
      <w:proofErr w:type="spellStart"/>
      <w:r>
        <w:t>behaviour</w:t>
      </w:r>
      <w:proofErr w:type="spellEnd"/>
      <w:r>
        <w:t xml:space="preserve"> under stress. These responses can preserve membrane function and slow the cascade by which drought or salinity reduces photosynthetic competence and cellular integrity (Per et al., 2018; </w:t>
      </w:r>
      <w:proofErr w:type="spellStart"/>
      <w:r>
        <w:t>Wasternack</w:t>
      </w:r>
      <w:proofErr w:type="spellEnd"/>
      <w:r>
        <w:t xml:space="preserve"> &amp; Song, 2017; </w:t>
      </w:r>
      <w:proofErr w:type="spellStart"/>
      <w:r>
        <w:t>Asghari</w:t>
      </w:r>
      <w:proofErr w:type="spellEnd"/>
      <w:r>
        <w:t>, 2019).</w:t>
      </w:r>
    </w:p>
    <w:p w14:paraId="4EDD3E74" w14:textId="77777777" w:rsidR="005F6B50" w:rsidRDefault="00693C4D">
      <w:pPr>
        <w:spacing w:after="120"/>
        <w:jc w:val="both"/>
      </w:pPr>
      <w:r>
        <w:t xml:space="preserve">The beneficial effect is best interpreted as a reprogramming event rather than a simple tonic. </w:t>
      </w:r>
      <w:proofErr w:type="spellStart"/>
      <w:r>
        <w:t>Jasmonates</w:t>
      </w:r>
      <w:proofErr w:type="spellEnd"/>
      <w:r>
        <w:t xml:space="preserve"> activate transcriptional and metabolic modules that enhance the plant's ability to tolerate oxidative and osmotic disturbance, but the benefit depends heavily on concentration and background physiology. Moderate or transient activation can support resilience, whereas overly strong activation can curtail growth and thereby erase any stress-mitigation advantage. This is why the most encouraging agricultural results tend to arise from carefully titrated applications or from genotypes in which response amplitude is naturally moderated (Per et al., 2018; Guo et al., 2018).</w:t>
      </w:r>
    </w:p>
    <w:p w14:paraId="18B1D16B" w14:textId="77777777" w:rsidR="005F6B50" w:rsidRDefault="00693C4D">
      <w:pPr>
        <w:spacing w:after="120"/>
        <w:jc w:val="both"/>
      </w:pPr>
      <w:r>
        <w:t xml:space="preserve">Salinity provides a useful example of this balance. JA-associated </w:t>
      </w:r>
      <w:proofErr w:type="spellStart"/>
      <w:r>
        <w:t>signalling</w:t>
      </w:r>
      <w:proofErr w:type="spellEnd"/>
      <w:r>
        <w:t xml:space="preserve"> can contribute to ion homeostasis, antioxidant </w:t>
      </w:r>
      <w:proofErr w:type="spellStart"/>
      <w:r>
        <w:t>defence</w:t>
      </w:r>
      <w:proofErr w:type="spellEnd"/>
      <w:r>
        <w:t xml:space="preserve"> and cellular protection under salt stress, but the same </w:t>
      </w:r>
      <w:proofErr w:type="spellStart"/>
      <w:r>
        <w:t>signalling</w:t>
      </w:r>
      <w:proofErr w:type="spellEnd"/>
      <w:r>
        <w:t xml:space="preserve"> also interacts with growth control. In low-input or marginal environments, the best use of </w:t>
      </w:r>
      <w:proofErr w:type="spellStart"/>
      <w:r>
        <w:t>jasmonate</w:t>
      </w:r>
      <w:proofErr w:type="spellEnd"/>
      <w:r>
        <w:t xml:space="preserve"> may therefore be to protect establishment, recovery or critical reproductive transitions rather than to sustain continuously elevated </w:t>
      </w:r>
      <w:proofErr w:type="spellStart"/>
      <w:r>
        <w:t>defence</w:t>
      </w:r>
      <w:proofErr w:type="spellEnd"/>
      <w:r>
        <w:t xml:space="preserve"> throughout the crop cycle (Per et al., 2018; </w:t>
      </w:r>
      <w:proofErr w:type="spellStart"/>
      <w:r>
        <w:t>Asghari</w:t>
      </w:r>
      <w:proofErr w:type="spellEnd"/>
      <w:r>
        <w:t>, 2019).</w:t>
      </w:r>
    </w:p>
    <w:p w14:paraId="78BBB136" w14:textId="77777777" w:rsidR="005F6B50" w:rsidRDefault="00693C4D">
      <w:pPr>
        <w:spacing w:after="120"/>
        <w:jc w:val="both"/>
      </w:pPr>
      <w:r>
        <w:t xml:space="preserve">This emphasis on timing highlights an underappreciated feature of JA biology: many of its most useful abiotic stress effects are priming effects. Rather than rendering plants permanently tolerant, </w:t>
      </w:r>
      <w:proofErr w:type="spellStart"/>
      <w:r>
        <w:t>jasmonate</w:t>
      </w:r>
      <w:proofErr w:type="spellEnd"/>
      <w:r>
        <w:t xml:space="preserve"> can shift antioxidant capacity, osmolyte metabolism and stress-responsive gene expression into a faster-reacting state. Primed plants often recover more effectively after transient stress because damage is contained earlier and repair costs remain lower. That logic aligns well with climate-resilient farming, where many injurious events are episodic rather than constant. A well-timed </w:t>
      </w:r>
      <w:proofErr w:type="spellStart"/>
      <w:r>
        <w:t>jasmonate</w:t>
      </w:r>
      <w:proofErr w:type="spellEnd"/>
      <w:r>
        <w:t xml:space="preserve"> intervention may therefore have more value as insurance against short, severe episodes than as a routine treatment applied irrespective of forecast or crop stage (Per et al., 2018; </w:t>
      </w:r>
      <w:proofErr w:type="spellStart"/>
      <w:r>
        <w:t>Wasternack</w:t>
      </w:r>
      <w:proofErr w:type="spellEnd"/>
      <w:r>
        <w:t xml:space="preserve"> &amp; Song, 2017; </w:t>
      </w:r>
      <w:proofErr w:type="spellStart"/>
      <w:r>
        <w:t>Asghari</w:t>
      </w:r>
      <w:proofErr w:type="spellEnd"/>
      <w:r>
        <w:t>, 2019).</w:t>
      </w:r>
    </w:p>
    <w:p w14:paraId="538A5F6C" w14:textId="77777777" w:rsidR="005F6B50" w:rsidRDefault="00693C4D">
      <w:pPr>
        <w:pStyle w:val="Heading2"/>
        <w:spacing w:after="80" w:line="240" w:lineRule="auto"/>
      </w:pPr>
      <w:r>
        <w:lastRenderedPageBreak/>
        <w:t>6.2 Temperature stress, oxidative burden and membrane protection</w:t>
      </w:r>
    </w:p>
    <w:p w14:paraId="7E7BA758" w14:textId="77777777" w:rsidR="005F6B50" w:rsidRDefault="00693C4D">
      <w:pPr>
        <w:spacing w:after="120"/>
        <w:jc w:val="both"/>
      </w:pPr>
      <w:r>
        <w:t xml:space="preserve">Temperature extremes, whether in the field or during storage, also intersect strongly with </w:t>
      </w:r>
      <w:proofErr w:type="spellStart"/>
      <w:r>
        <w:t>jasmonate</w:t>
      </w:r>
      <w:proofErr w:type="spellEnd"/>
      <w:r>
        <w:t xml:space="preserve"> function. Heat and cold disturb membrane properties, redox balance, protein stability and source-sink relations. </w:t>
      </w:r>
      <w:proofErr w:type="spellStart"/>
      <w:r>
        <w:t>Jasmonate</w:t>
      </w:r>
      <w:proofErr w:type="spellEnd"/>
      <w:r>
        <w:t>-related responses help buffer these disruptions through antioxidant activation, adjustment of stress-related gene expression and modification of membrane-linked metabolic processes (</w:t>
      </w:r>
      <w:proofErr w:type="spellStart"/>
      <w:r>
        <w:t>Wasternack</w:t>
      </w:r>
      <w:proofErr w:type="spellEnd"/>
      <w:r>
        <w:t xml:space="preserve"> &amp; </w:t>
      </w:r>
      <w:proofErr w:type="spellStart"/>
      <w:r>
        <w:t>Hause</w:t>
      </w:r>
      <w:proofErr w:type="spellEnd"/>
      <w:r>
        <w:t>, 2013; Per et al., 2018). In harvested commodities, these mechanisms are particularly valuable because postharvest chilling injury or oxidative deterioration often determines market value more directly than field yield.</w:t>
      </w:r>
    </w:p>
    <w:p w14:paraId="68CFD77F" w14:textId="77777777" w:rsidR="005F6B50" w:rsidRDefault="00693C4D">
      <w:pPr>
        <w:spacing w:after="120"/>
        <w:jc w:val="both"/>
      </w:pPr>
      <w:r>
        <w:t xml:space="preserve">The postharvest literature shows that </w:t>
      </w:r>
      <w:proofErr w:type="spellStart"/>
      <w:r>
        <w:t>MeJA</w:t>
      </w:r>
      <w:proofErr w:type="spellEnd"/>
      <w:r>
        <w:t xml:space="preserve"> can improve chilling tolerance by maintaining antioxidant metabolism, </w:t>
      </w:r>
      <w:proofErr w:type="spellStart"/>
      <w:r>
        <w:t>stabilising</w:t>
      </w:r>
      <w:proofErr w:type="spellEnd"/>
      <w:r>
        <w:t xml:space="preserve"> membrane-associated processes and modulating energy and secondary metabolism. Meta-analytical synthesis indicates that such benefits are widespread but not uniform across commodities, with outcome depending on species, maturity stage, storage temperature, treatment mode and concentration (Min et al., 2024). This mirrors the broader agronomic lesson from JA biology: beneficial stress priming is a context-specific physiological state, not an inherent property of the molecule alone.</w:t>
      </w:r>
    </w:p>
    <w:p w14:paraId="088B1F26" w14:textId="77777777" w:rsidR="005F6B50" w:rsidRDefault="00693C4D">
      <w:pPr>
        <w:pStyle w:val="Heading2"/>
        <w:spacing w:after="80" w:line="240" w:lineRule="auto"/>
      </w:pPr>
      <w:r>
        <w:t>6.3 Nutrient deficiency, root responses and low-input systems</w:t>
      </w:r>
    </w:p>
    <w:p w14:paraId="5C369985" w14:textId="77777777" w:rsidR="005F6B50" w:rsidRDefault="00693C4D">
      <w:pPr>
        <w:spacing w:after="120"/>
        <w:jc w:val="both"/>
      </w:pPr>
      <w:r>
        <w:t xml:space="preserve">Nutrient deficiency represents another domain in which </w:t>
      </w:r>
      <w:proofErr w:type="spellStart"/>
      <w:r>
        <w:t>jasmonate</w:t>
      </w:r>
      <w:proofErr w:type="spellEnd"/>
      <w:r>
        <w:t xml:space="preserve"> has moved from peripheral observation to mechanistic relevance. Recent work shows that nutrient stresses reshape </w:t>
      </w:r>
      <w:proofErr w:type="spellStart"/>
      <w:r>
        <w:t>jasmonate</w:t>
      </w:r>
      <w:proofErr w:type="spellEnd"/>
      <w:r>
        <w:t xml:space="preserve"> biosynthesis and response networks, influencing root growth, foraging </w:t>
      </w:r>
      <w:proofErr w:type="spellStart"/>
      <w:r>
        <w:t>behaviour</w:t>
      </w:r>
      <w:proofErr w:type="spellEnd"/>
      <w:r>
        <w:t xml:space="preserve">, </w:t>
      </w:r>
      <w:proofErr w:type="spellStart"/>
      <w:r>
        <w:t>defence</w:t>
      </w:r>
      <w:proofErr w:type="spellEnd"/>
      <w:r>
        <w:t xml:space="preserve"> </w:t>
      </w:r>
      <w:proofErr w:type="spellStart"/>
      <w:r>
        <w:t>prioritisation</w:t>
      </w:r>
      <w:proofErr w:type="spellEnd"/>
      <w:r>
        <w:t xml:space="preserve"> and interactions with other hormones. This is particularly significant in sustainable systems where nutrient inputs are intentionally reduced and crops must maintain function under fluctuating availability (Shikha et al., 2023).</w:t>
      </w:r>
    </w:p>
    <w:p w14:paraId="35AC5D4E" w14:textId="77777777" w:rsidR="005F6B50" w:rsidRDefault="00693C4D">
      <w:pPr>
        <w:spacing w:after="120"/>
        <w:jc w:val="both"/>
      </w:pPr>
      <w:r>
        <w:t xml:space="preserve">Phosphate deficiency is the clearest example. It induces the </w:t>
      </w:r>
      <w:proofErr w:type="spellStart"/>
      <w:r>
        <w:t>jasmonate</w:t>
      </w:r>
      <w:proofErr w:type="spellEnd"/>
      <w:r>
        <w:t xml:space="preserve"> pathway and can enhance resistance to insect herbivory, indicating that nutrient limitation does not merely create weakness but can reconfigure </w:t>
      </w:r>
      <w:proofErr w:type="spellStart"/>
      <w:r>
        <w:t>defence</w:t>
      </w:r>
      <w:proofErr w:type="spellEnd"/>
      <w:r>
        <w:t xml:space="preserve"> posture (Khan et al., 2016). More broadly, nutrient-responsive </w:t>
      </w:r>
      <w:proofErr w:type="spellStart"/>
      <w:r>
        <w:t>jasmonate</w:t>
      </w:r>
      <w:proofErr w:type="spellEnd"/>
      <w:r>
        <w:t xml:space="preserve"> </w:t>
      </w:r>
      <w:proofErr w:type="spellStart"/>
      <w:r>
        <w:t>signalling</w:t>
      </w:r>
      <w:proofErr w:type="spellEnd"/>
      <w:r>
        <w:t xml:space="preserve"> appears to help plants reconcile below-ground resource acquisition with above-ground </w:t>
      </w:r>
      <w:proofErr w:type="spellStart"/>
      <w:r>
        <w:t>defence</w:t>
      </w:r>
      <w:proofErr w:type="spellEnd"/>
      <w:r>
        <w:t xml:space="preserve"> and growth demands. This makes JA relevant not only to stress physiology but also to </w:t>
      </w:r>
      <w:proofErr w:type="spellStart"/>
      <w:r>
        <w:t>fertiliser</w:t>
      </w:r>
      <w:proofErr w:type="spellEnd"/>
      <w:r>
        <w:t xml:space="preserve"> efficiency, root system architecture and the resilience of crops grown under constrained nutrient supply (Shikha et al., 2023).</w:t>
      </w:r>
    </w:p>
    <w:p w14:paraId="308458F2" w14:textId="5499993E" w:rsidR="005F6B50" w:rsidRDefault="00693C4D">
      <w:pPr>
        <w:spacing w:after="120"/>
        <w:jc w:val="both"/>
      </w:pPr>
      <w:r>
        <w:t xml:space="preserve">Nevertheless, nutrient-deficiency contexts also underscore the risk of overinterpreting </w:t>
      </w:r>
      <w:proofErr w:type="spellStart"/>
      <w:r>
        <w:t>jasmonate</w:t>
      </w:r>
      <w:proofErr w:type="spellEnd"/>
      <w:r>
        <w:t xml:space="preserve"> as universally beneficial. In severely resource-limited plants, heightened </w:t>
      </w:r>
      <w:proofErr w:type="spellStart"/>
      <w:r>
        <w:t>defence</w:t>
      </w:r>
      <w:proofErr w:type="spellEnd"/>
      <w:r>
        <w:t xml:space="preserve"> can intensify competition for carbon and mineral resources. Agronomic use </w:t>
      </w:r>
      <w:r w:rsidRPr="00C96664">
        <w:rPr>
          <w:highlight w:val="yellow"/>
        </w:rPr>
        <w:t>therefore</w:t>
      </w:r>
      <w:r w:rsidR="00B743F9" w:rsidRPr="00C96664">
        <w:rPr>
          <w:highlight w:val="yellow"/>
        </w:rPr>
        <w:t>,</w:t>
      </w:r>
      <w:r w:rsidRPr="00C96664">
        <w:rPr>
          <w:highlight w:val="yellow"/>
        </w:rPr>
        <w:t xml:space="preserve"> has t</w:t>
      </w:r>
      <w:r>
        <w:t xml:space="preserve">o distinguish between priming responses that improve stress preparedness and chronic activation that deepens scarcity. Future low-input management strategies will need to link </w:t>
      </w:r>
      <w:proofErr w:type="spellStart"/>
      <w:r>
        <w:t>jasmonate</w:t>
      </w:r>
      <w:proofErr w:type="spellEnd"/>
      <w:r>
        <w:t xml:space="preserve"> interventions to diagnostic information about nutrient status, rather than treating hormone application as a stand-alone remedy.</w:t>
      </w:r>
    </w:p>
    <w:p w14:paraId="60550D0F" w14:textId="77777777" w:rsidR="005F6B50" w:rsidRDefault="00693C4D">
      <w:pPr>
        <w:pStyle w:val="Heading1"/>
        <w:spacing w:before="240" w:after="120" w:line="240" w:lineRule="auto"/>
      </w:pPr>
      <w:r>
        <w:lastRenderedPageBreak/>
        <w:t>7. Consequences for growth, reproduction, yield and quality</w:t>
      </w:r>
    </w:p>
    <w:p w14:paraId="39E2EDCA" w14:textId="77777777" w:rsidR="005F6B50" w:rsidRDefault="00693C4D">
      <w:pPr>
        <w:pStyle w:val="Heading2"/>
        <w:spacing w:after="80" w:line="240" w:lineRule="auto"/>
      </w:pPr>
      <w:r>
        <w:t>7.1 Vegetative growth and reproductive development</w:t>
      </w:r>
    </w:p>
    <w:p w14:paraId="51C92317" w14:textId="77777777" w:rsidR="005F6B50" w:rsidRDefault="00693C4D">
      <w:pPr>
        <w:spacing w:after="120"/>
        <w:jc w:val="both"/>
      </w:pPr>
      <w:r>
        <w:t xml:space="preserve">Because </w:t>
      </w:r>
      <w:proofErr w:type="spellStart"/>
      <w:r>
        <w:t>jasmonates</w:t>
      </w:r>
      <w:proofErr w:type="spellEnd"/>
      <w:r>
        <w:t xml:space="preserve"> are central regulators of stress adaptation, they inevitably influence growth and development. JA can inhibit root elongation and leaf expansion, alter trichome development, shape reproductive development and modify senescence </w:t>
      </w:r>
      <w:proofErr w:type="spellStart"/>
      <w:r>
        <w:t>programmes</w:t>
      </w:r>
      <w:proofErr w:type="spellEnd"/>
      <w:r>
        <w:t xml:space="preserve">. These effects are not side effects but integral components of the plant's strategy for rebalancing survival, </w:t>
      </w:r>
      <w:proofErr w:type="spellStart"/>
      <w:r>
        <w:t>defence</w:t>
      </w:r>
      <w:proofErr w:type="spellEnd"/>
      <w:r>
        <w:t xml:space="preserve"> and reproduction under uncertainty (Huang et al., 2017; </w:t>
      </w:r>
      <w:proofErr w:type="spellStart"/>
      <w:r>
        <w:t>Wasternack</w:t>
      </w:r>
      <w:proofErr w:type="spellEnd"/>
      <w:r>
        <w:t xml:space="preserve"> &amp; Song, 2017).</w:t>
      </w:r>
    </w:p>
    <w:p w14:paraId="2C5418DA" w14:textId="77777777" w:rsidR="005F6B50" w:rsidRDefault="00693C4D">
      <w:pPr>
        <w:spacing w:after="120"/>
        <w:jc w:val="both"/>
      </w:pPr>
      <w:r>
        <w:t xml:space="preserve">From a crop perspective, the critical point is that developmental effects are not uniformly negative. Reduced cell expansion may be undesirable in biomass crops but acceptable, or even advantageous, when the goal is improved resistance or more controlled ripening. </w:t>
      </w:r>
      <w:proofErr w:type="spellStart"/>
      <w:r>
        <w:t>Jasmonates</w:t>
      </w:r>
      <w:proofErr w:type="spellEnd"/>
      <w:r>
        <w:t xml:space="preserve"> also participate in reproductive processes such as stamen development and fertility-related transitions, which means that timing of activation is especially important around flowering and fruit set (Huang et al., 2017; </w:t>
      </w:r>
      <w:proofErr w:type="spellStart"/>
      <w:r>
        <w:t>Wasternack</w:t>
      </w:r>
      <w:proofErr w:type="spellEnd"/>
      <w:r>
        <w:t xml:space="preserve"> &amp; </w:t>
      </w:r>
      <w:proofErr w:type="spellStart"/>
      <w:r>
        <w:t>Hause</w:t>
      </w:r>
      <w:proofErr w:type="spellEnd"/>
      <w:r>
        <w:t xml:space="preserve">, 2013). Treatments that are beneficial during vegetative </w:t>
      </w:r>
      <w:proofErr w:type="spellStart"/>
      <w:r>
        <w:t>defence</w:t>
      </w:r>
      <w:proofErr w:type="spellEnd"/>
      <w:r>
        <w:t xml:space="preserve"> windows may become risky if they coincide with sensitive reproductive stages.</w:t>
      </w:r>
    </w:p>
    <w:p w14:paraId="314A2176" w14:textId="77777777" w:rsidR="005F6B50" w:rsidRDefault="00693C4D">
      <w:pPr>
        <w:spacing w:after="120"/>
        <w:jc w:val="both"/>
      </w:pPr>
      <w:r>
        <w:t>The discovery that some growth-</w:t>
      </w:r>
      <w:proofErr w:type="spellStart"/>
      <w:r>
        <w:t>defence</w:t>
      </w:r>
      <w:proofErr w:type="spellEnd"/>
      <w:r>
        <w:t xml:space="preserve"> penalties can be uncoupled has opened a more optimistic view of JA-based crop improvement. Genetic evidence from reconfigured </w:t>
      </w:r>
      <w:proofErr w:type="spellStart"/>
      <w:r>
        <w:t>jasmonate</w:t>
      </w:r>
      <w:proofErr w:type="spellEnd"/>
      <w:r>
        <w:t xml:space="preserve"> and light </w:t>
      </w:r>
      <w:proofErr w:type="spellStart"/>
      <w:r>
        <w:t>signalling</w:t>
      </w:r>
      <w:proofErr w:type="spellEnd"/>
      <w:r>
        <w:t>, together with studies on growth-</w:t>
      </w:r>
      <w:proofErr w:type="spellStart"/>
      <w:r>
        <w:t>defence</w:t>
      </w:r>
      <w:proofErr w:type="spellEnd"/>
      <w:r>
        <w:t xml:space="preserve"> conflict resolution, suggests that at least part of the penalty arises from regulatory architecture rather than immutable resource laws (Campos et al., 2016; Guo et al., 2018). This creates space for breeding or engineering approaches that retain inducible </w:t>
      </w:r>
      <w:proofErr w:type="spellStart"/>
      <w:r>
        <w:t>defence</w:t>
      </w:r>
      <w:proofErr w:type="spellEnd"/>
      <w:r>
        <w:t xml:space="preserve"> while softening the impact on vegetative and reproductive performance.</w:t>
      </w:r>
    </w:p>
    <w:p w14:paraId="03F2838A" w14:textId="77777777" w:rsidR="005F6B50" w:rsidRDefault="00693C4D">
      <w:pPr>
        <w:pStyle w:val="Heading2"/>
        <w:spacing w:after="80" w:line="240" w:lineRule="auto"/>
      </w:pPr>
      <w:r>
        <w:t>7.2 Yield stability, composition and quality traits</w:t>
      </w:r>
    </w:p>
    <w:p w14:paraId="09ACE62E" w14:textId="77777777" w:rsidR="005F6B50" w:rsidRDefault="00693C4D">
      <w:pPr>
        <w:spacing w:after="120"/>
        <w:jc w:val="both"/>
      </w:pPr>
      <w:r>
        <w:t xml:space="preserve">The relationship between </w:t>
      </w:r>
      <w:proofErr w:type="spellStart"/>
      <w:r>
        <w:t>jasmonates</w:t>
      </w:r>
      <w:proofErr w:type="spellEnd"/>
      <w:r>
        <w:t xml:space="preserve"> and yield is best understood in terms of yield stability and value retention rather than raw productivity alone. If JA-mediated responses prevent insect injury, disease spread, chilling damage or postharvest losses, then net commercial yield may increase even when vegetative growth is modestly restrained. This distinction is particularly important for horticultural crops, in which marketable quality, storability and biochemical composition often matter as much as tonnage (</w:t>
      </w:r>
      <w:proofErr w:type="spellStart"/>
      <w:r>
        <w:t>Asghari</w:t>
      </w:r>
      <w:proofErr w:type="spellEnd"/>
      <w:r>
        <w:t>, 2019; Hasan et al., 2025).</w:t>
      </w:r>
    </w:p>
    <w:p w14:paraId="49072A28" w14:textId="77777777" w:rsidR="005F6B50" w:rsidRDefault="00693C4D">
      <w:pPr>
        <w:spacing w:after="120"/>
        <w:jc w:val="both"/>
      </w:pPr>
      <w:proofErr w:type="spellStart"/>
      <w:r>
        <w:t>Jasmonates</w:t>
      </w:r>
      <w:proofErr w:type="spellEnd"/>
      <w:r>
        <w:t xml:space="preserve"> are repeatedly associated with higher accumulation of phenolics, flavonoids, anthocyanins, carotenoids, aroma volatiles and other </w:t>
      </w:r>
      <w:proofErr w:type="spellStart"/>
      <w:r>
        <w:t>specialised</w:t>
      </w:r>
      <w:proofErr w:type="spellEnd"/>
      <w:r>
        <w:t xml:space="preserve"> metabolites that shape nutritional quality and sensory value. In fruit crops, preharvest or postharvest </w:t>
      </w:r>
      <w:proofErr w:type="spellStart"/>
      <w:r>
        <w:t>MeJA</w:t>
      </w:r>
      <w:proofErr w:type="spellEnd"/>
      <w:r>
        <w:t xml:space="preserve"> treatments may intensify </w:t>
      </w:r>
      <w:proofErr w:type="spellStart"/>
      <w:r>
        <w:t>colour</w:t>
      </w:r>
      <w:proofErr w:type="spellEnd"/>
      <w:r>
        <w:t xml:space="preserve"> development, support antioxidant capacity and enhance characteristic aroma profiles, although the size of the effect varies with cultivar and developmental stage (</w:t>
      </w:r>
      <w:proofErr w:type="spellStart"/>
      <w:r>
        <w:t>Baek</w:t>
      </w:r>
      <w:proofErr w:type="spellEnd"/>
      <w:r>
        <w:t xml:space="preserve"> et al., 2023; Zhang et al., 2024; Hasan et al., 2025). The capacity of JA to redirect carbon into </w:t>
      </w:r>
      <w:proofErr w:type="spellStart"/>
      <w:r>
        <w:t>specialised</w:t>
      </w:r>
      <w:proofErr w:type="spellEnd"/>
      <w:r>
        <w:t xml:space="preserve"> metabolites is therefore a double-edged sword: it can elevate quality premiums in high-value produce, but it can also reduce growth if activated at the wrong time or intensity.</w:t>
      </w:r>
    </w:p>
    <w:p w14:paraId="32E92A42" w14:textId="77777777" w:rsidR="005F6B50" w:rsidRDefault="00693C4D">
      <w:pPr>
        <w:spacing w:after="120"/>
        <w:jc w:val="both"/>
      </w:pPr>
      <w:r>
        <w:lastRenderedPageBreak/>
        <w:t xml:space="preserve">For sustainable crop systems, the practical objective is thus not maximum </w:t>
      </w:r>
      <w:proofErr w:type="spellStart"/>
      <w:r>
        <w:t>jasmonate</w:t>
      </w:r>
      <w:proofErr w:type="spellEnd"/>
      <w:r>
        <w:t xml:space="preserve"> responsiveness but controllable sensitivity. Crops should ideally respond strongly enough to predictable threats to protect marketable yield and quality, yet return quickly to growth-oriented metabolism once the threat has passed. This principle underpins both breeding targets and operational recommendations for exogenous application.</w:t>
      </w:r>
    </w:p>
    <w:p w14:paraId="3606E4C4" w14:textId="77777777" w:rsidR="005F6B50" w:rsidRDefault="00693C4D">
      <w:pPr>
        <w:spacing w:after="120"/>
        <w:jc w:val="both"/>
      </w:pPr>
      <w:r>
        <w:t xml:space="preserve">Quality outcomes also need to be interpreted more broadly than laboratory measurements of antioxidant capacity. In commercial horticulture, </w:t>
      </w:r>
      <w:proofErr w:type="spellStart"/>
      <w:r>
        <w:t>colour</w:t>
      </w:r>
      <w:proofErr w:type="spellEnd"/>
      <w:r>
        <w:t xml:space="preserve"> uniformity, aroma retention, firmness, reduced shrinkage and predictable ripening all influence waste, consumer acceptance and profitability. </w:t>
      </w:r>
      <w:proofErr w:type="spellStart"/>
      <w:r>
        <w:t>Jasmonate</w:t>
      </w:r>
      <w:proofErr w:type="spellEnd"/>
      <w:r>
        <w:t xml:space="preserve">-induced shifts in </w:t>
      </w:r>
      <w:proofErr w:type="spellStart"/>
      <w:r>
        <w:t>specialised</w:t>
      </w:r>
      <w:proofErr w:type="spellEnd"/>
      <w:r>
        <w:t xml:space="preserve"> metabolism can therefore generate sustainability gains by improving the fraction of harvested product that remains saleable through distribution and retail. This is particularly relevant in fresh produce chains where a modest improvement in shelf life can translate into meaningful reductions in food loss. The fact that JA effects often intersect with quality and </w:t>
      </w:r>
      <w:proofErr w:type="spellStart"/>
      <w:r>
        <w:t>defence</w:t>
      </w:r>
      <w:proofErr w:type="spellEnd"/>
      <w:r>
        <w:t xml:space="preserve"> simultaneously is one reason the pathway is so attractive for horticultural innovation (</w:t>
      </w:r>
      <w:proofErr w:type="spellStart"/>
      <w:r>
        <w:t>Asghari</w:t>
      </w:r>
      <w:proofErr w:type="spellEnd"/>
      <w:r>
        <w:t xml:space="preserve">, 2019; </w:t>
      </w:r>
      <w:proofErr w:type="spellStart"/>
      <w:r>
        <w:t>Baek</w:t>
      </w:r>
      <w:proofErr w:type="spellEnd"/>
      <w:r>
        <w:t xml:space="preserve"> et al., 2023; Hasan et al., 2025).</w:t>
      </w:r>
    </w:p>
    <w:p w14:paraId="41831549" w14:textId="77777777" w:rsidR="005F6B50" w:rsidRDefault="00693C4D">
      <w:pPr>
        <w:pStyle w:val="Heading1"/>
        <w:spacing w:before="240" w:after="120" w:line="240" w:lineRule="auto"/>
      </w:pPr>
      <w:r>
        <w:t>8. Applications in horticulture and postharvest systems</w:t>
      </w:r>
    </w:p>
    <w:p w14:paraId="5CD46271" w14:textId="77777777" w:rsidR="005F6B50" w:rsidRDefault="00693C4D">
      <w:pPr>
        <w:pStyle w:val="Heading2"/>
        <w:spacing w:after="80" w:line="240" w:lineRule="auto"/>
      </w:pPr>
      <w:r>
        <w:t>8.1 Preharvest elicitation in fruit and vegetable crops</w:t>
      </w:r>
    </w:p>
    <w:p w14:paraId="5AD1697B" w14:textId="77777777" w:rsidR="005F6B50" w:rsidRDefault="00693C4D">
      <w:pPr>
        <w:spacing w:after="120"/>
        <w:jc w:val="both"/>
      </w:pPr>
      <w:r>
        <w:t xml:space="preserve">Preharvest application of methyl </w:t>
      </w:r>
      <w:proofErr w:type="spellStart"/>
      <w:r>
        <w:t>jasmonate</w:t>
      </w:r>
      <w:proofErr w:type="spellEnd"/>
      <w:r>
        <w:t xml:space="preserve"> has become one of the most operationally relevant ways to translate </w:t>
      </w:r>
      <w:proofErr w:type="spellStart"/>
      <w:r>
        <w:t>jasmonate</w:t>
      </w:r>
      <w:proofErr w:type="spellEnd"/>
      <w:r>
        <w:t xml:space="preserve"> biology into horticultural practice. Reviews of fruit crops show that </w:t>
      </w:r>
      <w:proofErr w:type="spellStart"/>
      <w:r>
        <w:t>MeJA</w:t>
      </w:r>
      <w:proofErr w:type="spellEnd"/>
      <w:r>
        <w:t xml:space="preserve"> sprays can influence ripening, </w:t>
      </w:r>
      <w:proofErr w:type="spellStart"/>
      <w:r>
        <w:t>colour</w:t>
      </w:r>
      <w:proofErr w:type="spellEnd"/>
      <w:r>
        <w:t xml:space="preserve"> development, antioxidant metabolism, firmness retention and </w:t>
      </w:r>
      <w:proofErr w:type="spellStart"/>
      <w:r>
        <w:t>defence</w:t>
      </w:r>
      <w:proofErr w:type="spellEnd"/>
      <w:r>
        <w:t xml:space="preserve"> preparedness when applied at carefully selected developmental stages (Hasan et al., 2025). Unlike constitutive genetic modification, preharvest application offers temporal control and can be targeted to the fruiting phase, when quality formation and pathogen risk are high.</w:t>
      </w:r>
    </w:p>
    <w:p w14:paraId="2EC88B1F" w14:textId="2398B3D2" w:rsidR="005F6B50" w:rsidRDefault="00693C4D">
      <w:pPr>
        <w:spacing w:after="120"/>
        <w:jc w:val="both"/>
      </w:pPr>
      <w:r>
        <w:t xml:space="preserve">Specific crop studies illustrate the range of responses. In tomato, preharvest </w:t>
      </w:r>
      <w:proofErr w:type="spellStart"/>
      <w:r>
        <w:t>MeJA</w:t>
      </w:r>
      <w:proofErr w:type="spellEnd"/>
      <w:r>
        <w:t xml:space="preserve"> improved nutritional quality and postharvest storability, with better maintenance of firmness and beneficial effects on secondary metabolites and antioxidant activities during storage (</w:t>
      </w:r>
      <w:proofErr w:type="spellStart"/>
      <w:r>
        <w:t>Baek</w:t>
      </w:r>
      <w:proofErr w:type="spellEnd"/>
      <w:r>
        <w:t xml:space="preserve"> et al., 2023). In </w:t>
      </w:r>
      <w:r w:rsidR="00B743F9" w:rsidRPr="00C96664">
        <w:rPr>
          <w:highlight w:val="yellow"/>
        </w:rPr>
        <w:t xml:space="preserve">the </w:t>
      </w:r>
      <w:r w:rsidRPr="00C96664">
        <w:rPr>
          <w:highlight w:val="yellow"/>
        </w:rPr>
        <w:t>Shine</w:t>
      </w:r>
      <w:r>
        <w:t xml:space="preserve"> Muscat grape, preharvest </w:t>
      </w:r>
      <w:proofErr w:type="spellStart"/>
      <w:r>
        <w:t>MeJA</w:t>
      </w:r>
      <w:proofErr w:type="spellEnd"/>
      <w:r>
        <w:t xml:space="preserve"> enhanced postharvest quality by stimulating terpene biosynthesis and phenylpropanoid metabolism, thereby strengthening both aroma expression and nutritional composition (Zhang et al., 2024). In Fragaria </w:t>
      </w:r>
      <w:proofErr w:type="spellStart"/>
      <w:r>
        <w:t>chiloensis</w:t>
      </w:r>
      <w:proofErr w:type="spellEnd"/>
      <w:r>
        <w:t xml:space="preserve">, preharvest </w:t>
      </w:r>
      <w:proofErr w:type="spellStart"/>
      <w:r>
        <w:t>MeJA</w:t>
      </w:r>
      <w:proofErr w:type="spellEnd"/>
      <w:r>
        <w:t xml:space="preserve"> contributed to reduced decay and altered chemical attributes associated with improved postharvest </w:t>
      </w:r>
      <w:proofErr w:type="spellStart"/>
      <w:r>
        <w:t>behaviour</w:t>
      </w:r>
      <w:proofErr w:type="spellEnd"/>
      <w:r>
        <w:t xml:space="preserve"> (Saavedra et al., 2016).</w:t>
      </w:r>
    </w:p>
    <w:p w14:paraId="5E8DEC44" w14:textId="77777777" w:rsidR="005F6B50" w:rsidRDefault="00693C4D">
      <w:pPr>
        <w:spacing w:after="120"/>
        <w:jc w:val="both"/>
      </w:pPr>
      <w:r>
        <w:t xml:space="preserve">These case studies suggest that </w:t>
      </w:r>
      <w:proofErr w:type="spellStart"/>
      <w:r>
        <w:t>MeJA</w:t>
      </w:r>
      <w:proofErr w:type="spellEnd"/>
      <w:r>
        <w:t xml:space="preserve"> is especially attractive for high-value fruit and vegetable supply chains in which harvest timing, protected cultivation and packhouse handling are already carefully managed. However, they also show why universal recommendations are inappropriate. The response depends on species, cultivar, application number, concentration, environmental conditions and harvest interval. Fruit quality traits are developmentally regulated, so a mistimed elicitor spray may have little effect or may alter ripening in undesirable directions (Hasan et al., 2025; </w:t>
      </w:r>
      <w:proofErr w:type="spellStart"/>
      <w:r>
        <w:t>Baek</w:t>
      </w:r>
      <w:proofErr w:type="spellEnd"/>
      <w:r>
        <w:t xml:space="preserve"> et al., 2023; Zhang et al., 2024).</w:t>
      </w:r>
    </w:p>
    <w:p w14:paraId="05ADDBE7" w14:textId="77777777" w:rsidR="005F6B50" w:rsidRDefault="00693C4D">
      <w:pPr>
        <w:spacing w:after="120"/>
        <w:jc w:val="both"/>
      </w:pPr>
      <w:r>
        <w:lastRenderedPageBreak/>
        <w:t xml:space="preserve">Commercial adoption will therefore depend on schedule design as much as on molecule choice. Growers need to know whether a single spray before </w:t>
      </w:r>
      <w:proofErr w:type="spellStart"/>
      <w:r>
        <w:t>colour</w:t>
      </w:r>
      <w:proofErr w:type="spellEnd"/>
      <w:r>
        <w:t xml:space="preserve"> break, repeated low-dose applications during maturation, or combined treatments with other elicitors are most reliable for a given cultivar and marketing window. The literature suggests that there is no universally optimal schedule, but it also indicates that responses become more predictable when treatment decisions are aligned with clearly defined developmental stages and postharvest goals. This operational emphasis is crucial if </w:t>
      </w:r>
      <w:proofErr w:type="spellStart"/>
      <w:r>
        <w:t>jasmonate</w:t>
      </w:r>
      <w:proofErr w:type="spellEnd"/>
      <w:r>
        <w:t xml:space="preserve"> is to move from promising experimental tool to repeatable orchard, vineyard and greenhouse practice (Hasan et al., 2025; </w:t>
      </w:r>
      <w:proofErr w:type="spellStart"/>
      <w:r>
        <w:t>Baek</w:t>
      </w:r>
      <w:proofErr w:type="spellEnd"/>
      <w:r>
        <w:t xml:space="preserve"> et al., 2023; Zhang et al., 2024).</w:t>
      </w:r>
    </w:p>
    <w:p w14:paraId="79D9CF4F" w14:textId="77777777" w:rsidR="005F6B50" w:rsidRDefault="00693C4D">
      <w:pPr>
        <w:pStyle w:val="Heading2"/>
        <w:spacing w:after="80" w:line="240" w:lineRule="auto"/>
      </w:pPr>
      <w:r>
        <w:t>8.2 Postharvest disease suppression, chilling tolerance and shelf-life extension</w:t>
      </w:r>
    </w:p>
    <w:p w14:paraId="33F2F1DA" w14:textId="4A129C48" w:rsidR="005F6B50" w:rsidRDefault="00693C4D">
      <w:pPr>
        <w:spacing w:after="120"/>
        <w:jc w:val="both"/>
      </w:pPr>
      <w:r>
        <w:t xml:space="preserve">Postharvest systems may currently offer the clearest evidence base for practical </w:t>
      </w:r>
      <w:proofErr w:type="spellStart"/>
      <w:r>
        <w:t>jasmonate</w:t>
      </w:r>
      <w:proofErr w:type="spellEnd"/>
      <w:r>
        <w:t xml:space="preserve"> use. After harvest, vegetative growth penalties no longer matter, whereas resistance to decay, oxidative damage, browning and chilling injury becomes paramount. This shifts the cost-benefit balance strongly in </w:t>
      </w:r>
      <w:proofErr w:type="spellStart"/>
      <w:r>
        <w:t>favour</w:t>
      </w:r>
      <w:proofErr w:type="spellEnd"/>
      <w:r>
        <w:t xml:space="preserve"> of </w:t>
      </w:r>
      <w:proofErr w:type="spellStart"/>
      <w:r>
        <w:t>defence</w:t>
      </w:r>
      <w:proofErr w:type="spellEnd"/>
      <w:r>
        <w:t xml:space="preserve">-oriented </w:t>
      </w:r>
      <w:proofErr w:type="spellStart"/>
      <w:r>
        <w:t>signalling</w:t>
      </w:r>
      <w:proofErr w:type="spellEnd"/>
      <w:r>
        <w:t xml:space="preserve"> and makes </w:t>
      </w:r>
      <w:proofErr w:type="spellStart"/>
      <w:r>
        <w:t>MeJA</w:t>
      </w:r>
      <w:proofErr w:type="spellEnd"/>
      <w:r>
        <w:t xml:space="preserve"> an attractive postharvest tool. Applications as </w:t>
      </w:r>
      <w:proofErr w:type="spellStart"/>
      <w:r>
        <w:t>vapour</w:t>
      </w:r>
      <w:proofErr w:type="spellEnd"/>
      <w:r>
        <w:t xml:space="preserve">, fumigation or dips have repeatedly improved antioxidant status, delayed senescence and reduced visible deterioration in fruits, vegetables and </w:t>
      </w:r>
      <w:proofErr w:type="spellStart"/>
      <w:r>
        <w:t>special</w:t>
      </w:r>
      <w:r w:rsidR="00B743F9">
        <w:t>i</w:t>
      </w:r>
      <w:r>
        <w:t>ty</w:t>
      </w:r>
      <w:proofErr w:type="spellEnd"/>
      <w:r>
        <w:t xml:space="preserve"> products (</w:t>
      </w:r>
      <w:proofErr w:type="spellStart"/>
      <w:r>
        <w:t>Asghari</w:t>
      </w:r>
      <w:proofErr w:type="spellEnd"/>
      <w:r>
        <w:t>, 2019; Min et al., 2024).</w:t>
      </w:r>
    </w:p>
    <w:p w14:paraId="0A34FE42" w14:textId="77777777" w:rsidR="005F6B50" w:rsidRDefault="00693C4D">
      <w:pPr>
        <w:spacing w:after="120"/>
        <w:jc w:val="both"/>
      </w:pPr>
      <w:r>
        <w:t xml:space="preserve">Mushroom systems provide an instructive example because quality loss occurs rapidly and is closely tied to oxidative browning and membrane damage. In </w:t>
      </w:r>
      <w:proofErr w:type="spellStart"/>
      <w:r>
        <w:t>Agaricus</w:t>
      </w:r>
      <w:proofErr w:type="spellEnd"/>
      <w:r>
        <w:t xml:space="preserve"> </w:t>
      </w:r>
      <w:proofErr w:type="spellStart"/>
      <w:r>
        <w:t>bisporus</w:t>
      </w:r>
      <w:proofErr w:type="spellEnd"/>
      <w:r>
        <w:t xml:space="preserve"> fruit bodies, postharvest </w:t>
      </w:r>
      <w:proofErr w:type="spellStart"/>
      <w:r>
        <w:t>MeJA</w:t>
      </w:r>
      <w:proofErr w:type="spellEnd"/>
      <w:r>
        <w:t xml:space="preserve"> treatment improved quality retention by slowing browning, maintaining soluble components and enhancing antioxidant enzymes (Meng et al., 2012). Such effects show that </w:t>
      </w:r>
      <w:proofErr w:type="spellStart"/>
      <w:r>
        <w:t>jasmonates</w:t>
      </w:r>
      <w:proofErr w:type="spellEnd"/>
      <w:r>
        <w:t xml:space="preserve"> can be valuable even in non-photosynthetic harvested organs where the aim is purely preservation of appearance and compositional quality.</w:t>
      </w:r>
    </w:p>
    <w:p w14:paraId="2E0AD716" w14:textId="34375708" w:rsidR="005F6B50" w:rsidRDefault="00693C4D">
      <w:pPr>
        <w:spacing w:after="120"/>
        <w:jc w:val="both"/>
      </w:pPr>
      <w:r>
        <w:t xml:space="preserve">For fruit and vegetable crops stored under low </w:t>
      </w:r>
      <w:r w:rsidRPr="00C96664">
        <w:rPr>
          <w:highlight w:val="yellow"/>
        </w:rPr>
        <w:t>temperature</w:t>
      </w:r>
      <w:r w:rsidR="00B743F9" w:rsidRPr="00C96664">
        <w:rPr>
          <w:highlight w:val="yellow"/>
        </w:rPr>
        <w:t>s</w:t>
      </w:r>
      <w:r w:rsidRPr="00C96664">
        <w:rPr>
          <w:highlight w:val="yellow"/>
        </w:rPr>
        <w:t>, chilling</w:t>
      </w:r>
      <w:r>
        <w:t xml:space="preserve"> injury remains one of the most economically important postharvest disorders. The evidence </w:t>
      </w:r>
      <w:proofErr w:type="spellStart"/>
      <w:r>
        <w:t>synthesised</w:t>
      </w:r>
      <w:proofErr w:type="spellEnd"/>
      <w:r>
        <w:t xml:space="preserve"> in recent meta-analytical review indicates that </w:t>
      </w:r>
      <w:proofErr w:type="spellStart"/>
      <w:r>
        <w:t>MeJA</w:t>
      </w:r>
      <w:proofErr w:type="spellEnd"/>
      <w:r>
        <w:t xml:space="preserve"> treatments can mitigate chilling-related damage across multiple commodities by reinforcing antioxidant </w:t>
      </w:r>
      <w:proofErr w:type="spellStart"/>
      <w:r>
        <w:t>defence</w:t>
      </w:r>
      <w:proofErr w:type="spellEnd"/>
      <w:r>
        <w:t xml:space="preserve">, membrane stability and associated metabolic processes (Min et al., 2024). In practice, this positions </w:t>
      </w:r>
      <w:proofErr w:type="spellStart"/>
      <w:r>
        <w:t>MeJA</w:t>
      </w:r>
      <w:proofErr w:type="spellEnd"/>
      <w:r>
        <w:t xml:space="preserve"> as a complement to cold-chain management rather than a replacement for it. The goal is not to eliminate refrigeration, but to enlarge the safe physiological window within which refrigeration can be used without unacceptable injury.</w:t>
      </w:r>
    </w:p>
    <w:p w14:paraId="70EA27CD" w14:textId="77777777" w:rsidR="005F6B50" w:rsidRDefault="00693C4D">
      <w:pPr>
        <w:spacing w:after="120"/>
        <w:jc w:val="both"/>
      </w:pPr>
      <w:r>
        <w:t xml:space="preserve">Postharvest disease control is another promising domain. While </w:t>
      </w:r>
      <w:proofErr w:type="spellStart"/>
      <w:r>
        <w:t>jasmonates</w:t>
      </w:r>
      <w:proofErr w:type="spellEnd"/>
      <w:r>
        <w:t xml:space="preserve"> may not directly replace all fungicidal activity, they can enhance host resistance and sometimes suppress lesion development sufficiently to reduce dependence on conventional chemical control, particularly when combined with sanitation, temperature control and careful handling. This is consistent with the broader conclusion that </w:t>
      </w:r>
      <w:proofErr w:type="spellStart"/>
      <w:r>
        <w:t>jasmonates</w:t>
      </w:r>
      <w:proofErr w:type="spellEnd"/>
      <w:r>
        <w:t xml:space="preserve"> are most effective as elements of integrated postharvest management rather than stand-alone curatives (</w:t>
      </w:r>
      <w:proofErr w:type="spellStart"/>
      <w:r>
        <w:t>Asghari</w:t>
      </w:r>
      <w:proofErr w:type="spellEnd"/>
      <w:r>
        <w:t>, 2019; Saavedra et al., 2016).</w:t>
      </w:r>
    </w:p>
    <w:p w14:paraId="6205E83E" w14:textId="77777777" w:rsidR="005F6B50" w:rsidRDefault="00693C4D">
      <w:pPr>
        <w:spacing w:after="120"/>
        <w:jc w:val="both"/>
      </w:pPr>
      <w:r>
        <w:t xml:space="preserve">Operationally, postharvest deployment offers several practical advantages over preharvest use. Treatment environments can be enclosed, temperature and exposure time can be </w:t>
      </w:r>
      <w:proofErr w:type="spellStart"/>
      <w:r>
        <w:t>standardised</w:t>
      </w:r>
      <w:proofErr w:type="spellEnd"/>
      <w:r>
        <w:t xml:space="preserve">, and commodity batches can be segregated by cultivar or maturity. These </w:t>
      </w:r>
      <w:r>
        <w:lastRenderedPageBreak/>
        <w:t xml:space="preserve">conditions make it easier to calibrate </w:t>
      </w:r>
      <w:proofErr w:type="spellStart"/>
      <w:r>
        <w:t>vapour</w:t>
      </w:r>
      <w:proofErr w:type="spellEnd"/>
      <w:r>
        <w:t xml:space="preserve"> concentration or dip duration and to integrate </w:t>
      </w:r>
      <w:proofErr w:type="spellStart"/>
      <w:r>
        <w:t>jasmonate</w:t>
      </w:r>
      <w:proofErr w:type="spellEnd"/>
      <w:r>
        <w:t xml:space="preserve"> with other handling steps. They also permit more robust cost-benefit analysis because quality outcomes can be measured directly during storage and distribution. For these reasons, packhouse and cold-chain systems are likely to remain leading sites of </w:t>
      </w:r>
      <w:proofErr w:type="spellStart"/>
      <w:r>
        <w:t>jasmonate</w:t>
      </w:r>
      <w:proofErr w:type="spellEnd"/>
      <w:r>
        <w:t xml:space="preserve"> innovation even as broader agronomic applications continue to develop (Meng et al., 2012; Min et al., 2024; </w:t>
      </w:r>
      <w:proofErr w:type="spellStart"/>
      <w:r>
        <w:t>Asghari</w:t>
      </w:r>
      <w:proofErr w:type="spellEnd"/>
      <w:r>
        <w:t>, 2019).</w:t>
      </w:r>
    </w:p>
    <w:p w14:paraId="17AB8DA2" w14:textId="77777777" w:rsidR="005F6B50" w:rsidRDefault="00693C4D">
      <w:pPr>
        <w:pStyle w:val="Heading2"/>
        <w:spacing w:after="80" w:line="240" w:lineRule="auto"/>
      </w:pPr>
      <w:r>
        <w:t>8.3 Ornamentals and specialty horticultural commodities</w:t>
      </w:r>
    </w:p>
    <w:p w14:paraId="2B65440A" w14:textId="77777777" w:rsidR="005F6B50" w:rsidRDefault="00693C4D">
      <w:pPr>
        <w:spacing w:after="120"/>
        <w:jc w:val="both"/>
      </w:pPr>
      <w:proofErr w:type="spellStart"/>
      <w:r>
        <w:t>Jasmonate</w:t>
      </w:r>
      <w:proofErr w:type="spellEnd"/>
      <w:r>
        <w:t xml:space="preserve"> applications are not confined to edible produce. In ornamental horticulture, visual longevity, petal integrity and delayed senescence determine market value, making hormone-based management highly relevant. Recent work on tree peony cut flowers showed that </w:t>
      </w:r>
      <w:proofErr w:type="spellStart"/>
      <w:r>
        <w:t>MeJA</w:t>
      </w:r>
      <w:proofErr w:type="spellEnd"/>
      <w:r>
        <w:t xml:space="preserve"> enhanced vase life and modified physiological and molecular responses linked to senescence, including antioxidant metabolism and hormone-related gene expression (He et al., 2025). Such findings underscore that </w:t>
      </w:r>
      <w:proofErr w:type="spellStart"/>
      <w:r>
        <w:t>jasmonate</w:t>
      </w:r>
      <w:proofErr w:type="spellEnd"/>
      <w:r>
        <w:t xml:space="preserve"> biology can be harnessed wherever the commodity's value depends on delaying visible deterioration rather than sustaining biomass accumulation.</w:t>
      </w:r>
    </w:p>
    <w:p w14:paraId="66EFF259" w14:textId="3EBDFB91" w:rsidR="005F6B50" w:rsidRDefault="00693C4D">
      <w:pPr>
        <w:spacing w:after="120"/>
        <w:jc w:val="both"/>
      </w:pPr>
      <w:proofErr w:type="spellStart"/>
      <w:r w:rsidRPr="00C96664">
        <w:rPr>
          <w:highlight w:val="yellow"/>
        </w:rPr>
        <w:t>Special</w:t>
      </w:r>
      <w:r w:rsidR="00B743F9" w:rsidRPr="00C96664">
        <w:rPr>
          <w:highlight w:val="yellow"/>
        </w:rPr>
        <w:t>i</w:t>
      </w:r>
      <w:r w:rsidRPr="00C96664">
        <w:rPr>
          <w:highlight w:val="yellow"/>
        </w:rPr>
        <w:t>ty</w:t>
      </w:r>
      <w:proofErr w:type="spellEnd"/>
      <w:r w:rsidRPr="00C96664">
        <w:rPr>
          <w:highlight w:val="yellow"/>
        </w:rPr>
        <w:t xml:space="preserve"> horticultural</w:t>
      </w:r>
      <w:r>
        <w:t xml:space="preserve"> commodities, including mushrooms and high-value niche fruits, further broaden the commercial case for </w:t>
      </w:r>
      <w:proofErr w:type="spellStart"/>
      <w:r>
        <w:t>jasmonates</w:t>
      </w:r>
      <w:proofErr w:type="spellEnd"/>
      <w:r>
        <w:t xml:space="preserve"> because these products often justify the added precision and cost of controlled treatments. The horticultural </w:t>
      </w:r>
      <w:r w:rsidRPr="00C96664">
        <w:rPr>
          <w:highlight w:val="yellow"/>
        </w:rPr>
        <w:t>sector therefore</w:t>
      </w:r>
      <w:r w:rsidR="00B743F9" w:rsidRPr="00C96664">
        <w:rPr>
          <w:highlight w:val="yellow"/>
        </w:rPr>
        <w:t>,</w:t>
      </w:r>
      <w:r>
        <w:t xml:space="preserve"> functions as both a proving ground and a translational bridge for JA-based technologies, with lessons that may later inform more field-oriented systems.</w:t>
      </w:r>
    </w:p>
    <w:p w14:paraId="1E311B72" w14:textId="77777777" w:rsidR="005F6B50" w:rsidRDefault="00693C4D">
      <w:pPr>
        <w:pStyle w:val="Heading1"/>
        <w:spacing w:before="240" w:after="120" w:line="240" w:lineRule="auto"/>
      </w:pPr>
      <w:r>
        <w:t>9. Translational opportunities and implementation constraints</w:t>
      </w:r>
    </w:p>
    <w:p w14:paraId="5CF6B975" w14:textId="77777777" w:rsidR="005F6B50" w:rsidRDefault="00693C4D">
      <w:pPr>
        <w:pStyle w:val="Heading2"/>
        <w:spacing w:after="80" w:line="240" w:lineRule="auto"/>
      </w:pPr>
      <w:r>
        <w:t>9.1 Dose, timing, formulation and crop specificity</w:t>
      </w:r>
    </w:p>
    <w:p w14:paraId="00359D91" w14:textId="77777777" w:rsidR="005F6B50" w:rsidRDefault="00693C4D">
      <w:pPr>
        <w:spacing w:after="120"/>
        <w:jc w:val="both"/>
      </w:pPr>
      <w:r>
        <w:t xml:space="preserve">Despite the breadth of positive evidence, practical deployment of </w:t>
      </w:r>
      <w:proofErr w:type="spellStart"/>
      <w:r>
        <w:t>jasmonates</w:t>
      </w:r>
      <w:proofErr w:type="spellEnd"/>
      <w:r>
        <w:t xml:space="preserve"> still faces major constraints. The most obvious is dose sensitivity. Too little signal may fail to induce useful priming, whereas too much may suppress growth, accelerate undesirable ripening responses or cause inconsistent quality effects. Timing is equally decisive because </w:t>
      </w:r>
      <w:proofErr w:type="spellStart"/>
      <w:r>
        <w:t>jasmonate</w:t>
      </w:r>
      <w:proofErr w:type="spellEnd"/>
      <w:r>
        <w:t xml:space="preserve"> sensitivity changes during vegetative growth, flowering, fruit development, harvest and storage (</w:t>
      </w:r>
      <w:proofErr w:type="spellStart"/>
      <w:r>
        <w:t>Asghari</w:t>
      </w:r>
      <w:proofErr w:type="spellEnd"/>
      <w:r>
        <w:t>, 2019; Hasan et al., 2025; Min et al., 2024).</w:t>
      </w:r>
    </w:p>
    <w:p w14:paraId="23EA71E9" w14:textId="77777777" w:rsidR="005F6B50" w:rsidRDefault="00693C4D">
      <w:pPr>
        <w:spacing w:after="120"/>
        <w:jc w:val="both"/>
      </w:pPr>
      <w:r>
        <w:t xml:space="preserve">Formulation also matters. The volatility of </w:t>
      </w:r>
      <w:proofErr w:type="spellStart"/>
      <w:r>
        <w:t>MeJA</w:t>
      </w:r>
      <w:proofErr w:type="spellEnd"/>
      <w:r>
        <w:t xml:space="preserve"> can be advantageous in enclosed postharvest systems but problematic in open field settings, where dispersion reduces treatment precision. Liquid sprays may offer better targeting before harvest but introduce issues of coverage, cuticular penetration and environmental interaction. These operational factors help explain why horticultural and protected systems have advanced more rapidly than broad-acre agriculture in the commercial exploration of </w:t>
      </w:r>
      <w:proofErr w:type="spellStart"/>
      <w:r>
        <w:t>jasmonate</w:t>
      </w:r>
      <w:proofErr w:type="spellEnd"/>
      <w:r>
        <w:t xml:space="preserve"> use (</w:t>
      </w:r>
      <w:proofErr w:type="spellStart"/>
      <w:r>
        <w:t>Asghari</w:t>
      </w:r>
      <w:proofErr w:type="spellEnd"/>
      <w:r>
        <w:t>, 2019; Hasan et al., 2025).</w:t>
      </w:r>
    </w:p>
    <w:p w14:paraId="7420ADE4" w14:textId="5BA5C23E" w:rsidR="005F6B50" w:rsidRDefault="00693C4D">
      <w:pPr>
        <w:spacing w:after="120"/>
        <w:jc w:val="both"/>
      </w:pPr>
      <w:r>
        <w:t xml:space="preserve">Crop specificity should be treated as a core design principle rather than a nuisance variable. </w:t>
      </w:r>
      <w:proofErr w:type="spellStart"/>
      <w:r>
        <w:t>Jasmonate</w:t>
      </w:r>
      <w:proofErr w:type="spellEnd"/>
      <w:r>
        <w:t xml:space="preserve"> biology differs across species, cultivars and tissue types, and so do the economic definitions of success. A small increase in antioxidant metabolites may be commercially valuable in table </w:t>
      </w:r>
      <w:r w:rsidRPr="00C96664">
        <w:rPr>
          <w:highlight w:val="yellow"/>
        </w:rPr>
        <w:t>grape</w:t>
      </w:r>
      <w:r w:rsidR="005E0F03" w:rsidRPr="00C96664">
        <w:rPr>
          <w:highlight w:val="yellow"/>
        </w:rPr>
        <w:t>s</w:t>
      </w:r>
      <w:r w:rsidRPr="00C96664">
        <w:rPr>
          <w:highlight w:val="yellow"/>
        </w:rPr>
        <w:t xml:space="preserve"> or tomato</w:t>
      </w:r>
      <w:r w:rsidR="005E0F03" w:rsidRPr="00C96664">
        <w:rPr>
          <w:highlight w:val="yellow"/>
        </w:rPr>
        <w:t>es</w:t>
      </w:r>
      <w:r w:rsidRPr="00C96664">
        <w:rPr>
          <w:highlight w:val="yellow"/>
        </w:rPr>
        <w:t xml:space="preserve"> but irrelevant in a fodder crop. Conversely, a modest reduction in leaf area may be tolerable in a harvested</w:t>
      </w:r>
      <w:r>
        <w:t xml:space="preserve"> fruit orchard yet unacceptable in a crop </w:t>
      </w:r>
      <w:r>
        <w:lastRenderedPageBreak/>
        <w:t xml:space="preserve">where vegetative biomass is the harvested product. Recommendations must therefore be </w:t>
      </w:r>
      <w:r w:rsidR="00D66D1B" w:rsidRPr="00C96664">
        <w:rPr>
          <w:highlight w:val="yellow"/>
        </w:rPr>
        <w:t>commodity</w:t>
      </w:r>
      <w:r w:rsidR="00D66D1B" w:rsidRPr="00C96664">
        <w:rPr>
          <w:highlight w:val="yellow"/>
        </w:rPr>
        <w:t>-</w:t>
      </w:r>
      <w:r w:rsidRPr="00C96664">
        <w:rPr>
          <w:highlight w:val="yellow"/>
        </w:rPr>
        <w:t>specific and value-</w:t>
      </w:r>
      <w:r w:rsidR="00D66D1B" w:rsidRPr="00C96664">
        <w:rPr>
          <w:highlight w:val="yellow"/>
        </w:rPr>
        <w:t>chain</w:t>
      </w:r>
      <w:r w:rsidR="00D66D1B" w:rsidRPr="00C96664">
        <w:rPr>
          <w:highlight w:val="yellow"/>
        </w:rPr>
        <w:t>-</w:t>
      </w:r>
      <w:r w:rsidRPr="00C96664">
        <w:rPr>
          <w:highlight w:val="yellow"/>
        </w:rPr>
        <w:t>specific</w:t>
      </w:r>
      <w:r>
        <w:t>.</w:t>
      </w:r>
    </w:p>
    <w:p w14:paraId="24BBFF89" w14:textId="77777777" w:rsidR="005F6B50" w:rsidRDefault="00693C4D">
      <w:pPr>
        <w:pStyle w:val="Heading2"/>
        <w:spacing w:after="80" w:line="240" w:lineRule="auto"/>
      </w:pPr>
      <w:r>
        <w:t>9.2 Integration with reduced-input crop management</w:t>
      </w:r>
    </w:p>
    <w:p w14:paraId="5B470069" w14:textId="77777777" w:rsidR="005F6B50" w:rsidRDefault="00693C4D">
      <w:pPr>
        <w:spacing w:after="120"/>
        <w:jc w:val="both"/>
      </w:pPr>
      <w:r>
        <w:t xml:space="preserve">The most realistic future for </w:t>
      </w:r>
      <w:proofErr w:type="spellStart"/>
      <w:r>
        <w:t>jasmonate</w:t>
      </w:r>
      <w:proofErr w:type="spellEnd"/>
      <w:r>
        <w:t xml:space="preserve">-based practice lies in integration with other sustainability tools. In crop protection, JA treatments can complement biological control, resistant cultivars and monitoring-based decisions by priming plant readiness instead of acting as broad-spectrum toxicants. In postharvest systems, </w:t>
      </w:r>
      <w:proofErr w:type="spellStart"/>
      <w:r>
        <w:t>MeJA</w:t>
      </w:r>
      <w:proofErr w:type="spellEnd"/>
      <w:r>
        <w:t xml:space="preserve"> can support refrigeration, sanitation and packaging strategies by enhancing the commodity's own </w:t>
      </w:r>
      <w:proofErr w:type="spellStart"/>
      <w:r>
        <w:t>defence</w:t>
      </w:r>
      <w:proofErr w:type="spellEnd"/>
      <w:r>
        <w:t xml:space="preserve"> and preservation responses (</w:t>
      </w:r>
      <w:proofErr w:type="spellStart"/>
      <w:r>
        <w:t>Asghari</w:t>
      </w:r>
      <w:proofErr w:type="spellEnd"/>
      <w:r>
        <w:t>, 2019; Min et al., 2024).</w:t>
      </w:r>
    </w:p>
    <w:p w14:paraId="4DE7AD96" w14:textId="77777777" w:rsidR="005F6B50" w:rsidRDefault="00693C4D">
      <w:pPr>
        <w:spacing w:after="120"/>
        <w:jc w:val="both"/>
      </w:pPr>
      <w:r>
        <w:t xml:space="preserve">Integration is also essential because </w:t>
      </w:r>
      <w:proofErr w:type="spellStart"/>
      <w:r>
        <w:t>jasmonates</w:t>
      </w:r>
      <w:proofErr w:type="spellEnd"/>
      <w:r>
        <w:t xml:space="preserve"> do not solve every problem. They do not replace sound nutrition, irrigation, canopy management or hygiene. Nor do they remove the need to understand local pest ecology and storage physiology. What they offer is a way to make existing systems physiologically smarter by activating endogenous protective capacity at the right moment. This is especially valuable in reduced-input systems where the margin for error is smaller and where value depends on lowering losses rather than simply increasing input intensity.</w:t>
      </w:r>
    </w:p>
    <w:p w14:paraId="4BFB2D7B" w14:textId="77777777" w:rsidR="005F6B50" w:rsidRDefault="00693C4D">
      <w:pPr>
        <w:spacing w:after="120"/>
        <w:jc w:val="both"/>
      </w:pPr>
      <w:r>
        <w:t xml:space="preserve">Economic and regulatory questions remain. Even when </w:t>
      </w:r>
      <w:proofErr w:type="spellStart"/>
      <w:r>
        <w:t>jasmonates</w:t>
      </w:r>
      <w:proofErr w:type="spellEnd"/>
      <w:r>
        <w:t xml:space="preserve"> are endogenous plant compounds, commercial use requires dependable formulations, residue confidence, worker-safe handling protocols, compatibility with certification schemes and cost-effectiveness relative to alternative treatments. The evidence base is strongest where commodity value is high and treatment environments are controllable. Expansion into field-scale systems will require more multi-environment trials, economic analyses and formulation research than are currently available.</w:t>
      </w:r>
    </w:p>
    <w:p w14:paraId="7E0CA74A" w14:textId="77777777" w:rsidR="005F6B50" w:rsidRDefault="00693C4D">
      <w:pPr>
        <w:spacing w:after="120"/>
        <w:jc w:val="both"/>
      </w:pPr>
      <w:r>
        <w:t xml:space="preserve">Another translational requirement is better decision support. Because </w:t>
      </w:r>
      <w:proofErr w:type="spellStart"/>
      <w:r>
        <w:t>jasmonate</w:t>
      </w:r>
      <w:proofErr w:type="spellEnd"/>
      <w:r>
        <w:t xml:space="preserve"> efficacy depends on stress likelihood, phenological stage and existing crop condition, routine calendar-based use is unlikely to be optimal. The next wave of implementation will probably need to combine physiological knowledge with forecasting, sensing and cultivar-specific protocols. Such integration may appear demanding, but it is fully consistent with the logic of sustainable intensification, where the most effective inputs are increasingly those applied only when diagnostic or predictive information justifies them (</w:t>
      </w:r>
      <w:proofErr w:type="spellStart"/>
      <w:r>
        <w:t>Asghari</w:t>
      </w:r>
      <w:proofErr w:type="spellEnd"/>
      <w:r>
        <w:t>, 2019; Hasan et al., 2025).</w:t>
      </w:r>
    </w:p>
    <w:p w14:paraId="467AB965" w14:textId="77777777" w:rsidR="005F6B50" w:rsidRDefault="00693C4D">
      <w:pPr>
        <w:pStyle w:val="Heading1"/>
        <w:spacing w:before="240" w:after="120" w:line="240" w:lineRule="auto"/>
      </w:pPr>
      <w:r>
        <w:t>10. Emerging research directions</w:t>
      </w:r>
    </w:p>
    <w:p w14:paraId="6D2726BD" w14:textId="77777777" w:rsidR="005F6B50" w:rsidRDefault="00693C4D">
      <w:pPr>
        <w:spacing w:after="120"/>
        <w:jc w:val="both"/>
      </w:pPr>
      <w:r>
        <w:t xml:space="preserve">Several research directions are likely to determine whether </w:t>
      </w:r>
      <w:proofErr w:type="spellStart"/>
      <w:r>
        <w:t>jasmonate</w:t>
      </w:r>
      <w:proofErr w:type="spellEnd"/>
      <w:r>
        <w:t xml:space="preserve"> science can move from promising physiology to dependable crop technology. One is molecular fine-tuning of the receptor and transcriptional machinery. Because the COI1-JAZ-MYC-MED25 axis is modular, it should be possible to identify alleles or engineered variants that preserve inducible </w:t>
      </w:r>
      <w:proofErr w:type="spellStart"/>
      <w:r>
        <w:t>defence</w:t>
      </w:r>
      <w:proofErr w:type="spellEnd"/>
      <w:r>
        <w:t xml:space="preserve"> while moderating growth penalties or concentrating responses in particular organs (Howe et al., 2018; </w:t>
      </w:r>
      <w:proofErr w:type="spellStart"/>
      <w:r>
        <w:t>Zhai</w:t>
      </w:r>
      <w:proofErr w:type="spellEnd"/>
      <w:r>
        <w:t xml:space="preserve"> et al., 2020).</w:t>
      </w:r>
    </w:p>
    <w:p w14:paraId="120612B4" w14:textId="77777777" w:rsidR="005F6B50" w:rsidRDefault="00693C4D">
      <w:pPr>
        <w:spacing w:after="120"/>
        <w:jc w:val="both"/>
      </w:pPr>
      <w:r>
        <w:t xml:space="preserve">A second frontier concerns systemic and below-ground </w:t>
      </w:r>
      <w:proofErr w:type="spellStart"/>
      <w:r>
        <w:t>signalling</w:t>
      </w:r>
      <w:proofErr w:type="spellEnd"/>
      <w:r>
        <w:t xml:space="preserve">. The recognition that </w:t>
      </w:r>
      <w:proofErr w:type="spellStart"/>
      <w:r>
        <w:t>jasmonate</w:t>
      </w:r>
      <w:proofErr w:type="spellEnd"/>
      <w:r>
        <w:t xml:space="preserve"> participates in rapid systemic immunity and in root-mediated microbiome </w:t>
      </w:r>
      <w:r>
        <w:lastRenderedPageBreak/>
        <w:t>recruitment expands the pathway from local stress response to whole-plant and ecosystem coordination (Kulkarni et al., 2024; Gaikwad et al., 2026). This broadens the range of sustainable applications, including targeted priming of system-wide resistance and designed interactions with beneficial soil consortia.</w:t>
      </w:r>
    </w:p>
    <w:p w14:paraId="0E08488E" w14:textId="0EAE3DFE" w:rsidR="005F6B50" w:rsidRDefault="00693C4D">
      <w:pPr>
        <w:spacing w:after="120"/>
        <w:jc w:val="both"/>
      </w:pPr>
      <w:r>
        <w:t xml:space="preserve">A third frontier is precision deployment. Future JA use will likely depend on phenology-aware treatment windows, improved delivery systems, integration with protected cultivation sensors and data-driven decision support. Such precision could transform </w:t>
      </w:r>
      <w:proofErr w:type="spellStart"/>
      <w:r>
        <w:t>jasmonate</w:t>
      </w:r>
      <w:proofErr w:type="spellEnd"/>
      <w:r>
        <w:t xml:space="preserve"> from a broadly defined elicitor into a genuinely programmable intervention whose dose and timing are tailored to crop stage, predicted stress and market objective. The scientific groundwork for this transition already exists; the remaining </w:t>
      </w:r>
      <w:r w:rsidRPr="00C96664">
        <w:rPr>
          <w:highlight w:val="yellow"/>
        </w:rPr>
        <w:t xml:space="preserve">task is </w:t>
      </w:r>
      <w:r w:rsidR="00D66D1B" w:rsidRPr="00C96664">
        <w:rPr>
          <w:highlight w:val="yellow"/>
        </w:rPr>
        <w:t xml:space="preserve">the </w:t>
      </w:r>
      <w:r w:rsidRPr="00C96664">
        <w:rPr>
          <w:highlight w:val="yellow"/>
        </w:rPr>
        <w:t>translational</w:t>
      </w:r>
      <w:r>
        <w:t xml:space="preserve"> discipline.</w:t>
      </w:r>
    </w:p>
    <w:p w14:paraId="6ED415CC" w14:textId="77777777" w:rsidR="005F6B50" w:rsidRDefault="00693C4D">
      <w:pPr>
        <w:spacing w:after="120"/>
        <w:jc w:val="both"/>
      </w:pPr>
      <w:r>
        <w:t xml:space="preserve">Breeding and genome editing will also be important. Instead of aiming for crops that are permanently more defensive, future efforts may focus on genotypes with improved inducibility, reduced off-target growth penalties or stronger tissue-specific responses. Coupling such genetic tuning with improved formulations and microbiome-aware agronomy could make </w:t>
      </w:r>
      <w:proofErr w:type="spellStart"/>
      <w:r>
        <w:t>jasmonate</w:t>
      </w:r>
      <w:proofErr w:type="spellEnd"/>
      <w:r>
        <w:t xml:space="preserve">-responsive crops both resilient and agronomically efficient. In that sense, the future of JA is unlikely to be a single technology. It is more plausibly a platform that links </w:t>
      </w:r>
      <w:proofErr w:type="spellStart"/>
      <w:r>
        <w:t>signalling</w:t>
      </w:r>
      <w:proofErr w:type="spellEnd"/>
      <w:r>
        <w:t xml:space="preserve"> biology, crop management, storage science and sustainable value-chain design into a coordinated strategy for loss prevention and quality preservation (Howe et al., 2018; Kulkarni et al., 2024; Gaikwad et al., 2026).</w:t>
      </w:r>
    </w:p>
    <w:p w14:paraId="59552560" w14:textId="77777777" w:rsidR="005F6B50" w:rsidRDefault="00693C4D">
      <w:pPr>
        <w:spacing w:after="120"/>
        <w:jc w:val="both"/>
      </w:pPr>
      <w:r>
        <w:t xml:space="preserve">A related priority is measurement. High-throughput phenotyping, non-destructive quality sensing and more sensitive markers of systemic </w:t>
      </w:r>
      <w:proofErr w:type="spellStart"/>
      <w:r>
        <w:t>signalling</w:t>
      </w:r>
      <w:proofErr w:type="spellEnd"/>
      <w:r>
        <w:t xml:space="preserve"> will be needed to identify when </w:t>
      </w:r>
      <w:proofErr w:type="spellStart"/>
      <w:r>
        <w:t>jasmonate</w:t>
      </w:r>
      <w:proofErr w:type="spellEnd"/>
      <w:r>
        <w:t xml:space="preserve"> treatment has genuinely improved crop status and when it has merely shifted stress symptoms in time. Recent mechanistic advances suggest that early systemic reporters, metabolite signatures and microbiome responses could all become part of this toolkit. If such diagnostics are incorporated into breeding and management pipelines, </w:t>
      </w:r>
      <w:proofErr w:type="spellStart"/>
      <w:r>
        <w:t>jasmonate</w:t>
      </w:r>
      <w:proofErr w:type="spellEnd"/>
      <w:r>
        <w:t xml:space="preserve"> deployment could move beyond empirical spray schedules towards evidence-based physiological steering. That shift would greatly improve confidence among growers and storage managers, who need treatments that are not only biologically plausible but operationally verifiable (</w:t>
      </w:r>
      <w:proofErr w:type="spellStart"/>
      <w:r>
        <w:t>Zhai</w:t>
      </w:r>
      <w:proofErr w:type="spellEnd"/>
      <w:r>
        <w:t xml:space="preserve"> et al., 2020; Kulkarni et al., 2024; Gaikwad et al., 2026).</w:t>
      </w:r>
    </w:p>
    <w:p w14:paraId="3287ADDD" w14:textId="77777777" w:rsidR="005F6B50" w:rsidRDefault="00693C4D">
      <w:pPr>
        <w:pStyle w:val="Heading1"/>
        <w:spacing w:before="240" w:after="120" w:line="240" w:lineRule="auto"/>
      </w:pPr>
      <w:r>
        <w:t>11. Conclusions</w:t>
      </w:r>
    </w:p>
    <w:p w14:paraId="1A25D6E5" w14:textId="77777777" w:rsidR="005F6B50" w:rsidRDefault="00693C4D">
      <w:pPr>
        <w:spacing w:after="120"/>
        <w:jc w:val="both"/>
      </w:pPr>
      <w:proofErr w:type="spellStart"/>
      <w:r>
        <w:t>Jasmonic</w:t>
      </w:r>
      <w:proofErr w:type="spellEnd"/>
      <w:r>
        <w:t xml:space="preserve"> acid has emerged as one of the most strategically important endogenous regulators for sustainable crop management because it links </w:t>
      </w:r>
      <w:proofErr w:type="spellStart"/>
      <w:r>
        <w:t>defence</w:t>
      </w:r>
      <w:proofErr w:type="spellEnd"/>
      <w:r>
        <w:t xml:space="preserve">, acclimation, metabolism and quality formation within a single </w:t>
      </w:r>
      <w:proofErr w:type="spellStart"/>
      <w:r>
        <w:t>signalling</w:t>
      </w:r>
      <w:proofErr w:type="spellEnd"/>
      <w:r>
        <w:t xml:space="preserve"> framework. The value of </w:t>
      </w:r>
      <w:proofErr w:type="spellStart"/>
      <w:r>
        <w:t>jasmonates</w:t>
      </w:r>
      <w:proofErr w:type="spellEnd"/>
      <w:r>
        <w:t xml:space="preserve"> lies not merely in their capacity to activate resistance, but in their ability to </w:t>
      </w:r>
      <w:proofErr w:type="spellStart"/>
      <w:r>
        <w:t>reorganise</w:t>
      </w:r>
      <w:proofErr w:type="spellEnd"/>
      <w:r>
        <w:t xml:space="preserve"> plant priorities in response to predictable biological and environmental risk. This makes them relevant to reduced-input agriculture, protected horticulture, postharvest preservation and premium quality supply chains.</w:t>
      </w:r>
    </w:p>
    <w:p w14:paraId="38B1E057" w14:textId="77777777" w:rsidR="005F6B50" w:rsidRDefault="00693C4D">
      <w:pPr>
        <w:spacing w:after="120"/>
        <w:jc w:val="both"/>
      </w:pPr>
      <w:r>
        <w:t xml:space="preserve">The review shows that </w:t>
      </w:r>
      <w:proofErr w:type="spellStart"/>
      <w:r>
        <w:t>jasmonate</w:t>
      </w:r>
      <w:proofErr w:type="spellEnd"/>
      <w:r>
        <w:t xml:space="preserve">-based interventions are most mature in horticultural and postharvest systems, where carefully timed preharvest or postharvest methyl </w:t>
      </w:r>
      <w:proofErr w:type="spellStart"/>
      <w:r>
        <w:t>jasmonate</w:t>
      </w:r>
      <w:proofErr w:type="spellEnd"/>
      <w:r>
        <w:t xml:space="preserve"> applications can improve </w:t>
      </w:r>
      <w:proofErr w:type="spellStart"/>
      <w:r>
        <w:t>colour</w:t>
      </w:r>
      <w:proofErr w:type="spellEnd"/>
      <w:r>
        <w:t xml:space="preserve">, phytochemical composition, storability, chilling tolerance and resistance to decay. In field agriculture, the opportunity is equally real but more </w:t>
      </w:r>
      <w:r>
        <w:lastRenderedPageBreak/>
        <w:t xml:space="preserve">conditional because the pathway that supports </w:t>
      </w:r>
      <w:proofErr w:type="spellStart"/>
      <w:r>
        <w:t>defence</w:t>
      </w:r>
      <w:proofErr w:type="spellEnd"/>
      <w:r>
        <w:t xml:space="preserve"> can also suppress growth and yield when activated inappropriately. The central practical lesson is therefore one of precision: sustainable benefits arise when </w:t>
      </w:r>
      <w:proofErr w:type="spellStart"/>
      <w:r>
        <w:t>jasmonate</w:t>
      </w:r>
      <w:proofErr w:type="spellEnd"/>
      <w:r>
        <w:t xml:space="preserve"> </w:t>
      </w:r>
      <w:proofErr w:type="spellStart"/>
      <w:r>
        <w:t>signalling</w:t>
      </w:r>
      <w:proofErr w:type="spellEnd"/>
      <w:r>
        <w:t xml:space="preserve"> is timed, dosed and integrated well enough to prevent losses without locking crops into a chronic defensive state.</w:t>
      </w:r>
    </w:p>
    <w:p w14:paraId="1AF83895" w14:textId="77777777" w:rsidR="005F6B50" w:rsidRDefault="00693C4D">
      <w:pPr>
        <w:spacing w:after="120"/>
        <w:jc w:val="both"/>
      </w:pPr>
      <w:r>
        <w:t xml:space="preserve">Viewed in this way, </w:t>
      </w:r>
      <w:proofErr w:type="spellStart"/>
      <w:r>
        <w:t>jasmonic</w:t>
      </w:r>
      <w:proofErr w:type="spellEnd"/>
      <w:r>
        <w:t xml:space="preserve"> acid is not a simple substitute for pesticides or </w:t>
      </w:r>
      <w:proofErr w:type="spellStart"/>
      <w:r>
        <w:t>fertilisers</w:t>
      </w:r>
      <w:proofErr w:type="spellEnd"/>
      <w:r>
        <w:t xml:space="preserve">. It is a physiological coordination tool. Its greatest future contribution will come from being combined with breeding, targeted </w:t>
      </w:r>
      <w:proofErr w:type="spellStart"/>
      <w:r>
        <w:t>signalling</w:t>
      </w:r>
      <w:proofErr w:type="spellEnd"/>
      <w:r>
        <w:t xml:space="preserve"> modulation, microbiome-aware management, precision horticulture and robust postharvest logistics. Harnessed with this level of precision, </w:t>
      </w:r>
      <w:proofErr w:type="spellStart"/>
      <w:r>
        <w:t>jasmonates</w:t>
      </w:r>
      <w:proofErr w:type="spellEnd"/>
      <w:r>
        <w:t xml:space="preserve"> can help crop systems become both more resilient and less chemically dependent.</w:t>
      </w:r>
    </w:p>
    <w:p w14:paraId="3F9F70D7" w14:textId="77777777" w:rsidR="005F6B50" w:rsidRDefault="00693C4D">
      <w:pPr>
        <w:pStyle w:val="Heading1"/>
        <w:spacing w:before="240" w:after="120" w:line="240" w:lineRule="auto"/>
      </w:pPr>
      <w:r>
        <w:t>12. Limitations</w:t>
      </w:r>
    </w:p>
    <w:p w14:paraId="62B8B13C" w14:textId="77777777" w:rsidR="005F6B50" w:rsidRDefault="00693C4D">
      <w:pPr>
        <w:spacing w:after="120"/>
        <w:jc w:val="both"/>
      </w:pPr>
      <w:r>
        <w:t xml:space="preserve">This review is limited by the nature of the currently available evidence. Much of the strongest mechanistic work has been performed in model systems or under controlled conditions, whereas broad multi-season field validation remains comparatively scarce. Likewise, the horticultural and postharvest literature is richer in commodity-specific case studies than in </w:t>
      </w:r>
      <w:proofErr w:type="spellStart"/>
      <w:r>
        <w:t>harmonised</w:t>
      </w:r>
      <w:proofErr w:type="spellEnd"/>
      <w:r>
        <w:t xml:space="preserve"> protocols that allow direct comparison of dose, formulation and treatment timing across crops.</w:t>
      </w:r>
    </w:p>
    <w:p w14:paraId="62742F6C" w14:textId="77777777" w:rsidR="005F6B50" w:rsidRDefault="00693C4D">
      <w:pPr>
        <w:spacing w:after="120"/>
        <w:jc w:val="both"/>
      </w:pPr>
      <w:r>
        <w:t xml:space="preserve">A second limitation is that the review </w:t>
      </w:r>
      <w:proofErr w:type="spellStart"/>
      <w:r>
        <w:t>prioritised</w:t>
      </w:r>
      <w:proofErr w:type="spellEnd"/>
      <w:r>
        <w:t xml:space="preserve"> indexed English-language journal literature with verifiable metadata and DOI information. Although this improves traceability and reference quality, it may underrepresent locally important studies, especially those from production systems where </w:t>
      </w:r>
      <w:proofErr w:type="spellStart"/>
      <w:r>
        <w:t>jasmonate</w:t>
      </w:r>
      <w:proofErr w:type="spellEnd"/>
      <w:r>
        <w:t xml:space="preserve"> use is being explored operationally but not yet published in widely indexed journals. Finally, the article </w:t>
      </w:r>
      <w:proofErr w:type="spellStart"/>
      <w:r>
        <w:t>synthesises</w:t>
      </w:r>
      <w:proofErr w:type="spellEnd"/>
      <w:r>
        <w:t xml:space="preserve"> current evidence narratively rather than through formal meta-analysis across all topic areas. As a result, it identifies robust patterns and practical implications, but it does not provide quantitative pooled effect sizes for every crop and stress context.</w:t>
      </w:r>
    </w:p>
    <w:p w14:paraId="241F6DB8" w14:textId="77777777" w:rsidR="003849D1" w:rsidRPr="003849D1" w:rsidRDefault="003849D1" w:rsidP="003849D1">
      <w:pPr>
        <w:spacing w:after="0" w:line="240" w:lineRule="auto"/>
        <w:rPr>
          <w:rFonts w:eastAsia="Calibri" w:cs="Times New Roman"/>
          <w:kern w:val="2"/>
          <w:sz w:val="22"/>
          <w:highlight w:val="yellow"/>
        </w:rPr>
      </w:pPr>
      <w:bookmarkStart w:id="1" w:name="_Hlk198031404"/>
      <w:r w:rsidRPr="003849D1">
        <w:rPr>
          <w:rFonts w:eastAsia="Calibri" w:cs="Times New Roman"/>
          <w:kern w:val="2"/>
          <w:sz w:val="22"/>
          <w:highlight w:val="yellow"/>
        </w:rPr>
        <w:t>Disclaimer (Artificial intelligence)</w:t>
      </w:r>
    </w:p>
    <w:p w14:paraId="64C0FECA" w14:textId="77777777" w:rsidR="003849D1" w:rsidRPr="003849D1" w:rsidRDefault="003849D1" w:rsidP="003849D1">
      <w:pPr>
        <w:spacing w:after="0" w:line="240" w:lineRule="auto"/>
        <w:rPr>
          <w:rFonts w:eastAsia="Calibri" w:cs="Times New Roman"/>
          <w:kern w:val="2"/>
          <w:sz w:val="22"/>
          <w:highlight w:val="yellow"/>
        </w:rPr>
      </w:pPr>
    </w:p>
    <w:p w14:paraId="5AFB6825" w14:textId="77777777" w:rsidR="003849D1" w:rsidRPr="003849D1" w:rsidRDefault="003849D1" w:rsidP="003849D1">
      <w:pPr>
        <w:spacing w:after="0" w:line="240" w:lineRule="auto"/>
        <w:rPr>
          <w:rFonts w:eastAsia="Calibri" w:cs="Times New Roman"/>
          <w:kern w:val="2"/>
          <w:sz w:val="22"/>
          <w:highlight w:val="yellow"/>
        </w:rPr>
      </w:pPr>
      <w:r w:rsidRPr="003849D1">
        <w:rPr>
          <w:rFonts w:eastAsia="Calibri" w:cs="Times New Roman"/>
          <w:kern w:val="2"/>
          <w:sz w:val="22"/>
          <w:highlight w:val="yellow"/>
        </w:rPr>
        <w:t>Author(s) hereby declare that NO generative AI technologies such as Large Language Models (</w:t>
      </w:r>
      <w:proofErr w:type="spellStart"/>
      <w:r w:rsidRPr="003849D1">
        <w:rPr>
          <w:rFonts w:eastAsia="Calibri" w:cs="Times New Roman"/>
          <w:kern w:val="2"/>
          <w:sz w:val="22"/>
          <w:highlight w:val="yellow"/>
        </w:rPr>
        <w:t>ChatGPT</w:t>
      </w:r>
      <w:proofErr w:type="spellEnd"/>
      <w:r w:rsidRPr="003849D1">
        <w:rPr>
          <w:rFonts w:eastAsia="Calibri" w:cs="Times New Roman"/>
          <w:kern w:val="2"/>
          <w:sz w:val="22"/>
          <w:highlight w:val="yellow"/>
        </w:rPr>
        <w:t xml:space="preserve">, COPILOT, etc.) and text-to-image generators have been used during the writing or editing of this manuscript. </w:t>
      </w:r>
    </w:p>
    <w:bookmarkEnd w:id="1"/>
    <w:p w14:paraId="1E4C4044" w14:textId="77777777" w:rsidR="005F6B50" w:rsidRDefault="00693C4D">
      <w:r>
        <w:br w:type="page"/>
      </w:r>
    </w:p>
    <w:p w14:paraId="6E4A381B" w14:textId="77777777" w:rsidR="005F6B50" w:rsidRDefault="00693C4D">
      <w:pPr>
        <w:pStyle w:val="Heading1"/>
        <w:spacing w:before="0" w:after="120" w:line="240" w:lineRule="auto"/>
      </w:pPr>
      <w:r>
        <w:lastRenderedPageBreak/>
        <w:t>References</w:t>
      </w:r>
    </w:p>
    <w:p w14:paraId="305767FC" w14:textId="77777777" w:rsidR="005F6B50" w:rsidRDefault="00693C4D">
      <w:pPr>
        <w:spacing w:after="60" w:line="240" w:lineRule="auto"/>
        <w:ind w:left="720" w:hanging="720"/>
      </w:pPr>
      <w:proofErr w:type="spellStart"/>
      <w:r>
        <w:rPr>
          <w:sz w:val="21"/>
        </w:rPr>
        <w:t>Asghari</w:t>
      </w:r>
      <w:proofErr w:type="spellEnd"/>
      <w:r>
        <w:rPr>
          <w:sz w:val="21"/>
        </w:rPr>
        <w:t xml:space="preserve">, M. (2019). Impact of </w:t>
      </w:r>
      <w:proofErr w:type="spellStart"/>
      <w:r>
        <w:rPr>
          <w:sz w:val="21"/>
        </w:rPr>
        <w:t>jasmonates</w:t>
      </w:r>
      <w:proofErr w:type="spellEnd"/>
      <w:r>
        <w:rPr>
          <w:sz w:val="21"/>
        </w:rPr>
        <w:t xml:space="preserve"> on safety, productivity and physiology of food crops. </w:t>
      </w:r>
      <w:r>
        <w:rPr>
          <w:i/>
          <w:sz w:val="21"/>
        </w:rPr>
        <w:t>Trends in Food Science &amp; Technology</w:t>
      </w:r>
      <w:r>
        <w:rPr>
          <w:sz w:val="21"/>
        </w:rPr>
        <w:t xml:space="preserve">, </w:t>
      </w:r>
      <w:r>
        <w:rPr>
          <w:i/>
          <w:sz w:val="21"/>
        </w:rPr>
        <w:t>91</w:t>
      </w:r>
      <w:r>
        <w:rPr>
          <w:sz w:val="21"/>
        </w:rPr>
        <w:t>, 169-183. https://doi.org/10.1016/j.tifs.2019.07.005</w:t>
      </w:r>
    </w:p>
    <w:p w14:paraId="243CF1E9" w14:textId="77777777" w:rsidR="005F6B50" w:rsidRDefault="00693C4D">
      <w:pPr>
        <w:spacing w:after="60" w:line="240" w:lineRule="auto"/>
        <w:ind w:left="720" w:hanging="720"/>
      </w:pPr>
      <w:proofErr w:type="spellStart"/>
      <w:r>
        <w:rPr>
          <w:sz w:val="21"/>
        </w:rPr>
        <w:t>Baek</w:t>
      </w:r>
      <w:proofErr w:type="spellEnd"/>
      <w:r>
        <w:rPr>
          <w:sz w:val="21"/>
        </w:rPr>
        <w:t xml:space="preserve">, M. W., Choi, H. R., Lee, H. C., Lee, J. H., Lee, O.-H., Hong, J. S., </w:t>
      </w:r>
      <w:proofErr w:type="spellStart"/>
      <w:r>
        <w:rPr>
          <w:sz w:val="21"/>
        </w:rPr>
        <w:t>Jeong</w:t>
      </w:r>
      <w:proofErr w:type="spellEnd"/>
      <w:r>
        <w:rPr>
          <w:sz w:val="21"/>
        </w:rPr>
        <w:t xml:space="preserve">, C. S., &amp; </w:t>
      </w:r>
      <w:proofErr w:type="spellStart"/>
      <w:r>
        <w:rPr>
          <w:sz w:val="21"/>
        </w:rPr>
        <w:t>Tilahun</w:t>
      </w:r>
      <w:proofErr w:type="spellEnd"/>
      <w:r>
        <w:rPr>
          <w:sz w:val="21"/>
        </w:rPr>
        <w:t xml:space="preserve">, S. (2023). Preharvest methyl </w:t>
      </w:r>
      <w:proofErr w:type="spellStart"/>
      <w:r>
        <w:rPr>
          <w:sz w:val="21"/>
        </w:rPr>
        <w:t>jasmonate</w:t>
      </w:r>
      <w:proofErr w:type="spellEnd"/>
      <w:r>
        <w:rPr>
          <w:sz w:val="21"/>
        </w:rPr>
        <w:t xml:space="preserve"> and salicylic acid treatments improve the nutritional qualities and postharvest storability of tomato. </w:t>
      </w:r>
      <w:r>
        <w:rPr>
          <w:i/>
          <w:sz w:val="21"/>
        </w:rPr>
        <w:t xml:space="preserve">Scientia </w:t>
      </w:r>
      <w:proofErr w:type="spellStart"/>
      <w:r>
        <w:rPr>
          <w:i/>
          <w:sz w:val="21"/>
        </w:rPr>
        <w:t>Horticulturae</w:t>
      </w:r>
      <w:proofErr w:type="spellEnd"/>
      <w:r>
        <w:rPr>
          <w:sz w:val="21"/>
        </w:rPr>
        <w:t xml:space="preserve">, </w:t>
      </w:r>
      <w:r>
        <w:rPr>
          <w:i/>
          <w:sz w:val="21"/>
        </w:rPr>
        <w:t>321</w:t>
      </w:r>
      <w:r>
        <w:rPr>
          <w:sz w:val="21"/>
        </w:rPr>
        <w:t>, 112332. https://doi.org/10.1016/j.scienta.2023.112332</w:t>
      </w:r>
    </w:p>
    <w:p w14:paraId="5119366F" w14:textId="77777777" w:rsidR="005F6B50" w:rsidRDefault="00693C4D">
      <w:pPr>
        <w:spacing w:after="60" w:line="240" w:lineRule="auto"/>
        <w:ind w:left="720" w:hanging="720"/>
      </w:pPr>
      <w:r>
        <w:rPr>
          <w:sz w:val="21"/>
        </w:rPr>
        <w:t xml:space="preserve">Browse, J. (2009). </w:t>
      </w:r>
      <w:proofErr w:type="spellStart"/>
      <w:r>
        <w:rPr>
          <w:sz w:val="21"/>
        </w:rPr>
        <w:t>Jasmonate</w:t>
      </w:r>
      <w:proofErr w:type="spellEnd"/>
      <w:r>
        <w:rPr>
          <w:sz w:val="21"/>
        </w:rPr>
        <w:t xml:space="preserve"> passes muster: A receptor and targets for the defense hormone. </w:t>
      </w:r>
      <w:r>
        <w:rPr>
          <w:i/>
          <w:sz w:val="21"/>
        </w:rPr>
        <w:t>Annual Review of Plant Biology</w:t>
      </w:r>
      <w:r>
        <w:rPr>
          <w:sz w:val="21"/>
        </w:rPr>
        <w:t xml:space="preserve">, </w:t>
      </w:r>
      <w:r>
        <w:rPr>
          <w:i/>
          <w:sz w:val="21"/>
        </w:rPr>
        <w:t>60</w:t>
      </w:r>
      <w:r>
        <w:rPr>
          <w:sz w:val="21"/>
        </w:rPr>
        <w:t>, 183-205. https://doi.org/10.1146/annurev.arplant.043008.092007</w:t>
      </w:r>
    </w:p>
    <w:p w14:paraId="4F4A2268" w14:textId="77777777" w:rsidR="005F6B50" w:rsidRPr="003849D1" w:rsidRDefault="00693C4D">
      <w:pPr>
        <w:spacing w:after="60" w:line="240" w:lineRule="auto"/>
        <w:ind w:left="720" w:hanging="720"/>
        <w:rPr>
          <w:lang w:val="fr-FR"/>
        </w:rPr>
      </w:pPr>
      <w:r>
        <w:rPr>
          <w:sz w:val="21"/>
        </w:rPr>
        <w:t xml:space="preserve">Campos, M. L., Yoshida, Y., Major, I. T., de Oliveira Ferreira, D., </w:t>
      </w:r>
      <w:proofErr w:type="spellStart"/>
      <w:r>
        <w:rPr>
          <w:sz w:val="21"/>
        </w:rPr>
        <w:t>Weraduwage</w:t>
      </w:r>
      <w:proofErr w:type="spellEnd"/>
      <w:r>
        <w:rPr>
          <w:sz w:val="21"/>
        </w:rPr>
        <w:t xml:space="preserve">, S. M., Froehlich, J. E., Johnson, B. F., Kramer, D. M., </w:t>
      </w:r>
      <w:proofErr w:type="spellStart"/>
      <w:r>
        <w:rPr>
          <w:sz w:val="21"/>
        </w:rPr>
        <w:t>Jander</w:t>
      </w:r>
      <w:proofErr w:type="spellEnd"/>
      <w:r>
        <w:rPr>
          <w:sz w:val="21"/>
        </w:rPr>
        <w:t xml:space="preserve">, G., Sharkey, T. D., &amp; Howe, G. A. (2016). Rewiring of </w:t>
      </w:r>
      <w:proofErr w:type="spellStart"/>
      <w:r>
        <w:rPr>
          <w:sz w:val="21"/>
        </w:rPr>
        <w:t>jasmonate</w:t>
      </w:r>
      <w:proofErr w:type="spellEnd"/>
      <w:r>
        <w:rPr>
          <w:sz w:val="21"/>
        </w:rPr>
        <w:t xml:space="preserve"> and phytochrome B </w:t>
      </w:r>
      <w:proofErr w:type="spellStart"/>
      <w:r>
        <w:rPr>
          <w:sz w:val="21"/>
        </w:rPr>
        <w:t>signalling</w:t>
      </w:r>
      <w:proofErr w:type="spellEnd"/>
      <w:r>
        <w:rPr>
          <w:sz w:val="21"/>
        </w:rPr>
        <w:t xml:space="preserve"> uncouples plant growth-defense tradeoffs. </w:t>
      </w:r>
      <w:r w:rsidRPr="003849D1">
        <w:rPr>
          <w:i/>
          <w:sz w:val="21"/>
          <w:lang w:val="fr-FR"/>
        </w:rPr>
        <w:t>Nature Communications</w:t>
      </w:r>
      <w:r w:rsidRPr="003849D1">
        <w:rPr>
          <w:sz w:val="21"/>
          <w:lang w:val="fr-FR"/>
        </w:rPr>
        <w:t xml:space="preserve">, </w:t>
      </w:r>
      <w:r w:rsidRPr="003849D1">
        <w:rPr>
          <w:i/>
          <w:sz w:val="21"/>
          <w:lang w:val="fr-FR"/>
        </w:rPr>
        <w:t>7</w:t>
      </w:r>
      <w:r w:rsidRPr="003849D1">
        <w:rPr>
          <w:sz w:val="21"/>
          <w:lang w:val="fr-FR"/>
        </w:rPr>
        <w:t>, Article 12570. https://doi.org/10.1038/ncomms12570</w:t>
      </w:r>
    </w:p>
    <w:p w14:paraId="6A16C0B4" w14:textId="77777777" w:rsidR="005F6B50" w:rsidRDefault="00693C4D">
      <w:pPr>
        <w:spacing w:after="60" w:line="240" w:lineRule="auto"/>
        <w:ind w:left="720" w:hanging="720"/>
      </w:pPr>
      <w:proofErr w:type="spellStart"/>
      <w:r w:rsidRPr="003849D1">
        <w:rPr>
          <w:sz w:val="21"/>
          <w:lang w:val="fr-FR"/>
        </w:rPr>
        <w:t>Chini</w:t>
      </w:r>
      <w:proofErr w:type="spellEnd"/>
      <w:r w:rsidRPr="003849D1">
        <w:rPr>
          <w:sz w:val="21"/>
          <w:lang w:val="fr-FR"/>
        </w:rPr>
        <w:t xml:space="preserve">, A., Fonseca, S., Fernandez, G., </w:t>
      </w:r>
      <w:proofErr w:type="spellStart"/>
      <w:r w:rsidRPr="003849D1">
        <w:rPr>
          <w:sz w:val="21"/>
          <w:lang w:val="fr-FR"/>
        </w:rPr>
        <w:t>Adie</w:t>
      </w:r>
      <w:proofErr w:type="spellEnd"/>
      <w:r w:rsidRPr="003849D1">
        <w:rPr>
          <w:sz w:val="21"/>
          <w:lang w:val="fr-FR"/>
        </w:rPr>
        <w:t>, B., Chico, J. M., Lorenzo, O., Garcia-Casado, G., Lopez-</w:t>
      </w:r>
      <w:proofErr w:type="spellStart"/>
      <w:r w:rsidRPr="003849D1">
        <w:rPr>
          <w:sz w:val="21"/>
          <w:lang w:val="fr-FR"/>
        </w:rPr>
        <w:t>Vidriero</w:t>
      </w:r>
      <w:proofErr w:type="spellEnd"/>
      <w:r w:rsidRPr="003849D1">
        <w:rPr>
          <w:sz w:val="21"/>
          <w:lang w:val="fr-FR"/>
        </w:rPr>
        <w:t xml:space="preserve">, I., Lozano, F. M., Ponce, M. R., </w:t>
      </w:r>
      <w:proofErr w:type="spellStart"/>
      <w:r w:rsidRPr="003849D1">
        <w:rPr>
          <w:sz w:val="21"/>
          <w:lang w:val="fr-FR"/>
        </w:rPr>
        <w:t>Micol</w:t>
      </w:r>
      <w:proofErr w:type="spellEnd"/>
      <w:r w:rsidRPr="003849D1">
        <w:rPr>
          <w:sz w:val="21"/>
          <w:lang w:val="fr-FR"/>
        </w:rPr>
        <w:t xml:space="preserve">, J. L., &amp; </w:t>
      </w:r>
      <w:proofErr w:type="spellStart"/>
      <w:r w:rsidRPr="003849D1">
        <w:rPr>
          <w:sz w:val="21"/>
          <w:lang w:val="fr-FR"/>
        </w:rPr>
        <w:t>Solano</w:t>
      </w:r>
      <w:proofErr w:type="spellEnd"/>
      <w:r w:rsidRPr="003849D1">
        <w:rPr>
          <w:sz w:val="21"/>
          <w:lang w:val="fr-FR"/>
        </w:rPr>
        <w:t xml:space="preserve">, R. (2007). </w:t>
      </w:r>
      <w:r>
        <w:rPr>
          <w:sz w:val="21"/>
        </w:rPr>
        <w:t xml:space="preserve">The JAZ family of repressors is the missing link in </w:t>
      </w:r>
      <w:proofErr w:type="spellStart"/>
      <w:r>
        <w:rPr>
          <w:sz w:val="21"/>
        </w:rPr>
        <w:t>jasmonate</w:t>
      </w:r>
      <w:proofErr w:type="spellEnd"/>
      <w:r>
        <w:rPr>
          <w:sz w:val="21"/>
        </w:rPr>
        <w:t xml:space="preserve"> </w:t>
      </w:r>
      <w:proofErr w:type="spellStart"/>
      <w:r>
        <w:rPr>
          <w:sz w:val="21"/>
        </w:rPr>
        <w:t>signalling</w:t>
      </w:r>
      <w:proofErr w:type="spellEnd"/>
      <w:r>
        <w:rPr>
          <w:sz w:val="21"/>
        </w:rPr>
        <w:t xml:space="preserve">. </w:t>
      </w:r>
      <w:r>
        <w:rPr>
          <w:i/>
          <w:sz w:val="21"/>
        </w:rPr>
        <w:t>Nature</w:t>
      </w:r>
      <w:r>
        <w:rPr>
          <w:sz w:val="21"/>
        </w:rPr>
        <w:t xml:space="preserve">, </w:t>
      </w:r>
      <w:r>
        <w:rPr>
          <w:i/>
          <w:sz w:val="21"/>
        </w:rPr>
        <w:t>448</w:t>
      </w:r>
      <w:r>
        <w:rPr>
          <w:sz w:val="21"/>
        </w:rPr>
        <w:t>(7154), 666-671. https://doi.org/10.1038/nature06006</w:t>
      </w:r>
    </w:p>
    <w:p w14:paraId="05EB99D4" w14:textId="77777777" w:rsidR="005F6B50" w:rsidRDefault="00693C4D">
      <w:pPr>
        <w:spacing w:after="60" w:line="240" w:lineRule="auto"/>
        <w:ind w:left="720" w:hanging="720"/>
      </w:pPr>
      <w:r>
        <w:rPr>
          <w:sz w:val="21"/>
        </w:rPr>
        <w:t xml:space="preserve">Gaikwad, T., Breen, S., Breeze, E., Stroud, E., Hussain, R., </w:t>
      </w:r>
      <w:proofErr w:type="spellStart"/>
      <w:r>
        <w:rPr>
          <w:sz w:val="21"/>
        </w:rPr>
        <w:t>Kulasekaran</w:t>
      </w:r>
      <w:proofErr w:type="spellEnd"/>
      <w:r>
        <w:rPr>
          <w:sz w:val="21"/>
        </w:rPr>
        <w:t xml:space="preserve">, S., </w:t>
      </w:r>
      <w:proofErr w:type="spellStart"/>
      <w:r>
        <w:rPr>
          <w:sz w:val="21"/>
        </w:rPr>
        <w:t>Kargios</w:t>
      </w:r>
      <w:proofErr w:type="spellEnd"/>
      <w:r>
        <w:rPr>
          <w:sz w:val="21"/>
        </w:rPr>
        <w:t>, N., Bennett, F., de Torres-</w:t>
      </w:r>
      <w:proofErr w:type="spellStart"/>
      <w:r>
        <w:rPr>
          <w:sz w:val="21"/>
        </w:rPr>
        <w:t>Zabala</w:t>
      </w:r>
      <w:proofErr w:type="spellEnd"/>
      <w:r>
        <w:rPr>
          <w:sz w:val="21"/>
        </w:rPr>
        <w:t xml:space="preserve">, M., </w:t>
      </w:r>
      <w:proofErr w:type="spellStart"/>
      <w:r>
        <w:rPr>
          <w:sz w:val="21"/>
        </w:rPr>
        <w:t>Horsell</w:t>
      </w:r>
      <w:proofErr w:type="spellEnd"/>
      <w:r>
        <w:rPr>
          <w:sz w:val="21"/>
        </w:rPr>
        <w:t xml:space="preserve">, D., </w:t>
      </w:r>
      <w:proofErr w:type="spellStart"/>
      <w:r>
        <w:rPr>
          <w:sz w:val="21"/>
        </w:rPr>
        <w:t>Frigerio</w:t>
      </w:r>
      <w:proofErr w:type="spellEnd"/>
      <w:r>
        <w:rPr>
          <w:sz w:val="21"/>
        </w:rPr>
        <w:t xml:space="preserve">, L., </w:t>
      </w:r>
      <w:proofErr w:type="spellStart"/>
      <w:r>
        <w:rPr>
          <w:sz w:val="21"/>
        </w:rPr>
        <w:t>Kachroo</w:t>
      </w:r>
      <w:proofErr w:type="spellEnd"/>
      <w:r>
        <w:rPr>
          <w:sz w:val="21"/>
        </w:rPr>
        <w:t xml:space="preserve">, P., &amp; Grant, M. (2026). Rapid local and systemic </w:t>
      </w:r>
      <w:proofErr w:type="spellStart"/>
      <w:r>
        <w:rPr>
          <w:sz w:val="21"/>
        </w:rPr>
        <w:t>jasmonate</w:t>
      </w:r>
      <w:proofErr w:type="spellEnd"/>
      <w:r>
        <w:rPr>
          <w:sz w:val="21"/>
        </w:rPr>
        <w:t xml:space="preserve"> </w:t>
      </w:r>
      <w:proofErr w:type="spellStart"/>
      <w:r>
        <w:rPr>
          <w:sz w:val="21"/>
        </w:rPr>
        <w:t>signalling</w:t>
      </w:r>
      <w:proofErr w:type="spellEnd"/>
      <w:r>
        <w:rPr>
          <w:sz w:val="21"/>
        </w:rPr>
        <w:t xml:space="preserve"> drives the initiation and establishment of plant systemic immunity. </w:t>
      </w:r>
      <w:r>
        <w:rPr>
          <w:i/>
          <w:sz w:val="21"/>
        </w:rPr>
        <w:t>Nature Plants</w:t>
      </w:r>
      <w:r>
        <w:rPr>
          <w:sz w:val="21"/>
        </w:rPr>
        <w:t xml:space="preserve">, </w:t>
      </w:r>
      <w:r>
        <w:rPr>
          <w:i/>
          <w:sz w:val="21"/>
        </w:rPr>
        <w:t>12</w:t>
      </w:r>
      <w:r>
        <w:rPr>
          <w:sz w:val="21"/>
        </w:rPr>
        <w:t>(1), 152-163. https://doi.org/10.1038/s41477-025-02178-4</w:t>
      </w:r>
    </w:p>
    <w:p w14:paraId="3A7904BA" w14:textId="77777777" w:rsidR="005F6B50" w:rsidRDefault="00693C4D">
      <w:pPr>
        <w:spacing w:after="60" w:line="240" w:lineRule="auto"/>
        <w:ind w:left="720" w:hanging="720"/>
      </w:pPr>
      <w:r>
        <w:rPr>
          <w:sz w:val="21"/>
        </w:rPr>
        <w:t xml:space="preserve">Guo, Q., Major, I. T., &amp; Howe, G. A. (2018). Resolution of growth-defense conflict: Mechanistic insights from </w:t>
      </w:r>
      <w:proofErr w:type="spellStart"/>
      <w:r>
        <w:rPr>
          <w:sz w:val="21"/>
        </w:rPr>
        <w:t>jasmonate</w:t>
      </w:r>
      <w:proofErr w:type="spellEnd"/>
      <w:r>
        <w:rPr>
          <w:sz w:val="21"/>
        </w:rPr>
        <w:t xml:space="preserve"> signaling. </w:t>
      </w:r>
      <w:r>
        <w:rPr>
          <w:i/>
          <w:sz w:val="21"/>
        </w:rPr>
        <w:t>Current Opinion in Plant Biology</w:t>
      </w:r>
      <w:r>
        <w:rPr>
          <w:sz w:val="21"/>
        </w:rPr>
        <w:t xml:space="preserve">, </w:t>
      </w:r>
      <w:r>
        <w:rPr>
          <w:i/>
          <w:sz w:val="21"/>
        </w:rPr>
        <w:t>44</w:t>
      </w:r>
      <w:r>
        <w:rPr>
          <w:sz w:val="21"/>
        </w:rPr>
        <w:t>, 72-81. https://doi.org/10.1016/j.pbi.2018.02.009</w:t>
      </w:r>
    </w:p>
    <w:p w14:paraId="4FB71B93" w14:textId="77777777" w:rsidR="005F6B50" w:rsidRPr="003849D1" w:rsidRDefault="00693C4D">
      <w:pPr>
        <w:spacing w:after="60" w:line="240" w:lineRule="auto"/>
        <w:ind w:left="720" w:hanging="720"/>
        <w:rPr>
          <w:lang w:val="fr-FR"/>
        </w:rPr>
      </w:pPr>
      <w:r>
        <w:rPr>
          <w:sz w:val="21"/>
        </w:rPr>
        <w:t xml:space="preserve">Hasan, M. U., Singh, Z., Shah, H. M. S., Kaur, J., Woodward, A., </w:t>
      </w:r>
      <w:proofErr w:type="spellStart"/>
      <w:r>
        <w:rPr>
          <w:sz w:val="21"/>
        </w:rPr>
        <w:t>Afrifa-Yamoah</w:t>
      </w:r>
      <w:proofErr w:type="spellEnd"/>
      <w:r>
        <w:rPr>
          <w:sz w:val="21"/>
        </w:rPr>
        <w:t xml:space="preserve">, E., &amp; </w:t>
      </w:r>
      <w:proofErr w:type="spellStart"/>
      <w:r>
        <w:rPr>
          <w:sz w:val="21"/>
        </w:rPr>
        <w:t>Vithana</w:t>
      </w:r>
      <w:proofErr w:type="spellEnd"/>
      <w:r>
        <w:rPr>
          <w:sz w:val="21"/>
        </w:rPr>
        <w:t xml:space="preserve">, M. D. K. (2025). Preharvest methyl </w:t>
      </w:r>
      <w:proofErr w:type="spellStart"/>
      <w:r>
        <w:rPr>
          <w:sz w:val="21"/>
        </w:rPr>
        <w:t>jasmonate</w:t>
      </w:r>
      <w:proofErr w:type="spellEnd"/>
      <w:r>
        <w:rPr>
          <w:sz w:val="21"/>
        </w:rPr>
        <w:t xml:space="preserve"> application regulates ripening, </w:t>
      </w:r>
      <w:proofErr w:type="spellStart"/>
      <w:r>
        <w:rPr>
          <w:sz w:val="21"/>
        </w:rPr>
        <w:t>colour</w:t>
      </w:r>
      <w:proofErr w:type="spellEnd"/>
      <w:r>
        <w:rPr>
          <w:sz w:val="21"/>
        </w:rPr>
        <w:t xml:space="preserve"> development and improves phytochemical quality of fruits: A review. </w:t>
      </w:r>
      <w:proofErr w:type="spellStart"/>
      <w:r w:rsidRPr="003849D1">
        <w:rPr>
          <w:i/>
          <w:sz w:val="21"/>
          <w:lang w:val="fr-FR"/>
        </w:rPr>
        <w:t>Scientia</w:t>
      </w:r>
      <w:proofErr w:type="spellEnd"/>
      <w:r w:rsidRPr="003849D1">
        <w:rPr>
          <w:i/>
          <w:sz w:val="21"/>
          <w:lang w:val="fr-FR"/>
        </w:rPr>
        <w:t xml:space="preserve"> </w:t>
      </w:r>
      <w:proofErr w:type="spellStart"/>
      <w:r w:rsidRPr="003849D1">
        <w:rPr>
          <w:i/>
          <w:sz w:val="21"/>
          <w:lang w:val="fr-FR"/>
        </w:rPr>
        <w:t>Horticulturae</w:t>
      </w:r>
      <w:proofErr w:type="spellEnd"/>
      <w:r w:rsidRPr="003849D1">
        <w:rPr>
          <w:sz w:val="21"/>
          <w:lang w:val="fr-FR"/>
        </w:rPr>
        <w:t xml:space="preserve">, </w:t>
      </w:r>
      <w:r w:rsidRPr="003849D1">
        <w:rPr>
          <w:i/>
          <w:sz w:val="21"/>
          <w:lang w:val="fr-FR"/>
        </w:rPr>
        <w:t>339</w:t>
      </w:r>
      <w:r w:rsidRPr="003849D1">
        <w:rPr>
          <w:sz w:val="21"/>
          <w:lang w:val="fr-FR"/>
        </w:rPr>
        <w:t>, 113909. https://doi.org/10.1016/j.scienta.2024.113909</w:t>
      </w:r>
    </w:p>
    <w:p w14:paraId="3EA9C599" w14:textId="77777777" w:rsidR="005F6B50" w:rsidRDefault="00693C4D">
      <w:pPr>
        <w:spacing w:after="60" w:line="240" w:lineRule="auto"/>
        <w:ind w:left="720" w:hanging="720"/>
      </w:pPr>
      <w:r w:rsidRPr="003849D1">
        <w:rPr>
          <w:sz w:val="21"/>
          <w:lang w:val="fr-FR"/>
        </w:rPr>
        <w:t xml:space="preserve">He, D., Yu, S., </w:t>
      </w:r>
      <w:proofErr w:type="spellStart"/>
      <w:r w:rsidRPr="003849D1">
        <w:rPr>
          <w:sz w:val="21"/>
          <w:lang w:val="fr-FR"/>
        </w:rPr>
        <w:t>Qu</w:t>
      </w:r>
      <w:proofErr w:type="spellEnd"/>
      <w:r w:rsidRPr="003849D1">
        <w:rPr>
          <w:sz w:val="21"/>
          <w:lang w:val="fr-FR"/>
        </w:rPr>
        <w:t xml:space="preserve">, L., Yang, Y., Luo, J., &amp; Zhang, Y. (2025). </w:t>
      </w:r>
      <w:r>
        <w:rPr>
          <w:sz w:val="21"/>
        </w:rPr>
        <w:t xml:space="preserve">Methyl </w:t>
      </w:r>
      <w:proofErr w:type="spellStart"/>
      <w:r>
        <w:rPr>
          <w:sz w:val="21"/>
        </w:rPr>
        <w:t>jasmonate</w:t>
      </w:r>
      <w:proofErr w:type="spellEnd"/>
      <w:r>
        <w:rPr>
          <w:sz w:val="21"/>
        </w:rPr>
        <w:t xml:space="preserve"> enhances vase life and alters physiological and molecular responses in tree peony 'Luoyang Hong' cut flowers. </w:t>
      </w:r>
      <w:r>
        <w:rPr>
          <w:i/>
          <w:sz w:val="21"/>
        </w:rPr>
        <w:t>Postharvest Biology and Technology</w:t>
      </w:r>
      <w:r>
        <w:rPr>
          <w:sz w:val="21"/>
        </w:rPr>
        <w:t xml:space="preserve">, </w:t>
      </w:r>
      <w:r>
        <w:rPr>
          <w:i/>
          <w:sz w:val="21"/>
        </w:rPr>
        <w:t>224</w:t>
      </w:r>
      <w:r>
        <w:rPr>
          <w:sz w:val="21"/>
        </w:rPr>
        <w:t>, 113481. https://doi.org/10.1016/j.postharvbio.2025.113481</w:t>
      </w:r>
    </w:p>
    <w:p w14:paraId="120E4757" w14:textId="77777777" w:rsidR="005F6B50" w:rsidRDefault="00693C4D">
      <w:pPr>
        <w:spacing w:after="60" w:line="240" w:lineRule="auto"/>
        <w:ind w:left="720" w:hanging="720"/>
      </w:pPr>
      <w:r>
        <w:rPr>
          <w:sz w:val="21"/>
        </w:rPr>
        <w:t xml:space="preserve">Howe, G. A., &amp; </w:t>
      </w:r>
      <w:proofErr w:type="spellStart"/>
      <w:r>
        <w:rPr>
          <w:sz w:val="21"/>
        </w:rPr>
        <w:t>Jander</w:t>
      </w:r>
      <w:proofErr w:type="spellEnd"/>
      <w:r>
        <w:rPr>
          <w:sz w:val="21"/>
        </w:rPr>
        <w:t xml:space="preserve">, G. (2008). Plant immunity to insect herbivores. </w:t>
      </w:r>
      <w:r>
        <w:rPr>
          <w:i/>
          <w:sz w:val="21"/>
        </w:rPr>
        <w:t>Annual Review of Plant Biology</w:t>
      </w:r>
      <w:r>
        <w:rPr>
          <w:sz w:val="21"/>
        </w:rPr>
        <w:t xml:space="preserve">, </w:t>
      </w:r>
      <w:r>
        <w:rPr>
          <w:i/>
          <w:sz w:val="21"/>
        </w:rPr>
        <w:t>59</w:t>
      </w:r>
      <w:r>
        <w:rPr>
          <w:sz w:val="21"/>
        </w:rPr>
        <w:t>, 41-66. https://doi.org/10.1146/annurev.arplant.59.032607.092825</w:t>
      </w:r>
    </w:p>
    <w:p w14:paraId="48D39664" w14:textId="77777777" w:rsidR="005F6B50" w:rsidRDefault="00693C4D">
      <w:pPr>
        <w:spacing w:after="60" w:line="240" w:lineRule="auto"/>
        <w:ind w:left="720" w:hanging="720"/>
      </w:pPr>
      <w:r>
        <w:rPr>
          <w:sz w:val="21"/>
        </w:rPr>
        <w:t xml:space="preserve">Howe, G. A., Major, I. T., &amp; Koo, A. J. (2018). Modularity in </w:t>
      </w:r>
      <w:proofErr w:type="spellStart"/>
      <w:r>
        <w:rPr>
          <w:sz w:val="21"/>
        </w:rPr>
        <w:t>jasmonate</w:t>
      </w:r>
      <w:proofErr w:type="spellEnd"/>
      <w:r>
        <w:rPr>
          <w:sz w:val="21"/>
        </w:rPr>
        <w:t xml:space="preserve"> signaling for </w:t>
      </w:r>
      <w:proofErr w:type="spellStart"/>
      <w:r>
        <w:rPr>
          <w:sz w:val="21"/>
        </w:rPr>
        <w:t>multistress</w:t>
      </w:r>
      <w:proofErr w:type="spellEnd"/>
      <w:r>
        <w:rPr>
          <w:sz w:val="21"/>
        </w:rPr>
        <w:t xml:space="preserve"> resilience. </w:t>
      </w:r>
      <w:r>
        <w:rPr>
          <w:i/>
          <w:sz w:val="21"/>
        </w:rPr>
        <w:t>Annual Review of Plant Biology</w:t>
      </w:r>
      <w:r>
        <w:rPr>
          <w:sz w:val="21"/>
        </w:rPr>
        <w:t xml:space="preserve">, </w:t>
      </w:r>
      <w:r>
        <w:rPr>
          <w:i/>
          <w:sz w:val="21"/>
        </w:rPr>
        <w:t>69</w:t>
      </w:r>
      <w:r>
        <w:rPr>
          <w:sz w:val="21"/>
        </w:rPr>
        <w:t>, 387-415. https://doi.org/10.1146/annurev-arplant-042817-040047</w:t>
      </w:r>
    </w:p>
    <w:p w14:paraId="783D6699" w14:textId="77777777" w:rsidR="005F6B50" w:rsidRDefault="00693C4D">
      <w:pPr>
        <w:spacing w:after="60" w:line="240" w:lineRule="auto"/>
        <w:ind w:left="720" w:hanging="720"/>
      </w:pPr>
      <w:r w:rsidRPr="003849D1">
        <w:rPr>
          <w:sz w:val="21"/>
          <w:lang w:val="fr-FR"/>
        </w:rPr>
        <w:t xml:space="preserve">Huang, H., Liu, B., Liu, L., &amp; Song, S. (2017). </w:t>
      </w:r>
      <w:proofErr w:type="spellStart"/>
      <w:r>
        <w:rPr>
          <w:sz w:val="21"/>
        </w:rPr>
        <w:t>Jasmonate</w:t>
      </w:r>
      <w:proofErr w:type="spellEnd"/>
      <w:r>
        <w:rPr>
          <w:sz w:val="21"/>
        </w:rPr>
        <w:t xml:space="preserve"> action in plant growth and development. </w:t>
      </w:r>
      <w:r>
        <w:rPr>
          <w:i/>
          <w:sz w:val="21"/>
        </w:rPr>
        <w:t>Journal of Experimental Botany</w:t>
      </w:r>
      <w:r>
        <w:rPr>
          <w:sz w:val="21"/>
        </w:rPr>
        <w:t xml:space="preserve">, </w:t>
      </w:r>
      <w:r>
        <w:rPr>
          <w:i/>
          <w:sz w:val="21"/>
        </w:rPr>
        <w:t>68</w:t>
      </w:r>
      <w:r>
        <w:rPr>
          <w:sz w:val="21"/>
        </w:rPr>
        <w:t>(6), 1349-1359. https://doi.org/10.1093/jxb/erw495</w:t>
      </w:r>
    </w:p>
    <w:p w14:paraId="6695E77A" w14:textId="77777777" w:rsidR="005F6B50" w:rsidRDefault="00693C4D">
      <w:pPr>
        <w:spacing w:after="60" w:line="240" w:lineRule="auto"/>
        <w:ind w:left="720" w:hanging="720"/>
      </w:pPr>
      <w:r>
        <w:rPr>
          <w:sz w:val="21"/>
        </w:rPr>
        <w:t xml:space="preserve">Khan, G. A., </w:t>
      </w:r>
      <w:proofErr w:type="spellStart"/>
      <w:r>
        <w:rPr>
          <w:sz w:val="21"/>
        </w:rPr>
        <w:t>Vogiatzaki</w:t>
      </w:r>
      <w:proofErr w:type="spellEnd"/>
      <w:r>
        <w:rPr>
          <w:sz w:val="21"/>
        </w:rPr>
        <w:t xml:space="preserve">, E., </w:t>
      </w:r>
      <w:proofErr w:type="spellStart"/>
      <w:r>
        <w:rPr>
          <w:sz w:val="21"/>
        </w:rPr>
        <w:t>Glauser</w:t>
      </w:r>
      <w:proofErr w:type="spellEnd"/>
      <w:r>
        <w:rPr>
          <w:sz w:val="21"/>
        </w:rPr>
        <w:t xml:space="preserve">, G., &amp; Poirier, Y. (2016). Phosphate deficiency induces the </w:t>
      </w:r>
      <w:proofErr w:type="spellStart"/>
      <w:r>
        <w:rPr>
          <w:sz w:val="21"/>
        </w:rPr>
        <w:t>jasmonate</w:t>
      </w:r>
      <w:proofErr w:type="spellEnd"/>
      <w:r>
        <w:rPr>
          <w:sz w:val="21"/>
        </w:rPr>
        <w:t xml:space="preserve"> pathway and enhances resistance to insect herbivory. </w:t>
      </w:r>
      <w:r>
        <w:rPr>
          <w:i/>
          <w:sz w:val="21"/>
        </w:rPr>
        <w:t>Plant Physiology</w:t>
      </w:r>
      <w:r>
        <w:rPr>
          <w:sz w:val="21"/>
        </w:rPr>
        <w:t xml:space="preserve">, </w:t>
      </w:r>
      <w:r>
        <w:rPr>
          <w:i/>
          <w:sz w:val="21"/>
        </w:rPr>
        <w:t>171</w:t>
      </w:r>
      <w:r>
        <w:rPr>
          <w:sz w:val="21"/>
        </w:rPr>
        <w:t>(1), 632-644. https://doi.org/10.1104/pp.16.00278</w:t>
      </w:r>
    </w:p>
    <w:p w14:paraId="1FDE22BE" w14:textId="77777777" w:rsidR="005F6B50" w:rsidRDefault="00693C4D">
      <w:pPr>
        <w:spacing w:after="60" w:line="240" w:lineRule="auto"/>
        <w:ind w:left="720" w:hanging="720"/>
      </w:pPr>
      <w:r>
        <w:rPr>
          <w:sz w:val="21"/>
        </w:rPr>
        <w:t xml:space="preserve">Kulkarni, O. S., </w:t>
      </w:r>
      <w:proofErr w:type="spellStart"/>
      <w:r>
        <w:rPr>
          <w:sz w:val="21"/>
        </w:rPr>
        <w:t>Mazumder</w:t>
      </w:r>
      <w:proofErr w:type="spellEnd"/>
      <w:r>
        <w:rPr>
          <w:sz w:val="21"/>
        </w:rPr>
        <w:t xml:space="preserve">, M., </w:t>
      </w:r>
      <w:proofErr w:type="spellStart"/>
      <w:r>
        <w:rPr>
          <w:sz w:val="21"/>
        </w:rPr>
        <w:t>Kini</w:t>
      </w:r>
      <w:proofErr w:type="spellEnd"/>
      <w:r>
        <w:rPr>
          <w:sz w:val="21"/>
        </w:rPr>
        <w:t xml:space="preserve">, S., Hill, E. D., </w:t>
      </w:r>
      <w:proofErr w:type="spellStart"/>
      <w:r>
        <w:rPr>
          <w:sz w:val="21"/>
        </w:rPr>
        <w:t>Aow</w:t>
      </w:r>
      <w:proofErr w:type="spellEnd"/>
      <w:r>
        <w:rPr>
          <w:sz w:val="21"/>
        </w:rPr>
        <w:t xml:space="preserve">, J. S. B., </w:t>
      </w:r>
      <w:proofErr w:type="spellStart"/>
      <w:r>
        <w:rPr>
          <w:sz w:val="21"/>
        </w:rPr>
        <w:t>Phua</w:t>
      </w:r>
      <w:proofErr w:type="spellEnd"/>
      <w:r>
        <w:rPr>
          <w:sz w:val="21"/>
        </w:rPr>
        <w:t xml:space="preserve">, S. M. L., </w:t>
      </w:r>
      <w:proofErr w:type="spellStart"/>
      <w:r>
        <w:rPr>
          <w:sz w:val="21"/>
        </w:rPr>
        <w:t>Elejalde</w:t>
      </w:r>
      <w:proofErr w:type="spellEnd"/>
      <w:r>
        <w:rPr>
          <w:sz w:val="21"/>
        </w:rPr>
        <w:t xml:space="preserve">, U., </w:t>
      </w:r>
      <w:proofErr w:type="spellStart"/>
      <w:r>
        <w:rPr>
          <w:sz w:val="21"/>
        </w:rPr>
        <w:t>Kjelleberg</w:t>
      </w:r>
      <w:proofErr w:type="spellEnd"/>
      <w:r>
        <w:rPr>
          <w:sz w:val="21"/>
        </w:rPr>
        <w:t xml:space="preserve">, S., &amp; Swarup, S. (2024). Volatile methyl </w:t>
      </w:r>
      <w:proofErr w:type="spellStart"/>
      <w:r>
        <w:rPr>
          <w:sz w:val="21"/>
        </w:rPr>
        <w:t>jasmonate</w:t>
      </w:r>
      <w:proofErr w:type="spellEnd"/>
      <w:r>
        <w:rPr>
          <w:sz w:val="21"/>
        </w:rPr>
        <w:t xml:space="preserve"> from roots triggers host-beneficial soil microbiome biofilms. </w:t>
      </w:r>
      <w:r>
        <w:rPr>
          <w:i/>
          <w:sz w:val="21"/>
        </w:rPr>
        <w:t>Nature Chemical Biology</w:t>
      </w:r>
      <w:r>
        <w:rPr>
          <w:sz w:val="21"/>
        </w:rPr>
        <w:t xml:space="preserve">, </w:t>
      </w:r>
      <w:r>
        <w:rPr>
          <w:i/>
          <w:sz w:val="21"/>
        </w:rPr>
        <w:t>20</w:t>
      </w:r>
      <w:r>
        <w:rPr>
          <w:sz w:val="21"/>
        </w:rPr>
        <w:t>(4), 473-483. https://doi.org/10.1038/s41589-023-01462-8</w:t>
      </w:r>
    </w:p>
    <w:p w14:paraId="27E78A53" w14:textId="77777777" w:rsidR="005F6B50" w:rsidRDefault="00693C4D">
      <w:pPr>
        <w:spacing w:after="60" w:line="240" w:lineRule="auto"/>
        <w:ind w:left="720" w:hanging="720"/>
      </w:pPr>
      <w:r>
        <w:rPr>
          <w:sz w:val="21"/>
        </w:rPr>
        <w:t xml:space="preserve">Li, R., Yang, Y., Lou, H., Wang, W., Yan, J., Shan, X., &amp; </w:t>
      </w:r>
      <w:proofErr w:type="spellStart"/>
      <w:r>
        <w:rPr>
          <w:sz w:val="21"/>
        </w:rPr>
        <w:t>Xie</w:t>
      </w:r>
      <w:proofErr w:type="spellEnd"/>
      <w:r>
        <w:rPr>
          <w:sz w:val="21"/>
        </w:rPr>
        <w:t xml:space="preserve">, D. (2023). </w:t>
      </w:r>
      <w:proofErr w:type="spellStart"/>
      <w:r>
        <w:rPr>
          <w:sz w:val="21"/>
        </w:rPr>
        <w:t>Jasmonate</w:t>
      </w:r>
      <w:proofErr w:type="spellEnd"/>
      <w:r>
        <w:rPr>
          <w:sz w:val="21"/>
        </w:rPr>
        <w:t xml:space="preserve">-based warfare between the pathogenic intruder and host plant: Who wins? </w:t>
      </w:r>
      <w:r>
        <w:rPr>
          <w:i/>
          <w:sz w:val="21"/>
        </w:rPr>
        <w:t>Journal of Experimental Botany</w:t>
      </w:r>
      <w:r>
        <w:rPr>
          <w:sz w:val="21"/>
        </w:rPr>
        <w:t xml:space="preserve">, </w:t>
      </w:r>
      <w:r>
        <w:rPr>
          <w:i/>
          <w:sz w:val="21"/>
        </w:rPr>
        <w:t>74</w:t>
      </w:r>
      <w:r>
        <w:rPr>
          <w:sz w:val="21"/>
        </w:rPr>
        <w:t>(4), 1244-1257. https://doi.org/10.1093/jxb/erac365</w:t>
      </w:r>
    </w:p>
    <w:p w14:paraId="78B24793" w14:textId="77777777" w:rsidR="005F6B50" w:rsidRDefault="00693C4D">
      <w:pPr>
        <w:spacing w:after="60" w:line="240" w:lineRule="auto"/>
        <w:ind w:left="720" w:hanging="720"/>
      </w:pPr>
      <w:r>
        <w:rPr>
          <w:sz w:val="21"/>
        </w:rPr>
        <w:t xml:space="preserve">Meng, D., Song, T., Shen, L., Zhang, X., &amp; Sheng, J. (2012). Postharvest application of methyl </w:t>
      </w:r>
      <w:proofErr w:type="spellStart"/>
      <w:r>
        <w:rPr>
          <w:sz w:val="21"/>
        </w:rPr>
        <w:t>jasmonate</w:t>
      </w:r>
      <w:proofErr w:type="spellEnd"/>
      <w:r>
        <w:rPr>
          <w:sz w:val="21"/>
        </w:rPr>
        <w:t xml:space="preserve"> for improving quality retention of </w:t>
      </w:r>
      <w:proofErr w:type="spellStart"/>
      <w:r>
        <w:rPr>
          <w:sz w:val="21"/>
        </w:rPr>
        <w:t>Agaricus</w:t>
      </w:r>
      <w:proofErr w:type="spellEnd"/>
      <w:r>
        <w:rPr>
          <w:sz w:val="21"/>
        </w:rPr>
        <w:t xml:space="preserve"> </w:t>
      </w:r>
      <w:proofErr w:type="spellStart"/>
      <w:r>
        <w:rPr>
          <w:sz w:val="21"/>
        </w:rPr>
        <w:t>bisporus</w:t>
      </w:r>
      <w:proofErr w:type="spellEnd"/>
      <w:r>
        <w:rPr>
          <w:sz w:val="21"/>
        </w:rPr>
        <w:t xml:space="preserve"> fruit bodies. </w:t>
      </w:r>
      <w:r>
        <w:rPr>
          <w:i/>
          <w:sz w:val="21"/>
        </w:rPr>
        <w:t>Journal of Agricultural and Food Chemistry</w:t>
      </w:r>
      <w:r>
        <w:rPr>
          <w:sz w:val="21"/>
        </w:rPr>
        <w:t xml:space="preserve">, </w:t>
      </w:r>
      <w:r>
        <w:rPr>
          <w:i/>
          <w:sz w:val="21"/>
        </w:rPr>
        <w:t>60</w:t>
      </w:r>
      <w:r>
        <w:rPr>
          <w:sz w:val="21"/>
        </w:rPr>
        <w:t>(23), 6056-6062. https://doi.org/10.1021/jf3006454</w:t>
      </w:r>
    </w:p>
    <w:p w14:paraId="6A70BFCC" w14:textId="77777777" w:rsidR="005F6B50" w:rsidRDefault="00693C4D">
      <w:pPr>
        <w:spacing w:after="60" w:line="240" w:lineRule="auto"/>
        <w:ind w:left="720" w:hanging="720"/>
      </w:pPr>
      <w:r>
        <w:rPr>
          <w:sz w:val="21"/>
        </w:rPr>
        <w:lastRenderedPageBreak/>
        <w:t xml:space="preserve">Min, D., Li, F., Ali, M., Zhang, X., &amp; Liu, Y. (2024). Application of methyl </w:t>
      </w:r>
      <w:proofErr w:type="spellStart"/>
      <w:r>
        <w:rPr>
          <w:sz w:val="21"/>
        </w:rPr>
        <w:t>jasmonate</w:t>
      </w:r>
      <w:proofErr w:type="spellEnd"/>
      <w:r>
        <w:rPr>
          <w:sz w:val="21"/>
        </w:rPr>
        <w:t xml:space="preserve"> to control chilling tolerance of postharvest fruit and vegetables: A meta-analysis and eliciting metabolism review. </w:t>
      </w:r>
      <w:r>
        <w:rPr>
          <w:i/>
          <w:sz w:val="21"/>
        </w:rPr>
        <w:t>Critical Reviews in Food Science and Nutrition</w:t>
      </w:r>
      <w:r>
        <w:rPr>
          <w:sz w:val="21"/>
        </w:rPr>
        <w:t xml:space="preserve">, </w:t>
      </w:r>
      <w:r>
        <w:rPr>
          <w:i/>
          <w:sz w:val="21"/>
        </w:rPr>
        <w:t>64</w:t>
      </w:r>
      <w:r>
        <w:rPr>
          <w:sz w:val="21"/>
        </w:rPr>
        <w:t>(33), 12878-12891. https://doi.org/10.1080/10408398.2023.2258201</w:t>
      </w:r>
    </w:p>
    <w:p w14:paraId="027AD672" w14:textId="77777777" w:rsidR="005F6B50" w:rsidRDefault="00693C4D">
      <w:pPr>
        <w:spacing w:after="60" w:line="240" w:lineRule="auto"/>
        <w:ind w:left="720" w:hanging="720"/>
      </w:pPr>
      <w:r w:rsidRPr="003849D1">
        <w:rPr>
          <w:sz w:val="21"/>
          <w:lang w:val="fr-FR"/>
        </w:rPr>
        <w:t xml:space="preserve">Nguyen, T. H., Goossens, A., &amp; </w:t>
      </w:r>
      <w:proofErr w:type="spellStart"/>
      <w:r w:rsidRPr="003849D1">
        <w:rPr>
          <w:sz w:val="21"/>
          <w:lang w:val="fr-FR"/>
        </w:rPr>
        <w:t>Lacchini</w:t>
      </w:r>
      <w:proofErr w:type="spellEnd"/>
      <w:r w:rsidRPr="003849D1">
        <w:rPr>
          <w:sz w:val="21"/>
          <w:lang w:val="fr-FR"/>
        </w:rPr>
        <w:t xml:space="preserve">, E. (2022). </w:t>
      </w:r>
      <w:proofErr w:type="spellStart"/>
      <w:r>
        <w:rPr>
          <w:sz w:val="21"/>
        </w:rPr>
        <w:t>Jasmonate</w:t>
      </w:r>
      <w:proofErr w:type="spellEnd"/>
      <w:r>
        <w:rPr>
          <w:sz w:val="21"/>
        </w:rPr>
        <w:t xml:space="preserve">: A hormone of primary importance for plant metabolism. </w:t>
      </w:r>
      <w:r>
        <w:rPr>
          <w:i/>
          <w:sz w:val="21"/>
        </w:rPr>
        <w:t>Current Opinion in Plant Biology</w:t>
      </w:r>
      <w:r>
        <w:rPr>
          <w:sz w:val="21"/>
        </w:rPr>
        <w:t xml:space="preserve">, </w:t>
      </w:r>
      <w:r>
        <w:rPr>
          <w:i/>
          <w:sz w:val="21"/>
        </w:rPr>
        <w:t>67</w:t>
      </w:r>
      <w:r>
        <w:rPr>
          <w:sz w:val="21"/>
        </w:rPr>
        <w:t>, 102197. https://doi.org/10.1016/j.pbi.2022.102197</w:t>
      </w:r>
    </w:p>
    <w:p w14:paraId="3D818504" w14:textId="77777777" w:rsidR="005F6B50" w:rsidRDefault="00693C4D">
      <w:pPr>
        <w:spacing w:after="60" w:line="240" w:lineRule="auto"/>
        <w:ind w:left="720" w:hanging="720"/>
      </w:pPr>
      <w:r>
        <w:rPr>
          <w:sz w:val="21"/>
        </w:rPr>
        <w:t xml:space="preserve">Per, T. S., Khan, M. I. R., Anjum, N. A., Masood, A., Hussain, S. J., &amp; Khan, N. A. (2018). </w:t>
      </w:r>
      <w:proofErr w:type="spellStart"/>
      <w:r>
        <w:rPr>
          <w:sz w:val="21"/>
        </w:rPr>
        <w:t>Jasmonates</w:t>
      </w:r>
      <w:proofErr w:type="spellEnd"/>
      <w:r>
        <w:rPr>
          <w:sz w:val="21"/>
        </w:rPr>
        <w:t xml:space="preserve"> in plants under abiotic stresses: Crosstalk with other phytohormones matters. </w:t>
      </w:r>
      <w:r>
        <w:rPr>
          <w:i/>
          <w:sz w:val="21"/>
        </w:rPr>
        <w:t>Environmental and Experimental Botany</w:t>
      </w:r>
      <w:r>
        <w:rPr>
          <w:sz w:val="21"/>
        </w:rPr>
        <w:t xml:space="preserve">, </w:t>
      </w:r>
      <w:r>
        <w:rPr>
          <w:i/>
          <w:sz w:val="21"/>
        </w:rPr>
        <w:t>145</w:t>
      </w:r>
      <w:r>
        <w:rPr>
          <w:sz w:val="21"/>
        </w:rPr>
        <w:t>, 104-120. https://doi.org/10.1016/j.envexpbot.2017.11.004</w:t>
      </w:r>
    </w:p>
    <w:p w14:paraId="2CD8CDBD" w14:textId="77777777" w:rsidR="005F6B50" w:rsidRDefault="00693C4D">
      <w:pPr>
        <w:spacing w:after="60" w:line="240" w:lineRule="auto"/>
        <w:ind w:left="720" w:hanging="720"/>
      </w:pPr>
      <w:r>
        <w:rPr>
          <w:sz w:val="21"/>
        </w:rPr>
        <w:t xml:space="preserve">Qi, T., Huang, H., Wu, D., Yan, J., Qi, Y., Song, S., &amp; </w:t>
      </w:r>
      <w:proofErr w:type="spellStart"/>
      <w:r>
        <w:rPr>
          <w:sz w:val="21"/>
        </w:rPr>
        <w:t>Xie</w:t>
      </w:r>
      <w:proofErr w:type="spellEnd"/>
      <w:r>
        <w:rPr>
          <w:sz w:val="21"/>
        </w:rPr>
        <w:t>, D. (2014). Arabidopsis DELLA and JAZ proteins bind the WD-repeat/</w:t>
      </w:r>
      <w:proofErr w:type="spellStart"/>
      <w:r>
        <w:rPr>
          <w:sz w:val="21"/>
        </w:rPr>
        <w:t>bHLH</w:t>
      </w:r>
      <w:proofErr w:type="spellEnd"/>
      <w:r>
        <w:rPr>
          <w:sz w:val="21"/>
        </w:rPr>
        <w:t xml:space="preserve">/MYB complex to modulate gibberellin and </w:t>
      </w:r>
      <w:proofErr w:type="spellStart"/>
      <w:r>
        <w:rPr>
          <w:sz w:val="21"/>
        </w:rPr>
        <w:t>jasmonate</w:t>
      </w:r>
      <w:proofErr w:type="spellEnd"/>
      <w:r>
        <w:rPr>
          <w:sz w:val="21"/>
        </w:rPr>
        <w:t xml:space="preserve"> signaling synergy. </w:t>
      </w:r>
      <w:r>
        <w:rPr>
          <w:i/>
          <w:sz w:val="21"/>
        </w:rPr>
        <w:t>The Plant Cell</w:t>
      </w:r>
      <w:r>
        <w:rPr>
          <w:sz w:val="21"/>
        </w:rPr>
        <w:t xml:space="preserve">, </w:t>
      </w:r>
      <w:r>
        <w:rPr>
          <w:i/>
          <w:sz w:val="21"/>
        </w:rPr>
        <w:t>26</w:t>
      </w:r>
      <w:r>
        <w:rPr>
          <w:sz w:val="21"/>
        </w:rPr>
        <w:t>(3), 1118-1133. https://doi.org/10.1105/tpc.113.121731</w:t>
      </w:r>
    </w:p>
    <w:p w14:paraId="145989A1" w14:textId="77777777" w:rsidR="005F6B50" w:rsidRDefault="00693C4D">
      <w:pPr>
        <w:spacing w:after="60" w:line="240" w:lineRule="auto"/>
        <w:ind w:left="720" w:hanging="720"/>
      </w:pPr>
      <w:r>
        <w:rPr>
          <w:sz w:val="21"/>
        </w:rPr>
        <w:t xml:space="preserve">Saavedra, G. M., Figueroa, N. E., Poblete, L. A., Cherian, S., &amp; Figueroa, C. R. (2016). Effects of preharvest applications of methyl </w:t>
      </w:r>
      <w:proofErr w:type="spellStart"/>
      <w:r>
        <w:rPr>
          <w:sz w:val="21"/>
        </w:rPr>
        <w:t>jasmonate</w:t>
      </w:r>
      <w:proofErr w:type="spellEnd"/>
      <w:r>
        <w:rPr>
          <w:sz w:val="21"/>
        </w:rPr>
        <w:t xml:space="preserve"> and chitosan on postharvest decay, quality and chemical attributes of Fragaria </w:t>
      </w:r>
      <w:proofErr w:type="spellStart"/>
      <w:r>
        <w:rPr>
          <w:sz w:val="21"/>
        </w:rPr>
        <w:t>chiloensis</w:t>
      </w:r>
      <w:proofErr w:type="spellEnd"/>
      <w:r>
        <w:rPr>
          <w:sz w:val="21"/>
        </w:rPr>
        <w:t xml:space="preserve"> fruit. </w:t>
      </w:r>
      <w:r>
        <w:rPr>
          <w:i/>
          <w:sz w:val="21"/>
        </w:rPr>
        <w:t>Food Chemistry</w:t>
      </w:r>
      <w:r>
        <w:rPr>
          <w:sz w:val="21"/>
        </w:rPr>
        <w:t xml:space="preserve">, </w:t>
      </w:r>
      <w:r>
        <w:rPr>
          <w:i/>
          <w:sz w:val="21"/>
        </w:rPr>
        <w:t>190</w:t>
      </w:r>
      <w:r>
        <w:rPr>
          <w:sz w:val="21"/>
        </w:rPr>
        <w:t>, 448-453. https://doi.org/10.1016/j.foodchem.2015.05.107</w:t>
      </w:r>
    </w:p>
    <w:p w14:paraId="4A01A148" w14:textId="77777777" w:rsidR="005F6B50" w:rsidRPr="003849D1" w:rsidRDefault="00693C4D">
      <w:pPr>
        <w:spacing w:after="60" w:line="240" w:lineRule="auto"/>
        <w:ind w:left="720" w:hanging="720"/>
        <w:rPr>
          <w:lang w:val="fr-FR"/>
        </w:rPr>
      </w:pPr>
      <w:r>
        <w:rPr>
          <w:sz w:val="21"/>
        </w:rPr>
        <w:t xml:space="preserve">Sheard, L. B., Tan, X., Mao, H., Withers, J., Ben-Nissan, G., Hinds, T. R., Kobayashi, Y., Hsu, F.-F., Sharon, M., Browse, J., He, S. Y., </w:t>
      </w:r>
      <w:proofErr w:type="spellStart"/>
      <w:r>
        <w:rPr>
          <w:sz w:val="21"/>
        </w:rPr>
        <w:t>Rizo</w:t>
      </w:r>
      <w:proofErr w:type="spellEnd"/>
      <w:r>
        <w:rPr>
          <w:sz w:val="21"/>
        </w:rPr>
        <w:t xml:space="preserve">, J., Howe, G. A., &amp; Zheng, N. (2010). </w:t>
      </w:r>
      <w:proofErr w:type="spellStart"/>
      <w:r>
        <w:rPr>
          <w:sz w:val="21"/>
        </w:rPr>
        <w:t>Jasmonate</w:t>
      </w:r>
      <w:proofErr w:type="spellEnd"/>
      <w:r>
        <w:rPr>
          <w:sz w:val="21"/>
        </w:rPr>
        <w:t xml:space="preserve"> perception by inositol-phosphate-potentiated COI1-JAZ co-receptor. </w:t>
      </w:r>
      <w:r w:rsidRPr="003849D1">
        <w:rPr>
          <w:i/>
          <w:sz w:val="21"/>
          <w:lang w:val="fr-FR"/>
        </w:rPr>
        <w:t>Nature</w:t>
      </w:r>
      <w:r w:rsidRPr="003849D1">
        <w:rPr>
          <w:sz w:val="21"/>
          <w:lang w:val="fr-FR"/>
        </w:rPr>
        <w:t xml:space="preserve">, </w:t>
      </w:r>
      <w:r w:rsidRPr="003849D1">
        <w:rPr>
          <w:i/>
          <w:sz w:val="21"/>
          <w:lang w:val="fr-FR"/>
        </w:rPr>
        <w:t>468</w:t>
      </w:r>
      <w:r w:rsidRPr="003849D1">
        <w:rPr>
          <w:sz w:val="21"/>
          <w:lang w:val="fr-FR"/>
        </w:rPr>
        <w:t>(7322), 400-405. https://doi.org/10.1038/nature09430</w:t>
      </w:r>
    </w:p>
    <w:p w14:paraId="3B951F0C" w14:textId="77777777" w:rsidR="005F6B50" w:rsidRDefault="00693C4D">
      <w:pPr>
        <w:spacing w:after="60" w:line="240" w:lineRule="auto"/>
        <w:ind w:left="720" w:hanging="720"/>
      </w:pPr>
      <w:proofErr w:type="spellStart"/>
      <w:r w:rsidRPr="003849D1">
        <w:rPr>
          <w:sz w:val="21"/>
          <w:lang w:val="fr-FR"/>
        </w:rPr>
        <w:t>Shikha</w:t>
      </w:r>
      <w:proofErr w:type="spellEnd"/>
      <w:r w:rsidRPr="003849D1">
        <w:rPr>
          <w:sz w:val="21"/>
          <w:lang w:val="fr-FR"/>
        </w:rPr>
        <w:t xml:space="preserve">, D., </w:t>
      </w:r>
      <w:proofErr w:type="spellStart"/>
      <w:r w:rsidRPr="003849D1">
        <w:rPr>
          <w:sz w:val="21"/>
          <w:lang w:val="fr-FR"/>
        </w:rPr>
        <w:t>Jakhar</w:t>
      </w:r>
      <w:proofErr w:type="spellEnd"/>
      <w:r w:rsidRPr="003849D1">
        <w:rPr>
          <w:sz w:val="21"/>
          <w:lang w:val="fr-FR"/>
        </w:rPr>
        <w:t xml:space="preserve">, P., &amp; </w:t>
      </w:r>
      <w:proofErr w:type="spellStart"/>
      <w:r w:rsidRPr="003849D1">
        <w:rPr>
          <w:sz w:val="21"/>
          <w:lang w:val="fr-FR"/>
        </w:rPr>
        <w:t>Satbhai</w:t>
      </w:r>
      <w:proofErr w:type="spellEnd"/>
      <w:r w:rsidRPr="003849D1">
        <w:rPr>
          <w:sz w:val="21"/>
          <w:lang w:val="fr-FR"/>
        </w:rPr>
        <w:t xml:space="preserve">, S. B. (2023). </w:t>
      </w:r>
      <w:r>
        <w:rPr>
          <w:sz w:val="21"/>
        </w:rPr>
        <w:t xml:space="preserve">Role of </w:t>
      </w:r>
      <w:proofErr w:type="spellStart"/>
      <w:r>
        <w:rPr>
          <w:sz w:val="21"/>
        </w:rPr>
        <w:t>jasmonate</w:t>
      </w:r>
      <w:proofErr w:type="spellEnd"/>
      <w:r>
        <w:rPr>
          <w:sz w:val="21"/>
        </w:rPr>
        <w:t xml:space="preserve"> signaling in the regulation of plant responses to nutrient deficiency. </w:t>
      </w:r>
      <w:r>
        <w:rPr>
          <w:i/>
          <w:sz w:val="21"/>
        </w:rPr>
        <w:t>Journal of Experimental Botany</w:t>
      </w:r>
      <w:r>
        <w:rPr>
          <w:sz w:val="21"/>
        </w:rPr>
        <w:t xml:space="preserve">, </w:t>
      </w:r>
      <w:r>
        <w:rPr>
          <w:i/>
          <w:sz w:val="21"/>
        </w:rPr>
        <w:t>74</w:t>
      </w:r>
      <w:r>
        <w:rPr>
          <w:sz w:val="21"/>
        </w:rPr>
        <w:t>(4), 1221-1243. https://doi.org/10.1093/jxb/erac387</w:t>
      </w:r>
    </w:p>
    <w:p w14:paraId="62D4EBAB" w14:textId="77777777" w:rsidR="005F6B50" w:rsidRDefault="00693C4D">
      <w:pPr>
        <w:spacing w:after="60" w:line="240" w:lineRule="auto"/>
        <w:ind w:left="720" w:hanging="720"/>
      </w:pPr>
      <w:proofErr w:type="spellStart"/>
      <w:r>
        <w:rPr>
          <w:sz w:val="21"/>
        </w:rPr>
        <w:t>Thines</w:t>
      </w:r>
      <w:proofErr w:type="spellEnd"/>
      <w:r>
        <w:rPr>
          <w:sz w:val="21"/>
        </w:rPr>
        <w:t xml:space="preserve">, B., </w:t>
      </w:r>
      <w:proofErr w:type="spellStart"/>
      <w:r>
        <w:rPr>
          <w:sz w:val="21"/>
        </w:rPr>
        <w:t>Katsir</w:t>
      </w:r>
      <w:proofErr w:type="spellEnd"/>
      <w:r>
        <w:rPr>
          <w:sz w:val="21"/>
        </w:rPr>
        <w:t xml:space="preserve">, L., </w:t>
      </w:r>
      <w:proofErr w:type="spellStart"/>
      <w:r>
        <w:rPr>
          <w:sz w:val="21"/>
        </w:rPr>
        <w:t>Melotto</w:t>
      </w:r>
      <w:proofErr w:type="spellEnd"/>
      <w:r>
        <w:rPr>
          <w:sz w:val="21"/>
        </w:rPr>
        <w:t xml:space="preserve">, M., </w:t>
      </w:r>
      <w:proofErr w:type="spellStart"/>
      <w:r>
        <w:rPr>
          <w:sz w:val="21"/>
        </w:rPr>
        <w:t>Niu</w:t>
      </w:r>
      <w:proofErr w:type="spellEnd"/>
      <w:r>
        <w:rPr>
          <w:sz w:val="21"/>
        </w:rPr>
        <w:t xml:space="preserve">, Y., </w:t>
      </w:r>
      <w:proofErr w:type="spellStart"/>
      <w:r>
        <w:rPr>
          <w:sz w:val="21"/>
        </w:rPr>
        <w:t>Mandaokar</w:t>
      </w:r>
      <w:proofErr w:type="spellEnd"/>
      <w:r>
        <w:rPr>
          <w:sz w:val="21"/>
        </w:rPr>
        <w:t xml:space="preserve">, A., Liu, G., Nomura, K., He, S. Y., Howe, G. A., &amp; Browse, J. (2007). JAZ repressor proteins are targets of the SCFCOI1 complex during </w:t>
      </w:r>
      <w:proofErr w:type="spellStart"/>
      <w:r>
        <w:rPr>
          <w:sz w:val="21"/>
        </w:rPr>
        <w:t>jasmonate</w:t>
      </w:r>
      <w:proofErr w:type="spellEnd"/>
      <w:r>
        <w:rPr>
          <w:sz w:val="21"/>
        </w:rPr>
        <w:t xml:space="preserve"> </w:t>
      </w:r>
      <w:proofErr w:type="spellStart"/>
      <w:r>
        <w:rPr>
          <w:sz w:val="21"/>
        </w:rPr>
        <w:t>signalling</w:t>
      </w:r>
      <w:proofErr w:type="spellEnd"/>
      <w:r>
        <w:rPr>
          <w:sz w:val="21"/>
        </w:rPr>
        <w:t xml:space="preserve">. </w:t>
      </w:r>
      <w:r>
        <w:rPr>
          <w:i/>
          <w:sz w:val="21"/>
        </w:rPr>
        <w:t>Nature</w:t>
      </w:r>
      <w:r>
        <w:rPr>
          <w:sz w:val="21"/>
        </w:rPr>
        <w:t xml:space="preserve">, </w:t>
      </w:r>
      <w:r>
        <w:rPr>
          <w:i/>
          <w:sz w:val="21"/>
        </w:rPr>
        <w:t>448</w:t>
      </w:r>
      <w:r>
        <w:rPr>
          <w:sz w:val="21"/>
        </w:rPr>
        <w:t>(7154), 661-665. https://doi.org/10.1038/nature05960</w:t>
      </w:r>
    </w:p>
    <w:p w14:paraId="1D61F6EF" w14:textId="77777777" w:rsidR="005F6B50" w:rsidRDefault="00693C4D">
      <w:pPr>
        <w:spacing w:after="60" w:line="240" w:lineRule="auto"/>
        <w:ind w:left="720" w:hanging="720"/>
      </w:pPr>
      <w:proofErr w:type="spellStart"/>
      <w:r>
        <w:rPr>
          <w:sz w:val="21"/>
        </w:rPr>
        <w:t>Wasternack</w:t>
      </w:r>
      <w:proofErr w:type="spellEnd"/>
      <w:r>
        <w:rPr>
          <w:sz w:val="21"/>
        </w:rPr>
        <w:t xml:space="preserve">, C., &amp; </w:t>
      </w:r>
      <w:proofErr w:type="spellStart"/>
      <w:r>
        <w:rPr>
          <w:sz w:val="21"/>
        </w:rPr>
        <w:t>Hause</w:t>
      </w:r>
      <w:proofErr w:type="spellEnd"/>
      <w:r>
        <w:rPr>
          <w:sz w:val="21"/>
        </w:rPr>
        <w:t xml:space="preserve">, B. (2013). </w:t>
      </w:r>
      <w:proofErr w:type="spellStart"/>
      <w:r>
        <w:rPr>
          <w:sz w:val="21"/>
        </w:rPr>
        <w:t>Jasmonates</w:t>
      </w:r>
      <w:proofErr w:type="spellEnd"/>
      <w:r>
        <w:rPr>
          <w:sz w:val="21"/>
        </w:rPr>
        <w:t xml:space="preserve">: Biosynthesis, perception, signal transduction and action in plant stress response, growth and development: An update to the 2007 review in Annals of Botany. </w:t>
      </w:r>
      <w:r>
        <w:rPr>
          <w:i/>
          <w:sz w:val="21"/>
        </w:rPr>
        <w:t>Annals of Botany</w:t>
      </w:r>
      <w:r>
        <w:rPr>
          <w:sz w:val="21"/>
        </w:rPr>
        <w:t xml:space="preserve">, </w:t>
      </w:r>
      <w:r>
        <w:rPr>
          <w:i/>
          <w:sz w:val="21"/>
        </w:rPr>
        <w:t>111</w:t>
      </w:r>
      <w:r>
        <w:rPr>
          <w:sz w:val="21"/>
        </w:rPr>
        <w:t>(6), 1021-1058. https://doi.org/10.1093/aob/mct067</w:t>
      </w:r>
    </w:p>
    <w:p w14:paraId="524AF34F" w14:textId="77777777" w:rsidR="005F6B50" w:rsidRDefault="00693C4D">
      <w:pPr>
        <w:spacing w:after="60" w:line="240" w:lineRule="auto"/>
        <w:ind w:left="720" w:hanging="720"/>
      </w:pPr>
      <w:proofErr w:type="spellStart"/>
      <w:r>
        <w:rPr>
          <w:sz w:val="21"/>
        </w:rPr>
        <w:t>Wasternack</w:t>
      </w:r>
      <w:proofErr w:type="spellEnd"/>
      <w:r>
        <w:rPr>
          <w:sz w:val="21"/>
        </w:rPr>
        <w:t xml:space="preserve">, C., &amp; Song, S. (2017). </w:t>
      </w:r>
      <w:proofErr w:type="spellStart"/>
      <w:r>
        <w:rPr>
          <w:sz w:val="21"/>
        </w:rPr>
        <w:t>Jasmonates</w:t>
      </w:r>
      <w:proofErr w:type="spellEnd"/>
      <w:r>
        <w:rPr>
          <w:sz w:val="21"/>
        </w:rPr>
        <w:t xml:space="preserve">: Biosynthesis, metabolism, and signaling by proteins activating and repressing transcription. </w:t>
      </w:r>
      <w:r>
        <w:rPr>
          <w:i/>
          <w:sz w:val="21"/>
        </w:rPr>
        <w:t>Journal of Experimental Botany</w:t>
      </w:r>
      <w:r>
        <w:rPr>
          <w:sz w:val="21"/>
        </w:rPr>
        <w:t xml:space="preserve">, </w:t>
      </w:r>
      <w:r>
        <w:rPr>
          <w:i/>
          <w:sz w:val="21"/>
        </w:rPr>
        <w:t>68</w:t>
      </w:r>
      <w:r>
        <w:rPr>
          <w:sz w:val="21"/>
        </w:rPr>
        <w:t>(6), 1303-1321. https://doi.org/10.1093/jxb/erw443</w:t>
      </w:r>
    </w:p>
    <w:p w14:paraId="2064F84A" w14:textId="77777777" w:rsidR="005F6B50" w:rsidRDefault="00693C4D">
      <w:pPr>
        <w:spacing w:after="60" w:line="240" w:lineRule="auto"/>
        <w:ind w:left="720" w:hanging="720"/>
      </w:pPr>
      <w:proofErr w:type="spellStart"/>
      <w:r>
        <w:rPr>
          <w:sz w:val="21"/>
        </w:rPr>
        <w:t>Wasternack</w:t>
      </w:r>
      <w:proofErr w:type="spellEnd"/>
      <w:r>
        <w:rPr>
          <w:sz w:val="21"/>
        </w:rPr>
        <w:t xml:space="preserve">, C., &amp; </w:t>
      </w:r>
      <w:proofErr w:type="spellStart"/>
      <w:r>
        <w:rPr>
          <w:sz w:val="21"/>
        </w:rPr>
        <w:t>Feussner</w:t>
      </w:r>
      <w:proofErr w:type="spellEnd"/>
      <w:r>
        <w:rPr>
          <w:sz w:val="21"/>
        </w:rPr>
        <w:t xml:space="preserve">, I. (2018). The oxylipin pathways: Biochemistry and function. </w:t>
      </w:r>
      <w:r>
        <w:rPr>
          <w:i/>
          <w:sz w:val="21"/>
        </w:rPr>
        <w:t>Annual Review of Plant Biology</w:t>
      </w:r>
      <w:r>
        <w:rPr>
          <w:sz w:val="21"/>
        </w:rPr>
        <w:t xml:space="preserve">, </w:t>
      </w:r>
      <w:r>
        <w:rPr>
          <w:i/>
          <w:sz w:val="21"/>
        </w:rPr>
        <w:t>69</w:t>
      </w:r>
      <w:r>
        <w:rPr>
          <w:sz w:val="21"/>
        </w:rPr>
        <w:t>, 363-386. https://doi.org/10.1146/annurev-arplant-042817-040440</w:t>
      </w:r>
    </w:p>
    <w:p w14:paraId="5C95F983" w14:textId="77777777" w:rsidR="005F6B50" w:rsidRPr="003849D1" w:rsidRDefault="00693C4D">
      <w:pPr>
        <w:spacing w:after="60" w:line="240" w:lineRule="auto"/>
        <w:ind w:left="720" w:hanging="720"/>
        <w:rPr>
          <w:lang w:val="fr-FR"/>
        </w:rPr>
      </w:pPr>
      <w:r>
        <w:rPr>
          <w:sz w:val="21"/>
        </w:rPr>
        <w:t xml:space="preserve">Yan, Z.-W., Chen, F.-Y., Zhang, X., Cai, W.-J., Chen, C.-Y., Liu, J., Wu, M.-N., Liu, N.-J., Ma, B., Wang, M.-Y., Chao, D.-Y., Gao, C.-J., &amp; Mao, Y.-B. (2023). Endocytosis-mediated entry of a caterpillar effector into plants is countered by </w:t>
      </w:r>
      <w:proofErr w:type="spellStart"/>
      <w:r>
        <w:rPr>
          <w:sz w:val="21"/>
        </w:rPr>
        <w:t>jasmonate</w:t>
      </w:r>
      <w:proofErr w:type="spellEnd"/>
      <w:r>
        <w:rPr>
          <w:sz w:val="21"/>
        </w:rPr>
        <w:t xml:space="preserve">. </w:t>
      </w:r>
      <w:r w:rsidRPr="003849D1">
        <w:rPr>
          <w:i/>
          <w:sz w:val="21"/>
          <w:lang w:val="fr-FR"/>
        </w:rPr>
        <w:t>Nature Communications</w:t>
      </w:r>
      <w:r w:rsidRPr="003849D1">
        <w:rPr>
          <w:sz w:val="21"/>
          <w:lang w:val="fr-FR"/>
        </w:rPr>
        <w:t xml:space="preserve">, </w:t>
      </w:r>
      <w:r w:rsidRPr="003849D1">
        <w:rPr>
          <w:i/>
          <w:sz w:val="21"/>
          <w:lang w:val="fr-FR"/>
        </w:rPr>
        <w:t>14</w:t>
      </w:r>
      <w:r w:rsidRPr="003849D1">
        <w:rPr>
          <w:sz w:val="21"/>
          <w:lang w:val="fr-FR"/>
        </w:rPr>
        <w:t>(1), 6551. https://doi.org/10.1038/s41467-023-42226-1</w:t>
      </w:r>
    </w:p>
    <w:p w14:paraId="0091ED23" w14:textId="77777777" w:rsidR="005F6B50" w:rsidRDefault="00693C4D">
      <w:pPr>
        <w:spacing w:after="60" w:line="240" w:lineRule="auto"/>
        <w:ind w:left="720" w:hanging="720"/>
      </w:pPr>
      <w:proofErr w:type="spellStart"/>
      <w:r w:rsidRPr="003849D1">
        <w:rPr>
          <w:sz w:val="21"/>
          <w:lang w:val="fr-FR"/>
        </w:rPr>
        <w:t>Zhai</w:t>
      </w:r>
      <w:proofErr w:type="spellEnd"/>
      <w:r w:rsidRPr="003849D1">
        <w:rPr>
          <w:sz w:val="21"/>
          <w:lang w:val="fr-FR"/>
        </w:rPr>
        <w:t xml:space="preserve">, Q., Deng, L., &amp; Li, C. (2020). </w:t>
      </w:r>
      <w:r>
        <w:rPr>
          <w:sz w:val="21"/>
        </w:rPr>
        <w:t xml:space="preserve">Mediator subunit MED25: At the nexus of </w:t>
      </w:r>
      <w:proofErr w:type="spellStart"/>
      <w:r>
        <w:rPr>
          <w:sz w:val="21"/>
        </w:rPr>
        <w:t>jasmonate</w:t>
      </w:r>
      <w:proofErr w:type="spellEnd"/>
      <w:r>
        <w:rPr>
          <w:sz w:val="21"/>
        </w:rPr>
        <w:t xml:space="preserve"> signaling. </w:t>
      </w:r>
      <w:r>
        <w:rPr>
          <w:i/>
          <w:sz w:val="21"/>
        </w:rPr>
        <w:t>Current Opinion in Plant Biology</w:t>
      </w:r>
      <w:r>
        <w:rPr>
          <w:sz w:val="21"/>
        </w:rPr>
        <w:t xml:space="preserve">, </w:t>
      </w:r>
      <w:r>
        <w:rPr>
          <w:i/>
          <w:sz w:val="21"/>
        </w:rPr>
        <w:t>57</w:t>
      </w:r>
      <w:r>
        <w:rPr>
          <w:sz w:val="21"/>
        </w:rPr>
        <w:t>, 78-86. https://doi.org/10.1016/j.pbi.2020.06.006</w:t>
      </w:r>
    </w:p>
    <w:p w14:paraId="79430352" w14:textId="5C6894D7" w:rsidR="005F6B50" w:rsidRDefault="00693C4D">
      <w:pPr>
        <w:spacing w:after="60" w:line="240" w:lineRule="auto"/>
        <w:ind w:left="720" w:hanging="720"/>
        <w:rPr>
          <w:sz w:val="21"/>
        </w:rPr>
      </w:pPr>
      <w:r>
        <w:rPr>
          <w:sz w:val="21"/>
        </w:rPr>
        <w:t xml:space="preserve">Zhang, K., Zhang, J., Zheng, T., Gu, W., Zhang, Y., Li, W., Zhou, P., Fang, Y., &amp; Chen, K. (2024). Preharvest application of </w:t>
      </w:r>
      <w:proofErr w:type="spellStart"/>
      <w:r>
        <w:rPr>
          <w:sz w:val="21"/>
        </w:rPr>
        <w:t>MeJA</w:t>
      </w:r>
      <w:proofErr w:type="spellEnd"/>
      <w:r>
        <w:rPr>
          <w:sz w:val="21"/>
        </w:rPr>
        <w:t xml:space="preserve"> enhancing the quality of postharvest grape berries via regulating terpenes biosynthesis and phenylpropanoid metabolisms. </w:t>
      </w:r>
      <w:r>
        <w:rPr>
          <w:i/>
          <w:sz w:val="21"/>
        </w:rPr>
        <w:t>Food Chemistry</w:t>
      </w:r>
      <w:r>
        <w:rPr>
          <w:sz w:val="21"/>
        </w:rPr>
        <w:t xml:space="preserve">, </w:t>
      </w:r>
      <w:r>
        <w:rPr>
          <w:i/>
          <w:sz w:val="21"/>
        </w:rPr>
        <w:t>438</w:t>
      </w:r>
      <w:r>
        <w:rPr>
          <w:sz w:val="21"/>
        </w:rPr>
        <w:t xml:space="preserve">, 137958. </w:t>
      </w:r>
      <w:hyperlink r:id="rId8" w:history="1">
        <w:r w:rsidR="00E63AC8" w:rsidRPr="00576848">
          <w:rPr>
            <w:rStyle w:val="Hyperlink"/>
            <w:sz w:val="21"/>
          </w:rPr>
          <w:t>https://doi.org/10.1016/j.foodchem.2023.137958</w:t>
        </w:r>
      </w:hyperlink>
    </w:p>
    <w:p w14:paraId="01BD32F1" w14:textId="77777777" w:rsidR="007144F6" w:rsidRDefault="00E63AC8" w:rsidP="007144F6">
      <w:pPr>
        <w:spacing w:after="60" w:line="240" w:lineRule="auto"/>
        <w:ind w:left="720" w:hanging="720"/>
        <w:rPr>
          <w:rFonts w:ascii="Arial" w:hAnsi="Arial" w:cs="Arial"/>
          <w:color w:val="222222"/>
          <w:sz w:val="20"/>
          <w:szCs w:val="20"/>
          <w:highlight w:val="yellow"/>
          <w:shd w:val="clear" w:color="auto" w:fill="FFFFFF"/>
        </w:rPr>
      </w:pPr>
      <w:r w:rsidRPr="00B72D96">
        <w:rPr>
          <w:rFonts w:ascii="Arial" w:hAnsi="Arial" w:cs="Arial"/>
          <w:color w:val="222222"/>
          <w:sz w:val="20"/>
          <w:szCs w:val="20"/>
          <w:highlight w:val="yellow"/>
          <w:shd w:val="clear" w:color="auto" w:fill="FFFFFF"/>
        </w:rPr>
        <w:t>Ali</w:t>
      </w:r>
      <w:r w:rsidRPr="00C96664">
        <w:rPr>
          <w:rFonts w:ascii="Arial" w:hAnsi="Arial" w:cs="Arial"/>
          <w:color w:val="222222"/>
          <w:sz w:val="20"/>
          <w:szCs w:val="20"/>
          <w:highlight w:val="yellow"/>
          <w:shd w:val="clear" w:color="auto" w:fill="FFFFFF"/>
        </w:rPr>
        <w:t xml:space="preserve">, J., </w:t>
      </w:r>
      <w:proofErr w:type="spellStart"/>
      <w:r w:rsidRPr="00C96664">
        <w:rPr>
          <w:rFonts w:ascii="Arial" w:hAnsi="Arial" w:cs="Arial"/>
          <w:color w:val="222222"/>
          <w:sz w:val="20"/>
          <w:szCs w:val="20"/>
          <w:highlight w:val="yellow"/>
          <w:shd w:val="clear" w:color="auto" w:fill="FFFFFF"/>
        </w:rPr>
        <w:t>Mukarram</w:t>
      </w:r>
      <w:proofErr w:type="spellEnd"/>
      <w:r w:rsidRPr="00C96664">
        <w:rPr>
          <w:rFonts w:ascii="Arial" w:hAnsi="Arial" w:cs="Arial"/>
          <w:color w:val="222222"/>
          <w:sz w:val="20"/>
          <w:szCs w:val="20"/>
          <w:highlight w:val="yellow"/>
          <w:shd w:val="clear" w:color="auto" w:fill="FFFFFF"/>
        </w:rPr>
        <w:t xml:space="preserve">, M., </w:t>
      </w:r>
      <w:proofErr w:type="spellStart"/>
      <w:r w:rsidRPr="00C96664">
        <w:rPr>
          <w:rFonts w:ascii="Arial" w:hAnsi="Arial" w:cs="Arial"/>
          <w:color w:val="222222"/>
          <w:sz w:val="20"/>
          <w:szCs w:val="20"/>
          <w:highlight w:val="yellow"/>
          <w:shd w:val="clear" w:color="auto" w:fill="FFFFFF"/>
        </w:rPr>
        <w:t>Ojo</w:t>
      </w:r>
      <w:proofErr w:type="spellEnd"/>
      <w:r w:rsidRPr="00C96664">
        <w:rPr>
          <w:rFonts w:ascii="Arial" w:hAnsi="Arial" w:cs="Arial"/>
          <w:color w:val="222222"/>
          <w:sz w:val="20"/>
          <w:szCs w:val="20"/>
          <w:highlight w:val="yellow"/>
          <w:shd w:val="clear" w:color="auto" w:fill="FFFFFF"/>
        </w:rPr>
        <w:t xml:space="preserve">, J., </w:t>
      </w:r>
      <w:proofErr w:type="spellStart"/>
      <w:r w:rsidRPr="00C96664">
        <w:rPr>
          <w:rFonts w:ascii="Arial" w:hAnsi="Arial" w:cs="Arial"/>
          <w:color w:val="222222"/>
          <w:sz w:val="20"/>
          <w:szCs w:val="20"/>
          <w:highlight w:val="yellow"/>
          <w:shd w:val="clear" w:color="auto" w:fill="FFFFFF"/>
        </w:rPr>
        <w:t>Dawam</w:t>
      </w:r>
      <w:proofErr w:type="spellEnd"/>
      <w:r w:rsidRPr="00C96664">
        <w:rPr>
          <w:rFonts w:ascii="Arial" w:hAnsi="Arial" w:cs="Arial"/>
          <w:color w:val="222222"/>
          <w:sz w:val="20"/>
          <w:szCs w:val="20"/>
          <w:highlight w:val="yellow"/>
          <w:shd w:val="clear" w:color="auto" w:fill="FFFFFF"/>
        </w:rPr>
        <w:t xml:space="preserve">, N., </w:t>
      </w:r>
      <w:proofErr w:type="spellStart"/>
      <w:r w:rsidRPr="00C96664">
        <w:rPr>
          <w:rFonts w:ascii="Arial" w:hAnsi="Arial" w:cs="Arial"/>
          <w:color w:val="222222"/>
          <w:sz w:val="20"/>
          <w:szCs w:val="20"/>
          <w:highlight w:val="yellow"/>
          <w:shd w:val="clear" w:color="auto" w:fill="FFFFFF"/>
        </w:rPr>
        <w:t>Riyazuddin</w:t>
      </w:r>
      <w:proofErr w:type="spellEnd"/>
      <w:r w:rsidRPr="00C96664">
        <w:rPr>
          <w:rFonts w:ascii="Arial" w:hAnsi="Arial" w:cs="Arial"/>
          <w:color w:val="222222"/>
          <w:sz w:val="20"/>
          <w:szCs w:val="20"/>
          <w:highlight w:val="yellow"/>
          <w:shd w:val="clear" w:color="auto" w:fill="FFFFFF"/>
        </w:rPr>
        <w:t xml:space="preserve">, R., </w:t>
      </w:r>
      <w:proofErr w:type="spellStart"/>
      <w:r w:rsidRPr="00C96664">
        <w:rPr>
          <w:rFonts w:ascii="Arial" w:hAnsi="Arial" w:cs="Arial"/>
          <w:color w:val="222222"/>
          <w:sz w:val="20"/>
          <w:szCs w:val="20"/>
          <w:highlight w:val="yellow"/>
          <w:shd w:val="clear" w:color="auto" w:fill="FFFFFF"/>
        </w:rPr>
        <w:t>Ghramh</w:t>
      </w:r>
      <w:proofErr w:type="spellEnd"/>
      <w:r w:rsidRPr="00C96664">
        <w:rPr>
          <w:rFonts w:ascii="Arial" w:hAnsi="Arial" w:cs="Arial"/>
          <w:color w:val="222222"/>
          <w:sz w:val="20"/>
          <w:szCs w:val="20"/>
          <w:highlight w:val="yellow"/>
          <w:shd w:val="clear" w:color="auto" w:fill="FFFFFF"/>
        </w:rPr>
        <w:t xml:space="preserve">, H. A., ... &amp; Bayram, A. (2024). Harnessing phytohormones: advancing plant growth and </w:t>
      </w:r>
      <w:proofErr w:type="spellStart"/>
      <w:r w:rsidRPr="00C96664">
        <w:rPr>
          <w:rFonts w:ascii="Arial" w:hAnsi="Arial" w:cs="Arial"/>
          <w:color w:val="222222"/>
          <w:sz w:val="20"/>
          <w:szCs w:val="20"/>
          <w:highlight w:val="yellow"/>
          <w:shd w:val="clear" w:color="auto" w:fill="FFFFFF"/>
        </w:rPr>
        <w:t>defence</w:t>
      </w:r>
      <w:proofErr w:type="spellEnd"/>
      <w:r w:rsidRPr="00C96664">
        <w:rPr>
          <w:rFonts w:ascii="Arial" w:hAnsi="Arial" w:cs="Arial"/>
          <w:color w:val="222222"/>
          <w:sz w:val="20"/>
          <w:szCs w:val="20"/>
          <w:highlight w:val="yellow"/>
          <w:shd w:val="clear" w:color="auto" w:fill="FFFFFF"/>
        </w:rPr>
        <w:t xml:space="preserve"> strategies for sustainable agriculture. </w:t>
      </w:r>
      <w:proofErr w:type="spellStart"/>
      <w:r w:rsidRPr="00C96664">
        <w:rPr>
          <w:rFonts w:ascii="Arial" w:hAnsi="Arial" w:cs="Arial"/>
          <w:i/>
          <w:iCs/>
          <w:color w:val="222222"/>
          <w:sz w:val="20"/>
          <w:szCs w:val="20"/>
          <w:highlight w:val="yellow"/>
          <w:shd w:val="clear" w:color="auto" w:fill="FFFFFF"/>
        </w:rPr>
        <w:t>Physiologia</w:t>
      </w:r>
      <w:proofErr w:type="spellEnd"/>
      <w:r w:rsidRPr="00C96664">
        <w:rPr>
          <w:rFonts w:ascii="Arial" w:hAnsi="Arial" w:cs="Arial"/>
          <w:i/>
          <w:iCs/>
          <w:color w:val="222222"/>
          <w:sz w:val="20"/>
          <w:szCs w:val="20"/>
          <w:highlight w:val="yellow"/>
          <w:shd w:val="clear" w:color="auto" w:fill="FFFFFF"/>
        </w:rPr>
        <w:t xml:space="preserve"> plantarum</w:t>
      </w:r>
      <w:r w:rsidRPr="00C96664">
        <w:rPr>
          <w:rFonts w:ascii="Arial" w:hAnsi="Arial" w:cs="Arial"/>
          <w:color w:val="222222"/>
          <w:sz w:val="20"/>
          <w:szCs w:val="20"/>
          <w:highlight w:val="yellow"/>
          <w:shd w:val="clear" w:color="auto" w:fill="FFFFFF"/>
        </w:rPr>
        <w:t>, </w:t>
      </w:r>
      <w:r w:rsidRPr="00C96664">
        <w:rPr>
          <w:rFonts w:ascii="Arial" w:hAnsi="Arial" w:cs="Arial"/>
          <w:i/>
          <w:iCs/>
          <w:color w:val="222222"/>
          <w:sz w:val="20"/>
          <w:szCs w:val="20"/>
          <w:highlight w:val="yellow"/>
          <w:shd w:val="clear" w:color="auto" w:fill="FFFFFF"/>
        </w:rPr>
        <w:t>176</w:t>
      </w:r>
      <w:r w:rsidRPr="00C96664">
        <w:rPr>
          <w:rFonts w:ascii="Arial" w:hAnsi="Arial" w:cs="Arial"/>
          <w:color w:val="222222"/>
          <w:sz w:val="20"/>
          <w:szCs w:val="20"/>
          <w:highlight w:val="yellow"/>
          <w:shd w:val="clear" w:color="auto" w:fill="FFFFFF"/>
        </w:rPr>
        <w:t>(3), e14307.</w:t>
      </w:r>
    </w:p>
    <w:p w14:paraId="03A56E6C" w14:textId="5432F1F2" w:rsidR="003B3AE7" w:rsidRDefault="003B3AE7" w:rsidP="007144F6">
      <w:pPr>
        <w:spacing w:after="60" w:line="240" w:lineRule="auto"/>
        <w:ind w:left="720" w:hanging="720"/>
        <w:rPr>
          <w:rFonts w:ascii="inherit" w:hAnsi="inherit" w:cs="Helvetica"/>
          <w:color w:val="222222"/>
          <w:sz w:val="18"/>
          <w:szCs w:val="18"/>
          <w:highlight w:val="yellow"/>
        </w:rPr>
      </w:pPr>
      <w:r w:rsidRPr="00C96664">
        <w:rPr>
          <w:rFonts w:ascii="inherit" w:hAnsi="inherit" w:cs="Helvetica"/>
          <w:color w:val="222222"/>
          <w:sz w:val="18"/>
          <w:szCs w:val="18"/>
          <w:highlight w:val="yellow"/>
        </w:rPr>
        <w:t xml:space="preserve">Rehman, M., Saeed, M. S., Fan, X., Salam, A., Munir, R., Yasin, M. U., Khan, A. R., Muhammad, S., Ali, B., Ali, I., Khan, J., &amp; Gan, Y. (2023). The Multifaceted Role of </w:t>
      </w:r>
      <w:proofErr w:type="spellStart"/>
      <w:r w:rsidRPr="00C96664">
        <w:rPr>
          <w:rFonts w:ascii="inherit" w:hAnsi="inherit" w:cs="Helvetica"/>
          <w:color w:val="222222"/>
          <w:sz w:val="18"/>
          <w:szCs w:val="18"/>
          <w:highlight w:val="yellow"/>
        </w:rPr>
        <w:t>Jasmonic</w:t>
      </w:r>
      <w:proofErr w:type="spellEnd"/>
      <w:r w:rsidRPr="00C96664">
        <w:rPr>
          <w:rFonts w:ascii="inherit" w:hAnsi="inherit" w:cs="Helvetica"/>
          <w:color w:val="222222"/>
          <w:sz w:val="18"/>
          <w:szCs w:val="18"/>
          <w:highlight w:val="yellow"/>
        </w:rPr>
        <w:t xml:space="preserve"> Acid in Plant Stress Mitigation: An Overview. </w:t>
      </w:r>
      <w:r w:rsidRPr="00C96664">
        <w:rPr>
          <w:rStyle w:val="Emphasis"/>
          <w:rFonts w:ascii="inherit" w:hAnsi="inherit" w:cs="Helvetica"/>
          <w:color w:val="222222"/>
          <w:sz w:val="18"/>
          <w:szCs w:val="18"/>
          <w:highlight w:val="yellow"/>
        </w:rPr>
        <w:t>Plants</w:t>
      </w:r>
      <w:r w:rsidRPr="00C96664">
        <w:rPr>
          <w:rFonts w:ascii="inherit" w:hAnsi="inherit" w:cs="Helvetica"/>
          <w:color w:val="222222"/>
          <w:sz w:val="18"/>
          <w:szCs w:val="18"/>
          <w:highlight w:val="yellow"/>
        </w:rPr>
        <w:t>, </w:t>
      </w:r>
      <w:r w:rsidRPr="00C96664">
        <w:rPr>
          <w:rStyle w:val="Emphasis"/>
          <w:rFonts w:ascii="inherit" w:hAnsi="inherit" w:cs="Helvetica"/>
          <w:color w:val="222222"/>
          <w:sz w:val="18"/>
          <w:szCs w:val="18"/>
          <w:highlight w:val="yellow"/>
        </w:rPr>
        <w:t>12</w:t>
      </w:r>
      <w:r w:rsidRPr="00C96664">
        <w:rPr>
          <w:rFonts w:ascii="inherit" w:hAnsi="inherit" w:cs="Helvetica"/>
          <w:color w:val="222222"/>
          <w:sz w:val="18"/>
          <w:szCs w:val="18"/>
          <w:highlight w:val="yellow"/>
        </w:rPr>
        <w:t xml:space="preserve">(23), 3982. </w:t>
      </w:r>
      <w:hyperlink r:id="rId9" w:history="1">
        <w:r w:rsidR="003A784D" w:rsidRPr="00C96664">
          <w:rPr>
            <w:rStyle w:val="Hyperlink"/>
            <w:rFonts w:ascii="inherit" w:hAnsi="inherit" w:cs="Helvetica"/>
            <w:sz w:val="18"/>
            <w:szCs w:val="18"/>
            <w:highlight w:val="yellow"/>
          </w:rPr>
          <w:t>https://doi.org/10.3390/plants12233982</w:t>
        </w:r>
      </w:hyperlink>
    </w:p>
    <w:p w14:paraId="6D88A779" w14:textId="7DC7478A" w:rsidR="003A784D" w:rsidRPr="00C96664" w:rsidRDefault="003A784D" w:rsidP="00C96664">
      <w:pPr>
        <w:spacing w:after="60" w:line="240" w:lineRule="auto"/>
        <w:ind w:left="720" w:hanging="720"/>
        <w:rPr>
          <w:rFonts w:ascii="Arial" w:hAnsi="Arial" w:cs="Arial"/>
          <w:color w:val="222222"/>
          <w:sz w:val="20"/>
          <w:szCs w:val="20"/>
          <w:highlight w:val="yellow"/>
          <w:shd w:val="clear" w:color="auto" w:fill="FFFFFF"/>
        </w:rPr>
      </w:pPr>
      <w:proofErr w:type="spellStart"/>
      <w:r w:rsidRPr="00C96664">
        <w:rPr>
          <w:rFonts w:ascii="Arial" w:hAnsi="Arial" w:cs="Arial"/>
          <w:color w:val="222222"/>
          <w:sz w:val="20"/>
          <w:szCs w:val="20"/>
          <w:highlight w:val="yellow"/>
          <w:shd w:val="clear" w:color="auto" w:fill="FFFFFF"/>
        </w:rPr>
        <w:t>Hewedy</w:t>
      </w:r>
      <w:proofErr w:type="spellEnd"/>
      <w:r w:rsidRPr="00C96664">
        <w:rPr>
          <w:rFonts w:ascii="Arial" w:hAnsi="Arial" w:cs="Arial"/>
          <w:color w:val="222222"/>
          <w:sz w:val="20"/>
          <w:szCs w:val="20"/>
          <w:highlight w:val="yellow"/>
          <w:shd w:val="clear" w:color="auto" w:fill="FFFFFF"/>
        </w:rPr>
        <w:t xml:space="preserve">, O. A., </w:t>
      </w:r>
      <w:proofErr w:type="spellStart"/>
      <w:r w:rsidRPr="00C96664">
        <w:rPr>
          <w:rFonts w:ascii="Arial" w:hAnsi="Arial" w:cs="Arial"/>
          <w:color w:val="222222"/>
          <w:sz w:val="20"/>
          <w:szCs w:val="20"/>
          <w:highlight w:val="yellow"/>
          <w:shd w:val="clear" w:color="auto" w:fill="FFFFFF"/>
        </w:rPr>
        <w:t>Elsheery</w:t>
      </w:r>
      <w:proofErr w:type="spellEnd"/>
      <w:r w:rsidRPr="00C96664">
        <w:rPr>
          <w:rFonts w:ascii="Arial" w:hAnsi="Arial" w:cs="Arial"/>
          <w:color w:val="222222"/>
          <w:sz w:val="20"/>
          <w:szCs w:val="20"/>
          <w:highlight w:val="yellow"/>
          <w:shd w:val="clear" w:color="auto" w:fill="FFFFFF"/>
        </w:rPr>
        <w:t xml:space="preserve">, N. I., </w:t>
      </w:r>
      <w:proofErr w:type="spellStart"/>
      <w:r w:rsidRPr="00C96664">
        <w:rPr>
          <w:rFonts w:ascii="Arial" w:hAnsi="Arial" w:cs="Arial"/>
          <w:color w:val="222222"/>
          <w:sz w:val="20"/>
          <w:szCs w:val="20"/>
          <w:highlight w:val="yellow"/>
          <w:shd w:val="clear" w:color="auto" w:fill="FFFFFF"/>
        </w:rPr>
        <w:t>Karkour</w:t>
      </w:r>
      <w:proofErr w:type="spellEnd"/>
      <w:r w:rsidRPr="00C96664">
        <w:rPr>
          <w:rFonts w:ascii="Arial" w:hAnsi="Arial" w:cs="Arial"/>
          <w:color w:val="222222"/>
          <w:sz w:val="20"/>
          <w:szCs w:val="20"/>
          <w:highlight w:val="yellow"/>
          <w:shd w:val="clear" w:color="auto" w:fill="FFFFFF"/>
        </w:rPr>
        <w:t xml:space="preserve">, A. M., </w:t>
      </w:r>
      <w:proofErr w:type="spellStart"/>
      <w:r w:rsidRPr="00C96664">
        <w:rPr>
          <w:rFonts w:ascii="Arial" w:hAnsi="Arial" w:cs="Arial"/>
          <w:color w:val="222222"/>
          <w:sz w:val="20"/>
          <w:szCs w:val="20"/>
          <w:highlight w:val="yellow"/>
          <w:shd w:val="clear" w:color="auto" w:fill="FFFFFF"/>
        </w:rPr>
        <w:t>Elhamouly</w:t>
      </w:r>
      <w:proofErr w:type="spellEnd"/>
      <w:r w:rsidRPr="00C96664">
        <w:rPr>
          <w:rFonts w:ascii="Arial" w:hAnsi="Arial" w:cs="Arial"/>
          <w:color w:val="222222"/>
          <w:sz w:val="20"/>
          <w:szCs w:val="20"/>
          <w:highlight w:val="yellow"/>
          <w:shd w:val="clear" w:color="auto" w:fill="FFFFFF"/>
        </w:rPr>
        <w:t xml:space="preserve">, N., Arafa, R. A., Mahmoud, G. A. E., ... &amp; </w:t>
      </w:r>
      <w:proofErr w:type="spellStart"/>
      <w:r w:rsidRPr="00C96664">
        <w:rPr>
          <w:rFonts w:ascii="Arial" w:hAnsi="Arial" w:cs="Arial"/>
          <w:color w:val="222222"/>
          <w:sz w:val="20"/>
          <w:szCs w:val="20"/>
          <w:highlight w:val="yellow"/>
          <w:shd w:val="clear" w:color="auto" w:fill="FFFFFF"/>
        </w:rPr>
        <w:t>Brestic</w:t>
      </w:r>
      <w:proofErr w:type="spellEnd"/>
      <w:r w:rsidRPr="00C96664">
        <w:rPr>
          <w:rFonts w:ascii="Arial" w:hAnsi="Arial" w:cs="Arial"/>
          <w:color w:val="222222"/>
          <w:sz w:val="20"/>
          <w:szCs w:val="20"/>
          <w:highlight w:val="yellow"/>
          <w:shd w:val="clear" w:color="auto" w:fill="FFFFFF"/>
        </w:rPr>
        <w:t xml:space="preserve">, M. (2023). </w:t>
      </w:r>
      <w:proofErr w:type="spellStart"/>
      <w:r w:rsidRPr="00C96664">
        <w:rPr>
          <w:rFonts w:ascii="Arial" w:hAnsi="Arial" w:cs="Arial"/>
          <w:color w:val="222222"/>
          <w:sz w:val="20"/>
          <w:szCs w:val="20"/>
          <w:highlight w:val="yellow"/>
          <w:shd w:val="clear" w:color="auto" w:fill="FFFFFF"/>
        </w:rPr>
        <w:t>Jasmonic</w:t>
      </w:r>
      <w:proofErr w:type="spellEnd"/>
      <w:r w:rsidRPr="00C96664">
        <w:rPr>
          <w:rFonts w:ascii="Arial" w:hAnsi="Arial" w:cs="Arial"/>
          <w:color w:val="222222"/>
          <w:sz w:val="20"/>
          <w:szCs w:val="20"/>
          <w:highlight w:val="yellow"/>
          <w:shd w:val="clear" w:color="auto" w:fill="FFFFFF"/>
        </w:rPr>
        <w:t xml:space="preserve"> acid regulates plant development and orchestrates stress response during tough times. </w:t>
      </w:r>
      <w:r w:rsidRPr="00C96664">
        <w:rPr>
          <w:rFonts w:ascii="Arial" w:hAnsi="Arial" w:cs="Arial"/>
          <w:i/>
          <w:iCs/>
          <w:color w:val="222222"/>
          <w:sz w:val="20"/>
          <w:szCs w:val="20"/>
          <w:highlight w:val="yellow"/>
          <w:shd w:val="clear" w:color="auto" w:fill="FFFFFF"/>
        </w:rPr>
        <w:t>Environmental and Experimental Botany</w:t>
      </w:r>
      <w:r w:rsidRPr="00C96664">
        <w:rPr>
          <w:rFonts w:ascii="Arial" w:hAnsi="Arial" w:cs="Arial"/>
          <w:color w:val="222222"/>
          <w:sz w:val="20"/>
          <w:szCs w:val="20"/>
          <w:highlight w:val="yellow"/>
          <w:shd w:val="clear" w:color="auto" w:fill="FFFFFF"/>
        </w:rPr>
        <w:t>, </w:t>
      </w:r>
      <w:r w:rsidRPr="00C96664">
        <w:rPr>
          <w:rFonts w:ascii="Arial" w:hAnsi="Arial" w:cs="Arial"/>
          <w:i/>
          <w:iCs/>
          <w:color w:val="222222"/>
          <w:sz w:val="20"/>
          <w:szCs w:val="20"/>
          <w:highlight w:val="yellow"/>
          <w:shd w:val="clear" w:color="auto" w:fill="FFFFFF"/>
        </w:rPr>
        <w:t>208</w:t>
      </w:r>
      <w:r w:rsidRPr="00C96664">
        <w:rPr>
          <w:rFonts w:ascii="Arial" w:hAnsi="Arial" w:cs="Arial"/>
          <w:color w:val="222222"/>
          <w:sz w:val="20"/>
          <w:szCs w:val="20"/>
          <w:highlight w:val="yellow"/>
          <w:shd w:val="clear" w:color="auto" w:fill="FFFFFF"/>
        </w:rPr>
        <w:t>, 105260.</w:t>
      </w:r>
    </w:p>
    <w:p w14:paraId="0324F78B" w14:textId="77777777" w:rsidR="003B3AE7" w:rsidRDefault="003B3AE7">
      <w:pPr>
        <w:spacing w:after="60" w:line="240" w:lineRule="auto"/>
        <w:ind w:left="720" w:hanging="720"/>
      </w:pPr>
    </w:p>
    <w:sectPr w:rsidR="003B3AE7" w:rsidSect="00034616">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18CD" w14:textId="77777777" w:rsidR="00E70EE8" w:rsidRDefault="00E70EE8">
      <w:pPr>
        <w:spacing w:after="0" w:line="240" w:lineRule="auto"/>
      </w:pPr>
      <w:r>
        <w:separator/>
      </w:r>
    </w:p>
  </w:endnote>
  <w:endnote w:type="continuationSeparator" w:id="0">
    <w:p w14:paraId="1C46A98D" w14:textId="77777777" w:rsidR="00E70EE8" w:rsidRDefault="00E7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F2FB" w14:textId="77777777" w:rsidR="00FA39E9" w:rsidRDefault="00FA3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E5D4" w14:textId="77777777" w:rsidR="005F6B50" w:rsidRDefault="00693C4D">
    <w:pPr>
      <w:pStyle w:val="Footer"/>
      <w:jc w:val="center"/>
    </w:pPr>
    <w:r>
      <w:fldChar w:fldCharType="begin"/>
    </w:r>
    <w:r>
      <w:instrText xml:space="preserve"> PAGE </w:instrText>
    </w:r>
    <w:r>
      <w:fldChar w:fldCharType="separate"/>
    </w:r>
    <w:r w:rsidR="00CB4F5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CFF6" w14:textId="77777777" w:rsidR="00FA39E9" w:rsidRDefault="00FA3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5125D" w14:textId="77777777" w:rsidR="00E70EE8" w:rsidRDefault="00E70EE8">
      <w:pPr>
        <w:spacing w:after="0" w:line="240" w:lineRule="auto"/>
      </w:pPr>
      <w:r>
        <w:separator/>
      </w:r>
    </w:p>
  </w:footnote>
  <w:footnote w:type="continuationSeparator" w:id="0">
    <w:p w14:paraId="177CB48E" w14:textId="77777777" w:rsidR="00E70EE8" w:rsidRDefault="00E7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EF11" w14:textId="677ACB24" w:rsidR="00FA39E9" w:rsidRDefault="00E70EE8">
    <w:pPr>
      <w:pStyle w:val="Header"/>
    </w:pPr>
    <w:r>
      <w:rPr>
        <w:noProof/>
      </w:rPr>
      <w:pict w14:anchorId="1720F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391"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8DF6" w14:textId="33A022D3" w:rsidR="00FA39E9" w:rsidRDefault="00E70EE8">
    <w:pPr>
      <w:pStyle w:val="Header"/>
    </w:pPr>
    <w:r>
      <w:rPr>
        <w:noProof/>
      </w:rPr>
      <w:pict w14:anchorId="0F907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392"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B6B8" w14:textId="7B77DFD9" w:rsidR="00FA39E9" w:rsidRDefault="00E70EE8">
    <w:pPr>
      <w:pStyle w:val="Header"/>
    </w:pPr>
    <w:r>
      <w:rPr>
        <w:noProof/>
      </w:rPr>
      <w:pict w14:anchorId="17BAF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390"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6EE6C41"/>
    <w:multiLevelType w:val="hybridMultilevel"/>
    <w:tmpl w:val="C91E0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rAwMTAyMTUxMzNU0lEKTi0uzszPAykwrAUAaGkmFSwAAAA="/>
  </w:docVars>
  <w:rsids>
    <w:rsidRoot w:val="00B47730"/>
    <w:rsid w:val="00034616"/>
    <w:rsid w:val="0006063C"/>
    <w:rsid w:val="0015074B"/>
    <w:rsid w:val="0022582B"/>
    <w:rsid w:val="0029639D"/>
    <w:rsid w:val="00326F90"/>
    <w:rsid w:val="003849D1"/>
    <w:rsid w:val="003A784D"/>
    <w:rsid w:val="003B3AE7"/>
    <w:rsid w:val="005E0F03"/>
    <w:rsid w:val="005F6B50"/>
    <w:rsid w:val="00693C4D"/>
    <w:rsid w:val="007144F6"/>
    <w:rsid w:val="007A0529"/>
    <w:rsid w:val="00854AC5"/>
    <w:rsid w:val="0086583E"/>
    <w:rsid w:val="00980D95"/>
    <w:rsid w:val="00A2261F"/>
    <w:rsid w:val="00AA1D8D"/>
    <w:rsid w:val="00B47730"/>
    <w:rsid w:val="00B743F9"/>
    <w:rsid w:val="00C01364"/>
    <w:rsid w:val="00C76B73"/>
    <w:rsid w:val="00C96664"/>
    <w:rsid w:val="00CB0664"/>
    <w:rsid w:val="00CB4F5F"/>
    <w:rsid w:val="00D66D1B"/>
    <w:rsid w:val="00DD0087"/>
    <w:rsid w:val="00E33359"/>
    <w:rsid w:val="00E34E92"/>
    <w:rsid w:val="00E462AD"/>
    <w:rsid w:val="00E63AC8"/>
    <w:rsid w:val="00E70EE8"/>
    <w:rsid w:val="00F47C13"/>
    <w:rsid w:val="00F85683"/>
    <w:rsid w:val="00FA39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B1660B"/>
  <w14:defaultImageDpi w14:val="300"/>
  <w15:docId w15:val="{9EDC2DDE-754A-4E4F-AA5A-EBD712B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7"/>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i/>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63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C8"/>
    <w:rPr>
      <w:rFonts w:ascii="Segoe UI" w:hAnsi="Segoe UI" w:cs="Segoe UI"/>
      <w:sz w:val="18"/>
      <w:szCs w:val="18"/>
    </w:rPr>
  </w:style>
  <w:style w:type="character" w:styleId="Hyperlink">
    <w:name w:val="Hyperlink"/>
    <w:basedOn w:val="DefaultParagraphFont"/>
    <w:uiPriority w:val="99"/>
    <w:unhideWhenUsed/>
    <w:rsid w:val="00E63AC8"/>
    <w:rPr>
      <w:color w:val="0000FF"/>
      <w:u w:val="single"/>
    </w:rPr>
  </w:style>
  <w:style w:type="character" w:styleId="UnresolvedMention">
    <w:name w:val="Unresolved Mention"/>
    <w:basedOn w:val="DefaultParagraphFont"/>
    <w:uiPriority w:val="99"/>
    <w:semiHidden/>
    <w:unhideWhenUsed/>
    <w:rsid w:val="00E63AC8"/>
    <w:rPr>
      <w:color w:val="605E5C"/>
      <w:shd w:val="clear" w:color="auto" w:fill="E1DFDD"/>
    </w:rPr>
  </w:style>
  <w:style w:type="paragraph" w:styleId="NormalWeb">
    <w:name w:val="Normal (Web)"/>
    <w:basedOn w:val="Normal"/>
    <w:uiPriority w:val="99"/>
    <w:semiHidden/>
    <w:unhideWhenUsed/>
    <w:rsid w:val="003B3AE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8186">
      <w:bodyDiv w:val="1"/>
      <w:marLeft w:val="0"/>
      <w:marRight w:val="0"/>
      <w:marTop w:val="0"/>
      <w:marBottom w:val="0"/>
      <w:divBdr>
        <w:top w:val="none" w:sz="0" w:space="0" w:color="auto"/>
        <w:left w:val="none" w:sz="0" w:space="0" w:color="auto"/>
        <w:bottom w:val="none" w:sz="0" w:space="0" w:color="auto"/>
        <w:right w:val="none" w:sz="0" w:space="0" w:color="auto"/>
      </w:divBdr>
      <w:divsChild>
        <w:div w:id="128086574">
          <w:marLeft w:val="0"/>
          <w:marRight w:val="0"/>
          <w:marTop w:val="0"/>
          <w:marBottom w:val="0"/>
          <w:divBdr>
            <w:top w:val="none" w:sz="0" w:space="0" w:color="auto"/>
            <w:left w:val="none" w:sz="0" w:space="0" w:color="auto"/>
            <w:bottom w:val="none" w:sz="0" w:space="0" w:color="auto"/>
            <w:right w:val="none" w:sz="0" w:space="0" w:color="auto"/>
          </w:divBdr>
          <w:divsChild>
            <w:div w:id="418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chem.2023.1379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plants1223398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603F-86DD-458F-91B1-06D7DCD3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9988</Words>
  <Characters>56936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24</cp:revision>
  <dcterms:created xsi:type="dcterms:W3CDTF">2013-12-23T23:15:00Z</dcterms:created>
  <dcterms:modified xsi:type="dcterms:W3CDTF">2026-03-31T11:58:00Z</dcterms:modified>
  <cp:category/>
</cp:coreProperties>
</file>