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2A81A" w14:textId="77777777" w:rsidR="00DB1D50" w:rsidRDefault="00DB1D50"/>
    <w:p w14:paraId="69C7E2DB" w14:textId="7E77740E" w:rsidR="00DB1D50" w:rsidRDefault="000E558F">
      <w:pPr>
        <w:spacing w:before="720" w:after="240"/>
        <w:jc w:val="center"/>
      </w:pPr>
      <w:r>
        <w:rPr>
          <w:rFonts w:ascii="Arial" w:eastAsia="Arial" w:hAnsi="Arial" w:cs="Arial"/>
          <w:b/>
          <w:bCs/>
          <w:sz w:val="32"/>
          <w:szCs w:val="32"/>
        </w:rPr>
        <w:t>The Hidden Microbial and Mycorrhizal Workforce: Shaping Crop Resilience, Nutrient Dynamics</w:t>
      </w:r>
      <w:r w:rsidR="00801911">
        <w:rPr>
          <w:rFonts w:ascii="Arial" w:eastAsia="Arial" w:hAnsi="Arial" w:cs="Arial"/>
          <w:b/>
          <w:bCs/>
          <w:sz w:val="32"/>
          <w:szCs w:val="32"/>
        </w:rPr>
        <w:t xml:space="preserve"> </w:t>
      </w:r>
      <w:r>
        <w:rPr>
          <w:rFonts w:ascii="Arial" w:eastAsia="Arial" w:hAnsi="Arial" w:cs="Arial"/>
          <w:b/>
          <w:bCs/>
          <w:sz w:val="32"/>
          <w:szCs w:val="32"/>
        </w:rPr>
        <w:t>and Agroecosystem Sustainability</w:t>
      </w:r>
    </w:p>
    <w:p w14:paraId="3456DD9A" w14:textId="77777777" w:rsidR="00DB1D50" w:rsidRDefault="00DB1D50"/>
    <w:p w14:paraId="038021F5" w14:textId="77777777" w:rsidR="00DB1D50" w:rsidRDefault="00DB1D50"/>
    <w:p w14:paraId="65A372A4" w14:textId="77777777" w:rsidR="00DB1D50" w:rsidRDefault="000E558F">
      <w:pPr>
        <w:pStyle w:val="Heading1"/>
        <w:spacing w:before="320" w:after="160"/>
      </w:pPr>
      <w:r>
        <w:t>Abstract</w:t>
      </w:r>
    </w:p>
    <w:p w14:paraId="4A71F816" w14:textId="77777777" w:rsidR="00DB1D50" w:rsidRDefault="000E558F">
      <w:pPr>
        <w:spacing w:after="160" w:line="360" w:lineRule="auto"/>
        <w:jc w:val="both"/>
      </w:pPr>
      <w:r>
        <w:t xml:space="preserve">The soil beneath agricultural fields </w:t>
      </w:r>
      <w:proofErr w:type="spellStart"/>
      <w:r>
        <w:t>harbours</w:t>
      </w:r>
      <w:proofErr w:type="spellEnd"/>
      <w:r>
        <w:t xml:space="preserve"> an extraordinary diversity of microbial life that constitutes a largely invisible yet profoundly influential workforce governing agroecosystem functioning. Bacteria, archaea, fungi, and their complex mycorrhizal networks collectively mediate nutrient cycling, organic matter decomposition, plant hormone production, pathogen suppression, and stress alleviation—processes that underpin crop productivity and long-term ecological sustainability. Despite decades of investigation, our understanding of how these communities are assembled, how they interact, and how agricultural management practices modulate their composition and function remains incomplete. This review </w:t>
      </w:r>
      <w:proofErr w:type="spellStart"/>
      <w:r>
        <w:t>synthesises</w:t>
      </w:r>
      <w:proofErr w:type="spellEnd"/>
      <w:r>
        <w:t xml:space="preserve"> current knowledge on the structural and functional dimensions of the soil microbiome and mycorrhizal networks in agricultural contexts, with particular emphasis on mechanisms by which these biological agents enhance crop resilience to biotic and abiotic stresses, mediate critical nutrient transformations, and contribute to the sustainability of agroecosystems. Key findings highlight that mycorrhizal fungi—especially arbuscular mycorrhizal fungi—extend plant root architecture, facilitate phosphorus and micronutrient acquisition, and strengthen plant </w:t>
      </w:r>
      <w:proofErr w:type="spellStart"/>
      <w:r>
        <w:t>defences</w:t>
      </w:r>
      <w:proofErr w:type="spellEnd"/>
      <w:r>
        <w:t xml:space="preserve"> through systemic </w:t>
      </w:r>
      <w:proofErr w:type="spellStart"/>
      <w:r>
        <w:t>signalling</w:t>
      </w:r>
      <w:proofErr w:type="spellEnd"/>
      <w:r>
        <w:t xml:space="preserve"> pathways. Rhizobacteria possessing plant growth-promoting traits, including nitrogen fixation, phosphate </w:t>
      </w:r>
      <w:proofErr w:type="spellStart"/>
      <w:r>
        <w:t>solubilisation</w:t>
      </w:r>
      <w:proofErr w:type="spellEnd"/>
      <w:r>
        <w:t xml:space="preserve">, phytohormone production, and ACC deaminase activity, substantially improve crop performance under stress conditions. The emerging consensus indicates that agricultural intensification, agrochemical dependency, and tillage disruption critically impair microbial diversity and network complexity, with cascading consequences for ecosystem services. Conversely, organic farming, reduced tillage, and targeted bioinoculant applications demonstrably restore and enhance microbial community richness and functionality. The integration of microbiome science into precision agriculture and sustainable crop management strategies thus represents a compelling frontier for twenty-first-century food </w:t>
      </w:r>
      <w:r>
        <w:lastRenderedPageBreak/>
        <w:t>systems. Future research must address the challenges of translating microbiome knowledge into reliable field-scale interventions whilst accounting for edaphic variability and climate change pressures.</w:t>
      </w:r>
    </w:p>
    <w:p w14:paraId="11473D29" w14:textId="77777777" w:rsidR="00DB1D50" w:rsidRDefault="00DB1D50"/>
    <w:p w14:paraId="75020736" w14:textId="4CD91ACB" w:rsidR="00DB1D50" w:rsidRDefault="000E558F">
      <w:pPr>
        <w:spacing w:before="80" w:after="160" w:line="360" w:lineRule="auto"/>
        <w:jc w:val="both"/>
      </w:pPr>
      <w:r w:rsidRPr="00DF1457">
        <w:rPr>
          <w:b/>
          <w:bCs/>
          <w:highlight w:val="yellow"/>
        </w:rPr>
        <w:t>Keywords:</w:t>
      </w:r>
      <w:r w:rsidRPr="00DF1457">
        <w:rPr>
          <w:highlight w:val="yellow"/>
        </w:rPr>
        <w:t xml:space="preserve"> </w:t>
      </w:r>
      <w:r w:rsidR="00DF1457">
        <w:rPr>
          <w:highlight w:val="yellow"/>
        </w:rPr>
        <w:t>S</w:t>
      </w:r>
      <w:r w:rsidRPr="00DF1457">
        <w:rPr>
          <w:highlight w:val="yellow"/>
        </w:rPr>
        <w:t>oil microbiome; mycorrhizal fungi; plant growth-promoting rhizobacteria; nutrient cycling agroecosystem sustainability; bioinoculants; biological nitrogen fixation</w:t>
      </w:r>
    </w:p>
    <w:p w14:paraId="69DBA118" w14:textId="77777777" w:rsidR="00DB1D50" w:rsidRDefault="00DB1D50"/>
    <w:p w14:paraId="29C006F0" w14:textId="77777777" w:rsidR="00DB1D50" w:rsidRDefault="000E558F">
      <w:pPr>
        <w:pStyle w:val="Heading1"/>
        <w:spacing w:before="320" w:after="160"/>
      </w:pPr>
      <w:r>
        <w:t>1. Introduction</w:t>
      </w:r>
    </w:p>
    <w:p w14:paraId="46D6EA45" w14:textId="32CD875A" w:rsidR="00DB1D50" w:rsidRDefault="0043276B">
      <w:pPr>
        <w:spacing w:after="160" w:line="360" w:lineRule="auto"/>
        <w:jc w:val="both"/>
      </w:pPr>
      <w:r w:rsidRPr="00700A2A">
        <w:rPr>
          <w:rFonts w:ascii="Arial" w:hAnsi="Arial" w:cs="Arial"/>
          <w:color w:val="222222"/>
          <w:sz w:val="20"/>
          <w:szCs w:val="20"/>
          <w:highlight w:val="yellow"/>
          <w:shd w:val="clear" w:color="auto" w:fill="FFFFFF"/>
        </w:rPr>
        <w:t>Against the backdrop of global climate change and environmental degradation, agricultural production confronts a myriad of challenges. Extreme weather conditions such as high temperatures, salinization, drought, and environmental pollution profoundly impact soil health and crop vitality. Elevated temperatures can induce heat stress in plants, disrupting their physiological metabolism and photosynthesis, consequently diminishing growth rates and yields</w:t>
      </w:r>
      <w:r>
        <w:rPr>
          <w:rFonts w:ascii="Arial" w:hAnsi="Arial" w:cs="Arial"/>
          <w:color w:val="222222"/>
          <w:sz w:val="20"/>
          <w:szCs w:val="20"/>
          <w:highlight w:val="yellow"/>
          <w:shd w:val="clear" w:color="auto" w:fill="FFFFFF"/>
        </w:rPr>
        <w:t xml:space="preserve"> (</w:t>
      </w:r>
      <w:proofErr w:type="spellStart"/>
      <w:r w:rsidRPr="00C60F40">
        <w:rPr>
          <w:rFonts w:ascii="inherit" w:hAnsi="inherit" w:cs="Helvetica"/>
          <w:color w:val="222222"/>
          <w:sz w:val="22"/>
          <w:szCs w:val="18"/>
          <w:highlight w:val="yellow"/>
        </w:rPr>
        <w:t>Nie</w:t>
      </w:r>
      <w:proofErr w:type="spellEnd"/>
      <w:r>
        <w:rPr>
          <w:rFonts w:ascii="inherit" w:hAnsi="inherit" w:cs="Helvetica"/>
          <w:color w:val="222222"/>
          <w:sz w:val="22"/>
          <w:szCs w:val="18"/>
          <w:highlight w:val="yellow"/>
        </w:rPr>
        <w:t xml:space="preserve"> et al., 2024</w:t>
      </w:r>
      <w:r>
        <w:rPr>
          <w:rFonts w:ascii="Arial" w:hAnsi="Arial" w:cs="Arial"/>
          <w:color w:val="222222"/>
          <w:sz w:val="20"/>
          <w:szCs w:val="20"/>
          <w:highlight w:val="yellow"/>
          <w:shd w:val="clear" w:color="auto" w:fill="FFFFFF"/>
        </w:rPr>
        <w:t>)</w:t>
      </w:r>
      <w:r w:rsidRPr="00700A2A">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0E558F">
        <w:t>The soil ecosystem is among the most biologically complex environments on Earth, hosting an estimated 10⁸ to 10⁹ microbial cells per gram of soil and a diversity that surpasses that found in most aboveground habitats (</w:t>
      </w:r>
      <w:proofErr w:type="spellStart"/>
      <w:r w:rsidR="000E558F">
        <w:t>Fierer</w:t>
      </w:r>
      <w:proofErr w:type="spellEnd"/>
      <w:r w:rsidR="000E558F">
        <w:t>, 2017). Within this belowground biosphere, bacteria, archaea, fungi, protists, and viruses form intricate webs of interaction that collectively govern the biogeochemical cycles underpinning terrestrial productivity. In agricultural contexts, this hidden microbial workforce performs ecosystem services of immeasurable economic and ecological value: decomposing organic matter to release plant-available nutrients, fixing atmospheric nitrogen into biologically accessible forms, suppressing soilborne pathogens, producing plant growth regulators, and forming symbiotic associations that dramatically extend plant nutrient uptake capacity. The scale and sophistication of these services place soil microorganisms at the very foundation of sustainable food production.</w:t>
      </w:r>
      <w:r w:rsidR="00A8598B">
        <w:t xml:space="preserve"> </w:t>
      </w:r>
      <w:proofErr w:type="gramStart"/>
      <w:r w:rsidR="00A8598B" w:rsidRPr="00700A2A">
        <w:rPr>
          <w:rFonts w:ascii="Arial" w:hAnsi="Arial" w:cs="Arial"/>
          <w:szCs w:val="25"/>
          <w:highlight w:val="yellow"/>
          <w:shd w:val="clear" w:color="auto" w:fill="FFFFFF"/>
        </w:rPr>
        <w:t>Agriculture  is</w:t>
      </w:r>
      <w:proofErr w:type="gramEnd"/>
      <w:r w:rsidR="00A8598B" w:rsidRPr="00700A2A">
        <w:rPr>
          <w:rFonts w:ascii="Arial" w:hAnsi="Arial" w:cs="Arial"/>
          <w:szCs w:val="25"/>
          <w:highlight w:val="yellow"/>
          <w:shd w:val="clear" w:color="auto" w:fill="FFFFFF"/>
        </w:rPr>
        <w:t xml:space="preserve">  facing  and  will  continue  to  face  strong impacts from the influence of climate variability. An earlier report by the has reported with high confidence the   negative   impacts   of   climate   change   on   cultivated ecosystems.  </w:t>
      </w:r>
      <w:proofErr w:type="gramStart"/>
      <w:r w:rsidR="00A8598B" w:rsidRPr="00700A2A">
        <w:rPr>
          <w:rFonts w:ascii="Arial" w:hAnsi="Arial" w:cs="Arial"/>
          <w:szCs w:val="25"/>
          <w:highlight w:val="yellow"/>
          <w:shd w:val="clear" w:color="auto" w:fill="FFFFFF"/>
        </w:rPr>
        <w:t>This  could</w:t>
      </w:r>
      <w:proofErr w:type="gramEnd"/>
      <w:r w:rsidR="00A8598B" w:rsidRPr="00700A2A">
        <w:rPr>
          <w:rFonts w:ascii="Arial" w:hAnsi="Arial" w:cs="Arial"/>
          <w:szCs w:val="25"/>
          <w:highlight w:val="yellow"/>
          <w:shd w:val="clear" w:color="auto" w:fill="FFFFFF"/>
        </w:rPr>
        <w:t xml:space="preserve">  </w:t>
      </w:r>
      <w:proofErr w:type="spellStart"/>
      <w:r w:rsidR="00A8598B" w:rsidRPr="00700A2A">
        <w:rPr>
          <w:rFonts w:ascii="Arial" w:hAnsi="Arial" w:cs="Arial"/>
          <w:szCs w:val="25"/>
          <w:highlight w:val="yellow"/>
          <w:shd w:val="clear" w:color="auto" w:fill="FFFFFF"/>
        </w:rPr>
        <w:t>bea</w:t>
      </w:r>
      <w:proofErr w:type="spellEnd"/>
      <w:r w:rsidR="00A8598B" w:rsidRPr="00700A2A">
        <w:rPr>
          <w:rFonts w:ascii="Arial" w:hAnsi="Arial" w:cs="Arial"/>
          <w:szCs w:val="25"/>
          <w:highlight w:val="yellow"/>
          <w:shd w:val="clear" w:color="auto" w:fill="FFFFFF"/>
        </w:rPr>
        <w:t xml:space="preserve">  developing  threat  to  the  food security   of   the   globe.   The   population   of   the   world   is exponentially    </w:t>
      </w:r>
      <w:proofErr w:type="gramStart"/>
      <w:r w:rsidR="00A8598B" w:rsidRPr="00700A2A">
        <w:rPr>
          <w:rFonts w:ascii="Arial" w:hAnsi="Arial" w:cs="Arial"/>
          <w:szCs w:val="25"/>
          <w:highlight w:val="yellow"/>
          <w:shd w:val="clear" w:color="auto" w:fill="FFFFFF"/>
        </w:rPr>
        <w:t xml:space="preserve">increasing,   </w:t>
      </w:r>
      <w:proofErr w:type="gramEnd"/>
      <w:r w:rsidR="00A8598B" w:rsidRP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great threat not only to the human population, but to all communities depending on the agricultural sector</w:t>
      </w:r>
      <w:r w:rsidR="00C744ED">
        <w:rPr>
          <w:rFonts w:ascii="Arial" w:hAnsi="Arial" w:cs="Arial"/>
          <w:szCs w:val="25"/>
          <w:highlight w:val="yellow"/>
          <w:shd w:val="clear" w:color="auto" w:fill="FFFFFF"/>
        </w:rPr>
        <w:t xml:space="preserve"> (</w:t>
      </w:r>
      <w:proofErr w:type="spellStart"/>
      <w:r w:rsidR="00C744ED" w:rsidRPr="00C60F40">
        <w:rPr>
          <w:rFonts w:ascii="Arial" w:hAnsi="Arial" w:cs="Arial"/>
          <w:color w:val="222222"/>
          <w:sz w:val="20"/>
          <w:szCs w:val="20"/>
          <w:highlight w:val="yellow"/>
          <w:shd w:val="clear" w:color="auto" w:fill="FFFFFF"/>
        </w:rPr>
        <w:t>Iddrisu</w:t>
      </w:r>
      <w:proofErr w:type="spellEnd"/>
      <w:r w:rsidR="00C744ED" w:rsidRPr="00C60F40">
        <w:rPr>
          <w:rFonts w:ascii="Arial" w:hAnsi="Arial" w:cs="Arial"/>
          <w:color w:val="222222"/>
          <w:sz w:val="20"/>
          <w:szCs w:val="20"/>
          <w:highlight w:val="yellow"/>
          <w:shd w:val="clear" w:color="auto" w:fill="FFFFFF"/>
        </w:rPr>
        <w:t xml:space="preserve"> &amp; </w:t>
      </w:r>
      <w:proofErr w:type="spellStart"/>
      <w:r w:rsidR="00C744ED" w:rsidRPr="00C60F40">
        <w:rPr>
          <w:rFonts w:ascii="Arial" w:hAnsi="Arial" w:cs="Arial"/>
          <w:color w:val="222222"/>
          <w:sz w:val="20"/>
          <w:szCs w:val="20"/>
          <w:highlight w:val="yellow"/>
          <w:shd w:val="clear" w:color="auto" w:fill="FFFFFF"/>
        </w:rPr>
        <w:t>Özgen</w:t>
      </w:r>
      <w:proofErr w:type="spellEnd"/>
      <w:r w:rsidR="00C744ED" w:rsidRPr="00C60F40">
        <w:rPr>
          <w:rFonts w:ascii="Arial" w:hAnsi="Arial" w:cs="Arial"/>
          <w:color w:val="222222"/>
          <w:sz w:val="20"/>
          <w:szCs w:val="20"/>
          <w:highlight w:val="yellow"/>
          <w:shd w:val="clear" w:color="auto" w:fill="FFFFFF"/>
        </w:rPr>
        <w:t>, 2026</w:t>
      </w:r>
      <w:r w:rsidR="00C744ED">
        <w:rPr>
          <w:rFonts w:ascii="Arial" w:hAnsi="Arial" w:cs="Arial"/>
          <w:szCs w:val="25"/>
          <w:highlight w:val="yellow"/>
          <w:shd w:val="clear" w:color="auto" w:fill="FFFFFF"/>
        </w:rPr>
        <w:t>)</w:t>
      </w:r>
      <w:r w:rsidR="00A8598B" w:rsidRPr="00700A2A">
        <w:rPr>
          <w:rFonts w:ascii="Arial" w:hAnsi="Arial" w:cs="Arial"/>
          <w:szCs w:val="25"/>
          <w:highlight w:val="yellow"/>
          <w:shd w:val="clear" w:color="auto" w:fill="FFFFFF"/>
        </w:rPr>
        <w:t>.</w:t>
      </w:r>
    </w:p>
    <w:p w14:paraId="3DE6450A" w14:textId="7888D3C3" w:rsidR="00DB1D50" w:rsidRDefault="000E558F">
      <w:pPr>
        <w:spacing w:after="160" w:line="360" w:lineRule="auto"/>
        <w:jc w:val="both"/>
      </w:pPr>
      <w:r>
        <w:lastRenderedPageBreak/>
        <w:t xml:space="preserve">Among the most ecologically consequential </w:t>
      </w:r>
      <w:r w:rsidRPr="00257E22">
        <w:rPr>
          <w:highlight w:val="yellow"/>
        </w:rPr>
        <w:t xml:space="preserve">members of </w:t>
      </w:r>
      <w:r w:rsidR="00257E22" w:rsidRPr="00257E22">
        <w:rPr>
          <w:highlight w:val="yellow"/>
        </w:rPr>
        <w:t>these</w:t>
      </w:r>
      <w:r w:rsidRPr="00257E22">
        <w:rPr>
          <w:highlight w:val="yellow"/>
        </w:rPr>
        <w:t xml:space="preserve"> belowground</w:t>
      </w:r>
      <w:r>
        <w:t xml:space="preserve"> community are the mycorrhizal fungi, which form intimate symbiotic associations with the roots of the vast majority of terrestrial plant species, including most major agricultural crops. These fungi extend hyphal networks far beyond the depletion zones surrounding plant roots, accessing nutrients and water that would otherwise remain beyond the reach of unaided root systems. Mycorrhizal networks create structural and chemical linkages between individual plants within a community (</w:t>
      </w:r>
      <w:proofErr w:type="spellStart"/>
      <w:r>
        <w:t>Rillig</w:t>
      </w:r>
      <w:proofErr w:type="spellEnd"/>
      <w:r>
        <w:t xml:space="preserve"> &amp; </w:t>
      </w:r>
      <w:proofErr w:type="spellStart"/>
      <w:r>
        <w:t>Mummey</w:t>
      </w:r>
      <w:proofErr w:type="spellEnd"/>
      <w:r>
        <w:t>, 2006). In agroecosystems, where human management decisions constantly reshape the physical, chemical, and biological properties of the soil environment, maintaining functional mycorrhizal networks is of paramount importance for sustaining crop yield and ecological integrity.</w:t>
      </w:r>
    </w:p>
    <w:p w14:paraId="37BBC999" w14:textId="224B7615" w:rsidR="00F50F91" w:rsidRDefault="00F50F91" w:rsidP="00700A2A">
      <w:pPr>
        <w:pStyle w:val="NormalWeb"/>
        <w:jc w:val="both"/>
      </w:pPr>
      <w:r w:rsidRPr="00700A2A">
        <w:rPr>
          <w:highlight w:val="yellow"/>
        </w:rPr>
        <w:t>The rhizosphere, defined as the narrow region of soil directly surrounding and influenced by plant roots, constitutes a highly dynamic and interactive interface between plants and their associated microbial communities (</w:t>
      </w:r>
      <w:proofErr w:type="spellStart"/>
      <w:r w:rsidRPr="00700A2A">
        <w:rPr>
          <w:highlight w:val="yellow"/>
        </w:rPr>
        <w:t>Philippot</w:t>
      </w:r>
      <w:proofErr w:type="spellEnd"/>
      <w:r w:rsidRPr="00700A2A">
        <w:rPr>
          <w:highlight w:val="yellow"/>
        </w:rPr>
        <w:t xml:space="preserve"> et al., 2013). This zone is </w:t>
      </w:r>
      <w:proofErr w:type="spellStart"/>
      <w:r w:rsidRPr="00700A2A">
        <w:rPr>
          <w:highlight w:val="yellow"/>
        </w:rPr>
        <w:t>characterised</w:t>
      </w:r>
      <w:proofErr w:type="spellEnd"/>
      <w:r w:rsidRPr="00700A2A">
        <w:rPr>
          <w:highlight w:val="yellow"/>
        </w:rPr>
        <w:t xml:space="preserve"> by intense biological and biochemical activity, driven largely by root exudates that provide a diverse array of organic compounds serving as substrates for microbial growth. Consequently, the rhizosphere supports a complex and diverse microbiome that plays a critical role in nutrient cycling, organic matter decomposition, and the suppression of soil-borne pathogens. Moreover, the interactions occurring within the rhizosphere are fundamental to plant health and productivity, as beneficial microorganisms can enhance nutrient availability, stimulate plant growth through the production of phytohormones, and improve plant resilience to abiotic and biotic stresses. Thus, the rhizosphere functions as a crucial microenvironment where plant–microbe interactions significantly influence soil fertility and overall ecosystem functioning.</w:t>
      </w:r>
    </w:p>
    <w:p w14:paraId="45F360A8" w14:textId="7EF19F16" w:rsidR="00DB1D50" w:rsidRDefault="000E558F">
      <w:pPr>
        <w:spacing w:after="160" w:line="360" w:lineRule="auto"/>
        <w:jc w:val="both"/>
      </w:pPr>
      <w:r>
        <w:t xml:space="preserve">Root exudates rich in sugars, amino acids, organic acids, and secondary metabolites selectively recruit specific microbial taxa from the bulk soil, creating a rhizosphere microbiome whose composition reflects both plant genotype and environmental conditions. This selective enrichment of beneficial microorganisms, sometimes called the 'cry for help' response under stress conditions, exemplifies the degree to which plants actively shape their microbial environment to serve their own physiological needs (Berendsen et al., 2012). The rhizosphere microbiome, in turn, influences plant nutrition, growth, </w:t>
      </w:r>
      <w:proofErr w:type="spellStart"/>
      <w:r>
        <w:t>defence</w:t>
      </w:r>
      <w:proofErr w:type="spellEnd"/>
      <w:r>
        <w:t>, and stress tolerance through a multiplicity of mechanisms that are progressively being elucidated by modern molecular and meta-omics approaches.</w:t>
      </w:r>
    </w:p>
    <w:p w14:paraId="24CFE693" w14:textId="77777777" w:rsidR="00DB1D50" w:rsidRDefault="000E558F">
      <w:pPr>
        <w:spacing w:after="160" w:line="360" w:lineRule="auto"/>
        <w:jc w:val="both"/>
      </w:pPr>
      <w:r>
        <w:t xml:space="preserve">Global food security faces formidable challenges in the coming decades. The world population is projected to approach ten billion by mid-century, whilst climate change intensifies drought, heat, salinity, and flooding events across major agricultural regions. According to the Food and Agriculture </w:t>
      </w:r>
      <w:proofErr w:type="spellStart"/>
      <w:r>
        <w:t>Organisation</w:t>
      </w:r>
      <w:proofErr w:type="spellEnd"/>
      <w:r>
        <w:t xml:space="preserve"> of the United Nations, a significant proportion of the world's soils are already degraded, </w:t>
      </w:r>
      <w:r>
        <w:lastRenderedPageBreak/>
        <w:t xml:space="preserve">with erosion, compaction, </w:t>
      </w:r>
      <w:proofErr w:type="spellStart"/>
      <w:r>
        <w:t>salinisation</w:t>
      </w:r>
      <w:proofErr w:type="spellEnd"/>
      <w:r>
        <w:t xml:space="preserve">, and loss of organic matter undermining productive capacity on a global scale (FAO, 2022). The conventional agricultural model, </w:t>
      </w:r>
      <w:proofErr w:type="spellStart"/>
      <w:r>
        <w:t>characterised</w:t>
      </w:r>
      <w:proofErr w:type="spellEnd"/>
      <w:r>
        <w:t xml:space="preserve"> by synthetic </w:t>
      </w:r>
      <w:proofErr w:type="spellStart"/>
      <w:r>
        <w:t>fertiliser</w:t>
      </w:r>
      <w:proofErr w:type="spellEnd"/>
      <w:r>
        <w:t xml:space="preserve"> dependency, intensive tillage, and broad-spectrum pesticide application, has demonstrably undermined soil biological diversity, eroded ecosystem service provision, and created an agricultural system ill-suited to the uncertainties of a changing climate (Hartmann et al., 2015; Banerjee et al., 2019).</w:t>
      </w:r>
    </w:p>
    <w:p w14:paraId="56CD4B33" w14:textId="77777777" w:rsidR="00DB1D50" w:rsidRDefault="000E558F">
      <w:pPr>
        <w:spacing w:after="160" w:line="360" w:lineRule="auto"/>
        <w:jc w:val="both"/>
      </w:pPr>
      <w:r>
        <w:t>Against this backdrop, the microbial and mycorrhizal components of agroecosystems have attracted increasing scientific and policy attention as agents of ecological restoration and sustainable productivity enhancement. The concept of harnessing the soil microbiome—through management practices, bioinoculant technologies, and ecological engineering—offers a biologically grounded alternative to purely chemical approaches to crop nutrition and protection. Understanding the mechanisms by which microbial and mycorrhizal communities shape nutrient dynamics, build crop resilience, and sustain agroecosystem function is thus a scientific priority of first-order importance.</w:t>
      </w:r>
    </w:p>
    <w:p w14:paraId="1CCACD67" w14:textId="77777777" w:rsidR="00DB1D50" w:rsidRDefault="000E558F">
      <w:pPr>
        <w:spacing w:after="160" w:line="360" w:lineRule="auto"/>
        <w:jc w:val="both"/>
      </w:pPr>
      <w:r>
        <w:t>This review explores the multifaceted roles of soil microbial communities and mycorrhizal networks in agroecosystem functioning, examining the mechanistic basis of their contributions to nutrient cycling, stress tolerance, pathogen suppression, and soil organic matter dynamics. It also addresses the impacts of agricultural management on these communities and the prospects for leveraging microbiome science in the development of more sustainable farming systems.</w:t>
      </w:r>
    </w:p>
    <w:p w14:paraId="2B36B525" w14:textId="77777777" w:rsidR="00DB1D50" w:rsidRDefault="000E558F">
      <w:pPr>
        <w:pStyle w:val="Heading2"/>
      </w:pPr>
      <w:r>
        <w:t>1.1 Scope and Objectives</w:t>
      </w:r>
    </w:p>
    <w:p w14:paraId="6CD02647" w14:textId="77777777" w:rsidR="00DB1D50" w:rsidRDefault="000E558F">
      <w:pPr>
        <w:spacing w:after="160" w:line="360" w:lineRule="auto"/>
        <w:jc w:val="both"/>
      </w:pPr>
      <w:r>
        <w:t xml:space="preserve">The primary objective of this review is to provide a comprehensive, mechanistically grounded synthesis of current understanding regarding the roles of soil microorganisms and mycorrhizal fungi in shaping crop resilience, mediating nutrient dynamics, and sustaining agroecosystem productivity. The review specifically examines the functional ecology of rhizosphere bacteria and mycorrhizal networks, the </w:t>
      </w:r>
      <w:proofErr w:type="spellStart"/>
      <w:r>
        <w:t>signalling</w:t>
      </w:r>
      <w:proofErr w:type="spellEnd"/>
      <w:r>
        <w:t xml:space="preserve"> pathways underlying mutualistic plant–microbe associations, the nutrient cycling processes mediated by these biological agents, and the mechanisms through which they confer tolerance to abiotic and biotic stresses. The review further evaluates the impacts of contrasting agricultural management strategies on soil microbial diversity and function, and assesses the current state and future potential of microbial biotechnologies for sustainable crop production. The scope is intentionally broad and integrative, reflecting the cross-disciplinary nature of the subject matter and </w:t>
      </w:r>
      <w:r>
        <w:lastRenderedPageBreak/>
        <w:t xml:space="preserve">the need to </w:t>
      </w:r>
      <w:proofErr w:type="spellStart"/>
      <w:r>
        <w:t>synthesise</w:t>
      </w:r>
      <w:proofErr w:type="spellEnd"/>
      <w:r>
        <w:t xml:space="preserve"> findings from soil ecology, plant physiology, microbial biochemistry, and agronomy into a coherent and actionable framework for researchers and practitioners.</w:t>
      </w:r>
    </w:p>
    <w:p w14:paraId="085969D5" w14:textId="77777777" w:rsidR="00DB1D50" w:rsidRDefault="00DB1D50"/>
    <w:p w14:paraId="693DC38E" w14:textId="77777777" w:rsidR="00DB1D50" w:rsidRDefault="000E558F">
      <w:pPr>
        <w:pStyle w:val="Heading1"/>
        <w:spacing w:before="320" w:after="160"/>
      </w:pPr>
      <w:r>
        <w:t>2. Methods for Literature Selection</w:t>
      </w:r>
    </w:p>
    <w:p w14:paraId="0183FAC0" w14:textId="77777777" w:rsidR="00DB1D50" w:rsidRDefault="000E558F">
      <w:pPr>
        <w:spacing w:after="160" w:line="360" w:lineRule="auto"/>
        <w:jc w:val="both"/>
      </w:pPr>
      <w:r>
        <w:t xml:space="preserve">This article is presented as a narrative review, a format chosen deliberately in preference to a systematic review owing to the breadth and interdisciplinary nature of the subject matter. A systematic review typically addresses a narrow, well-defined empirical question with a rigidly specified protocol for inclusion, exclusion, and quantitative synthesis. The topic of microbial and mycorrhizal workforce functions in agroecosystems spans multiple disciplines—soil microbial ecology, plant physiology, agronomy, biochemistry, and sustainability science—and the relevant literature is </w:t>
      </w:r>
      <w:proofErr w:type="spellStart"/>
      <w:r>
        <w:t>characterised</w:t>
      </w:r>
      <w:proofErr w:type="spellEnd"/>
      <w:r>
        <w:t xml:space="preserve"> by methodological heterogeneity, diverse experimental scales, and conceptual plurality that would render formal meta-analytic synthesis incomplete or misleading. A narrative review approach therefore permits a more nuanced, integrative, and contextually sensitive synthesis of current knowledge whilst accommodating the breadth of mechanistic and applied perspectives that the topic demands.</w:t>
      </w:r>
    </w:p>
    <w:p w14:paraId="3F375B43" w14:textId="77777777" w:rsidR="00DB1D50" w:rsidRDefault="000E558F">
      <w:pPr>
        <w:spacing w:after="160" w:line="360" w:lineRule="auto"/>
        <w:jc w:val="both"/>
      </w:pPr>
      <w:r>
        <w:t xml:space="preserve">The literature was identified through searches of the Web of Science, Scopus, PubMed, and Google Scholar databases. Search terms employed included combinations of the following: 'soil microbiome', 'rhizosphere microbiome', 'mycorrhizal fungi', 'arbuscular mycorrhiza', 'plant growth-promoting rhizobacteria', 'nutrient cycling', 'crop resilience', 'biological nitrogen fixation', 'phosphate </w:t>
      </w:r>
      <w:proofErr w:type="spellStart"/>
      <w:r>
        <w:t>solubilisation</w:t>
      </w:r>
      <w:proofErr w:type="spellEnd"/>
      <w:r>
        <w:t xml:space="preserve">', 'agroecosystem sustainability', 'microbial diversity', 'bioinoculants', 'induced systemic resistance', 'soil organic matter', and 'belowground biodiversity'. The date range for targeted searches was set at 2000 to 2026, with a particular emphasis on publications from 2010 onwards to reflect the rapid advances in molecular and meta-omics methodologies that have transformed soil microbiome research. Classic references predating 2000 were included where they represented foundational contributions to the field that continue to shape contemporary understanding. Inclusion criteria specified peer-reviewed articles published in reputed academic journals, as well as reports from </w:t>
      </w:r>
      <w:proofErr w:type="spellStart"/>
      <w:r>
        <w:t>recognised</w:t>
      </w:r>
      <w:proofErr w:type="spellEnd"/>
      <w:r>
        <w:t xml:space="preserve"> international </w:t>
      </w:r>
      <w:proofErr w:type="spellStart"/>
      <w:r>
        <w:t>organisations</w:t>
      </w:r>
      <w:proofErr w:type="spellEnd"/>
      <w:r>
        <w:t>. Conference proceedings, theses, grey literature, and textbooks were excluded. Where multiple sources reported similar findings, the most recent, most comprehensive, or most methodologically rigorous study was preferentially cited.</w:t>
      </w:r>
    </w:p>
    <w:p w14:paraId="49B4E611" w14:textId="77777777" w:rsidR="00DB1D50" w:rsidRDefault="00DB1D50"/>
    <w:p w14:paraId="3BEAFF7B" w14:textId="77777777" w:rsidR="00DB1D50" w:rsidRDefault="000E558F">
      <w:pPr>
        <w:pStyle w:val="Heading1"/>
        <w:spacing w:before="320" w:after="160"/>
      </w:pPr>
      <w:r>
        <w:lastRenderedPageBreak/>
        <w:t>3. The Soil Microbiome: Composition, Diversity, and Functional Attributes</w:t>
      </w:r>
    </w:p>
    <w:p w14:paraId="4157DB57" w14:textId="77777777" w:rsidR="00DB1D50" w:rsidRDefault="000E558F">
      <w:pPr>
        <w:pStyle w:val="Heading2"/>
      </w:pPr>
      <w:r>
        <w:t>3.1 Structural Diversity of Soil Microbial Communities</w:t>
      </w:r>
    </w:p>
    <w:p w14:paraId="62866149" w14:textId="77777777" w:rsidR="00DB1D50" w:rsidRDefault="000E558F">
      <w:pPr>
        <w:spacing w:after="160" w:line="360" w:lineRule="auto"/>
        <w:jc w:val="both"/>
      </w:pPr>
      <w:r>
        <w:t xml:space="preserve">The soil microbiome represents one of the most taxonomically and functionally diverse biological assemblages known to science. A single gram of agricultural soil may </w:t>
      </w:r>
      <w:proofErr w:type="spellStart"/>
      <w:r>
        <w:t>harbour</w:t>
      </w:r>
      <w:proofErr w:type="spellEnd"/>
      <w:r>
        <w:t xml:space="preserve"> several thousand distinct bacterial taxa, hundreds of fungal species, and a vast array of archaeal, protist, and viral lineages, collectively encoding a metabolic repertoire of astonishing breadth (</w:t>
      </w:r>
      <w:proofErr w:type="spellStart"/>
      <w:r>
        <w:t>Fierer</w:t>
      </w:r>
      <w:proofErr w:type="spellEnd"/>
      <w:r>
        <w:t xml:space="preserve">, 2017). The dominant bacterial phyla in most agricultural soils include Proteobacteria, Actinobacteria, Firmicutes, Bacteroidetes, </w:t>
      </w:r>
      <w:proofErr w:type="spellStart"/>
      <w:r>
        <w:t>Acidobacteria</w:t>
      </w:r>
      <w:proofErr w:type="spellEnd"/>
      <w:r>
        <w:t xml:space="preserve">, and </w:t>
      </w:r>
      <w:proofErr w:type="spellStart"/>
      <w:r>
        <w:t>Verrucomicrobia</w:t>
      </w:r>
      <w:proofErr w:type="spellEnd"/>
      <w:r>
        <w:t xml:space="preserve">, though their relative abundances vary markedly with soil pH, texture, moisture, organic matter content, and management history. Actinobacteria, for instance, are particularly abundant in well-aerated soils with higher pH and are known contributors to organic matter decomposition and antibiotic production. </w:t>
      </w:r>
      <w:proofErr w:type="spellStart"/>
      <w:r>
        <w:t>Acidobacteria</w:t>
      </w:r>
      <w:proofErr w:type="spellEnd"/>
      <w:r>
        <w:t xml:space="preserve"> tend to dominate in nutrient-poor, acidic soils and are </w:t>
      </w:r>
      <w:proofErr w:type="spellStart"/>
      <w:r>
        <w:t>characterised</w:t>
      </w:r>
      <w:proofErr w:type="spellEnd"/>
      <w:r>
        <w:t xml:space="preserve"> by oligotrophic metabolic strategies adapted to low-nutrient conditions.</w:t>
      </w:r>
    </w:p>
    <w:p w14:paraId="584F0EB3" w14:textId="77777777" w:rsidR="00DB1D50" w:rsidRDefault="000E558F">
      <w:pPr>
        <w:spacing w:after="160" w:line="360" w:lineRule="auto"/>
        <w:jc w:val="both"/>
      </w:pPr>
      <w:r>
        <w:t xml:space="preserve">Fungal communities in agricultural soils encompass both saprotrophic fungi—responsible for lignocellulose decomposition and nutrient </w:t>
      </w:r>
      <w:proofErr w:type="spellStart"/>
      <w:r>
        <w:t>mineralisation</w:t>
      </w:r>
      <w:proofErr w:type="spellEnd"/>
      <w:r>
        <w:t xml:space="preserve">—and biotrophic mycorrhizal fungi that form mutualistic associations with plant roots. The diversity of the soil fungal community, while numerically lower than that of bacterial communities, is of disproportionate functional importance given the roles of fungi in carbon cycling, soil aggregate formation, and plant nutrition (Wagg et al., 2014). Archaea, once considered extreme environment specialists, are now </w:t>
      </w:r>
      <w:proofErr w:type="spellStart"/>
      <w:r>
        <w:t>recognised</w:t>
      </w:r>
      <w:proofErr w:type="spellEnd"/>
      <w:r>
        <w:t xml:space="preserve"> as ubiquitous and functionally important members of agricultural soil communities, contributing to ammonia oxidation as part of the nitrification process (Schimel &amp; Schaeffer, 2012). The functional redundancy present within microbial communities—whereby multiple taxa are capable of performing similar ecological functions—provides a degree of insurance against diversity loss, yet it cannot fully substitute for the loss of unique and keystone taxa whose ecological roles are irreplaceable.</w:t>
      </w:r>
    </w:p>
    <w:p w14:paraId="6BF3D96B" w14:textId="77777777" w:rsidR="00DB1D50" w:rsidRDefault="000E558F">
      <w:pPr>
        <w:pStyle w:val="Heading2"/>
      </w:pPr>
      <w:r>
        <w:t>3.2 The Rhizosphere as a Microbial Hotspot</w:t>
      </w:r>
    </w:p>
    <w:p w14:paraId="04E8C966" w14:textId="77777777" w:rsidR="00DB1D50" w:rsidRDefault="000E558F">
      <w:pPr>
        <w:spacing w:after="160" w:line="360" w:lineRule="auto"/>
        <w:jc w:val="both"/>
      </w:pPr>
      <w:r>
        <w:t>The rhizosphere represents the most biologically active zone within the soil, where root exudate deposition drives a three- to tenfold enrichment of microbial biomass relative to bulk soil, a phenomenon termed the 'rhizosphere effect' (</w:t>
      </w:r>
      <w:proofErr w:type="spellStart"/>
      <w:r>
        <w:t>Philippot</w:t>
      </w:r>
      <w:proofErr w:type="spellEnd"/>
      <w:r>
        <w:t xml:space="preserve"> et al., 2013). Root exudates—which in aggregate may account for a substantial fraction, typically estimated at between 5% and over 20%, of </w:t>
      </w:r>
      <w:r>
        <w:lastRenderedPageBreak/>
        <w:t xml:space="preserve">photosynthetically fixed carbon depending on plant species, growth stage, and nutrient conditions—include a diverse array of low-molecular-weight compounds such as sugars, organic acids, amino acids, and secondary metabolites, as well as high-molecular-weight substances including mucilage and proteins. This chemical environment shapes the taxonomic and functional composition of the rhizosphere microbiome through selective enrichment of taxa capable of </w:t>
      </w:r>
      <w:proofErr w:type="spellStart"/>
      <w:r>
        <w:t>utilising</w:t>
      </w:r>
      <w:proofErr w:type="spellEnd"/>
      <w:r>
        <w:t xml:space="preserve"> specific substrates or responding to plant signals (Berendsen et al., 2012).</w:t>
      </w:r>
    </w:p>
    <w:p w14:paraId="7182F457" w14:textId="77777777" w:rsidR="00DB1D50" w:rsidRDefault="000E558F">
      <w:pPr>
        <w:spacing w:after="160" w:line="360" w:lineRule="auto"/>
        <w:jc w:val="both"/>
      </w:pPr>
      <w:r>
        <w:t>The concept of the 'plant core microbiome'—a conserved set of microbial taxa consistently associated with a given plant species across diverse soil environments—has emerged from landmark studies employing high-throughput sequencing of root-associated communities (</w:t>
      </w:r>
      <w:proofErr w:type="spellStart"/>
      <w:r>
        <w:t>Bulgarelli</w:t>
      </w:r>
      <w:proofErr w:type="spellEnd"/>
      <w:r>
        <w:t xml:space="preserve"> et al., 2012; Lundberg et al., 2012). These studies, initially conducted with Arabidopsis thaliana, demonstrated that plant host genotype exerts a significant filtering effect on microbial community composition independent of soil type, suggesting that plants have evolved active mechanisms to select specific microbial partners. This insight has profound implications for crop improvement, as breeding </w:t>
      </w:r>
      <w:proofErr w:type="spellStart"/>
      <w:r>
        <w:t>programmes</w:t>
      </w:r>
      <w:proofErr w:type="spellEnd"/>
      <w:r>
        <w:t xml:space="preserve"> could potentially incorporate microbiome-shaping traits as desirable agronomic characteristics. The rhizosphere microbiome also exhibits spatial stratification along the root axis, with different zones—root tip, elongation zone, mature zone, and root cap—</w:t>
      </w:r>
      <w:proofErr w:type="spellStart"/>
      <w:r>
        <w:t>harbouring</w:t>
      </w:r>
      <w:proofErr w:type="spellEnd"/>
      <w:r>
        <w:t xml:space="preserve"> compositionally distinct communities reflecting differences in exudate quality and quantity.</w:t>
      </w:r>
    </w:p>
    <w:p w14:paraId="47E4A6D7" w14:textId="77777777" w:rsidR="00DB1D50" w:rsidRDefault="000E558F">
      <w:pPr>
        <w:spacing w:after="160" w:line="360" w:lineRule="auto"/>
        <w:jc w:val="both"/>
      </w:pPr>
      <w:r>
        <w:t xml:space="preserve">Moreover, the </w:t>
      </w:r>
      <w:proofErr w:type="spellStart"/>
      <w:r>
        <w:t>endosphere</w:t>
      </w:r>
      <w:proofErr w:type="spellEnd"/>
      <w:r>
        <w:t xml:space="preserve">—the microbial community residing within root tissues—represents a further filtered subset of the rhizosphere community, enriched in taxa with specific capabilities for endophytic </w:t>
      </w:r>
      <w:proofErr w:type="spellStart"/>
      <w:r>
        <w:t>colonisation</w:t>
      </w:r>
      <w:proofErr w:type="spellEnd"/>
      <w:r>
        <w:t xml:space="preserve"> without eliciting host </w:t>
      </w:r>
      <w:proofErr w:type="spellStart"/>
      <w:r>
        <w:t>defence</w:t>
      </w:r>
      <w:proofErr w:type="spellEnd"/>
      <w:r>
        <w:t xml:space="preserve"> responses (</w:t>
      </w:r>
      <w:proofErr w:type="spellStart"/>
      <w:r>
        <w:t>Compant</w:t>
      </w:r>
      <w:proofErr w:type="spellEnd"/>
      <w:r>
        <w:t xml:space="preserve"> et al., 2010). Understanding the rules governing community assembly across these rhizosphere compartments is essential for predicting how management-induced soil changes will translate into alterations in plant-associated microbiome function. The dynamic interplay between plant exudate chemistry and microbial community composition is increasingly viewed not as a passive consequence of root physiology but as an actively regulated process through which plants recruit specific functional guilds in response to developmental stage, nutritional status, and environmental stress.</w:t>
      </w:r>
    </w:p>
    <w:p w14:paraId="29E15C0D" w14:textId="77777777" w:rsidR="00DB1D50" w:rsidRDefault="000E558F">
      <w:pPr>
        <w:pStyle w:val="Heading2"/>
      </w:pPr>
      <w:r>
        <w:t>3.3 Functional Roles of the Rhizosphere Microbiome</w:t>
      </w:r>
    </w:p>
    <w:p w14:paraId="45951F50" w14:textId="77777777" w:rsidR="00DB1D50" w:rsidRDefault="000E558F">
      <w:pPr>
        <w:spacing w:after="160" w:line="360" w:lineRule="auto"/>
        <w:jc w:val="both"/>
      </w:pPr>
      <w:r>
        <w:t xml:space="preserve">The functional contributions of rhizosphere microorganisms to plant performance and soil health span an extraordinary range of activities. Nitrogen fixation by free-living and associative diazotrophs—including members of the genera </w:t>
      </w:r>
      <w:proofErr w:type="spellStart"/>
      <w:r>
        <w:t>Azospirillum</w:t>
      </w:r>
      <w:proofErr w:type="spellEnd"/>
      <w:r>
        <w:t xml:space="preserve">, </w:t>
      </w:r>
      <w:proofErr w:type="spellStart"/>
      <w:r>
        <w:t>Azotobacter</w:t>
      </w:r>
      <w:proofErr w:type="spellEnd"/>
      <w:r>
        <w:t xml:space="preserve">, </w:t>
      </w:r>
      <w:proofErr w:type="spellStart"/>
      <w:r>
        <w:t>Gluconacetobacter</w:t>
      </w:r>
      <w:proofErr w:type="spellEnd"/>
      <w:r>
        <w:t xml:space="preserve">, and </w:t>
      </w:r>
      <w:proofErr w:type="spellStart"/>
      <w:r>
        <w:lastRenderedPageBreak/>
        <w:t>Herbaspirillum</w:t>
      </w:r>
      <w:proofErr w:type="spellEnd"/>
      <w:r>
        <w:t xml:space="preserve">—supplements the nitrogen economy of agricultural soils beyond the contributions of symbiotic nitrogen fixation by rhizobia. Phosphate </w:t>
      </w:r>
      <w:proofErr w:type="spellStart"/>
      <w:r>
        <w:t>solubilisation</w:t>
      </w:r>
      <w:proofErr w:type="spellEnd"/>
      <w:r>
        <w:t xml:space="preserve"> by bacteria and fungi, particularly through the production of organic acids such as gluconic, citric, and oxalic acids, converts insoluble inorganic phosphate minerals into plant-available orthophosphate, significantly improving phosphorus use efficiency in soils with high phosphorus fixation capacity (Bhattacharyya &amp; Jha, 2012; </w:t>
      </w:r>
      <w:proofErr w:type="spellStart"/>
      <w:r>
        <w:t>Ahemad</w:t>
      </w:r>
      <w:proofErr w:type="spellEnd"/>
      <w:r>
        <w:t xml:space="preserve"> &amp; </w:t>
      </w:r>
      <w:proofErr w:type="spellStart"/>
      <w:r>
        <w:t>Kibret</w:t>
      </w:r>
      <w:proofErr w:type="spellEnd"/>
      <w:r>
        <w:t xml:space="preserve">, 2014). Microorganisms also produce a suite of phytohormones, including indole-3-acetic acid, gibberellins, </w:t>
      </w:r>
      <w:proofErr w:type="spellStart"/>
      <w:r>
        <w:t>cytokinins</w:t>
      </w:r>
      <w:proofErr w:type="spellEnd"/>
      <w:r>
        <w:t>, and ethylene-modulating enzymes, that directly influence root architecture, shoot growth, and stress responses.</w:t>
      </w:r>
    </w:p>
    <w:p w14:paraId="04DF0992" w14:textId="77777777" w:rsidR="00DB1D50" w:rsidRDefault="000E558F">
      <w:pPr>
        <w:spacing w:after="160" w:line="360" w:lineRule="auto"/>
        <w:jc w:val="both"/>
      </w:pPr>
      <w:r>
        <w:t xml:space="preserve">The enzyme 1-aminocyclopropane-1-carboxylate (ACC) deaminase, produced by diverse rhizobacterial taxa, degrades the ethylene precursor ACC, reducing stress-induced ethylene accumulation and thereby mitigating growth inhibition under drought, flooding, salt stress, and heavy metal toxicity (Glick, 2014). Siderophore-producing bacteria </w:t>
      </w:r>
      <w:proofErr w:type="spellStart"/>
      <w:r>
        <w:t>solubilise</w:t>
      </w:r>
      <w:proofErr w:type="spellEnd"/>
      <w:r>
        <w:t xml:space="preserve"> and transport iron under conditions of iron deficiency, supplying this essential micronutrient to plant roots whilst simultaneously outcompeting soilborne pathogens. The collective capacity of the rhizosphere microbial community to deliver plant growth promotion, nutrient supply, and stress protection across simultaneously operating mechanisms underscores the value of managing for high microbial diversity and functional richness in agricultural soils.</w:t>
      </w:r>
    </w:p>
    <w:p w14:paraId="7B7EE0C8" w14:textId="77777777" w:rsidR="00DB1D50" w:rsidRDefault="00DB1D50"/>
    <w:p w14:paraId="4D824214" w14:textId="77777777" w:rsidR="00DB1D50" w:rsidRDefault="000E558F">
      <w:pPr>
        <w:pStyle w:val="Heading1"/>
        <w:spacing w:before="320" w:after="160"/>
      </w:pPr>
      <w:r>
        <w:t>4. Mycorrhizal Networks: Architecture, Types, and Ecological Roles</w:t>
      </w:r>
    </w:p>
    <w:p w14:paraId="192DE8FD" w14:textId="77777777" w:rsidR="00DB1D50" w:rsidRDefault="000E558F">
      <w:pPr>
        <w:pStyle w:val="Heading2"/>
      </w:pPr>
      <w:r>
        <w:t>4.1 Diversity and Distribution of Mycorrhizal Types</w:t>
      </w:r>
    </w:p>
    <w:p w14:paraId="114FDEB8" w14:textId="77777777" w:rsidR="00DB1D50" w:rsidRDefault="000E558F">
      <w:pPr>
        <w:spacing w:after="160" w:line="360" w:lineRule="auto"/>
        <w:jc w:val="both"/>
      </w:pPr>
      <w:r>
        <w:t>Mycorrhizal symbioses, defined by the bidirectional exchange of carbon from plant to fungus and inorganic nutrients from fungus to plant, represent the most widespread plant–fungal mutualism on Earth, encompassing more than 80% of extant vascular plant species (</w:t>
      </w:r>
      <w:proofErr w:type="spellStart"/>
      <w:r>
        <w:t>Brundrett</w:t>
      </w:r>
      <w:proofErr w:type="spellEnd"/>
      <w:r>
        <w:t xml:space="preserve"> &amp; </w:t>
      </w:r>
      <w:proofErr w:type="spellStart"/>
      <w:r>
        <w:t>Tedersoo</w:t>
      </w:r>
      <w:proofErr w:type="spellEnd"/>
      <w:r>
        <w:t xml:space="preserve">, 2018). Mycorrhizal associations are classified into several major types based on the anatomy of the fungal–plant interface, the identity of the fungal partner, and the plant host spectrum. Arbuscular mycorrhizal fungi (AMF) of the phylum </w:t>
      </w:r>
      <w:proofErr w:type="spellStart"/>
      <w:r>
        <w:t>Glomeromycota</w:t>
      </w:r>
      <w:proofErr w:type="spellEnd"/>
      <w:r>
        <w:t xml:space="preserve"> form associations with approximately 72–74% of vascular plant species, including the majority of globally important food crops such as wheat, maize, rice, soybean, and potato. Ectomycorrhizal fungi (EMF), drawn from diverse lineages of Basidiomycota and Ascomycota, associate predominantly with woody perennials in temperate and boreal forest ecosystems but are also ecologically relevant in agroforestry systems. Ericoid, orchid, </w:t>
      </w:r>
      <w:proofErr w:type="spellStart"/>
      <w:r>
        <w:lastRenderedPageBreak/>
        <w:t>arbutoid</w:t>
      </w:r>
      <w:proofErr w:type="spellEnd"/>
      <w:r>
        <w:t xml:space="preserve">, and </w:t>
      </w:r>
      <w:proofErr w:type="spellStart"/>
      <w:r>
        <w:t>ectendomycorrhizal</w:t>
      </w:r>
      <w:proofErr w:type="spellEnd"/>
      <w:r>
        <w:t xml:space="preserve"> types represent further ecological variants with more restricted host ranges.</w:t>
      </w:r>
    </w:p>
    <w:p w14:paraId="40200426" w14:textId="77777777" w:rsidR="00DB1D50" w:rsidRDefault="000E558F">
      <w:pPr>
        <w:spacing w:after="160" w:line="360" w:lineRule="auto"/>
        <w:jc w:val="both"/>
      </w:pPr>
      <w:r>
        <w:t xml:space="preserve">The evolution of mycorrhizal symbiosis is ancient, with fossil evidence and molecular clock analyses placing the origin of AMF associations at approximately 450–460 million years ago, coinciding with the </w:t>
      </w:r>
      <w:proofErr w:type="spellStart"/>
      <w:r>
        <w:t>colonisation</w:t>
      </w:r>
      <w:proofErr w:type="spellEnd"/>
      <w:r>
        <w:t xml:space="preserve"> of land by early plant lineages (</w:t>
      </w:r>
      <w:proofErr w:type="spellStart"/>
      <w:r>
        <w:t>Brundrett</w:t>
      </w:r>
      <w:proofErr w:type="spellEnd"/>
      <w:r>
        <w:t xml:space="preserve"> &amp; </w:t>
      </w:r>
      <w:proofErr w:type="spellStart"/>
      <w:r>
        <w:t>Tedersoo</w:t>
      </w:r>
      <w:proofErr w:type="spellEnd"/>
      <w:r>
        <w:t xml:space="preserve">, 2018). This evolutionary antiquity reflects the fundamental importance of mycorrhizal nutrient acquisition to plant terrestrial adaptation and suggests a deep molecular machinery for fungal recognition and accommodation that modern crops have largely retained. The conservation of symbiotic </w:t>
      </w:r>
      <w:proofErr w:type="spellStart"/>
      <w:r>
        <w:t>signalling</w:t>
      </w:r>
      <w:proofErr w:type="spellEnd"/>
      <w:r>
        <w:t xml:space="preserve"> pathways across diverse plant lineages—including the common symbiosis pathway shared between AMF and nitrogen-fixing </w:t>
      </w:r>
      <w:proofErr w:type="spellStart"/>
      <w:r>
        <w:t>rhizobial</w:t>
      </w:r>
      <w:proofErr w:type="spellEnd"/>
      <w:r>
        <w:t xml:space="preserve"> symbioses—indicates that the evolutionary investment in mycorrhizal competence represents one of the most persistent and successful biological partnerships in terrestrial ecosystem history.</w:t>
      </w:r>
    </w:p>
    <w:p w14:paraId="274BEE56" w14:textId="77777777" w:rsidR="00DB1D50" w:rsidRDefault="000E558F">
      <w:pPr>
        <w:pStyle w:val="Heading2"/>
      </w:pPr>
      <w:r>
        <w:t>4.2 Arbuscular Mycorrhizal Fungi in Agricultural Systems</w:t>
      </w:r>
    </w:p>
    <w:p w14:paraId="27032C7D" w14:textId="77777777" w:rsidR="00DB1D50" w:rsidRDefault="000E558F">
      <w:pPr>
        <w:spacing w:after="160" w:line="360" w:lineRule="auto"/>
        <w:jc w:val="both"/>
      </w:pPr>
      <w:r>
        <w:t xml:space="preserve">In agricultural ecosystems, AMF are the mycorrhizal type of primary agronomic relevance owing to their association with the dominant food crops and their sensitivity to management disturbance. The AMF hyphal network, composed of extraradical hyphae that may extend several </w:t>
      </w:r>
      <w:proofErr w:type="spellStart"/>
      <w:r>
        <w:t>centimetres</w:t>
      </w:r>
      <w:proofErr w:type="spellEnd"/>
      <w:r>
        <w:t xml:space="preserve"> to tens of </w:t>
      </w:r>
      <w:proofErr w:type="spellStart"/>
      <w:r>
        <w:t>centimetres</w:t>
      </w:r>
      <w:proofErr w:type="spellEnd"/>
      <w:r>
        <w:t xml:space="preserve"> from the root surface, effectively multiplies the absorptive surface area of the plant root system by one to several orders of magnitude. This hyphal exploration of the soil matrix provides access to nutrient pools—particularly phosphorus, nitrogen, zinc, copper, and manganese—in microsites inaccessible to roots owing to their limited mobility in soil solution (Smith et al., 2010; Lehmann &amp;amp; </w:t>
      </w:r>
      <w:proofErr w:type="spellStart"/>
      <w:r>
        <w:t>Rillig</w:t>
      </w:r>
      <w:proofErr w:type="spellEnd"/>
      <w:r>
        <w:t xml:space="preserve">, 2015). Phosphorus acquisition via AMF is of particular importance in tropical and subtropical soils </w:t>
      </w:r>
      <w:proofErr w:type="spellStart"/>
      <w:r>
        <w:t>characterised</w:t>
      </w:r>
      <w:proofErr w:type="spellEnd"/>
      <w:r>
        <w:t xml:space="preserve"> by high phosphorus fixation, where in highly mycorrhiza-dependent crops growing under phosphorus-limited conditions the mycorrhizal pathway may deliver the majority of plant phosphorus demand (Smith et al., 2010).</w:t>
      </w:r>
    </w:p>
    <w:p w14:paraId="3FCE89AF" w14:textId="77777777" w:rsidR="00DB1D50" w:rsidRDefault="000E558F">
      <w:pPr>
        <w:spacing w:after="160" w:line="360" w:lineRule="auto"/>
        <w:jc w:val="both"/>
      </w:pPr>
      <w:r>
        <w:t xml:space="preserve">The symbiotic interface within the root, formed by highly branched hyphal structures called </w:t>
      </w:r>
      <w:proofErr w:type="spellStart"/>
      <w:r>
        <w:t>arbuscules</w:t>
      </w:r>
      <w:proofErr w:type="spellEnd"/>
      <w:r>
        <w:t xml:space="preserve"> within cortical cells, is the primary site of bidirectional nutrient and carbon exchange. Molecular studies have identified </w:t>
      </w:r>
      <w:proofErr w:type="spellStart"/>
      <w:r>
        <w:t>specialised</w:t>
      </w:r>
      <w:proofErr w:type="spellEnd"/>
      <w:r>
        <w:t xml:space="preserve"> phosphate transporters </w:t>
      </w:r>
      <w:proofErr w:type="spellStart"/>
      <w:r>
        <w:t>localised</w:t>
      </w:r>
      <w:proofErr w:type="spellEnd"/>
      <w:r>
        <w:t xml:space="preserve"> to the </w:t>
      </w:r>
      <w:proofErr w:type="spellStart"/>
      <w:r>
        <w:t>periarbuscular</w:t>
      </w:r>
      <w:proofErr w:type="spellEnd"/>
      <w:r>
        <w:t xml:space="preserve"> membrane—the plant membrane surrounding the </w:t>
      </w:r>
      <w:proofErr w:type="spellStart"/>
      <w:r>
        <w:t>arbuscule</w:t>
      </w:r>
      <w:proofErr w:type="spellEnd"/>
      <w:r>
        <w:t xml:space="preserve">—that are exclusively active during mycorrhizal </w:t>
      </w:r>
      <w:proofErr w:type="spellStart"/>
      <w:r>
        <w:t>colonisation</w:t>
      </w:r>
      <w:proofErr w:type="spellEnd"/>
      <w:r>
        <w:t>, confirming the symbiosis-specific nature of the phosphorus uptake mechanism (</w:t>
      </w:r>
      <w:proofErr w:type="spellStart"/>
      <w:r>
        <w:t>Oldroyd</w:t>
      </w:r>
      <w:proofErr w:type="spellEnd"/>
      <w:r>
        <w:t xml:space="preserve">, 2013). Carbon allocation to the fungal partner, typically comprising 4–20% of net plant photosynthate, </w:t>
      </w:r>
      <w:r>
        <w:lastRenderedPageBreak/>
        <w:t xml:space="preserve">represents the metabolic cost of the symbiosis and reflects the degree to which the relationship is mutualistic, </w:t>
      </w:r>
      <w:proofErr w:type="spellStart"/>
      <w:r>
        <w:t>commensalistic</w:t>
      </w:r>
      <w:proofErr w:type="spellEnd"/>
      <w:r>
        <w:t>, or even parasitic depending on soil nutrient availability and fungal identity.</w:t>
      </w:r>
    </w:p>
    <w:p w14:paraId="7184C2FB" w14:textId="77777777" w:rsidR="00DB1D50" w:rsidRDefault="000E558F">
      <w:pPr>
        <w:spacing w:after="160" w:line="360" w:lineRule="auto"/>
        <w:jc w:val="both"/>
      </w:pPr>
      <w:r>
        <w:t>The effects of AMF on crop performance extend beyond direct nutrient uptake to encompass soil physical modifications and stress alleviation. AMF extraradical mycelium contributes substantially to soil aggregate stability through the production of the glycoprotein glomalin-related soil protein, and through physical enmeshment of soil particles (</w:t>
      </w:r>
      <w:proofErr w:type="spellStart"/>
      <w:r>
        <w:t>Rillig</w:t>
      </w:r>
      <w:proofErr w:type="spellEnd"/>
      <w:r>
        <w:t xml:space="preserve"> &amp; </w:t>
      </w:r>
      <w:proofErr w:type="spellStart"/>
      <w:r>
        <w:t>Mummey</w:t>
      </w:r>
      <w:proofErr w:type="spellEnd"/>
      <w:r>
        <w:t>, 2006). Glomalin, which may represent a significant proportion of total soil carbon and nitrogen in some agroecosystems, enhances aggregate water stability, improves soil aeration and drainage, and reduces surface crusting—all properties with direct relevance to crop root growth and water use efficiency. Smith et al. (2010) demonstrated that AMF associations improve plant performance under water deficit conditions through multiple mechanisms, including enhanced water uptake capacity, osmotic adjustment, and antioxidant enzyme upregulation, though outcomes are context-dependent and influenced by AMF species identity and host plant genotype.</w:t>
      </w:r>
    </w:p>
    <w:p w14:paraId="0D39112C" w14:textId="77777777" w:rsidR="00DB1D50" w:rsidRDefault="000E558F">
      <w:pPr>
        <w:pStyle w:val="Heading2"/>
      </w:pPr>
      <w:r>
        <w:t>4.3 Common Mycorrhizal Networks and Interplant Connectivity</w:t>
      </w:r>
    </w:p>
    <w:p w14:paraId="61546D5E" w14:textId="77777777" w:rsidR="00DB1D50" w:rsidRDefault="000E558F">
      <w:pPr>
        <w:spacing w:after="160" w:line="360" w:lineRule="auto"/>
        <w:jc w:val="both"/>
      </w:pPr>
      <w:r>
        <w:t xml:space="preserve">Beyond their individual roles in plant nutrition, mycorrhizal fungi form common mycorrhizal networks (CMNs) linking multiple plants within a community through shared hyphal connections. These networks facilitate the interplant transfer of carbon, water, nutrients, and even </w:t>
      </w:r>
      <w:proofErr w:type="spellStart"/>
      <w:r>
        <w:t>defence</w:t>
      </w:r>
      <w:proofErr w:type="spellEnd"/>
      <w:r>
        <w:t xml:space="preserve"> signals, creating a form of biological connectivity with implications for community dynamics, resource competition, and cooperative resource distribution (</w:t>
      </w:r>
      <w:proofErr w:type="spellStart"/>
      <w:r>
        <w:t>Bonfante</w:t>
      </w:r>
      <w:proofErr w:type="spellEnd"/>
      <w:r>
        <w:t xml:space="preserve"> &amp; Genre, 2010). In agricultural systems, CMNs established among crop plants within a field or in intercropping systems may redistribute resources from nutrient-sufficient to nutrient-deficient individuals, </w:t>
      </w:r>
      <w:proofErr w:type="spellStart"/>
      <w:r>
        <w:t>stabilising</w:t>
      </w:r>
      <w:proofErr w:type="spellEnd"/>
      <w:r>
        <w:t xml:space="preserve"> productivity under variable soil conditions. The agronomic significance of CMNs remains an active research frontier, with debates </w:t>
      </w:r>
      <w:proofErr w:type="spellStart"/>
      <w:r>
        <w:t>centring</w:t>
      </w:r>
      <w:proofErr w:type="spellEnd"/>
      <w:r>
        <w:t xml:space="preserve"> on the magnitude of interplant transfer relative to direct uptake pathways and the degree to which these transfers constitute genuine mutualism as opposed to fungal resource allocation based on carbon source gradients.</w:t>
      </w:r>
    </w:p>
    <w:p w14:paraId="7EF4ABAD" w14:textId="77777777" w:rsidR="00DB1D50" w:rsidRDefault="00DB1D50"/>
    <w:p w14:paraId="0B6B07B5" w14:textId="77777777" w:rsidR="00DB1D50" w:rsidRDefault="000E558F">
      <w:pPr>
        <w:pStyle w:val="Heading1"/>
        <w:spacing w:before="320" w:after="160"/>
      </w:pPr>
      <w:r>
        <w:t>5. Nutrient Dynamics Mediated by Microbial and Mycorrhizal Communities</w:t>
      </w:r>
    </w:p>
    <w:p w14:paraId="241367F9" w14:textId="77777777" w:rsidR="00DB1D50" w:rsidRDefault="000E558F">
      <w:pPr>
        <w:pStyle w:val="Heading2"/>
      </w:pPr>
      <w:r>
        <w:lastRenderedPageBreak/>
        <w:t>5.1 Biological Nitrogen Fixation</w:t>
      </w:r>
    </w:p>
    <w:p w14:paraId="17887E4C" w14:textId="77777777" w:rsidR="00DB1D50" w:rsidRDefault="000E558F">
      <w:pPr>
        <w:spacing w:after="160" w:line="360" w:lineRule="auto"/>
        <w:jc w:val="both"/>
      </w:pPr>
      <w:r>
        <w:t xml:space="preserve">Nitrogen is the primary limiting macronutrient in most agricultural systems, and biological nitrogen fixation (BNF)—the enzymatic conversion of atmospheric dinitrogen to ammonia </w:t>
      </w:r>
      <w:proofErr w:type="spellStart"/>
      <w:r>
        <w:t>catalysed</w:t>
      </w:r>
      <w:proofErr w:type="spellEnd"/>
      <w:r>
        <w:t xml:space="preserve"> by the nitrogenase enzyme complex—represents the principal natural mechanism for introducing fixed nitrogen into the biosphere. The most agronomically important form of BNF occurs through the symbiosis between leguminous plants and </w:t>
      </w:r>
      <w:proofErr w:type="spellStart"/>
      <w:r>
        <w:t>rhizobial</w:t>
      </w:r>
      <w:proofErr w:type="spellEnd"/>
      <w:r>
        <w:t xml:space="preserve"> bacteria of the families </w:t>
      </w:r>
      <w:proofErr w:type="spellStart"/>
      <w:r>
        <w:t>Rhizobiaceae</w:t>
      </w:r>
      <w:proofErr w:type="spellEnd"/>
      <w:r>
        <w:t xml:space="preserve"> and </w:t>
      </w:r>
      <w:proofErr w:type="spellStart"/>
      <w:r>
        <w:t>Bradyrhizobiaceae</w:t>
      </w:r>
      <w:proofErr w:type="spellEnd"/>
      <w:r>
        <w:t xml:space="preserve">, which form </w:t>
      </w:r>
      <w:proofErr w:type="spellStart"/>
      <w:r>
        <w:t>specialised</w:t>
      </w:r>
      <w:proofErr w:type="spellEnd"/>
      <w:r>
        <w:t xml:space="preserve"> root nodule structures where the biochemical conditions for nitrogenase activity—low oxygen tension, adequate carbon supply, and molybdenum availability—are maintained (Poole et al., 2018). In well-managed legume crops such as soybean, cowpea, and </w:t>
      </w:r>
      <w:proofErr w:type="spellStart"/>
      <w:r>
        <w:t>faba</w:t>
      </w:r>
      <w:proofErr w:type="spellEnd"/>
      <w:r>
        <w:t xml:space="preserve"> bean, BNF can supply the equivalent of approximately 100–300 kg of nitrogen per hectare per year, significantly reducing the dependence on synthetic nitrogen </w:t>
      </w:r>
      <w:proofErr w:type="spellStart"/>
      <w:r>
        <w:t>fertilisers</w:t>
      </w:r>
      <w:proofErr w:type="spellEnd"/>
      <w:r>
        <w:t xml:space="preserve"> and contributing to improved nitrogen use efficiency at the farm and landscape scales.</w:t>
      </w:r>
    </w:p>
    <w:p w14:paraId="6A61DDFB" w14:textId="77777777" w:rsidR="00DB1D50" w:rsidRDefault="000E558F">
      <w:pPr>
        <w:spacing w:after="160" w:line="360" w:lineRule="auto"/>
        <w:jc w:val="both"/>
      </w:pPr>
      <w:r>
        <w:t>The molecular dialogue establishing the legume–rhizobium symbiosis is a paradigm for plant–microbe communication, involving flavonoid exudation by the plant, nod factor production by rhizobia, calcium spiking in root hair cells, and a complex cascade of transcriptional changes leading to infection thread formation and nodule organogenesis (</w:t>
      </w:r>
      <w:proofErr w:type="spellStart"/>
      <w:r>
        <w:t>Oldroyd</w:t>
      </w:r>
      <w:proofErr w:type="spellEnd"/>
      <w:r>
        <w:t xml:space="preserve">, 2013). Many of these </w:t>
      </w:r>
      <w:proofErr w:type="spellStart"/>
      <w:r>
        <w:t>signalling</w:t>
      </w:r>
      <w:proofErr w:type="spellEnd"/>
      <w:r>
        <w:t xml:space="preserve"> components are shared with those governing AMF recognition, reflecting the deep evolutionary origins of plant endosymbiotic competence. Beyond legume symbioses, free-living nitrogen-fixing bacteria in the rhizosphere and bulk soil contribute to the nitrogen budget of non-leguminous crops, though their quantitative contribution is variable and generally lower than that of nodule symbioses (</w:t>
      </w:r>
      <w:proofErr w:type="spellStart"/>
      <w:r>
        <w:t>Compant</w:t>
      </w:r>
      <w:proofErr w:type="spellEnd"/>
      <w:r>
        <w:t xml:space="preserve"> et al., 2010). The integration of legume crops into rotation sequences therefore provides a biologically grounded strategy for maintaining soil nitrogen fertility and reducing synthetic </w:t>
      </w:r>
      <w:proofErr w:type="spellStart"/>
      <w:r>
        <w:t>fertiliser</w:t>
      </w:r>
      <w:proofErr w:type="spellEnd"/>
      <w:r>
        <w:t xml:space="preserve"> dependency in diversified farming systems.</w:t>
      </w:r>
    </w:p>
    <w:p w14:paraId="478DE51D" w14:textId="77777777" w:rsidR="00DB1D50" w:rsidRDefault="000E558F">
      <w:pPr>
        <w:pStyle w:val="Heading2"/>
      </w:pPr>
      <w:r>
        <w:t xml:space="preserve">5.2 Phosphorus </w:t>
      </w:r>
      <w:proofErr w:type="spellStart"/>
      <w:r>
        <w:t>Solubilisation</w:t>
      </w:r>
      <w:proofErr w:type="spellEnd"/>
      <w:r>
        <w:t xml:space="preserve"> and </w:t>
      </w:r>
      <w:proofErr w:type="spellStart"/>
      <w:r>
        <w:t>Mobilisation</w:t>
      </w:r>
      <w:proofErr w:type="spellEnd"/>
    </w:p>
    <w:p w14:paraId="299B57D6" w14:textId="77777777" w:rsidR="00DB1D50" w:rsidRDefault="000E558F">
      <w:pPr>
        <w:spacing w:after="160" w:line="360" w:lineRule="auto"/>
        <w:jc w:val="both"/>
      </w:pPr>
      <w:r>
        <w:t xml:space="preserve">Phosphorus availability in soils is frequently limited despite high total phosphorus concentrations, owing to the strong adsorption of phosphate to iron and </w:t>
      </w:r>
      <w:proofErr w:type="spellStart"/>
      <w:r>
        <w:t>aluminium</w:t>
      </w:r>
      <w:proofErr w:type="spellEnd"/>
      <w:r>
        <w:t xml:space="preserve"> oxides in acidic soils and to calcium phosphate precipitation in alkaline soils. Phosphate-</w:t>
      </w:r>
      <w:proofErr w:type="spellStart"/>
      <w:r>
        <w:t>solubilising</w:t>
      </w:r>
      <w:proofErr w:type="spellEnd"/>
      <w:r>
        <w:t xml:space="preserve"> microorganisms—a functionally defined group spanning numerous bacterial and fungal taxa—</w:t>
      </w:r>
      <w:proofErr w:type="spellStart"/>
      <w:r>
        <w:t>mobilise</w:t>
      </w:r>
      <w:proofErr w:type="spellEnd"/>
      <w:r>
        <w:t xml:space="preserve"> fixed phosphorus through the production of organic acids that lower rhizosphere pH and chelate metal cations associated with phosphate minerals (Bhattacharyya &amp; Jha, 2012; </w:t>
      </w:r>
      <w:proofErr w:type="spellStart"/>
      <w:r>
        <w:t>Raaijmakers</w:t>
      </w:r>
      <w:proofErr w:type="spellEnd"/>
      <w:r>
        <w:t xml:space="preserve"> et al., 2009). The most effective </w:t>
      </w:r>
      <w:r>
        <w:lastRenderedPageBreak/>
        <w:t>phosphate-</w:t>
      </w:r>
      <w:proofErr w:type="spellStart"/>
      <w:r>
        <w:t>solubilising</w:t>
      </w:r>
      <w:proofErr w:type="spellEnd"/>
      <w:r>
        <w:t xml:space="preserve"> bacteria include species of Bacillus, Pseudomonas, Rhizobium, and Enterobacter, whilst among fungi, Penicillium and Aspergillus species are particularly noted for their phosphate-</w:t>
      </w:r>
      <w:proofErr w:type="spellStart"/>
      <w:r>
        <w:t>solubilising</w:t>
      </w:r>
      <w:proofErr w:type="spellEnd"/>
      <w:r>
        <w:t xml:space="preserve"> activity.</w:t>
      </w:r>
    </w:p>
    <w:p w14:paraId="47857F76" w14:textId="77777777" w:rsidR="00DB1D50" w:rsidRDefault="000E558F">
      <w:pPr>
        <w:spacing w:after="160" w:line="360" w:lineRule="auto"/>
        <w:jc w:val="both"/>
      </w:pPr>
      <w:r>
        <w:t xml:space="preserve">Mycorrhizal fungi contribute to phosphorus </w:t>
      </w:r>
      <w:proofErr w:type="spellStart"/>
      <w:r>
        <w:t>mobilisation</w:t>
      </w:r>
      <w:proofErr w:type="spellEnd"/>
      <w:r>
        <w:t xml:space="preserve"> through complementary mechanisms, including the production of phosphatase enzymes that </w:t>
      </w:r>
      <w:proofErr w:type="spellStart"/>
      <w:r>
        <w:t>mineralise</w:t>
      </w:r>
      <w:proofErr w:type="spellEnd"/>
      <w:r>
        <w:t xml:space="preserve"> organic phosphorus compounds—phytate, phospholipids, and nucleic acids—which may constitute 30–65% of total soil phosphorus in organic matter-rich soils. The combined activity of phosphate-</w:t>
      </w:r>
      <w:proofErr w:type="spellStart"/>
      <w:r>
        <w:t>solubilising</w:t>
      </w:r>
      <w:proofErr w:type="spellEnd"/>
      <w:r>
        <w:t xml:space="preserve"> bacteria and mycorrhizal fungi in the mycorrhizosphere—the zone of soil influenced by both root exudates and mycorrhizal hyphae—creates a synergistic </w:t>
      </w:r>
      <w:proofErr w:type="spellStart"/>
      <w:r>
        <w:t>mobilisation</w:t>
      </w:r>
      <w:proofErr w:type="spellEnd"/>
      <w:r>
        <w:t xml:space="preserve"> effect that can substantially improve phosphorus availability for the crop (</w:t>
      </w:r>
      <w:proofErr w:type="spellStart"/>
      <w:r>
        <w:t>Treseder</w:t>
      </w:r>
      <w:proofErr w:type="spellEnd"/>
      <w:r>
        <w:t xml:space="preserve">, 2004). Lehmann and </w:t>
      </w:r>
      <w:proofErr w:type="spellStart"/>
      <w:r>
        <w:t>Rillig</w:t>
      </w:r>
      <w:proofErr w:type="spellEnd"/>
      <w:r>
        <w:t xml:space="preserve"> (2015) demonstrated through meta-analysis that AMF </w:t>
      </w:r>
      <w:proofErr w:type="spellStart"/>
      <w:r>
        <w:t>colonisation</w:t>
      </w:r>
      <w:proofErr w:type="spellEnd"/>
      <w:r>
        <w:t xml:space="preserve"> significantly enhanced crop concentrations of copper, manganese, and iron, underscoring the breadth of micronutrient acquisition benefits conferred by the mycorrhizal pathway and highlighting the potential of mycorrhizal symbiosis as a biological strategy for improving micronutrient density in staple food crops.</w:t>
      </w:r>
    </w:p>
    <w:p w14:paraId="6777C016" w14:textId="77777777" w:rsidR="00DB1D50" w:rsidRDefault="000E558F">
      <w:pPr>
        <w:pStyle w:val="Heading2"/>
      </w:pPr>
      <w:r>
        <w:t>5.3 Carbon Cycling and Soil Organic Matter Dynamics</w:t>
      </w:r>
    </w:p>
    <w:p w14:paraId="7810ED3F" w14:textId="77777777" w:rsidR="00DB1D50" w:rsidRDefault="000E558F">
      <w:pPr>
        <w:spacing w:after="160" w:line="360" w:lineRule="auto"/>
        <w:jc w:val="both"/>
      </w:pPr>
      <w:r>
        <w:t xml:space="preserve">Microbial communities are the primary agents of organic matter decomposition and carbon cycling in soils, transforming fresh plant residues through enzymatic </w:t>
      </w:r>
      <w:proofErr w:type="spellStart"/>
      <w:r>
        <w:t>depolymerisation</w:t>
      </w:r>
      <w:proofErr w:type="spellEnd"/>
      <w:r>
        <w:t xml:space="preserve"> and catabolic pathways into partially decomposed substances and ultimately to carbon dioxide and water. The balance between microbial respiration and the physical and chemical </w:t>
      </w:r>
      <w:proofErr w:type="spellStart"/>
      <w:r>
        <w:t>stabilisation</w:t>
      </w:r>
      <w:proofErr w:type="spellEnd"/>
      <w:r>
        <w:t xml:space="preserve"> of microbially processed organic matter determines the net soil organic carbon (SOC) stock—a critical indicator of soil health, water retention capacity, and nutrient supply. Recent conceptual advances have fundamentally revised traditional understandings of SOC formation, </w:t>
      </w:r>
      <w:proofErr w:type="spellStart"/>
      <w:r>
        <w:t>recognising</w:t>
      </w:r>
      <w:proofErr w:type="spellEnd"/>
      <w:r>
        <w:t xml:space="preserve"> that the bulk of </w:t>
      </w:r>
      <w:proofErr w:type="spellStart"/>
      <w:r>
        <w:t>stabilised</w:t>
      </w:r>
      <w:proofErr w:type="spellEnd"/>
      <w:r>
        <w:t xml:space="preserve"> organic matter is not chemically recalcitrant plant compounds but rather microbially processed material—including microbial biomass, extracellular polymers, and metabolic by-products—that becomes </w:t>
      </w:r>
      <w:proofErr w:type="spellStart"/>
      <w:r>
        <w:t>stabilised</w:t>
      </w:r>
      <w:proofErr w:type="spellEnd"/>
      <w:r>
        <w:t xml:space="preserve"> through associations with soil minerals (Liang et al., 2017).</w:t>
      </w:r>
    </w:p>
    <w:p w14:paraId="3C6A813F" w14:textId="77777777" w:rsidR="00DB1D50" w:rsidRDefault="000E558F">
      <w:pPr>
        <w:spacing w:after="160" w:line="360" w:lineRule="auto"/>
        <w:jc w:val="both"/>
      </w:pPr>
      <w:r>
        <w:t xml:space="preserve">Microbial biomass carbon turnover, controlled by the efficiency with which microorganisms convert substrate carbon into biomass versus respiratory losses, is increasingly </w:t>
      </w:r>
      <w:proofErr w:type="spellStart"/>
      <w:r>
        <w:t>recognised</w:t>
      </w:r>
      <w:proofErr w:type="spellEnd"/>
      <w:r>
        <w:t xml:space="preserve"> as a master variable regulating long-term SOC accumulation (Schimel &amp; Schaeffer, 2012). Higher microbial carbon use efficiency, characteristic of slow-growing fungi relative to fast-growing bacteria, promotes SOC accumulation by directing more carbon into microbial biomass and </w:t>
      </w:r>
      <w:proofErr w:type="spellStart"/>
      <w:r>
        <w:t>necromass</w:t>
      </w:r>
      <w:proofErr w:type="spellEnd"/>
      <w:r>
        <w:t xml:space="preserve"> rather than carbon </w:t>
      </w:r>
      <w:r>
        <w:lastRenderedPageBreak/>
        <w:t>dioxide. Fungal-dominated soils, typical of undisturbed or low-input agricultural systems, therefore tend to accumulate more SOC than bacterially dominated soils associated with intensive tillage and high nitrogen inputs. Mycorrhizal fungi contribute directly to SOC formation through hyphal turnover, glomalin deposition, and priming of mineral-associated organic matter formation (</w:t>
      </w:r>
      <w:proofErr w:type="spellStart"/>
      <w:r>
        <w:t>Rillig</w:t>
      </w:r>
      <w:proofErr w:type="spellEnd"/>
      <w:r>
        <w:t xml:space="preserve"> &amp; </w:t>
      </w:r>
      <w:proofErr w:type="spellStart"/>
      <w:r>
        <w:t>Mummey</w:t>
      </w:r>
      <w:proofErr w:type="spellEnd"/>
      <w:r>
        <w:t>, 2006). The recognition of microbial and mycorrhizal contributions to SOC accumulation underscores the importance of preserving and enhancing soil biological communities as a strategy for climate change mitigation through agricultural carbon sequestration.</w:t>
      </w:r>
    </w:p>
    <w:p w14:paraId="5CED355C" w14:textId="77777777" w:rsidR="00DB1D50" w:rsidRDefault="000E558F">
      <w:pPr>
        <w:pStyle w:val="Heading2"/>
      </w:pPr>
      <w:r>
        <w:t>5.4 Micronutrient Cycling</w:t>
      </w:r>
    </w:p>
    <w:p w14:paraId="132504B5" w14:textId="77777777" w:rsidR="00DB1D50" w:rsidRDefault="000E558F">
      <w:pPr>
        <w:spacing w:after="160" w:line="360" w:lineRule="auto"/>
        <w:jc w:val="both"/>
      </w:pPr>
      <w:r>
        <w:t xml:space="preserve">Beyond the </w:t>
      </w:r>
      <w:proofErr w:type="gramStart"/>
      <w:r>
        <w:t>macronutrients</w:t>
      </w:r>
      <w:proofErr w:type="gramEnd"/>
      <w:r>
        <w:t xml:space="preserve"> nitrogen, phosphorus, and potassium, microbial communities mediate the cycling of iron, zinc, manganese, copper, molybdenum, and other micronutrients essential for crop quality and human nutrition. Iron acquisition in the rhizosphere is mediated by microbially produced siderophores—low-molecular-weight iron-chelating compounds secreted under iron-limiting conditions—that </w:t>
      </w:r>
      <w:proofErr w:type="spellStart"/>
      <w:r>
        <w:t>solubilise</w:t>
      </w:r>
      <w:proofErr w:type="spellEnd"/>
      <w:r>
        <w:t xml:space="preserve"> and transport iron to plant roots and competing microorganisms. Some plant growth-promoting rhizobacteria produce siderophores that can be taken up by plant roots, supplying iron under deficiency conditions and simultaneously outcompeting pathogens for this essential element (</w:t>
      </w:r>
      <w:proofErr w:type="spellStart"/>
      <w:r>
        <w:t>Raaijmakers</w:t>
      </w:r>
      <w:proofErr w:type="spellEnd"/>
      <w:r>
        <w:t xml:space="preserve"> et al., 2009). Zinc </w:t>
      </w:r>
      <w:proofErr w:type="spellStart"/>
      <w:r>
        <w:t>solubilisation</w:t>
      </w:r>
      <w:proofErr w:type="spellEnd"/>
      <w:r>
        <w:t xml:space="preserve"> by bacteria including </w:t>
      </w:r>
      <w:proofErr w:type="spellStart"/>
      <w:r>
        <w:t>Thiobacillus</w:t>
      </w:r>
      <w:proofErr w:type="spellEnd"/>
      <w:r>
        <w:t xml:space="preserve"> </w:t>
      </w:r>
      <w:proofErr w:type="spellStart"/>
      <w:r>
        <w:t>thiooxidans</w:t>
      </w:r>
      <w:proofErr w:type="spellEnd"/>
      <w:r>
        <w:t xml:space="preserve">, Bacillus subtilis, and Pseudomonas </w:t>
      </w:r>
      <w:proofErr w:type="spellStart"/>
      <w:r>
        <w:t>striata</w:t>
      </w:r>
      <w:proofErr w:type="spellEnd"/>
      <w:r>
        <w:t xml:space="preserve"> enhances zinc availability in calcareous and alkaline soils where zinc deficiency constrains both crop yield and grain nutritional quality. The mycorrhizal pathway for zinc and iron uptake has been quantified as significant in several crop systems, offering a biological route to improving the micronutrient nutritional quality of staple foods in regions where such deficiencies in human populations remain prevalent.</w:t>
      </w:r>
    </w:p>
    <w:p w14:paraId="0E325804" w14:textId="77777777" w:rsidR="00DB1D50" w:rsidRDefault="00DB1D50"/>
    <w:p w14:paraId="3C675723" w14:textId="77777777" w:rsidR="00DB1D50" w:rsidRDefault="000E558F">
      <w:pPr>
        <w:pStyle w:val="Heading1"/>
        <w:spacing w:before="320" w:after="160"/>
      </w:pPr>
      <w:r>
        <w:t>6. Mechanisms of Crop Resilience Enhancement</w:t>
      </w:r>
    </w:p>
    <w:p w14:paraId="6386B0B4" w14:textId="77777777" w:rsidR="00DB1D50" w:rsidRDefault="000E558F">
      <w:pPr>
        <w:pStyle w:val="Heading2"/>
      </w:pPr>
      <w:r>
        <w:t>6.1 Drought and Abiotic Stress Tolerance</w:t>
      </w:r>
    </w:p>
    <w:p w14:paraId="4135E52C" w14:textId="77777777" w:rsidR="00DB1D50" w:rsidRDefault="000E558F">
      <w:pPr>
        <w:spacing w:after="160" w:line="360" w:lineRule="auto"/>
        <w:jc w:val="both"/>
      </w:pPr>
      <w:r>
        <w:t xml:space="preserve">Abiotic stresses—drought, salinity, heat, waterlogging, and heavy metal toxicity—are projected to intensify under climate change, threatening the yield stability of major food crops across diverse agroclimatic zones. Microbial and mycorrhizal communities contribute to crop resilience against these stresses through diverse physiological and biochemical mechanisms that operate at the cellular, root, and whole-plant scales. Drought stress tolerance mediated by beneficial microorganisms has been </w:t>
      </w:r>
      <w:r>
        <w:lastRenderedPageBreak/>
        <w:t>extensively documented. AMF-</w:t>
      </w:r>
      <w:proofErr w:type="spellStart"/>
      <w:r>
        <w:t>colonised</w:t>
      </w:r>
      <w:proofErr w:type="spellEnd"/>
      <w:r>
        <w:t xml:space="preserve"> plants demonstrate improved survival and productivity under water deficit owing to enhanced hydraulic conductance through the hyphal network, improved soil aggregate stability and water retention, induction of aquaporins and osmotic adjustment compounds, and upregulation of antioxidant </w:t>
      </w:r>
      <w:proofErr w:type="spellStart"/>
      <w:r>
        <w:t>defences</w:t>
      </w:r>
      <w:proofErr w:type="spellEnd"/>
      <w:r>
        <w:t xml:space="preserve"> (Smith et al., 2010).</w:t>
      </w:r>
    </w:p>
    <w:p w14:paraId="4BA5A585" w14:textId="77777777" w:rsidR="00DB1D50" w:rsidRDefault="000E558F">
      <w:pPr>
        <w:spacing w:after="160" w:line="360" w:lineRule="auto"/>
        <w:jc w:val="both"/>
      </w:pPr>
      <w:r>
        <w:t>Plant growth-promoting rhizobacteria contribute to drought tolerance through the production of exopolysaccharides that enhance soil moisture retention and improve root–soil contact, through the synthesis of volatile compounds such as 2,3-butanediol and acetoin that trigger systemic drought tolerance responses in the host plant, and through ACC deaminase activity that prevents the accumulation of stress-induced ethylene (Glick, 2014). The ACC deaminase mechanism is particularly well-</w:t>
      </w:r>
      <w:proofErr w:type="spellStart"/>
      <w:r>
        <w:t>characterised</w:t>
      </w:r>
      <w:proofErr w:type="spellEnd"/>
      <w:r>
        <w:t xml:space="preserve">: under drought, salinity, and other stresses, plants upregulate ethylene biosynthesis, which would ordinarily inhibit root growth and curtail plant performance. Bacteria expressing ACC deaminase cleave the ethylene precursor ACC before it can be converted to ethylene, thus allowing roots to continue growing and maintaining contact with moist soil layers. Salinity tolerance is enhanced by a subset of halotolerant PGPR and AMF that </w:t>
      </w:r>
      <w:proofErr w:type="spellStart"/>
      <w:r>
        <w:t>colonise</w:t>
      </w:r>
      <w:proofErr w:type="spellEnd"/>
      <w:r>
        <w:t xml:space="preserve"> saline agricultural soils and confer ionic and osmotic stress protection through ion exclusion, compatible solute accumulation, and modulation of abscisic acid </w:t>
      </w:r>
      <w:proofErr w:type="spellStart"/>
      <w:r>
        <w:t>signalling</w:t>
      </w:r>
      <w:proofErr w:type="spellEnd"/>
      <w:r>
        <w:t xml:space="preserve">. </w:t>
      </w:r>
      <w:proofErr w:type="spellStart"/>
      <w:r>
        <w:t>Compant</w:t>
      </w:r>
      <w:proofErr w:type="spellEnd"/>
      <w:r>
        <w:t xml:space="preserve"> et al. (2010) reviewed the multiplicity of rhizobacterial mechanisms contributing to abiotic stress alleviation in diverse crop species, noting that the efficacy of PGPR inoculation under stress conditions often exceeds that observed under non-stress conditions, suggesting that the value of these microbial associations is amplified precisely when agricultural conditions are most challenging.</w:t>
      </w:r>
    </w:p>
    <w:p w14:paraId="2CCBC5AC" w14:textId="77777777" w:rsidR="00DB1D50" w:rsidRDefault="000E558F">
      <w:pPr>
        <w:pStyle w:val="Heading2"/>
      </w:pPr>
      <w:r>
        <w:t>6.2 Biological Control of Plant Pathogens</w:t>
      </w:r>
    </w:p>
    <w:p w14:paraId="206B0F9C" w14:textId="77777777" w:rsidR="00DB1D50" w:rsidRDefault="000E558F">
      <w:pPr>
        <w:spacing w:after="160" w:line="360" w:lineRule="auto"/>
        <w:jc w:val="both"/>
      </w:pPr>
      <w:r>
        <w:t xml:space="preserve">Soilborne plant pathogens—including Fusarium </w:t>
      </w:r>
      <w:proofErr w:type="spellStart"/>
      <w:r>
        <w:t>oxysporum</w:t>
      </w:r>
      <w:proofErr w:type="spellEnd"/>
      <w:r>
        <w:t xml:space="preserve">, </w:t>
      </w:r>
      <w:proofErr w:type="spellStart"/>
      <w:r>
        <w:t>Rhizoctonia</w:t>
      </w:r>
      <w:proofErr w:type="spellEnd"/>
      <w:r>
        <w:t xml:space="preserve"> </w:t>
      </w:r>
      <w:proofErr w:type="spellStart"/>
      <w:r>
        <w:t>solani</w:t>
      </w:r>
      <w:proofErr w:type="spellEnd"/>
      <w:r>
        <w:t xml:space="preserve">, </w:t>
      </w:r>
      <w:proofErr w:type="spellStart"/>
      <w:r>
        <w:t>Sclerotinia</w:t>
      </w:r>
      <w:proofErr w:type="spellEnd"/>
      <w:r>
        <w:t xml:space="preserve"> </w:t>
      </w:r>
      <w:proofErr w:type="spellStart"/>
      <w:r>
        <w:t>sclerotiorum</w:t>
      </w:r>
      <w:proofErr w:type="spellEnd"/>
      <w:r>
        <w:t xml:space="preserve">, Phytophthora spp., and Pythium spp.—cause devastating crop losses globally, estimated to account for 10–20% of pre-harvest yield losses in major crop systems. The soil microbiome plays a critical role in regulating pathogen activity through competitive exclusion, antibiosis, mycoparasitism, and induced systemic resistance. Soils </w:t>
      </w:r>
      <w:proofErr w:type="spellStart"/>
      <w:r>
        <w:t>characterised</w:t>
      </w:r>
      <w:proofErr w:type="spellEnd"/>
      <w:r>
        <w:t xml:space="preserve"> by high microbial diversity and structural complexity—often termed 'disease-suppressive soils'—</w:t>
      </w:r>
      <w:proofErr w:type="spellStart"/>
      <w:r>
        <w:t>harbour</w:t>
      </w:r>
      <w:proofErr w:type="spellEnd"/>
      <w:r>
        <w:t xml:space="preserve"> community compositions that naturally restrict pathogen proliferation through mechanisms that have been extensively studied in the context of Fusarium wilt and take-all disease of wheat (Mendes et al., 2011; </w:t>
      </w:r>
      <w:proofErr w:type="spellStart"/>
      <w:r>
        <w:t>Raaijmakers</w:t>
      </w:r>
      <w:proofErr w:type="spellEnd"/>
      <w:r>
        <w:t xml:space="preserve"> et al., 2009).</w:t>
      </w:r>
    </w:p>
    <w:p w14:paraId="46428905" w14:textId="77777777" w:rsidR="00DB1D50" w:rsidRDefault="000E558F">
      <w:pPr>
        <w:spacing w:after="160" w:line="360" w:lineRule="auto"/>
        <w:jc w:val="both"/>
      </w:pPr>
      <w:r>
        <w:lastRenderedPageBreak/>
        <w:t xml:space="preserve">Pseudomonas fluorescens and related taxa produce a battery of antifungal compounds—including 2,4-diacetylphloroglucinol, phenazines, </w:t>
      </w:r>
      <w:proofErr w:type="spellStart"/>
      <w:r>
        <w:t>pyoluteorin</w:t>
      </w:r>
      <w:proofErr w:type="spellEnd"/>
      <w:r>
        <w:t>, and hydrogen cyanide—that directly inhibit fungal pathogen growth in the rhizosphere (</w:t>
      </w:r>
      <w:proofErr w:type="spellStart"/>
      <w:r>
        <w:t>Raaijmakers</w:t>
      </w:r>
      <w:proofErr w:type="spellEnd"/>
      <w:r>
        <w:t xml:space="preserve"> et al., 2009). Bacillus subtilis and related endospore-forming bacteria produce lipopeptide antibiotics with broad-spectrum antifungal activity and documented efficacy against economically important pathogens. Trichoderma spp., filamentous fungi that are themselves common components of agricultural soils, </w:t>
      </w:r>
      <w:proofErr w:type="spellStart"/>
      <w:r>
        <w:t>parasitise</w:t>
      </w:r>
      <w:proofErr w:type="spellEnd"/>
      <w:r>
        <w:t xml:space="preserve"> and lyse plant pathogens, produce cell wall-degrading enzymes, and prime systemic plant immunity (</w:t>
      </w:r>
      <w:proofErr w:type="spellStart"/>
      <w:r>
        <w:t>Köhl</w:t>
      </w:r>
      <w:proofErr w:type="spellEnd"/>
      <w:r>
        <w:t xml:space="preserve"> et al., 2019). The practical deployment of these biocontrol mechanisms through inoculant products and soil management practices represents a well-established dimension of integrated pest management that is gaining renewed attention as regulatory restrictions on synthetic fungicide use intensify.</w:t>
      </w:r>
    </w:p>
    <w:p w14:paraId="018F6B3F" w14:textId="77777777" w:rsidR="00DB1D50" w:rsidRDefault="000E558F">
      <w:pPr>
        <w:spacing w:after="160" w:line="360" w:lineRule="auto"/>
        <w:jc w:val="both"/>
      </w:pPr>
      <w:r>
        <w:t xml:space="preserve">Induced systemic resistance (ISR), triggered by PGPR </w:t>
      </w:r>
      <w:proofErr w:type="spellStart"/>
      <w:r>
        <w:t>colonisation</w:t>
      </w:r>
      <w:proofErr w:type="spellEnd"/>
      <w:r>
        <w:t xml:space="preserve"> of roots, primes the plant immune system for faster and stronger responses to subsequent pathogen attack through a salicylate-independent, </w:t>
      </w:r>
      <w:proofErr w:type="spellStart"/>
      <w:r>
        <w:t>jasmonate</w:t>
      </w:r>
      <w:proofErr w:type="spellEnd"/>
      <w:r>
        <w:t xml:space="preserve">/ethylene-dependent </w:t>
      </w:r>
      <w:proofErr w:type="spellStart"/>
      <w:r>
        <w:t>signalling</w:t>
      </w:r>
      <w:proofErr w:type="spellEnd"/>
      <w:r>
        <w:t xml:space="preserve"> pathway that is phenotypically distinct from pathogen-induced systemic acquired resistance (Pieterse et al., 2014). The practical implications are significant: a single PGPR inoculation at sowing can confer protection against foliar pathogens and herbivores for extended periods, suggesting that below-ground microbial </w:t>
      </w:r>
      <w:proofErr w:type="spellStart"/>
      <w:r>
        <w:t>colonisation</w:t>
      </w:r>
      <w:proofErr w:type="spellEnd"/>
      <w:r>
        <w:t xml:space="preserve"> can have systemic and durable effects on above-ground plant </w:t>
      </w:r>
      <w:proofErr w:type="spellStart"/>
      <w:r>
        <w:t>defence</w:t>
      </w:r>
      <w:proofErr w:type="spellEnd"/>
      <w:r>
        <w:t xml:space="preserve">. AMF </w:t>
      </w:r>
      <w:proofErr w:type="spellStart"/>
      <w:r>
        <w:t>colonisation</w:t>
      </w:r>
      <w:proofErr w:type="spellEnd"/>
      <w:r>
        <w:t xml:space="preserve"> also activates a form of systemic resistance termed mycorrhiza-induced resistance, </w:t>
      </w:r>
      <w:proofErr w:type="spellStart"/>
      <w:r>
        <w:t>characterised</w:t>
      </w:r>
      <w:proofErr w:type="spellEnd"/>
      <w:r>
        <w:t xml:space="preserve"> by enhanced priming of </w:t>
      </w:r>
      <w:proofErr w:type="spellStart"/>
      <w:r>
        <w:t>jasmonate</w:t>
      </w:r>
      <w:proofErr w:type="spellEnd"/>
      <w:r>
        <w:t xml:space="preserve">-dependent </w:t>
      </w:r>
      <w:proofErr w:type="spellStart"/>
      <w:r>
        <w:t>defences</w:t>
      </w:r>
      <w:proofErr w:type="spellEnd"/>
      <w:r>
        <w:t xml:space="preserve"> and altered secondary metabolite profiles that reduce susceptibility to both pathogens and herbivores (</w:t>
      </w:r>
      <w:proofErr w:type="spellStart"/>
      <w:r>
        <w:t>Bonfante</w:t>
      </w:r>
      <w:proofErr w:type="spellEnd"/>
      <w:r>
        <w:t xml:space="preserve"> &amp; Genre, 2010).</w:t>
      </w:r>
    </w:p>
    <w:p w14:paraId="76120EF9" w14:textId="77777777" w:rsidR="00DB1D50" w:rsidRDefault="000E558F">
      <w:pPr>
        <w:pStyle w:val="Heading2"/>
      </w:pPr>
      <w:r>
        <w:t>6.3 Competition for Resources and Suppression of Soilborne Pathogens</w:t>
      </w:r>
    </w:p>
    <w:p w14:paraId="2DD5646A" w14:textId="77777777" w:rsidR="00DB1D50" w:rsidRDefault="000E558F">
      <w:pPr>
        <w:spacing w:after="160" w:line="360" w:lineRule="auto"/>
        <w:jc w:val="both"/>
      </w:pPr>
      <w:r>
        <w:t>Beyond antibiosis and ISR, the rhizosphere microbiome suppresses pathogens through competitive exclusion—the pre-emption of niches and resources that would otherwise support pathogen proliferation. Competition for iron mediated by siderophore-producing fluorescent pseudomonads can limit pathogen growth in the rhizosphere under iron-limited conditions, as siderophores produced by beneficial bacteria have higher iron affinity than those of pathogens, effectively starving competing organisms of this essential element (</w:t>
      </w:r>
      <w:proofErr w:type="spellStart"/>
      <w:r>
        <w:t>Raaijmakers</w:t>
      </w:r>
      <w:proofErr w:type="spellEnd"/>
      <w:r>
        <w:t xml:space="preserve"> et al., 2009). Niche competition for </w:t>
      </w:r>
      <w:proofErr w:type="spellStart"/>
      <w:r>
        <w:t>colonisation</w:t>
      </w:r>
      <w:proofErr w:type="spellEnd"/>
      <w:r>
        <w:t xml:space="preserve"> sites on the root surface and within the rhizosphere further constrains pathogen establishment.</w:t>
      </w:r>
    </w:p>
    <w:p w14:paraId="6E7A028F" w14:textId="53CE6EF4" w:rsidR="00DB1D50" w:rsidRDefault="000E558F">
      <w:pPr>
        <w:spacing w:after="160" w:line="360" w:lineRule="auto"/>
        <w:jc w:val="both"/>
      </w:pPr>
      <w:r>
        <w:t>The concept of disease-suppressive soils, now supported by extensive metagenomic evidence, demonstrates that microbial community composition per se</w:t>
      </w:r>
      <w:r w:rsidR="00D67CF8">
        <w:t xml:space="preserve"> </w:t>
      </w:r>
      <w:r>
        <w:t xml:space="preserve">independently of individual biocontrol </w:t>
      </w:r>
      <w:r>
        <w:lastRenderedPageBreak/>
        <w:t>agents</w:t>
      </w:r>
      <w:r w:rsidR="00D67CF8">
        <w:t xml:space="preserve"> </w:t>
      </w:r>
      <w:r>
        <w:t xml:space="preserve">determines the capacity of a soil to suppress introduced pathogens (Mendes et al., 2011). Mendes et al. (2011) employed </w:t>
      </w:r>
      <w:proofErr w:type="spellStart"/>
      <w:r>
        <w:t>PhyloChip</w:t>
      </w:r>
      <w:proofErr w:type="spellEnd"/>
      <w:r>
        <w:t xml:space="preserve">-based metagenomics to compare the microbiomes of suppressive and conducive soils and identified members of the Proteobacteria, Firmicutes, and Actinobacteria as differentially abundant in suppressive soils, with members of the gamma-Proteobacteria demonstrating disease-suppressive activity governed by </w:t>
      </w:r>
      <w:proofErr w:type="spellStart"/>
      <w:r>
        <w:t>nonribosomal</w:t>
      </w:r>
      <w:proofErr w:type="spellEnd"/>
      <w:r>
        <w:t xml:space="preserve"> peptide synthetases, indicating that community-level resistance mechanisms underlie the suppression phenotype. This community perspective on biological control has inspired research into microbiome transplantation and ecological engineering approaches to disease management that seek to restore suppressive capacity to degraded soils.</w:t>
      </w:r>
    </w:p>
    <w:p w14:paraId="59C10FCC" w14:textId="77777777" w:rsidR="00DB1D50" w:rsidRDefault="00DB1D50"/>
    <w:p w14:paraId="5E87FC05" w14:textId="77777777" w:rsidR="00DB1D50" w:rsidRDefault="000E558F">
      <w:pPr>
        <w:pStyle w:val="Heading1"/>
        <w:spacing w:before="320" w:after="160"/>
      </w:pPr>
      <w:r>
        <w:t>7. Microbial–Mycorrhizal Interactions and Community Assembly</w:t>
      </w:r>
    </w:p>
    <w:p w14:paraId="21DC2FC6" w14:textId="77777777" w:rsidR="00DB1D50" w:rsidRDefault="000E558F">
      <w:pPr>
        <w:pStyle w:val="Heading2"/>
      </w:pPr>
      <w:r>
        <w:t>7.1 Synergistic and Antagonistic Interactions</w:t>
      </w:r>
    </w:p>
    <w:p w14:paraId="17217E3F" w14:textId="77777777" w:rsidR="00DB1D50" w:rsidRDefault="000E558F">
      <w:pPr>
        <w:spacing w:after="160" w:line="360" w:lineRule="auto"/>
        <w:jc w:val="both"/>
      </w:pPr>
      <w:r>
        <w:t xml:space="preserve">The soil microbiome does not function as a collection of independent actors but rather as a highly interconnected network of organisms whose activities are shaped by competition, </w:t>
      </w:r>
      <w:proofErr w:type="spellStart"/>
      <w:r>
        <w:t>syntrophy</w:t>
      </w:r>
      <w:proofErr w:type="spellEnd"/>
      <w:r>
        <w:t xml:space="preserve">, </w:t>
      </w:r>
      <w:proofErr w:type="spellStart"/>
      <w:r>
        <w:t>signalling</w:t>
      </w:r>
      <w:proofErr w:type="spellEnd"/>
      <w:r>
        <w:t>, and symbiosis (van der Heijden et al., 2008). Microbial–mycorrhizal interactions are of particular relevance in the rhizosphere, where AMF hyphae create a distinct microhabitat—the mycorrhizosphere—</w:t>
      </w:r>
      <w:proofErr w:type="spellStart"/>
      <w:r>
        <w:t>characterised</w:t>
      </w:r>
      <w:proofErr w:type="spellEnd"/>
      <w:r>
        <w:t xml:space="preserve"> by hyphal exudates, turnover products, and altered root physiology that selectively enriches specific bacterial communities. These 'mycorrhiza helper bacteria'—a functionally defined group including members of Pseudomonas, Bacillus, Streptomyces, and </w:t>
      </w:r>
      <w:proofErr w:type="spellStart"/>
      <w:r>
        <w:t>Paenibacillus</w:t>
      </w:r>
      <w:proofErr w:type="spellEnd"/>
      <w:r>
        <w:t xml:space="preserve">—promote mycorrhizal spore germination, hyphal growth, root </w:t>
      </w:r>
      <w:proofErr w:type="spellStart"/>
      <w:r>
        <w:t>colonisation</w:t>
      </w:r>
      <w:proofErr w:type="spellEnd"/>
      <w:r>
        <w:t xml:space="preserve"> efficiency, and nutrient exchange activity through multiple mechanisms (</w:t>
      </w:r>
      <w:proofErr w:type="spellStart"/>
      <w:r>
        <w:t>Raaijmakers</w:t>
      </w:r>
      <w:proofErr w:type="spellEnd"/>
      <w:r>
        <w:t xml:space="preserve"> et al., 2009).</w:t>
      </w:r>
    </w:p>
    <w:p w14:paraId="7AF4FD04" w14:textId="77777777" w:rsidR="00DB1D50" w:rsidRDefault="000E558F">
      <w:pPr>
        <w:spacing w:after="160" w:line="360" w:lineRule="auto"/>
        <w:jc w:val="both"/>
      </w:pPr>
      <w:r>
        <w:t xml:space="preserve">Conversely, some rhizosphere bacteria produce compounds that inhibit AMF </w:t>
      </w:r>
      <w:proofErr w:type="spellStart"/>
      <w:r>
        <w:t>colonisation</w:t>
      </w:r>
      <w:proofErr w:type="spellEnd"/>
      <w:r>
        <w:t xml:space="preserve">, particularly under high-nutrient conditions where the nutritional benefit of mycorrhizal symbiosis to the plant is reduced. The net outcome of microbial–mycorrhizal interactions for plant performance is therefore not easily predictable from the properties of individual taxa, </w:t>
      </w:r>
      <w:proofErr w:type="spellStart"/>
      <w:r>
        <w:t>emphasising</w:t>
      </w:r>
      <w:proofErr w:type="spellEnd"/>
      <w:r>
        <w:t xml:space="preserve"> the need for community-level approaches that account for interaction networks and ecological context (Trivedi et al., 2020). Synthetic microbial communities composed of functionally complementary taxa—including nitrogen-fixing bacteria, phosphate </w:t>
      </w:r>
      <w:proofErr w:type="spellStart"/>
      <w:r>
        <w:t>solubilisers</w:t>
      </w:r>
      <w:proofErr w:type="spellEnd"/>
      <w:r>
        <w:t xml:space="preserve">, AMF, and biocontrol agents—have emerged as an experimental and potentially practical approach to reconstructing functional microbiomes in degraded </w:t>
      </w:r>
      <w:r>
        <w:lastRenderedPageBreak/>
        <w:t>soils or providing targeted inoculation consortia for specific crop–soil combinations (Kaminsky et al., 2019).</w:t>
      </w:r>
    </w:p>
    <w:p w14:paraId="239B8342" w14:textId="77777777" w:rsidR="00DB1D50" w:rsidRDefault="000E558F">
      <w:pPr>
        <w:pStyle w:val="Heading2"/>
      </w:pPr>
      <w:r>
        <w:t>7.2 Host Genotype and Soil Chemistry in Community Assembly</w:t>
      </w:r>
    </w:p>
    <w:p w14:paraId="200737BF" w14:textId="77777777" w:rsidR="00DB1D50" w:rsidRDefault="000E558F">
      <w:pPr>
        <w:spacing w:after="160" w:line="360" w:lineRule="auto"/>
        <w:jc w:val="both"/>
      </w:pPr>
      <w:r>
        <w:t>The assembly of the rhizosphere and mycorrhizal community is governed by a hierarchical set of filters operating at different scales (</w:t>
      </w:r>
      <w:proofErr w:type="spellStart"/>
      <w:r>
        <w:t>Philippot</w:t>
      </w:r>
      <w:proofErr w:type="spellEnd"/>
      <w:r>
        <w:t xml:space="preserve"> et al., 2013). At the regional scale, the pool of microorganisms available for recruitment is constrained by soil parent material, climate, and land use history. At the field scale, soil pH, texture, nutrient availability, and moisture regime impose chemical and physical filters on community composition. At the plant scale, root exudate chemistry, root architecture, and host immune status further select specific taxa from the regional pool. The relative importance of these filters varies with ecosystem context and has been an active topic of investigation in microbiome research (</w:t>
      </w:r>
      <w:proofErr w:type="spellStart"/>
      <w:r>
        <w:t>Bulgarelli</w:t>
      </w:r>
      <w:proofErr w:type="spellEnd"/>
      <w:r>
        <w:t xml:space="preserve"> et al., 2012).</w:t>
      </w:r>
    </w:p>
    <w:p w14:paraId="1F6AF466" w14:textId="74AB68C1" w:rsidR="00DB1D50" w:rsidRDefault="000E558F" w:rsidP="003C62C2">
      <w:pPr>
        <w:spacing w:after="160" w:line="360" w:lineRule="auto"/>
        <w:jc w:val="both"/>
      </w:pPr>
      <w:r>
        <w:t xml:space="preserve">Plant genotype effects on the rhizosphere microbiome have been documented in numerous crop species, including maize, wheat, barley, and soybean. Different cultivars of the same species can </w:t>
      </w:r>
      <w:proofErr w:type="spellStart"/>
      <w:r>
        <w:t>harbour</w:t>
      </w:r>
      <w:proofErr w:type="spellEnd"/>
      <w:r>
        <w:t xml:space="preserve"> compositionally distinct rhizosphere communities owing to genetic variation in root exudate profiles, root morphology, and immune gene expression (</w:t>
      </w:r>
      <w:proofErr w:type="spellStart"/>
      <w:r>
        <w:t>Schlaeppi</w:t>
      </w:r>
      <w:proofErr w:type="spellEnd"/>
      <w:r>
        <w:t xml:space="preserve"> &amp; </w:t>
      </w:r>
      <w:proofErr w:type="spellStart"/>
      <w:r>
        <w:t>Bulgarelli</w:t>
      </w:r>
      <w:proofErr w:type="spellEnd"/>
      <w:r>
        <w:t xml:space="preserve">, 2015). This observation has profound implications for crop breeding: if cultivar differences in microbiome recruitment are heritable and functionally relevant, it may be possible to breed for microbiome-enhancing traits as part of standard crop improvement </w:t>
      </w:r>
      <w:proofErr w:type="spellStart"/>
      <w:r>
        <w:t>programmes</w:t>
      </w:r>
      <w:proofErr w:type="spellEnd"/>
      <w:r>
        <w:t>, thereby translating microbiome science into varieties that perform better in low-input, ecologically based farming systems.</w:t>
      </w:r>
    </w:p>
    <w:p w14:paraId="652E9D02" w14:textId="77777777" w:rsidR="00DB1D50" w:rsidRDefault="000E558F">
      <w:pPr>
        <w:pStyle w:val="Heading1"/>
        <w:spacing w:before="320" w:after="160"/>
      </w:pPr>
      <w:r>
        <w:t>8. Agroecosystem Sustainability: Management Impacts and the Microbial Workforce</w:t>
      </w:r>
    </w:p>
    <w:p w14:paraId="484A3928" w14:textId="77777777" w:rsidR="00DB1D50" w:rsidRDefault="000E558F">
      <w:pPr>
        <w:pStyle w:val="Heading2"/>
      </w:pPr>
      <w:r>
        <w:t>8.1 Agricultural Intensification and Microbiome Degradation</w:t>
      </w:r>
    </w:p>
    <w:p w14:paraId="627F8ECB" w14:textId="77777777" w:rsidR="00DB1D50" w:rsidRDefault="000E558F">
      <w:pPr>
        <w:spacing w:after="160" w:line="360" w:lineRule="auto"/>
        <w:jc w:val="both"/>
      </w:pPr>
      <w:r>
        <w:t>Intensive agricultural practices—</w:t>
      </w:r>
      <w:proofErr w:type="spellStart"/>
      <w:r>
        <w:t>characterised</w:t>
      </w:r>
      <w:proofErr w:type="spellEnd"/>
      <w:r>
        <w:t xml:space="preserve"> by deep tillage, high synthetic </w:t>
      </w:r>
      <w:proofErr w:type="spellStart"/>
      <w:r>
        <w:t>fertiliser</w:t>
      </w:r>
      <w:proofErr w:type="spellEnd"/>
      <w:r>
        <w:t xml:space="preserve"> and pesticide inputs, monoculture, and minimal organic matter return—have profoundly disrupted the structure and function of soil microbial communities worldwide. Tillage physically disrupts hyphal networks of AMF and other fungi, fragments soil aggregates that provide microbial habitat, and </w:t>
      </w:r>
      <w:proofErr w:type="spellStart"/>
      <w:r>
        <w:t>oxidises</w:t>
      </w:r>
      <w:proofErr w:type="spellEnd"/>
      <w:r>
        <w:t xml:space="preserve"> protected organic matter, with consequences for both mycorrhizal community richness and soil organic carbon stocks. Synthetic nitrogen </w:t>
      </w:r>
      <w:proofErr w:type="spellStart"/>
      <w:r>
        <w:t>fertilisation</w:t>
      </w:r>
      <w:proofErr w:type="spellEnd"/>
      <w:r>
        <w:t xml:space="preserve">, by alleviating the main nutritional incentive for plant investment in mycorrhizal symbiosis, reduces AMF </w:t>
      </w:r>
      <w:proofErr w:type="spellStart"/>
      <w:r>
        <w:t>colonisation</w:t>
      </w:r>
      <w:proofErr w:type="spellEnd"/>
      <w:r>
        <w:t xml:space="preserve"> rates and shifts rhizosphere bacterial </w:t>
      </w:r>
      <w:r>
        <w:lastRenderedPageBreak/>
        <w:t xml:space="preserve">communities towards </w:t>
      </w:r>
      <w:proofErr w:type="spellStart"/>
      <w:r>
        <w:t>copiotrophic</w:t>
      </w:r>
      <w:proofErr w:type="spellEnd"/>
      <w:r>
        <w:t>, fast-growing taxa at the expense of slower-growing oligotrophs that often perform disproportionately important ecological functions (</w:t>
      </w:r>
      <w:proofErr w:type="spellStart"/>
      <w:r>
        <w:t>Treseder</w:t>
      </w:r>
      <w:proofErr w:type="spellEnd"/>
      <w:r>
        <w:t>, 2004; Hartmann et al., 2015).</w:t>
      </w:r>
    </w:p>
    <w:p w14:paraId="5295E4BA" w14:textId="77777777" w:rsidR="00DB1D50" w:rsidRDefault="000E558F">
      <w:pPr>
        <w:spacing w:after="160" w:line="360" w:lineRule="auto"/>
        <w:jc w:val="both"/>
      </w:pPr>
      <w:r>
        <w:t xml:space="preserve">Banerjee et al. (2019) demonstrated through network analysis that agricultural intensification reduces microbial network complexity and diminishes the abundance of keystone taxa—highly connected microbial hub species whose removal disproportionately disrupts network function—both in the bulk soil and within plant roots. This structural simplification of the microbial network under intensive management has functional consequences, including reduced resilience to stress perturbations, impaired nutrient cycling, and diminished disease suppression capacity. The loss of microbial network complexity under intensification may therefore represent a hidden cost of conventional agriculture that, whilst not immediately reflected in yield statistics, contributes to the progressive degradation of soil ecological infrastructure. Pesticide applications can selectively suppress specific microbial functional groups with variable and often poorly documented consequences for soil biological integrity. Fungicide applications at field rates have been shown to reduce AMF spore germination, </w:t>
      </w:r>
      <w:proofErr w:type="spellStart"/>
      <w:r>
        <w:t>colonisation</w:t>
      </w:r>
      <w:proofErr w:type="spellEnd"/>
      <w:r>
        <w:t xml:space="preserve"> rates, and hyphal length density, with implications for crop nutrient acquisition and soil aggregate stability (</w:t>
      </w:r>
      <w:proofErr w:type="spellStart"/>
      <w:r>
        <w:t>Raaijmakers</w:t>
      </w:r>
      <w:proofErr w:type="spellEnd"/>
      <w:r>
        <w:t xml:space="preserve"> et al., 2009).</w:t>
      </w:r>
    </w:p>
    <w:p w14:paraId="5B748B63" w14:textId="77777777" w:rsidR="00DB1D50" w:rsidRDefault="000E558F">
      <w:pPr>
        <w:pStyle w:val="Heading2"/>
      </w:pPr>
      <w:r>
        <w:t>8.2 Organic Farming and Conservation Agriculture</w:t>
      </w:r>
    </w:p>
    <w:p w14:paraId="21142A4F" w14:textId="77777777" w:rsidR="00DB1D50" w:rsidRDefault="000E558F">
      <w:pPr>
        <w:spacing w:after="160" w:line="360" w:lineRule="auto"/>
        <w:jc w:val="both"/>
      </w:pPr>
      <w:r>
        <w:t xml:space="preserve">Organic farming systems, </w:t>
      </w:r>
      <w:proofErr w:type="spellStart"/>
      <w:r>
        <w:t>characterised</w:t>
      </w:r>
      <w:proofErr w:type="spellEnd"/>
      <w:r>
        <w:t xml:space="preserve"> by the exclusion of synthetic pesticides and </w:t>
      </w:r>
      <w:proofErr w:type="spellStart"/>
      <w:r>
        <w:t>fertilisers</w:t>
      </w:r>
      <w:proofErr w:type="spellEnd"/>
      <w:r>
        <w:t xml:space="preserve">, reliance on crop rotations, green manures, compost, and biological pest management, consistently support higher soil microbial biomass, diversity, and activity than comparable conventional systems. Hartmann et al. (2015) employed high-throughput sequencing to demonstrate that long-term organic farming supports distinct microbial communities enriched in taxa associated with complex organic matter decomposition and nutrient </w:t>
      </w:r>
      <w:proofErr w:type="spellStart"/>
      <w:r>
        <w:t>mineralisation</w:t>
      </w:r>
      <w:proofErr w:type="spellEnd"/>
      <w:r>
        <w:t>, with potential benefits for nutrient cycling efficiency and disease suppression. The relative importance of individual organic management components—compost additions, legume rotations, reduced tillage, or pesticide exclusion—in driving microbiome enhancement varies by system and soil type, but the convergent finding across multiple studies is that organic management supports biological soil quality.</w:t>
      </w:r>
    </w:p>
    <w:p w14:paraId="1DA7EE45" w14:textId="77777777" w:rsidR="00DB1D50" w:rsidRDefault="000E558F">
      <w:pPr>
        <w:spacing w:after="160" w:line="360" w:lineRule="auto"/>
        <w:jc w:val="both"/>
      </w:pPr>
      <w:r>
        <w:t xml:space="preserve">Cover cropping, intercropping, and crop rotation diversify the temporal and spatial pattern of root exudate deposition in agricultural soils, supporting greater functional diversity in the rhizosphere microbiome than monoculture cropping. Legume cover crops contribute to both nitrogen fixation and </w:t>
      </w:r>
      <w:r>
        <w:lastRenderedPageBreak/>
        <w:t xml:space="preserve">AMF inoculum maintenance, whilst brassica cover crops provide </w:t>
      </w:r>
      <w:proofErr w:type="spellStart"/>
      <w:r>
        <w:t>glucosinolate</w:t>
      </w:r>
      <w:proofErr w:type="spellEnd"/>
      <w:r>
        <w:t>-derived biofumigants that suppress soilborne pathogens. Perennial polycultures and agroforestry systems, by combining permanent root systems with diverse crop species, create the most microbially rich and functionally complex agricultural microbiomes, approximating the biological integrity of natural ecosystems whilst providing sustainable food and biomass production (</w:t>
      </w:r>
      <w:proofErr w:type="spellStart"/>
      <w:r>
        <w:t>Bardgett</w:t>
      </w:r>
      <w:proofErr w:type="spellEnd"/>
      <w:r>
        <w:t xml:space="preserve"> &amp; van der </w:t>
      </w:r>
      <w:proofErr w:type="spellStart"/>
      <w:r>
        <w:t>Putten</w:t>
      </w:r>
      <w:proofErr w:type="spellEnd"/>
      <w:r>
        <w:t>, 2014). Conservation tillage practices—including no-till and minimum tillage—preserve hyphal networks, protect soil aggregates, and maintain fungal-to-bacterial ratios associated with enhanced carbon sequestration and nutrient cycling efficiency.</w:t>
      </w:r>
    </w:p>
    <w:p w14:paraId="4E6C912D" w14:textId="77777777" w:rsidR="00DB1D50" w:rsidRDefault="000E558F">
      <w:pPr>
        <w:pStyle w:val="Heading2"/>
      </w:pPr>
      <w:r>
        <w:t>8.3 Bioinoculants and Microbial Biotechnologies</w:t>
      </w:r>
    </w:p>
    <w:p w14:paraId="360A4975" w14:textId="77777777" w:rsidR="00DB1D50" w:rsidRDefault="000E558F">
      <w:pPr>
        <w:spacing w:after="160" w:line="360" w:lineRule="auto"/>
        <w:jc w:val="both"/>
      </w:pPr>
      <w:r>
        <w:t xml:space="preserve">The commercial development and application of microbial inoculants—products containing viable populations of beneficial microorganisms applied to seeds, roots, or soil to enhance crop performance—represents a rapidly expanding sector at the interface of soil biology and agricultural biotechnology. Commercially available inoculants include </w:t>
      </w:r>
      <w:proofErr w:type="spellStart"/>
      <w:r>
        <w:t>rhizobial</w:t>
      </w:r>
      <w:proofErr w:type="spellEnd"/>
      <w:r>
        <w:t xml:space="preserve"> strains for legume nodulation, </w:t>
      </w:r>
      <w:proofErr w:type="spellStart"/>
      <w:r>
        <w:t>Azospirillum</w:t>
      </w:r>
      <w:proofErr w:type="spellEnd"/>
      <w:r>
        <w:t>-based inoculants for cereal crops, phosphate-</w:t>
      </w:r>
      <w:proofErr w:type="spellStart"/>
      <w:r>
        <w:t>solubilising</w:t>
      </w:r>
      <w:proofErr w:type="spellEnd"/>
      <w:r>
        <w:t xml:space="preserve"> bacteria consortia, Bacillus-based biocontrol agents, and AMF-based products for diverse horticultural and field crops (Bhattacharyya &amp; Jha, 2012; </w:t>
      </w:r>
      <w:proofErr w:type="spellStart"/>
      <w:r>
        <w:t>Compant</w:t>
      </w:r>
      <w:proofErr w:type="spellEnd"/>
      <w:r>
        <w:t xml:space="preserve"> et al., 2010). The global </w:t>
      </w:r>
      <w:proofErr w:type="spellStart"/>
      <w:r>
        <w:t>biofertiliser</w:t>
      </w:r>
      <w:proofErr w:type="spellEnd"/>
      <w:r>
        <w:t xml:space="preserve"> market has grown substantially over the past two decades, driven by demand for nitrogen-fixing and phosphate-</w:t>
      </w:r>
      <w:proofErr w:type="spellStart"/>
      <w:r>
        <w:t>solubilising</w:t>
      </w:r>
      <w:proofErr w:type="spellEnd"/>
      <w:r>
        <w:t xml:space="preserve"> inoculants, and is projected to continue expanding as regulatory and economic pressures </w:t>
      </w:r>
      <w:proofErr w:type="spellStart"/>
      <w:r>
        <w:t>incentivise</w:t>
      </w:r>
      <w:proofErr w:type="spellEnd"/>
      <w:r>
        <w:t xml:space="preserve"> reductions in synthetic </w:t>
      </w:r>
      <w:proofErr w:type="spellStart"/>
      <w:r>
        <w:t>fertiliser</w:t>
      </w:r>
      <w:proofErr w:type="spellEnd"/>
      <w:r>
        <w:t xml:space="preserve"> use.</w:t>
      </w:r>
    </w:p>
    <w:p w14:paraId="7576E354" w14:textId="6EDEAE05" w:rsidR="00DB1D50" w:rsidRDefault="000E558F" w:rsidP="003C62C2">
      <w:pPr>
        <w:spacing w:after="160" w:line="360" w:lineRule="auto"/>
        <w:jc w:val="both"/>
      </w:pPr>
      <w:r>
        <w:t>Despite their demonstrated efficacy under controlled conditions and in specific field settings, bioinoculants face substantial challenges in achieving consistent performance across the diversity of soil types, climate zones, crop genotypes, and management systems encountered in practical agriculture. Inoculant survival in soil and on seed surfaces is highly variable, influenced by soil temperature, pH, moisture, indigenous microbial competition, and formulation quality. The establishment and persistence of introduced microbial strains in soils with well-developed indigenous communities is often limited, particularly in soils with low disturbance histories (Kaminsky et al., 2019). The efficacy of AMF inoculants in field conditions has been a subject of considerable debate, with studies reporting highly variable outcomes ranging from substantial yield improvements to neutral or negative effects depending on soil indigenous AMF community richness, soil phosphorus status, crop genotype, and AMF product quality (</w:t>
      </w:r>
      <w:proofErr w:type="spellStart"/>
      <w:r>
        <w:t>Ortas</w:t>
      </w:r>
      <w:proofErr w:type="spellEnd"/>
      <w:r>
        <w:t xml:space="preserve">, 2012). In soils with a diverse and active </w:t>
      </w:r>
      <w:r>
        <w:lastRenderedPageBreak/>
        <w:t>indigenous AMF community, introduced strains frequently fail to establish as significant partners, and the agronomic benefit is negligible, underscoring the importance of soil biological baseline assessment before inoculant recommendations are made.</w:t>
      </w:r>
    </w:p>
    <w:p w14:paraId="6CFBF118" w14:textId="77777777" w:rsidR="00DB1D50" w:rsidRDefault="000E558F">
      <w:pPr>
        <w:pStyle w:val="Heading1"/>
        <w:spacing w:before="320" w:after="160"/>
      </w:pPr>
      <w:r>
        <w:t>9. Advances in Microbiome Research and Future Perspectives</w:t>
      </w:r>
    </w:p>
    <w:p w14:paraId="185D0EFF" w14:textId="77777777" w:rsidR="00DB1D50" w:rsidRDefault="000E558F">
      <w:pPr>
        <w:pStyle w:val="Heading2"/>
      </w:pPr>
      <w:r>
        <w:t>9.1 Meta-omics and Systems Biology Approaches</w:t>
      </w:r>
    </w:p>
    <w:p w14:paraId="4515080E" w14:textId="77777777" w:rsidR="00DB1D50" w:rsidRDefault="000E558F">
      <w:pPr>
        <w:spacing w:after="160" w:line="360" w:lineRule="auto"/>
        <w:jc w:val="both"/>
      </w:pPr>
      <w:r>
        <w:t xml:space="preserve">The past two decades have witnessed a revolution in the tools available for </w:t>
      </w:r>
      <w:proofErr w:type="spellStart"/>
      <w:r>
        <w:t>characterising</w:t>
      </w:r>
      <w:proofErr w:type="spellEnd"/>
      <w:r>
        <w:t xml:space="preserve"> soil microbial communities, moving from culture-dependent methods that accessed less than 1% of soil bacterial diversity to comprehensive culture-independent approaches that capture the full breadth of microbial community composition and function. Amplicon sequencing of phylogenetically informative marker genes enables taxonomic profiling of entire communities from environmental samples without prior cultivation, whilst shotgun metagenomics provides direct access to the functional gene complement encoded by the community. </w:t>
      </w:r>
      <w:proofErr w:type="spellStart"/>
      <w:r>
        <w:t>Metatranscriptomics</w:t>
      </w:r>
      <w:proofErr w:type="spellEnd"/>
      <w:r>
        <w:t xml:space="preserve">—the analysis of community-wide mRNA profiles—reveals which genes are actively expressed under specific conditions, providing a dynamic functional snapshot of microbial activity. </w:t>
      </w:r>
      <w:proofErr w:type="spellStart"/>
      <w:r>
        <w:t>Metaproteomics</w:t>
      </w:r>
      <w:proofErr w:type="spellEnd"/>
      <w:r>
        <w:t xml:space="preserve"> and metabolomics further extend this toolkit to the protein and metabolite levels, enabling the direct quantification of enzymatic activities and metabolic fluxes at the community scale (</w:t>
      </w:r>
      <w:proofErr w:type="spellStart"/>
      <w:r>
        <w:t>Fierer</w:t>
      </w:r>
      <w:proofErr w:type="spellEnd"/>
      <w:r>
        <w:t>, 2017; Trivedi et al., 2020).</w:t>
      </w:r>
    </w:p>
    <w:p w14:paraId="52E2DC7F" w14:textId="77777777" w:rsidR="00DB1D50" w:rsidRDefault="000E558F">
      <w:pPr>
        <w:spacing w:after="160" w:line="360" w:lineRule="auto"/>
        <w:jc w:val="both"/>
      </w:pPr>
      <w:r>
        <w:t>These meta-omics approaches have substantially deepened understanding of rhizosphere microbiome assembly, function, and response to management. Network analysis tools, applied to co-occurrence patterns in microbiome datasets, have identified keystone taxa—microbial hub species whose removal disproportionately disrupts community connectivity—as potential targets for monitoring and management interventions (Banerjee et al., 2019). However, the translation of microbiome data into actionable management recommendations remains a significant challenge, owing to the complexity of microbial community dynamics, the context-specificity of microbiome–function relationships, and the limitations of correlational approaches for establishing causality. Multi-omics integration frameworks that simultaneously interrogate genomic, transcriptomic, proteomic, and metabolomic layers hold considerable promise for constructing mechanistically resolved models of rhizosphere microbiome function.</w:t>
      </w:r>
    </w:p>
    <w:p w14:paraId="6431E50D" w14:textId="77777777" w:rsidR="00DB1D50" w:rsidRDefault="000E558F">
      <w:pPr>
        <w:pStyle w:val="Heading2"/>
      </w:pPr>
      <w:r>
        <w:t>9.2 Climate Change and Shifting Microbiome Dynamics</w:t>
      </w:r>
    </w:p>
    <w:p w14:paraId="692D19A8" w14:textId="77777777" w:rsidR="00DB1D50" w:rsidRDefault="000E558F">
      <w:pPr>
        <w:spacing w:after="160" w:line="360" w:lineRule="auto"/>
        <w:jc w:val="both"/>
      </w:pPr>
      <w:r>
        <w:lastRenderedPageBreak/>
        <w:t>Climate change is expected to alter soil microbial community composition, activity, and function through multiple interacting pathways: rising temperatures directly accelerate microbial metabolic rates and shift community structure towards heat-tolerant taxa; altered precipitation patterns change soil moisture regimes that strongly influence community composition; elevated carbon dioxide stimulates root exudate production and rhizosphere priming; and extreme weather events create episodic stress events that select for resistant or resilient community configurations (</w:t>
      </w:r>
      <w:proofErr w:type="spellStart"/>
      <w:r>
        <w:t>Bardgett</w:t>
      </w:r>
      <w:proofErr w:type="spellEnd"/>
      <w:r>
        <w:t xml:space="preserve"> &amp; van der </w:t>
      </w:r>
      <w:proofErr w:type="spellStart"/>
      <w:r>
        <w:t>Putten</w:t>
      </w:r>
      <w:proofErr w:type="spellEnd"/>
      <w:r>
        <w:t xml:space="preserve">, 2014). These climate-driven changes in soil microbiome composition and function will in turn </w:t>
      </w:r>
      <w:proofErr w:type="spellStart"/>
      <w:r>
        <w:t>feed back</w:t>
      </w:r>
      <w:proofErr w:type="spellEnd"/>
      <w:r>
        <w:t xml:space="preserve"> on ecosystem carbon cycling, nitrogen </w:t>
      </w:r>
      <w:proofErr w:type="spellStart"/>
      <w:r>
        <w:t>mineralisation</w:t>
      </w:r>
      <w:proofErr w:type="spellEnd"/>
      <w:r>
        <w:t>, and plant–microbe mutualisms, potentially altering the services provided by the microbial workforce in agroecosystems.</w:t>
      </w:r>
    </w:p>
    <w:p w14:paraId="023E3E7E" w14:textId="77777777" w:rsidR="00DB1D50" w:rsidRDefault="000E558F">
      <w:pPr>
        <w:spacing w:after="160" w:line="360" w:lineRule="auto"/>
        <w:jc w:val="both"/>
      </w:pPr>
      <w:r>
        <w:t xml:space="preserve">The mycorrhizal response to climate change is particularly complex and uncertain. Elevated carbon dioxide generally increases plant carbon allocation to AMF, potentially strengthening the mycorrhizal nutrient acquisition pathway and contributing to soil carbon accumulation. However, warming and drought can reduce AMF hyphal viability and spore germination, whilst altered precipitation patterns may disrupt the seasonal dynamics of mycorrhizal </w:t>
      </w:r>
      <w:proofErr w:type="spellStart"/>
      <w:r>
        <w:t>colonisation</w:t>
      </w:r>
      <w:proofErr w:type="spellEnd"/>
      <w:r>
        <w:t xml:space="preserve"> (</w:t>
      </w:r>
      <w:proofErr w:type="spellStart"/>
      <w:r>
        <w:t>Treseder</w:t>
      </w:r>
      <w:proofErr w:type="spellEnd"/>
      <w:r>
        <w:t>, 2004). The interactive effects of multiple climate change drivers on mycorrhizal function in agricultural systems represent a significant knowledge gap requiring investigation through manipulative experiments and long-term field observations. Understanding the resilience and adaptive capacity of soil microbial communities under climate change scenarios is essential for anticipating the future performance of ecologically based farming systems.</w:t>
      </w:r>
    </w:p>
    <w:p w14:paraId="28F00FF0" w14:textId="77777777" w:rsidR="00DB1D50" w:rsidRDefault="000E558F">
      <w:pPr>
        <w:pStyle w:val="Heading2"/>
      </w:pPr>
      <w:r>
        <w:t>9.3 Microbiome Engineering and Precision Agriculture</w:t>
      </w:r>
    </w:p>
    <w:p w14:paraId="1CA02B74" w14:textId="77777777" w:rsidR="00DB1D50" w:rsidRDefault="000E558F">
      <w:pPr>
        <w:spacing w:after="160" w:line="360" w:lineRule="auto"/>
        <w:jc w:val="both"/>
      </w:pPr>
      <w:r>
        <w:t xml:space="preserve">The emerging field of microbiome engineering—the deliberate manipulation of soil and plant-associated microbial communities to achieve desired functional outcomes—offers transformative possibilities for sustainable agriculture. Approaches under investigation include the design and application of synthetic microbial communities composed of functionally complementary taxa screened for compatibility and efficacy; the use of prebiotic compounds—root exudate analogues, specific organic amendments, or carbon substrates—to selectively enrich beneficial microbial taxa in situ; and the modification of crop plants to enhance their microbiome-recruiting capacities (Kaminsky et al., 2019). The integration of microbiome data into precision agriculture frameworks, combining soil biological assessment with variable-rate input management, represents an emerging frontier in </w:t>
      </w:r>
      <w:r>
        <w:lastRenderedPageBreak/>
        <w:t xml:space="preserve">which spatial maps of soil microbial diversity and function inform site-specific management decisions that </w:t>
      </w:r>
      <w:proofErr w:type="spellStart"/>
      <w:r>
        <w:t>optimise</w:t>
      </w:r>
      <w:proofErr w:type="spellEnd"/>
      <w:r>
        <w:t xml:space="preserve"> both productivity and ecological sustainability.</w:t>
      </w:r>
    </w:p>
    <w:p w14:paraId="47AFD3A3" w14:textId="77777777" w:rsidR="00DB1D50" w:rsidRDefault="000E558F">
      <w:pPr>
        <w:spacing w:after="160" w:line="360" w:lineRule="auto"/>
        <w:jc w:val="both"/>
      </w:pPr>
      <w:r>
        <w:t xml:space="preserve">The prospect of soil microbiome-based diagnostics for predicting crop performance, nutrient availability, or disease risk is advancing rapidly, driven by declining sequencing costs and the development of machine-learning algorithms capable of identifying predictive microbial biomarkers from complex community datasets (Trivedi et al., 2020). Soil health scoring systems that incorporate biological indicators alongside conventional physical and chemical parameters are increasingly advocated by soil scientists and agricultural policymakers as tools for benchmarking the ecological condition of farmed soils and </w:t>
      </w:r>
      <w:proofErr w:type="spellStart"/>
      <w:r>
        <w:t>incentivising</w:t>
      </w:r>
      <w:proofErr w:type="spellEnd"/>
      <w:r>
        <w:t xml:space="preserve"> management practices that rebuild biological capital. The development of such systems requires robust links between microbial community metrics and meaningful outcomes in terms of crop productivity, nutrient use efficiency, and ecosystem service provision—links that are currently being established through large-scale observational studies and manipulative experiments worldwide.</w:t>
      </w:r>
    </w:p>
    <w:p w14:paraId="3F56ED88" w14:textId="77777777" w:rsidR="00DB1D50" w:rsidRDefault="00DB1D50"/>
    <w:p w14:paraId="04E341AB" w14:textId="77777777" w:rsidR="00DB1D50" w:rsidRDefault="000E558F">
      <w:pPr>
        <w:pStyle w:val="Heading1"/>
        <w:spacing w:before="320" w:after="160"/>
      </w:pPr>
      <w:r>
        <w:t>10. Conclusions</w:t>
      </w:r>
    </w:p>
    <w:p w14:paraId="1D5AE6A2" w14:textId="77777777" w:rsidR="00DB1D50" w:rsidRDefault="000E558F">
      <w:pPr>
        <w:spacing w:after="160" w:line="360" w:lineRule="auto"/>
        <w:jc w:val="both"/>
      </w:pPr>
      <w:r>
        <w:t xml:space="preserve">The body of evidence reviewed here supports an unambiguous conclusion: the soil microbial community and mycorrhizal networks constitute a hidden yet indispensable biological workforce whose activities underpin the resilience, productivity, and sustainability of agroecosystems. The mechanistic understanding of how rhizosphere bacteria fix nitrogen, </w:t>
      </w:r>
      <w:proofErr w:type="spellStart"/>
      <w:r>
        <w:t>solubilise</w:t>
      </w:r>
      <w:proofErr w:type="spellEnd"/>
      <w:r>
        <w:t xml:space="preserve"> phosphorus, produce phytohormones, degrade stress ethylene, and prime plant immunity has advanced dramatically over the past two decades, providing a solid biochemical and molecular foundation for the development of microbiome-based crop management strategies. The </w:t>
      </w:r>
      <w:proofErr w:type="spellStart"/>
      <w:r>
        <w:t>ecophysiological</w:t>
      </w:r>
      <w:proofErr w:type="spellEnd"/>
      <w:r>
        <w:t xml:space="preserve"> understanding of how AMF extend plant nutrient foraging capacity, </w:t>
      </w:r>
      <w:proofErr w:type="spellStart"/>
      <w:r>
        <w:t>stabilise</w:t>
      </w:r>
      <w:proofErr w:type="spellEnd"/>
      <w:r>
        <w:t xml:space="preserve"> soil structure, moderate plant water relations, and activate systemic </w:t>
      </w:r>
      <w:proofErr w:type="spellStart"/>
      <w:r>
        <w:t>defences</w:t>
      </w:r>
      <w:proofErr w:type="spellEnd"/>
      <w:r>
        <w:t xml:space="preserve"> has reached a level of detail sufficient to inform practical management recommendations in a range of agronomic contexts.</w:t>
      </w:r>
    </w:p>
    <w:p w14:paraId="434EA074" w14:textId="77777777" w:rsidR="00DB1D50" w:rsidRDefault="000E558F">
      <w:pPr>
        <w:spacing w:after="160" w:line="360" w:lineRule="auto"/>
        <w:jc w:val="both"/>
      </w:pPr>
      <w:r>
        <w:t>Agricultural intensification poses the most pervasive and severe threat to soil microbial diversity and function, acting through physical disruption of fungal networks, suppression of mycorrhizal associations by excess nutrients, reduction of microbial community complexity by agrochemicals, and elimination of organic matter inputs that sustain diverse microbial food webs. The evidence from long-</w:t>
      </w:r>
      <w:r>
        <w:lastRenderedPageBreak/>
        <w:t>term field experiments and comparative ecosystem studies consistently shows that organic farming, conservation tillage, diverse crop rotations, and targeted bioinoculant application restore and enhance soil biological communities, with measurable benefits for nutrient cycling efficiency, disease suppression, and crop performance under stress.</w:t>
      </w:r>
    </w:p>
    <w:p w14:paraId="3A6E668C" w14:textId="77777777" w:rsidR="00DB1D50" w:rsidRDefault="000E558F">
      <w:pPr>
        <w:spacing w:after="160" w:line="360" w:lineRule="auto"/>
        <w:jc w:val="both"/>
      </w:pPr>
      <w:r>
        <w:t xml:space="preserve">The path towards truly sustainable agriculture requires a fundamental reorientation of agronomy from a discipline focused on </w:t>
      </w:r>
      <w:proofErr w:type="spellStart"/>
      <w:r>
        <w:t>optimising</w:t>
      </w:r>
      <w:proofErr w:type="spellEnd"/>
      <w:r>
        <w:t xml:space="preserve"> chemical inputs to one that manages and enhances biological processes. The soil microbiome and mycorrhizal networks are not merely </w:t>
      </w:r>
      <w:proofErr w:type="gramStart"/>
      <w:r>
        <w:t>supplements</w:t>
      </w:r>
      <w:proofErr w:type="gramEnd"/>
      <w:r>
        <w:t xml:space="preserve"> to chemical fertility management but the very biological foundation upon which sustainable food production must be built. </w:t>
      </w:r>
      <w:proofErr w:type="spellStart"/>
      <w:r>
        <w:t>Realising</w:t>
      </w:r>
      <w:proofErr w:type="spellEnd"/>
      <w:r>
        <w:t xml:space="preserve"> the full potential of this hidden workforce demands integrated research spanning molecular biology, ecology, agronomy, and social science, as well as a policy environment that rewards biological stewardship and </w:t>
      </w:r>
      <w:proofErr w:type="spellStart"/>
      <w:r>
        <w:t>incentivises</w:t>
      </w:r>
      <w:proofErr w:type="spellEnd"/>
      <w:r>
        <w:t xml:space="preserve"> the transition from chemically dependent to biologically grounded farming systems. The cumulative scientific evidence compels a recognition that soil biological health is not a peripheral concern of agricultural sustainability but </w:t>
      </w:r>
      <w:proofErr w:type="spellStart"/>
      <w:r>
        <w:t>its</w:t>
      </w:r>
      <w:proofErr w:type="spellEnd"/>
      <w:r>
        <w:t xml:space="preserve"> very cornerstone.</w:t>
      </w:r>
    </w:p>
    <w:p w14:paraId="3860CB9F" w14:textId="77777777" w:rsidR="00DB1D50" w:rsidRDefault="00DB1D50"/>
    <w:p w14:paraId="74706687" w14:textId="77777777" w:rsidR="00DB1D50" w:rsidRDefault="000E558F">
      <w:pPr>
        <w:pStyle w:val="Heading1"/>
        <w:spacing w:before="320" w:after="160"/>
      </w:pPr>
      <w:r>
        <w:t>11. Limitations</w:t>
      </w:r>
    </w:p>
    <w:p w14:paraId="171A4C18" w14:textId="77777777" w:rsidR="00DB1D50" w:rsidRDefault="000E558F">
      <w:pPr>
        <w:spacing w:after="160" w:line="360" w:lineRule="auto"/>
        <w:jc w:val="both"/>
      </w:pPr>
      <w:r>
        <w:t>This review, as a narrative synthesis rather than a systematic meta-analysis, is subject to inherent limitations that should be considered when interpreting its conclusions. The literature selection process, whilst guided by explicit search criteria, involved qualitative judgements regarding relevance and representativeness that introduce some element of subjectivity and may have resulted in the under-representation of findings from non-English-language literature. The breadth of the subject matter—spanning microbial ecology, mycorrhizal biology, plant physiology, agronomy, and sustainability science—necessitated selective rather than exhaustive coverage of individual topics, and certain subtopics, including archaeal contributions to nutrient cycling, viral ecology of soils, and protist predation effects on microbial communities, received less attention than their ecological importance might warrant.</w:t>
      </w:r>
    </w:p>
    <w:p w14:paraId="66E602B8" w14:textId="47AC34AC" w:rsidR="00DB1D50" w:rsidRDefault="000E558F">
      <w:pPr>
        <w:spacing w:after="160" w:line="360" w:lineRule="auto"/>
        <w:jc w:val="both"/>
      </w:pPr>
      <w:r>
        <w:t xml:space="preserve">The primary literature on which this review is based is dominated by studies conducted in temperate agricultural systems of Europe and North America, and the </w:t>
      </w:r>
      <w:proofErr w:type="spellStart"/>
      <w:r>
        <w:t>generalisability</w:t>
      </w:r>
      <w:proofErr w:type="spellEnd"/>
      <w:r>
        <w:t xml:space="preserve"> of many findings to tropical, arid, and subtropical agroecosystems—where a significant proportion of global food production occurs—should be evaluated with appropriate caution. Furthermore, the rapidly evolving </w:t>
      </w:r>
      <w:r>
        <w:lastRenderedPageBreak/>
        <w:t>nature of microbiome research means that some conclusions drawn from current literature may be subject to revision as new methodologies, long-term datasets, and mechanistic insights emerge. The absence of quantitative synthesis precludes definitive effect-size estimates for the magnitude of microbial contributions to individual crop performance metrics, and readers seeking such estimates are directed to the growing body of systematic reviews and meta-analyses addressing specific aspects of the topics covered here.</w:t>
      </w:r>
    </w:p>
    <w:p w14:paraId="552F1800" w14:textId="77777777" w:rsidR="00801911" w:rsidRPr="00801911" w:rsidRDefault="00801911" w:rsidP="00801911">
      <w:pPr>
        <w:spacing w:after="160" w:line="360" w:lineRule="auto"/>
        <w:jc w:val="both"/>
        <w:rPr>
          <w:b/>
        </w:rPr>
      </w:pPr>
      <w:r w:rsidRPr="00801911">
        <w:rPr>
          <w:b/>
        </w:rPr>
        <w:t>Disclaimer (Artificial intelligence)</w:t>
      </w:r>
    </w:p>
    <w:p w14:paraId="4D2236BA" w14:textId="663B5F9A" w:rsidR="00801911" w:rsidRDefault="00801911" w:rsidP="00801911">
      <w:pPr>
        <w:spacing w:after="160" w:line="360" w:lineRule="auto"/>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21032A0F" w14:textId="77777777" w:rsidR="00DB1D50" w:rsidRDefault="00DB1D50"/>
    <w:p w14:paraId="1171336E" w14:textId="77777777" w:rsidR="00DB1D50" w:rsidRDefault="000E558F">
      <w:pPr>
        <w:pStyle w:val="Heading1"/>
        <w:spacing w:before="320" w:after="160"/>
      </w:pPr>
      <w:r>
        <w:t>References</w:t>
      </w:r>
    </w:p>
    <w:p w14:paraId="3ECEBC5B"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Ahemad</w:t>
      </w:r>
      <w:proofErr w:type="spellEnd"/>
      <w:r w:rsidRPr="00801911">
        <w:rPr>
          <w:sz w:val="22"/>
          <w:szCs w:val="22"/>
        </w:rPr>
        <w:t xml:space="preserve">, M., &amp; </w:t>
      </w:r>
      <w:proofErr w:type="spellStart"/>
      <w:r w:rsidRPr="00801911">
        <w:rPr>
          <w:sz w:val="22"/>
          <w:szCs w:val="22"/>
        </w:rPr>
        <w:t>Kibret</w:t>
      </w:r>
      <w:proofErr w:type="spellEnd"/>
      <w:r w:rsidRPr="00801911">
        <w:rPr>
          <w:sz w:val="22"/>
          <w:szCs w:val="22"/>
        </w:rPr>
        <w:t xml:space="preserve">, M. (2014). Mechanisms and applications of plant growth promoting rhizobacteria: Current perspective. Journal of King Saud University – Science, 26(1), 1–20. </w:t>
      </w:r>
      <w:hyperlink r:id="rId7" w:history="1">
        <w:r w:rsidR="00885919" w:rsidRPr="00801911">
          <w:rPr>
            <w:rStyle w:val="Hyperlink"/>
            <w:sz w:val="22"/>
            <w:szCs w:val="22"/>
          </w:rPr>
          <w:t>https://doi.org/10.1016/j.jksus.2013.05.001</w:t>
        </w:r>
      </w:hyperlink>
      <w:r w:rsidR="00885919" w:rsidRPr="00801911">
        <w:rPr>
          <w:sz w:val="22"/>
          <w:szCs w:val="22"/>
        </w:rPr>
        <w:t xml:space="preserve"> </w:t>
      </w:r>
    </w:p>
    <w:p w14:paraId="1C1CCE25" w14:textId="77777777" w:rsidR="00DB1D50" w:rsidRDefault="000E558F" w:rsidP="00801911">
      <w:pPr>
        <w:pStyle w:val="ListParagraph"/>
        <w:numPr>
          <w:ilvl w:val="0"/>
          <w:numId w:val="2"/>
        </w:numPr>
        <w:spacing w:after="120" w:line="360" w:lineRule="auto"/>
        <w:jc w:val="both"/>
      </w:pPr>
      <w:r w:rsidRPr="00801911">
        <w:rPr>
          <w:sz w:val="22"/>
          <w:szCs w:val="22"/>
        </w:rPr>
        <w:t xml:space="preserve">Banerjee, S., </w:t>
      </w:r>
      <w:proofErr w:type="spellStart"/>
      <w:r w:rsidRPr="00801911">
        <w:rPr>
          <w:sz w:val="22"/>
          <w:szCs w:val="22"/>
        </w:rPr>
        <w:t>Walder</w:t>
      </w:r>
      <w:proofErr w:type="spellEnd"/>
      <w:r w:rsidRPr="00801911">
        <w:rPr>
          <w:sz w:val="22"/>
          <w:szCs w:val="22"/>
        </w:rPr>
        <w:t xml:space="preserve">, F., </w:t>
      </w:r>
      <w:proofErr w:type="spellStart"/>
      <w:r w:rsidRPr="00801911">
        <w:rPr>
          <w:sz w:val="22"/>
          <w:szCs w:val="22"/>
        </w:rPr>
        <w:t>Büchi</w:t>
      </w:r>
      <w:proofErr w:type="spellEnd"/>
      <w:r w:rsidRPr="00801911">
        <w:rPr>
          <w:sz w:val="22"/>
          <w:szCs w:val="22"/>
        </w:rPr>
        <w:t xml:space="preserve">, L., Meyer, M., Held, A. Y., </w:t>
      </w:r>
      <w:proofErr w:type="spellStart"/>
      <w:r w:rsidRPr="00801911">
        <w:rPr>
          <w:sz w:val="22"/>
          <w:szCs w:val="22"/>
        </w:rPr>
        <w:t>Gattinger</w:t>
      </w:r>
      <w:proofErr w:type="spellEnd"/>
      <w:r w:rsidRPr="00801911">
        <w:rPr>
          <w:sz w:val="22"/>
          <w:szCs w:val="22"/>
        </w:rPr>
        <w:t xml:space="preserve">, A., Keller, T., Charles, R., &amp; van der Heijden, M. G. A. (2019). Agricultural intensification reduces microbial network complexity and the abundance of keystone taxa in roots. ISME Journal, 13(7), 1722–1736. </w:t>
      </w:r>
      <w:hyperlink r:id="rId8" w:history="1">
        <w:r w:rsidR="00885919" w:rsidRPr="00801911">
          <w:rPr>
            <w:rStyle w:val="Hyperlink"/>
            <w:sz w:val="22"/>
            <w:szCs w:val="22"/>
          </w:rPr>
          <w:t>https://doi.org/10.1038/s41396-019-0383-2</w:t>
        </w:r>
      </w:hyperlink>
      <w:r w:rsidR="00885919" w:rsidRPr="00801911">
        <w:rPr>
          <w:sz w:val="22"/>
          <w:szCs w:val="22"/>
        </w:rPr>
        <w:t xml:space="preserve"> </w:t>
      </w:r>
    </w:p>
    <w:p w14:paraId="181D282D"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Bardgett</w:t>
      </w:r>
      <w:proofErr w:type="spellEnd"/>
      <w:r w:rsidRPr="00801911">
        <w:rPr>
          <w:sz w:val="22"/>
          <w:szCs w:val="22"/>
        </w:rPr>
        <w:t xml:space="preserve">, R. D., &amp; van der </w:t>
      </w:r>
      <w:proofErr w:type="spellStart"/>
      <w:r w:rsidRPr="00801911">
        <w:rPr>
          <w:sz w:val="22"/>
          <w:szCs w:val="22"/>
        </w:rPr>
        <w:t>Putten</w:t>
      </w:r>
      <w:proofErr w:type="spellEnd"/>
      <w:r w:rsidRPr="00801911">
        <w:rPr>
          <w:sz w:val="22"/>
          <w:szCs w:val="22"/>
        </w:rPr>
        <w:t xml:space="preserve">, W. H. (2014). Belowground biodiversity and ecosystem functioning. Nature, 515(7528), 505–511. </w:t>
      </w:r>
      <w:hyperlink r:id="rId9" w:history="1">
        <w:r w:rsidR="00885919" w:rsidRPr="00801911">
          <w:rPr>
            <w:rStyle w:val="Hyperlink"/>
            <w:sz w:val="22"/>
            <w:szCs w:val="22"/>
          </w:rPr>
          <w:t>https://doi.org/10.1038/nature13855</w:t>
        </w:r>
      </w:hyperlink>
      <w:r w:rsidR="00885919" w:rsidRPr="00801911">
        <w:rPr>
          <w:sz w:val="22"/>
          <w:szCs w:val="22"/>
        </w:rPr>
        <w:t xml:space="preserve"> </w:t>
      </w:r>
    </w:p>
    <w:p w14:paraId="319B0BCF" w14:textId="77777777" w:rsidR="00DB1D50" w:rsidRDefault="000E558F" w:rsidP="00801911">
      <w:pPr>
        <w:pStyle w:val="ListParagraph"/>
        <w:numPr>
          <w:ilvl w:val="0"/>
          <w:numId w:val="2"/>
        </w:numPr>
        <w:spacing w:after="120" w:line="360" w:lineRule="auto"/>
        <w:jc w:val="both"/>
      </w:pPr>
      <w:r w:rsidRPr="00801911">
        <w:rPr>
          <w:sz w:val="22"/>
          <w:szCs w:val="22"/>
        </w:rPr>
        <w:t xml:space="preserve">Berendsen, R. L., Pieterse, C. M. J., &amp; Bakker, P. A. H. M. (2012). The rhizosphere microbiome and plant health. Trends in Plant Science, 17(8), 478–486. </w:t>
      </w:r>
      <w:hyperlink r:id="rId10" w:history="1">
        <w:r w:rsidR="00885919" w:rsidRPr="00801911">
          <w:rPr>
            <w:rStyle w:val="Hyperlink"/>
            <w:sz w:val="22"/>
            <w:szCs w:val="22"/>
          </w:rPr>
          <w:t>https://doi.org/10.1016/j.tplants.2012.04.001</w:t>
        </w:r>
      </w:hyperlink>
      <w:r w:rsidR="00885919" w:rsidRPr="00801911">
        <w:rPr>
          <w:sz w:val="22"/>
          <w:szCs w:val="22"/>
        </w:rPr>
        <w:t xml:space="preserve"> </w:t>
      </w:r>
    </w:p>
    <w:p w14:paraId="2420C64A" w14:textId="77777777" w:rsidR="00DB1D50" w:rsidRDefault="000E558F" w:rsidP="00801911">
      <w:pPr>
        <w:pStyle w:val="ListParagraph"/>
        <w:numPr>
          <w:ilvl w:val="0"/>
          <w:numId w:val="2"/>
        </w:numPr>
        <w:spacing w:after="120" w:line="360" w:lineRule="auto"/>
        <w:jc w:val="both"/>
      </w:pPr>
      <w:r w:rsidRPr="00801911">
        <w:rPr>
          <w:sz w:val="22"/>
          <w:szCs w:val="22"/>
        </w:rPr>
        <w:t xml:space="preserve">Bhattacharyya, P. N., &amp; Jha, D. K. (2012). Plant growth-promoting rhizobacteria (PGPR): Emergence in agriculture. World Journal of Microbiology and Biotechnology, 28(4), 1327–1350. </w:t>
      </w:r>
      <w:hyperlink r:id="rId11" w:history="1">
        <w:r w:rsidR="00885919" w:rsidRPr="00801911">
          <w:rPr>
            <w:rStyle w:val="Hyperlink"/>
            <w:sz w:val="22"/>
            <w:szCs w:val="22"/>
          </w:rPr>
          <w:t>https://doi.org/10.1007/s11274-011-0979-9</w:t>
        </w:r>
      </w:hyperlink>
      <w:r w:rsidR="00885919" w:rsidRPr="00801911">
        <w:rPr>
          <w:sz w:val="22"/>
          <w:szCs w:val="22"/>
        </w:rPr>
        <w:t xml:space="preserve"> </w:t>
      </w:r>
    </w:p>
    <w:p w14:paraId="1863C04E"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Bonfante</w:t>
      </w:r>
      <w:proofErr w:type="spellEnd"/>
      <w:r w:rsidRPr="00801911">
        <w:rPr>
          <w:sz w:val="22"/>
          <w:szCs w:val="22"/>
        </w:rPr>
        <w:t>, P., &amp; Genre, A. (2010). Mechanisms underlying beneficial plant–fungus interactions in mycorrhizal symbiosis. Nature Communications, 1, 48. https://doi.org/10.1038/ncomms1046</w:t>
      </w:r>
    </w:p>
    <w:p w14:paraId="45D52563"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lastRenderedPageBreak/>
        <w:t>Brundrett</w:t>
      </w:r>
      <w:proofErr w:type="spellEnd"/>
      <w:r w:rsidRPr="00801911">
        <w:rPr>
          <w:sz w:val="22"/>
          <w:szCs w:val="22"/>
        </w:rPr>
        <w:t xml:space="preserve">, M. C., &amp; </w:t>
      </w:r>
      <w:proofErr w:type="spellStart"/>
      <w:r w:rsidRPr="00801911">
        <w:rPr>
          <w:sz w:val="22"/>
          <w:szCs w:val="22"/>
        </w:rPr>
        <w:t>Tedersoo</w:t>
      </w:r>
      <w:proofErr w:type="spellEnd"/>
      <w:r w:rsidRPr="00801911">
        <w:rPr>
          <w:sz w:val="22"/>
          <w:szCs w:val="22"/>
        </w:rPr>
        <w:t xml:space="preserve">, L. (2018). Evolutionary history of mycorrhizal symbioses and global host plant diversity. New </w:t>
      </w:r>
      <w:proofErr w:type="spellStart"/>
      <w:r w:rsidRPr="00801911">
        <w:rPr>
          <w:sz w:val="22"/>
          <w:szCs w:val="22"/>
        </w:rPr>
        <w:t>Phytologist</w:t>
      </w:r>
      <w:proofErr w:type="spellEnd"/>
      <w:r w:rsidRPr="00801911">
        <w:rPr>
          <w:sz w:val="22"/>
          <w:szCs w:val="22"/>
        </w:rPr>
        <w:t>, 220(4), 1108–1115. https://doi.org/10.1111/nph.14976</w:t>
      </w:r>
    </w:p>
    <w:p w14:paraId="1D081185"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Bulgarelli</w:t>
      </w:r>
      <w:proofErr w:type="spellEnd"/>
      <w:r w:rsidRPr="00801911">
        <w:rPr>
          <w:sz w:val="22"/>
          <w:szCs w:val="22"/>
        </w:rPr>
        <w:t xml:space="preserve">, D., </w:t>
      </w:r>
      <w:proofErr w:type="spellStart"/>
      <w:r w:rsidRPr="00801911">
        <w:rPr>
          <w:sz w:val="22"/>
          <w:szCs w:val="22"/>
        </w:rPr>
        <w:t>Rott</w:t>
      </w:r>
      <w:proofErr w:type="spellEnd"/>
      <w:r w:rsidRPr="00801911">
        <w:rPr>
          <w:sz w:val="22"/>
          <w:szCs w:val="22"/>
        </w:rPr>
        <w:t xml:space="preserve">, M., </w:t>
      </w:r>
      <w:proofErr w:type="spellStart"/>
      <w:r w:rsidRPr="00801911">
        <w:rPr>
          <w:sz w:val="22"/>
          <w:szCs w:val="22"/>
        </w:rPr>
        <w:t>Schlaeppi</w:t>
      </w:r>
      <w:proofErr w:type="spellEnd"/>
      <w:r w:rsidRPr="00801911">
        <w:rPr>
          <w:sz w:val="22"/>
          <w:szCs w:val="22"/>
        </w:rPr>
        <w:t xml:space="preserve">, K., van </w:t>
      </w:r>
      <w:proofErr w:type="spellStart"/>
      <w:r w:rsidRPr="00801911">
        <w:rPr>
          <w:sz w:val="22"/>
          <w:szCs w:val="22"/>
        </w:rPr>
        <w:t>Themaat</w:t>
      </w:r>
      <w:proofErr w:type="spellEnd"/>
      <w:r w:rsidRPr="00801911">
        <w:rPr>
          <w:sz w:val="22"/>
          <w:szCs w:val="22"/>
        </w:rPr>
        <w:t xml:space="preserve">, E. V. L., Ahmadinejad, N., </w:t>
      </w:r>
      <w:proofErr w:type="spellStart"/>
      <w:r w:rsidRPr="00801911">
        <w:rPr>
          <w:sz w:val="22"/>
          <w:szCs w:val="22"/>
        </w:rPr>
        <w:t>Assenza</w:t>
      </w:r>
      <w:proofErr w:type="spellEnd"/>
      <w:r w:rsidRPr="00801911">
        <w:rPr>
          <w:sz w:val="22"/>
          <w:szCs w:val="22"/>
        </w:rPr>
        <w:t xml:space="preserve">, F., Rauf, P., </w:t>
      </w:r>
      <w:proofErr w:type="spellStart"/>
      <w:r w:rsidRPr="00801911">
        <w:rPr>
          <w:sz w:val="22"/>
          <w:szCs w:val="22"/>
        </w:rPr>
        <w:t>Huettel</w:t>
      </w:r>
      <w:proofErr w:type="spellEnd"/>
      <w:r w:rsidRPr="00801911">
        <w:rPr>
          <w:sz w:val="22"/>
          <w:szCs w:val="22"/>
        </w:rPr>
        <w:t xml:space="preserve">, B., Reinhardt, R., </w:t>
      </w:r>
      <w:proofErr w:type="spellStart"/>
      <w:r w:rsidRPr="00801911">
        <w:rPr>
          <w:sz w:val="22"/>
          <w:szCs w:val="22"/>
        </w:rPr>
        <w:t>Schmelzer</w:t>
      </w:r>
      <w:proofErr w:type="spellEnd"/>
      <w:r w:rsidRPr="00801911">
        <w:rPr>
          <w:sz w:val="22"/>
          <w:szCs w:val="22"/>
        </w:rPr>
        <w:t xml:space="preserve">, E., </w:t>
      </w:r>
      <w:proofErr w:type="spellStart"/>
      <w:r w:rsidRPr="00801911">
        <w:rPr>
          <w:sz w:val="22"/>
          <w:szCs w:val="22"/>
        </w:rPr>
        <w:t>Peplies</w:t>
      </w:r>
      <w:proofErr w:type="spellEnd"/>
      <w:r w:rsidRPr="00801911">
        <w:rPr>
          <w:sz w:val="22"/>
          <w:szCs w:val="22"/>
        </w:rPr>
        <w:t xml:space="preserve">, J., </w:t>
      </w:r>
      <w:proofErr w:type="spellStart"/>
      <w:r w:rsidRPr="00801911">
        <w:rPr>
          <w:sz w:val="22"/>
          <w:szCs w:val="22"/>
        </w:rPr>
        <w:t>Glöckner</w:t>
      </w:r>
      <w:proofErr w:type="spellEnd"/>
      <w:r w:rsidRPr="00801911">
        <w:rPr>
          <w:sz w:val="22"/>
          <w:szCs w:val="22"/>
        </w:rPr>
        <w:t xml:space="preserve">, F. O., Amann, R., </w:t>
      </w:r>
      <w:proofErr w:type="spellStart"/>
      <w:r w:rsidRPr="00801911">
        <w:rPr>
          <w:sz w:val="22"/>
          <w:szCs w:val="22"/>
        </w:rPr>
        <w:t>Eickhorst</w:t>
      </w:r>
      <w:proofErr w:type="spellEnd"/>
      <w:r w:rsidRPr="00801911">
        <w:rPr>
          <w:sz w:val="22"/>
          <w:szCs w:val="22"/>
        </w:rPr>
        <w:t>, T., &amp; Schulze-</w:t>
      </w:r>
      <w:proofErr w:type="spellStart"/>
      <w:r w:rsidRPr="00801911">
        <w:rPr>
          <w:sz w:val="22"/>
          <w:szCs w:val="22"/>
        </w:rPr>
        <w:t>Lefert</w:t>
      </w:r>
      <w:proofErr w:type="spellEnd"/>
      <w:r w:rsidRPr="00801911">
        <w:rPr>
          <w:sz w:val="22"/>
          <w:szCs w:val="22"/>
        </w:rPr>
        <w:t>, P. (2012). Revealing structure and assembly cues for Arabidopsis root-inhabiting bacterial microbiota. Nature, 488(7409), 91–95. https://doi.org/10.1038/nature11336</w:t>
      </w:r>
    </w:p>
    <w:p w14:paraId="5994EAE4"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Compant</w:t>
      </w:r>
      <w:proofErr w:type="spellEnd"/>
      <w:r w:rsidRPr="00801911">
        <w:rPr>
          <w:sz w:val="22"/>
          <w:szCs w:val="22"/>
        </w:rPr>
        <w:t xml:space="preserve">, S., Clément, C., &amp; </w:t>
      </w:r>
      <w:proofErr w:type="spellStart"/>
      <w:r w:rsidRPr="00801911">
        <w:rPr>
          <w:sz w:val="22"/>
          <w:szCs w:val="22"/>
        </w:rPr>
        <w:t>Sessitsch</w:t>
      </w:r>
      <w:proofErr w:type="spellEnd"/>
      <w:r w:rsidRPr="00801911">
        <w:rPr>
          <w:sz w:val="22"/>
          <w:szCs w:val="22"/>
        </w:rPr>
        <w:t xml:space="preserve">, A. (2010). Plant growth-promoting bacteria in the rhizo- and </w:t>
      </w:r>
      <w:proofErr w:type="spellStart"/>
      <w:r w:rsidRPr="00801911">
        <w:rPr>
          <w:sz w:val="22"/>
          <w:szCs w:val="22"/>
        </w:rPr>
        <w:t>endosphere</w:t>
      </w:r>
      <w:proofErr w:type="spellEnd"/>
      <w:r w:rsidRPr="00801911">
        <w:rPr>
          <w:sz w:val="22"/>
          <w:szCs w:val="22"/>
        </w:rPr>
        <w:t xml:space="preserve"> of plants: Their role, colonization, mechanisms involved and prospects for utilization. Soil Biology and Biochemistry, 42(5), 669–678. https://doi.org/10.1016/j.soilbio.2009.11.024</w:t>
      </w:r>
    </w:p>
    <w:p w14:paraId="410402EC" w14:textId="77777777" w:rsidR="00DB1D50" w:rsidRDefault="000E558F" w:rsidP="00801911">
      <w:pPr>
        <w:pStyle w:val="ListParagraph"/>
        <w:numPr>
          <w:ilvl w:val="0"/>
          <w:numId w:val="2"/>
        </w:numPr>
        <w:spacing w:after="120" w:line="360" w:lineRule="auto"/>
        <w:jc w:val="both"/>
      </w:pPr>
      <w:r w:rsidRPr="00801911">
        <w:rPr>
          <w:sz w:val="22"/>
          <w:szCs w:val="22"/>
        </w:rPr>
        <w:t xml:space="preserve">FAO. (2022). The state of the world's land and water resources for food and agriculture – Systems at breaking point. Food and Agriculture </w:t>
      </w:r>
      <w:proofErr w:type="spellStart"/>
      <w:r w:rsidRPr="00801911">
        <w:rPr>
          <w:sz w:val="22"/>
          <w:szCs w:val="22"/>
        </w:rPr>
        <w:t>Organisation</w:t>
      </w:r>
      <w:proofErr w:type="spellEnd"/>
      <w:r w:rsidRPr="00801911">
        <w:rPr>
          <w:sz w:val="22"/>
          <w:szCs w:val="22"/>
        </w:rPr>
        <w:t xml:space="preserve"> of the United Nations. https://www.fao.org/3/cb9910en/cb9910en.pdf</w:t>
      </w:r>
    </w:p>
    <w:p w14:paraId="51F0E642"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Fierer</w:t>
      </w:r>
      <w:proofErr w:type="spellEnd"/>
      <w:r w:rsidRPr="00801911">
        <w:rPr>
          <w:sz w:val="22"/>
          <w:szCs w:val="22"/>
        </w:rPr>
        <w:t>, N. (2017). Embracing the unknown: Disentangling the complexities of the soil microbiome. Nature Reviews Microbiology, 15(10), 579–590. https://doi.org/10.1038/nrmicro.2017.87</w:t>
      </w:r>
    </w:p>
    <w:p w14:paraId="21BE599B" w14:textId="77777777" w:rsidR="00DB1D50" w:rsidRDefault="000E558F" w:rsidP="00801911">
      <w:pPr>
        <w:pStyle w:val="ListParagraph"/>
        <w:numPr>
          <w:ilvl w:val="0"/>
          <w:numId w:val="2"/>
        </w:numPr>
        <w:spacing w:after="120" w:line="360" w:lineRule="auto"/>
        <w:jc w:val="both"/>
      </w:pPr>
      <w:r w:rsidRPr="00801911">
        <w:rPr>
          <w:sz w:val="22"/>
          <w:szCs w:val="22"/>
        </w:rPr>
        <w:t>Glick, B. R. (2014). Bacteria with ACC deaminase can promote plant growth and help to feed the world. Microbiological Research, 169(1), 30–39. https://doi.org/10.1016/j.micres.2013.09.009</w:t>
      </w:r>
    </w:p>
    <w:p w14:paraId="1E804ACE" w14:textId="77777777" w:rsidR="00DB1D50" w:rsidRDefault="000E558F" w:rsidP="00801911">
      <w:pPr>
        <w:pStyle w:val="ListParagraph"/>
        <w:numPr>
          <w:ilvl w:val="0"/>
          <w:numId w:val="2"/>
        </w:numPr>
        <w:spacing w:after="120" w:line="360" w:lineRule="auto"/>
        <w:jc w:val="both"/>
      </w:pPr>
      <w:r w:rsidRPr="00801911">
        <w:rPr>
          <w:sz w:val="22"/>
          <w:szCs w:val="22"/>
        </w:rPr>
        <w:t xml:space="preserve">Hartmann, M., Frey, B., Mayer, J., </w:t>
      </w:r>
      <w:proofErr w:type="spellStart"/>
      <w:r w:rsidRPr="00801911">
        <w:rPr>
          <w:sz w:val="22"/>
          <w:szCs w:val="22"/>
        </w:rPr>
        <w:t>Mäder</w:t>
      </w:r>
      <w:proofErr w:type="spellEnd"/>
      <w:r w:rsidRPr="00801911">
        <w:rPr>
          <w:sz w:val="22"/>
          <w:szCs w:val="22"/>
        </w:rPr>
        <w:t>, P., &amp; Widmer, F. (2015). Distinct soil microbial diversity under long-term organic and conventional farming. ISME Journal, 9(5), 1177–1194. https://doi.org/10.1038/ismej.2014.210</w:t>
      </w:r>
    </w:p>
    <w:p w14:paraId="3AC27CDB" w14:textId="77777777" w:rsidR="00DB1D50" w:rsidRDefault="000E558F" w:rsidP="00801911">
      <w:pPr>
        <w:pStyle w:val="ListParagraph"/>
        <w:numPr>
          <w:ilvl w:val="0"/>
          <w:numId w:val="2"/>
        </w:numPr>
        <w:spacing w:after="120" w:line="360" w:lineRule="auto"/>
        <w:jc w:val="both"/>
      </w:pPr>
      <w:r w:rsidRPr="00801911">
        <w:rPr>
          <w:sz w:val="22"/>
          <w:szCs w:val="22"/>
        </w:rPr>
        <w:t>Kaminsky, L. M., Trexler, R. V., Malik, R. J., Hockett, K. L., &amp; Bell, T. H. (2019). The inherent conflicts in developing soil microbiome applications for sustainable agriculture. Trends in Biotechnology, 37(8), 831–844. https://doi.org/10.1016/j.tibtech.2019.03.007</w:t>
      </w:r>
    </w:p>
    <w:p w14:paraId="523CA3FE"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Köhl</w:t>
      </w:r>
      <w:proofErr w:type="spellEnd"/>
      <w:r w:rsidRPr="00801911">
        <w:rPr>
          <w:sz w:val="22"/>
          <w:szCs w:val="22"/>
        </w:rPr>
        <w:t xml:space="preserve">, J., </w:t>
      </w:r>
      <w:proofErr w:type="spellStart"/>
      <w:r w:rsidRPr="00801911">
        <w:rPr>
          <w:sz w:val="22"/>
          <w:szCs w:val="22"/>
        </w:rPr>
        <w:t>Kolnaar</w:t>
      </w:r>
      <w:proofErr w:type="spellEnd"/>
      <w:r w:rsidRPr="00801911">
        <w:rPr>
          <w:sz w:val="22"/>
          <w:szCs w:val="22"/>
        </w:rPr>
        <w:t xml:space="preserve">, R., &amp; </w:t>
      </w:r>
      <w:proofErr w:type="spellStart"/>
      <w:r w:rsidRPr="00801911">
        <w:rPr>
          <w:sz w:val="22"/>
          <w:szCs w:val="22"/>
        </w:rPr>
        <w:t>Ravensberg</w:t>
      </w:r>
      <w:proofErr w:type="spellEnd"/>
      <w:r w:rsidRPr="00801911">
        <w:rPr>
          <w:sz w:val="22"/>
          <w:szCs w:val="22"/>
        </w:rPr>
        <w:t>, W. J. (2019). Mode of action of microbial biological control agents against plant diseases: Relevance beyond efficacy. Frontiers in Plant Science, 10, 845. https://doi.org/10.3389/fpls.2019.00845</w:t>
      </w:r>
    </w:p>
    <w:p w14:paraId="7B6C1738" w14:textId="77777777" w:rsidR="00DB1D50" w:rsidRDefault="000E558F" w:rsidP="00801911">
      <w:pPr>
        <w:pStyle w:val="ListParagraph"/>
        <w:numPr>
          <w:ilvl w:val="0"/>
          <w:numId w:val="2"/>
        </w:numPr>
        <w:spacing w:after="120" w:line="360" w:lineRule="auto"/>
        <w:jc w:val="both"/>
      </w:pPr>
      <w:r w:rsidRPr="00801911">
        <w:rPr>
          <w:sz w:val="22"/>
          <w:szCs w:val="22"/>
        </w:rPr>
        <w:t xml:space="preserve">Lehmann, A., &amp; </w:t>
      </w:r>
      <w:proofErr w:type="spellStart"/>
      <w:r w:rsidRPr="00801911">
        <w:rPr>
          <w:sz w:val="22"/>
          <w:szCs w:val="22"/>
        </w:rPr>
        <w:t>Rillig</w:t>
      </w:r>
      <w:proofErr w:type="spellEnd"/>
      <w:r w:rsidRPr="00801911">
        <w:rPr>
          <w:sz w:val="22"/>
          <w:szCs w:val="22"/>
        </w:rPr>
        <w:t>, M. C. (2015). Arbuscular mycorrhizal contribution to copper, manganese and iron nutrient concentrations in crops – A meta-analysis. Soil Biology and Biochemistry, 81, 147–158. https://doi.org/10.1016/j.soilbio.2014.11.013</w:t>
      </w:r>
    </w:p>
    <w:p w14:paraId="7CC3B846" w14:textId="77777777" w:rsidR="00DB1D50" w:rsidRDefault="000E558F" w:rsidP="00801911">
      <w:pPr>
        <w:pStyle w:val="ListParagraph"/>
        <w:numPr>
          <w:ilvl w:val="0"/>
          <w:numId w:val="2"/>
        </w:numPr>
        <w:spacing w:after="120" w:line="360" w:lineRule="auto"/>
        <w:jc w:val="both"/>
      </w:pPr>
      <w:r w:rsidRPr="00801911">
        <w:rPr>
          <w:sz w:val="22"/>
          <w:szCs w:val="22"/>
        </w:rPr>
        <w:t>Liang, C., Schimel, J. P., &amp; Jastrow, J. D. (2017). The importance of anabolism in microbial control over soil carbon storage. Nature Microbiology, 2, 17105. https://doi.org/10.1038/nmicrobiol.2017.105</w:t>
      </w:r>
    </w:p>
    <w:p w14:paraId="7B815C39" w14:textId="77777777" w:rsidR="00DB1D50" w:rsidRDefault="000E558F" w:rsidP="00801911">
      <w:pPr>
        <w:pStyle w:val="ListParagraph"/>
        <w:numPr>
          <w:ilvl w:val="0"/>
          <w:numId w:val="2"/>
        </w:numPr>
        <w:spacing w:after="120" w:line="360" w:lineRule="auto"/>
        <w:jc w:val="both"/>
      </w:pPr>
      <w:r w:rsidRPr="00801911">
        <w:rPr>
          <w:sz w:val="22"/>
          <w:szCs w:val="22"/>
        </w:rPr>
        <w:lastRenderedPageBreak/>
        <w:t xml:space="preserve">Lundberg, D. S., </w:t>
      </w:r>
      <w:proofErr w:type="spellStart"/>
      <w:r w:rsidRPr="00801911">
        <w:rPr>
          <w:sz w:val="22"/>
          <w:szCs w:val="22"/>
        </w:rPr>
        <w:t>Lebeis</w:t>
      </w:r>
      <w:proofErr w:type="spellEnd"/>
      <w:r w:rsidRPr="00801911">
        <w:rPr>
          <w:sz w:val="22"/>
          <w:szCs w:val="22"/>
        </w:rPr>
        <w:t xml:space="preserve">, S. L., Paredes, S. H., </w:t>
      </w:r>
      <w:proofErr w:type="spellStart"/>
      <w:r w:rsidRPr="00801911">
        <w:rPr>
          <w:sz w:val="22"/>
          <w:szCs w:val="22"/>
        </w:rPr>
        <w:t>Yourstone</w:t>
      </w:r>
      <w:proofErr w:type="spellEnd"/>
      <w:r w:rsidRPr="00801911">
        <w:rPr>
          <w:sz w:val="22"/>
          <w:szCs w:val="22"/>
        </w:rPr>
        <w:t xml:space="preserve">, S., Gehring, J., Malfatti, S., Tremblay, J., </w:t>
      </w:r>
      <w:proofErr w:type="spellStart"/>
      <w:r w:rsidRPr="00801911">
        <w:rPr>
          <w:sz w:val="22"/>
          <w:szCs w:val="22"/>
        </w:rPr>
        <w:t>Engelbrektson</w:t>
      </w:r>
      <w:proofErr w:type="spellEnd"/>
      <w:r w:rsidRPr="00801911">
        <w:rPr>
          <w:sz w:val="22"/>
          <w:szCs w:val="22"/>
        </w:rPr>
        <w:t xml:space="preserve">, A., </w:t>
      </w:r>
      <w:proofErr w:type="spellStart"/>
      <w:r w:rsidRPr="00801911">
        <w:rPr>
          <w:sz w:val="22"/>
          <w:szCs w:val="22"/>
        </w:rPr>
        <w:t>Kunin</w:t>
      </w:r>
      <w:proofErr w:type="spellEnd"/>
      <w:r w:rsidRPr="00801911">
        <w:rPr>
          <w:sz w:val="22"/>
          <w:szCs w:val="22"/>
        </w:rPr>
        <w:t xml:space="preserve">, V., del Rio, T. G., Edgar, R. C., </w:t>
      </w:r>
      <w:proofErr w:type="spellStart"/>
      <w:r w:rsidRPr="00801911">
        <w:rPr>
          <w:sz w:val="22"/>
          <w:szCs w:val="22"/>
        </w:rPr>
        <w:t>Eickhorst</w:t>
      </w:r>
      <w:proofErr w:type="spellEnd"/>
      <w:r w:rsidRPr="00801911">
        <w:rPr>
          <w:sz w:val="22"/>
          <w:szCs w:val="22"/>
        </w:rPr>
        <w:t xml:space="preserve">, T., Ley, R. E., </w:t>
      </w:r>
      <w:proofErr w:type="spellStart"/>
      <w:r w:rsidRPr="00801911">
        <w:rPr>
          <w:sz w:val="22"/>
          <w:szCs w:val="22"/>
        </w:rPr>
        <w:t>Hugenholtz</w:t>
      </w:r>
      <w:proofErr w:type="spellEnd"/>
      <w:r w:rsidRPr="00801911">
        <w:rPr>
          <w:sz w:val="22"/>
          <w:szCs w:val="22"/>
        </w:rPr>
        <w:t xml:space="preserve">, P., </w:t>
      </w:r>
      <w:proofErr w:type="spellStart"/>
      <w:r w:rsidRPr="00801911">
        <w:rPr>
          <w:sz w:val="22"/>
          <w:szCs w:val="22"/>
        </w:rPr>
        <w:t>Tringe</w:t>
      </w:r>
      <w:proofErr w:type="spellEnd"/>
      <w:r w:rsidRPr="00801911">
        <w:rPr>
          <w:sz w:val="22"/>
          <w:szCs w:val="22"/>
        </w:rPr>
        <w:t xml:space="preserve">, S. G., &amp; </w:t>
      </w:r>
      <w:proofErr w:type="spellStart"/>
      <w:r w:rsidRPr="00801911">
        <w:rPr>
          <w:sz w:val="22"/>
          <w:szCs w:val="22"/>
        </w:rPr>
        <w:t>Dangl</w:t>
      </w:r>
      <w:proofErr w:type="spellEnd"/>
      <w:r w:rsidRPr="00801911">
        <w:rPr>
          <w:sz w:val="22"/>
          <w:szCs w:val="22"/>
        </w:rPr>
        <w:t>, J. L. (2012). Defining the core Arabidopsis thaliana root microbiome. Nature, 488(7409), 86–90. https://doi.org/10.1038/nature11237</w:t>
      </w:r>
    </w:p>
    <w:p w14:paraId="2CBBEE38" w14:textId="77777777" w:rsidR="00DB1D50" w:rsidRDefault="000E558F" w:rsidP="00801911">
      <w:pPr>
        <w:pStyle w:val="ListParagraph"/>
        <w:numPr>
          <w:ilvl w:val="0"/>
          <w:numId w:val="2"/>
        </w:numPr>
        <w:spacing w:after="120" w:line="360" w:lineRule="auto"/>
        <w:jc w:val="both"/>
      </w:pPr>
      <w:r w:rsidRPr="00801911">
        <w:rPr>
          <w:sz w:val="22"/>
          <w:szCs w:val="22"/>
        </w:rPr>
        <w:t xml:space="preserve">Mendes, R., </w:t>
      </w:r>
      <w:proofErr w:type="spellStart"/>
      <w:r w:rsidRPr="00801911">
        <w:rPr>
          <w:sz w:val="22"/>
          <w:szCs w:val="22"/>
        </w:rPr>
        <w:t>Kruijt</w:t>
      </w:r>
      <w:proofErr w:type="spellEnd"/>
      <w:r w:rsidRPr="00801911">
        <w:rPr>
          <w:sz w:val="22"/>
          <w:szCs w:val="22"/>
        </w:rPr>
        <w:t xml:space="preserve">, M., de </w:t>
      </w:r>
      <w:proofErr w:type="spellStart"/>
      <w:r w:rsidRPr="00801911">
        <w:rPr>
          <w:sz w:val="22"/>
          <w:szCs w:val="22"/>
        </w:rPr>
        <w:t>Bruijn</w:t>
      </w:r>
      <w:proofErr w:type="spellEnd"/>
      <w:r w:rsidRPr="00801911">
        <w:rPr>
          <w:sz w:val="22"/>
          <w:szCs w:val="22"/>
        </w:rPr>
        <w:t xml:space="preserve">, I., </w:t>
      </w:r>
      <w:proofErr w:type="spellStart"/>
      <w:r w:rsidRPr="00801911">
        <w:rPr>
          <w:sz w:val="22"/>
          <w:szCs w:val="22"/>
        </w:rPr>
        <w:t>Dekkers</w:t>
      </w:r>
      <w:proofErr w:type="spellEnd"/>
      <w:r w:rsidRPr="00801911">
        <w:rPr>
          <w:sz w:val="22"/>
          <w:szCs w:val="22"/>
        </w:rPr>
        <w:t xml:space="preserve">, E., van der </w:t>
      </w:r>
      <w:proofErr w:type="spellStart"/>
      <w:r w:rsidRPr="00801911">
        <w:rPr>
          <w:sz w:val="22"/>
          <w:szCs w:val="22"/>
        </w:rPr>
        <w:t>Voort</w:t>
      </w:r>
      <w:proofErr w:type="spellEnd"/>
      <w:r w:rsidRPr="00801911">
        <w:rPr>
          <w:sz w:val="22"/>
          <w:szCs w:val="22"/>
        </w:rPr>
        <w:t xml:space="preserve">, M., Schneider, J. H. M., Piceno, Y. M., DeSantis, T. Z., Andersen, G. L., Bakker, P. A. H. M., &amp; </w:t>
      </w:r>
      <w:proofErr w:type="spellStart"/>
      <w:r w:rsidRPr="00801911">
        <w:rPr>
          <w:sz w:val="22"/>
          <w:szCs w:val="22"/>
        </w:rPr>
        <w:t>Raaijmakers</w:t>
      </w:r>
      <w:proofErr w:type="spellEnd"/>
      <w:r w:rsidRPr="00801911">
        <w:rPr>
          <w:sz w:val="22"/>
          <w:szCs w:val="22"/>
        </w:rPr>
        <w:t>, J. M. (2011). Deciphering the rhizosphere microbiome for disease-suppressive bacteria. Science, 332(6033), 1097–1100. https://doi.org/10.1126/science.1203980</w:t>
      </w:r>
    </w:p>
    <w:p w14:paraId="40AEA965"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Oldroyd</w:t>
      </w:r>
      <w:proofErr w:type="spellEnd"/>
      <w:r w:rsidRPr="00801911">
        <w:rPr>
          <w:sz w:val="22"/>
          <w:szCs w:val="22"/>
        </w:rPr>
        <w:t xml:space="preserve">, G. E. D. (2013). Speak, friend, and enter: </w:t>
      </w:r>
      <w:proofErr w:type="spellStart"/>
      <w:r w:rsidRPr="00801911">
        <w:rPr>
          <w:sz w:val="22"/>
          <w:szCs w:val="22"/>
        </w:rPr>
        <w:t>Signalling</w:t>
      </w:r>
      <w:proofErr w:type="spellEnd"/>
      <w:r w:rsidRPr="00801911">
        <w:rPr>
          <w:sz w:val="22"/>
          <w:szCs w:val="22"/>
        </w:rPr>
        <w:t xml:space="preserve"> systems that promote beneficial symbiotic associations in plants. Nature Reviews Microbiology, 11(4), 252–263. https://doi.org/10.1038/nrmicro2990</w:t>
      </w:r>
    </w:p>
    <w:p w14:paraId="07A5535F"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Ortas</w:t>
      </w:r>
      <w:proofErr w:type="spellEnd"/>
      <w:r w:rsidRPr="00801911">
        <w:rPr>
          <w:sz w:val="22"/>
          <w:szCs w:val="22"/>
        </w:rPr>
        <w:t>, I. (2012). The effect of mycorrhizal fungal inoculation on plant yield, nutrient uptake and inoculation effectiveness under long-term field conditions. Field Crops Research, 125, 35–48. https://doi.org/10.1016/j.fcr.2011.08.005</w:t>
      </w:r>
    </w:p>
    <w:p w14:paraId="6C7C2885"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Philippot</w:t>
      </w:r>
      <w:proofErr w:type="spellEnd"/>
      <w:r w:rsidRPr="00801911">
        <w:rPr>
          <w:sz w:val="22"/>
          <w:szCs w:val="22"/>
        </w:rPr>
        <w:t xml:space="preserve">, L., </w:t>
      </w:r>
      <w:proofErr w:type="spellStart"/>
      <w:r w:rsidRPr="00801911">
        <w:rPr>
          <w:sz w:val="22"/>
          <w:szCs w:val="22"/>
        </w:rPr>
        <w:t>Raaijmakers</w:t>
      </w:r>
      <w:proofErr w:type="spellEnd"/>
      <w:r w:rsidRPr="00801911">
        <w:rPr>
          <w:sz w:val="22"/>
          <w:szCs w:val="22"/>
        </w:rPr>
        <w:t xml:space="preserve">, J. M., </w:t>
      </w:r>
      <w:proofErr w:type="spellStart"/>
      <w:r w:rsidRPr="00801911">
        <w:rPr>
          <w:sz w:val="22"/>
          <w:szCs w:val="22"/>
        </w:rPr>
        <w:t>Lemanceau</w:t>
      </w:r>
      <w:proofErr w:type="spellEnd"/>
      <w:r w:rsidRPr="00801911">
        <w:rPr>
          <w:sz w:val="22"/>
          <w:szCs w:val="22"/>
        </w:rPr>
        <w:t xml:space="preserve">, P., &amp; van der </w:t>
      </w:r>
      <w:proofErr w:type="spellStart"/>
      <w:r w:rsidRPr="00801911">
        <w:rPr>
          <w:sz w:val="22"/>
          <w:szCs w:val="22"/>
        </w:rPr>
        <w:t>Putten</w:t>
      </w:r>
      <w:proofErr w:type="spellEnd"/>
      <w:r w:rsidRPr="00801911">
        <w:rPr>
          <w:sz w:val="22"/>
          <w:szCs w:val="22"/>
        </w:rPr>
        <w:t>, W. H. (2013). Going back to the roots: The microbial ecology of the rhizosphere. Nature Reviews Microbiology, 11(11), 789–799. https://doi.org/10.1038/nrmicro3109</w:t>
      </w:r>
    </w:p>
    <w:p w14:paraId="722B5B51" w14:textId="77777777" w:rsidR="00DB1D50" w:rsidRDefault="000E558F" w:rsidP="00801911">
      <w:pPr>
        <w:pStyle w:val="ListParagraph"/>
        <w:numPr>
          <w:ilvl w:val="0"/>
          <w:numId w:val="2"/>
        </w:numPr>
        <w:spacing w:after="120" w:line="360" w:lineRule="auto"/>
        <w:jc w:val="both"/>
      </w:pPr>
      <w:r w:rsidRPr="00801911">
        <w:rPr>
          <w:sz w:val="22"/>
          <w:szCs w:val="22"/>
        </w:rPr>
        <w:t xml:space="preserve">Pieterse, C. M. J., </w:t>
      </w:r>
      <w:proofErr w:type="spellStart"/>
      <w:r w:rsidRPr="00801911">
        <w:rPr>
          <w:sz w:val="22"/>
          <w:szCs w:val="22"/>
        </w:rPr>
        <w:t>Zamioudis</w:t>
      </w:r>
      <w:proofErr w:type="spellEnd"/>
      <w:r w:rsidRPr="00801911">
        <w:rPr>
          <w:sz w:val="22"/>
          <w:szCs w:val="22"/>
        </w:rPr>
        <w:t>, C., Berendsen, R. L., Weller, D. M., van Wees, S. C. M., &amp; Bakker, P. A. H. M. (2014). Induced systemic resistance by beneficial microbes. Annual Review of Phytopathology, 52, 347–375. https://doi.org/10.1146/annurev-phyto-082712-102340</w:t>
      </w:r>
    </w:p>
    <w:p w14:paraId="045B2CF0" w14:textId="77777777" w:rsidR="00DB1D50" w:rsidRDefault="000E558F" w:rsidP="00801911">
      <w:pPr>
        <w:pStyle w:val="ListParagraph"/>
        <w:numPr>
          <w:ilvl w:val="0"/>
          <w:numId w:val="2"/>
        </w:numPr>
        <w:spacing w:after="120" w:line="360" w:lineRule="auto"/>
        <w:jc w:val="both"/>
      </w:pPr>
      <w:r w:rsidRPr="00801911">
        <w:rPr>
          <w:sz w:val="22"/>
          <w:szCs w:val="22"/>
        </w:rPr>
        <w:t xml:space="preserve">Poole, P., Ramachandran, V., &amp; </w:t>
      </w:r>
      <w:proofErr w:type="spellStart"/>
      <w:r w:rsidRPr="00801911">
        <w:rPr>
          <w:sz w:val="22"/>
          <w:szCs w:val="22"/>
        </w:rPr>
        <w:t>Terpolilli</w:t>
      </w:r>
      <w:proofErr w:type="spellEnd"/>
      <w:r w:rsidRPr="00801911">
        <w:rPr>
          <w:sz w:val="22"/>
          <w:szCs w:val="22"/>
        </w:rPr>
        <w:t>, J. (2018). Rhizobia: From saprophytes to endosymbionts. Nature Reviews Microbiology, 16(5), 291–303. https://doi.org/10.1038/nrmicro.2017.171</w:t>
      </w:r>
    </w:p>
    <w:p w14:paraId="38D7A611"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Raaijmakers</w:t>
      </w:r>
      <w:proofErr w:type="spellEnd"/>
      <w:r w:rsidRPr="00801911">
        <w:rPr>
          <w:sz w:val="22"/>
          <w:szCs w:val="22"/>
        </w:rPr>
        <w:t xml:space="preserve">, J. M., </w:t>
      </w:r>
      <w:proofErr w:type="spellStart"/>
      <w:r w:rsidRPr="00801911">
        <w:rPr>
          <w:sz w:val="22"/>
          <w:szCs w:val="22"/>
        </w:rPr>
        <w:t>Paulitz</w:t>
      </w:r>
      <w:proofErr w:type="spellEnd"/>
      <w:r w:rsidRPr="00801911">
        <w:rPr>
          <w:sz w:val="22"/>
          <w:szCs w:val="22"/>
        </w:rPr>
        <w:t xml:space="preserve">, T. C., Steinberg, C., </w:t>
      </w:r>
      <w:proofErr w:type="spellStart"/>
      <w:r w:rsidRPr="00801911">
        <w:rPr>
          <w:sz w:val="22"/>
          <w:szCs w:val="22"/>
        </w:rPr>
        <w:t>Alabouvette</w:t>
      </w:r>
      <w:proofErr w:type="spellEnd"/>
      <w:r w:rsidRPr="00801911">
        <w:rPr>
          <w:sz w:val="22"/>
          <w:szCs w:val="22"/>
        </w:rPr>
        <w:t xml:space="preserve">, C., &amp; </w:t>
      </w:r>
      <w:proofErr w:type="spellStart"/>
      <w:r w:rsidRPr="00801911">
        <w:rPr>
          <w:sz w:val="22"/>
          <w:szCs w:val="22"/>
        </w:rPr>
        <w:t>Moënne-Loccoz</w:t>
      </w:r>
      <w:proofErr w:type="spellEnd"/>
      <w:r w:rsidRPr="00801911">
        <w:rPr>
          <w:sz w:val="22"/>
          <w:szCs w:val="22"/>
        </w:rPr>
        <w:t>, Y. (2009). The rhizosphere: A playground and battlefield for soilborne pathogens and beneficial microorganisms. Plant and Soil, 321(1–2), 341–361. https://doi.org/10.1007/s11104-008-9568-6</w:t>
      </w:r>
    </w:p>
    <w:p w14:paraId="440A9A77"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Rillig</w:t>
      </w:r>
      <w:proofErr w:type="spellEnd"/>
      <w:r w:rsidRPr="00801911">
        <w:rPr>
          <w:sz w:val="22"/>
          <w:szCs w:val="22"/>
        </w:rPr>
        <w:t xml:space="preserve">, M. C., &amp; </w:t>
      </w:r>
      <w:proofErr w:type="spellStart"/>
      <w:r w:rsidRPr="00801911">
        <w:rPr>
          <w:sz w:val="22"/>
          <w:szCs w:val="22"/>
        </w:rPr>
        <w:t>Mummey</w:t>
      </w:r>
      <w:proofErr w:type="spellEnd"/>
      <w:r w:rsidRPr="00801911">
        <w:rPr>
          <w:sz w:val="22"/>
          <w:szCs w:val="22"/>
        </w:rPr>
        <w:t xml:space="preserve">, D. L. (2006). Mycorrhizas and soil structure. New </w:t>
      </w:r>
      <w:proofErr w:type="spellStart"/>
      <w:r w:rsidRPr="00801911">
        <w:rPr>
          <w:sz w:val="22"/>
          <w:szCs w:val="22"/>
        </w:rPr>
        <w:t>Phytologist</w:t>
      </w:r>
      <w:proofErr w:type="spellEnd"/>
      <w:r w:rsidRPr="00801911">
        <w:rPr>
          <w:sz w:val="22"/>
          <w:szCs w:val="22"/>
        </w:rPr>
        <w:t>, 171(1), 41–53. https://doi.org/10.1111/j.1469-8137.2006.01750.x</w:t>
      </w:r>
    </w:p>
    <w:p w14:paraId="65D49B39"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Schlaeppi</w:t>
      </w:r>
      <w:proofErr w:type="spellEnd"/>
      <w:r w:rsidRPr="00801911">
        <w:rPr>
          <w:sz w:val="22"/>
          <w:szCs w:val="22"/>
        </w:rPr>
        <w:t xml:space="preserve">, K., &amp; </w:t>
      </w:r>
      <w:proofErr w:type="spellStart"/>
      <w:r w:rsidRPr="00801911">
        <w:rPr>
          <w:sz w:val="22"/>
          <w:szCs w:val="22"/>
        </w:rPr>
        <w:t>Bulgarelli</w:t>
      </w:r>
      <w:proofErr w:type="spellEnd"/>
      <w:r w:rsidRPr="00801911">
        <w:rPr>
          <w:sz w:val="22"/>
          <w:szCs w:val="22"/>
        </w:rPr>
        <w:t>, D. (2015). The plant microbiome at work. Molecular Plant–Microbe Interactions, 28(3), 212–217. https://doi.org/10.1094/MPMI-10-14-0334-FI</w:t>
      </w:r>
    </w:p>
    <w:p w14:paraId="2853CB4D" w14:textId="77777777" w:rsidR="00DB1D50" w:rsidRDefault="000E558F" w:rsidP="00801911">
      <w:pPr>
        <w:pStyle w:val="ListParagraph"/>
        <w:numPr>
          <w:ilvl w:val="0"/>
          <w:numId w:val="2"/>
        </w:numPr>
        <w:spacing w:after="120" w:line="360" w:lineRule="auto"/>
        <w:jc w:val="both"/>
      </w:pPr>
      <w:r w:rsidRPr="00801911">
        <w:rPr>
          <w:sz w:val="22"/>
          <w:szCs w:val="22"/>
        </w:rPr>
        <w:lastRenderedPageBreak/>
        <w:t>Schimel, J. P., &amp; Schaeffer, S. M. (2012). Microbial control over carbon cycling in soil. Frontiers in Microbiology, 3, 348. https://doi.org/10.3389/fmicb.2012.00348</w:t>
      </w:r>
    </w:p>
    <w:p w14:paraId="31AB0A89" w14:textId="77777777" w:rsidR="00DB1D50" w:rsidRDefault="000E558F" w:rsidP="00801911">
      <w:pPr>
        <w:pStyle w:val="ListParagraph"/>
        <w:numPr>
          <w:ilvl w:val="0"/>
          <w:numId w:val="2"/>
        </w:numPr>
        <w:spacing w:after="120" w:line="360" w:lineRule="auto"/>
        <w:jc w:val="both"/>
      </w:pPr>
      <w:r w:rsidRPr="00801911">
        <w:rPr>
          <w:sz w:val="22"/>
          <w:szCs w:val="22"/>
        </w:rPr>
        <w:t xml:space="preserve">Smith, S. E., </w:t>
      </w:r>
      <w:proofErr w:type="spellStart"/>
      <w:r w:rsidRPr="00801911">
        <w:rPr>
          <w:sz w:val="22"/>
          <w:szCs w:val="22"/>
        </w:rPr>
        <w:t>Facelli</w:t>
      </w:r>
      <w:proofErr w:type="spellEnd"/>
      <w:r w:rsidRPr="00801911">
        <w:rPr>
          <w:sz w:val="22"/>
          <w:szCs w:val="22"/>
        </w:rPr>
        <w:t>, E., Pope, S., &amp; Smith, F. A. (2010). Plant performance in stressful environments: Interpreting new and established knowledge of the roles of arbuscular mycorrhizas. Plant and Soil, 326(1–2), 3–20. https://doi.org/10.1007/s11104-009-9981-5</w:t>
      </w:r>
    </w:p>
    <w:p w14:paraId="09C00124" w14:textId="77777777" w:rsidR="00DB1D50" w:rsidRDefault="000E558F" w:rsidP="00801911">
      <w:pPr>
        <w:pStyle w:val="ListParagraph"/>
        <w:numPr>
          <w:ilvl w:val="0"/>
          <w:numId w:val="2"/>
        </w:numPr>
        <w:spacing w:after="120" w:line="360" w:lineRule="auto"/>
        <w:jc w:val="both"/>
      </w:pPr>
      <w:proofErr w:type="spellStart"/>
      <w:r w:rsidRPr="00801911">
        <w:rPr>
          <w:sz w:val="22"/>
          <w:szCs w:val="22"/>
        </w:rPr>
        <w:t>Treseder</w:t>
      </w:r>
      <w:proofErr w:type="spellEnd"/>
      <w:r w:rsidRPr="00801911">
        <w:rPr>
          <w:sz w:val="22"/>
          <w:szCs w:val="22"/>
        </w:rPr>
        <w:t xml:space="preserve">, K. K. (2004). A meta-analysis of mycorrhizal responses to nitrogen, phosphorus, and atmospheric CO2 in field studies. New </w:t>
      </w:r>
      <w:proofErr w:type="spellStart"/>
      <w:r w:rsidRPr="00801911">
        <w:rPr>
          <w:sz w:val="22"/>
          <w:szCs w:val="22"/>
        </w:rPr>
        <w:t>Phytologist</w:t>
      </w:r>
      <w:proofErr w:type="spellEnd"/>
      <w:r w:rsidRPr="00801911">
        <w:rPr>
          <w:sz w:val="22"/>
          <w:szCs w:val="22"/>
        </w:rPr>
        <w:t>, 164(2), 347–355. https://doi.org/10.1111/j.1469-8137.2004.01159.x</w:t>
      </w:r>
    </w:p>
    <w:p w14:paraId="25F86D9D" w14:textId="77777777" w:rsidR="00DB1D50" w:rsidRDefault="000E558F" w:rsidP="00801911">
      <w:pPr>
        <w:pStyle w:val="ListParagraph"/>
        <w:numPr>
          <w:ilvl w:val="0"/>
          <w:numId w:val="2"/>
        </w:numPr>
        <w:spacing w:after="120" w:line="360" w:lineRule="auto"/>
        <w:jc w:val="both"/>
      </w:pPr>
      <w:r w:rsidRPr="00801911">
        <w:rPr>
          <w:sz w:val="22"/>
          <w:szCs w:val="22"/>
        </w:rPr>
        <w:t xml:space="preserve">Trivedi, P., Leach, J. E., </w:t>
      </w:r>
      <w:proofErr w:type="spellStart"/>
      <w:r w:rsidRPr="00801911">
        <w:rPr>
          <w:sz w:val="22"/>
          <w:szCs w:val="22"/>
        </w:rPr>
        <w:t>Tringe</w:t>
      </w:r>
      <w:proofErr w:type="spellEnd"/>
      <w:r w:rsidRPr="00801911">
        <w:rPr>
          <w:sz w:val="22"/>
          <w:szCs w:val="22"/>
        </w:rPr>
        <w:t xml:space="preserve">, S. G., Sa, T., &amp; Singh, B. K. (2020). Plant–microbiome interactions: From community assembly to plant health. Nature Reviews Microbiology, 18(11), 607–621. </w:t>
      </w:r>
      <w:hyperlink r:id="rId12" w:history="1">
        <w:r w:rsidR="00885919" w:rsidRPr="00801911">
          <w:rPr>
            <w:rStyle w:val="Hyperlink"/>
            <w:sz w:val="22"/>
            <w:szCs w:val="22"/>
          </w:rPr>
          <w:t>https://doi.org/10.1038/s41579-020-0412-1</w:t>
        </w:r>
      </w:hyperlink>
      <w:r w:rsidR="00885919" w:rsidRPr="00801911">
        <w:rPr>
          <w:sz w:val="22"/>
          <w:szCs w:val="22"/>
        </w:rPr>
        <w:t xml:space="preserve"> </w:t>
      </w:r>
    </w:p>
    <w:p w14:paraId="4691E7F7" w14:textId="77777777" w:rsidR="00DB1D50" w:rsidRDefault="000E558F" w:rsidP="00801911">
      <w:pPr>
        <w:pStyle w:val="ListParagraph"/>
        <w:numPr>
          <w:ilvl w:val="0"/>
          <w:numId w:val="2"/>
        </w:numPr>
        <w:spacing w:after="120" w:line="360" w:lineRule="auto"/>
        <w:jc w:val="both"/>
      </w:pPr>
      <w:r w:rsidRPr="00801911">
        <w:rPr>
          <w:sz w:val="22"/>
          <w:szCs w:val="22"/>
        </w:rPr>
        <w:t xml:space="preserve">van der Heijden, M. G. A., </w:t>
      </w:r>
      <w:proofErr w:type="spellStart"/>
      <w:r w:rsidRPr="00801911">
        <w:rPr>
          <w:sz w:val="22"/>
          <w:szCs w:val="22"/>
        </w:rPr>
        <w:t>Bardgett</w:t>
      </w:r>
      <w:proofErr w:type="spellEnd"/>
      <w:r w:rsidRPr="00801911">
        <w:rPr>
          <w:sz w:val="22"/>
          <w:szCs w:val="22"/>
        </w:rPr>
        <w:t xml:space="preserve">, R. D., &amp; van </w:t>
      </w:r>
      <w:proofErr w:type="spellStart"/>
      <w:r w:rsidRPr="00801911">
        <w:rPr>
          <w:sz w:val="22"/>
          <w:szCs w:val="22"/>
        </w:rPr>
        <w:t>Straalen</w:t>
      </w:r>
      <w:proofErr w:type="spellEnd"/>
      <w:r w:rsidRPr="00801911">
        <w:rPr>
          <w:sz w:val="22"/>
          <w:szCs w:val="22"/>
        </w:rPr>
        <w:t xml:space="preserve">, N. M. (2008). The unseen majority: Soil microbes as drivers of plant diversity and productivity in terrestrial ecosystems. Ecology Letters, 11(3), 296–310. </w:t>
      </w:r>
      <w:hyperlink r:id="rId13" w:history="1">
        <w:r w:rsidR="00885919" w:rsidRPr="00801911">
          <w:rPr>
            <w:rStyle w:val="Hyperlink"/>
            <w:sz w:val="22"/>
            <w:szCs w:val="22"/>
          </w:rPr>
          <w:t>https://doi.org/10.1111/j.1461-0248.2007.01139.x</w:t>
        </w:r>
      </w:hyperlink>
      <w:r w:rsidR="00885919" w:rsidRPr="00801911">
        <w:rPr>
          <w:sz w:val="22"/>
          <w:szCs w:val="22"/>
        </w:rPr>
        <w:t xml:space="preserve"> </w:t>
      </w:r>
    </w:p>
    <w:p w14:paraId="667CD6F4" w14:textId="795F8F7B" w:rsidR="00DB1D50" w:rsidRPr="00801911" w:rsidRDefault="000E558F" w:rsidP="00801911">
      <w:pPr>
        <w:pStyle w:val="ListParagraph"/>
        <w:numPr>
          <w:ilvl w:val="0"/>
          <w:numId w:val="2"/>
        </w:numPr>
        <w:spacing w:after="120" w:line="360" w:lineRule="auto"/>
        <w:jc w:val="both"/>
        <w:rPr>
          <w:sz w:val="22"/>
          <w:szCs w:val="22"/>
        </w:rPr>
      </w:pPr>
      <w:r w:rsidRPr="00801911">
        <w:rPr>
          <w:sz w:val="22"/>
          <w:szCs w:val="22"/>
        </w:rPr>
        <w:t xml:space="preserve">Wagg, C., Bender, S. F., Widmer, F., &amp; van der Heijden, M. G. A. (2014). Soil biodiversity and soil community composition determine ecosystem multifunctionality. Proceedings of the National Academy of Sciences, 111(14), 5266–5270. </w:t>
      </w:r>
      <w:hyperlink r:id="rId14" w:history="1">
        <w:r w:rsidR="00885919" w:rsidRPr="00801911">
          <w:rPr>
            <w:rStyle w:val="Hyperlink"/>
            <w:sz w:val="22"/>
            <w:szCs w:val="22"/>
          </w:rPr>
          <w:t>https://doi.org/10.1073/pnas.1320054111</w:t>
        </w:r>
      </w:hyperlink>
      <w:r w:rsidR="00885919" w:rsidRPr="00801911">
        <w:rPr>
          <w:sz w:val="22"/>
          <w:szCs w:val="22"/>
        </w:rPr>
        <w:t xml:space="preserve"> </w:t>
      </w:r>
    </w:p>
    <w:p w14:paraId="550B5F83" w14:textId="77777777" w:rsidR="0043276B" w:rsidRPr="00700A2A" w:rsidRDefault="0043276B" w:rsidP="00801911">
      <w:pPr>
        <w:pStyle w:val="NormalWeb"/>
        <w:numPr>
          <w:ilvl w:val="0"/>
          <w:numId w:val="2"/>
        </w:numPr>
        <w:shd w:val="clear" w:color="auto" w:fill="FFFFFF"/>
        <w:spacing w:before="0" w:beforeAutospacing="0" w:after="150" w:afterAutospacing="0"/>
        <w:rPr>
          <w:rFonts w:ascii="inherit" w:hAnsi="inherit" w:cs="Helvetica"/>
          <w:color w:val="222222"/>
          <w:sz w:val="22"/>
          <w:szCs w:val="18"/>
        </w:rPr>
      </w:pPr>
      <w:proofErr w:type="spellStart"/>
      <w:r w:rsidRPr="00700A2A">
        <w:rPr>
          <w:rFonts w:ascii="inherit" w:hAnsi="inherit" w:cs="Helvetica"/>
          <w:color w:val="222222"/>
          <w:sz w:val="22"/>
          <w:szCs w:val="18"/>
          <w:highlight w:val="yellow"/>
        </w:rPr>
        <w:t>Nie</w:t>
      </w:r>
      <w:proofErr w:type="spellEnd"/>
      <w:r w:rsidRPr="00700A2A">
        <w:rPr>
          <w:rFonts w:ascii="inherit" w:hAnsi="inherit" w:cs="Helvetica"/>
          <w:color w:val="222222"/>
          <w:sz w:val="22"/>
          <w:szCs w:val="18"/>
          <w:highlight w:val="yellow"/>
        </w:rPr>
        <w:t>, W., He, Q., Guo, H., Zhang, W., Ma, L., Li, J., &amp; Wen, D. (2024). Arbuscular Mycorrhizal Fungi: Boosting Crop Resilience to Environmental Stresses. </w:t>
      </w:r>
      <w:r w:rsidRPr="00700A2A">
        <w:rPr>
          <w:rStyle w:val="Emphasis"/>
          <w:rFonts w:ascii="inherit" w:hAnsi="inherit" w:cs="Helvetica"/>
          <w:color w:val="222222"/>
          <w:sz w:val="22"/>
          <w:szCs w:val="18"/>
          <w:highlight w:val="yellow"/>
        </w:rPr>
        <w:t>Microorganisms</w:t>
      </w:r>
      <w:r w:rsidRPr="00700A2A">
        <w:rPr>
          <w:rFonts w:ascii="inherit" w:hAnsi="inherit" w:cs="Helvetica"/>
          <w:color w:val="222222"/>
          <w:sz w:val="22"/>
          <w:szCs w:val="18"/>
          <w:highlight w:val="yellow"/>
        </w:rPr>
        <w:t>, </w:t>
      </w:r>
      <w:r w:rsidRPr="00700A2A">
        <w:rPr>
          <w:rStyle w:val="Emphasis"/>
          <w:rFonts w:ascii="inherit" w:hAnsi="inherit" w:cs="Helvetica"/>
          <w:color w:val="222222"/>
          <w:sz w:val="22"/>
          <w:szCs w:val="18"/>
          <w:highlight w:val="yellow"/>
        </w:rPr>
        <w:t>12</w:t>
      </w:r>
      <w:r w:rsidRPr="00700A2A">
        <w:rPr>
          <w:rFonts w:ascii="inherit" w:hAnsi="inherit" w:cs="Helvetica"/>
          <w:color w:val="222222"/>
          <w:sz w:val="22"/>
          <w:szCs w:val="18"/>
          <w:highlight w:val="yellow"/>
        </w:rPr>
        <w:t>(12), 2448. https://doi.org/10.3390/microorganisms12122448</w:t>
      </w:r>
    </w:p>
    <w:p w14:paraId="62105885" w14:textId="1DD5F41C" w:rsidR="0043276B" w:rsidRDefault="00C744ED" w:rsidP="00801911">
      <w:pPr>
        <w:pStyle w:val="ListParagraph"/>
        <w:numPr>
          <w:ilvl w:val="0"/>
          <w:numId w:val="2"/>
        </w:numPr>
        <w:spacing w:after="120" w:line="360" w:lineRule="auto"/>
        <w:jc w:val="both"/>
      </w:pPr>
      <w:proofErr w:type="spellStart"/>
      <w:r w:rsidRPr="00801911">
        <w:rPr>
          <w:rFonts w:ascii="Arial" w:hAnsi="Arial" w:cs="Arial"/>
          <w:color w:val="222222"/>
          <w:sz w:val="20"/>
          <w:szCs w:val="20"/>
          <w:highlight w:val="yellow"/>
          <w:shd w:val="clear" w:color="auto" w:fill="FFFFFF"/>
        </w:rPr>
        <w:t>Iddrisu</w:t>
      </w:r>
      <w:proofErr w:type="spellEnd"/>
      <w:r w:rsidRPr="00801911">
        <w:rPr>
          <w:rFonts w:ascii="Arial" w:hAnsi="Arial" w:cs="Arial"/>
          <w:color w:val="222222"/>
          <w:sz w:val="20"/>
          <w:szCs w:val="20"/>
          <w:highlight w:val="yellow"/>
          <w:shd w:val="clear" w:color="auto" w:fill="FFFFFF"/>
        </w:rPr>
        <w:t xml:space="preserve">, A. M., &amp; </w:t>
      </w:r>
      <w:proofErr w:type="spellStart"/>
      <w:r w:rsidRPr="00801911">
        <w:rPr>
          <w:rFonts w:ascii="Arial" w:hAnsi="Arial" w:cs="Arial"/>
          <w:color w:val="222222"/>
          <w:sz w:val="20"/>
          <w:szCs w:val="20"/>
          <w:highlight w:val="yellow"/>
          <w:shd w:val="clear" w:color="auto" w:fill="FFFFFF"/>
        </w:rPr>
        <w:t>Özgen</w:t>
      </w:r>
      <w:proofErr w:type="spellEnd"/>
      <w:r w:rsidRPr="00801911">
        <w:rPr>
          <w:rFonts w:ascii="Arial" w:hAnsi="Arial" w:cs="Arial"/>
          <w:color w:val="222222"/>
          <w:sz w:val="20"/>
          <w:szCs w:val="20"/>
          <w:highlight w:val="yellow"/>
          <w:shd w:val="clear" w:color="auto" w:fill="FFFFFF"/>
        </w:rPr>
        <w:t xml:space="preserve">, </w:t>
      </w:r>
      <w:bookmarkStart w:id="0" w:name="_GoBack"/>
      <w:bookmarkEnd w:id="0"/>
      <w:r w:rsidRPr="00801911">
        <w:rPr>
          <w:rFonts w:ascii="Arial" w:hAnsi="Arial" w:cs="Arial"/>
          <w:color w:val="222222"/>
          <w:sz w:val="20"/>
          <w:szCs w:val="20"/>
          <w:highlight w:val="yellow"/>
          <w:shd w:val="clear" w:color="auto" w:fill="FFFFFF"/>
        </w:rPr>
        <w:t>İ. (2026). The Role of Arbuscular Mycorrhizal Fungi in Enhancing Crop Resilience and Soil Health: A Review. </w:t>
      </w:r>
      <w:r w:rsidRPr="00801911">
        <w:rPr>
          <w:rFonts w:ascii="Arial" w:hAnsi="Arial" w:cs="Arial"/>
          <w:i/>
          <w:iCs/>
          <w:color w:val="222222"/>
          <w:sz w:val="20"/>
          <w:szCs w:val="20"/>
          <w:highlight w:val="yellow"/>
          <w:shd w:val="clear" w:color="auto" w:fill="FFFFFF"/>
        </w:rPr>
        <w:t>Turkish Journal of Agriculture-Food Science and Technology</w:t>
      </w:r>
      <w:r w:rsidRPr="00801911">
        <w:rPr>
          <w:rFonts w:ascii="Arial" w:hAnsi="Arial" w:cs="Arial"/>
          <w:color w:val="222222"/>
          <w:sz w:val="20"/>
          <w:szCs w:val="20"/>
          <w:highlight w:val="yellow"/>
          <w:shd w:val="clear" w:color="auto" w:fill="FFFFFF"/>
        </w:rPr>
        <w:t>, </w:t>
      </w:r>
      <w:r w:rsidRPr="00801911">
        <w:rPr>
          <w:rFonts w:ascii="Arial" w:hAnsi="Arial" w:cs="Arial"/>
          <w:i/>
          <w:iCs/>
          <w:color w:val="222222"/>
          <w:sz w:val="20"/>
          <w:szCs w:val="20"/>
          <w:highlight w:val="yellow"/>
          <w:shd w:val="clear" w:color="auto" w:fill="FFFFFF"/>
        </w:rPr>
        <w:t>14</w:t>
      </w:r>
      <w:r w:rsidRPr="00801911">
        <w:rPr>
          <w:rFonts w:ascii="Arial" w:hAnsi="Arial" w:cs="Arial"/>
          <w:color w:val="222222"/>
          <w:sz w:val="20"/>
          <w:szCs w:val="20"/>
          <w:highlight w:val="yellow"/>
          <w:shd w:val="clear" w:color="auto" w:fill="FFFFFF"/>
        </w:rPr>
        <w:t>(4), 1178-1188.</w:t>
      </w:r>
    </w:p>
    <w:sectPr w:rsidR="0043276B" w:rsidSect="00DB1D50">
      <w:headerReference w:type="even" r:id="rId15"/>
      <w:headerReference w:type="default" r:id="rId16"/>
      <w:footerReference w:type="even" r:id="rId17"/>
      <w:footerReference w:type="default" r:id="rId18"/>
      <w:headerReference w:type="first" r:id="rId19"/>
      <w:footerReference w:type="first" r:id="rId20"/>
      <w:pgSz w:w="12240" w:h="15840"/>
      <w:pgMar w:top="1440" w:right="1260" w:bottom="1440" w:left="126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325CBE" w16cex:dateUtc="2026-04-12T17:35:00Z"/>
  <w16cex:commentExtensible w16cex:durableId="27734024" w16cex:dateUtc="2026-04-12T17:36:00Z"/>
  <w16cex:commentExtensible w16cex:durableId="17D58D8D" w16cex:dateUtc="2026-04-13T03:54:00Z"/>
  <w16cex:commentExtensible w16cex:durableId="78BE6380" w16cex:dateUtc="2026-04-13T03:57:00Z"/>
  <w16cex:commentExtensible w16cex:durableId="23A82AB6" w16cex:dateUtc="2026-04-13T04:12:00Z"/>
  <w16cex:commentExtensible w16cex:durableId="2D40340A" w16cex:dateUtc="2026-04-13T04:18:00Z"/>
  <w16cex:commentExtensible w16cex:durableId="28E8362B" w16cex:dateUtc="2026-04-13T04:26:00Z"/>
  <w16cex:commentExtensible w16cex:durableId="6E72D501" w16cex:dateUtc="2026-04-13T04:43:00Z"/>
  <w16cex:commentExtensible w16cex:durableId="52637B58" w16cex:dateUtc="2026-04-13T04:49:00Z"/>
  <w16cex:commentExtensible w16cex:durableId="62BA6C7D" w16cex:dateUtc="2026-04-13T04:51:00Z"/>
  <w16cex:commentExtensible w16cex:durableId="50D37C1A" w16cex:dateUtc="2026-04-13T04:51:00Z"/>
  <w16cex:commentExtensible w16cex:durableId="2345E579" w16cex:dateUtc="2026-04-13T04:55:00Z"/>
  <w16cex:commentExtensible w16cex:durableId="6F28E1DF" w16cex:dateUtc="2026-04-13T04:55:00Z"/>
  <w16cex:commentExtensible w16cex:durableId="31BBD204" w16cex:dateUtc="2026-04-13T04:55:00Z"/>
  <w16cex:commentExtensible w16cex:durableId="00D4D14E" w16cex:dateUtc="2026-04-13T04:56:00Z"/>
  <w16cex:commentExtensible w16cex:durableId="53D51E38" w16cex:dateUtc="2026-04-13T04:59:00Z"/>
  <w16cex:commentExtensible w16cex:durableId="4A2161DA" w16cex:dateUtc="2026-04-13T04:59:00Z"/>
  <w16cex:commentExtensible w16cex:durableId="5EE645E8" w16cex:dateUtc="2026-04-13T05:03:00Z"/>
  <w16cex:commentExtensible w16cex:durableId="1EAE1021" w16cex:dateUtc="2026-04-13T05:32:00Z"/>
  <w16cex:commentExtensible w16cex:durableId="79B41CC0" w16cex:dateUtc="2026-04-13T05:31:00Z"/>
  <w16cex:commentExtensible w16cex:durableId="07998407" w16cex:dateUtc="2026-04-13T05: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E53B6" w14:textId="77777777" w:rsidR="008B4276" w:rsidRDefault="008B4276" w:rsidP="00DB1D50">
      <w:r>
        <w:separator/>
      </w:r>
    </w:p>
  </w:endnote>
  <w:endnote w:type="continuationSeparator" w:id="0">
    <w:p w14:paraId="76D732FB" w14:textId="77777777" w:rsidR="008B4276" w:rsidRDefault="008B4276" w:rsidP="00DB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956F" w14:textId="77777777" w:rsidR="00247A23" w:rsidRDefault="00247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08E8" w14:textId="77777777" w:rsidR="00247A23" w:rsidRDefault="00247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62EF" w14:textId="77777777" w:rsidR="00247A23" w:rsidRDefault="0024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FFD30" w14:textId="77777777" w:rsidR="008B4276" w:rsidRDefault="008B4276" w:rsidP="00DB1D50">
      <w:r>
        <w:separator/>
      </w:r>
    </w:p>
  </w:footnote>
  <w:footnote w:type="continuationSeparator" w:id="0">
    <w:p w14:paraId="4EAD5CD4" w14:textId="77777777" w:rsidR="008B4276" w:rsidRDefault="008B4276" w:rsidP="00DB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714B" w14:textId="5E1A2EB0" w:rsidR="00247A23" w:rsidRDefault="008B4276">
    <w:pPr>
      <w:pStyle w:val="Header"/>
    </w:pPr>
    <w:r>
      <w:rPr>
        <w:noProof/>
      </w:rPr>
      <w:pict w14:anchorId="6A190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5"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7709" w14:textId="3C852581" w:rsidR="00247A23" w:rsidRDefault="008B4276">
    <w:pPr>
      <w:pStyle w:val="Header"/>
    </w:pPr>
    <w:r>
      <w:rPr>
        <w:noProof/>
      </w:rPr>
      <w:pict w14:anchorId="03D5C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6"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FC0B" w14:textId="64345EF6" w:rsidR="00247A23" w:rsidRDefault="008B4276">
    <w:pPr>
      <w:pStyle w:val="Header"/>
    </w:pPr>
    <w:r>
      <w:rPr>
        <w:noProof/>
      </w:rPr>
      <w:pict w14:anchorId="4E13A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4"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88D"/>
    <w:multiLevelType w:val="hybridMultilevel"/>
    <w:tmpl w:val="10A2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03AE8"/>
    <w:multiLevelType w:val="hybridMultilevel"/>
    <w:tmpl w:val="D5327EC0"/>
    <w:lvl w:ilvl="0" w:tplc="FA16EA60">
      <w:start w:val="1"/>
      <w:numFmt w:val="bullet"/>
      <w:lvlText w:val="●"/>
      <w:lvlJc w:val="left"/>
      <w:pPr>
        <w:ind w:left="720" w:hanging="360"/>
      </w:pPr>
    </w:lvl>
    <w:lvl w:ilvl="1" w:tplc="F2A6583E">
      <w:start w:val="1"/>
      <w:numFmt w:val="bullet"/>
      <w:lvlText w:val="○"/>
      <w:lvlJc w:val="left"/>
      <w:pPr>
        <w:ind w:left="1440" w:hanging="360"/>
      </w:pPr>
    </w:lvl>
    <w:lvl w:ilvl="2" w:tplc="B3848564">
      <w:start w:val="1"/>
      <w:numFmt w:val="bullet"/>
      <w:lvlText w:val="■"/>
      <w:lvlJc w:val="left"/>
      <w:pPr>
        <w:ind w:left="2160" w:hanging="360"/>
      </w:pPr>
    </w:lvl>
    <w:lvl w:ilvl="3" w:tplc="F09ACEF4">
      <w:start w:val="1"/>
      <w:numFmt w:val="bullet"/>
      <w:lvlText w:val="●"/>
      <w:lvlJc w:val="left"/>
      <w:pPr>
        <w:ind w:left="2880" w:hanging="360"/>
      </w:pPr>
    </w:lvl>
    <w:lvl w:ilvl="4" w:tplc="1AE29BF8">
      <w:start w:val="1"/>
      <w:numFmt w:val="bullet"/>
      <w:lvlText w:val="○"/>
      <w:lvlJc w:val="left"/>
      <w:pPr>
        <w:ind w:left="3600" w:hanging="360"/>
      </w:pPr>
    </w:lvl>
    <w:lvl w:ilvl="5" w:tplc="E51CDE78">
      <w:start w:val="1"/>
      <w:numFmt w:val="bullet"/>
      <w:lvlText w:val="■"/>
      <w:lvlJc w:val="left"/>
      <w:pPr>
        <w:ind w:left="4320" w:hanging="360"/>
      </w:pPr>
    </w:lvl>
    <w:lvl w:ilvl="6" w:tplc="34B8C07A">
      <w:start w:val="1"/>
      <w:numFmt w:val="bullet"/>
      <w:lvlText w:val="●"/>
      <w:lvlJc w:val="left"/>
      <w:pPr>
        <w:ind w:left="5040" w:hanging="360"/>
      </w:pPr>
    </w:lvl>
    <w:lvl w:ilvl="7" w:tplc="C47A077E">
      <w:start w:val="1"/>
      <w:numFmt w:val="bullet"/>
      <w:lvlText w:val="●"/>
      <w:lvlJc w:val="left"/>
      <w:pPr>
        <w:ind w:left="5760" w:hanging="360"/>
      </w:pPr>
    </w:lvl>
    <w:lvl w:ilvl="8" w:tplc="C6F682F6">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1MzAyMbEwtjQxMTdS0lEKTi0uzszPAykwrAUABc2ZOCwAAAA="/>
  </w:docVars>
  <w:rsids>
    <w:rsidRoot w:val="00DB1D50"/>
    <w:rsid w:val="00000694"/>
    <w:rsid w:val="000C2CDE"/>
    <w:rsid w:val="000E41D4"/>
    <w:rsid w:val="000E558F"/>
    <w:rsid w:val="00247A23"/>
    <w:rsid w:val="00250CC9"/>
    <w:rsid w:val="00257E22"/>
    <w:rsid w:val="00277F4C"/>
    <w:rsid w:val="002F1218"/>
    <w:rsid w:val="003C62C2"/>
    <w:rsid w:val="0043276B"/>
    <w:rsid w:val="00700A2A"/>
    <w:rsid w:val="00723919"/>
    <w:rsid w:val="00747BDA"/>
    <w:rsid w:val="00760838"/>
    <w:rsid w:val="00801911"/>
    <w:rsid w:val="00885919"/>
    <w:rsid w:val="008B4276"/>
    <w:rsid w:val="008D6A04"/>
    <w:rsid w:val="008E46D7"/>
    <w:rsid w:val="009C6255"/>
    <w:rsid w:val="00A51DBC"/>
    <w:rsid w:val="00A8598B"/>
    <w:rsid w:val="00AF247E"/>
    <w:rsid w:val="00C744ED"/>
    <w:rsid w:val="00CD44A4"/>
    <w:rsid w:val="00D0391C"/>
    <w:rsid w:val="00D45A5F"/>
    <w:rsid w:val="00D67CF8"/>
    <w:rsid w:val="00DA3A81"/>
    <w:rsid w:val="00DB1D50"/>
    <w:rsid w:val="00DF1457"/>
    <w:rsid w:val="00E371AD"/>
    <w:rsid w:val="00EE3F72"/>
    <w:rsid w:val="00F50F91"/>
    <w:rsid w:val="00F9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310FA"/>
  <w15:docId w15:val="{A184436C-DD59-4870-A6E0-62B9BF6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A04"/>
  </w:style>
  <w:style w:type="paragraph" w:styleId="Heading1">
    <w:name w:val="heading 1"/>
    <w:qFormat/>
    <w:rsid w:val="00DB1D50"/>
    <w:pPr>
      <w:spacing w:before="360" w:after="180"/>
      <w:outlineLvl w:val="0"/>
    </w:pPr>
    <w:rPr>
      <w:rFonts w:ascii="Arial" w:eastAsia="Arial" w:hAnsi="Arial" w:cs="Arial"/>
      <w:b/>
      <w:bCs/>
      <w:color w:val="1F3864"/>
      <w:sz w:val="28"/>
      <w:szCs w:val="28"/>
    </w:rPr>
  </w:style>
  <w:style w:type="paragraph" w:styleId="Heading2">
    <w:name w:val="heading 2"/>
    <w:qFormat/>
    <w:rsid w:val="00DB1D50"/>
    <w:pPr>
      <w:spacing w:before="240" w:after="120"/>
      <w:outlineLvl w:val="1"/>
    </w:pPr>
    <w:rPr>
      <w:rFonts w:ascii="Arial" w:eastAsia="Arial" w:hAnsi="Arial" w:cs="Arial"/>
      <w:b/>
      <w:bCs/>
      <w:color w:val="2E5090"/>
      <w:sz w:val="26"/>
      <w:szCs w:val="26"/>
    </w:rPr>
  </w:style>
  <w:style w:type="paragraph" w:styleId="Heading3">
    <w:name w:val="heading 3"/>
    <w:qFormat/>
    <w:rsid w:val="00DB1D50"/>
    <w:pPr>
      <w:spacing w:before="200" w:after="100"/>
      <w:outlineLvl w:val="2"/>
    </w:pPr>
    <w:rPr>
      <w:rFonts w:ascii="Arial" w:eastAsia="Arial" w:hAnsi="Arial" w:cs="Arial"/>
      <w:b/>
      <w:bCs/>
      <w:i/>
      <w:iCs/>
      <w:color w:val="2E5090"/>
    </w:rPr>
  </w:style>
  <w:style w:type="paragraph" w:styleId="Heading4">
    <w:name w:val="heading 4"/>
    <w:qFormat/>
    <w:rsid w:val="00DB1D50"/>
    <w:pPr>
      <w:outlineLvl w:val="3"/>
    </w:pPr>
    <w:rPr>
      <w:i/>
      <w:iCs/>
      <w:color w:val="2E74B5"/>
    </w:rPr>
  </w:style>
  <w:style w:type="paragraph" w:styleId="Heading5">
    <w:name w:val="heading 5"/>
    <w:qFormat/>
    <w:rsid w:val="00DB1D50"/>
    <w:pPr>
      <w:outlineLvl w:val="4"/>
    </w:pPr>
    <w:rPr>
      <w:color w:val="2E74B5"/>
    </w:rPr>
  </w:style>
  <w:style w:type="paragraph" w:styleId="Heading6">
    <w:name w:val="heading 6"/>
    <w:qFormat/>
    <w:rsid w:val="00DB1D5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B1D50"/>
    <w:rPr>
      <w:sz w:val="56"/>
      <w:szCs w:val="56"/>
    </w:rPr>
  </w:style>
  <w:style w:type="paragraph" w:customStyle="1" w:styleId="Strong1">
    <w:name w:val="Strong1"/>
    <w:qFormat/>
    <w:rsid w:val="00DB1D50"/>
    <w:rPr>
      <w:b/>
      <w:bCs/>
    </w:rPr>
  </w:style>
  <w:style w:type="paragraph" w:styleId="ListParagraph">
    <w:name w:val="List Paragraph"/>
    <w:qFormat/>
    <w:rsid w:val="00DB1D50"/>
  </w:style>
  <w:style w:type="character" w:styleId="Hyperlink">
    <w:name w:val="Hyperlink"/>
    <w:uiPriority w:val="99"/>
    <w:unhideWhenUsed/>
    <w:rsid w:val="00DB1D50"/>
    <w:rPr>
      <w:color w:val="0563C1"/>
      <w:u w:val="single"/>
    </w:rPr>
  </w:style>
  <w:style w:type="character" w:styleId="FootnoteReference">
    <w:name w:val="footnote reference"/>
    <w:uiPriority w:val="99"/>
    <w:semiHidden/>
    <w:unhideWhenUsed/>
    <w:rsid w:val="00DB1D50"/>
    <w:rPr>
      <w:vertAlign w:val="superscript"/>
    </w:rPr>
  </w:style>
  <w:style w:type="paragraph" w:styleId="FootnoteText">
    <w:name w:val="footnote text"/>
    <w:link w:val="FootnoteTextChar"/>
    <w:uiPriority w:val="99"/>
    <w:semiHidden/>
    <w:unhideWhenUsed/>
    <w:rsid w:val="00DB1D50"/>
    <w:rPr>
      <w:sz w:val="20"/>
      <w:szCs w:val="20"/>
    </w:rPr>
  </w:style>
  <w:style w:type="character" w:customStyle="1" w:styleId="FootnoteTextChar">
    <w:name w:val="Footnote Text Char"/>
    <w:link w:val="FootnoteText"/>
    <w:uiPriority w:val="99"/>
    <w:semiHidden/>
    <w:unhideWhenUsed/>
    <w:rsid w:val="00DB1D50"/>
    <w:rPr>
      <w:sz w:val="20"/>
      <w:szCs w:val="20"/>
    </w:rPr>
  </w:style>
  <w:style w:type="character" w:styleId="EndnoteReference">
    <w:name w:val="endnote reference"/>
    <w:uiPriority w:val="99"/>
    <w:semiHidden/>
    <w:unhideWhenUsed/>
    <w:rsid w:val="00DB1D50"/>
    <w:rPr>
      <w:vertAlign w:val="superscript"/>
    </w:rPr>
  </w:style>
  <w:style w:type="paragraph" w:styleId="EndnoteText">
    <w:name w:val="endnote text"/>
    <w:link w:val="EndnoteTextChar"/>
    <w:uiPriority w:val="99"/>
    <w:semiHidden/>
    <w:unhideWhenUsed/>
    <w:rsid w:val="00DB1D50"/>
    <w:rPr>
      <w:sz w:val="20"/>
      <w:szCs w:val="20"/>
    </w:rPr>
  </w:style>
  <w:style w:type="character" w:customStyle="1" w:styleId="EndnoteTextChar">
    <w:name w:val="Endnote Text Char"/>
    <w:link w:val="EndnoteText"/>
    <w:uiPriority w:val="99"/>
    <w:semiHidden/>
    <w:unhideWhenUsed/>
    <w:rsid w:val="00DB1D50"/>
    <w:rPr>
      <w:sz w:val="20"/>
      <w:szCs w:val="20"/>
    </w:rPr>
  </w:style>
  <w:style w:type="paragraph" w:styleId="Header">
    <w:name w:val="header"/>
    <w:basedOn w:val="Normal"/>
    <w:link w:val="HeaderChar"/>
    <w:uiPriority w:val="99"/>
    <w:unhideWhenUsed/>
    <w:rsid w:val="00747BDA"/>
    <w:pPr>
      <w:tabs>
        <w:tab w:val="center" w:pos="4680"/>
        <w:tab w:val="right" w:pos="9360"/>
      </w:tabs>
    </w:pPr>
  </w:style>
  <w:style w:type="character" w:customStyle="1" w:styleId="HeaderChar">
    <w:name w:val="Header Char"/>
    <w:basedOn w:val="DefaultParagraphFont"/>
    <w:link w:val="Header"/>
    <w:uiPriority w:val="99"/>
    <w:rsid w:val="00747BDA"/>
  </w:style>
  <w:style w:type="paragraph" w:styleId="Footer">
    <w:name w:val="footer"/>
    <w:basedOn w:val="Normal"/>
    <w:link w:val="FooterChar"/>
    <w:uiPriority w:val="99"/>
    <w:unhideWhenUsed/>
    <w:rsid w:val="00747BDA"/>
    <w:pPr>
      <w:tabs>
        <w:tab w:val="center" w:pos="4680"/>
        <w:tab w:val="right" w:pos="9360"/>
      </w:tabs>
    </w:pPr>
  </w:style>
  <w:style w:type="character" w:customStyle="1" w:styleId="FooterChar">
    <w:name w:val="Footer Char"/>
    <w:basedOn w:val="DefaultParagraphFont"/>
    <w:link w:val="Footer"/>
    <w:uiPriority w:val="99"/>
    <w:rsid w:val="00747BDA"/>
  </w:style>
  <w:style w:type="character" w:styleId="CommentReference">
    <w:name w:val="annotation reference"/>
    <w:basedOn w:val="DefaultParagraphFont"/>
    <w:uiPriority w:val="99"/>
    <w:semiHidden/>
    <w:unhideWhenUsed/>
    <w:rsid w:val="00CD44A4"/>
    <w:rPr>
      <w:sz w:val="16"/>
      <w:szCs w:val="16"/>
    </w:rPr>
  </w:style>
  <w:style w:type="paragraph" w:styleId="CommentText">
    <w:name w:val="annotation text"/>
    <w:basedOn w:val="Normal"/>
    <w:link w:val="CommentTextChar"/>
    <w:uiPriority w:val="99"/>
    <w:unhideWhenUsed/>
    <w:rsid w:val="00CD44A4"/>
    <w:rPr>
      <w:sz w:val="20"/>
      <w:szCs w:val="20"/>
    </w:rPr>
  </w:style>
  <w:style w:type="character" w:customStyle="1" w:styleId="CommentTextChar">
    <w:name w:val="Comment Text Char"/>
    <w:basedOn w:val="DefaultParagraphFont"/>
    <w:link w:val="CommentText"/>
    <w:uiPriority w:val="99"/>
    <w:rsid w:val="00CD44A4"/>
    <w:rPr>
      <w:sz w:val="20"/>
      <w:szCs w:val="20"/>
    </w:rPr>
  </w:style>
  <w:style w:type="paragraph" w:styleId="CommentSubject">
    <w:name w:val="annotation subject"/>
    <w:basedOn w:val="CommentText"/>
    <w:next w:val="CommentText"/>
    <w:link w:val="CommentSubjectChar"/>
    <w:uiPriority w:val="99"/>
    <w:semiHidden/>
    <w:unhideWhenUsed/>
    <w:rsid w:val="00CD44A4"/>
    <w:rPr>
      <w:b/>
      <w:bCs/>
    </w:rPr>
  </w:style>
  <w:style w:type="character" w:customStyle="1" w:styleId="CommentSubjectChar">
    <w:name w:val="Comment Subject Char"/>
    <w:basedOn w:val="CommentTextChar"/>
    <w:link w:val="CommentSubject"/>
    <w:uiPriority w:val="99"/>
    <w:semiHidden/>
    <w:rsid w:val="00CD44A4"/>
    <w:rPr>
      <w:b/>
      <w:bCs/>
      <w:sz w:val="20"/>
      <w:szCs w:val="20"/>
    </w:rPr>
  </w:style>
  <w:style w:type="paragraph" w:styleId="BalloonText">
    <w:name w:val="Balloon Text"/>
    <w:basedOn w:val="Normal"/>
    <w:link w:val="BalloonTextChar"/>
    <w:uiPriority w:val="99"/>
    <w:semiHidden/>
    <w:unhideWhenUsed/>
    <w:rsid w:val="00DF1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457"/>
    <w:rPr>
      <w:rFonts w:ascii="Segoe UI" w:hAnsi="Segoe UI" w:cs="Segoe UI"/>
      <w:sz w:val="18"/>
      <w:szCs w:val="18"/>
    </w:rPr>
  </w:style>
  <w:style w:type="paragraph" w:styleId="NormalWeb">
    <w:name w:val="Normal (Web)"/>
    <w:basedOn w:val="Normal"/>
    <w:uiPriority w:val="99"/>
    <w:semiHidden/>
    <w:unhideWhenUsed/>
    <w:rsid w:val="0043276B"/>
    <w:pPr>
      <w:spacing w:before="100" w:beforeAutospacing="1" w:after="100" w:afterAutospacing="1"/>
    </w:pPr>
  </w:style>
  <w:style w:type="character" w:styleId="Emphasis">
    <w:name w:val="Emphasis"/>
    <w:basedOn w:val="DefaultParagraphFont"/>
    <w:uiPriority w:val="20"/>
    <w:qFormat/>
    <w:rsid w:val="00432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90174">
      <w:bodyDiv w:val="1"/>
      <w:marLeft w:val="0"/>
      <w:marRight w:val="0"/>
      <w:marTop w:val="0"/>
      <w:marBottom w:val="0"/>
      <w:divBdr>
        <w:top w:val="none" w:sz="0" w:space="0" w:color="auto"/>
        <w:left w:val="none" w:sz="0" w:space="0" w:color="auto"/>
        <w:bottom w:val="none" w:sz="0" w:space="0" w:color="auto"/>
        <w:right w:val="none" w:sz="0" w:space="0" w:color="auto"/>
      </w:divBdr>
      <w:divsChild>
        <w:div w:id="218514831">
          <w:marLeft w:val="0"/>
          <w:marRight w:val="0"/>
          <w:marTop w:val="0"/>
          <w:marBottom w:val="0"/>
          <w:divBdr>
            <w:top w:val="none" w:sz="0" w:space="0" w:color="auto"/>
            <w:left w:val="none" w:sz="0" w:space="0" w:color="auto"/>
            <w:bottom w:val="none" w:sz="0" w:space="0" w:color="auto"/>
            <w:right w:val="none" w:sz="0" w:space="0" w:color="auto"/>
          </w:divBdr>
          <w:divsChild>
            <w:div w:id="5259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516">
      <w:bodyDiv w:val="1"/>
      <w:marLeft w:val="0"/>
      <w:marRight w:val="0"/>
      <w:marTop w:val="0"/>
      <w:marBottom w:val="0"/>
      <w:divBdr>
        <w:top w:val="none" w:sz="0" w:space="0" w:color="auto"/>
        <w:left w:val="none" w:sz="0" w:space="0" w:color="auto"/>
        <w:bottom w:val="none" w:sz="0" w:space="0" w:color="auto"/>
        <w:right w:val="none" w:sz="0" w:space="0" w:color="auto"/>
      </w:divBdr>
      <w:divsChild>
        <w:div w:id="653029337">
          <w:marLeft w:val="0"/>
          <w:marRight w:val="0"/>
          <w:marTop w:val="0"/>
          <w:marBottom w:val="0"/>
          <w:divBdr>
            <w:top w:val="none" w:sz="0" w:space="0" w:color="auto"/>
            <w:left w:val="none" w:sz="0" w:space="0" w:color="auto"/>
            <w:bottom w:val="none" w:sz="0" w:space="0" w:color="auto"/>
            <w:right w:val="none" w:sz="0" w:space="0" w:color="auto"/>
          </w:divBdr>
          <w:divsChild>
            <w:div w:id="1805852281">
              <w:marLeft w:val="0"/>
              <w:marRight w:val="0"/>
              <w:marTop w:val="0"/>
              <w:marBottom w:val="0"/>
              <w:divBdr>
                <w:top w:val="none" w:sz="0" w:space="0" w:color="auto"/>
                <w:left w:val="none" w:sz="0" w:space="0" w:color="auto"/>
                <w:bottom w:val="none" w:sz="0" w:space="0" w:color="auto"/>
                <w:right w:val="none" w:sz="0" w:space="0" w:color="auto"/>
              </w:divBdr>
              <w:divsChild>
                <w:div w:id="1972127845">
                  <w:marLeft w:val="0"/>
                  <w:marRight w:val="0"/>
                  <w:marTop w:val="0"/>
                  <w:marBottom w:val="0"/>
                  <w:divBdr>
                    <w:top w:val="none" w:sz="0" w:space="0" w:color="auto"/>
                    <w:left w:val="none" w:sz="0" w:space="0" w:color="auto"/>
                    <w:bottom w:val="none" w:sz="0" w:space="0" w:color="auto"/>
                    <w:right w:val="none" w:sz="0" w:space="0" w:color="auto"/>
                  </w:divBdr>
                  <w:divsChild>
                    <w:div w:id="1500077766">
                      <w:marLeft w:val="0"/>
                      <w:marRight w:val="0"/>
                      <w:marTop w:val="0"/>
                      <w:marBottom w:val="0"/>
                      <w:divBdr>
                        <w:top w:val="none" w:sz="0" w:space="0" w:color="auto"/>
                        <w:left w:val="none" w:sz="0" w:space="0" w:color="auto"/>
                        <w:bottom w:val="none" w:sz="0" w:space="0" w:color="auto"/>
                        <w:right w:val="none" w:sz="0" w:space="0" w:color="auto"/>
                      </w:divBdr>
                      <w:divsChild>
                        <w:div w:id="1746492775">
                          <w:marLeft w:val="0"/>
                          <w:marRight w:val="0"/>
                          <w:marTop w:val="0"/>
                          <w:marBottom w:val="0"/>
                          <w:divBdr>
                            <w:top w:val="none" w:sz="0" w:space="0" w:color="auto"/>
                            <w:left w:val="none" w:sz="0" w:space="0" w:color="auto"/>
                            <w:bottom w:val="none" w:sz="0" w:space="0" w:color="auto"/>
                            <w:right w:val="none" w:sz="0" w:space="0" w:color="auto"/>
                          </w:divBdr>
                          <w:divsChild>
                            <w:div w:id="1767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396-019-0383-2" TargetMode="External"/><Relationship Id="rId13" Type="http://schemas.openxmlformats.org/officeDocument/2006/relationships/hyperlink" Target="https://doi.org/10.1111/j.1461-0248.2007.01139.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jksus.2013.05.001" TargetMode="External"/><Relationship Id="rId12" Type="http://schemas.openxmlformats.org/officeDocument/2006/relationships/hyperlink" Target="https://doi.org/10.1038/s41579-020-0412-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74-011-0979-9"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doi.org/10.1016/j.tplants.2012.04.0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38/nature13855" TargetMode="External"/><Relationship Id="rId14" Type="http://schemas.openxmlformats.org/officeDocument/2006/relationships/hyperlink" Target="https://doi.org/10.1073/pnas.13200541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10441</Words>
  <Characters>59515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11</cp:revision>
  <dcterms:created xsi:type="dcterms:W3CDTF">2026-04-13T05:33:00Z</dcterms:created>
  <dcterms:modified xsi:type="dcterms:W3CDTF">2026-04-17T12:17:00Z</dcterms:modified>
</cp:coreProperties>
</file>