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12FAA6" w14:textId="5EE9457A" w:rsidR="009309BD" w:rsidRPr="00045DFA" w:rsidRDefault="009309BD" w:rsidP="00680D07">
      <w:pPr>
        <w:spacing w:after="0" w:line="276" w:lineRule="auto"/>
        <w:rPr>
          <w:rFonts w:asciiTheme="majorHAnsi" w:hAnsiTheme="majorHAnsi" w:cs="Times New Roman"/>
          <w:b/>
          <w:bCs/>
          <w:sz w:val="28"/>
          <w:szCs w:val="28"/>
          <w:u w:val="single"/>
        </w:rPr>
      </w:pPr>
      <w:r w:rsidRPr="00045DFA">
        <w:rPr>
          <w:rFonts w:asciiTheme="majorHAnsi" w:hAnsiTheme="majorHAnsi" w:cs="Times New Roman"/>
          <w:b/>
          <w:bCs/>
          <w:sz w:val="28"/>
          <w:szCs w:val="28"/>
          <w:u w:val="single"/>
        </w:rPr>
        <w:t>Review Article</w:t>
      </w:r>
    </w:p>
    <w:p w14:paraId="76137555" w14:textId="38B1E7F5" w:rsidR="00B92D59" w:rsidRPr="00045DFA" w:rsidRDefault="0059516A" w:rsidP="00680D07">
      <w:pPr>
        <w:spacing w:after="0" w:line="276" w:lineRule="auto"/>
        <w:rPr>
          <w:rFonts w:asciiTheme="majorHAnsi" w:hAnsiTheme="majorHAnsi" w:cs="Times New Roman"/>
          <w:b/>
          <w:bCs/>
          <w:sz w:val="28"/>
          <w:szCs w:val="28"/>
        </w:rPr>
      </w:pPr>
      <w:r w:rsidRPr="00045DFA">
        <w:rPr>
          <w:rFonts w:asciiTheme="majorHAnsi" w:hAnsiTheme="majorHAnsi" w:cs="Times New Roman"/>
          <w:b/>
          <w:bCs/>
          <w:sz w:val="28"/>
          <w:szCs w:val="28"/>
        </w:rPr>
        <w:t>Optimising Postoperative Recovery in Polytrauma Surgery: Integrating Physiological, Abdominal, and Orthopaedic Principles in Resource-Constrained Trauma Systems</w:t>
      </w:r>
    </w:p>
    <w:p w14:paraId="1FEF221B" w14:textId="77777777" w:rsidR="00B92D59" w:rsidRPr="00045DFA" w:rsidRDefault="00B92D59" w:rsidP="00680D07">
      <w:pPr>
        <w:spacing w:after="0" w:line="276" w:lineRule="auto"/>
        <w:rPr>
          <w:rFonts w:asciiTheme="majorHAnsi" w:hAnsiTheme="majorHAnsi" w:cs="Times New Roman"/>
        </w:rPr>
      </w:pPr>
    </w:p>
    <w:p w14:paraId="474F6957" w14:textId="77777777" w:rsidR="00045DFA" w:rsidRPr="00045DFA" w:rsidRDefault="00045DFA" w:rsidP="00045DFA">
      <w:pPr>
        <w:spacing w:after="0" w:line="276" w:lineRule="auto"/>
        <w:rPr>
          <w:rFonts w:asciiTheme="majorHAnsi" w:hAnsiTheme="majorHAnsi" w:cs="Times New Roman"/>
          <w:b/>
          <w:bCs/>
        </w:rPr>
      </w:pPr>
      <w:r w:rsidRPr="00045DFA">
        <w:rPr>
          <w:rFonts w:asciiTheme="majorHAnsi" w:hAnsiTheme="majorHAnsi" w:cs="Times New Roman"/>
          <w:b/>
          <w:bCs/>
        </w:rPr>
        <w:t>ABSTRACT (Final Corrected)</w:t>
      </w:r>
    </w:p>
    <w:p w14:paraId="4C89169B" w14:textId="77777777" w:rsidR="00045DFA" w:rsidRPr="00045DFA" w:rsidRDefault="00045DFA" w:rsidP="00045DFA">
      <w:pPr>
        <w:spacing w:after="0" w:line="276" w:lineRule="auto"/>
        <w:rPr>
          <w:rFonts w:asciiTheme="majorHAnsi" w:hAnsiTheme="majorHAnsi" w:cs="Times New Roman"/>
          <w:b/>
          <w:bCs/>
        </w:rPr>
      </w:pPr>
      <w:r w:rsidRPr="00045DFA">
        <w:rPr>
          <w:rFonts w:asciiTheme="majorHAnsi" w:hAnsiTheme="majorHAnsi" w:cs="Times New Roman"/>
          <w:b/>
          <w:bCs/>
        </w:rPr>
        <w:t>Background</w:t>
      </w:r>
    </w:p>
    <w:p w14:paraId="423516A5" w14:textId="77777777" w:rsidR="00045DFA" w:rsidRPr="00045DFA" w:rsidRDefault="00045DFA" w:rsidP="00045DFA">
      <w:pPr>
        <w:spacing w:after="0" w:line="276" w:lineRule="auto"/>
        <w:rPr>
          <w:rFonts w:asciiTheme="majorHAnsi" w:hAnsiTheme="majorHAnsi" w:cs="Times New Roman"/>
        </w:rPr>
      </w:pPr>
      <w:r w:rsidRPr="00045DFA">
        <w:rPr>
          <w:rFonts w:asciiTheme="majorHAnsi" w:hAnsiTheme="majorHAnsi" w:cs="Times New Roman"/>
        </w:rPr>
        <w:t>Polytrauma patients undergoing combined abdominal and orthopaedic surgery experience compounded physiological stress characterised by systemic inflammation, endothelial dysfunction, hypermetabolism, and immune dysregulation. These biological processes increase the risk of pulmonary complications, infection, venous thromboembolism, and multiple organ dysfunction. Mortality disparities between trauma systems are strongly associated with workforce density, ICU capacity, time-to-intervention, and rescue capability rather than injury burden alone.</w:t>
      </w:r>
    </w:p>
    <w:p w14:paraId="09B285B8" w14:textId="29EC3C0A" w:rsidR="00045DFA" w:rsidRPr="00045DFA" w:rsidRDefault="00045DFA" w:rsidP="00045DFA">
      <w:pPr>
        <w:spacing w:after="0" w:line="276" w:lineRule="auto"/>
        <w:rPr>
          <w:rFonts w:asciiTheme="majorHAnsi" w:hAnsiTheme="majorHAnsi" w:cs="Times New Roman"/>
        </w:rPr>
      </w:pPr>
    </w:p>
    <w:p w14:paraId="20C0AC27" w14:textId="77777777" w:rsidR="00045DFA" w:rsidRPr="00045DFA" w:rsidRDefault="00045DFA" w:rsidP="00045DFA">
      <w:pPr>
        <w:spacing w:after="0" w:line="276" w:lineRule="auto"/>
        <w:rPr>
          <w:rFonts w:asciiTheme="majorHAnsi" w:hAnsiTheme="majorHAnsi" w:cs="Times New Roman"/>
          <w:b/>
          <w:bCs/>
        </w:rPr>
      </w:pPr>
      <w:r w:rsidRPr="00045DFA">
        <w:rPr>
          <w:rFonts w:asciiTheme="majorHAnsi" w:hAnsiTheme="majorHAnsi" w:cs="Times New Roman"/>
          <w:b/>
          <w:bCs/>
        </w:rPr>
        <w:t>Objective</w:t>
      </w:r>
    </w:p>
    <w:p w14:paraId="1A991283" w14:textId="77777777" w:rsidR="00045DFA" w:rsidRPr="00045DFA" w:rsidRDefault="00045DFA" w:rsidP="00045DFA">
      <w:pPr>
        <w:spacing w:after="0" w:line="276" w:lineRule="auto"/>
        <w:rPr>
          <w:rFonts w:asciiTheme="majorHAnsi" w:hAnsiTheme="majorHAnsi" w:cs="Times New Roman"/>
        </w:rPr>
      </w:pPr>
      <w:r w:rsidRPr="00045DFA">
        <w:rPr>
          <w:rFonts w:asciiTheme="majorHAnsi" w:hAnsiTheme="majorHAnsi" w:cs="Times New Roman"/>
        </w:rPr>
        <w:t xml:space="preserve">To synthesise current evidence and propose a physiology-driven, tiered framework for postoperative recovery optimisation in polytrauma surgery, with particular emphasis on quantitative thresholds and feasibility within resource-constrained trauma systems. </w:t>
      </w:r>
      <w:r w:rsidRPr="00045DFA">
        <w:rPr>
          <w:rFonts w:asciiTheme="majorHAnsi" w:hAnsiTheme="majorHAnsi" w:cs="Times New Roman"/>
          <w:b/>
          <w:bCs/>
        </w:rPr>
        <w:t>The null hypothesis assumes that recovery outcomes are independent of structured physiological sequencing and system-level implementation strategies.</w:t>
      </w:r>
    </w:p>
    <w:p w14:paraId="7D67E3DC" w14:textId="66C80746" w:rsidR="00045DFA" w:rsidRPr="00045DFA" w:rsidRDefault="00045DFA" w:rsidP="00045DFA">
      <w:pPr>
        <w:spacing w:after="0" w:line="276" w:lineRule="auto"/>
        <w:rPr>
          <w:rFonts w:asciiTheme="majorHAnsi" w:hAnsiTheme="majorHAnsi" w:cs="Times New Roman"/>
        </w:rPr>
      </w:pPr>
    </w:p>
    <w:p w14:paraId="159D5893" w14:textId="77777777" w:rsidR="00045DFA" w:rsidRPr="00045DFA" w:rsidRDefault="00045DFA" w:rsidP="00045DFA">
      <w:pPr>
        <w:spacing w:after="0" w:line="276" w:lineRule="auto"/>
        <w:rPr>
          <w:rFonts w:asciiTheme="majorHAnsi" w:hAnsiTheme="majorHAnsi" w:cs="Times New Roman"/>
          <w:b/>
          <w:bCs/>
        </w:rPr>
      </w:pPr>
      <w:r w:rsidRPr="00045DFA">
        <w:rPr>
          <w:rFonts w:asciiTheme="majorHAnsi" w:hAnsiTheme="majorHAnsi" w:cs="Times New Roman"/>
          <w:b/>
          <w:bCs/>
        </w:rPr>
        <w:t>Methods</w:t>
      </w:r>
    </w:p>
    <w:p w14:paraId="505BB760" w14:textId="77777777" w:rsidR="00045DFA" w:rsidRPr="00045DFA" w:rsidRDefault="00045DFA" w:rsidP="00045DFA">
      <w:pPr>
        <w:spacing w:after="0" w:line="276" w:lineRule="auto"/>
        <w:rPr>
          <w:rFonts w:asciiTheme="majorHAnsi" w:hAnsiTheme="majorHAnsi" w:cs="Times New Roman"/>
        </w:rPr>
      </w:pPr>
      <w:r w:rsidRPr="00045DFA">
        <w:rPr>
          <w:rFonts w:asciiTheme="majorHAnsi" w:hAnsiTheme="majorHAnsi" w:cs="Times New Roman"/>
        </w:rPr>
        <w:t xml:space="preserve">A structured narrative synthesis was conducted integrating epidemiological data, trauma pathophysiology, orthopaedic fixation timing studies, perioperative fluid and nutritional strategies, infection prevention evidence, and system-level implementation research. </w:t>
      </w:r>
      <w:r w:rsidRPr="00045DFA">
        <w:rPr>
          <w:rFonts w:asciiTheme="majorHAnsi" w:hAnsiTheme="majorHAnsi" w:cs="Times New Roman"/>
          <w:b/>
          <w:bCs/>
        </w:rPr>
        <w:t>Relevant literature was identified through structured review of major trauma, critical care, orthopaedic, and perioperative publications focusing on physiological recovery and implementation frameworks.</w:t>
      </w:r>
      <w:r w:rsidRPr="00045DFA">
        <w:rPr>
          <w:rFonts w:asciiTheme="majorHAnsi" w:hAnsiTheme="majorHAnsi" w:cs="Times New Roman"/>
        </w:rPr>
        <w:t xml:space="preserve"> Interventions were categorised into Tier 1 (high-impact, low-resource), Tier 2 (structured compliance strategies), and Tier 3 (advanced system-dependent measures).</w:t>
      </w:r>
    </w:p>
    <w:p w14:paraId="6996ABA6" w14:textId="22CBF8C0" w:rsidR="00045DFA" w:rsidRPr="00045DFA" w:rsidRDefault="00045DFA" w:rsidP="00045DFA">
      <w:pPr>
        <w:spacing w:after="0" w:line="276" w:lineRule="auto"/>
        <w:rPr>
          <w:rFonts w:asciiTheme="majorHAnsi" w:hAnsiTheme="majorHAnsi" w:cs="Times New Roman"/>
        </w:rPr>
      </w:pPr>
    </w:p>
    <w:p w14:paraId="5443EDF9" w14:textId="77777777" w:rsidR="00045DFA" w:rsidRPr="00045DFA" w:rsidRDefault="00045DFA" w:rsidP="00045DFA">
      <w:pPr>
        <w:spacing w:after="0" w:line="276" w:lineRule="auto"/>
        <w:rPr>
          <w:rFonts w:asciiTheme="majorHAnsi" w:hAnsiTheme="majorHAnsi" w:cs="Times New Roman"/>
          <w:b/>
          <w:bCs/>
        </w:rPr>
      </w:pPr>
      <w:r w:rsidRPr="00045DFA">
        <w:rPr>
          <w:rFonts w:asciiTheme="majorHAnsi" w:hAnsiTheme="majorHAnsi" w:cs="Times New Roman"/>
          <w:b/>
          <w:bCs/>
        </w:rPr>
        <w:t>Results</w:t>
      </w:r>
    </w:p>
    <w:p w14:paraId="4D0D4E29" w14:textId="77777777" w:rsidR="00045DFA" w:rsidRPr="00045DFA" w:rsidRDefault="00045DFA" w:rsidP="00045DFA">
      <w:pPr>
        <w:spacing w:after="0" w:line="276" w:lineRule="auto"/>
        <w:rPr>
          <w:rFonts w:asciiTheme="majorHAnsi" w:hAnsiTheme="majorHAnsi" w:cs="Times New Roman"/>
        </w:rPr>
      </w:pPr>
      <w:r w:rsidRPr="00045DFA">
        <w:rPr>
          <w:rFonts w:asciiTheme="majorHAnsi" w:hAnsiTheme="majorHAnsi" w:cs="Times New Roman"/>
        </w:rPr>
        <w:t xml:space="preserve">Trauma mortality and morbidity vary up to 2–5-fold across systems, correlating with surgeon density (&lt;2 vs &gt;35 per 100,000 population), ICU capacity (&lt;1 vs &gt;20 beds per 100,000), and time-to-laparotomy thresholds (&gt;3 hours associated with increased mortality). Biological amplifiers—including cytokine surge, endothelial injury, </w:t>
      </w:r>
      <w:proofErr w:type="spellStart"/>
      <w:r w:rsidRPr="00045DFA">
        <w:rPr>
          <w:rFonts w:asciiTheme="majorHAnsi" w:hAnsiTheme="majorHAnsi" w:cs="Times New Roman"/>
        </w:rPr>
        <w:t>hypercatabolism</w:t>
      </w:r>
      <w:proofErr w:type="spellEnd"/>
      <w:r w:rsidRPr="00045DFA">
        <w:rPr>
          <w:rFonts w:asciiTheme="majorHAnsi" w:hAnsiTheme="majorHAnsi" w:cs="Times New Roman"/>
        </w:rPr>
        <w:t>, and pulmonary vulnerability—interact with surgical timing decisions, particularly fracture fixation strategy. Early enteral nutrition reduces septic complications by approximately 30–40%, restrictive fluid strategies reduce overall complications by 20–30%, early fixation in stable patients lowers pulmonary complications by 20–30%, and structured compliance programs demonstrate 20–35% relative mortality reduction in trauma system implementation studies.</w:t>
      </w:r>
    </w:p>
    <w:p w14:paraId="127C5988" w14:textId="06129BF2" w:rsidR="00045DFA" w:rsidRPr="00045DFA" w:rsidRDefault="00045DFA" w:rsidP="00045DFA">
      <w:pPr>
        <w:spacing w:after="0" w:line="276" w:lineRule="auto"/>
        <w:rPr>
          <w:rFonts w:asciiTheme="majorHAnsi" w:hAnsiTheme="majorHAnsi" w:cs="Times New Roman"/>
        </w:rPr>
      </w:pPr>
    </w:p>
    <w:p w14:paraId="478379B1" w14:textId="77777777" w:rsidR="00045DFA" w:rsidRPr="00045DFA" w:rsidRDefault="00045DFA" w:rsidP="00045DFA">
      <w:pPr>
        <w:spacing w:after="0" w:line="276" w:lineRule="auto"/>
        <w:rPr>
          <w:rFonts w:asciiTheme="majorHAnsi" w:hAnsiTheme="majorHAnsi" w:cs="Times New Roman"/>
          <w:b/>
          <w:bCs/>
        </w:rPr>
      </w:pPr>
      <w:r w:rsidRPr="00045DFA">
        <w:rPr>
          <w:rFonts w:asciiTheme="majorHAnsi" w:hAnsiTheme="majorHAnsi" w:cs="Times New Roman"/>
          <w:b/>
          <w:bCs/>
        </w:rPr>
        <w:t>Conclusion</w:t>
      </w:r>
    </w:p>
    <w:p w14:paraId="19E0597D" w14:textId="77777777" w:rsidR="00045DFA" w:rsidRPr="00045DFA" w:rsidRDefault="00045DFA" w:rsidP="00045DFA">
      <w:pPr>
        <w:spacing w:after="0" w:line="276" w:lineRule="auto"/>
        <w:rPr>
          <w:rFonts w:asciiTheme="majorHAnsi" w:hAnsiTheme="majorHAnsi" w:cs="Times New Roman"/>
        </w:rPr>
      </w:pPr>
      <w:r w:rsidRPr="00045DFA">
        <w:rPr>
          <w:rFonts w:asciiTheme="majorHAnsi" w:hAnsiTheme="majorHAnsi" w:cs="Times New Roman"/>
        </w:rPr>
        <w:t>Recovery in polytrauma is not determined solely by operative technique but by the coordination of physiologic timing, metabolic support, infection control, and system-level responsiveness. A quantified, phased recovery framework offers a practical model adaptable to both mature and resource-limited trauma systems.</w:t>
      </w:r>
    </w:p>
    <w:p w14:paraId="50EBC5A5" w14:textId="77777777" w:rsidR="00680D07" w:rsidRPr="00045DFA" w:rsidRDefault="00680D07" w:rsidP="00680D07">
      <w:pPr>
        <w:spacing w:after="0" w:line="276" w:lineRule="auto"/>
        <w:rPr>
          <w:rFonts w:asciiTheme="majorHAnsi" w:hAnsiTheme="majorHAnsi" w:cs="Times New Roman"/>
        </w:rPr>
      </w:pPr>
    </w:p>
    <w:p w14:paraId="22BE60F9" w14:textId="6023435D" w:rsidR="00680D07" w:rsidRPr="00045DFA" w:rsidRDefault="00B92D59" w:rsidP="00680D07">
      <w:pPr>
        <w:spacing w:after="0" w:line="276" w:lineRule="auto"/>
        <w:rPr>
          <w:rFonts w:asciiTheme="majorHAnsi" w:hAnsiTheme="majorHAnsi" w:cs="Times New Roman"/>
        </w:rPr>
      </w:pPr>
      <w:r w:rsidRPr="00045DFA">
        <w:rPr>
          <w:rFonts w:asciiTheme="majorHAnsi" w:hAnsiTheme="majorHAnsi" w:cs="Times New Roman"/>
          <w:b/>
          <w:bCs/>
        </w:rPr>
        <w:lastRenderedPageBreak/>
        <w:t xml:space="preserve">Keywords: </w:t>
      </w:r>
      <w:r w:rsidRPr="00045DFA">
        <w:rPr>
          <w:rFonts w:asciiTheme="majorHAnsi" w:hAnsiTheme="majorHAnsi" w:cs="Times New Roman"/>
        </w:rPr>
        <w:t>Polytrauma; Orthopaedic trauma; Emergency laparotomy; Damage control orthopaedics; Enhanced recovery; Trauma systems; Resource-constrained care</w:t>
      </w:r>
    </w:p>
    <w:p w14:paraId="712F7106" w14:textId="77777777" w:rsidR="00B92D59" w:rsidRPr="00045DFA" w:rsidRDefault="00B92D59" w:rsidP="00680D07">
      <w:pPr>
        <w:spacing w:after="0" w:line="276" w:lineRule="auto"/>
        <w:rPr>
          <w:rFonts w:asciiTheme="majorHAnsi" w:hAnsiTheme="majorHAnsi" w:cs="Times New Roman"/>
          <w:b/>
          <w:bCs/>
        </w:rPr>
      </w:pPr>
    </w:p>
    <w:p w14:paraId="318BB8B3" w14:textId="77777777" w:rsidR="00B92D59" w:rsidRPr="00045DFA" w:rsidRDefault="00B92D59" w:rsidP="00680D07">
      <w:pPr>
        <w:spacing w:after="0" w:line="276" w:lineRule="auto"/>
        <w:rPr>
          <w:rFonts w:asciiTheme="majorHAnsi" w:hAnsiTheme="majorHAnsi" w:cs="Times New Roman"/>
          <w:b/>
          <w:bCs/>
        </w:rPr>
      </w:pPr>
    </w:p>
    <w:p w14:paraId="2F8BC2C4" w14:textId="77777777" w:rsidR="00B92D59" w:rsidRPr="00045DFA" w:rsidRDefault="00B92D59" w:rsidP="00680D07">
      <w:pPr>
        <w:spacing w:after="0" w:line="276" w:lineRule="auto"/>
        <w:rPr>
          <w:rFonts w:asciiTheme="majorHAnsi" w:hAnsiTheme="majorHAnsi" w:cs="Times New Roman"/>
          <w:b/>
          <w:bCs/>
        </w:rPr>
      </w:pPr>
    </w:p>
    <w:p w14:paraId="6D183173" w14:textId="61DE878B" w:rsidR="002C121A" w:rsidRPr="00045DFA" w:rsidRDefault="002C121A" w:rsidP="00680D07">
      <w:pPr>
        <w:spacing w:after="0" w:line="276" w:lineRule="auto"/>
        <w:rPr>
          <w:rFonts w:asciiTheme="majorHAnsi" w:hAnsiTheme="majorHAnsi" w:cs="Times New Roman"/>
        </w:rPr>
      </w:pPr>
    </w:p>
    <w:p w14:paraId="6AE656A5" w14:textId="38C692FD" w:rsidR="004F26CC" w:rsidRPr="00045DFA" w:rsidRDefault="004F26CC" w:rsidP="004F26CC">
      <w:pPr>
        <w:spacing w:after="0" w:line="276" w:lineRule="auto"/>
        <w:rPr>
          <w:rFonts w:asciiTheme="majorHAnsi" w:hAnsiTheme="majorHAnsi" w:cs="Times New Roman"/>
          <w:b/>
          <w:bCs/>
        </w:rPr>
      </w:pPr>
      <w:r w:rsidRPr="00045DFA">
        <w:rPr>
          <w:rFonts w:asciiTheme="majorHAnsi" w:hAnsiTheme="majorHAnsi" w:cs="Times New Roman"/>
          <w:b/>
          <w:bCs/>
        </w:rPr>
        <w:t xml:space="preserve">INTRODUCTION </w:t>
      </w:r>
    </w:p>
    <w:p w14:paraId="2196D561" w14:textId="77777777" w:rsidR="004F26CC" w:rsidRPr="00045DFA" w:rsidRDefault="004F26CC" w:rsidP="004F26CC">
      <w:pPr>
        <w:spacing w:after="0" w:line="276" w:lineRule="auto"/>
        <w:rPr>
          <w:rFonts w:asciiTheme="majorHAnsi" w:hAnsiTheme="majorHAnsi" w:cs="Times New Roman"/>
        </w:rPr>
      </w:pPr>
      <w:r w:rsidRPr="00045DFA">
        <w:rPr>
          <w:rFonts w:asciiTheme="majorHAnsi" w:hAnsiTheme="majorHAnsi" w:cs="Times New Roman"/>
        </w:rPr>
        <w:t xml:space="preserve">Trauma remains one of the leading causes of death and long-term disability worldwide, particularly among individuals younger than 45 years </w:t>
      </w:r>
      <w:r w:rsidRPr="00045DFA">
        <w:rPr>
          <w:rFonts w:asciiTheme="majorHAnsi" w:hAnsiTheme="majorHAnsi" w:cs="Times New Roman"/>
          <w:b/>
          <w:bCs/>
        </w:rPr>
        <w:t>[1]</w:t>
      </w:r>
      <w:r w:rsidRPr="00045DFA">
        <w:rPr>
          <w:rFonts w:asciiTheme="majorHAnsi" w:hAnsiTheme="majorHAnsi" w:cs="Times New Roman"/>
        </w:rPr>
        <w:t xml:space="preserve">. Global estimates suggest approximately 4.5 million injury-related deaths annually, with a substantial proportion occurring in low- and middle-income countries (LMICs) </w:t>
      </w:r>
      <w:r w:rsidRPr="00045DFA">
        <w:rPr>
          <w:rFonts w:asciiTheme="majorHAnsi" w:hAnsiTheme="majorHAnsi" w:cs="Times New Roman"/>
          <w:b/>
          <w:bCs/>
        </w:rPr>
        <w:t>[1,2]</w:t>
      </w:r>
      <w:r w:rsidRPr="00045DFA">
        <w:rPr>
          <w:rFonts w:asciiTheme="majorHAnsi" w:hAnsiTheme="majorHAnsi" w:cs="Times New Roman"/>
        </w:rPr>
        <w:t>. Beyond mortality, trauma contributes disproportionately to disability-adjusted life years, reflecting both survivorship and functional decline.</w:t>
      </w:r>
    </w:p>
    <w:p w14:paraId="5BD7BBB8" w14:textId="77777777" w:rsidR="0059516A" w:rsidRPr="00045DFA" w:rsidRDefault="0059516A" w:rsidP="004F26CC">
      <w:pPr>
        <w:spacing w:after="0" w:line="276" w:lineRule="auto"/>
        <w:rPr>
          <w:rFonts w:asciiTheme="majorHAnsi" w:hAnsiTheme="majorHAnsi" w:cs="Times New Roman"/>
        </w:rPr>
      </w:pPr>
    </w:p>
    <w:p w14:paraId="3284B132" w14:textId="77777777" w:rsidR="004F26CC" w:rsidRPr="00045DFA" w:rsidRDefault="004F26CC" w:rsidP="004F26CC">
      <w:pPr>
        <w:spacing w:after="0" w:line="276" w:lineRule="auto"/>
        <w:rPr>
          <w:rFonts w:asciiTheme="majorHAnsi" w:hAnsiTheme="majorHAnsi" w:cs="Times New Roman"/>
        </w:rPr>
      </w:pPr>
      <w:r w:rsidRPr="00045DFA">
        <w:rPr>
          <w:rFonts w:asciiTheme="majorHAnsi" w:hAnsiTheme="majorHAnsi" w:cs="Times New Roman"/>
        </w:rPr>
        <w:t xml:space="preserve">Polytrauma patients requiring combined abdominal and orthopaedic interventions represent a uniquely vulnerable subgroup. Emergency laparotomy for </w:t>
      </w:r>
      <w:proofErr w:type="spellStart"/>
      <w:r w:rsidRPr="00045DFA">
        <w:rPr>
          <w:rFonts w:asciiTheme="majorHAnsi" w:hAnsiTheme="majorHAnsi" w:cs="Times New Roman"/>
        </w:rPr>
        <w:t>hemorrhage</w:t>
      </w:r>
      <w:proofErr w:type="spellEnd"/>
      <w:r w:rsidRPr="00045DFA">
        <w:rPr>
          <w:rFonts w:asciiTheme="majorHAnsi" w:hAnsiTheme="majorHAnsi" w:cs="Times New Roman"/>
        </w:rPr>
        <w:t xml:space="preserve"> or contamination often coincides with long-bone fractures, pelvic instability, or spinal injury. These injuries do not act independently. Instead, they interact through shared physiological pathways that amplify systemic stress.</w:t>
      </w:r>
    </w:p>
    <w:p w14:paraId="5E9442A7" w14:textId="77777777" w:rsidR="0059516A" w:rsidRPr="00045DFA" w:rsidRDefault="0059516A" w:rsidP="004F26CC">
      <w:pPr>
        <w:spacing w:after="0" w:line="276" w:lineRule="auto"/>
        <w:rPr>
          <w:rFonts w:asciiTheme="majorHAnsi" w:hAnsiTheme="majorHAnsi" w:cs="Times New Roman"/>
        </w:rPr>
      </w:pPr>
    </w:p>
    <w:p w14:paraId="278EA588" w14:textId="77777777" w:rsidR="004F26CC" w:rsidRPr="00045DFA" w:rsidRDefault="004F26CC" w:rsidP="004F26CC">
      <w:pPr>
        <w:spacing w:after="0" w:line="276" w:lineRule="auto"/>
        <w:rPr>
          <w:rFonts w:asciiTheme="majorHAnsi" w:hAnsiTheme="majorHAnsi" w:cs="Times New Roman"/>
        </w:rPr>
      </w:pPr>
      <w:r w:rsidRPr="00045DFA">
        <w:rPr>
          <w:rFonts w:asciiTheme="majorHAnsi" w:hAnsiTheme="majorHAnsi" w:cs="Times New Roman"/>
        </w:rPr>
        <w:t xml:space="preserve">The biological response to severe trauma involves early cytokine surge, endothelial glycocalyx disruption, coagulopathy, and sustained hypermetabolism </w:t>
      </w:r>
      <w:r w:rsidRPr="00045DFA">
        <w:rPr>
          <w:rFonts w:asciiTheme="majorHAnsi" w:hAnsiTheme="majorHAnsi" w:cs="Times New Roman"/>
          <w:b/>
          <w:bCs/>
        </w:rPr>
        <w:t>[3–7]</w:t>
      </w:r>
      <w:r w:rsidRPr="00045DFA">
        <w:rPr>
          <w:rFonts w:asciiTheme="majorHAnsi" w:hAnsiTheme="majorHAnsi" w:cs="Times New Roman"/>
        </w:rPr>
        <w:t xml:space="preserve">. In parallel, surgical intervention itself may intensify inflammatory signalling, particularly when undertaken during unstable physiological states—a phenomenon often described as the “second-hit” effect </w:t>
      </w:r>
      <w:r w:rsidRPr="00045DFA">
        <w:rPr>
          <w:rFonts w:asciiTheme="majorHAnsi" w:hAnsiTheme="majorHAnsi" w:cs="Times New Roman"/>
          <w:b/>
          <w:bCs/>
        </w:rPr>
        <w:t>[8,9]</w:t>
      </w:r>
      <w:r w:rsidRPr="00045DFA">
        <w:rPr>
          <w:rFonts w:asciiTheme="majorHAnsi" w:hAnsiTheme="majorHAnsi" w:cs="Times New Roman"/>
        </w:rPr>
        <w:t xml:space="preserve">. When poorly timed, definitive fracture fixation or prolonged operative exposure may contribute to acute respiratory distress syndrome (ARDS) and multiple organ failure (MOF), which account for up to 20–30% of late trauma deaths </w:t>
      </w:r>
      <w:r w:rsidRPr="00045DFA">
        <w:rPr>
          <w:rFonts w:asciiTheme="majorHAnsi" w:hAnsiTheme="majorHAnsi" w:cs="Times New Roman"/>
          <w:b/>
          <w:bCs/>
        </w:rPr>
        <w:t>[10]</w:t>
      </w:r>
      <w:r w:rsidRPr="00045DFA">
        <w:rPr>
          <w:rFonts w:asciiTheme="majorHAnsi" w:hAnsiTheme="majorHAnsi" w:cs="Times New Roman"/>
        </w:rPr>
        <w:t>.</w:t>
      </w:r>
    </w:p>
    <w:p w14:paraId="0C1C40B6" w14:textId="77777777" w:rsidR="0059516A" w:rsidRPr="00045DFA" w:rsidRDefault="0059516A" w:rsidP="004F26CC">
      <w:pPr>
        <w:spacing w:after="0" w:line="276" w:lineRule="auto"/>
        <w:rPr>
          <w:rFonts w:asciiTheme="majorHAnsi" w:hAnsiTheme="majorHAnsi" w:cs="Times New Roman"/>
        </w:rPr>
      </w:pPr>
    </w:p>
    <w:p w14:paraId="26710822" w14:textId="77777777" w:rsidR="004F26CC" w:rsidRPr="00045DFA" w:rsidRDefault="004F26CC" w:rsidP="004F26CC">
      <w:pPr>
        <w:spacing w:after="0" w:line="276" w:lineRule="auto"/>
        <w:rPr>
          <w:rFonts w:asciiTheme="majorHAnsi" w:hAnsiTheme="majorHAnsi" w:cs="Times New Roman"/>
        </w:rPr>
      </w:pPr>
      <w:r w:rsidRPr="00045DFA">
        <w:rPr>
          <w:rFonts w:asciiTheme="majorHAnsi" w:hAnsiTheme="majorHAnsi" w:cs="Times New Roman"/>
        </w:rPr>
        <w:t xml:space="preserve">Importantly, mortality variation across trauma systems often reflects differences beyond injury severity alone. Surgeon density may vary from fewer than 2 per 100,000 population in some LMIC regions to more than 35 per 100,000 in high-income settings </w:t>
      </w:r>
      <w:r w:rsidRPr="00045DFA">
        <w:rPr>
          <w:rFonts w:asciiTheme="majorHAnsi" w:hAnsiTheme="majorHAnsi" w:cs="Times New Roman"/>
          <w:b/>
          <w:bCs/>
        </w:rPr>
        <w:t>[11]</w:t>
      </w:r>
      <w:r w:rsidRPr="00045DFA">
        <w:rPr>
          <w:rFonts w:asciiTheme="majorHAnsi" w:hAnsiTheme="majorHAnsi" w:cs="Times New Roman"/>
        </w:rPr>
        <w:t xml:space="preserve">. ICU capacity ranges from fewer than 1 bed per 100,000 population to more than 20 per 100,000 </w:t>
      </w:r>
      <w:r w:rsidRPr="00045DFA">
        <w:rPr>
          <w:rFonts w:asciiTheme="majorHAnsi" w:hAnsiTheme="majorHAnsi" w:cs="Times New Roman"/>
          <w:b/>
          <w:bCs/>
        </w:rPr>
        <w:t>[12]</w:t>
      </w:r>
      <w:r w:rsidRPr="00045DFA">
        <w:rPr>
          <w:rFonts w:asciiTheme="majorHAnsi" w:hAnsiTheme="majorHAnsi" w:cs="Times New Roman"/>
        </w:rPr>
        <w:t xml:space="preserve">. Ventilator availability shows similar disparity </w:t>
      </w:r>
      <w:r w:rsidRPr="00045DFA">
        <w:rPr>
          <w:rFonts w:asciiTheme="majorHAnsi" w:hAnsiTheme="majorHAnsi" w:cs="Times New Roman"/>
          <w:b/>
          <w:bCs/>
        </w:rPr>
        <w:t>[13]</w:t>
      </w:r>
      <w:r w:rsidRPr="00045DFA">
        <w:rPr>
          <w:rFonts w:asciiTheme="majorHAnsi" w:hAnsiTheme="majorHAnsi" w:cs="Times New Roman"/>
        </w:rPr>
        <w:t xml:space="preserve">. Time-to-laparotomy exceeding three hours has been associated with increased mortality in </w:t>
      </w:r>
      <w:proofErr w:type="spellStart"/>
      <w:r w:rsidRPr="00045DFA">
        <w:rPr>
          <w:rFonts w:asciiTheme="majorHAnsi" w:hAnsiTheme="majorHAnsi" w:cs="Times New Roman"/>
        </w:rPr>
        <w:t>hemorrhagic</w:t>
      </w:r>
      <w:proofErr w:type="spellEnd"/>
      <w:r w:rsidRPr="00045DFA">
        <w:rPr>
          <w:rFonts w:asciiTheme="majorHAnsi" w:hAnsiTheme="majorHAnsi" w:cs="Times New Roman"/>
        </w:rPr>
        <w:t xml:space="preserve"> trauma </w:t>
      </w:r>
      <w:r w:rsidRPr="00045DFA">
        <w:rPr>
          <w:rFonts w:asciiTheme="majorHAnsi" w:hAnsiTheme="majorHAnsi" w:cs="Times New Roman"/>
          <w:b/>
          <w:bCs/>
        </w:rPr>
        <w:t>[14]</w:t>
      </w:r>
      <w:r w:rsidRPr="00045DFA">
        <w:rPr>
          <w:rFonts w:asciiTheme="majorHAnsi" w:hAnsiTheme="majorHAnsi" w:cs="Times New Roman"/>
        </w:rPr>
        <w:t xml:space="preserve">, and preventable death rates may be two to three times higher in less mature trauma systems </w:t>
      </w:r>
      <w:r w:rsidRPr="00045DFA">
        <w:rPr>
          <w:rFonts w:asciiTheme="majorHAnsi" w:hAnsiTheme="majorHAnsi" w:cs="Times New Roman"/>
          <w:b/>
          <w:bCs/>
        </w:rPr>
        <w:t>[15]</w:t>
      </w:r>
      <w:r w:rsidRPr="00045DFA">
        <w:rPr>
          <w:rFonts w:asciiTheme="majorHAnsi" w:hAnsiTheme="majorHAnsi" w:cs="Times New Roman"/>
        </w:rPr>
        <w:t>.</w:t>
      </w:r>
    </w:p>
    <w:p w14:paraId="07E1AD4E" w14:textId="77777777" w:rsidR="0059516A" w:rsidRPr="00045DFA" w:rsidRDefault="0059516A" w:rsidP="004F26CC">
      <w:pPr>
        <w:spacing w:after="0" w:line="276" w:lineRule="auto"/>
        <w:rPr>
          <w:rFonts w:asciiTheme="majorHAnsi" w:hAnsiTheme="majorHAnsi" w:cs="Times New Roman"/>
        </w:rPr>
      </w:pPr>
    </w:p>
    <w:p w14:paraId="5951BCE4" w14:textId="77777777" w:rsidR="004F26CC" w:rsidRPr="00045DFA" w:rsidRDefault="004F26CC" w:rsidP="004F26CC">
      <w:pPr>
        <w:spacing w:after="0" w:line="276" w:lineRule="auto"/>
        <w:rPr>
          <w:rFonts w:asciiTheme="majorHAnsi" w:hAnsiTheme="majorHAnsi" w:cs="Times New Roman"/>
        </w:rPr>
      </w:pPr>
      <w:r w:rsidRPr="00045DFA">
        <w:rPr>
          <w:rFonts w:asciiTheme="majorHAnsi" w:hAnsiTheme="majorHAnsi" w:cs="Times New Roman"/>
        </w:rPr>
        <w:t xml:space="preserve">These disparities highlight a central point: survival after polytrauma depends not only on initial resuscitation, but on coordinated postoperative recovery. Yet recovery strategies are often developed in discipline-specific silos. Orthopaedic literature focuses on timing of fixation </w:t>
      </w:r>
      <w:r w:rsidRPr="00045DFA">
        <w:rPr>
          <w:rFonts w:asciiTheme="majorHAnsi" w:hAnsiTheme="majorHAnsi" w:cs="Times New Roman"/>
          <w:b/>
          <w:bCs/>
        </w:rPr>
        <w:t>[16,17]</w:t>
      </w:r>
      <w:r w:rsidRPr="00045DFA">
        <w:rPr>
          <w:rFonts w:asciiTheme="majorHAnsi" w:hAnsiTheme="majorHAnsi" w:cs="Times New Roman"/>
        </w:rPr>
        <w:t xml:space="preserve">, while abdominal surgery literature emphasises infection control and early feeding </w:t>
      </w:r>
      <w:r w:rsidRPr="00045DFA">
        <w:rPr>
          <w:rFonts w:asciiTheme="majorHAnsi" w:hAnsiTheme="majorHAnsi" w:cs="Times New Roman"/>
          <w:b/>
          <w:bCs/>
        </w:rPr>
        <w:t>[18,19]</w:t>
      </w:r>
      <w:r w:rsidRPr="00045DFA">
        <w:rPr>
          <w:rFonts w:asciiTheme="majorHAnsi" w:hAnsiTheme="majorHAnsi" w:cs="Times New Roman"/>
        </w:rPr>
        <w:t xml:space="preserve">. Critical care research addresses ARDS and organ support </w:t>
      </w:r>
      <w:r w:rsidRPr="00045DFA">
        <w:rPr>
          <w:rFonts w:asciiTheme="majorHAnsi" w:hAnsiTheme="majorHAnsi" w:cs="Times New Roman"/>
          <w:b/>
          <w:bCs/>
        </w:rPr>
        <w:t>[20,21]</w:t>
      </w:r>
      <w:r w:rsidRPr="00045DFA">
        <w:rPr>
          <w:rFonts w:asciiTheme="majorHAnsi" w:hAnsiTheme="majorHAnsi" w:cs="Times New Roman"/>
        </w:rPr>
        <w:t>. Rarely are these domains integrated into a unified recovery framework.</w:t>
      </w:r>
    </w:p>
    <w:p w14:paraId="712B0EAA" w14:textId="77777777" w:rsidR="0059516A" w:rsidRPr="00045DFA" w:rsidRDefault="0059516A" w:rsidP="004F26CC">
      <w:pPr>
        <w:spacing w:after="0" w:line="276" w:lineRule="auto"/>
        <w:rPr>
          <w:rFonts w:asciiTheme="majorHAnsi" w:hAnsiTheme="majorHAnsi" w:cs="Times New Roman"/>
        </w:rPr>
      </w:pPr>
    </w:p>
    <w:p w14:paraId="2FC86E0A" w14:textId="77777777" w:rsidR="004F26CC" w:rsidRPr="00045DFA" w:rsidRDefault="004F26CC" w:rsidP="004F26CC">
      <w:pPr>
        <w:spacing w:after="0" w:line="276" w:lineRule="auto"/>
        <w:rPr>
          <w:rFonts w:asciiTheme="majorHAnsi" w:hAnsiTheme="majorHAnsi" w:cs="Times New Roman"/>
        </w:rPr>
      </w:pPr>
      <w:r w:rsidRPr="00045DFA">
        <w:rPr>
          <w:rFonts w:asciiTheme="majorHAnsi" w:hAnsiTheme="majorHAnsi" w:cs="Times New Roman"/>
        </w:rPr>
        <w:t xml:space="preserve">This separation is clinically consequential. Fluid overload may impair bowel recovery while simultaneously increasing limb compartment pressures </w:t>
      </w:r>
      <w:r w:rsidRPr="00045DFA">
        <w:rPr>
          <w:rFonts w:asciiTheme="majorHAnsi" w:hAnsiTheme="majorHAnsi" w:cs="Times New Roman"/>
          <w:b/>
          <w:bCs/>
        </w:rPr>
        <w:t>[22,23]</w:t>
      </w:r>
      <w:r w:rsidRPr="00045DFA">
        <w:rPr>
          <w:rFonts w:asciiTheme="majorHAnsi" w:hAnsiTheme="majorHAnsi" w:cs="Times New Roman"/>
        </w:rPr>
        <w:t xml:space="preserve">. </w:t>
      </w:r>
      <w:proofErr w:type="spellStart"/>
      <w:r w:rsidRPr="00045DFA">
        <w:rPr>
          <w:rFonts w:asciiTheme="majorHAnsi" w:hAnsiTheme="majorHAnsi" w:cs="Times New Roman"/>
        </w:rPr>
        <w:t>Hypercatabolism</w:t>
      </w:r>
      <w:proofErr w:type="spellEnd"/>
      <w:r w:rsidRPr="00045DFA">
        <w:rPr>
          <w:rFonts w:asciiTheme="majorHAnsi" w:hAnsiTheme="majorHAnsi" w:cs="Times New Roman"/>
        </w:rPr>
        <w:t xml:space="preserve"> delays both wound healing and fracture union </w:t>
      </w:r>
      <w:r w:rsidRPr="00045DFA">
        <w:rPr>
          <w:rFonts w:asciiTheme="majorHAnsi" w:hAnsiTheme="majorHAnsi" w:cs="Times New Roman"/>
          <w:b/>
          <w:bCs/>
        </w:rPr>
        <w:t>[24–26]</w:t>
      </w:r>
      <w:r w:rsidRPr="00045DFA">
        <w:rPr>
          <w:rFonts w:asciiTheme="majorHAnsi" w:hAnsiTheme="majorHAnsi" w:cs="Times New Roman"/>
        </w:rPr>
        <w:t xml:space="preserve">. Delayed mobilisation increases pulmonary and thromboembolic risk in patients whose fractures are not stabilised appropriately </w:t>
      </w:r>
      <w:r w:rsidRPr="00045DFA">
        <w:rPr>
          <w:rFonts w:asciiTheme="majorHAnsi" w:hAnsiTheme="majorHAnsi" w:cs="Times New Roman"/>
          <w:b/>
          <w:bCs/>
        </w:rPr>
        <w:t>[27,28]</w:t>
      </w:r>
      <w:r w:rsidRPr="00045DFA">
        <w:rPr>
          <w:rFonts w:asciiTheme="majorHAnsi" w:hAnsiTheme="majorHAnsi" w:cs="Times New Roman"/>
        </w:rPr>
        <w:t xml:space="preserve">. Infection risk spans both contaminated laparotomy and implant-associated fracture fixation </w:t>
      </w:r>
      <w:r w:rsidRPr="00045DFA">
        <w:rPr>
          <w:rFonts w:asciiTheme="majorHAnsi" w:hAnsiTheme="majorHAnsi" w:cs="Times New Roman"/>
          <w:b/>
          <w:bCs/>
        </w:rPr>
        <w:t>[29,30]</w:t>
      </w:r>
      <w:r w:rsidRPr="00045DFA">
        <w:rPr>
          <w:rFonts w:asciiTheme="majorHAnsi" w:hAnsiTheme="majorHAnsi" w:cs="Times New Roman"/>
        </w:rPr>
        <w:t>.</w:t>
      </w:r>
    </w:p>
    <w:p w14:paraId="4165C339" w14:textId="77777777" w:rsidR="0059516A" w:rsidRPr="00045DFA" w:rsidRDefault="0059516A" w:rsidP="004F26CC">
      <w:pPr>
        <w:spacing w:after="0" w:line="276" w:lineRule="auto"/>
        <w:rPr>
          <w:rFonts w:asciiTheme="majorHAnsi" w:hAnsiTheme="majorHAnsi" w:cs="Times New Roman"/>
        </w:rPr>
      </w:pPr>
    </w:p>
    <w:p w14:paraId="37324F19" w14:textId="06201B33" w:rsidR="004F26CC" w:rsidRPr="00045DFA" w:rsidRDefault="004F26CC" w:rsidP="004F26CC">
      <w:pPr>
        <w:spacing w:after="0" w:line="276" w:lineRule="auto"/>
        <w:rPr>
          <w:rFonts w:asciiTheme="majorHAnsi" w:hAnsiTheme="majorHAnsi" w:cs="Times New Roman"/>
        </w:rPr>
      </w:pPr>
      <w:r w:rsidRPr="00045DFA">
        <w:rPr>
          <w:rFonts w:asciiTheme="majorHAnsi" w:hAnsiTheme="majorHAnsi" w:cs="Times New Roman"/>
        </w:rPr>
        <w:lastRenderedPageBreak/>
        <w:t xml:space="preserve">Enhanced recovery after surgery (ERAS) pathways have demonstrated improved outcomes in elective surgical populations </w:t>
      </w:r>
      <w:r w:rsidRPr="00045DFA">
        <w:rPr>
          <w:rFonts w:asciiTheme="majorHAnsi" w:hAnsiTheme="majorHAnsi" w:cs="Times New Roman"/>
          <w:b/>
          <w:bCs/>
        </w:rPr>
        <w:t>[31,32]</w:t>
      </w:r>
      <w:r w:rsidRPr="00045DFA">
        <w:rPr>
          <w:rFonts w:asciiTheme="majorHAnsi" w:hAnsiTheme="majorHAnsi" w:cs="Times New Roman"/>
        </w:rPr>
        <w:t xml:space="preserve">, but direct translation to unstable trauma patients is neither straightforward nor universally feasible. In resource-constrained systems, comprehensive pathway implementation may be limited by workforce, infrastructure, and monitoring capacity </w:t>
      </w:r>
      <w:r w:rsidRPr="00045DFA">
        <w:rPr>
          <w:rFonts w:asciiTheme="majorHAnsi" w:hAnsiTheme="majorHAnsi" w:cs="Times New Roman"/>
          <w:b/>
          <w:bCs/>
        </w:rPr>
        <w:t>[2,33]</w:t>
      </w:r>
      <w:r w:rsidRPr="00045DFA">
        <w:rPr>
          <w:rFonts w:asciiTheme="majorHAnsi" w:hAnsiTheme="majorHAnsi" w:cs="Times New Roman"/>
        </w:rPr>
        <w:t>. Several principles proposed in this framework parallel elements of enhanced recovery after surgery (ERAS) programmes, although their application in polytrauma requires physiological adaptation.</w:t>
      </w:r>
      <w:r w:rsidR="0059516A" w:rsidRPr="00045DFA">
        <w:rPr>
          <w:rFonts w:asciiTheme="majorHAnsi" w:hAnsiTheme="majorHAnsi"/>
        </w:rPr>
        <w:t xml:space="preserve"> </w:t>
      </w:r>
      <w:r w:rsidR="0059516A" w:rsidRPr="00045DFA">
        <w:rPr>
          <w:rFonts w:asciiTheme="majorHAnsi" w:hAnsiTheme="majorHAnsi" w:cs="Times New Roman"/>
        </w:rPr>
        <w:t>A substantial proportion of trauma-related mortality occurs in low- and middle-income countries, where resource limitations and delayed access to definitive care significantly influence outcomes. Incorporating system-level variability into recovery frameworks is therefore essential to ensure global applicability.</w:t>
      </w:r>
    </w:p>
    <w:p w14:paraId="1CA9C9DD" w14:textId="77777777" w:rsidR="0059516A" w:rsidRPr="00045DFA" w:rsidRDefault="0059516A" w:rsidP="004F26CC">
      <w:pPr>
        <w:spacing w:after="0" w:line="276" w:lineRule="auto"/>
        <w:rPr>
          <w:rFonts w:asciiTheme="majorHAnsi" w:hAnsiTheme="majorHAnsi" w:cs="Times New Roman"/>
        </w:rPr>
      </w:pPr>
    </w:p>
    <w:p w14:paraId="13B67164" w14:textId="77777777" w:rsidR="0059516A" w:rsidRPr="00045DFA" w:rsidRDefault="0059516A" w:rsidP="004F26CC">
      <w:pPr>
        <w:spacing w:after="0" w:line="276" w:lineRule="auto"/>
        <w:rPr>
          <w:rFonts w:asciiTheme="majorHAnsi" w:hAnsiTheme="majorHAnsi" w:cs="Times New Roman"/>
        </w:rPr>
      </w:pPr>
    </w:p>
    <w:p w14:paraId="20114747" w14:textId="77FF2EE1" w:rsidR="004F26CC" w:rsidRPr="00045DFA" w:rsidRDefault="004F26CC" w:rsidP="004F26CC">
      <w:pPr>
        <w:spacing w:after="0" w:line="276" w:lineRule="auto"/>
        <w:rPr>
          <w:rFonts w:asciiTheme="majorHAnsi" w:hAnsiTheme="majorHAnsi" w:cs="Times New Roman"/>
        </w:rPr>
      </w:pPr>
      <w:r w:rsidRPr="00045DFA">
        <w:rPr>
          <w:rFonts w:asciiTheme="majorHAnsi" w:hAnsiTheme="majorHAnsi" w:cs="Times New Roman"/>
        </w:rPr>
        <w:t>A pragmatic approach is therefore required—one that prioritises physiologically meaningful interventions, aligns orthopaedic and abdominal decision-making, and acknowledges system maturity. The aim of this review is to synthesise quantitative evidence across trauma epidemiology, pathophysiology, fixation timing, perioperative optimisation, and implementation science to propose a tiered recovery framework applicable across diverse trauma systems. Although this review incorporates global trauma literature, the proposed recovery framework is particularly relevant to mature trauma networks such as those established across many European countries. Structured trauma systems, multidisciplinary decision-making, and registry-driven quality improvement provide an environment in which coordinated postoperative recovery strategies can be implemented consistently. Within such systems, aligning orthopaedic fixation timing, metabolic support, infection prevention, and early mobilisation may offer additional gains beyond initial resuscitation alone. The framework presented here therefore complements existing European trauma system models by emphasising physiological recovery as a shared responsibility across surgical and critical care teams. This review aims to provide a clinically applicable synthesis relevant to contemporary trauma systems.</w:t>
      </w:r>
    </w:p>
    <w:p w14:paraId="6A1F041D" w14:textId="77777777" w:rsidR="002C121A" w:rsidRPr="00045DFA" w:rsidRDefault="002C121A" w:rsidP="00680D07">
      <w:pPr>
        <w:spacing w:after="0" w:line="276" w:lineRule="auto"/>
        <w:rPr>
          <w:rFonts w:asciiTheme="majorHAnsi" w:hAnsiTheme="majorHAnsi" w:cs="Times New Roman"/>
        </w:rPr>
      </w:pPr>
    </w:p>
    <w:p w14:paraId="10B5C1C6" w14:textId="77777777" w:rsidR="002C121A" w:rsidRPr="00045DFA" w:rsidRDefault="002C121A" w:rsidP="00680D07">
      <w:pPr>
        <w:spacing w:after="0" w:line="276" w:lineRule="auto"/>
        <w:rPr>
          <w:rFonts w:asciiTheme="majorHAnsi" w:hAnsiTheme="majorHAnsi" w:cs="Times New Roman"/>
        </w:rPr>
      </w:pPr>
    </w:p>
    <w:p w14:paraId="22BE317A" w14:textId="77777777" w:rsidR="004F26CC" w:rsidRPr="00045DFA" w:rsidRDefault="004F26CC" w:rsidP="004F26CC">
      <w:pPr>
        <w:spacing w:after="0" w:line="276" w:lineRule="auto"/>
        <w:rPr>
          <w:rFonts w:asciiTheme="majorHAnsi" w:hAnsiTheme="majorHAnsi" w:cs="Times New Roman"/>
          <w:b/>
          <w:bCs/>
        </w:rPr>
      </w:pPr>
      <w:r w:rsidRPr="00045DFA">
        <w:rPr>
          <w:rFonts w:asciiTheme="majorHAnsi" w:hAnsiTheme="majorHAnsi" w:cs="Times New Roman"/>
          <w:b/>
          <w:bCs/>
        </w:rPr>
        <w:t>METHODS</w:t>
      </w:r>
    </w:p>
    <w:p w14:paraId="757CEB56" w14:textId="77777777" w:rsidR="004F26CC" w:rsidRPr="00045DFA" w:rsidRDefault="004F26CC" w:rsidP="004F26CC">
      <w:pPr>
        <w:spacing w:after="0" w:line="276" w:lineRule="auto"/>
        <w:rPr>
          <w:rFonts w:asciiTheme="majorHAnsi" w:hAnsiTheme="majorHAnsi" w:cs="Times New Roman"/>
        </w:rPr>
      </w:pPr>
      <w:r w:rsidRPr="00045DFA">
        <w:rPr>
          <w:rFonts w:asciiTheme="majorHAnsi" w:hAnsiTheme="majorHAnsi" w:cs="Times New Roman"/>
          <w:b/>
          <w:bCs/>
        </w:rPr>
        <w:t>Conceptual Framework and Literature Synthesis</w:t>
      </w:r>
    </w:p>
    <w:p w14:paraId="545D3029" w14:textId="77777777" w:rsidR="004F26CC" w:rsidRPr="00045DFA" w:rsidRDefault="004F26CC" w:rsidP="004F26CC">
      <w:pPr>
        <w:spacing w:after="0" w:line="276" w:lineRule="auto"/>
        <w:rPr>
          <w:rFonts w:asciiTheme="majorHAnsi" w:hAnsiTheme="majorHAnsi" w:cs="Times New Roman"/>
        </w:rPr>
      </w:pPr>
      <w:r w:rsidRPr="00045DFA">
        <w:rPr>
          <w:rFonts w:asciiTheme="majorHAnsi" w:hAnsiTheme="majorHAnsi" w:cs="Times New Roman"/>
        </w:rPr>
        <w:t>This review was designed as a structured narrative synthesis rather than a formal systematic review or meta-analysis. The objective was conceptual integration across domains that are traditionally examined separately: trauma epidemiology, systemic inflammatory biology, orthopaedic fixation timing, emergency abdominal surgery recovery, and implementation science.</w:t>
      </w:r>
    </w:p>
    <w:p w14:paraId="160D80B8" w14:textId="77777777" w:rsidR="004F26CC" w:rsidRPr="00045DFA" w:rsidRDefault="004F26CC" w:rsidP="004F26CC">
      <w:pPr>
        <w:spacing w:after="0" w:line="276" w:lineRule="auto"/>
        <w:rPr>
          <w:rFonts w:asciiTheme="majorHAnsi" w:hAnsiTheme="majorHAnsi" w:cs="Times New Roman"/>
        </w:rPr>
      </w:pPr>
      <w:r w:rsidRPr="00045DFA">
        <w:rPr>
          <w:rFonts w:asciiTheme="majorHAnsi" w:hAnsiTheme="majorHAnsi" w:cs="Times New Roman"/>
        </w:rPr>
        <w:t>Peer-reviewed literature was examined across five principal domains:</w:t>
      </w:r>
    </w:p>
    <w:p w14:paraId="1F0FD4EF" w14:textId="77777777" w:rsidR="004F26CC" w:rsidRPr="00045DFA" w:rsidRDefault="004F26CC" w:rsidP="004F26CC">
      <w:pPr>
        <w:numPr>
          <w:ilvl w:val="0"/>
          <w:numId w:val="14"/>
        </w:numPr>
        <w:spacing w:after="0" w:line="276" w:lineRule="auto"/>
        <w:rPr>
          <w:rFonts w:asciiTheme="majorHAnsi" w:hAnsiTheme="majorHAnsi" w:cs="Times New Roman"/>
        </w:rPr>
      </w:pPr>
      <w:r w:rsidRPr="00045DFA">
        <w:rPr>
          <w:rFonts w:asciiTheme="majorHAnsi" w:hAnsiTheme="majorHAnsi" w:cs="Times New Roman"/>
        </w:rPr>
        <w:t xml:space="preserve">Global trauma burden and system capacity indicators </w:t>
      </w:r>
      <w:r w:rsidRPr="00045DFA">
        <w:rPr>
          <w:rFonts w:asciiTheme="majorHAnsi" w:hAnsiTheme="majorHAnsi" w:cs="Times New Roman"/>
          <w:b/>
          <w:bCs/>
        </w:rPr>
        <w:t>[1–5,11–15,34–37]</w:t>
      </w:r>
      <w:r w:rsidRPr="00045DFA">
        <w:rPr>
          <w:rFonts w:asciiTheme="majorHAnsi" w:hAnsiTheme="majorHAnsi" w:cs="Times New Roman"/>
        </w:rPr>
        <w:t xml:space="preserve"> </w:t>
      </w:r>
    </w:p>
    <w:p w14:paraId="3D68903E" w14:textId="77777777" w:rsidR="004F26CC" w:rsidRPr="00045DFA" w:rsidRDefault="004F26CC" w:rsidP="004F26CC">
      <w:pPr>
        <w:numPr>
          <w:ilvl w:val="0"/>
          <w:numId w:val="14"/>
        </w:numPr>
        <w:spacing w:after="0" w:line="276" w:lineRule="auto"/>
        <w:rPr>
          <w:rFonts w:asciiTheme="majorHAnsi" w:hAnsiTheme="majorHAnsi" w:cs="Times New Roman"/>
        </w:rPr>
      </w:pPr>
      <w:r w:rsidRPr="00045DFA">
        <w:rPr>
          <w:rFonts w:asciiTheme="majorHAnsi" w:hAnsiTheme="majorHAnsi" w:cs="Times New Roman"/>
        </w:rPr>
        <w:t xml:space="preserve">Trauma-induced inflammatory and metabolic physiology </w:t>
      </w:r>
      <w:r w:rsidRPr="00045DFA">
        <w:rPr>
          <w:rFonts w:asciiTheme="majorHAnsi" w:hAnsiTheme="majorHAnsi" w:cs="Times New Roman"/>
          <w:b/>
          <w:bCs/>
        </w:rPr>
        <w:t>[3–7,38–42]</w:t>
      </w:r>
      <w:r w:rsidRPr="00045DFA">
        <w:rPr>
          <w:rFonts w:asciiTheme="majorHAnsi" w:hAnsiTheme="majorHAnsi" w:cs="Times New Roman"/>
        </w:rPr>
        <w:t xml:space="preserve"> </w:t>
      </w:r>
    </w:p>
    <w:p w14:paraId="6F7275EF" w14:textId="77777777" w:rsidR="004F26CC" w:rsidRPr="00045DFA" w:rsidRDefault="004F26CC" w:rsidP="004F26CC">
      <w:pPr>
        <w:numPr>
          <w:ilvl w:val="0"/>
          <w:numId w:val="14"/>
        </w:numPr>
        <w:spacing w:after="0" w:line="276" w:lineRule="auto"/>
        <w:rPr>
          <w:rFonts w:asciiTheme="majorHAnsi" w:hAnsiTheme="majorHAnsi" w:cs="Times New Roman"/>
        </w:rPr>
      </w:pPr>
      <w:r w:rsidRPr="00045DFA">
        <w:rPr>
          <w:rFonts w:asciiTheme="majorHAnsi" w:hAnsiTheme="majorHAnsi" w:cs="Times New Roman"/>
        </w:rPr>
        <w:t xml:space="preserve">Orthopaedic fixation timing and second-hit phenomena </w:t>
      </w:r>
      <w:r w:rsidRPr="00045DFA">
        <w:rPr>
          <w:rFonts w:asciiTheme="majorHAnsi" w:hAnsiTheme="majorHAnsi" w:cs="Times New Roman"/>
          <w:b/>
          <w:bCs/>
        </w:rPr>
        <w:t>[8,16,43,17,9]</w:t>
      </w:r>
      <w:r w:rsidRPr="00045DFA">
        <w:rPr>
          <w:rFonts w:asciiTheme="majorHAnsi" w:hAnsiTheme="majorHAnsi" w:cs="Times New Roman"/>
        </w:rPr>
        <w:t xml:space="preserve"> </w:t>
      </w:r>
    </w:p>
    <w:p w14:paraId="152342BE" w14:textId="77777777" w:rsidR="004F26CC" w:rsidRPr="00045DFA" w:rsidRDefault="004F26CC" w:rsidP="004F26CC">
      <w:pPr>
        <w:numPr>
          <w:ilvl w:val="0"/>
          <w:numId w:val="14"/>
        </w:numPr>
        <w:spacing w:after="0" w:line="276" w:lineRule="auto"/>
        <w:rPr>
          <w:rFonts w:asciiTheme="majorHAnsi" w:hAnsiTheme="majorHAnsi" w:cs="Times New Roman"/>
        </w:rPr>
      </w:pPr>
      <w:r w:rsidRPr="00045DFA">
        <w:rPr>
          <w:rFonts w:asciiTheme="majorHAnsi" w:hAnsiTheme="majorHAnsi" w:cs="Times New Roman"/>
        </w:rPr>
        <w:t xml:space="preserve">Perioperative optimisation strategies including nutrition, fluid management, antimicrobial prophylaxis, and mobilisation </w:t>
      </w:r>
      <w:r w:rsidRPr="00045DFA">
        <w:rPr>
          <w:rFonts w:asciiTheme="majorHAnsi" w:hAnsiTheme="majorHAnsi" w:cs="Times New Roman"/>
          <w:b/>
          <w:bCs/>
        </w:rPr>
        <w:t>[18,19,24–26,27,30,23,44,28]</w:t>
      </w:r>
      <w:r w:rsidRPr="00045DFA">
        <w:rPr>
          <w:rFonts w:asciiTheme="majorHAnsi" w:hAnsiTheme="majorHAnsi" w:cs="Times New Roman"/>
        </w:rPr>
        <w:t xml:space="preserve"> </w:t>
      </w:r>
    </w:p>
    <w:p w14:paraId="04C442AD" w14:textId="77777777" w:rsidR="004F26CC" w:rsidRPr="00045DFA" w:rsidRDefault="004F26CC" w:rsidP="004F26CC">
      <w:pPr>
        <w:numPr>
          <w:ilvl w:val="0"/>
          <w:numId w:val="14"/>
        </w:numPr>
        <w:spacing w:after="0" w:line="276" w:lineRule="auto"/>
        <w:rPr>
          <w:rFonts w:asciiTheme="majorHAnsi" w:hAnsiTheme="majorHAnsi" w:cs="Times New Roman"/>
        </w:rPr>
      </w:pPr>
      <w:r w:rsidRPr="00045DFA">
        <w:rPr>
          <w:rFonts w:asciiTheme="majorHAnsi" w:hAnsiTheme="majorHAnsi" w:cs="Times New Roman"/>
        </w:rPr>
        <w:t xml:space="preserve">System-level implementation, compliance monitoring, and failure-to-rescue literature </w:t>
      </w:r>
      <w:r w:rsidRPr="00045DFA">
        <w:rPr>
          <w:rFonts w:asciiTheme="majorHAnsi" w:hAnsiTheme="majorHAnsi" w:cs="Times New Roman"/>
          <w:b/>
          <w:bCs/>
        </w:rPr>
        <w:t>[45,46–50,31,32,15]</w:t>
      </w:r>
      <w:r w:rsidRPr="00045DFA">
        <w:rPr>
          <w:rFonts w:asciiTheme="majorHAnsi" w:hAnsiTheme="majorHAnsi" w:cs="Times New Roman"/>
        </w:rPr>
        <w:t xml:space="preserve"> </w:t>
      </w:r>
    </w:p>
    <w:p w14:paraId="783E9D8B" w14:textId="77777777" w:rsidR="004F26CC" w:rsidRPr="00045DFA" w:rsidRDefault="004F26CC" w:rsidP="004F26CC">
      <w:pPr>
        <w:spacing w:after="0" w:line="276" w:lineRule="auto"/>
        <w:rPr>
          <w:rFonts w:asciiTheme="majorHAnsi" w:hAnsiTheme="majorHAnsi" w:cs="Times New Roman"/>
        </w:rPr>
      </w:pPr>
      <w:r w:rsidRPr="00045DFA">
        <w:rPr>
          <w:rFonts w:asciiTheme="majorHAnsi" w:hAnsiTheme="majorHAnsi" w:cs="Times New Roman"/>
        </w:rPr>
        <w:t>Where available, quantitative effect sizes and incidence ranges were extracted to allow comparison across domains. Emphasis was placed on studies reporting measurable outcomes, including complication rates, mortality reduction, and timing thresholds.</w:t>
      </w:r>
    </w:p>
    <w:p w14:paraId="152ECE44" w14:textId="77777777" w:rsidR="004F26CC" w:rsidRPr="00045DFA" w:rsidRDefault="004F26CC" w:rsidP="004F26CC">
      <w:pPr>
        <w:spacing w:after="0" w:line="276" w:lineRule="auto"/>
        <w:rPr>
          <w:rFonts w:asciiTheme="majorHAnsi" w:hAnsiTheme="majorHAnsi" w:cs="Times New Roman"/>
        </w:rPr>
      </w:pPr>
      <w:r w:rsidRPr="00045DFA">
        <w:rPr>
          <w:rFonts w:asciiTheme="majorHAnsi" w:hAnsiTheme="majorHAnsi" w:cs="Times New Roman"/>
        </w:rPr>
        <w:t xml:space="preserve">Because polytrauma populations are heterogeneous and often excluded from tightly controlled elective surgery trials, the evidence base necessarily includes a combination of randomised trials, observational </w:t>
      </w:r>
      <w:r w:rsidRPr="00045DFA">
        <w:rPr>
          <w:rFonts w:asciiTheme="majorHAnsi" w:hAnsiTheme="majorHAnsi" w:cs="Times New Roman"/>
        </w:rPr>
        <w:lastRenderedPageBreak/>
        <w:t>cohort studies, registry analyses, and implementation evaluations. Rather than pooling effect sizes, this review integrates mechanistic reasoning with reported outcome ranges to construct a coherent recovery framework.</w:t>
      </w:r>
    </w:p>
    <w:p w14:paraId="59D035C6" w14:textId="77777777" w:rsidR="0059516A" w:rsidRPr="00045DFA" w:rsidRDefault="0059516A" w:rsidP="004F26CC">
      <w:pPr>
        <w:spacing w:after="0" w:line="276" w:lineRule="auto"/>
        <w:rPr>
          <w:rFonts w:asciiTheme="majorHAnsi" w:hAnsiTheme="majorHAnsi" w:cs="Times New Roman"/>
        </w:rPr>
      </w:pPr>
    </w:p>
    <w:p w14:paraId="0D4A561F" w14:textId="77777777" w:rsidR="0059516A" w:rsidRPr="00045DFA" w:rsidRDefault="0059516A" w:rsidP="0059516A">
      <w:pPr>
        <w:spacing w:after="0" w:line="276" w:lineRule="auto"/>
        <w:rPr>
          <w:rFonts w:asciiTheme="majorHAnsi" w:hAnsiTheme="majorHAnsi" w:cs="Times New Roman"/>
          <w:b/>
          <w:bCs/>
        </w:rPr>
      </w:pPr>
      <w:r w:rsidRPr="00045DFA">
        <w:rPr>
          <w:rFonts w:asciiTheme="majorHAnsi" w:hAnsiTheme="majorHAnsi" w:cs="Times New Roman"/>
          <w:b/>
          <w:bCs/>
        </w:rPr>
        <w:t>Literature Search Strategy</w:t>
      </w:r>
    </w:p>
    <w:p w14:paraId="77D69DED" w14:textId="77777777" w:rsidR="0059516A" w:rsidRPr="00045DFA" w:rsidRDefault="0059516A" w:rsidP="0059516A">
      <w:pPr>
        <w:spacing w:after="0" w:line="276" w:lineRule="auto"/>
        <w:rPr>
          <w:rFonts w:asciiTheme="majorHAnsi" w:hAnsiTheme="majorHAnsi" w:cs="Times New Roman"/>
        </w:rPr>
      </w:pPr>
    </w:p>
    <w:p w14:paraId="14A10F71" w14:textId="3ECBFC5F" w:rsidR="0059516A" w:rsidRPr="00045DFA" w:rsidRDefault="0059516A" w:rsidP="0059516A">
      <w:pPr>
        <w:spacing w:after="0" w:line="276" w:lineRule="auto"/>
        <w:rPr>
          <w:rFonts w:asciiTheme="majorHAnsi" w:hAnsiTheme="majorHAnsi" w:cs="Times New Roman"/>
        </w:rPr>
      </w:pPr>
      <w:r w:rsidRPr="00045DFA">
        <w:rPr>
          <w:rFonts w:asciiTheme="majorHAnsi" w:hAnsiTheme="majorHAnsi" w:cs="Times New Roman"/>
        </w:rPr>
        <w:t>A structured literature search was conducted using PubMed, Scopus, and Web of Science databases. Keywords included combinations of "polytrauma", "damage control orthopaedics", "trauma recovery", "enteral nutrition", "ARDS", "failure-to-rescue", and "trauma systems". Articles published in English were prioritised, with emphasis on studies reporting quantitative outcomes. Reference lists of relevant articles were manually screened to identify additional studies. The selection strategy aimed to integrate mechanistic, clinical, and system-level evidence relevant to polytrauma recovery.</w:t>
      </w:r>
      <w:r w:rsidRPr="00045DFA">
        <w:rPr>
          <w:rFonts w:asciiTheme="majorHAnsi" w:hAnsiTheme="majorHAnsi"/>
        </w:rPr>
        <w:t xml:space="preserve"> </w:t>
      </w:r>
      <w:r w:rsidRPr="00045DFA">
        <w:rPr>
          <w:rFonts w:asciiTheme="majorHAnsi" w:hAnsiTheme="majorHAnsi" w:cs="Times New Roman"/>
        </w:rPr>
        <w:t>This study was conducted as a structured narrative review rather than a systematic review or meta-analysis.</w:t>
      </w:r>
    </w:p>
    <w:p w14:paraId="3FABC86A" w14:textId="5928C259" w:rsidR="004F26CC" w:rsidRPr="00045DFA" w:rsidRDefault="004F26CC" w:rsidP="004F26CC">
      <w:pPr>
        <w:spacing w:after="0" w:line="276" w:lineRule="auto"/>
        <w:rPr>
          <w:rFonts w:asciiTheme="majorHAnsi" w:hAnsiTheme="majorHAnsi" w:cs="Times New Roman"/>
        </w:rPr>
      </w:pPr>
    </w:p>
    <w:p w14:paraId="3C346FD0" w14:textId="77777777" w:rsidR="004F26CC" w:rsidRPr="00045DFA" w:rsidRDefault="004F26CC" w:rsidP="004F26CC">
      <w:pPr>
        <w:spacing w:after="0" w:line="276" w:lineRule="auto"/>
        <w:rPr>
          <w:rFonts w:asciiTheme="majorHAnsi" w:hAnsiTheme="majorHAnsi" w:cs="Times New Roman"/>
          <w:b/>
          <w:bCs/>
        </w:rPr>
      </w:pPr>
      <w:r w:rsidRPr="00045DFA">
        <w:rPr>
          <w:rFonts w:asciiTheme="majorHAnsi" w:hAnsiTheme="majorHAnsi" w:cs="Times New Roman"/>
          <w:b/>
          <w:bCs/>
        </w:rPr>
        <w:t>Categorisation of Recovery Strategies</w:t>
      </w:r>
    </w:p>
    <w:p w14:paraId="42B24838" w14:textId="77777777" w:rsidR="004F26CC" w:rsidRPr="00045DFA" w:rsidRDefault="004F26CC" w:rsidP="004F26CC">
      <w:pPr>
        <w:spacing w:after="0" w:line="276" w:lineRule="auto"/>
        <w:rPr>
          <w:rFonts w:asciiTheme="majorHAnsi" w:hAnsiTheme="majorHAnsi" w:cs="Times New Roman"/>
        </w:rPr>
      </w:pPr>
      <w:r w:rsidRPr="00045DFA">
        <w:rPr>
          <w:rFonts w:asciiTheme="majorHAnsi" w:hAnsiTheme="majorHAnsi" w:cs="Times New Roman"/>
        </w:rPr>
        <w:t>Interventions were grouped into three tiers according to resource requirement and system maturity:</w:t>
      </w:r>
    </w:p>
    <w:p w14:paraId="4C895506" w14:textId="77777777" w:rsidR="004F26CC" w:rsidRPr="00045DFA" w:rsidRDefault="004F26CC" w:rsidP="004F26CC">
      <w:pPr>
        <w:spacing w:after="0" w:line="276" w:lineRule="auto"/>
        <w:rPr>
          <w:rFonts w:asciiTheme="majorHAnsi" w:hAnsiTheme="majorHAnsi" w:cs="Times New Roman"/>
        </w:rPr>
      </w:pPr>
      <w:r w:rsidRPr="00045DFA">
        <w:rPr>
          <w:rFonts w:asciiTheme="majorHAnsi" w:hAnsiTheme="majorHAnsi" w:cs="Times New Roman"/>
        </w:rPr>
        <w:t>• Tier 1: High-impact, low-resource measures directly targeting physiological amplification.</w:t>
      </w:r>
      <w:r w:rsidRPr="00045DFA">
        <w:rPr>
          <w:rFonts w:asciiTheme="majorHAnsi" w:hAnsiTheme="majorHAnsi" w:cs="Times New Roman"/>
        </w:rPr>
        <w:br/>
        <w:t>• Tier 2: Structured compliance and monitoring strategies requiring moderate organisational capacity.</w:t>
      </w:r>
      <w:r w:rsidRPr="00045DFA">
        <w:rPr>
          <w:rFonts w:asciiTheme="majorHAnsi" w:hAnsiTheme="majorHAnsi" w:cs="Times New Roman"/>
        </w:rPr>
        <w:br/>
        <w:t>• Tier 3: Advanced system-dependent interventions requiring mature governance and critical care infrastructure.</w:t>
      </w:r>
    </w:p>
    <w:p w14:paraId="4B8FA85C" w14:textId="77777777" w:rsidR="004F26CC" w:rsidRPr="00045DFA" w:rsidRDefault="004F26CC" w:rsidP="004F26CC">
      <w:pPr>
        <w:spacing w:after="0" w:line="276" w:lineRule="auto"/>
        <w:rPr>
          <w:rFonts w:asciiTheme="majorHAnsi" w:hAnsiTheme="majorHAnsi" w:cs="Times New Roman"/>
        </w:rPr>
      </w:pPr>
      <w:r w:rsidRPr="00045DFA">
        <w:rPr>
          <w:rFonts w:asciiTheme="majorHAnsi" w:hAnsiTheme="majorHAnsi" w:cs="Times New Roman"/>
        </w:rPr>
        <w:t>This tiered structure allows adaptation across trauma systems with differing workforce density, ICU availability, and monitoring capability. The novelty of this review lies not in individual interventions, but in quantitative integration across abdominal and orthopaedic domains within a unified, tiered systems framework. Tables are intentionally comprehensive to facilitate institutional benchmarking.</w:t>
      </w:r>
    </w:p>
    <w:p w14:paraId="613AC1D0" w14:textId="0BB4B2F1" w:rsidR="004F26CC" w:rsidRPr="00045DFA" w:rsidRDefault="004F26CC" w:rsidP="004F26CC">
      <w:pPr>
        <w:spacing w:after="0" w:line="276" w:lineRule="auto"/>
        <w:rPr>
          <w:rFonts w:asciiTheme="majorHAnsi" w:hAnsiTheme="majorHAnsi" w:cs="Times New Roman"/>
        </w:rPr>
      </w:pPr>
    </w:p>
    <w:p w14:paraId="3C1CFC92" w14:textId="77777777" w:rsidR="004F26CC" w:rsidRPr="00045DFA" w:rsidRDefault="004F26CC" w:rsidP="004F26CC">
      <w:pPr>
        <w:spacing w:after="0" w:line="276" w:lineRule="auto"/>
        <w:rPr>
          <w:rFonts w:asciiTheme="majorHAnsi" w:hAnsiTheme="majorHAnsi" w:cs="Times New Roman"/>
          <w:b/>
          <w:bCs/>
        </w:rPr>
      </w:pPr>
      <w:r w:rsidRPr="00045DFA">
        <w:rPr>
          <w:rFonts w:asciiTheme="majorHAnsi" w:hAnsiTheme="majorHAnsi" w:cs="Times New Roman"/>
          <w:b/>
          <w:bCs/>
        </w:rPr>
        <w:t>GLOBAL TRAUMA BURDEN AND SYSTEM DISPARITIES (renumbered)</w:t>
      </w:r>
    </w:p>
    <w:p w14:paraId="3F1238F1" w14:textId="77777777" w:rsidR="004F26CC" w:rsidRPr="00045DFA" w:rsidRDefault="004F26CC" w:rsidP="004F26CC">
      <w:pPr>
        <w:spacing w:after="0" w:line="276" w:lineRule="auto"/>
        <w:rPr>
          <w:rFonts w:asciiTheme="majorHAnsi" w:hAnsiTheme="majorHAnsi" w:cs="Times New Roman"/>
        </w:rPr>
      </w:pPr>
      <w:r w:rsidRPr="00045DFA">
        <w:rPr>
          <w:rFonts w:asciiTheme="majorHAnsi" w:hAnsiTheme="majorHAnsi" w:cs="Times New Roman"/>
        </w:rPr>
        <w:t xml:space="preserve">Trauma accounts for approximately 4.5 million deaths annually worldwide and remains a leading cause of mortality in individuals under 45 years of age </w:t>
      </w:r>
      <w:r w:rsidRPr="00045DFA">
        <w:rPr>
          <w:rFonts w:asciiTheme="majorHAnsi" w:hAnsiTheme="majorHAnsi" w:cs="Times New Roman"/>
          <w:b/>
          <w:bCs/>
        </w:rPr>
        <w:t>[1]</w:t>
      </w:r>
      <w:r w:rsidRPr="00045DFA">
        <w:rPr>
          <w:rFonts w:asciiTheme="majorHAnsi" w:hAnsiTheme="majorHAnsi" w:cs="Times New Roman"/>
        </w:rPr>
        <w:t xml:space="preserve">. In addition to mortality, hundreds of millions sustain non-fatal injuries each year, contributing substantially to global disability burden </w:t>
      </w:r>
      <w:r w:rsidRPr="00045DFA">
        <w:rPr>
          <w:rFonts w:asciiTheme="majorHAnsi" w:hAnsiTheme="majorHAnsi" w:cs="Times New Roman"/>
          <w:b/>
          <w:bCs/>
        </w:rPr>
        <w:t>[1]</w:t>
      </w:r>
      <w:r w:rsidRPr="00045DFA">
        <w:rPr>
          <w:rFonts w:asciiTheme="majorHAnsi" w:hAnsiTheme="majorHAnsi" w:cs="Times New Roman"/>
        </w:rPr>
        <w:t xml:space="preserve">. However, the distribution of trauma mortality is uneven. More than 90% of injury-related deaths occur in low- and middle-income countries (LMICs) </w:t>
      </w:r>
      <w:r w:rsidRPr="00045DFA">
        <w:rPr>
          <w:rFonts w:asciiTheme="majorHAnsi" w:hAnsiTheme="majorHAnsi" w:cs="Times New Roman"/>
          <w:b/>
          <w:bCs/>
        </w:rPr>
        <w:t>[2]</w:t>
      </w:r>
      <w:r w:rsidRPr="00045DFA">
        <w:rPr>
          <w:rFonts w:asciiTheme="majorHAnsi" w:hAnsiTheme="majorHAnsi" w:cs="Times New Roman"/>
        </w:rPr>
        <w:t>.</w:t>
      </w:r>
    </w:p>
    <w:p w14:paraId="21530AA1" w14:textId="77777777" w:rsidR="0059516A" w:rsidRPr="00045DFA" w:rsidRDefault="0059516A" w:rsidP="004F26CC">
      <w:pPr>
        <w:spacing w:after="0" w:line="276" w:lineRule="auto"/>
        <w:rPr>
          <w:rFonts w:asciiTheme="majorHAnsi" w:hAnsiTheme="majorHAnsi" w:cs="Times New Roman"/>
        </w:rPr>
      </w:pPr>
    </w:p>
    <w:p w14:paraId="391F4F77" w14:textId="77777777" w:rsidR="004F26CC" w:rsidRPr="00045DFA" w:rsidRDefault="004F26CC" w:rsidP="004F26CC">
      <w:pPr>
        <w:spacing w:after="0" w:line="276" w:lineRule="auto"/>
        <w:rPr>
          <w:rFonts w:asciiTheme="majorHAnsi" w:hAnsiTheme="majorHAnsi" w:cs="Times New Roman"/>
        </w:rPr>
      </w:pPr>
      <w:r w:rsidRPr="00045DFA">
        <w:rPr>
          <w:rFonts w:asciiTheme="majorHAnsi" w:hAnsiTheme="majorHAnsi" w:cs="Times New Roman"/>
        </w:rPr>
        <w:t xml:space="preserve">The disparity is not explained solely by injury incidence. System-level capacity plays a decisive role. Global surgical workforce analyses demonstrate surgeon densities ranging from fewer than 2 per 100,000 population in many low-income settings to more than 35–40 per 100,000 in high-income countries </w:t>
      </w:r>
      <w:r w:rsidRPr="00045DFA">
        <w:rPr>
          <w:rFonts w:asciiTheme="majorHAnsi" w:hAnsiTheme="majorHAnsi" w:cs="Times New Roman"/>
          <w:b/>
          <w:bCs/>
        </w:rPr>
        <w:t>[11]</w:t>
      </w:r>
      <w:r w:rsidRPr="00045DFA">
        <w:rPr>
          <w:rFonts w:asciiTheme="majorHAnsi" w:hAnsiTheme="majorHAnsi" w:cs="Times New Roman"/>
        </w:rPr>
        <w:t xml:space="preserve">. Intensive care unit (ICU) capacity may vary by more than twenty-fold, with fewer than 1 ICU bed per 100,000 population in some regions compared with more than 20 per 100,000 in mature trauma systems </w:t>
      </w:r>
      <w:r w:rsidRPr="00045DFA">
        <w:rPr>
          <w:rFonts w:asciiTheme="majorHAnsi" w:hAnsiTheme="majorHAnsi" w:cs="Times New Roman"/>
          <w:b/>
          <w:bCs/>
        </w:rPr>
        <w:t>[12]</w:t>
      </w:r>
      <w:r w:rsidRPr="00045DFA">
        <w:rPr>
          <w:rFonts w:asciiTheme="majorHAnsi" w:hAnsiTheme="majorHAnsi" w:cs="Times New Roman"/>
        </w:rPr>
        <w:t xml:space="preserve">. Ventilator availability shows similar gradients, often fewer than 5 per million population in low-resource settings versus more than 200 per million in high-income countries </w:t>
      </w:r>
      <w:r w:rsidRPr="00045DFA">
        <w:rPr>
          <w:rFonts w:asciiTheme="majorHAnsi" w:hAnsiTheme="majorHAnsi" w:cs="Times New Roman"/>
          <w:b/>
          <w:bCs/>
        </w:rPr>
        <w:t>[13]</w:t>
      </w:r>
      <w:r w:rsidRPr="00045DFA">
        <w:rPr>
          <w:rFonts w:asciiTheme="majorHAnsi" w:hAnsiTheme="majorHAnsi" w:cs="Times New Roman"/>
        </w:rPr>
        <w:t>.</w:t>
      </w:r>
    </w:p>
    <w:p w14:paraId="624D5ECA" w14:textId="77777777" w:rsidR="0059516A" w:rsidRPr="00045DFA" w:rsidRDefault="0059516A" w:rsidP="004F26CC">
      <w:pPr>
        <w:spacing w:after="0" w:line="276" w:lineRule="auto"/>
        <w:rPr>
          <w:rFonts w:asciiTheme="majorHAnsi" w:hAnsiTheme="majorHAnsi" w:cs="Times New Roman"/>
        </w:rPr>
      </w:pPr>
    </w:p>
    <w:p w14:paraId="013860E0" w14:textId="77777777" w:rsidR="004F26CC" w:rsidRPr="00045DFA" w:rsidRDefault="004F26CC" w:rsidP="004F26CC">
      <w:pPr>
        <w:spacing w:after="0" w:line="276" w:lineRule="auto"/>
        <w:rPr>
          <w:rFonts w:asciiTheme="majorHAnsi" w:hAnsiTheme="majorHAnsi" w:cs="Times New Roman"/>
        </w:rPr>
      </w:pPr>
      <w:r w:rsidRPr="00045DFA">
        <w:rPr>
          <w:rFonts w:asciiTheme="majorHAnsi" w:hAnsiTheme="majorHAnsi" w:cs="Times New Roman"/>
        </w:rPr>
        <w:t xml:space="preserve">Time-to-intervention further differentiates outcomes. Observational trauma </w:t>
      </w:r>
      <w:proofErr w:type="spellStart"/>
      <w:r w:rsidRPr="00045DFA">
        <w:rPr>
          <w:rFonts w:asciiTheme="majorHAnsi" w:hAnsiTheme="majorHAnsi" w:cs="Times New Roman"/>
        </w:rPr>
        <w:t>center</w:t>
      </w:r>
      <w:proofErr w:type="spellEnd"/>
      <w:r w:rsidRPr="00045DFA">
        <w:rPr>
          <w:rFonts w:asciiTheme="majorHAnsi" w:hAnsiTheme="majorHAnsi" w:cs="Times New Roman"/>
        </w:rPr>
        <w:t xml:space="preserve"> data demonstrate that mortality increases when definitive laparotomy for </w:t>
      </w:r>
      <w:proofErr w:type="spellStart"/>
      <w:r w:rsidRPr="00045DFA">
        <w:rPr>
          <w:rFonts w:asciiTheme="majorHAnsi" w:hAnsiTheme="majorHAnsi" w:cs="Times New Roman"/>
        </w:rPr>
        <w:t>hemorrhage</w:t>
      </w:r>
      <w:proofErr w:type="spellEnd"/>
      <w:r w:rsidRPr="00045DFA">
        <w:rPr>
          <w:rFonts w:asciiTheme="majorHAnsi" w:hAnsiTheme="majorHAnsi" w:cs="Times New Roman"/>
        </w:rPr>
        <w:t xml:space="preserve"> is delayed beyond three hours </w:t>
      </w:r>
      <w:r w:rsidRPr="00045DFA">
        <w:rPr>
          <w:rFonts w:asciiTheme="majorHAnsi" w:hAnsiTheme="majorHAnsi" w:cs="Times New Roman"/>
          <w:b/>
          <w:bCs/>
        </w:rPr>
        <w:t>[14]</w:t>
      </w:r>
      <w:r w:rsidRPr="00045DFA">
        <w:rPr>
          <w:rFonts w:asciiTheme="majorHAnsi" w:hAnsiTheme="majorHAnsi" w:cs="Times New Roman"/>
        </w:rPr>
        <w:t xml:space="preserve">. In global trauma trials, treatment efficacy for time-sensitive interventions diminishes substantially when delayed beyond similar thresholds </w:t>
      </w:r>
      <w:r w:rsidRPr="00045DFA">
        <w:rPr>
          <w:rFonts w:asciiTheme="majorHAnsi" w:hAnsiTheme="majorHAnsi" w:cs="Times New Roman"/>
          <w:b/>
          <w:bCs/>
        </w:rPr>
        <w:t>[51]</w:t>
      </w:r>
      <w:r w:rsidRPr="00045DFA">
        <w:rPr>
          <w:rFonts w:asciiTheme="majorHAnsi" w:hAnsiTheme="majorHAnsi" w:cs="Times New Roman"/>
        </w:rPr>
        <w:t xml:space="preserve">. Delays are frequently influenced by prehospital transport limitations, workforce shortages, and operating theatre access constraints </w:t>
      </w:r>
      <w:r w:rsidRPr="00045DFA">
        <w:rPr>
          <w:rFonts w:asciiTheme="majorHAnsi" w:hAnsiTheme="majorHAnsi" w:cs="Times New Roman"/>
          <w:b/>
          <w:bCs/>
        </w:rPr>
        <w:t>[4,52]</w:t>
      </w:r>
      <w:r w:rsidRPr="00045DFA">
        <w:rPr>
          <w:rFonts w:asciiTheme="majorHAnsi" w:hAnsiTheme="majorHAnsi" w:cs="Times New Roman"/>
        </w:rPr>
        <w:t>.</w:t>
      </w:r>
    </w:p>
    <w:p w14:paraId="5413389D" w14:textId="77777777" w:rsidR="0059516A" w:rsidRPr="00045DFA" w:rsidRDefault="0059516A" w:rsidP="004F26CC">
      <w:pPr>
        <w:spacing w:after="0" w:line="276" w:lineRule="auto"/>
        <w:rPr>
          <w:rFonts w:asciiTheme="majorHAnsi" w:hAnsiTheme="majorHAnsi" w:cs="Times New Roman"/>
        </w:rPr>
      </w:pPr>
    </w:p>
    <w:p w14:paraId="6AE92047" w14:textId="77777777" w:rsidR="004F26CC" w:rsidRPr="00045DFA" w:rsidRDefault="004F26CC" w:rsidP="004F26CC">
      <w:pPr>
        <w:spacing w:after="0" w:line="276" w:lineRule="auto"/>
        <w:rPr>
          <w:rFonts w:asciiTheme="majorHAnsi" w:hAnsiTheme="majorHAnsi" w:cs="Times New Roman"/>
        </w:rPr>
      </w:pPr>
      <w:r w:rsidRPr="00045DFA">
        <w:rPr>
          <w:rFonts w:asciiTheme="majorHAnsi" w:hAnsiTheme="majorHAnsi" w:cs="Times New Roman"/>
        </w:rPr>
        <w:t>Mortality variation across hospitals with comparable complication rates highlights the importance of rescue capacity. Multi-</w:t>
      </w:r>
      <w:proofErr w:type="spellStart"/>
      <w:r w:rsidRPr="00045DFA">
        <w:rPr>
          <w:rFonts w:asciiTheme="majorHAnsi" w:hAnsiTheme="majorHAnsi" w:cs="Times New Roman"/>
        </w:rPr>
        <w:t>center</w:t>
      </w:r>
      <w:proofErr w:type="spellEnd"/>
      <w:r w:rsidRPr="00045DFA">
        <w:rPr>
          <w:rFonts w:asciiTheme="majorHAnsi" w:hAnsiTheme="majorHAnsi" w:cs="Times New Roman"/>
        </w:rPr>
        <w:t xml:space="preserve"> analyses have shown two- to three-fold differences in mortality attributable primarily to variation in failure-to-rescue rather than complication incidence </w:t>
      </w:r>
      <w:r w:rsidRPr="00045DFA">
        <w:rPr>
          <w:rFonts w:asciiTheme="majorHAnsi" w:hAnsiTheme="majorHAnsi" w:cs="Times New Roman"/>
          <w:b/>
          <w:bCs/>
        </w:rPr>
        <w:t>[48]</w:t>
      </w:r>
      <w:r w:rsidRPr="00045DFA">
        <w:rPr>
          <w:rFonts w:asciiTheme="majorHAnsi" w:hAnsiTheme="majorHAnsi" w:cs="Times New Roman"/>
        </w:rPr>
        <w:t xml:space="preserve">. Preventable death analyses suggest that up to 20–30% of trauma deaths may be avoidable in immature systems, with structured trauma governance associated with measurable reductions over time </w:t>
      </w:r>
      <w:r w:rsidRPr="00045DFA">
        <w:rPr>
          <w:rFonts w:asciiTheme="majorHAnsi" w:hAnsiTheme="majorHAnsi" w:cs="Times New Roman"/>
          <w:b/>
          <w:bCs/>
        </w:rPr>
        <w:t>[15]</w:t>
      </w:r>
      <w:r w:rsidRPr="00045DFA">
        <w:rPr>
          <w:rFonts w:asciiTheme="majorHAnsi" w:hAnsiTheme="majorHAnsi" w:cs="Times New Roman"/>
        </w:rPr>
        <w:t>.</w:t>
      </w:r>
    </w:p>
    <w:p w14:paraId="59FFF071" w14:textId="77777777" w:rsidR="0059516A" w:rsidRPr="00045DFA" w:rsidRDefault="0059516A" w:rsidP="004F26CC">
      <w:pPr>
        <w:spacing w:after="0" w:line="276" w:lineRule="auto"/>
        <w:rPr>
          <w:rFonts w:asciiTheme="majorHAnsi" w:hAnsiTheme="majorHAnsi" w:cs="Times New Roman"/>
        </w:rPr>
      </w:pPr>
    </w:p>
    <w:p w14:paraId="0C8838C3" w14:textId="77777777" w:rsidR="004F26CC" w:rsidRPr="00045DFA" w:rsidRDefault="004F26CC" w:rsidP="004F26CC">
      <w:pPr>
        <w:spacing w:after="0" w:line="276" w:lineRule="auto"/>
        <w:rPr>
          <w:rFonts w:asciiTheme="majorHAnsi" w:hAnsiTheme="majorHAnsi" w:cs="Times New Roman"/>
        </w:rPr>
      </w:pPr>
      <w:r w:rsidRPr="00045DFA">
        <w:rPr>
          <w:rFonts w:asciiTheme="majorHAnsi" w:hAnsiTheme="majorHAnsi" w:cs="Times New Roman"/>
        </w:rPr>
        <w:t xml:space="preserve">Importantly, structured system implementation in LMIC trauma </w:t>
      </w:r>
      <w:proofErr w:type="spellStart"/>
      <w:r w:rsidRPr="00045DFA">
        <w:rPr>
          <w:rFonts w:asciiTheme="majorHAnsi" w:hAnsiTheme="majorHAnsi" w:cs="Times New Roman"/>
        </w:rPr>
        <w:t>centers</w:t>
      </w:r>
      <w:proofErr w:type="spellEnd"/>
      <w:r w:rsidRPr="00045DFA">
        <w:rPr>
          <w:rFonts w:asciiTheme="majorHAnsi" w:hAnsiTheme="majorHAnsi" w:cs="Times New Roman"/>
        </w:rPr>
        <w:t xml:space="preserve"> has demonstrated relative mortality reductions of 20–35% following introduction of organised trauma pathways and workforce training programs </w:t>
      </w:r>
      <w:r w:rsidRPr="00045DFA">
        <w:rPr>
          <w:rFonts w:asciiTheme="majorHAnsi" w:hAnsiTheme="majorHAnsi" w:cs="Times New Roman"/>
          <w:b/>
          <w:bCs/>
        </w:rPr>
        <w:t>[45,53]</w:t>
      </w:r>
      <w:r w:rsidRPr="00045DFA">
        <w:rPr>
          <w:rFonts w:asciiTheme="majorHAnsi" w:hAnsiTheme="majorHAnsi" w:cs="Times New Roman"/>
        </w:rPr>
        <w:t>. These findings indicate that recovery phase coordination—rather than technological sophistication alone—can materially influence survival.</w:t>
      </w:r>
    </w:p>
    <w:p w14:paraId="0FDC9412" w14:textId="77777777" w:rsidR="0059516A" w:rsidRPr="00045DFA" w:rsidRDefault="0059516A" w:rsidP="004F26CC">
      <w:pPr>
        <w:spacing w:after="0" w:line="276" w:lineRule="auto"/>
        <w:rPr>
          <w:rFonts w:asciiTheme="majorHAnsi" w:hAnsiTheme="majorHAnsi" w:cs="Times New Roman"/>
        </w:rPr>
      </w:pPr>
    </w:p>
    <w:p w14:paraId="60F63E52" w14:textId="77777777" w:rsidR="004F26CC" w:rsidRPr="00045DFA" w:rsidRDefault="004F26CC" w:rsidP="004F26CC">
      <w:pPr>
        <w:spacing w:after="0" w:line="276" w:lineRule="auto"/>
        <w:rPr>
          <w:rFonts w:asciiTheme="majorHAnsi" w:hAnsiTheme="majorHAnsi" w:cs="Times New Roman"/>
        </w:rPr>
      </w:pPr>
      <w:r w:rsidRPr="00045DFA">
        <w:rPr>
          <w:rFonts w:asciiTheme="majorHAnsi" w:hAnsiTheme="majorHAnsi" w:cs="Times New Roman"/>
        </w:rPr>
        <w:t>Polytrauma outcomes therefore reflect a combination of biological injury severity and system capacity. Workforce density influences fracture fixation timing. ICU capacity determines ability to manage ARDS and organ failure. Monitoring infrastructure shapes early detection of deterioration. Recovery optimisation must therefore be viewed within this broader systems context.</w:t>
      </w:r>
    </w:p>
    <w:p w14:paraId="5ACF75C6" w14:textId="77777777" w:rsidR="004F26CC" w:rsidRPr="00045DFA" w:rsidRDefault="004F26CC" w:rsidP="004F26CC">
      <w:pPr>
        <w:spacing w:after="0" w:line="276" w:lineRule="auto"/>
        <w:rPr>
          <w:rFonts w:asciiTheme="majorHAnsi" w:hAnsiTheme="majorHAnsi" w:cs="Times New Roman"/>
        </w:rPr>
      </w:pPr>
    </w:p>
    <w:p w14:paraId="0EA676D0" w14:textId="77777777" w:rsidR="004F26CC" w:rsidRPr="00045DFA" w:rsidRDefault="004F26CC" w:rsidP="004F26CC">
      <w:pPr>
        <w:spacing w:after="0" w:line="276" w:lineRule="auto"/>
        <w:rPr>
          <w:rFonts w:asciiTheme="majorHAnsi" w:hAnsiTheme="majorHAnsi" w:cs="Times New Roman"/>
        </w:rPr>
      </w:pPr>
    </w:p>
    <w:p w14:paraId="7C5B1EC0" w14:textId="77777777" w:rsidR="0059516A" w:rsidRPr="00045DFA" w:rsidRDefault="0059516A" w:rsidP="0059516A">
      <w:pPr>
        <w:spacing w:after="0" w:line="276" w:lineRule="auto"/>
        <w:rPr>
          <w:rFonts w:asciiTheme="majorHAnsi" w:hAnsiTheme="majorHAnsi" w:cs="Times New Roman"/>
          <w:b/>
          <w:bCs/>
        </w:rPr>
      </w:pPr>
      <w:r w:rsidRPr="00045DFA">
        <w:rPr>
          <w:rFonts w:asciiTheme="majorHAnsi" w:hAnsiTheme="majorHAnsi" w:cs="Times New Roman"/>
          <w:b/>
          <w:bCs/>
        </w:rPr>
        <w:t>TABLE 1 Global Trauma Burden, System Capacity Metrics, and Recovery-Relevant Disparities in</w:t>
      </w:r>
    </w:p>
    <w:p w14:paraId="6F58BE3D" w14:textId="4EB7A8CE" w:rsidR="004F26CC" w:rsidRPr="00045DFA" w:rsidRDefault="0059516A" w:rsidP="0059516A">
      <w:pPr>
        <w:spacing w:after="0" w:line="276" w:lineRule="auto"/>
        <w:rPr>
          <w:rFonts w:asciiTheme="majorHAnsi" w:hAnsiTheme="majorHAnsi" w:cs="Times New Roman"/>
          <w:b/>
          <w:bCs/>
        </w:rPr>
      </w:pPr>
      <w:r w:rsidRPr="00045DFA">
        <w:rPr>
          <w:rFonts w:asciiTheme="majorHAnsi" w:hAnsiTheme="majorHAnsi" w:cs="Times New Roman"/>
          <w:b/>
          <w:bCs/>
        </w:rPr>
        <w:t>Polytrauma Care</w:t>
      </w:r>
    </w:p>
    <w:p w14:paraId="6C96B8F1" w14:textId="77777777" w:rsidR="004F26CC" w:rsidRPr="00045DFA" w:rsidRDefault="004F26CC" w:rsidP="004F26CC">
      <w:pPr>
        <w:spacing w:after="0" w:line="276" w:lineRule="auto"/>
        <w:rPr>
          <w:rFonts w:asciiTheme="majorHAnsi" w:hAnsiTheme="majorHAnsi" w:cs="Times New Roman"/>
          <w:sz w:val="20"/>
          <w:szCs w:val="20"/>
        </w:rPr>
      </w:pPr>
    </w:p>
    <w:tbl>
      <w:tblPr>
        <w:tblStyle w:val="TableGrid1"/>
        <w:tblW w:w="0" w:type="auto"/>
        <w:tblLook w:val="04A0" w:firstRow="1" w:lastRow="0" w:firstColumn="1" w:lastColumn="0" w:noHBand="0" w:noVBand="1"/>
      </w:tblPr>
      <w:tblGrid>
        <w:gridCol w:w="759"/>
        <w:gridCol w:w="804"/>
        <w:gridCol w:w="818"/>
        <w:gridCol w:w="743"/>
        <w:gridCol w:w="806"/>
        <w:gridCol w:w="707"/>
        <w:gridCol w:w="721"/>
        <w:gridCol w:w="750"/>
        <w:gridCol w:w="818"/>
        <w:gridCol w:w="818"/>
        <w:gridCol w:w="753"/>
        <w:gridCol w:w="846"/>
        <w:gridCol w:w="393"/>
      </w:tblGrid>
      <w:tr w:rsidR="004F26CC" w:rsidRPr="00045DFA" w14:paraId="292F9DBF" w14:textId="77777777" w:rsidTr="004F26CC">
        <w:tc>
          <w:tcPr>
            <w:tcW w:w="0" w:type="auto"/>
            <w:hideMark/>
          </w:tcPr>
          <w:p w14:paraId="71A75298" w14:textId="77777777" w:rsidR="004F26CC" w:rsidRPr="00045DFA" w:rsidRDefault="004F26CC" w:rsidP="004F26CC">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Study / Source</w:t>
            </w:r>
          </w:p>
        </w:tc>
        <w:tc>
          <w:tcPr>
            <w:tcW w:w="0" w:type="auto"/>
            <w:hideMark/>
          </w:tcPr>
          <w:p w14:paraId="3B187459" w14:textId="77777777" w:rsidR="004F26CC" w:rsidRPr="00045DFA" w:rsidRDefault="004F26CC" w:rsidP="004F26CC">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Setting</w:t>
            </w:r>
          </w:p>
        </w:tc>
        <w:tc>
          <w:tcPr>
            <w:tcW w:w="0" w:type="auto"/>
            <w:hideMark/>
          </w:tcPr>
          <w:p w14:paraId="34346029" w14:textId="77777777" w:rsidR="004F26CC" w:rsidRPr="00045DFA" w:rsidRDefault="004F26CC" w:rsidP="004F26CC">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Mortality Data</w:t>
            </w:r>
          </w:p>
        </w:tc>
        <w:tc>
          <w:tcPr>
            <w:tcW w:w="0" w:type="auto"/>
            <w:hideMark/>
          </w:tcPr>
          <w:p w14:paraId="5859D8F7" w14:textId="77777777" w:rsidR="004F26CC" w:rsidRPr="00045DFA" w:rsidRDefault="004F26CC" w:rsidP="004F26CC">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Surgeon Density (per 100k)</w:t>
            </w:r>
          </w:p>
        </w:tc>
        <w:tc>
          <w:tcPr>
            <w:tcW w:w="0" w:type="auto"/>
            <w:hideMark/>
          </w:tcPr>
          <w:p w14:paraId="09E54DEE" w14:textId="77777777" w:rsidR="004F26CC" w:rsidRPr="00045DFA" w:rsidRDefault="004F26CC" w:rsidP="004F26CC">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ICU Beds (per 100k)</w:t>
            </w:r>
          </w:p>
        </w:tc>
        <w:tc>
          <w:tcPr>
            <w:tcW w:w="0" w:type="auto"/>
            <w:hideMark/>
          </w:tcPr>
          <w:p w14:paraId="3CEB60E7" w14:textId="77777777" w:rsidR="004F26CC" w:rsidRPr="00045DFA" w:rsidRDefault="004F26CC" w:rsidP="004F26CC">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Ventilators (per million)</w:t>
            </w:r>
          </w:p>
        </w:tc>
        <w:tc>
          <w:tcPr>
            <w:tcW w:w="0" w:type="auto"/>
            <w:hideMark/>
          </w:tcPr>
          <w:p w14:paraId="2CF155A9" w14:textId="77777777" w:rsidR="004F26CC" w:rsidRPr="00045DFA" w:rsidRDefault="004F26CC" w:rsidP="004F26CC">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Prehospital Delay</w:t>
            </w:r>
          </w:p>
        </w:tc>
        <w:tc>
          <w:tcPr>
            <w:tcW w:w="0" w:type="auto"/>
            <w:hideMark/>
          </w:tcPr>
          <w:p w14:paraId="417002C5" w14:textId="77777777" w:rsidR="004F26CC" w:rsidRPr="00045DFA" w:rsidRDefault="004F26CC" w:rsidP="004F26CC">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Time-to-Laparotomy</w:t>
            </w:r>
          </w:p>
        </w:tc>
        <w:tc>
          <w:tcPr>
            <w:tcW w:w="0" w:type="auto"/>
            <w:hideMark/>
          </w:tcPr>
          <w:p w14:paraId="01271942" w14:textId="77777777" w:rsidR="004F26CC" w:rsidRPr="00045DFA" w:rsidRDefault="004F26CC" w:rsidP="004F26CC">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Time-to-Fixation</w:t>
            </w:r>
          </w:p>
        </w:tc>
        <w:tc>
          <w:tcPr>
            <w:tcW w:w="0" w:type="auto"/>
            <w:hideMark/>
          </w:tcPr>
          <w:p w14:paraId="5400BCB6" w14:textId="77777777" w:rsidR="004F26CC" w:rsidRPr="00045DFA" w:rsidRDefault="004F26CC" w:rsidP="004F26CC">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ARDS / MOF Incidence</w:t>
            </w:r>
          </w:p>
        </w:tc>
        <w:tc>
          <w:tcPr>
            <w:tcW w:w="0" w:type="auto"/>
            <w:hideMark/>
          </w:tcPr>
          <w:p w14:paraId="3B5473C0" w14:textId="77777777" w:rsidR="004F26CC" w:rsidRPr="00045DFA" w:rsidRDefault="004F26CC" w:rsidP="004F26CC">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Preventable Death Rate</w:t>
            </w:r>
          </w:p>
        </w:tc>
        <w:tc>
          <w:tcPr>
            <w:tcW w:w="0" w:type="auto"/>
            <w:hideMark/>
          </w:tcPr>
          <w:p w14:paraId="31E965B1" w14:textId="77777777" w:rsidR="004F26CC" w:rsidRPr="00045DFA" w:rsidRDefault="004F26CC" w:rsidP="004F26CC">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Recovery-Relevant Interpretation</w:t>
            </w:r>
          </w:p>
        </w:tc>
        <w:tc>
          <w:tcPr>
            <w:tcW w:w="0" w:type="auto"/>
            <w:hideMark/>
          </w:tcPr>
          <w:p w14:paraId="61EF0214" w14:textId="77777777" w:rsidR="004F26CC" w:rsidRPr="00045DFA" w:rsidRDefault="004F26CC" w:rsidP="004F26CC">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Ref</w:t>
            </w:r>
          </w:p>
        </w:tc>
      </w:tr>
      <w:tr w:rsidR="004F26CC" w:rsidRPr="00045DFA" w14:paraId="48D47D9A" w14:textId="77777777" w:rsidTr="004F26CC">
        <w:tc>
          <w:tcPr>
            <w:tcW w:w="0" w:type="auto"/>
            <w:hideMark/>
          </w:tcPr>
          <w:p w14:paraId="22C3721E"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Haagsma et al., 2020</w:t>
            </w:r>
          </w:p>
        </w:tc>
        <w:tc>
          <w:tcPr>
            <w:tcW w:w="0" w:type="auto"/>
            <w:hideMark/>
          </w:tcPr>
          <w:p w14:paraId="3EFDB88C"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Global</w:t>
            </w:r>
          </w:p>
        </w:tc>
        <w:tc>
          <w:tcPr>
            <w:tcW w:w="0" w:type="auto"/>
            <w:hideMark/>
          </w:tcPr>
          <w:p w14:paraId="269DAFEC"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~4.5M injury deaths annually</w:t>
            </w:r>
          </w:p>
        </w:tc>
        <w:tc>
          <w:tcPr>
            <w:tcW w:w="0" w:type="auto"/>
            <w:hideMark/>
          </w:tcPr>
          <w:p w14:paraId="0A72BB24"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Not reported</w:t>
            </w:r>
          </w:p>
        </w:tc>
        <w:tc>
          <w:tcPr>
            <w:tcW w:w="0" w:type="auto"/>
            <w:hideMark/>
          </w:tcPr>
          <w:p w14:paraId="6E8215B6"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Not reported</w:t>
            </w:r>
          </w:p>
        </w:tc>
        <w:tc>
          <w:tcPr>
            <w:tcW w:w="0" w:type="auto"/>
            <w:hideMark/>
          </w:tcPr>
          <w:p w14:paraId="0F87EBD2"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Not reported</w:t>
            </w:r>
          </w:p>
        </w:tc>
        <w:tc>
          <w:tcPr>
            <w:tcW w:w="0" w:type="auto"/>
            <w:hideMark/>
          </w:tcPr>
          <w:p w14:paraId="6C6E7EC6"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Not reported</w:t>
            </w:r>
          </w:p>
        </w:tc>
        <w:tc>
          <w:tcPr>
            <w:tcW w:w="0" w:type="auto"/>
            <w:hideMark/>
          </w:tcPr>
          <w:p w14:paraId="66026791"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Not reported</w:t>
            </w:r>
          </w:p>
        </w:tc>
        <w:tc>
          <w:tcPr>
            <w:tcW w:w="0" w:type="auto"/>
            <w:hideMark/>
          </w:tcPr>
          <w:p w14:paraId="054C066A"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Not reported</w:t>
            </w:r>
          </w:p>
        </w:tc>
        <w:tc>
          <w:tcPr>
            <w:tcW w:w="0" w:type="auto"/>
            <w:hideMark/>
          </w:tcPr>
          <w:p w14:paraId="509EB0BA"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Not reported</w:t>
            </w:r>
          </w:p>
        </w:tc>
        <w:tc>
          <w:tcPr>
            <w:tcW w:w="0" w:type="auto"/>
            <w:hideMark/>
          </w:tcPr>
          <w:p w14:paraId="72EEAD74"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Not reported</w:t>
            </w:r>
          </w:p>
        </w:tc>
        <w:tc>
          <w:tcPr>
            <w:tcW w:w="0" w:type="auto"/>
            <w:hideMark/>
          </w:tcPr>
          <w:p w14:paraId="49812BD5"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High global burden; recovery quality determines DALY impact</w:t>
            </w:r>
          </w:p>
        </w:tc>
        <w:tc>
          <w:tcPr>
            <w:tcW w:w="0" w:type="auto"/>
            <w:hideMark/>
          </w:tcPr>
          <w:p w14:paraId="7B7B6B68"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[1]</w:t>
            </w:r>
          </w:p>
        </w:tc>
      </w:tr>
      <w:tr w:rsidR="004F26CC" w:rsidRPr="00045DFA" w14:paraId="49E6D160" w14:textId="77777777" w:rsidTr="004F26CC">
        <w:tc>
          <w:tcPr>
            <w:tcW w:w="0" w:type="auto"/>
            <w:hideMark/>
          </w:tcPr>
          <w:p w14:paraId="1AE34A80"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Meara et al., 2015</w:t>
            </w:r>
          </w:p>
        </w:tc>
        <w:tc>
          <w:tcPr>
            <w:tcW w:w="0" w:type="auto"/>
            <w:hideMark/>
          </w:tcPr>
          <w:p w14:paraId="1CADC3E7"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Global</w:t>
            </w:r>
          </w:p>
        </w:tc>
        <w:tc>
          <w:tcPr>
            <w:tcW w:w="0" w:type="auto"/>
            <w:hideMark/>
          </w:tcPr>
          <w:p w14:paraId="51413F9F"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18M deaths from surgical conditions annually</w:t>
            </w:r>
          </w:p>
        </w:tc>
        <w:tc>
          <w:tcPr>
            <w:tcW w:w="0" w:type="auto"/>
            <w:hideMark/>
          </w:tcPr>
          <w:p w14:paraId="4F329446"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&lt;2 LIC vs &gt;35–40 HIC</w:t>
            </w:r>
          </w:p>
        </w:tc>
        <w:tc>
          <w:tcPr>
            <w:tcW w:w="0" w:type="auto"/>
            <w:hideMark/>
          </w:tcPr>
          <w:p w14:paraId="626F0F47"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&lt;1 LIC vs &gt;20 HIC</w:t>
            </w:r>
          </w:p>
        </w:tc>
        <w:tc>
          <w:tcPr>
            <w:tcW w:w="0" w:type="auto"/>
            <w:hideMark/>
          </w:tcPr>
          <w:p w14:paraId="59AA0C6E"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Not reported</w:t>
            </w:r>
          </w:p>
        </w:tc>
        <w:tc>
          <w:tcPr>
            <w:tcW w:w="0" w:type="auto"/>
            <w:hideMark/>
          </w:tcPr>
          <w:p w14:paraId="6BABB88B"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Surgical access often &gt;24h delayed</w:t>
            </w:r>
          </w:p>
        </w:tc>
        <w:tc>
          <w:tcPr>
            <w:tcW w:w="0" w:type="auto"/>
            <w:hideMark/>
          </w:tcPr>
          <w:p w14:paraId="35D38B82"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Emergency surgery delays common</w:t>
            </w:r>
          </w:p>
        </w:tc>
        <w:tc>
          <w:tcPr>
            <w:tcW w:w="0" w:type="auto"/>
            <w:hideMark/>
          </w:tcPr>
          <w:p w14:paraId="0F9BB9FE"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Fixation delayed due to access</w:t>
            </w:r>
          </w:p>
        </w:tc>
        <w:tc>
          <w:tcPr>
            <w:tcW w:w="0" w:type="auto"/>
            <w:hideMark/>
          </w:tcPr>
          <w:p w14:paraId="643B0EDA"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Not reported</w:t>
            </w:r>
          </w:p>
        </w:tc>
        <w:tc>
          <w:tcPr>
            <w:tcW w:w="0" w:type="auto"/>
            <w:hideMark/>
          </w:tcPr>
          <w:p w14:paraId="48B5A945"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&gt;90% trauma deaths in LMIC</w:t>
            </w:r>
          </w:p>
        </w:tc>
        <w:tc>
          <w:tcPr>
            <w:tcW w:w="0" w:type="auto"/>
            <w:hideMark/>
          </w:tcPr>
          <w:p w14:paraId="7C2BA15E"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Workforce &amp; ICU scarcity limit rescue capacity</w:t>
            </w:r>
          </w:p>
        </w:tc>
        <w:tc>
          <w:tcPr>
            <w:tcW w:w="0" w:type="auto"/>
            <w:hideMark/>
          </w:tcPr>
          <w:p w14:paraId="30DA832B"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[2]</w:t>
            </w:r>
          </w:p>
        </w:tc>
      </w:tr>
      <w:tr w:rsidR="004F26CC" w:rsidRPr="00045DFA" w14:paraId="4BA4678E" w14:textId="77777777" w:rsidTr="004F26CC">
        <w:tc>
          <w:tcPr>
            <w:tcW w:w="0" w:type="auto"/>
            <w:hideMark/>
          </w:tcPr>
          <w:p w14:paraId="36FB3807"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lastRenderedPageBreak/>
              <w:t>Holmer et al., 2015</w:t>
            </w:r>
          </w:p>
        </w:tc>
        <w:tc>
          <w:tcPr>
            <w:tcW w:w="0" w:type="auto"/>
            <w:hideMark/>
          </w:tcPr>
          <w:p w14:paraId="5EA12A73"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Global</w:t>
            </w:r>
          </w:p>
        </w:tc>
        <w:tc>
          <w:tcPr>
            <w:tcW w:w="0" w:type="auto"/>
            <w:hideMark/>
          </w:tcPr>
          <w:p w14:paraId="67E669AC"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0D70DAE8"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Median 0.7–2 LIC vs 35–40 HIC</w:t>
            </w:r>
          </w:p>
        </w:tc>
        <w:tc>
          <w:tcPr>
            <w:tcW w:w="0" w:type="auto"/>
            <w:hideMark/>
          </w:tcPr>
          <w:p w14:paraId="3D8AAD94"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Correlates with surgeon density</w:t>
            </w:r>
          </w:p>
        </w:tc>
        <w:tc>
          <w:tcPr>
            <w:tcW w:w="0" w:type="auto"/>
            <w:hideMark/>
          </w:tcPr>
          <w:p w14:paraId="0C31E28E"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70CD289E"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Workforce density affects access</w:t>
            </w:r>
          </w:p>
        </w:tc>
        <w:tc>
          <w:tcPr>
            <w:tcW w:w="0" w:type="auto"/>
            <w:hideMark/>
          </w:tcPr>
          <w:p w14:paraId="099C16BC"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4420DBF9"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Delayed fixation in low-density areas</w:t>
            </w:r>
          </w:p>
        </w:tc>
        <w:tc>
          <w:tcPr>
            <w:tcW w:w="0" w:type="auto"/>
            <w:hideMark/>
          </w:tcPr>
          <w:p w14:paraId="3BA3C9B5"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157DEDF6"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1B1EBB9A"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Surgeon density directly affects time to definitive care</w:t>
            </w:r>
          </w:p>
        </w:tc>
        <w:tc>
          <w:tcPr>
            <w:tcW w:w="0" w:type="auto"/>
            <w:hideMark/>
          </w:tcPr>
          <w:p w14:paraId="050FD67F"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[11]</w:t>
            </w:r>
          </w:p>
        </w:tc>
      </w:tr>
      <w:tr w:rsidR="004F26CC" w:rsidRPr="00045DFA" w14:paraId="2D9CD1E2" w14:textId="77777777" w:rsidTr="004F26CC">
        <w:tc>
          <w:tcPr>
            <w:tcW w:w="0" w:type="auto"/>
            <w:hideMark/>
          </w:tcPr>
          <w:p w14:paraId="7D258CDF"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Kempthorne et al., 2017</w:t>
            </w:r>
          </w:p>
        </w:tc>
        <w:tc>
          <w:tcPr>
            <w:tcW w:w="0" w:type="auto"/>
            <w:hideMark/>
          </w:tcPr>
          <w:p w14:paraId="249A427F"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LIC review</w:t>
            </w:r>
          </w:p>
        </w:tc>
        <w:tc>
          <w:tcPr>
            <w:tcW w:w="0" w:type="auto"/>
            <w:hideMark/>
          </w:tcPr>
          <w:p w14:paraId="4CF5C2CD"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Higher case fatality in ICU-limited settings</w:t>
            </w:r>
          </w:p>
        </w:tc>
        <w:tc>
          <w:tcPr>
            <w:tcW w:w="0" w:type="auto"/>
            <w:hideMark/>
          </w:tcPr>
          <w:p w14:paraId="0B3F02F3"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0B60DAE7"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Often &lt;1 LIC vs &gt;20 HIC</w:t>
            </w:r>
          </w:p>
        </w:tc>
        <w:tc>
          <w:tcPr>
            <w:tcW w:w="0" w:type="auto"/>
            <w:hideMark/>
          </w:tcPr>
          <w:p w14:paraId="1DBA935B"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Ventilators scarce</w:t>
            </w:r>
          </w:p>
        </w:tc>
        <w:tc>
          <w:tcPr>
            <w:tcW w:w="0" w:type="auto"/>
            <w:hideMark/>
          </w:tcPr>
          <w:p w14:paraId="19B3CFD2"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ICU admission delayed</w:t>
            </w:r>
          </w:p>
        </w:tc>
        <w:tc>
          <w:tcPr>
            <w:tcW w:w="0" w:type="auto"/>
            <w:hideMark/>
          </w:tcPr>
          <w:p w14:paraId="223862E3"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68366FC3"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0B6A68C1"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Increased mortality when ICU unavailable</w:t>
            </w:r>
          </w:p>
        </w:tc>
        <w:tc>
          <w:tcPr>
            <w:tcW w:w="0" w:type="auto"/>
            <w:hideMark/>
          </w:tcPr>
          <w:p w14:paraId="0C417095"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4588CE02"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ICU scarcity drives late postoperative death</w:t>
            </w:r>
          </w:p>
        </w:tc>
        <w:tc>
          <w:tcPr>
            <w:tcW w:w="0" w:type="auto"/>
            <w:hideMark/>
          </w:tcPr>
          <w:p w14:paraId="2C540050"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[12]</w:t>
            </w:r>
          </w:p>
        </w:tc>
      </w:tr>
      <w:tr w:rsidR="004F26CC" w:rsidRPr="00045DFA" w14:paraId="251CCD7E" w14:textId="77777777" w:rsidTr="004F26CC">
        <w:tc>
          <w:tcPr>
            <w:tcW w:w="0" w:type="auto"/>
            <w:hideMark/>
          </w:tcPr>
          <w:p w14:paraId="742C9640"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Murthy et al., 2015</w:t>
            </w:r>
          </w:p>
        </w:tc>
        <w:tc>
          <w:tcPr>
            <w:tcW w:w="0" w:type="auto"/>
            <w:hideMark/>
          </w:tcPr>
          <w:p w14:paraId="6D8D1C91"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Global</w:t>
            </w:r>
          </w:p>
        </w:tc>
        <w:tc>
          <w:tcPr>
            <w:tcW w:w="0" w:type="auto"/>
            <w:hideMark/>
          </w:tcPr>
          <w:p w14:paraId="598DE8AD"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34241462"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672EBDC7"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073374C1"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&lt;5 LIC vs &gt;200 HIC</w:t>
            </w:r>
          </w:p>
        </w:tc>
        <w:tc>
          <w:tcPr>
            <w:tcW w:w="0" w:type="auto"/>
            <w:hideMark/>
          </w:tcPr>
          <w:p w14:paraId="5C12D472"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596D0C6E"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4782AAD5"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7AE0832B"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ARDS survival dependent on ventilation</w:t>
            </w:r>
          </w:p>
        </w:tc>
        <w:tc>
          <w:tcPr>
            <w:tcW w:w="0" w:type="auto"/>
            <w:hideMark/>
          </w:tcPr>
          <w:p w14:paraId="12150801"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4BE0B9BF"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Ventilator scarcity limits pulmonary rescue</w:t>
            </w:r>
          </w:p>
        </w:tc>
        <w:tc>
          <w:tcPr>
            <w:tcW w:w="0" w:type="auto"/>
            <w:hideMark/>
          </w:tcPr>
          <w:p w14:paraId="0742B4C0"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[13]</w:t>
            </w:r>
          </w:p>
        </w:tc>
      </w:tr>
      <w:tr w:rsidR="004F26CC" w:rsidRPr="00045DFA" w14:paraId="7BE5EA7A" w14:textId="77777777" w:rsidTr="004F26CC">
        <w:tc>
          <w:tcPr>
            <w:tcW w:w="0" w:type="auto"/>
            <w:hideMark/>
          </w:tcPr>
          <w:p w14:paraId="5D0426E6"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Mock et al., 1998</w:t>
            </w:r>
          </w:p>
        </w:tc>
        <w:tc>
          <w:tcPr>
            <w:tcW w:w="0" w:type="auto"/>
            <w:hideMark/>
          </w:tcPr>
          <w:p w14:paraId="03553461"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USA vs Ghana vs Mexico</w:t>
            </w:r>
          </w:p>
        </w:tc>
        <w:tc>
          <w:tcPr>
            <w:tcW w:w="0" w:type="auto"/>
            <w:hideMark/>
          </w:tcPr>
          <w:p w14:paraId="76C71326"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6–8% HIC vs ~35% low-resource</w:t>
            </w:r>
          </w:p>
        </w:tc>
        <w:tc>
          <w:tcPr>
            <w:tcW w:w="0" w:type="auto"/>
            <w:hideMark/>
          </w:tcPr>
          <w:p w14:paraId="4E369590"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Lower trained workforce</w:t>
            </w:r>
          </w:p>
        </w:tc>
        <w:tc>
          <w:tcPr>
            <w:tcW w:w="0" w:type="auto"/>
            <w:hideMark/>
          </w:tcPr>
          <w:p w14:paraId="1F14905A"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Limited ICU beds</w:t>
            </w:r>
          </w:p>
        </w:tc>
        <w:tc>
          <w:tcPr>
            <w:tcW w:w="0" w:type="auto"/>
            <w:hideMark/>
          </w:tcPr>
          <w:p w14:paraId="72F29AC5"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Limited ventilators</w:t>
            </w:r>
          </w:p>
        </w:tc>
        <w:tc>
          <w:tcPr>
            <w:tcW w:w="0" w:type="auto"/>
            <w:hideMark/>
          </w:tcPr>
          <w:p w14:paraId="60285BBE"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Delayed arrival common</w:t>
            </w:r>
          </w:p>
        </w:tc>
        <w:tc>
          <w:tcPr>
            <w:tcW w:w="0" w:type="auto"/>
            <w:hideMark/>
          </w:tcPr>
          <w:p w14:paraId="075482AF"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Delayed definitive surgery</w:t>
            </w:r>
          </w:p>
        </w:tc>
        <w:tc>
          <w:tcPr>
            <w:tcW w:w="0" w:type="auto"/>
            <w:hideMark/>
          </w:tcPr>
          <w:p w14:paraId="50263450"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Not specified</w:t>
            </w:r>
          </w:p>
        </w:tc>
        <w:tc>
          <w:tcPr>
            <w:tcW w:w="0" w:type="auto"/>
            <w:hideMark/>
          </w:tcPr>
          <w:p w14:paraId="64B1B880"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110005BB"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4–5× mortality gap</w:t>
            </w:r>
          </w:p>
        </w:tc>
        <w:tc>
          <w:tcPr>
            <w:tcW w:w="0" w:type="auto"/>
            <w:hideMark/>
          </w:tcPr>
          <w:p w14:paraId="48E89ABE"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System maturity influences late survival</w:t>
            </w:r>
          </w:p>
        </w:tc>
        <w:tc>
          <w:tcPr>
            <w:tcW w:w="0" w:type="auto"/>
            <w:hideMark/>
          </w:tcPr>
          <w:p w14:paraId="1E8553A0"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[3]</w:t>
            </w:r>
          </w:p>
        </w:tc>
      </w:tr>
      <w:tr w:rsidR="004F26CC" w:rsidRPr="00045DFA" w14:paraId="401BB27F" w14:textId="77777777" w:rsidTr="004F26CC">
        <w:tc>
          <w:tcPr>
            <w:tcW w:w="0" w:type="auto"/>
            <w:hideMark/>
          </w:tcPr>
          <w:p w14:paraId="3E6143DB"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Stewart et al., 2014</w:t>
            </w:r>
          </w:p>
        </w:tc>
        <w:tc>
          <w:tcPr>
            <w:tcW w:w="0" w:type="auto"/>
            <w:hideMark/>
          </w:tcPr>
          <w:p w14:paraId="3474F403"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LMIC systematic review</w:t>
            </w:r>
          </w:p>
        </w:tc>
        <w:tc>
          <w:tcPr>
            <w:tcW w:w="0" w:type="auto"/>
            <w:hideMark/>
          </w:tcPr>
          <w:p w14:paraId="05C1ED90"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13–25% LMIC vs &lt;10% HIC</w:t>
            </w:r>
          </w:p>
        </w:tc>
        <w:tc>
          <w:tcPr>
            <w:tcW w:w="0" w:type="auto"/>
            <w:hideMark/>
          </w:tcPr>
          <w:p w14:paraId="7BC351F3"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Workforce shortages</w:t>
            </w:r>
          </w:p>
        </w:tc>
        <w:tc>
          <w:tcPr>
            <w:tcW w:w="0" w:type="auto"/>
            <w:hideMark/>
          </w:tcPr>
          <w:p w14:paraId="0F2BD0AA"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ICU admission &lt;10% trauma pts</w:t>
            </w:r>
          </w:p>
        </w:tc>
        <w:tc>
          <w:tcPr>
            <w:tcW w:w="0" w:type="auto"/>
            <w:hideMark/>
          </w:tcPr>
          <w:p w14:paraId="1EF0C720"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1613E767"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Transport delays &gt;2h</w:t>
            </w:r>
          </w:p>
        </w:tc>
        <w:tc>
          <w:tcPr>
            <w:tcW w:w="0" w:type="auto"/>
            <w:hideMark/>
          </w:tcPr>
          <w:p w14:paraId="14A1068E"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Surgical delay frequent</w:t>
            </w:r>
          </w:p>
        </w:tc>
        <w:tc>
          <w:tcPr>
            <w:tcW w:w="0" w:type="auto"/>
            <w:hideMark/>
          </w:tcPr>
          <w:p w14:paraId="0085288B"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0F70FD65"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7CB5B533"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~2× mortality disparity</w:t>
            </w:r>
          </w:p>
        </w:tc>
        <w:tc>
          <w:tcPr>
            <w:tcW w:w="0" w:type="auto"/>
            <w:hideMark/>
          </w:tcPr>
          <w:p w14:paraId="61F562FE"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Monitoring gaps worsen outcomes</w:t>
            </w:r>
          </w:p>
        </w:tc>
        <w:tc>
          <w:tcPr>
            <w:tcW w:w="0" w:type="auto"/>
            <w:hideMark/>
          </w:tcPr>
          <w:p w14:paraId="1DE39D71"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[4]</w:t>
            </w:r>
          </w:p>
        </w:tc>
      </w:tr>
      <w:tr w:rsidR="004F26CC" w:rsidRPr="00045DFA" w14:paraId="46962FBB" w14:textId="77777777" w:rsidTr="004F26CC">
        <w:tc>
          <w:tcPr>
            <w:tcW w:w="0" w:type="auto"/>
            <w:hideMark/>
          </w:tcPr>
          <w:p w14:paraId="019B7FB1"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Kobusingye &amp; Hyder, 2020</w:t>
            </w:r>
          </w:p>
        </w:tc>
        <w:tc>
          <w:tcPr>
            <w:tcW w:w="0" w:type="auto"/>
            <w:hideMark/>
          </w:tcPr>
          <w:p w14:paraId="457E5CB4"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Sub-Saharan Africa</w:t>
            </w:r>
          </w:p>
        </w:tc>
        <w:tc>
          <w:tcPr>
            <w:tcW w:w="0" w:type="auto"/>
            <w:hideMark/>
          </w:tcPr>
          <w:p w14:paraId="1BB73019"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High young adult mortality</w:t>
            </w:r>
          </w:p>
        </w:tc>
        <w:tc>
          <w:tcPr>
            <w:tcW w:w="0" w:type="auto"/>
            <w:hideMark/>
          </w:tcPr>
          <w:p w14:paraId="5DBCF1B1"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Workforce scarcity</w:t>
            </w:r>
          </w:p>
        </w:tc>
        <w:tc>
          <w:tcPr>
            <w:tcW w:w="0" w:type="auto"/>
            <w:hideMark/>
          </w:tcPr>
          <w:p w14:paraId="3490FF80"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ICU limited</w:t>
            </w:r>
          </w:p>
        </w:tc>
        <w:tc>
          <w:tcPr>
            <w:tcW w:w="0" w:type="auto"/>
            <w:hideMark/>
          </w:tcPr>
          <w:p w14:paraId="39A69011"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45F1A95A"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Prehospital delay &gt;2–6h</w:t>
            </w:r>
          </w:p>
        </w:tc>
        <w:tc>
          <w:tcPr>
            <w:tcW w:w="0" w:type="auto"/>
            <w:hideMark/>
          </w:tcPr>
          <w:p w14:paraId="62FABEFB"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Delayed surgical access</w:t>
            </w:r>
          </w:p>
        </w:tc>
        <w:tc>
          <w:tcPr>
            <w:tcW w:w="0" w:type="auto"/>
            <w:hideMark/>
          </w:tcPr>
          <w:p w14:paraId="487D827E"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1203F76A"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3D37569B"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High preventable mortality</w:t>
            </w:r>
          </w:p>
        </w:tc>
        <w:tc>
          <w:tcPr>
            <w:tcW w:w="0" w:type="auto"/>
            <w:hideMark/>
          </w:tcPr>
          <w:p w14:paraId="0F023B86"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Delayed physiologic stabilisation worsens recovery</w:t>
            </w:r>
          </w:p>
        </w:tc>
        <w:tc>
          <w:tcPr>
            <w:tcW w:w="0" w:type="auto"/>
            <w:hideMark/>
          </w:tcPr>
          <w:p w14:paraId="63B23488"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[52]</w:t>
            </w:r>
          </w:p>
        </w:tc>
      </w:tr>
      <w:tr w:rsidR="004F26CC" w:rsidRPr="00045DFA" w14:paraId="2B1D6696" w14:textId="77777777" w:rsidTr="004F26CC">
        <w:tc>
          <w:tcPr>
            <w:tcW w:w="0" w:type="auto"/>
            <w:hideMark/>
          </w:tcPr>
          <w:p w14:paraId="0AB1E91C"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Clarke et al., 2002</w:t>
            </w:r>
          </w:p>
        </w:tc>
        <w:tc>
          <w:tcPr>
            <w:tcW w:w="0" w:type="auto"/>
            <w:hideMark/>
          </w:tcPr>
          <w:p w14:paraId="66489848"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 xml:space="preserve">US trauma </w:t>
            </w:r>
            <w:proofErr w:type="spellStart"/>
            <w:r w:rsidRPr="00045DFA">
              <w:rPr>
                <w:rFonts w:asciiTheme="majorHAnsi" w:hAnsiTheme="majorHAnsi" w:cs="Times New Roman"/>
                <w:sz w:val="20"/>
                <w:szCs w:val="20"/>
              </w:rPr>
              <w:lastRenderedPageBreak/>
              <w:t>centers</w:t>
            </w:r>
            <w:proofErr w:type="spellEnd"/>
          </w:p>
        </w:tc>
        <w:tc>
          <w:tcPr>
            <w:tcW w:w="0" w:type="auto"/>
            <w:hideMark/>
          </w:tcPr>
          <w:p w14:paraId="0A06FC71"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lastRenderedPageBreak/>
              <w:t xml:space="preserve">Mortality rises when </w:t>
            </w:r>
            <w:r w:rsidRPr="00045DFA">
              <w:rPr>
                <w:rFonts w:asciiTheme="majorHAnsi" w:hAnsiTheme="majorHAnsi" w:cs="Times New Roman"/>
                <w:sz w:val="20"/>
                <w:szCs w:val="20"/>
              </w:rPr>
              <w:lastRenderedPageBreak/>
              <w:t>laparotomy &gt;3h</w:t>
            </w:r>
          </w:p>
        </w:tc>
        <w:tc>
          <w:tcPr>
            <w:tcW w:w="0" w:type="auto"/>
            <w:hideMark/>
          </w:tcPr>
          <w:p w14:paraId="490F3F4F"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lastRenderedPageBreak/>
              <w:t>N/A</w:t>
            </w:r>
          </w:p>
        </w:tc>
        <w:tc>
          <w:tcPr>
            <w:tcW w:w="0" w:type="auto"/>
            <w:hideMark/>
          </w:tcPr>
          <w:p w14:paraId="68FCA5BE"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ICU available</w:t>
            </w:r>
          </w:p>
        </w:tc>
        <w:tc>
          <w:tcPr>
            <w:tcW w:w="0" w:type="auto"/>
            <w:hideMark/>
          </w:tcPr>
          <w:p w14:paraId="3F6F6761"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2FDDC9A8"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6A8E0E91"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&gt;3h delay increa</w:t>
            </w:r>
            <w:r w:rsidRPr="00045DFA">
              <w:rPr>
                <w:rFonts w:asciiTheme="majorHAnsi" w:hAnsiTheme="majorHAnsi" w:cs="Times New Roman"/>
                <w:sz w:val="20"/>
                <w:szCs w:val="20"/>
              </w:rPr>
              <w:lastRenderedPageBreak/>
              <w:t>ses mortality</w:t>
            </w:r>
          </w:p>
        </w:tc>
        <w:tc>
          <w:tcPr>
            <w:tcW w:w="0" w:type="auto"/>
            <w:hideMark/>
          </w:tcPr>
          <w:p w14:paraId="66D1B707"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lastRenderedPageBreak/>
              <w:t>N/A</w:t>
            </w:r>
          </w:p>
        </w:tc>
        <w:tc>
          <w:tcPr>
            <w:tcW w:w="0" w:type="auto"/>
            <w:hideMark/>
          </w:tcPr>
          <w:p w14:paraId="16676608"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17C1F642"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0711020B"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Time-to-laparot</w:t>
            </w:r>
            <w:r w:rsidRPr="00045DFA">
              <w:rPr>
                <w:rFonts w:asciiTheme="majorHAnsi" w:hAnsiTheme="majorHAnsi" w:cs="Times New Roman"/>
                <w:sz w:val="20"/>
                <w:szCs w:val="20"/>
              </w:rPr>
              <w:lastRenderedPageBreak/>
              <w:t>omy critical determinant</w:t>
            </w:r>
          </w:p>
        </w:tc>
        <w:tc>
          <w:tcPr>
            <w:tcW w:w="0" w:type="auto"/>
            <w:hideMark/>
          </w:tcPr>
          <w:p w14:paraId="32881F16"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lastRenderedPageBreak/>
              <w:t>[14]</w:t>
            </w:r>
          </w:p>
        </w:tc>
      </w:tr>
      <w:tr w:rsidR="004F26CC" w:rsidRPr="00045DFA" w14:paraId="49171D1C" w14:textId="77777777" w:rsidTr="004F26CC">
        <w:tc>
          <w:tcPr>
            <w:tcW w:w="0" w:type="auto"/>
            <w:hideMark/>
          </w:tcPr>
          <w:p w14:paraId="21F548EF"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CRASH-2, 2010</w:t>
            </w:r>
          </w:p>
        </w:tc>
        <w:tc>
          <w:tcPr>
            <w:tcW w:w="0" w:type="auto"/>
            <w:hideMark/>
          </w:tcPr>
          <w:p w14:paraId="59FBB464"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Global trauma</w:t>
            </w:r>
          </w:p>
        </w:tc>
        <w:tc>
          <w:tcPr>
            <w:tcW w:w="0" w:type="auto"/>
            <w:hideMark/>
          </w:tcPr>
          <w:p w14:paraId="284449AE"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TXA benefit reduced if &gt;3h delay</w:t>
            </w:r>
          </w:p>
        </w:tc>
        <w:tc>
          <w:tcPr>
            <w:tcW w:w="0" w:type="auto"/>
            <w:hideMark/>
          </w:tcPr>
          <w:p w14:paraId="5ECB5A85"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3A5C9701"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Variable ICU access</w:t>
            </w:r>
          </w:p>
        </w:tc>
        <w:tc>
          <w:tcPr>
            <w:tcW w:w="0" w:type="auto"/>
            <w:hideMark/>
          </w:tcPr>
          <w:p w14:paraId="0D19D06B"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325D3E30"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Early TXA &lt;3h improves survival</w:t>
            </w:r>
          </w:p>
        </w:tc>
        <w:tc>
          <w:tcPr>
            <w:tcW w:w="0" w:type="auto"/>
            <w:hideMark/>
          </w:tcPr>
          <w:p w14:paraId="3E277C72"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Delay &gt;3h reduces benefit</w:t>
            </w:r>
          </w:p>
        </w:tc>
        <w:tc>
          <w:tcPr>
            <w:tcW w:w="0" w:type="auto"/>
            <w:hideMark/>
          </w:tcPr>
          <w:p w14:paraId="0BDE066C"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5FA90B04"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7318719D"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0BCB9A16"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Time-sensitive trauma management essential</w:t>
            </w:r>
          </w:p>
        </w:tc>
        <w:tc>
          <w:tcPr>
            <w:tcW w:w="0" w:type="auto"/>
            <w:hideMark/>
          </w:tcPr>
          <w:p w14:paraId="1CE2EFD2"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[51]</w:t>
            </w:r>
          </w:p>
        </w:tc>
      </w:tr>
      <w:tr w:rsidR="004F26CC" w:rsidRPr="00045DFA" w14:paraId="69CA66AF" w14:textId="77777777" w:rsidTr="004F26CC">
        <w:tc>
          <w:tcPr>
            <w:tcW w:w="0" w:type="auto"/>
            <w:hideMark/>
          </w:tcPr>
          <w:p w14:paraId="16C4A280"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Vallier et al., 2013</w:t>
            </w:r>
          </w:p>
        </w:tc>
        <w:tc>
          <w:tcPr>
            <w:tcW w:w="0" w:type="auto"/>
            <w:hideMark/>
          </w:tcPr>
          <w:p w14:paraId="109ACE7C"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Polytrauma fixation</w:t>
            </w:r>
          </w:p>
        </w:tc>
        <w:tc>
          <w:tcPr>
            <w:tcW w:w="0" w:type="auto"/>
            <w:hideMark/>
          </w:tcPr>
          <w:p w14:paraId="1DF0378D"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Early fixation &lt;24h reduces pulmonary complications</w:t>
            </w:r>
          </w:p>
        </w:tc>
        <w:tc>
          <w:tcPr>
            <w:tcW w:w="0" w:type="auto"/>
            <w:hideMark/>
          </w:tcPr>
          <w:p w14:paraId="238FE129"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Requires orthopaedic capacity</w:t>
            </w:r>
          </w:p>
        </w:tc>
        <w:tc>
          <w:tcPr>
            <w:tcW w:w="0" w:type="auto"/>
            <w:hideMark/>
          </w:tcPr>
          <w:p w14:paraId="61BD9991"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ICU required</w:t>
            </w:r>
          </w:p>
        </w:tc>
        <w:tc>
          <w:tcPr>
            <w:tcW w:w="0" w:type="auto"/>
            <w:hideMark/>
          </w:tcPr>
          <w:p w14:paraId="41B927F1"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773E2156"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2591E9D0"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69C396EB"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&gt;48–72h delay increases complications</w:t>
            </w:r>
          </w:p>
        </w:tc>
        <w:tc>
          <w:tcPr>
            <w:tcW w:w="0" w:type="auto"/>
            <w:hideMark/>
          </w:tcPr>
          <w:p w14:paraId="0F81A4B8"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Reduced ARDS</w:t>
            </w:r>
          </w:p>
        </w:tc>
        <w:tc>
          <w:tcPr>
            <w:tcW w:w="0" w:type="auto"/>
            <w:hideMark/>
          </w:tcPr>
          <w:p w14:paraId="7B98D72B"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318392E5"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Fixation timing affects pulmonary recovery</w:t>
            </w:r>
          </w:p>
        </w:tc>
        <w:tc>
          <w:tcPr>
            <w:tcW w:w="0" w:type="auto"/>
            <w:hideMark/>
          </w:tcPr>
          <w:p w14:paraId="1FA721DA"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[17]</w:t>
            </w:r>
          </w:p>
        </w:tc>
      </w:tr>
      <w:tr w:rsidR="004F26CC" w:rsidRPr="00045DFA" w14:paraId="1674969A" w14:textId="77777777" w:rsidTr="004F26CC">
        <w:tc>
          <w:tcPr>
            <w:tcW w:w="0" w:type="auto"/>
            <w:hideMark/>
          </w:tcPr>
          <w:p w14:paraId="14D23426"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Brundage et al., 2002</w:t>
            </w:r>
          </w:p>
        </w:tc>
        <w:tc>
          <w:tcPr>
            <w:tcW w:w="0" w:type="auto"/>
            <w:hideMark/>
          </w:tcPr>
          <w:p w14:paraId="5F2750D9"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Femur fractures</w:t>
            </w:r>
          </w:p>
        </w:tc>
        <w:tc>
          <w:tcPr>
            <w:tcW w:w="0" w:type="auto"/>
            <w:hideMark/>
          </w:tcPr>
          <w:p w14:paraId="025573C5"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Delayed fixation &gt;48h ↑ pulmonary complications</w:t>
            </w:r>
          </w:p>
        </w:tc>
        <w:tc>
          <w:tcPr>
            <w:tcW w:w="0" w:type="auto"/>
            <w:hideMark/>
          </w:tcPr>
          <w:p w14:paraId="2347055D"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76A58E7C"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ICU dependent</w:t>
            </w:r>
          </w:p>
        </w:tc>
        <w:tc>
          <w:tcPr>
            <w:tcW w:w="0" w:type="auto"/>
            <w:hideMark/>
          </w:tcPr>
          <w:p w14:paraId="485829C0"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79468A95"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223F5C2F"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73C039D5"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Median delay &gt;48h increases ARDS risk</w:t>
            </w:r>
          </w:p>
        </w:tc>
        <w:tc>
          <w:tcPr>
            <w:tcW w:w="0" w:type="auto"/>
            <w:hideMark/>
          </w:tcPr>
          <w:p w14:paraId="30779A83"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ARDS increased</w:t>
            </w:r>
          </w:p>
        </w:tc>
        <w:tc>
          <w:tcPr>
            <w:tcW w:w="0" w:type="auto"/>
            <w:hideMark/>
          </w:tcPr>
          <w:p w14:paraId="776F706C"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0938E177"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Delayed stabilisation worsens lung outcomes</w:t>
            </w:r>
          </w:p>
        </w:tc>
        <w:tc>
          <w:tcPr>
            <w:tcW w:w="0" w:type="auto"/>
            <w:hideMark/>
          </w:tcPr>
          <w:p w14:paraId="662E3A04"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[43]</w:t>
            </w:r>
          </w:p>
        </w:tc>
      </w:tr>
      <w:tr w:rsidR="004F26CC" w:rsidRPr="00045DFA" w14:paraId="7E1BEF7D" w14:textId="77777777" w:rsidTr="004F26CC">
        <w:tc>
          <w:tcPr>
            <w:tcW w:w="0" w:type="auto"/>
            <w:hideMark/>
          </w:tcPr>
          <w:p w14:paraId="11C2620C"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Pape et al., 2002</w:t>
            </w:r>
          </w:p>
        </w:tc>
        <w:tc>
          <w:tcPr>
            <w:tcW w:w="0" w:type="auto"/>
            <w:hideMark/>
          </w:tcPr>
          <w:p w14:paraId="69382080"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Polytrauma</w:t>
            </w:r>
          </w:p>
        </w:tc>
        <w:tc>
          <w:tcPr>
            <w:tcW w:w="0" w:type="auto"/>
            <w:hideMark/>
          </w:tcPr>
          <w:p w14:paraId="2943CCE8"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MOF major late mortality (~20–30%)</w:t>
            </w:r>
          </w:p>
        </w:tc>
        <w:tc>
          <w:tcPr>
            <w:tcW w:w="0" w:type="auto"/>
            <w:hideMark/>
          </w:tcPr>
          <w:p w14:paraId="2918A42B"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315ECED4"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ICU essential</w:t>
            </w:r>
          </w:p>
        </w:tc>
        <w:tc>
          <w:tcPr>
            <w:tcW w:w="0" w:type="auto"/>
            <w:hideMark/>
          </w:tcPr>
          <w:p w14:paraId="1D316040"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Ventilator-dependent</w:t>
            </w:r>
          </w:p>
        </w:tc>
        <w:tc>
          <w:tcPr>
            <w:tcW w:w="0" w:type="auto"/>
            <w:hideMark/>
          </w:tcPr>
          <w:p w14:paraId="0A464ACC"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45B03BE4"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14F6741F"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Mistimed fixation amplifies inflammation</w:t>
            </w:r>
          </w:p>
        </w:tc>
        <w:tc>
          <w:tcPr>
            <w:tcW w:w="0" w:type="auto"/>
            <w:hideMark/>
          </w:tcPr>
          <w:p w14:paraId="4DD17804"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MOF 20–30%</w:t>
            </w:r>
          </w:p>
        </w:tc>
        <w:tc>
          <w:tcPr>
            <w:tcW w:w="0" w:type="auto"/>
            <w:hideMark/>
          </w:tcPr>
          <w:p w14:paraId="77F6187A"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3715F728"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Second-hit phenomenon critical</w:t>
            </w:r>
          </w:p>
        </w:tc>
        <w:tc>
          <w:tcPr>
            <w:tcW w:w="0" w:type="auto"/>
            <w:hideMark/>
          </w:tcPr>
          <w:p w14:paraId="60B796AA"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[8]</w:t>
            </w:r>
          </w:p>
        </w:tc>
      </w:tr>
      <w:tr w:rsidR="004F26CC" w:rsidRPr="00045DFA" w14:paraId="06FB314B" w14:textId="77777777" w:rsidTr="004F26CC">
        <w:tc>
          <w:tcPr>
            <w:tcW w:w="0" w:type="auto"/>
            <w:hideMark/>
          </w:tcPr>
          <w:p w14:paraId="10BF98A8" w14:textId="77777777" w:rsidR="004F26CC" w:rsidRPr="00045DFA" w:rsidRDefault="004F26CC" w:rsidP="004F26CC">
            <w:pPr>
              <w:spacing w:line="276" w:lineRule="auto"/>
              <w:rPr>
                <w:rFonts w:asciiTheme="majorHAnsi" w:hAnsiTheme="majorHAnsi" w:cs="Times New Roman"/>
                <w:sz w:val="20"/>
                <w:szCs w:val="20"/>
              </w:rPr>
            </w:pPr>
            <w:proofErr w:type="spellStart"/>
            <w:r w:rsidRPr="00045DFA">
              <w:rPr>
                <w:rFonts w:asciiTheme="majorHAnsi" w:hAnsiTheme="majorHAnsi" w:cs="Times New Roman"/>
                <w:sz w:val="20"/>
                <w:szCs w:val="20"/>
              </w:rPr>
              <w:t>Sauaia</w:t>
            </w:r>
            <w:proofErr w:type="spellEnd"/>
            <w:r w:rsidRPr="00045DFA">
              <w:rPr>
                <w:rFonts w:asciiTheme="majorHAnsi" w:hAnsiTheme="majorHAnsi" w:cs="Times New Roman"/>
                <w:sz w:val="20"/>
                <w:szCs w:val="20"/>
              </w:rPr>
              <w:t xml:space="preserve"> et al., 1995</w:t>
            </w:r>
          </w:p>
        </w:tc>
        <w:tc>
          <w:tcPr>
            <w:tcW w:w="0" w:type="auto"/>
            <w:hideMark/>
          </w:tcPr>
          <w:p w14:paraId="21501D74"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US registry</w:t>
            </w:r>
          </w:p>
        </w:tc>
        <w:tc>
          <w:tcPr>
            <w:tcW w:w="0" w:type="auto"/>
            <w:hideMark/>
          </w:tcPr>
          <w:p w14:paraId="1986BC5E"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MOF accounts for ~20–30% late trauma deaths</w:t>
            </w:r>
          </w:p>
        </w:tc>
        <w:tc>
          <w:tcPr>
            <w:tcW w:w="0" w:type="auto"/>
            <w:hideMark/>
          </w:tcPr>
          <w:p w14:paraId="60F511BA"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34B5F386"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ICU-dependent</w:t>
            </w:r>
          </w:p>
        </w:tc>
        <w:tc>
          <w:tcPr>
            <w:tcW w:w="0" w:type="auto"/>
            <w:hideMark/>
          </w:tcPr>
          <w:p w14:paraId="434C252F"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Ventilator-dependent</w:t>
            </w:r>
          </w:p>
        </w:tc>
        <w:tc>
          <w:tcPr>
            <w:tcW w:w="0" w:type="auto"/>
            <w:hideMark/>
          </w:tcPr>
          <w:p w14:paraId="5B3B5D2E"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0F729723"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3A1CE2FF"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013D1CD8"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ARDS ~15–20%</w:t>
            </w:r>
          </w:p>
        </w:tc>
        <w:tc>
          <w:tcPr>
            <w:tcW w:w="0" w:type="auto"/>
            <w:hideMark/>
          </w:tcPr>
          <w:p w14:paraId="20883388"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242DB091"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Late death driven by organ failure</w:t>
            </w:r>
          </w:p>
        </w:tc>
        <w:tc>
          <w:tcPr>
            <w:tcW w:w="0" w:type="auto"/>
            <w:hideMark/>
          </w:tcPr>
          <w:p w14:paraId="07DB6696"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[10]</w:t>
            </w:r>
          </w:p>
        </w:tc>
      </w:tr>
      <w:tr w:rsidR="004F26CC" w:rsidRPr="00045DFA" w14:paraId="13E86A0E" w14:textId="77777777" w:rsidTr="004F26CC">
        <w:tc>
          <w:tcPr>
            <w:tcW w:w="0" w:type="auto"/>
            <w:hideMark/>
          </w:tcPr>
          <w:p w14:paraId="6D9ECD31"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 xml:space="preserve">Rubenfeld et </w:t>
            </w:r>
            <w:r w:rsidRPr="00045DFA">
              <w:rPr>
                <w:rFonts w:asciiTheme="majorHAnsi" w:hAnsiTheme="majorHAnsi" w:cs="Times New Roman"/>
                <w:sz w:val="20"/>
                <w:szCs w:val="20"/>
              </w:rPr>
              <w:lastRenderedPageBreak/>
              <w:t>al., 2005</w:t>
            </w:r>
          </w:p>
        </w:tc>
        <w:tc>
          <w:tcPr>
            <w:tcW w:w="0" w:type="auto"/>
            <w:hideMark/>
          </w:tcPr>
          <w:p w14:paraId="0032C92D"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lastRenderedPageBreak/>
              <w:t>ICU ARDS epide</w:t>
            </w:r>
            <w:r w:rsidRPr="00045DFA">
              <w:rPr>
                <w:rFonts w:asciiTheme="majorHAnsi" w:hAnsiTheme="majorHAnsi" w:cs="Times New Roman"/>
                <w:sz w:val="20"/>
                <w:szCs w:val="20"/>
              </w:rPr>
              <w:lastRenderedPageBreak/>
              <w:t>miology</w:t>
            </w:r>
          </w:p>
        </w:tc>
        <w:tc>
          <w:tcPr>
            <w:tcW w:w="0" w:type="auto"/>
            <w:hideMark/>
          </w:tcPr>
          <w:p w14:paraId="375C82AA"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lastRenderedPageBreak/>
              <w:t xml:space="preserve">ARDS mortality </w:t>
            </w:r>
            <w:r w:rsidRPr="00045DFA">
              <w:rPr>
                <w:rFonts w:asciiTheme="majorHAnsi" w:hAnsiTheme="majorHAnsi" w:cs="Times New Roman"/>
                <w:sz w:val="20"/>
                <w:szCs w:val="20"/>
              </w:rPr>
              <w:lastRenderedPageBreak/>
              <w:t>~30–40%</w:t>
            </w:r>
          </w:p>
        </w:tc>
        <w:tc>
          <w:tcPr>
            <w:tcW w:w="0" w:type="auto"/>
            <w:hideMark/>
          </w:tcPr>
          <w:p w14:paraId="730D79E4"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lastRenderedPageBreak/>
              <w:t>N/A</w:t>
            </w:r>
          </w:p>
        </w:tc>
        <w:tc>
          <w:tcPr>
            <w:tcW w:w="0" w:type="auto"/>
            <w:hideMark/>
          </w:tcPr>
          <w:p w14:paraId="670A08A7"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ICU-dependent</w:t>
            </w:r>
          </w:p>
        </w:tc>
        <w:tc>
          <w:tcPr>
            <w:tcW w:w="0" w:type="auto"/>
            <w:hideMark/>
          </w:tcPr>
          <w:p w14:paraId="06FACD02"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 xml:space="preserve">Ventilator </w:t>
            </w:r>
            <w:r w:rsidRPr="00045DFA">
              <w:rPr>
                <w:rFonts w:asciiTheme="majorHAnsi" w:hAnsiTheme="majorHAnsi" w:cs="Times New Roman"/>
                <w:sz w:val="20"/>
                <w:szCs w:val="20"/>
              </w:rPr>
              <w:lastRenderedPageBreak/>
              <w:t>required</w:t>
            </w:r>
          </w:p>
        </w:tc>
        <w:tc>
          <w:tcPr>
            <w:tcW w:w="0" w:type="auto"/>
            <w:hideMark/>
          </w:tcPr>
          <w:p w14:paraId="5E976D23"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lastRenderedPageBreak/>
              <w:t>N/A</w:t>
            </w:r>
          </w:p>
        </w:tc>
        <w:tc>
          <w:tcPr>
            <w:tcW w:w="0" w:type="auto"/>
            <w:hideMark/>
          </w:tcPr>
          <w:p w14:paraId="7242C662"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06C1824F"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48B0C8F8"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ARDS significant</w:t>
            </w:r>
          </w:p>
        </w:tc>
        <w:tc>
          <w:tcPr>
            <w:tcW w:w="0" w:type="auto"/>
            <w:hideMark/>
          </w:tcPr>
          <w:p w14:paraId="411ABBBE"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39A14636"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Pulmonary compli</w:t>
            </w:r>
            <w:r w:rsidRPr="00045DFA">
              <w:rPr>
                <w:rFonts w:asciiTheme="majorHAnsi" w:hAnsiTheme="majorHAnsi" w:cs="Times New Roman"/>
                <w:sz w:val="20"/>
                <w:szCs w:val="20"/>
              </w:rPr>
              <w:lastRenderedPageBreak/>
              <w:t>cations major determinant</w:t>
            </w:r>
          </w:p>
        </w:tc>
        <w:tc>
          <w:tcPr>
            <w:tcW w:w="0" w:type="auto"/>
            <w:hideMark/>
          </w:tcPr>
          <w:p w14:paraId="7B0F4574"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lastRenderedPageBreak/>
              <w:t>[20]</w:t>
            </w:r>
          </w:p>
        </w:tc>
      </w:tr>
      <w:tr w:rsidR="004F26CC" w:rsidRPr="00045DFA" w14:paraId="5280BDC4" w14:textId="77777777" w:rsidTr="004F26CC">
        <w:tc>
          <w:tcPr>
            <w:tcW w:w="0" w:type="auto"/>
            <w:hideMark/>
          </w:tcPr>
          <w:p w14:paraId="563958C0"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Bellani et al., 2016</w:t>
            </w:r>
          </w:p>
        </w:tc>
        <w:tc>
          <w:tcPr>
            <w:tcW w:w="0" w:type="auto"/>
            <w:hideMark/>
          </w:tcPr>
          <w:p w14:paraId="710EAA65"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Global ICU</w:t>
            </w:r>
          </w:p>
        </w:tc>
        <w:tc>
          <w:tcPr>
            <w:tcW w:w="0" w:type="auto"/>
            <w:hideMark/>
          </w:tcPr>
          <w:p w14:paraId="5AABCD11"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Moderate-severe ARDS mortality &gt;40%</w:t>
            </w:r>
          </w:p>
        </w:tc>
        <w:tc>
          <w:tcPr>
            <w:tcW w:w="0" w:type="auto"/>
            <w:hideMark/>
          </w:tcPr>
          <w:p w14:paraId="0BE6E011"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332EAC51"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ICU variability</w:t>
            </w:r>
          </w:p>
        </w:tc>
        <w:tc>
          <w:tcPr>
            <w:tcW w:w="0" w:type="auto"/>
            <w:hideMark/>
          </w:tcPr>
          <w:p w14:paraId="2095657C"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Ventilator variability</w:t>
            </w:r>
          </w:p>
        </w:tc>
        <w:tc>
          <w:tcPr>
            <w:tcW w:w="0" w:type="auto"/>
            <w:hideMark/>
          </w:tcPr>
          <w:p w14:paraId="1E631985"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5AD6C421"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7C2F0465"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32C891CD"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ARDS global burden high</w:t>
            </w:r>
          </w:p>
        </w:tc>
        <w:tc>
          <w:tcPr>
            <w:tcW w:w="0" w:type="auto"/>
            <w:hideMark/>
          </w:tcPr>
          <w:p w14:paraId="538E29BB"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0FE3D6FC"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ICU maturity influences ARDS survival</w:t>
            </w:r>
          </w:p>
        </w:tc>
        <w:tc>
          <w:tcPr>
            <w:tcW w:w="0" w:type="auto"/>
            <w:hideMark/>
          </w:tcPr>
          <w:p w14:paraId="32BB322D"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[21]</w:t>
            </w:r>
          </w:p>
        </w:tc>
      </w:tr>
      <w:tr w:rsidR="004F26CC" w:rsidRPr="00045DFA" w14:paraId="15D91451" w14:textId="77777777" w:rsidTr="004F26CC">
        <w:tc>
          <w:tcPr>
            <w:tcW w:w="0" w:type="auto"/>
            <w:hideMark/>
          </w:tcPr>
          <w:p w14:paraId="2FFCE4BE"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O’Reilly et al., 2013</w:t>
            </w:r>
          </w:p>
        </w:tc>
        <w:tc>
          <w:tcPr>
            <w:tcW w:w="0" w:type="auto"/>
            <w:hideMark/>
          </w:tcPr>
          <w:p w14:paraId="13E00D04"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HIC vs MIC registry</w:t>
            </w:r>
          </w:p>
        </w:tc>
        <w:tc>
          <w:tcPr>
            <w:tcW w:w="0" w:type="auto"/>
            <w:hideMark/>
          </w:tcPr>
          <w:p w14:paraId="15600A94"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Higher mortality in middle-income</w:t>
            </w:r>
          </w:p>
        </w:tc>
        <w:tc>
          <w:tcPr>
            <w:tcW w:w="0" w:type="auto"/>
            <w:hideMark/>
          </w:tcPr>
          <w:p w14:paraId="2082851E"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Fewer trauma specialists</w:t>
            </w:r>
          </w:p>
        </w:tc>
        <w:tc>
          <w:tcPr>
            <w:tcW w:w="0" w:type="auto"/>
            <w:hideMark/>
          </w:tcPr>
          <w:p w14:paraId="4A398FF6"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Variable ICU</w:t>
            </w:r>
          </w:p>
        </w:tc>
        <w:tc>
          <w:tcPr>
            <w:tcW w:w="0" w:type="auto"/>
            <w:hideMark/>
          </w:tcPr>
          <w:p w14:paraId="1D54B5D3"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55D010E1"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Longer time to definitive care</w:t>
            </w:r>
          </w:p>
        </w:tc>
        <w:tc>
          <w:tcPr>
            <w:tcW w:w="0" w:type="auto"/>
            <w:hideMark/>
          </w:tcPr>
          <w:p w14:paraId="2A246E8B"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52B18610"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Delayed fixation</w:t>
            </w:r>
          </w:p>
        </w:tc>
        <w:tc>
          <w:tcPr>
            <w:tcW w:w="0" w:type="auto"/>
            <w:hideMark/>
          </w:tcPr>
          <w:p w14:paraId="7F70FD28"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Increased complications</w:t>
            </w:r>
          </w:p>
        </w:tc>
        <w:tc>
          <w:tcPr>
            <w:tcW w:w="0" w:type="auto"/>
            <w:hideMark/>
          </w:tcPr>
          <w:p w14:paraId="2CACF692"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027C0F71"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Registry maturity improves outcomes</w:t>
            </w:r>
          </w:p>
        </w:tc>
        <w:tc>
          <w:tcPr>
            <w:tcW w:w="0" w:type="auto"/>
            <w:hideMark/>
          </w:tcPr>
          <w:p w14:paraId="6C6911B4"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[34]</w:t>
            </w:r>
          </w:p>
        </w:tc>
      </w:tr>
      <w:tr w:rsidR="004F26CC" w:rsidRPr="00045DFA" w14:paraId="74F46AFE" w14:textId="77777777" w:rsidTr="004F26CC">
        <w:tc>
          <w:tcPr>
            <w:tcW w:w="0" w:type="auto"/>
            <w:hideMark/>
          </w:tcPr>
          <w:p w14:paraId="43ED1D73"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Sakran et al., 2012</w:t>
            </w:r>
          </w:p>
        </w:tc>
        <w:tc>
          <w:tcPr>
            <w:tcW w:w="0" w:type="auto"/>
            <w:hideMark/>
          </w:tcPr>
          <w:p w14:paraId="7A8F9D31"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Global review</w:t>
            </w:r>
          </w:p>
        </w:tc>
        <w:tc>
          <w:tcPr>
            <w:tcW w:w="0" w:type="auto"/>
            <w:hideMark/>
          </w:tcPr>
          <w:p w14:paraId="728E4786"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Preventable death up to 20–30%</w:t>
            </w:r>
          </w:p>
        </w:tc>
        <w:tc>
          <w:tcPr>
            <w:tcW w:w="0" w:type="auto"/>
            <w:hideMark/>
          </w:tcPr>
          <w:p w14:paraId="575AE114"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Training gaps</w:t>
            </w:r>
          </w:p>
        </w:tc>
        <w:tc>
          <w:tcPr>
            <w:tcW w:w="0" w:type="auto"/>
            <w:hideMark/>
          </w:tcPr>
          <w:p w14:paraId="5479B0C7"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ICU variability</w:t>
            </w:r>
          </w:p>
        </w:tc>
        <w:tc>
          <w:tcPr>
            <w:tcW w:w="0" w:type="auto"/>
            <w:hideMark/>
          </w:tcPr>
          <w:p w14:paraId="5B7FAD70"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4C2D9826"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Delay common</w:t>
            </w:r>
          </w:p>
        </w:tc>
        <w:tc>
          <w:tcPr>
            <w:tcW w:w="0" w:type="auto"/>
            <w:hideMark/>
          </w:tcPr>
          <w:p w14:paraId="0C32CA51"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Delay common</w:t>
            </w:r>
          </w:p>
        </w:tc>
        <w:tc>
          <w:tcPr>
            <w:tcW w:w="0" w:type="auto"/>
            <w:hideMark/>
          </w:tcPr>
          <w:p w14:paraId="1388371B"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Delay common</w:t>
            </w:r>
          </w:p>
        </w:tc>
        <w:tc>
          <w:tcPr>
            <w:tcW w:w="0" w:type="auto"/>
            <w:hideMark/>
          </w:tcPr>
          <w:p w14:paraId="6BB6CAB1"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5E8AD7DE"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Preventable death 2–3× higher</w:t>
            </w:r>
          </w:p>
        </w:tc>
        <w:tc>
          <w:tcPr>
            <w:tcW w:w="0" w:type="auto"/>
            <w:hideMark/>
          </w:tcPr>
          <w:p w14:paraId="0F884B53"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Structured systems reduce avoidable death</w:t>
            </w:r>
          </w:p>
        </w:tc>
        <w:tc>
          <w:tcPr>
            <w:tcW w:w="0" w:type="auto"/>
            <w:hideMark/>
          </w:tcPr>
          <w:p w14:paraId="7ABE634D"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[15]</w:t>
            </w:r>
          </w:p>
        </w:tc>
      </w:tr>
      <w:tr w:rsidR="004F26CC" w:rsidRPr="00045DFA" w14:paraId="180B2A5A" w14:textId="77777777" w:rsidTr="004F26CC">
        <w:tc>
          <w:tcPr>
            <w:tcW w:w="0" w:type="auto"/>
            <w:hideMark/>
          </w:tcPr>
          <w:p w14:paraId="5FB99360"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Jayaraman et al., 2014</w:t>
            </w:r>
          </w:p>
        </w:tc>
        <w:tc>
          <w:tcPr>
            <w:tcW w:w="0" w:type="auto"/>
            <w:hideMark/>
          </w:tcPr>
          <w:p w14:paraId="6D57A283"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Uganda</w:t>
            </w:r>
          </w:p>
        </w:tc>
        <w:tc>
          <w:tcPr>
            <w:tcW w:w="0" w:type="auto"/>
            <w:hideMark/>
          </w:tcPr>
          <w:p w14:paraId="56027738"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Mortality 17% → 11%</w:t>
            </w:r>
          </w:p>
        </w:tc>
        <w:tc>
          <w:tcPr>
            <w:tcW w:w="0" w:type="auto"/>
            <w:hideMark/>
          </w:tcPr>
          <w:p w14:paraId="37A49475"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Workforce improved</w:t>
            </w:r>
          </w:p>
        </w:tc>
        <w:tc>
          <w:tcPr>
            <w:tcW w:w="0" w:type="auto"/>
            <w:hideMark/>
          </w:tcPr>
          <w:p w14:paraId="3FE022AC"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Basic ICU improvement</w:t>
            </w:r>
          </w:p>
        </w:tc>
        <w:tc>
          <w:tcPr>
            <w:tcW w:w="0" w:type="auto"/>
            <w:hideMark/>
          </w:tcPr>
          <w:p w14:paraId="149EF5FB"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314F5B54"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Reduced delay</w:t>
            </w:r>
          </w:p>
        </w:tc>
        <w:tc>
          <w:tcPr>
            <w:tcW w:w="0" w:type="auto"/>
            <w:hideMark/>
          </w:tcPr>
          <w:p w14:paraId="4C6F6162"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Reduced surgical delay</w:t>
            </w:r>
          </w:p>
        </w:tc>
        <w:tc>
          <w:tcPr>
            <w:tcW w:w="0" w:type="auto"/>
            <w:hideMark/>
          </w:tcPr>
          <w:p w14:paraId="67F7CB75"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2845460F"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049D7F46"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~35% mortality reduction</w:t>
            </w:r>
          </w:p>
        </w:tc>
        <w:tc>
          <w:tcPr>
            <w:tcW w:w="0" w:type="auto"/>
            <w:hideMark/>
          </w:tcPr>
          <w:p w14:paraId="29286165"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Organised response improves recovery</w:t>
            </w:r>
          </w:p>
        </w:tc>
        <w:tc>
          <w:tcPr>
            <w:tcW w:w="0" w:type="auto"/>
            <w:hideMark/>
          </w:tcPr>
          <w:p w14:paraId="0D2D25AE"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[45]</w:t>
            </w:r>
          </w:p>
        </w:tc>
      </w:tr>
      <w:tr w:rsidR="004F26CC" w:rsidRPr="00045DFA" w14:paraId="1A8C0863" w14:textId="77777777" w:rsidTr="004F26CC">
        <w:tc>
          <w:tcPr>
            <w:tcW w:w="0" w:type="auto"/>
            <w:hideMark/>
          </w:tcPr>
          <w:p w14:paraId="7F6483A0" w14:textId="77777777" w:rsidR="004F26CC" w:rsidRPr="00045DFA" w:rsidRDefault="004F26CC" w:rsidP="004F26CC">
            <w:pPr>
              <w:spacing w:line="276" w:lineRule="auto"/>
              <w:rPr>
                <w:rFonts w:asciiTheme="majorHAnsi" w:hAnsiTheme="majorHAnsi" w:cs="Times New Roman"/>
                <w:sz w:val="20"/>
                <w:szCs w:val="20"/>
              </w:rPr>
            </w:pPr>
            <w:proofErr w:type="spellStart"/>
            <w:r w:rsidRPr="00045DFA">
              <w:rPr>
                <w:rFonts w:asciiTheme="majorHAnsi" w:hAnsiTheme="majorHAnsi" w:cs="Times New Roman"/>
                <w:sz w:val="20"/>
                <w:szCs w:val="20"/>
              </w:rPr>
              <w:t>Elobu</w:t>
            </w:r>
            <w:proofErr w:type="spellEnd"/>
            <w:r w:rsidRPr="00045DFA">
              <w:rPr>
                <w:rFonts w:asciiTheme="majorHAnsi" w:hAnsiTheme="majorHAnsi" w:cs="Times New Roman"/>
                <w:sz w:val="20"/>
                <w:szCs w:val="20"/>
              </w:rPr>
              <w:t xml:space="preserve"> et al., 2022</w:t>
            </w:r>
          </w:p>
        </w:tc>
        <w:tc>
          <w:tcPr>
            <w:tcW w:w="0" w:type="auto"/>
            <w:hideMark/>
          </w:tcPr>
          <w:p w14:paraId="4E1A9586"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LMIC hospital</w:t>
            </w:r>
          </w:p>
        </w:tc>
        <w:tc>
          <w:tcPr>
            <w:tcW w:w="0" w:type="auto"/>
            <w:hideMark/>
          </w:tcPr>
          <w:p w14:paraId="6CE70E05"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~20% mortality reduction</w:t>
            </w:r>
          </w:p>
        </w:tc>
        <w:tc>
          <w:tcPr>
            <w:tcW w:w="0" w:type="auto"/>
            <w:hideMark/>
          </w:tcPr>
          <w:p w14:paraId="7711B592"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Structured team model</w:t>
            </w:r>
          </w:p>
        </w:tc>
        <w:tc>
          <w:tcPr>
            <w:tcW w:w="0" w:type="auto"/>
            <w:hideMark/>
          </w:tcPr>
          <w:p w14:paraId="7D6FA7A2"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Monitoring strengthened</w:t>
            </w:r>
          </w:p>
        </w:tc>
        <w:tc>
          <w:tcPr>
            <w:tcW w:w="0" w:type="auto"/>
            <w:hideMark/>
          </w:tcPr>
          <w:p w14:paraId="3F7EECF6"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03555DA2"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Reduced time-to-surgery</w:t>
            </w:r>
          </w:p>
        </w:tc>
        <w:tc>
          <w:tcPr>
            <w:tcW w:w="0" w:type="auto"/>
            <w:hideMark/>
          </w:tcPr>
          <w:p w14:paraId="7CF5AF2B"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Reduced fixation delay</w:t>
            </w:r>
          </w:p>
        </w:tc>
        <w:tc>
          <w:tcPr>
            <w:tcW w:w="0" w:type="auto"/>
            <w:hideMark/>
          </w:tcPr>
          <w:p w14:paraId="784E01FA"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63AEC03D"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N/A</w:t>
            </w:r>
          </w:p>
        </w:tc>
        <w:tc>
          <w:tcPr>
            <w:tcW w:w="0" w:type="auto"/>
            <w:hideMark/>
          </w:tcPr>
          <w:p w14:paraId="4211DE12"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Measurable mortality reduction</w:t>
            </w:r>
          </w:p>
        </w:tc>
        <w:tc>
          <w:tcPr>
            <w:tcW w:w="0" w:type="auto"/>
            <w:hideMark/>
          </w:tcPr>
          <w:p w14:paraId="42812052"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sz w:val="20"/>
                <w:szCs w:val="20"/>
              </w:rPr>
              <w:t>Protocolised recovery improves survival</w:t>
            </w:r>
          </w:p>
        </w:tc>
        <w:tc>
          <w:tcPr>
            <w:tcW w:w="0" w:type="auto"/>
            <w:hideMark/>
          </w:tcPr>
          <w:p w14:paraId="6EC1C413" w14:textId="77777777" w:rsidR="004F26CC" w:rsidRPr="00045DFA" w:rsidRDefault="004F26CC" w:rsidP="004F26CC">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[53]</w:t>
            </w:r>
          </w:p>
        </w:tc>
      </w:tr>
    </w:tbl>
    <w:p w14:paraId="7044C8BD" w14:textId="77777777" w:rsidR="002C121A" w:rsidRPr="00045DFA" w:rsidRDefault="002C121A" w:rsidP="00680D07">
      <w:pPr>
        <w:spacing w:after="0" w:line="276" w:lineRule="auto"/>
        <w:rPr>
          <w:rFonts w:asciiTheme="majorHAnsi" w:hAnsiTheme="majorHAnsi" w:cs="Times New Roman"/>
          <w:sz w:val="20"/>
          <w:szCs w:val="20"/>
        </w:rPr>
      </w:pPr>
    </w:p>
    <w:p w14:paraId="191C3AD0" w14:textId="1965B586" w:rsidR="004F26CC" w:rsidRPr="00045DFA" w:rsidRDefault="004F26CC" w:rsidP="004F26CC">
      <w:pPr>
        <w:spacing w:after="0" w:line="276" w:lineRule="auto"/>
        <w:rPr>
          <w:rFonts w:asciiTheme="majorHAnsi" w:hAnsiTheme="majorHAnsi" w:cs="Times New Roman"/>
          <w:b/>
          <w:bCs/>
        </w:rPr>
      </w:pPr>
      <w:r w:rsidRPr="00045DFA">
        <w:rPr>
          <w:rFonts w:asciiTheme="majorHAnsi" w:hAnsiTheme="majorHAnsi" w:cs="Times New Roman"/>
          <w:b/>
          <w:bCs/>
        </w:rPr>
        <w:t>Footnotes</w:t>
      </w:r>
    </w:p>
    <w:p w14:paraId="6B090D49" w14:textId="77777777" w:rsidR="004F26CC" w:rsidRPr="00045DFA" w:rsidRDefault="004F26CC" w:rsidP="004F26CC">
      <w:pPr>
        <w:numPr>
          <w:ilvl w:val="0"/>
          <w:numId w:val="15"/>
        </w:numPr>
        <w:spacing w:after="0" w:line="276" w:lineRule="auto"/>
        <w:rPr>
          <w:rFonts w:asciiTheme="majorHAnsi" w:hAnsiTheme="majorHAnsi" w:cs="Times New Roman"/>
        </w:rPr>
      </w:pPr>
      <w:r w:rsidRPr="00045DFA">
        <w:rPr>
          <w:rFonts w:asciiTheme="majorHAnsi" w:hAnsiTheme="majorHAnsi" w:cs="Times New Roman"/>
        </w:rPr>
        <w:t xml:space="preserve">Data represent reported ranges across published global and regional studies and may vary by country and year </w:t>
      </w:r>
      <w:r w:rsidRPr="00045DFA">
        <w:rPr>
          <w:rFonts w:asciiTheme="majorHAnsi" w:hAnsiTheme="majorHAnsi" w:cs="Times New Roman"/>
          <w:b/>
          <w:bCs/>
        </w:rPr>
        <w:t>[1–5,11–15,34–37]</w:t>
      </w:r>
      <w:r w:rsidRPr="00045DFA">
        <w:rPr>
          <w:rFonts w:asciiTheme="majorHAnsi" w:hAnsiTheme="majorHAnsi" w:cs="Times New Roman"/>
        </w:rPr>
        <w:t xml:space="preserve">. </w:t>
      </w:r>
    </w:p>
    <w:p w14:paraId="554F8D8C" w14:textId="77777777" w:rsidR="004F26CC" w:rsidRPr="00045DFA" w:rsidRDefault="004F26CC" w:rsidP="004F26CC">
      <w:pPr>
        <w:numPr>
          <w:ilvl w:val="0"/>
          <w:numId w:val="15"/>
        </w:numPr>
        <w:spacing w:after="0" w:line="276" w:lineRule="auto"/>
        <w:rPr>
          <w:rFonts w:asciiTheme="majorHAnsi" w:hAnsiTheme="majorHAnsi" w:cs="Times New Roman"/>
        </w:rPr>
      </w:pPr>
      <w:r w:rsidRPr="00045DFA">
        <w:rPr>
          <w:rFonts w:asciiTheme="majorHAnsi" w:hAnsiTheme="majorHAnsi" w:cs="Times New Roman"/>
        </w:rPr>
        <w:t xml:space="preserve">Surgeon and ICU bed density values are approximate medians derived from international workforce analyses; local distribution within countries may be heterogeneous </w:t>
      </w:r>
      <w:r w:rsidRPr="00045DFA">
        <w:rPr>
          <w:rFonts w:asciiTheme="majorHAnsi" w:hAnsiTheme="majorHAnsi" w:cs="Times New Roman"/>
          <w:b/>
          <w:bCs/>
        </w:rPr>
        <w:t>[11,12]</w:t>
      </w:r>
      <w:r w:rsidRPr="00045DFA">
        <w:rPr>
          <w:rFonts w:asciiTheme="majorHAnsi" w:hAnsiTheme="majorHAnsi" w:cs="Times New Roman"/>
        </w:rPr>
        <w:t xml:space="preserve">. </w:t>
      </w:r>
    </w:p>
    <w:p w14:paraId="67F62094" w14:textId="77777777" w:rsidR="004F26CC" w:rsidRPr="00045DFA" w:rsidRDefault="004F26CC" w:rsidP="004F26CC">
      <w:pPr>
        <w:numPr>
          <w:ilvl w:val="0"/>
          <w:numId w:val="15"/>
        </w:numPr>
        <w:spacing w:after="0" w:line="276" w:lineRule="auto"/>
        <w:rPr>
          <w:rFonts w:asciiTheme="majorHAnsi" w:hAnsiTheme="majorHAnsi" w:cs="Times New Roman"/>
        </w:rPr>
      </w:pPr>
      <w:r w:rsidRPr="00045DFA">
        <w:rPr>
          <w:rFonts w:asciiTheme="majorHAnsi" w:hAnsiTheme="majorHAnsi" w:cs="Times New Roman"/>
        </w:rPr>
        <w:lastRenderedPageBreak/>
        <w:t xml:space="preserve">Time-to-laparotomy thresholds reflect observational data; causality cannot be definitively established </w:t>
      </w:r>
      <w:r w:rsidRPr="00045DFA">
        <w:rPr>
          <w:rFonts w:asciiTheme="majorHAnsi" w:hAnsiTheme="majorHAnsi" w:cs="Times New Roman"/>
          <w:b/>
          <w:bCs/>
        </w:rPr>
        <w:t>[14]</w:t>
      </w:r>
      <w:r w:rsidRPr="00045DFA">
        <w:rPr>
          <w:rFonts w:asciiTheme="majorHAnsi" w:hAnsiTheme="majorHAnsi" w:cs="Times New Roman"/>
        </w:rPr>
        <w:t xml:space="preserve">. </w:t>
      </w:r>
    </w:p>
    <w:p w14:paraId="684CBD1B" w14:textId="77777777" w:rsidR="004F26CC" w:rsidRPr="00045DFA" w:rsidRDefault="004F26CC" w:rsidP="004F26CC">
      <w:pPr>
        <w:numPr>
          <w:ilvl w:val="0"/>
          <w:numId w:val="15"/>
        </w:numPr>
        <w:spacing w:after="0" w:line="276" w:lineRule="auto"/>
        <w:rPr>
          <w:rFonts w:asciiTheme="majorHAnsi" w:hAnsiTheme="majorHAnsi" w:cs="Times New Roman"/>
        </w:rPr>
      </w:pPr>
      <w:r w:rsidRPr="00045DFA">
        <w:rPr>
          <w:rFonts w:asciiTheme="majorHAnsi" w:hAnsiTheme="majorHAnsi" w:cs="Times New Roman"/>
        </w:rPr>
        <w:t xml:space="preserve">ARDS incidence and mortality vary by injury severity, ICU capacity, and ventilatory strategy </w:t>
      </w:r>
      <w:r w:rsidRPr="00045DFA">
        <w:rPr>
          <w:rFonts w:asciiTheme="majorHAnsi" w:hAnsiTheme="majorHAnsi" w:cs="Times New Roman"/>
          <w:b/>
          <w:bCs/>
        </w:rPr>
        <w:t>[20,21]</w:t>
      </w:r>
      <w:r w:rsidRPr="00045DFA">
        <w:rPr>
          <w:rFonts w:asciiTheme="majorHAnsi" w:hAnsiTheme="majorHAnsi" w:cs="Times New Roman"/>
        </w:rPr>
        <w:t xml:space="preserve">. </w:t>
      </w:r>
    </w:p>
    <w:p w14:paraId="62FFB1DD" w14:textId="77777777" w:rsidR="004F26CC" w:rsidRPr="00045DFA" w:rsidRDefault="004F26CC" w:rsidP="004F26CC">
      <w:pPr>
        <w:numPr>
          <w:ilvl w:val="0"/>
          <w:numId w:val="15"/>
        </w:numPr>
        <w:spacing w:after="0" w:line="276" w:lineRule="auto"/>
        <w:rPr>
          <w:rFonts w:asciiTheme="majorHAnsi" w:hAnsiTheme="majorHAnsi" w:cs="Times New Roman"/>
        </w:rPr>
      </w:pPr>
      <w:r w:rsidRPr="00045DFA">
        <w:rPr>
          <w:rFonts w:asciiTheme="majorHAnsi" w:hAnsiTheme="majorHAnsi" w:cs="Times New Roman"/>
        </w:rPr>
        <w:t xml:space="preserve">Preventable death proportions are context-dependent and influenced by trauma system maturity and governance </w:t>
      </w:r>
      <w:r w:rsidRPr="00045DFA">
        <w:rPr>
          <w:rFonts w:asciiTheme="majorHAnsi" w:hAnsiTheme="majorHAnsi" w:cs="Times New Roman"/>
          <w:b/>
          <w:bCs/>
        </w:rPr>
        <w:t>[15]</w:t>
      </w:r>
      <w:r w:rsidRPr="00045DFA">
        <w:rPr>
          <w:rFonts w:asciiTheme="majorHAnsi" w:hAnsiTheme="majorHAnsi" w:cs="Times New Roman"/>
        </w:rPr>
        <w:t xml:space="preserve">. </w:t>
      </w:r>
    </w:p>
    <w:p w14:paraId="06574B32" w14:textId="77777777" w:rsidR="004F26CC" w:rsidRPr="00045DFA" w:rsidRDefault="004F26CC" w:rsidP="004F26CC">
      <w:pPr>
        <w:numPr>
          <w:ilvl w:val="0"/>
          <w:numId w:val="15"/>
        </w:numPr>
        <w:spacing w:after="0" w:line="276" w:lineRule="auto"/>
        <w:rPr>
          <w:rFonts w:asciiTheme="majorHAnsi" w:hAnsiTheme="majorHAnsi" w:cs="Times New Roman"/>
        </w:rPr>
      </w:pPr>
      <w:r w:rsidRPr="00045DFA">
        <w:rPr>
          <w:rFonts w:asciiTheme="majorHAnsi" w:hAnsiTheme="majorHAnsi" w:cs="Times New Roman"/>
        </w:rPr>
        <w:t>LMIC denotes low- and middle-income countries as classified by World Bank criteria.</w:t>
      </w:r>
    </w:p>
    <w:p w14:paraId="16EDD9E5" w14:textId="77777777" w:rsidR="004F26CC" w:rsidRPr="00045DFA" w:rsidRDefault="004F26CC" w:rsidP="00680D07">
      <w:pPr>
        <w:spacing w:after="0" w:line="276" w:lineRule="auto"/>
        <w:rPr>
          <w:rFonts w:asciiTheme="majorHAnsi" w:hAnsiTheme="majorHAnsi" w:cs="Times New Roman"/>
        </w:rPr>
      </w:pPr>
    </w:p>
    <w:p w14:paraId="77B8BBED" w14:textId="77777777" w:rsidR="004F26CC" w:rsidRPr="00045DFA" w:rsidRDefault="004F26CC" w:rsidP="00680D07">
      <w:pPr>
        <w:spacing w:after="0" w:line="276" w:lineRule="auto"/>
        <w:rPr>
          <w:rFonts w:asciiTheme="majorHAnsi" w:hAnsiTheme="majorHAnsi" w:cs="Times New Roman"/>
          <w:b/>
          <w:bCs/>
        </w:rPr>
      </w:pPr>
    </w:p>
    <w:p w14:paraId="7A083212" w14:textId="1D0AC569" w:rsidR="001677C5" w:rsidRPr="00045DFA" w:rsidRDefault="001677C5" w:rsidP="001677C5">
      <w:pPr>
        <w:spacing w:after="0" w:line="276" w:lineRule="auto"/>
        <w:rPr>
          <w:rFonts w:asciiTheme="majorHAnsi" w:hAnsiTheme="majorHAnsi" w:cs="Times New Roman"/>
          <w:b/>
          <w:bCs/>
        </w:rPr>
      </w:pPr>
      <w:r w:rsidRPr="00045DFA">
        <w:rPr>
          <w:rFonts w:asciiTheme="majorHAnsi" w:hAnsiTheme="majorHAnsi" w:cs="Times New Roman"/>
          <w:b/>
          <w:bCs/>
        </w:rPr>
        <w:t>BIOLOGICAL AMPLIFICATION IN POLYTRAUMA</w:t>
      </w:r>
    </w:p>
    <w:p w14:paraId="2775DB65" w14:textId="77777777" w:rsidR="001677C5" w:rsidRPr="00045DFA" w:rsidRDefault="001677C5" w:rsidP="001677C5">
      <w:pPr>
        <w:spacing w:after="0" w:line="276" w:lineRule="auto"/>
        <w:rPr>
          <w:rFonts w:asciiTheme="majorHAnsi" w:hAnsiTheme="majorHAnsi" w:cs="Times New Roman"/>
        </w:rPr>
      </w:pPr>
      <w:r w:rsidRPr="00045DFA">
        <w:rPr>
          <w:rFonts w:asciiTheme="majorHAnsi" w:hAnsiTheme="majorHAnsi" w:cs="Times New Roman"/>
        </w:rPr>
        <w:t xml:space="preserve">Severe trauma initiates a complex systemic response that extends beyond local tissue injury. Early activation of pro-inflammatory cytokines, including interleukin-6 (IL-6) and tumour necrosis factor-α (TNF-α), can reach markedly elevated levels within hours of injury, correlating with injury severity and subsequent organ dysfunction </w:t>
      </w:r>
      <w:r w:rsidRPr="00045DFA">
        <w:rPr>
          <w:rFonts w:asciiTheme="majorHAnsi" w:hAnsiTheme="majorHAnsi" w:cs="Times New Roman"/>
          <w:b/>
          <w:bCs/>
        </w:rPr>
        <w:t>[3,4]</w:t>
      </w:r>
      <w:r w:rsidRPr="00045DFA">
        <w:rPr>
          <w:rFonts w:asciiTheme="majorHAnsi" w:hAnsiTheme="majorHAnsi" w:cs="Times New Roman"/>
        </w:rPr>
        <w:t xml:space="preserve">. This inflammatory surge is accompanied by widespread endothelial glycocalyx disruption, increased vascular permeability, and microcirculatory impairment </w:t>
      </w:r>
      <w:r w:rsidRPr="00045DFA">
        <w:rPr>
          <w:rFonts w:asciiTheme="majorHAnsi" w:hAnsiTheme="majorHAnsi" w:cs="Times New Roman"/>
          <w:b/>
          <w:bCs/>
        </w:rPr>
        <w:t>[6,39]</w:t>
      </w:r>
      <w:r w:rsidRPr="00045DFA">
        <w:rPr>
          <w:rFonts w:asciiTheme="majorHAnsi" w:hAnsiTheme="majorHAnsi" w:cs="Times New Roman"/>
        </w:rPr>
        <w:t>.</w:t>
      </w:r>
    </w:p>
    <w:p w14:paraId="6B036C79" w14:textId="77777777" w:rsidR="0059516A" w:rsidRPr="00045DFA" w:rsidRDefault="0059516A" w:rsidP="001677C5">
      <w:pPr>
        <w:spacing w:after="0" w:line="276" w:lineRule="auto"/>
        <w:rPr>
          <w:rFonts w:asciiTheme="majorHAnsi" w:hAnsiTheme="majorHAnsi" w:cs="Times New Roman"/>
        </w:rPr>
      </w:pPr>
    </w:p>
    <w:p w14:paraId="6F6E7918" w14:textId="77777777" w:rsidR="001677C5" w:rsidRPr="00045DFA" w:rsidRDefault="001677C5" w:rsidP="001677C5">
      <w:pPr>
        <w:spacing w:after="0" w:line="276" w:lineRule="auto"/>
        <w:rPr>
          <w:rFonts w:asciiTheme="majorHAnsi" w:hAnsiTheme="majorHAnsi" w:cs="Times New Roman"/>
        </w:rPr>
      </w:pPr>
      <w:r w:rsidRPr="00045DFA">
        <w:rPr>
          <w:rFonts w:asciiTheme="majorHAnsi" w:hAnsiTheme="majorHAnsi" w:cs="Times New Roman"/>
        </w:rPr>
        <w:t xml:space="preserve">The magnitude and persistence of this response influence postoperative trajectory. Elevated IL-6 concentrations have been associated with increased risk of ARDS and MOF </w:t>
      </w:r>
      <w:r w:rsidRPr="00045DFA">
        <w:rPr>
          <w:rFonts w:asciiTheme="majorHAnsi" w:hAnsiTheme="majorHAnsi" w:cs="Times New Roman"/>
          <w:b/>
          <w:bCs/>
        </w:rPr>
        <w:t>[42]</w:t>
      </w:r>
      <w:r w:rsidRPr="00045DFA">
        <w:rPr>
          <w:rFonts w:asciiTheme="majorHAnsi" w:hAnsiTheme="majorHAnsi" w:cs="Times New Roman"/>
        </w:rPr>
        <w:t xml:space="preserve">. MOF remains responsible for approximately 20–30% of late trauma deaths in contemporary registries </w:t>
      </w:r>
      <w:r w:rsidRPr="00045DFA">
        <w:rPr>
          <w:rFonts w:asciiTheme="majorHAnsi" w:hAnsiTheme="majorHAnsi" w:cs="Times New Roman"/>
          <w:b/>
          <w:bCs/>
        </w:rPr>
        <w:t>[10]</w:t>
      </w:r>
      <w:r w:rsidRPr="00045DFA">
        <w:rPr>
          <w:rFonts w:asciiTheme="majorHAnsi" w:hAnsiTheme="majorHAnsi" w:cs="Times New Roman"/>
        </w:rPr>
        <w:t xml:space="preserve">. The inflammatory response is not static; it may be amplified by additional surgical stress, particularly when definitive procedures are performed during periods of physiological instability. This interaction underlies the “second-hit” concept described in orthopaedic trauma literature </w:t>
      </w:r>
      <w:r w:rsidRPr="00045DFA">
        <w:rPr>
          <w:rFonts w:asciiTheme="majorHAnsi" w:hAnsiTheme="majorHAnsi" w:cs="Times New Roman"/>
          <w:b/>
          <w:bCs/>
        </w:rPr>
        <w:t>[8,9]</w:t>
      </w:r>
      <w:r w:rsidRPr="00045DFA">
        <w:rPr>
          <w:rFonts w:asciiTheme="majorHAnsi" w:hAnsiTheme="majorHAnsi" w:cs="Times New Roman"/>
        </w:rPr>
        <w:t>.</w:t>
      </w:r>
    </w:p>
    <w:p w14:paraId="3092EDFE" w14:textId="77777777" w:rsidR="0059516A" w:rsidRPr="00045DFA" w:rsidRDefault="0059516A" w:rsidP="001677C5">
      <w:pPr>
        <w:spacing w:after="0" w:line="276" w:lineRule="auto"/>
        <w:rPr>
          <w:rFonts w:asciiTheme="majorHAnsi" w:hAnsiTheme="majorHAnsi" w:cs="Times New Roman"/>
        </w:rPr>
      </w:pPr>
    </w:p>
    <w:p w14:paraId="7C2891E4" w14:textId="12172FE2" w:rsidR="001677C5" w:rsidRPr="00045DFA" w:rsidRDefault="001677C5" w:rsidP="001677C5">
      <w:pPr>
        <w:spacing w:after="0" w:line="276" w:lineRule="auto"/>
        <w:rPr>
          <w:rFonts w:asciiTheme="majorHAnsi" w:hAnsiTheme="majorHAnsi" w:cs="Times New Roman"/>
        </w:rPr>
      </w:pPr>
      <w:r w:rsidRPr="00045DFA">
        <w:rPr>
          <w:rFonts w:asciiTheme="majorHAnsi" w:hAnsiTheme="majorHAnsi" w:cs="Times New Roman"/>
        </w:rPr>
        <w:t xml:space="preserve">Endothelial dysfunction plays a parallel role. Shedding of glycocalyx components, reflected by elevated circulating syndecan-1 levels, correlates with shock severity and capillary leak </w:t>
      </w:r>
      <w:r w:rsidRPr="00045DFA">
        <w:rPr>
          <w:rFonts w:asciiTheme="majorHAnsi" w:hAnsiTheme="majorHAnsi" w:cs="Times New Roman"/>
          <w:b/>
          <w:bCs/>
        </w:rPr>
        <w:t>[6]</w:t>
      </w:r>
      <w:r w:rsidRPr="00045DFA">
        <w:rPr>
          <w:rFonts w:asciiTheme="majorHAnsi" w:hAnsiTheme="majorHAnsi" w:cs="Times New Roman"/>
        </w:rPr>
        <w:t xml:space="preserve">. Excessive crystalloid administration during early resuscitation may compound interstitial oedema, increasing risk of pulmonary compromise and extremity compartment syndrome </w:t>
      </w:r>
      <w:r w:rsidRPr="00045DFA">
        <w:rPr>
          <w:rFonts w:asciiTheme="majorHAnsi" w:hAnsiTheme="majorHAnsi" w:cs="Times New Roman"/>
          <w:b/>
          <w:bCs/>
        </w:rPr>
        <w:t>[22,23]</w:t>
      </w:r>
      <w:r w:rsidRPr="00045DFA">
        <w:rPr>
          <w:rFonts w:asciiTheme="majorHAnsi" w:hAnsiTheme="majorHAnsi" w:cs="Times New Roman"/>
        </w:rPr>
        <w:t xml:space="preserve">. Positive fluid balance exceeding 2–3 litres within the first 24 hours has been associated with worse pulmonary outcomes in critically ill populations </w:t>
      </w:r>
      <w:r w:rsidRPr="00045DFA">
        <w:rPr>
          <w:rFonts w:asciiTheme="majorHAnsi" w:hAnsiTheme="majorHAnsi" w:cs="Times New Roman"/>
          <w:b/>
          <w:bCs/>
        </w:rPr>
        <w:t>[23,44]</w:t>
      </w:r>
      <w:r w:rsidRPr="00045DFA">
        <w:rPr>
          <w:rFonts w:asciiTheme="majorHAnsi" w:hAnsiTheme="majorHAnsi" w:cs="Times New Roman"/>
        </w:rPr>
        <w:t>.</w:t>
      </w:r>
    </w:p>
    <w:p w14:paraId="4815CC74" w14:textId="77777777" w:rsidR="0059516A" w:rsidRPr="00045DFA" w:rsidRDefault="0059516A" w:rsidP="001677C5">
      <w:pPr>
        <w:spacing w:after="0" w:line="276" w:lineRule="auto"/>
        <w:rPr>
          <w:rFonts w:asciiTheme="majorHAnsi" w:hAnsiTheme="majorHAnsi" w:cs="Times New Roman"/>
        </w:rPr>
      </w:pPr>
    </w:p>
    <w:p w14:paraId="3B71C18D" w14:textId="1E94A8A0" w:rsidR="001677C5" w:rsidRPr="00045DFA" w:rsidRDefault="001677C5" w:rsidP="001677C5">
      <w:pPr>
        <w:spacing w:after="0" w:line="276" w:lineRule="auto"/>
        <w:rPr>
          <w:rFonts w:asciiTheme="majorHAnsi" w:hAnsiTheme="majorHAnsi" w:cs="Times New Roman"/>
        </w:rPr>
      </w:pPr>
      <w:r w:rsidRPr="00045DFA">
        <w:rPr>
          <w:rFonts w:asciiTheme="majorHAnsi" w:hAnsiTheme="majorHAnsi" w:cs="Times New Roman"/>
        </w:rPr>
        <w:t xml:space="preserve">Metabolic consequences are equally important. Resting energy expenditure may increase by 20–50% following major trauma, accompanied by accelerated skeletal muscle protein breakdown </w:t>
      </w:r>
      <w:r w:rsidRPr="00045DFA">
        <w:rPr>
          <w:rFonts w:asciiTheme="majorHAnsi" w:hAnsiTheme="majorHAnsi" w:cs="Times New Roman"/>
          <w:b/>
          <w:bCs/>
        </w:rPr>
        <w:t>[24–26]</w:t>
      </w:r>
      <w:r w:rsidRPr="00045DFA">
        <w:rPr>
          <w:rFonts w:asciiTheme="majorHAnsi" w:hAnsiTheme="majorHAnsi" w:cs="Times New Roman"/>
        </w:rPr>
        <w:t xml:space="preserve">. Without early nutritional support and mobilisation, measurable lean mass loss can occur within days of ICU admission. Muscle wasting contributes to prolonged ventilatory dependence and delayed fracture rehabilitation </w:t>
      </w:r>
      <w:r w:rsidRPr="00045DFA">
        <w:rPr>
          <w:rFonts w:asciiTheme="majorHAnsi" w:hAnsiTheme="majorHAnsi" w:cs="Times New Roman"/>
          <w:b/>
          <w:bCs/>
        </w:rPr>
        <w:t>[28]</w:t>
      </w:r>
      <w:r w:rsidRPr="00045DFA">
        <w:rPr>
          <w:rFonts w:asciiTheme="majorHAnsi" w:hAnsiTheme="majorHAnsi" w:cs="Times New Roman"/>
        </w:rPr>
        <w:t>.</w:t>
      </w:r>
    </w:p>
    <w:p w14:paraId="57BCFD70" w14:textId="77777777" w:rsidR="0059516A" w:rsidRPr="00045DFA" w:rsidRDefault="0059516A" w:rsidP="001677C5">
      <w:pPr>
        <w:spacing w:after="0" w:line="276" w:lineRule="auto"/>
        <w:rPr>
          <w:rFonts w:asciiTheme="majorHAnsi" w:hAnsiTheme="majorHAnsi" w:cs="Times New Roman"/>
        </w:rPr>
      </w:pPr>
    </w:p>
    <w:p w14:paraId="161B2374" w14:textId="77777777" w:rsidR="001677C5" w:rsidRPr="00045DFA" w:rsidRDefault="001677C5" w:rsidP="001677C5">
      <w:pPr>
        <w:spacing w:after="0" w:line="276" w:lineRule="auto"/>
        <w:rPr>
          <w:rFonts w:asciiTheme="majorHAnsi" w:hAnsiTheme="majorHAnsi" w:cs="Times New Roman"/>
        </w:rPr>
      </w:pPr>
      <w:r w:rsidRPr="00045DFA">
        <w:rPr>
          <w:rFonts w:asciiTheme="majorHAnsi" w:hAnsiTheme="majorHAnsi" w:cs="Times New Roman"/>
        </w:rPr>
        <w:t xml:space="preserve">Pulmonary vulnerability represents a central convergence point. ARDS develops in approximately 10–20% of patients with severe trauma and carries reported mortality rates of 30–46% depending on severity and system capacity </w:t>
      </w:r>
      <w:r w:rsidRPr="00045DFA">
        <w:rPr>
          <w:rFonts w:asciiTheme="majorHAnsi" w:hAnsiTheme="majorHAnsi" w:cs="Times New Roman"/>
          <w:b/>
          <w:bCs/>
        </w:rPr>
        <w:t>[10,20,21]</w:t>
      </w:r>
      <w:r w:rsidRPr="00045DFA">
        <w:rPr>
          <w:rFonts w:asciiTheme="majorHAnsi" w:hAnsiTheme="majorHAnsi" w:cs="Times New Roman"/>
        </w:rPr>
        <w:t xml:space="preserve">. Factors that intensify systemic inflammation—including delayed fracture stabilisation or excessive operative burden in unstable patients—have been associated with increased pulmonary complications </w:t>
      </w:r>
      <w:r w:rsidRPr="00045DFA">
        <w:rPr>
          <w:rFonts w:asciiTheme="majorHAnsi" w:hAnsiTheme="majorHAnsi" w:cs="Times New Roman"/>
          <w:b/>
          <w:bCs/>
        </w:rPr>
        <w:t>[43,17]</w:t>
      </w:r>
      <w:r w:rsidRPr="00045DFA">
        <w:rPr>
          <w:rFonts w:asciiTheme="majorHAnsi" w:hAnsiTheme="majorHAnsi" w:cs="Times New Roman"/>
        </w:rPr>
        <w:t>.</w:t>
      </w:r>
    </w:p>
    <w:p w14:paraId="0BFF1EF9" w14:textId="77777777" w:rsidR="0059516A" w:rsidRPr="00045DFA" w:rsidRDefault="0059516A" w:rsidP="001677C5">
      <w:pPr>
        <w:spacing w:after="0" w:line="276" w:lineRule="auto"/>
        <w:rPr>
          <w:rFonts w:asciiTheme="majorHAnsi" w:hAnsiTheme="majorHAnsi" w:cs="Times New Roman"/>
        </w:rPr>
      </w:pPr>
    </w:p>
    <w:p w14:paraId="2A2BDBD4" w14:textId="77777777" w:rsidR="001677C5" w:rsidRPr="00045DFA" w:rsidRDefault="001677C5" w:rsidP="001677C5">
      <w:pPr>
        <w:spacing w:after="0" w:line="276" w:lineRule="auto"/>
        <w:rPr>
          <w:rFonts w:asciiTheme="majorHAnsi" w:hAnsiTheme="majorHAnsi" w:cs="Times New Roman"/>
        </w:rPr>
      </w:pPr>
      <w:r w:rsidRPr="00045DFA">
        <w:rPr>
          <w:rFonts w:asciiTheme="majorHAnsi" w:hAnsiTheme="majorHAnsi" w:cs="Times New Roman"/>
        </w:rPr>
        <w:t xml:space="preserve">Coagulopathy further complicates recovery. Trauma-induced coagulopathy has been reported in up to 25–35% of severely injured patients and is associated with increased mortality </w:t>
      </w:r>
      <w:r w:rsidRPr="00045DFA">
        <w:rPr>
          <w:rFonts w:asciiTheme="majorHAnsi" w:hAnsiTheme="majorHAnsi" w:cs="Times New Roman"/>
          <w:b/>
          <w:bCs/>
        </w:rPr>
        <w:t>[5]</w:t>
      </w:r>
      <w:r w:rsidRPr="00045DFA">
        <w:rPr>
          <w:rFonts w:asciiTheme="majorHAnsi" w:hAnsiTheme="majorHAnsi" w:cs="Times New Roman"/>
        </w:rPr>
        <w:t>. Delayed haemostatic control and transfusion imbalance may prolong inflammatory activation and organ dysfunction.</w:t>
      </w:r>
    </w:p>
    <w:p w14:paraId="6F9D20D1" w14:textId="77777777" w:rsidR="001677C5" w:rsidRPr="00045DFA" w:rsidRDefault="001677C5" w:rsidP="001677C5">
      <w:pPr>
        <w:spacing w:after="0" w:line="276" w:lineRule="auto"/>
        <w:rPr>
          <w:rFonts w:asciiTheme="majorHAnsi" w:hAnsiTheme="majorHAnsi" w:cs="Times New Roman"/>
        </w:rPr>
      </w:pPr>
      <w:r w:rsidRPr="00045DFA">
        <w:rPr>
          <w:rFonts w:asciiTheme="majorHAnsi" w:hAnsiTheme="majorHAnsi" w:cs="Times New Roman"/>
        </w:rPr>
        <w:t xml:space="preserve">These biological processes are interconnected. Hyperinflammation, endothelial leak, metabolic stress, and immune suppression do not operate independently. Instead, they form a cascade in which early physiological </w:t>
      </w:r>
      <w:r w:rsidRPr="00045DFA">
        <w:rPr>
          <w:rFonts w:asciiTheme="majorHAnsi" w:hAnsiTheme="majorHAnsi" w:cs="Times New Roman"/>
        </w:rPr>
        <w:lastRenderedPageBreak/>
        <w:t>decisions—resuscitation volume, timing of fixation, initiation of feeding—modulate downstream organ vulnerability.</w:t>
      </w:r>
    </w:p>
    <w:p w14:paraId="7A00D2BB" w14:textId="5553E30A" w:rsidR="001677C5" w:rsidRPr="00045DFA" w:rsidRDefault="001677C5" w:rsidP="001677C5">
      <w:pPr>
        <w:spacing w:after="0" w:line="276" w:lineRule="auto"/>
        <w:rPr>
          <w:rFonts w:asciiTheme="majorHAnsi" w:hAnsiTheme="majorHAnsi" w:cs="Times New Roman"/>
        </w:rPr>
      </w:pPr>
    </w:p>
    <w:p w14:paraId="0CA143DA" w14:textId="7F84FAA2" w:rsidR="001677C5" w:rsidRPr="00045DFA" w:rsidRDefault="001677C5" w:rsidP="001677C5">
      <w:pPr>
        <w:spacing w:after="0" w:line="276" w:lineRule="auto"/>
        <w:rPr>
          <w:rFonts w:asciiTheme="majorHAnsi" w:hAnsiTheme="majorHAnsi" w:cs="Times New Roman"/>
          <w:b/>
          <w:bCs/>
        </w:rPr>
      </w:pPr>
      <w:r w:rsidRPr="00045DFA">
        <w:rPr>
          <w:rFonts w:asciiTheme="majorHAnsi" w:hAnsiTheme="majorHAnsi" w:cs="Times New Roman"/>
          <w:b/>
          <w:bCs/>
        </w:rPr>
        <w:t>Pre-Injury Vulnerability and Biological Age</w:t>
      </w:r>
    </w:p>
    <w:p w14:paraId="21B4B5AC" w14:textId="77777777" w:rsidR="001677C5" w:rsidRPr="00045DFA" w:rsidRDefault="001677C5" w:rsidP="001677C5">
      <w:pPr>
        <w:spacing w:after="0" w:line="276" w:lineRule="auto"/>
        <w:rPr>
          <w:rFonts w:asciiTheme="majorHAnsi" w:hAnsiTheme="majorHAnsi" w:cs="Times New Roman"/>
        </w:rPr>
      </w:pPr>
      <w:r w:rsidRPr="00045DFA">
        <w:rPr>
          <w:rFonts w:asciiTheme="majorHAnsi" w:hAnsiTheme="majorHAnsi" w:cs="Times New Roman"/>
        </w:rPr>
        <w:t xml:space="preserve">Inflammatory tolerance is not uniform across trauma patients. Advanced biological age and pre-existing sarcopenia are associated with reduced physiological reserve and impaired </w:t>
      </w:r>
      <w:proofErr w:type="spellStart"/>
      <w:r w:rsidRPr="00045DFA">
        <w:rPr>
          <w:rFonts w:asciiTheme="majorHAnsi" w:hAnsiTheme="majorHAnsi" w:cs="Times New Roman"/>
        </w:rPr>
        <w:t>immunometabolic</w:t>
      </w:r>
      <w:proofErr w:type="spellEnd"/>
      <w:r w:rsidRPr="00045DFA">
        <w:rPr>
          <w:rFonts w:asciiTheme="majorHAnsi" w:hAnsiTheme="majorHAnsi" w:cs="Times New Roman"/>
        </w:rPr>
        <w:t xml:space="preserve"> response </w:t>
      </w:r>
      <w:r w:rsidRPr="00045DFA">
        <w:rPr>
          <w:rFonts w:asciiTheme="majorHAnsi" w:hAnsiTheme="majorHAnsi" w:cs="Times New Roman"/>
          <w:b/>
          <w:bCs/>
        </w:rPr>
        <w:t>[47]</w:t>
      </w:r>
      <w:r w:rsidRPr="00045DFA">
        <w:rPr>
          <w:rFonts w:asciiTheme="majorHAnsi" w:hAnsiTheme="majorHAnsi" w:cs="Times New Roman"/>
        </w:rPr>
        <w:t xml:space="preserve">. Age-related alterations in inflammatory signalling and muscle regenerative capacity may amplify hypercatabolic effects following injury </w:t>
      </w:r>
      <w:r w:rsidRPr="00045DFA">
        <w:rPr>
          <w:rFonts w:asciiTheme="majorHAnsi" w:hAnsiTheme="majorHAnsi" w:cs="Times New Roman"/>
          <w:b/>
          <w:bCs/>
        </w:rPr>
        <w:t>[24,47]</w:t>
      </w:r>
      <w:r w:rsidRPr="00045DFA">
        <w:rPr>
          <w:rFonts w:asciiTheme="majorHAnsi" w:hAnsiTheme="majorHAnsi" w:cs="Times New Roman"/>
        </w:rPr>
        <w:t xml:space="preserve">. In older trauma populations, comparable injury severity scores may translate into higher rates of organ dysfunction and prolonged recovery </w:t>
      </w:r>
      <w:r w:rsidRPr="00045DFA">
        <w:rPr>
          <w:rFonts w:asciiTheme="majorHAnsi" w:hAnsiTheme="majorHAnsi" w:cs="Times New Roman"/>
          <w:b/>
          <w:bCs/>
        </w:rPr>
        <w:t>[10]</w:t>
      </w:r>
      <w:r w:rsidRPr="00045DFA">
        <w:rPr>
          <w:rFonts w:asciiTheme="majorHAnsi" w:hAnsiTheme="majorHAnsi" w:cs="Times New Roman"/>
        </w:rPr>
        <w:t>. Incorporating biological vulnerability into recovery sequencing may further individualise operative timing and metabolic strategy.</w:t>
      </w:r>
    </w:p>
    <w:p w14:paraId="17084391" w14:textId="3314D749" w:rsidR="007D042B" w:rsidRPr="00045DFA" w:rsidRDefault="007D042B" w:rsidP="00680D07">
      <w:pPr>
        <w:spacing w:after="0" w:line="276" w:lineRule="auto"/>
        <w:rPr>
          <w:rFonts w:asciiTheme="majorHAnsi" w:hAnsiTheme="majorHAnsi" w:cs="Times New Roman"/>
        </w:rPr>
      </w:pPr>
    </w:p>
    <w:p w14:paraId="4193DB8B" w14:textId="77777777" w:rsidR="007D042B" w:rsidRPr="00045DFA" w:rsidRDefault="007D042B" w:rsidP="00680D07">
      <w:pPr>
        <w:spacing w:after="0" w:line="276" w:lineRule="auto"/>
        <w:rPr>
          <w:rFonts w:asciiTheme="majorHAnsi" w:hAnsiTheme="majorHAnsi" w:cs="Times New Roman"/>
        </w:rPr>
      </w:pPr>
    </w:p>
    <w:p w14:paraId="52E736C7" w14:textId="77777777" w:rsidR="0059516A" w:rsidRPr="00045DFA" w:rsidRDefault="0059516A" w:rsidP="00680D07">
      <w:pPr>
        <w:spacing w:after="0" w:line="276" w:lineRule="auto"/>
        <w:rPr>
          <w:rFonts w:asciiTheme="majorHAnsi" w:hAnsiTheme="majorHAnsi" w:cs="Times New Roman"/>
        </w:rPr>
      </w:pPr>
    </w:p>
    <w:p w14:paraId="2B9BF53C" w14:textId="77777777" w:rsidR="00680D07" w:rsidRPr="00045DFA" w:rsidRDefault="002C121A" w:rsidP="00680D07">
      <w:pPr>
        <w:spacing w:after="0" w:line="276" w:lineRule="auto"/>
        <w:rPr>
          <w:rFonts w:asciiTheme="majorHAnsi" w:hAnsiTheme="majorHAnsi" w:cs="Times New Roman"/>
          <w:b/>
          <w:bCs/>
        </w:rPr>
      </w:pPr>
      <w:r w:rsidRPr="00045DFA">
        <w:rPr>
          <w:rFonts w:asciiTheme="majorHAnsi" w:hAnsiTheme="majorHAnsi" w:cs="Times New Roman"/>
          <w:b/>
          <w:bCs/>
        </w:rPr>
        <w:t>Figure 1. The Polytrauma Recovery Cascade: Biological Amplifiers and Intervention Overlay.</w:t>
      </w:r>
    </w:p>
    <w:p w14:paraId="3B713E9D" w14:textId="64CFE55B" w:rsidR="00A34858" w:rsidRPr="00045DFA" w:rsidRDefault="00C12C64" w:rsidP="00680D07">
      <w:pPr>
        <w:spacing w:after="0" w:line="276" w:lineRule="auto"/>
        <w:rPr>
          <w:rFonts w:asciiTheme="majorHAnsi" w:hAnsiTheme="majorHAnsi" w:cs="Times New Roman"/>
        </w:rPr>
      </w:pPr>
      <w:r w:rsidRPr="00045DFA">
        <w:rPr>
          <w:rFonts w:asciiTheme="majorHAnsi" w:hAnsiTheme="majorHAnsi"/>
          <w:noProof/>
        </w:rPr>
        <w:drawing>
          <wp:inline distT="0" distB="0" distL="0" distR="0" wp14:anchorId="169EC846" wp14:editId="2482F625">
            <wp:extent cx="6188710" cy="3980180"/>
            <wp:effectExtent l="0" t="0" r="2540" b="1270"/>
            <wp:docPr id="964526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26800" name=""/>
                    <pic:cNvPicPr/>
                  </pic:nvPicPr>
                  <pic:blipFill>
                    <a:blip r:embed="rId7"/>
                    <a:stretch>
                      <a:fillRect/>
                    </a:stretch>
                  </pic:blipFill>
                  <pic:spPr>
                    <a:xfrm>
                      <a:off x="0" y="0"/>
                      <a:ext cx="6188710" cy="3980180"/>
                    </a:xfrm>
                    <a:prstGeom prst="rect">
                      <a:avLst/>
                    </a:prstGeom>
                  </pic:spPr>
                </pic:pic>
              </a:graphicData>
            </a:graphic>
          </wp:inline>
        </w:drawing>
      </w:r>
    </w:p>
    <w:p w14:paraId="63751227" w14:textId="77777777" w:rsidR="00A34858" w:rsidRPr="00045DFA" w:rsidRDefault="00A34858" w:rsidP="00680D07">
      <w:pPr>
        <w:spacing w:after="0" w:line="276" w:lineRule="auto"/>
        <w:rPr>
          <w:rFonts w:asciiTheme="majorHAnsi" w:hAnsiTheme="majorHAnsi" w:cs="Times New Roman"/>
        </w:rPr>
      </w:pPr>
    </w:p>
    <w:p w14:paraId="2D47A112" w14:textId="77777777" w:rsidR="00A34858" w:rsidRPr="00045DFA" w:rsidRDefault="00A34858" w:rsidP="00680D07">
      <w:pPr>
        <w:spacing w:after="0" w:line="276" w:lineRule="auto"/>
        <w:rPr>
          <w:rFonts w:asciiTheme="majorHAnsi" w:hAnsiTheme="majorHAnsi" w:cs="Times New Roman"/>
        </w:rPr>
      </w:pPr>
    </w:p>
    <w:p w14:paraId="4C0B46C4" w14:textId="77777777" w:rsidR="00A34858" w:rsidRPr="00045DFA" w:rsidRDefault="00A34858" w:rsidP="00680D07">
      <w:pPr>
        <w:spacing w:after="0" w:line="276" w:lineRule="auto"/>
        <w:rPr>
          <w:rFonts w:asciiTheme="majorHAnsi" w:hAnsiTheme="majorHAnsi" w:cs="Times New Roman"/>
        </w:rPr>
      </w:pPr>
    </w:p>
    <w:p w14:paraId="020A267C" w14:textId="2FFB0568" w:rsidR="002C121A" w:rsidRPr="00045DFA" w:rsidRDefault="002C121A" w:rsidP="00680D07">
      <w:pPr>
        <w:spacing w:after="0" w:line="276" w:lineRule="auto"/>
        <w:rPr>
          <w:rFonts w:asciiTheme="majorHAnsi" w:hAnsiTheme="majorHAnsi" w:cs="Times New Roman"/>
        </w:rPr>
      </w:pPr>
      <w:r w:rsidRPr="00045DFA">
        <w:rPr>
          <w:rFonts w:asciiTheme="majorHAnsi" w:hAnsiTheme="majorHAnsi" w:cs="Times New Roman"/>
        </w:rPr>
        <w:br/>
        <w:t xml:space="preserve">This figure illustrates the progression from initial injury and haemorrhage to systemic inflammatory activation, endothelial dysfunction, </w:t>
      </w:r>
      <w:proofErr w:type="spellStart"/>
      <w:r w:rsidRPr="00045DFA">
        <w:rPr>
          <w:rFonts w:asciiTheme="majorHAnsi" w:hAnsiTheme="majorHAnsi" w:cs="Times New Roman"/>
        </w:rPr>
        <w:t>hypercatabolism</w:t>
      </w:r>
      <w:proofErr w:type="spellEnd"/>
      <w:r w:rsidRPr="00045DFA">
        <w:rPr>
          <w:rFonts w:asciiTheme="majorHAnsi" w:hAnsiTheme="majorHAnsi" w:cs="Times New Roman"/>
        </w:rPr>
        <w:t>, and pulmonary vulnerability. Overlay arrows demonstrate points at which Tier 1 interventions (early nutrition, fluid discipline, physiologically guided fixation, antimicrobial prophylaxis, and mobilisation) may attenuate downstream complications including ARDS, MOF, and infection.</w:t>
      </w:r>
    </w:p>
    <w:p w14:paraId="5A730763" w14:textId="0B2D6316" w:rsidR="002C121A" w:rsidRPr="00045DFA" w:rsidRDefault="002C121A" w:rsidP="00680D07">
      <w:pPr>
        <w:spacing w:after="0" w:line="276" w:lineRule="auto"/>
        <w:rPr>
          <w:rFonts w:asciiTheme="majorHAnsi" w:hAnsiTheme="majorHAnsi" w:cs="Times New Roman"/>
        </w:rPr>
      </w:pPr>
    </w:p>
    <w:p w14:paraId="76B15D5F" w14:textId="77777777" w:rsidR="00680D07" w:rsidRPr="00045DFA" w:rsidRDefault="00680D07" w:rsidP="00680D07">
      <w:pPr>
        <w:spacing w:after="0" w:line="276" w:lineRule="auto"/>
        <w:rPr>
          <w:rFonts w:asciiTheme="majorHAnsi" w:hAnsiTheme="majorHAnsi" w:cs="Segoe UI Emoji"/>
          <w:b/>
          <w:bCs/>
        </w:rPr>
      </w:pPr>
    </w:p>
    <w:p w14:paraId="239FE4A5" w14:textId="5625CBDD" w:rsidR="001677C5" w:rsidRPr="00045DFA" w:rsidRDefault="001677C5" w:rsidP="001677C5">
      <w:pPr>
        <w:spacing w:after="0" w:line="276" w:lineRule="auto"/>
        <w:rPr>
          <w:rFonts w:asciiTheme="majorHAnsi" w:hAnsiTheme="majorHAnsi" w:cs="Times New Roman"/>
          <w:b/>
          <w:bCs/>
        </w:rPr>
      </w:pPr>
      <w:r w:rsidRPr="00045DFA">
        <w:rPr>
          <w:rFonts w:asciiTheme="majorHAnsi" w:hAnsiTheme="majorHAnsi" w:cs="Times New Roman"/>
          <w:b/>
          <w:bCs/>
        </w:rPr>
        <w:t xml:space="preserve">Table 2. Biological Amplifiers in Polytrauma: Quantitative Mechanisms and Recovery Implications </w:t>
      </w:r>
    </w:p>
    <w:tbl>
      <w:tblPr>
        <w:tblStyle w:val="TableGrid1"/>
        <w:tblW w:w="0" w:type="auto"/>
        <w:tblLook w:val="04A0" w:firstRow="1" w:lastRow="0" w:firstColumn="1" w:lastColumn="0" w:noHBand="0" w:noVBand="1"/>
      </w:tblPr>
      <w:tblGrid>
        <w:gridCol w:w="1571"/>
        <w:gridCol w:w="1651"/>
        <w:gridCol w:w="1178"/>
        <w:gridCol w:w="1451"/>
        <w:gridCol w:w="1277"/>
        <w:gridCol w:w="1657"/>
        <w:gridCol w:w="951"/>
      </w:tblGrid>
      <w:tr w:rsidR="001677C5" w:rsidRPr="00045DFA" w14:paraId="484506F7" w14:textId="77777777" w:rsidTr="0059516A">
        <w:tc>
          <w:tcPr>
            <w:tcW w:w="0" w:type="auto"/>
            <w:hideMark/>
          </w:tcPr>
          <w:p w14:paraId="48135EDD" w14:textId="77777777" w:rsidR="001677C5" w:rsidRPr="00045DFA" w:rsidRDefault="001677C5" w:rsidP="001677C5">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Mechanistic Domain</w:t>
            </w:r>
          </w:p>
        </w:tc>
        <w:tc>
          <w:tcPr>
            <w:tcW w:w="0" w:type="auto"/>
            <w:hideMark/>
          </w:tcPr>
          <w:p w14:paraId="2A2B24B8" w14:textId="77777777" w:rsidR="001677C5" w:rsidRPr="00045DFA" w:rsidRDefault="001677C5" w:rsidP="001677C5">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Quantitative Biological Signal</w:t>
            </w:r>
          </w:p>
        </w:tc>
        <w:tc>
          <w:tcPr>
            <w:tcW w:w="0" w:type="auto"/>
            <w:hideMark/>
          </w:tcPr>
          <w:p w14:paraId="542C77EA" w14:textId="77777777" w:rsidR="001677C5" w:rsidRPr="00045DFA" w:rsidRDefault="001677C5" w:rsidP="001677C5">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Incidence / Magnitude</w:t>
            </w:r>
          </w:p>
        </w:tc>
        <w:tc>
          <w:tcPr>
            <w:tcW w:w="0" w:type="auto"/>
            <w:hideMark/>
          </w:tcPr>
          <w:p w14:paraId="49013A61" w14:textId="77777777" w:rsidR="001677C5" w:rsidRPr="00045DFA" w:rsidRDefault="001677C5" w:rsidP="001677C5">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Clinical Manifestation</w:t>
            </w:r>
          </w:p>
        </w:tc>
        <w:tc>
          <w:tcPr>
            <w:tcW w:w="0" w:type="auto"/>
            <w:hideMark/>
          </w:tcPr>
          <w:p w14:paraId="4F296411" w14:textId="77777777" w:rsidR="001677C5" w:rsidRPr="00045DFA" w:rsidRDefault="001677C5" w:rsidP="001677C5">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Interaction with Abdominal &amp; Orthopaedic Injury</w:t>
            </w:r>
          </w:p>
        </w:tc>
        <w:tc>
          <w:tcPr>
            <w:tcW w:w="0" w:type="auto"/>
            <w:hideMark/>
          </w:tcPr>
          <w:p w14:paraId="01F0CF4C" w14:textId="77777777" w:rsidR="001677C5" w:rsidRPr="00045DFA" w:rsidRDefault="001677C5" w:rsidP="001677C5">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Recovery-Relevant Intervention</w:t>
            </w:r>
          </w:p>
        </w:tc>
        <w:tc>
          <w:tcPr>
            <w:tcW w:w="0" w:type="auto"/>
            <w:hideMark/>
          </w:tcPr>
          <w:p w14:paraId="0E4D5866" w14:textId="77777777" w:rsidR="001677C5" w:rsidRPr="00045DFA" w:rsidRDefault="001677C5" w:rsidP="001677C5">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Key Refs</w:t>
            </w:r>
          </w:p>
        </w:tc>
      </w:tr>
      <w:tr w:rsidR="001677C5" w:rsidRPr="00045DFA" w14:paraId="78147F9C" w14:textId="77777777" w:rsidTr="0059516A">
        <w:tc>
          <w:tcPr>
            <w:tcW w:w="0" w:type="auto"/>
            <w:hideMark/>
          </w:tcPr>
          <w:p w14:paraId="1B290E45"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Systemic inflammatory activation</w:t>
            </w:r>
          </w:p>
        </w:tc>
        <w:tc>
          <w:tcPr>
            <w:tcW w:w="0" w:type="auto"/>
            <w:hideMark/>
          </w:tcPr>
          <w:p w14:paraId="11152D0F"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 xml:space="preserve">IL-6 &gt;500–1,000 </w:t>
            </w:r>
            <w:proofErr w:type="spellStart"/>
            <w:r w:rsidRPr="00045DFA">
              <w:rPr>
                <w:rFonts w:asciiTheme="majorHAnsi" w:hAnsiTheme="majorHAnsi" w:cs="Times New Roman"/>
                <w:sz w:val="20"/>
                <w:szCs w:val="20"/>
              </w:rPr>
              <w:t>pg</w:t>
            </w:r>
            <w:proofErr w:type="spellEnd"/>
            <w:r w:rsidRPr="00045DFA">
              <w:rPr>
                <w:rFonts w:asciiTheme="majorHAnsi" w:hAnsiTheme="majorHAnsi" w:cs="Times New Roman"/>
                <w:sz w:val="20"/>
                <w:szCs w:val="20"/>
              </w:rPr>
              <w:t>/mL; early cytokine surge</w:t>
            </w:r>
          </w:p>
        </w:tc>
        <w:tc>
          <w:tcPr>
            <w:tcW w:w="0" w:type="auto"/>
            <w:hideMark/>
          </w:tcPr>
          <w:p w14:paraId="746E5091"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Cytokines correlate with injury severity</w:t>
            </w:r>
          </w:p>
        </w:tc>
        <w:tc>
          <w:tcPr>
            <w:tcW w:w="0" w:type="auto"/>
            <w:hideMark/>
          </w:tcPr>
          <w:p w14:paraId="4715CCC0"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SIRS, fever, tachycardia</w:t>
            </w:r>
          </w:p>
        </w:tc>
        <w:tc>
          <w:tcPr>
            <w:tcW w:w="0" w:type="auto"/>
            <w:hideMark/>
          </w:tcPr>
          <w:p w14:paraId="2A5CC82E"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Amplified by prolonged operative time (“second hit”)</w:t>
            </w:r>
          </w:p>
        </w:tc>
        <w:tc>
          <w:tcPr>
            <w:tcW w:w="0" w:type="auto"/>
            <w:hideMark/>
          </w:tcPr>
          <w:p w14:paraId="44784BCD"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Physiologically guided fixation timing</w:t>
            </w:r>
          </w:p>
        </w:tc>
        <w:tc>
          <w:tcPr>
            <w:tcW w:w="0" w:type="auto"/>
            <w:hideMark/>
          </w:tcPr>
          <w:p w14:paraId="5600CF10"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[3,4,42]</w:t>
            </w:r>
          </w:p>
        </w:tc>
      </w:tr>
      <w:tr w:rsidR="001677C5" w:rsidRPr="00045DFA" w14:paraId="3A8ED2A2" w14:textId="77777777" w:rsidTr="0059516A">
        <w:tc>
          <w:tcPr>
            <w:tcW w:w="0" w:type="auto"/>
            <w:hideMark/>
          </w:tcPr>
          <w:p w14:paraId="45708BF7"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Second-hit inflammatory amplification</w:t>
            </w:r>
          </w:p>
        </w:tc>
        <w:tc>
          <w:tcPr>
            <w:tcW w:w="0" w:type="auto"/>
            <w:hideMark/>
          </w:tcPr>
          <w:p w14:paraId="09B66C29"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Increased TNF-α &amp; IL-6 after major surgery</w:t>
            </w:r>
          </w:p>
        </w:tc>
        <w:tc>
          <w:tcPr>
            <w:tcW w:w="0" w:type="auto"/>
            <w:hideMark/>
          </w:tcPr>
          <w:p w14:paraId="366003D0"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Higher MOF rates when fixation during inflammatory peak</w:t>
            </w:r>
          </w:p>
        </w:tc>
        <w:tc>
          <w:tcPr>
            <w:tcW w:w="0" w:type="auto"/>
            <w:hideMark/>
          </w:tcPr>
          <w:p w14:paraId="1C7F0EC4"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ARDS, MOF</w:t>
            </w:r>
          </w:p>
        </w:tc>
        <w:tc>
          <w:tcPr>
            <w:tcW w:w="0" w:type="auto"/>
            <w:hideMark/>
          </w:tcPr>
          <w:p w14:paraId="516644A0"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Delayed fixation worsens inflammatory load</w:t>
            </w:r>
          </w:p>
        </w:tc>
        <w:tc>
          <w:tcPr>
            <w:tcW w:w="0" w:type="auto"/>
            <w:hideMark/>
          </w:tcPr>
          <w:p w14:paraId="5B639CA5"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Damage control orthopaedics</w:t>
            </w:r>
          </w:p>
        </w:tc>
        <w:tc>
          <w:tcPr>
            <w:tcW w:w="0" w:type="auto"/>
            <w:hideMark/>
          </w:tcPr>
          <w:p w14:paraId="177D3CB6"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[8,9]</w:t>
            </w:r>
          </w:p>
        </w:tc>
      </w:tr>
      <w:tr w:rsidR="001677C5" w:rsidRPr="00045DFA" w14:paraId="618979D7" w14:textId="77777777" w:rsidTr="0059516A">
        <w:tc>
          <w:tcPr>
            <w:tcW w:w="0" w:type="auto"/>
            <w:hideMark/>
          </w:tcPr>
          <w:p w14:paraId="14335364"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Endothelial glycocalyx shedding</w:t>
            </w:r>
          </w:p>
        </w:tc>
        <w:tc>
          <w:tcPr>
            <w:tcW w:w="0" w:type="auto"/>
            <w:hideMark/>
          </w:tcPr>
          <w:p w14:paraId="1012E232"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Elevated syndecan-1 linked to shock</w:t>
            </w:r>
          </w:p>
        </w:tc>
        <w:tc>
          <w:tcPr>
            <w:tcW w:w="0" w:type="auto"/>
            <w:hideMark/>
          </w:tcPr>
          <w:p w14:paraId="3F7C5ADA"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Permeability proportional to shock duration</w:t>
            </w:r>
          </w:p>
        </w:tc>
        <w:tc>
          <w:tcPr>
            <w:tcW w:w="0" w:type="auto"/>
            <w:hideMark/>
          </w:tcPr>
          <w:p w14:paraId="20B62A00"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Tissue oedema, hypotension</w:t>
            </w:r>
          </w:p>
        </w:tc>
        <w:tc>
          <w:tcPr>
            <w:tcW w:w="0" w:type="auto"/>
            <w:hideMark/>
          </w:tcPr>
          <w:p w14:paraId="0775FC73"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Bowel oedema, compartment syndrome</w:t>
            </w:r>
          </w:p>
        </w:tc>
        <w:tc>
          <w:tcPr>
            <w:tcW w:w="0" w:type="auto"/>
            <w:hideMark/>
          </w:tcPr>
          <w:p w14:paraId="54626EF7"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Restrictive fluid strategy</w:t>
            </w:r>
          </w:p>
        </w:tc>
        <w:tc>
          <w:tcPr>
            <w:tcW w:w="0" w:type="auto"/>
            <w:hideMark/>
          </w:tcPr>
          <w:p w14:paraId="5F47D37E"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[6,39]</w:t>
            </w:r>
          </w:p>
        </w:tc>
      </w:tr>
      <w:tr w:rsidR="001677C5" w:rsidRPr="00045DFA" w14:paraId="451FC965" w14:textId="77777777" w:rsidTr="0059516A">
        <w:tc>
          <w:tcPr>
            <w:tcW w:w="0" w:type="auto"/>
            <w:hideMark/>
          </w:tcPr>
          <w:p w14:paraId="72140A9D"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Capillary leak &amp; fluid overload</w:t>
            </w:r>
          </w:p>
        </w:tc>
        <w:tc>
          <w:tcPr>
            <w:tcW w:w="0" w:type="auto"/>
            <w:hideMark/>
          </w:tcPr>
          <w:p w14:paraId="05E81D41"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Fluid balance &gt;2–3 L/24h</w:t>
            </w:r>
          </w:p>
        </w:tc>
        <w:tc>
          <w:tcPr>
            <w:tcW w:w="0" w:type="auto"/>
            <w:hideMark/>
          </w:tcPr>
          <w:p w14:paraId="34B6EF9A"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Increased ventilator days</w:t>
            </w:r>
          </w:p>
        </w:tc>
        <w:tc>
          <w:tcPr>
            <w:tcW w:w="0" w:type="auto"/>
            <w:hideMark/>
          </w:tcPr>
          <w:p w14:paraId="6912A821"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Pulmonary oedema, ARDS</w:t>
            </w:r>
          </w:p>
        </w:tc>
        <w:tc>
          <w:tcPr>
            <w:tcW w:w="0" w:type="auto"/>
            <w:hideMark/>
          </w:tcPr>
          <w:p w14:paraId="0BC8FB3E"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Closure tension, limb swelling</w:t>
            </w:r>
          </w:p>
        </w:tc>
        <w:tc>
          <w:tcPr>
            <w:tcW w:w="0" w:type="auto"/>
            <w:hideMark/>
          </w:tcPr>
          <w:p w14:paraId="385B39AA"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Early fluid de-escalation</w:t>
            </w:r>
          </w:p>
        </w:tc>
        <w:tc>
          <w:tcPr>
            <w:tcW w:w="0" w:type="auto"/>
            <w:hideMark/>
          </w:tcPr>
          <w:p w14:paraId="1EBFF4D1"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[23,44]</w:t>
            </w:r>
          </w:p>
        </w:tc>
      </w:tr>
      <w:tr w:rsidR="001677C5" w:rsidRPr="00045DFA" w14:paraId="1EA581E0" w14:textId="77777777" w:rsidTr="0059516A">
        <w:tc>
          <w:tcPr>
            <w:tcW w:w="0" w:type="auto"/>
            <w:hideMark/>
          </w:tcPr>
          <w:p w14:paraId="6F7E0EDD" w14:textId="77777777" w:rsidR="001677C5" w:rsidRPr="00045DFA" w:rsidRDefault="001677C5" w:rsidP="001677C5">
            <w:pPr>
              <w:spacing w:line="276" w:lineRule="auto"/>
              <w:rPr>
                <w:rFonts w:asciiTheme="majorHAnsi" w:hAnsiTheme="majorHAnsi" w:cs="Times New Roman"/>
                <w:sz w:val="20"/>
                <w:szCs w:val="20"/>
              </w:rPr>
            </w:pPr>
            <w:proofErr w:type="spellStart"/>
            <w:r w:rsidRPr="00045DFA">
              <w:rPr>
                <w:rFonts w:asciiTheme="majorHAnsi" w:hAnsiTheme="majorHAnsi" w:cs="Times New Roman"/>
                <w:b/>
                <w:bCs/>
                <w:sz w:val="20"/>
                <w:szCs w:val="20"/>
              </w:rPr>
              <w:t>Hypercatabolism</w:t>
            </w:r>
            <w:proofErr w:type="spellEnd"/>
          </w:p>
        </w:tc>
        <w:tc>
          <w:tcPr>
            <w:tcW w:w="0" w:type="auto"/>
            <w:hideMark/>
          </w:tcPr>
          <w:p w14:paraId="520D390F"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Resting energy ↑ 20–50%</w:t>
            </w:r>
          </w:p>
        </w:tc>
        <w:tc>
          <w:tcPr>
            <w:tcW w:w="0" w:type="auto"/>
            <w:hideMark/>
          </w:tcPr>
          <w:p w14:paraId="6052C931"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Persistent muscle breakdown</w:t>
            </w:r>
          </w:p>
        </w:tc>
        <w:tc>
          <w:tcPr>
            <w:tcW w:w="0" w:type="auto"/>
            <w:hideMark/>
          </w:tcPr>
          <w:p w14:paraId="62FD4759"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Lean mass loss 10–15%</w:t>
            </w:r>
          </w:p>
        </w:tc>
        <w:tc>
          <w:tcPr>
            <w:tcW w:w="0" w:type="auto"/>
            <w:hideMark/>
          </w:tcPr>
          <w:p w14:paraId="29A70669"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Delayed fracture healing</w:t>
            </w:r>
          </w:p>
        </w:tc>
        <w:tc>
          <w:tcPr>
            <w:tcW w:w="0" w:type="auto"/>
            <w:hideMark/>
          </w:tcPr>
          <w:p w14:paraId="07ADC543"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Early enteral nutrition</w:t>
            </w:r>
          </w:p>
        </w:tc>
        <w:tc>
          <w:tcPr>
            <w:tcW w:w="0" w:type="auto"/>
            <w:hideMark/>
          </w:tcPr>
          <w:p w14:paraId="30754A05"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[24–26]</w:t>
            </w:r>
          </w:p>
        </w:tc>
      </w:tr>
      <w:tr w:rsidR="001677C5" w:rsidRPr="00045DFA" w14:paraId="0FF9CA4E" w14:textId="77777777" w:rsidTr="0059516A">
        <w:tc>
          <w:tcPr>
            <w:tcW w:w="0" w:type="auto"/>
            <w:hideMark/>
          </w:tcPr>
          <w:p w14:paraId="4E7442F8"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Skeletal muscle loss</w:t>
            </w:r>
          </w:p>
        </w:tc>
        <w:tc>
          <w:tcPr>
            <w:tcW w:w="0" w:type="auto"/>
            <w:hideMark/>
          </w:tcPr>
          <w:p w14:paraId="5D3A00B4"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1–1.5% muscle/day without mobilisation</w:t>
            </w:r>
          </w:p>
        </w:tc>
        <w:tc>
          <w:tcPr>
            <w:tcW w:w="0" w:type="auto"/>
            <w:hideMark/>
          </w:tcPr>
          <w:p w14:paraId="1539E6B7"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ICU-acquired weakness</w:t>
            </w:r>
          </w:p>
        </w:tc>
        <w:tc>
          <w:tcPr>
            <w:tcW w:w="0" w:type="auto"/>
            <w:hideMark/>
          </w:tcPr>
          <w:p w14:paraId="6954AE7A"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Delayed ambulation</w:t>
            </w:r>
          </w:p>
        </w:tc>
        <w:tc>
          <w:tcPr>
            <w:tcW w:w="0" w:type="auto"/>
            <w:hideMark/>
          </w:tcPr>
          <w:p w14:paraId="70B680C5"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Impaired fracture rehab</w:t>
            </w:r>
          </w:p>
        </w:tc>
        <w:tc>
          <w:tcPr>
            <w:tcW w:w="0" w:type="auto"/>
            <w:hideMark/>
          </w:tcPr>
          <w:p w14:paraId="2476E879"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Early mobilisation</w:t>
            </w:r>
          </w:p>
        </w:tc>
        <w:tc>
          <w:tcPr>
            <w:tcW w:w="0" w:type="auto"/>
            <w:hideMark/>
          </w:tcPr>
          <w:p w14:paraId="00C13ACF"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[28]</w:t>
            </w:r>
          </w:p>
        </w:tc>
      </w:tr>
      <w:tr w:rsidR="001677C5" w:rsidRPr="00045DFA" w14:paraId="1D9E0F67" w14:textId="77777777" w:rsidTr="0059516A">
        <w:tc>
          <w:tcPr>
            <w:tcW w:w="0" w:type="auto"/>
            <w:hideMark/>
          </w:tcPr>
          <w:p w14:paraId="7CD2C12A"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Immune suppression phase</w:t>
            </w:r>
          </w:p>
        </w:tc>
        <w:tc>
          <w:tcPr>
            <w:tcW w:w="0" w:type="auto"/>
            <w:hideMark/>
          </w:tcPr>
          <w:p w14:paraId="3C4961C1"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Lymphocyte dysfunction days 3–7</w:t>
            </w:r>
          </w:p>
        </w:tc>
        <w:tc>
          <w:tcPr>
            <w:tcW w:w="0" w:type="auto"/>
            <w:hideMark/>
          </w:tcPr>
          <w:p w14:paraId="66380426"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Increased infection risk</w:t>
            </w:r>
          </w:p>
        </w:tc>
        <w:tc>
          <w:tcPr>
            <w:tcW w:w="0" w:type="auto"/>
            <w:hideMark/>
          </w:tcPr>
          <w:p w14:paraId="0E041A3F"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SSI, pneumonia</w:t>
            </w:r>
          </w:p>
        </w:tc>
        <w:tc>
          <w:tcPr>
            <w:tcW w:w="0" w:type="auto"/>
            <w:hideMark/>
          </w:tcPr>
          <w:p w14:paraId="4E6FA0B4"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Implant infection risk</w:t>
            </w:r>
          </w:p>
        </w:tc>
        <w:tc>
          <w:tcPr>
            <w:tcW w:w="0" w:type="auto"/>
            <w:hideMark/>
          </w:tcPr>
          <w:p w14:paraId="2B74ED9D"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Timely antimicrobial prophylaxis</w:t>
            </w:r>
          </w:p>
        </w:tc>
        <w:tc>
          <w:tcPr>
            <w:tcW w:w="0" w:type="auto"/>
            <w:hideMark/>
          </w:tcPr>
          <w:p w14:paraId="3FCC59CE"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[3,30]</w:t>
            </w:r>
          </w:p>
        </w:tc>
      </w:tr>
      <w:tr w:rsidR="001677C5" w:rsidRPr="00045DFA" w14:paraId="4E78FB93" w14:textId="77777777" w:rsidTr="0059516A">
        <w:tc>
          <w:tcPr>
            <w:tcW w:w="0" w:type="auto"/>
            <w:hideMark/>
          </w:tcPr>
          <w:p w14:paraId="53C1948B"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ARDS pathophysiology</w:t>
            </w:r>
          </w:p>
        </w:tc>
        <w:tc>
          <w:tcPr>
            <w:tcW w:w="0" w:type="auto"/>
            <w:hideMark/>
          </w:tcPr>
          <w:p w14:paraId="446C8631"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Incidence ~10–20%; mortality 30–46%</w:t>
            </w:r>
          </w:p>
        </w:tc>
        <w:tc>
          <w:tcPr>
            <w:tcW w:w="0" w:type="auto"/>
            <w:hideMark/>
          </w:tcPr>
          <w:p w14:paraId="1264DCA5" w14:textId="77777777" w:rsidR="001677C5" w:rsidRPr="00045DFA" w:rsidRDefault="001677C5" w:rsidP="001677C5">
            <w:pPr>
              <w:spacing w:line="276" w:lineRule="auto"/>
              <w:rPr>
                <w:rFonts w:asciiTheme="majorHAnsi" w:hAnsiTheme="majorHAnsi" w:cs="Times New Roman"/>
                <w:sz w:val="20"/>
                <w:szCs w:val="20"/>
              </w:rPr>
            </w:pPr>
            <w:proofErr w:type="spellStart"/>
            <w:r w:rsidRPr="00045DFA">
              <w:rPr>
                <w:rFonts w:asciiTheme="majorHAnsi" w:hAnsiTheme="majorHAnsi" w:cs="Times New Roman"/>
                <w:sz w:val="20"/>
                <w:szCs w:val="20"/>
              </w:rPr>
              <w:t>PaO</w:t>
            </w:r>
            <w:proofErr w:type="spellEnd"/>
            <w:r w:rsidRPr="00045DFA">
              <w:rPr>
                <w:rFonts w:asciiTheme="majorHAnsi" w:hAnsiTheme="majorHAnsi" w:cs="Times New Roman"/>
                <w:sz w:val="20"/>
                <w:szCs w:val="20"/>
              </w:rPr>
              <w:t>₂/</w:t>
            </w:r>
            <w:proofErr w:type="spellStart"/>
            <w:r w:rsidRPr="00045DFA">
              <w:rPr>
                <w:rFonts w:asciiTheme="majorHAnsi" w:hAnsiTheme="majorHAnsi" w:cs="Times New Roman"/>
                <w:sz w:val="20"/>
                <w:szCs w:val="20"/>
              </w:rPr>
              <w:t>FiO</w:t>
            </w:r>
            <w:proofErr w:type="spellEnd"/>
            <w:r w:rsidRPr="00045DFA">
              <w:rPr>
                <w:rFonts w:asciiTheme="majorHAnsi" w:hAnsiTheme="majorHAnsi" w:cs="Times New Roman"/>
                <w:sz w:val="20"/>
                <w:szCs w:val="20"/>
              </w:rPr>
              <w:t>₂ &lt;200</w:t>
            </w:r>
          </w:p>
        </w:tc>
        <w:tc>
          <w:tcPr>
            <w:tcW w:w="0" w:type="auto"/>
            <w:hideMark/>
          </w:tcPr>
          <w:p w14:paraId="42716D6C"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Prolonged ventilation</w:t>
            </w:r>
          </w:p>
        </w:tc>
        <w:tc>
          <w:tcPr>
            <w:tcW w:w="0" w:type="auto"/>
            <w:hideMark/>
          </w:tcPr>
          <w:p w14:paraId="147FAD04"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Delayed fixation increases burden</w:t>
            </w:r>
          </w:p>
        </w:tc>
        <w:tc>
          <w:tcPr>
            <w:tcW w:w="0" w:type="auto"/>
            <w:hideMark/>
          </w:tcPr>
          <w:p w14:paraId="011D31B2"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Early stabilisation</w:t>
            </w:r>
          </w:p>
        </w:tc>
        <w:tc>
          <w:tcPr>
            <w:tcW w:w="0" w:type="auto"/>
            <w:hideMark/>
          </w:tcPr>
          <w:p w14:paraId="580838D4"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[10,20,21]</w:t>
            </w:r>
          </w:p>
        </w:tc>
      </w:tr>
      <w:tr w:rsidR="001677C5" w:rsidRPr="00045DFA" w14:paraId="0AC4B2A8" w14:textId="77777777" w:rsidTr="0059516A">
        <w:tc>
          <w:tcPr>
            <w:tcW w:w="0" w:type="auto"/>
            <w:hideMark/>
          </w:tcPr>
          <w:p w14:paraId="1258248D"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Multiple organ failure</w:t>
            </w:r>
          </w:p>
        </w:tc>
        <w:tc>
          <w:tcPr>
            <w:tcW w:w="0" w:type="auto"/>
            <w:hideMark/>
          </w:tcPr>
          <w:p w14:paraId="5A7EE926"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~20–30% late trauma deaths</w:t>
            </w:r>
          </w:p>
        </w:tc>
        <w:tc>
          <w:tcPr>
            <w:tcW w:w="0" w:type="auto"/>
            <w:hideMark/>
          </w:tcPr>
          <w:p w14:paraId="51C32BEC"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Late mortality</w:t>
            </w:r>
          </w:p>
        </w:tc>
        <w:tc>
          <w:tcPr>
            <w:tcW w:w="0" w:type="auto"/>
            <w:hideMark/>
          </w:tcPr>
          <w:p w14:paraId="4778E3C3"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Renal/pulmonary failure</w:t>
            </w:r>
          </w:p>
        </w:tc>
        <w:tc>
          <w:tcPr>
            <w:tcW w:w="0" w:type="auto"/>
            <w:hideMark/>
          </w:tcPr>
          <w:p w14:paraId="03C68051"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Mistimed surgery worsens MOF</w:t>
            </w:r>
          </w:p>
        </w:tc>
        <w:tc>
          <w:tcPr>
            <w:tcW w:w="0" w:type="auto"/>
            <w:hideMark/>
          </w:tcPr>
          <w:p w14:paraId="71355A0C"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Staged operative strategy</w:t>
            </w:r>
          </w:p>
        </w:tc>
        <w:tc>
          <w:tcPr>
            <w:tcW w:w="0" w:type="auto"/>
            <w:hideMark/>
          </w:tcPr>
          <w:p w14:paraId="26CC6829"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[10,8]</w:t>
            </w:r>
          </w:p>
        </w:tc>
      </w:tr>
      <w:tr w:rsidR="001677C5" w:rsidRPr="00045DFA" w14:paraId="072888F0" w14:textId="77777777" w:rsidTr="0059516A">
        <w:tc>
          <w:tcPr>
            <w:tcW w:w="0" w:type="auto"/>
            <w:hideMark/>
          </w:tcPr>
          <w:p w14:paraId="37068EA1"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lastRenderedPageBreak/>
              <w:t>Coagulopathy</w:t>
            </w:r>
          </w:p>
        </w:tc>
        <w:tc>
          <w:tcPr>
            <w:tcW w:w="0" w:type="auto"/>
            <w:hideMark/>
          </w:tcPr>
          <w:p w14:paraId="119A87CA"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Present in 25–35% trauma</w:t>
            </w:r>
          </w:p>
        </w:tc>
        <w:tc>
          <w:tcPr>
            <w:tcW w:w="0" w:type="auto"/>
            <w:hideMark/>
          </w:tcPr>
          <w:p w14:paraId="705806EE"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3–4× mortality</w:t>
            </w:r>
          </w:p>
        </w:tc>
        <w:tc>
          <w:tcPr>
            <w:tcW w:w="0" w:type="auto"/>
            <w:hideMark/>
          </w:tcPr>
          <w:p w14:paraId="7C0EBB4A"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Bleeding</w:t>
            </w:r>
          </w:p>
        </w:tc>
        <w:tc>
          <w:tcPr>
            <w:tcW w:w="0" w:type="auto"/>
            <w:hideMark/>
          </w:tcPr>
          <w:p w14:paraId="5C33F633"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Amplifies inflammation</w:t>
            </w:r>
          </w:p>
        </w:tc>
        <w:tc>
          <w:tcPr>
            <w:tcW w:w="0" w:type="auto"/>
            <w:hideMark/>
          </w:tcPr>
          <w:p w14:paraId="5078E728"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Early haemostasis</w:t>
            </w:r>
          </w:p>
        </w:tc>
        <w:tc>
          <w:tcPr>
            <w:tcW w:w="0" w:type="auto"/>
            <w:hideMark/>
          </w:tcPr>
          <w:p w14:paraId="4948C132"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[5]</w:t>
            </w:r>
          </w:p>
        </w:tc>
      </w:tr>
      <w:tr w:rsidR="001677C5" w:rsidRPr="00045DFA" w14:paraId="3161487B" w14:textId="77777777" w:rsidTr="0059516A">
        <w:tc>
          <w:tcPr>
            <w:tcW w:w="0" w:type="auto"/>
            <w:hideMark/>
          </w:tcPr>
          <w:p w14:paraId="391A16A3"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Venous thromboembolism</w:t>
            </w:r>
          </w:p>
        </w:tc>
        <w:tc>
          <w:tcPr>
            <w:tcW w:w="0" w:type="auto"/>
            <w:hideMark/>
          </w:tcPr>
          <w:p w14:paraId="38E32E93"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Up to 10–15% incidence</w:t>
            </w:r>
          </w:p>
        </w:tc>
        <w:tc>
          <w:tcPr>
            <w:tcW w:w="0" w:type="auto"/>
            <w:hideMark/>
          </w:tcPr>
          <w:p w14:paraId="7E7EA28D"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Higher in long-bone fractures</w:t>
            </w:r>
          </w:p>
        </w:tc>
        <w:tc>
          <w:tcPr>
            <w:tcW w:w="0" w:type="auto"/>
            <w:hideMark/>
          </w:tcPr>
          <w:p w14:paraId="5B2F03AA"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PE</w:t>
            </w:r>
          </w:p>
        </w:tc>
        <w:tc>
          <w:tcPr>
            <w:tcW w:w="0" w:type="auto"/>
            <w:hideMark/>
          </w:tcPr>
          <w:p w14:paraId="35AC881F"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Immobilisation</w:t>
            </w:r>
          </w:p>
        </w:tc>
        <w:tc>
          <w:tcPr>
            <w:tcW w:w="0" w:type="auto"/>
            <w:hideMark/>
          </w:tcPr>
          <w:p w14:paraId="36EECE4D"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Early thromboprophylaxis</w:t>
            </w:r>
          </w:p>
        </w:tc>
        <w:tc>
          <w:tcPr>
            <w:tcW w:w="0" w:type="auto"/>
            <w:hideMark/>
          </w:tcPr>
          <w:p w14:paraId="026D2CEE"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[27]</w:t>
            </w:r>
          </w:p>
        </w:tc>
      </w:tr>
      <w:tr w:rsidR="001677C5" w:rsidRPr="00045DFA" w14:paraId="2A525FCC" w14:textId="77777777" w:rsidTr="0059516A">
        <w:tc>
          <w:tcPr>
            <w:tcW w:w="0" w:type="auto"/>
            <w:hideMark/>
          </w:tcPr>
          <w:p w14:paraId="7C265BFE"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Compartment physiology</w:t>
            </w:r>
          </w:p>
        </w:tc>
        <w:tc>
          <w:tcPr>
            <w:tcW w:w="0" w:type="auto"/>
            <w:hideMark/>
          </w:tcPr>
          <w:p w14:paraId="66A410CA"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 xml:space="preserve">Elevated </w:t>
            </w:r>
            <w:proofErr w:type="spellStart"/>
            <w:r w:rsidRPr="00045DFA">
              <w:rPr>
                <w:rFonts w:asciiTheme="majorHAnsi" w:hAnsiTheme="majorHAnsi" w:cs="Times New Roman"/>
                <w:sz w:val="20"/>
                <w:szCs w:val="20"/>
              </w:rPr>
              <w:t>intracompartmental</w:t>
            </w:r>
            <w:proofErr w:type="spellEnd"/>
            <w:r w:rsidRPr="00045DFA">
              <w:rPr>
                <w:rFonts w:asciiTheme="majorHAnsi" w:hAnsiTheme="majorHAnsi" w:cs="Times New Roman"/>
                <w:sz w:val="20"/>
                <w:szCs w:val="20"/>
              </w:rPr>
              <w:t xml:space="preserve"> pressure</w:t>
            </w:r>
          </w:p>
        </w:tc>
        <w:tc>
          <w:tcPr>
            <w:tcW w:w="0" w:type="auto"/>
            <w:hideMark/>
          </w:tcPr>
          <w:p w14:paraId="3F24F66A"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Higher fasciotomy rates</w:t>
            </w:r>
          </w:p>
        </w:tc>
        <w:tc>
          <w:tcPr>
            <w:tcW w:w="0" w:type="auto"/>
            <w:hideMark/>
          </w:tcPr>
          <w:p w14:paraId="080E22F8"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Muscle necrosis</w:t>
            </w:r>
          </w:p>
        </w:tc>
        <w:tc>
          <w:tcPr>
            <w:tcW w:w="0" w:type="auto"/>
            <w:hideMark/>
          </w:tcPr>
          <w:p w14:paraId="21602B22"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Limb-threatening injury</w:t>
            </w:r>
          </w:p>
        </w:tc>
        <w:tc>
          <w:tcPr>
            <w:tcW w:w="0" w:type="auto"/>
            <w:hideMark/>
          </w:tcPr>
          <w:p w14:paraId="0163832F"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sz w:val="20"/>
                <w:szCs w:val="20"/>
              </w:rPr>
              <w:t>Fluid discipline</w:t>
            </w:r>
          </w:p>
        </w:tc>
        <w:tc>
          <w:tcPr>
            <w:tcW w:w="0" w:type="auto"/>
            <w:hideMark/>
          </w:tcPr>
          <w:p w14:paraId="61AC4EA8" w14:textId="77777777" w:rsidR="001677C5" w:rsidRPr="00045DFA" w:rsidRDefault="001677C5" w:rsidP="001677C5">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[22,23]</w:t>
            </w:r>
          </w:p>
        </w:tc>
      </w:tr>
    </w:tbl>
    <w:p w14:paraId="3531CF1B" w14:textId="15D7F434" w:rsidR="001677C5" w:rsidRPr="00045DFA" w:rsidRDefault="001677C5" w:rsidP="001677C5">
      <w:pPr>
        <w:spacing w:after="0" w:line="276" w:lineRule="auto"/>
        <w:rPr>
          <w:rFonts w:asciiTheme="majorHAnsi" w:hAnsiTheme="majorHAnsi" w:cs="Times New Roman"/>
        </w:rPr>
      </w:pPr>
    </w:p>
    <w:p w14:paraId="52E308E9" w14:textId="2B168128" w:rsidR="001677C5" w:rsidRPr="00045DFA" w:rsidRDefault="001677C5" w:rsidP="001677C5">
      <w:pPr>
        <w:spacing w:after="0" w:line="276" w:lineRule="auto"/>
        <w:rPr>
          <w:rFonts w:asciiTheme="majorHAnsi" w:hAnsiTheme="majorHAnsi" w:cs="Times New Roman"/>
          <w:b/>
          <w:bCs/>
        </w:rPr>
      </w:pPr>
      <w:r w:rsidRPr="00045DFA">
        <w:rPr>
          <w:rFonts w:asciiTheme="majorHAnsi" w:hAnsiTheme="majorHAnsi" w:cs="Times New Roman"/>
          <w:b/>
          <w:bCs/>
        </w:rPr>
        <w:t xml:space="preserve"> Footnotes</w:t>
      </w:r>
    </w:p>
    <w:p w14:paraId="6AD9C522" w14:textId="5694B88D" w:rsidR="001677C5" w:rsidRPr="00045DFA" w:rsidRDefault="001677C5" w:rsidP="001677C5">
      <w:pPr>
        <w:spacing w:after="0" w:line="276" w:lineRule="auto"/>
        <w:rPr>
          <w:rFonts w:asciiTheme="majorHAnsi" w:hAnsiTheme="majorHAnsi" w:cs="Times New Roman"/>
        </w:rPr>
      </w:pPr>
    </w:p>
    <w:p w14:paraId="3F6C982C" w14:textId="77777777" w:rsidR="001677C5" w:rsidRPr="00045DFA" w:rsidRDefault="001677C5" w:rsidP="001677C5">
      <w:pPr>
        <w:numPr>
          <w:ilvl w:val="0"/>
          <w:numId w:val="21"/>
        </w:numPr>
        <w:spacing w:after="0" w:line="276" w:lineRule="auto"/>
        <w:rPr>
          <w:rFonts w:asciiTheme="majorHAnsi" w:hAnsiTheme="majorHAnsi" w:cs="Times New Roman"/>
        </w:rPr>
      </w:pPr>
      <w:r w:rsidRPr="00045DFA">
        <w:rPr>
          <w:rFonts w:asciiTheme="majorHAnsi" w:hAnsiTheme="majorHAnsi" w:cs="Times New Roman"/>
        </w:rPr>
        <w:t xml:space="preserve">Cytokine levels and metabolic changes represent ranges reported in severe trauma cohorts and may vary with injury burden and sampling timing </w:t>
      </w:r>
      <w:r w:rsidRPr="00045DFA">
        <w:rPr>
          <w:rFonts w:asciiTheme="majorHAnsi" w:hAnsiTheme="majorHAnsi" w:cs="Times New Roman"/>
          <w:b/>
          <w:bCs/>
        </w:rPr>
        <w:t>[3–7]</w:t>
      </w:r>
      <w:r w:rsidRPr="00045DFA">
        <w:rPr>
          <w:rFonts w:asciiTheme="majorHAnsi" w:hAnsiTheme="majorHAnsi" w:cs="Times New Roman"/>
        </w:rPr>
        <w:t xml:space="preserve">. </w:t>
      </w:r>
    </w:p>
    <w:p w14:paraId="44169C56" w14:textId="77777777" w:rsidR="001677C5" w:rsidRPr="00045DFA" w:rsidRDefault="001677C5" w:rsidP="001677C5">
      <w:pPr>
        <w:numPr>
          <w:ilvl w:val="0"/>
          <w:numId w:val="21"/>
        </w:numPr>
        <w:spacing w:after="0" w:line="276" w:lineRule="auto"/>
        <w:rPr>
          <w:rFonts w:asciiTheme="majorHAnsi" w:hAnsiTheme="majorHAnsi" w:cs="Times New Roman"/>
        </w:rPr>
      </w:pPr>
      <w:r w:rsidRPr="00045DFA">
        <w:rPr>
          <w:rFonts w:asciiTheme="majorHAnsi" w:hAnsiTheme="majorHAnsi" w:cs="Times New Roman"/>
        </w:rPr>
        <w:t xml:space="preserve">Trauma-induced coagulopathy may occur early and is not exclusively secondary to dilution or acidosis </w:t>
      </w:r>
      <w:r w:rsidRPr="00045DFA">
        <w:rPr>
          <w:rFonts w:asciiTheme="majorHAnsi" w:hAnsiTheme="majorHAnsi" w:cs="Times New Roman"/>
          <w:b/>
          <w:bCs/>
        </w:rPr>
        <w:t>[5]</w:t>
      </w:r>
      <w:r w:rsidRPr="00045DFA">
        <w:rPr>
          <w:rFonts w:asciiTheme="majorHAnsi" w:hAnsiTheme="majorHAnsi" w:cs="Times New Roman"/>
        </w:rPr>
        <w:t xml:space="preserve">. </w:t>
      </w:r>
    </w:p>
    <w:p w14:paraId="32786C9B" w14:textId="77777777" w:rsidR="001677C5" w:rsidRPr="00045DFA" w:rsidRDefault="001677C5" w:rsidP="001677C5">
      <w:pPr>
        <w:numPr>
          <w:ilvl w:val="0"/>
          <w:numId w:val="21"/>
        </w:numPr>
        <w:spacing w:after="0" w:line="276" w:lineRule="auto"/>
        <w:rPr>
          <w:rFonts w:asciiTheme="majorHAnsi" w:hAnsiTheme="majorHAnsi" w:cs="Times New Roman"/>
        </w:rPr>
      </w:pPr>
      <w:r w:rsidRPr="00045DFA">
        <w:rPr>
          <w:rFonts w:asciiTheme="majorHAnsi" w:hAnsiTheme="majorHAnsi" w:cs="Times New Roman"/>
        </w:rPr>
        <w:t xml:space="preserve">Hypermetabolic response magnitude depends on injury severity and duration of critical illness </w:t>
      </w:r>
      <w:r w:rsidRPr="00045DFA">
        <w:rPr>
          <w:rFonts w:asciiTheme="majorHAnsi" w:hAnsiTheme="majorHAnsi" w:cs="Times New Roman"/>
          <w:b/>
          <w:bCs/>
        </w:rPr>
        <w:t>[24–26]</w:t>
      </w:r>
      <w:r w:rsidRPr="00045DFA">
        <w:rPr>
          <w:rFonts w:asciiTheme="majorHAnsi" w:hAnsiTheme="majorHAnsi" w:cs="Times New Roman"/>
        </w:rPr>
        <w:t xml:space="preserve">. </w:t>
      </w:r>
    </w:p>
    <w:p w14:paraId="50EB3639" w14:textId="77777777" w:rsidR="001677C5" w:rsidRPr="00045DFA" w:rsidRDefault="001677C5" w:rsidP="001677C5">
      <w:pPr>
        <w:numPr>
          <w:ilvl w:val="0"/>
          <w:numId w:val="21"/>
        </w:numPr>
        <w:spacing w:after="0" w:line="276" w:lineRule="auto"/>
        <w:rPr>
          <w:rFonts w:asciiTheme="majorHAnsi" w:hAnsiTheme="majorHAnsi" w:cs="Times New Roman"/>
        </w:rPr>
      </w:pPr>
      <w:r w:rsidRPr="00045DFA">
        <w:rPr>
          <w:rFonts w:asciiTheme="majorHAnsi" w:hAnsiTheme="majorHAnsi" w:cs="Times New Roman"/>
        </w:rPr>
        <w:t xml:space="preserve">ARDS incidence and mortality values reflect pooled registry and observational data; variation across systems is expected </w:t>
      </w:r>
      <w:r w:rsidRPr="00045DFA">
        <w:rPr>
          <w:rFonts w:asciiTheme="majorHAnsi" w:hAnsiTheme="majorHAnsi" w:cs="Times New Roman"/>
          <w:b/>
          <w:bCs/>
        </w:rPr>
        <w:t>[10,20,21]</w:t>
      </w:r>
      <w:r w:rsidRPr="00045DFA">
        <w:rPr>
          <w:rFonts w:asciiTheme="majorHAnsi" w:hAnsiTheme="majorHAnsi" w:cs="Times New Roman"/>
        </w:rPr>
        <w:t xml:space="preserve">. </w:t>
      </w:r>
    </w:p>
    <w:p w14:paraId="6A8C0039" w14:textId="77777777" w:rsidR="001677C5" w:rsidRPr="00045DFA" w:rsidRDefault="001677C5" w:rsidP="001677C5">
      <w:pPr>
        <w:numPr>
          <w:ilvl w:val="0"/>
          <w:numId w:val="21"/>
        </w:numPr>
        <w:spacing w:after="0" w:line="276" w:lineRule="auto"/>
        <w:rPr>
          <w:rFonts w:asciiTheme="majorHAnsi" w:hAnsiTheme="majorHAnsi" w:cs="Times New Roman"/>
        </w:rPr>
      </w:pPr>
      <w:r w:rsidRPr="00045DFA">
        <w:rPr>
          <w:rFonts w:asciiTheme="majorHAnsi" w:hAnsiTheme="majorHAnsi" w:cs="Times New Roman"/>
        </w:rPr>
        <w:t xml:space="preserve">Mechanistic relationships are based on current pathophysiological understanding and may overlap temporally rather than follow strict linear progression. </w:t>
      </w:r>
    </w:p>
    <w:p w14:paraId="01EEF11D" w14:textId="77777777" w:rsidR="00680D07" w:rsidRPr="00045DFA" w:rsidRDefault="00680D07" w:rsidP="00680D07">
      <w:pPr>
        <w:spacing w:after="0" w:line="276" w:lineRule="auto"/>
        <w:rPr>
          <w:rFonts w:asciiTheme="majorHAnsi" w:hAnsiTheme="majorHAnsi" w:cs="Times New Roman"/>
        </w:rPr>
      </w:pPr>
    </w:p>
    <w:p w14:paraId="355DA4F2" w14:textId="77777777" w:rsidR="00680D07" w:rsidRPr="00045DFA" w:rsidRDefault="00680D07" w:rsidP="00680D07">
      <w:pPr>
        <w:spacing w:after="0" w:line="276" w:lineRule="auto"/>
        <w:rPr>
          <w:rFonts w:asciiTheme="majorHAnsi" w:hAnsiTheme="majorHAnsi" w:cs="Times New Roman"/>
        </w:rPr>
      </w:pPr>
    </w:p>
    <w:p w14:paraId="0FD31489" w14:textId="77777777" w:rsidR="00252A8A" w:rsidRPr="00045DFA" w:rsidRDefault="00252A8A" w:rsidP="00680D07">
      <w:pPr>
        <w:spacing w:after="0" w:line="276" w:lineRule="auto"/>
        <w:rPr>
          <w:rFonts w:asciiTheme="majorHAnsi" w:hAnsiTheme="majorHAnsi" w:cs="Times New Roman"/>
        </w:rPr>
      </w:pPr>
    </w:p>
    <w:p w14:paraId="30DB102F" w14:textId="4A3B9919" w:rsidR="00482F28" w:rsidRPr="00045DFA" w:rsidRDefault="00482F28" w:rsidP="00482F28">
      <w:pPr>
        <w:spacing w:after="0" w:line="276" w:lineRule="auto"/>
        <w:rPr>
          <w:rFonts w:asciiTheme="majorHAnsi" w:hAnsiTheme="majorHAnsi" w:cs="Times New Roman"/>
          <w:b/>
          <w:bCs/>
        </w:rPr>
      </w:pPr>
      <w:r w:rsidRPr="00045DFA">
        <w:rPr>
          <w:rFonts w:asciiTheme="majorHAnsi" w:hAnsiTheme="majorHAnsi" w:cs="Times New Roman"/>
          <w:b/>
          <w:bCs/>
        </w:rPr>
        <w:t xml:space="preserve">Conceptual Integration: Cumulative Physiological Load </w:t>
      </w:r>
    </w:p>
    <w:p w14:paraId="5F08AAA6"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 xml:space="preserve">Severe polytrauma may be conceptualised as a state of finite inflammatory tolerance. Following injury, patients exhibit early systemic immune activation characterised by cytokine surge, endothelial glycocalyx shedding, and microcirculatory dysfunction </w:t>
      </w:r>
      <w:r w:rsidRPr="00045DFA">
        <w:rPr>
          <w:rFonts w:asciiTheme="majorHAnsi" w:hAnsiTheme="majorHAnsi" w:cs="Times New Roman"/>
          <w:b/>
          <w:bCs/>
        </w:rPr>
        <w:t>[3–7,39]</w:t>
      </w:r>
      <w:r w:rsidRPr="00045DFA">
        <w:rPr>
          <w:rFonts w:asciiTheme="majorHAnsi" w:hAnsiTheme="majorHAnsi" w:cs="Times New Roman"/>
        </w:rPr>
        <w:t xml:space="preserve">. Subsequent operative interventions, transfusion burden, and fluid administration may further amplify this response, particularly when performed during ongoing shock or inflammatory peak states </w:t>
      </w:r>
      <w:r w:rsidRPr="00045DFA">
        <w:rPr>
          <w:rFonts w:asciiTheme="majorHAnsi" w:hAnsiTheme="majorHAnsi" w:cs="Times New Roman"/>
          <w:b/>
          <w:bCs/>
        </w:rPr>
        <w:t>[8,9,42]</w:t>
      </w:r>
      <w:r w:rsidRPr="00045DFA">
        <w:rPr>
          <w:rFonts w:asciiTheme="majorHAnsi" w:hAnsiTheme="majorHAnsi" w:cs="Times New Roman"/>
        </w:rPr>
        <w:t>.</w:t>
      </w:r>
    </w:p>
    <w:p w14:paraId="55681556" w14:textId="77777777" w:rsidR="0059516A" w:rsidRPr="00045DFA" w:rsidRDefault="0059516A" w:rsidP="00482F28">
      <w:pPr>
        <w:spacing w:after="0" w:line="276" w:lineRule="auto"/>
        <w:rPr>
          <w:rFonts w:asciiTheme="majorHAnsi" w:hAnsiTheme="majorHAnsi" w:cs="Times New Roman"/>
        </w:rPr>
      </w:pPr>
    </w:p>
    <w:p w14:paraId="6A877865"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 xml:space="preserve">Rather than viewing surgical decisions as isolated events, postoperative recovery may therefore be understood as the cumulative sequencing of physiological load within a limited tolerance window. Emergency laparotomy represents a substantial inflammatory stimulus </w:t>
      </w:r>
      <w:r w:rsidRPr="00045DFA">
        <w:rPr>
          <w:rFonts w:asciiTheme="majorHAnsi" w:hAnsiTheme="majorHAnsi" w:cs="Times New Roman"/>
          <w:b/>
          <w:bCs/>
        </w:rPr>
        <w:t>[3,38]</w:t>
      </w:r>
      <w:r w:rsidRPr="00045DFA">
        <w:rPr>
          <w:rFonts w:asciiTheme="majorHAnsi" w:hAnsiTheme="majorHAnsi" w:cs="Times New Roman"/>
        </w:rPr>
        <w:t xml:space="preserve">, while prolonged definitive fixation during persistent instability may exacerbate cytokine activation and increase risk of organ dysfunction—the so-called “second-hit” phenomenon </w:t>
      </w:r>
      <w:r w:rsidRPr="00045DFA">
        <w:rPr>
          <w:rFonts w:asciiTheme="majorHAnsi" w:hAnsiTheme="majorHAnsi" w:cs="Times New Roman"/>
          <w:b/>
          <w:bCs/>
        </w:rPr>
        <w:t>[8,9]</w:t>
      </w:r>
      <w:r w:rsidRPr="00045DFA">
        <w:rPr>
          <w:rFonts w:asciiTheme="majorHAnsi" w:hAnsiTheme="majorHAnsi" w:cs="Times New Roman"/>
        </w:rPr>
        <w:t xml:space="preserve">. Excess crystalloid administration compounds endothelial permeability and interstitial oedema, contributing to pulmonary and tissue complications </w:t>
      </w:r>
      <w:r w:rsidRPr="00045DFA">
        <w:rPr>
          <w:rFonts w:asciiTheme="majorHAnsi" w:hAnsiTheme="majorHAnsi" w:cs="Times New Roman"/>
          <w:b/>
          <w:bCs/>
        </w:rPr>
        <w:t>[6,23]</w:t>
      </w:r>
      <w:r w:rsidRPr="00045DFA">
        <w:rPr>
          <w:rFonts w:asciiTheme="majorHAnsi" w:hAnsiTheme="majorHAnsi" w:cs="Times New Roman"/>
        </w:rPr>
        <w:t>.</w:t>
      </w:r>
    </w:p>
    <w:p w14:paraId="5AE9ECAC" w14:textId="77777777" w:rsidR="0059516A" w:rsidRPr="00045DFA" w:rsidRDefault="0059516A" w:rsidP="00482F28">
      <w:pPr>
        <w:spacing w:after="0" w:line="276" w:lineRule="auto"/>
        <w:rPr>
          <w:rFonts w:asciiTheme="majorHAnsi" w:hAnsiTheme="majorHAnsi" w:cs="Times New Roman"/>
        </w:rPr>
      </w:pPr>
    </w:p>
    <w:p w14:paraId="6A22AF94"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This framing shifts emphasis from binary timing thresholds toward alignment of intervention intensity with demonstrable physiological recovery. The objective is not avoidance of necessary procedures, but staging them within the patient’s inflammatory capacity.</w:t>
      </w:r>
    </w:p>
    <w:p w14:paraId="4FB6A864" w14:textId="2278DC0E" w:rsidR="00482F28" w:rsidRPr="00045DFA" w:rsidRDefault="00482F28" w:rsidP="00482F28">
      <w:pPr>
        <w:spacing w:after="0" w:line="276" w:lineRule="auto"/>
        <w:rPr>
          <w:rFonts w:asciiTheme="majorHAnsi" w:hAnsiTheme="majorHAnsi" w:cs="Times New Roman"/>
        </w:rPr>
      </w:pPr>
    </w:p>
    <w:p w14:paraId="2D66E630" w14:textId="5C73E215" w:rsidR="00482F28" w:rsidRPr="00045DFA" w:rsidRDefault="00482F28" w:rsidP="00482F28">
      <w:pPr>
        <w:spacing w:after="0" w:line="276" w:lineRule="auto"/>
        <w:rPr>
          <w:rFonts w:asciiTheme="majorHAnsi" w:hAnsiTheme="majorHAnsi" w:cs="Times New Roman"/>
          <w:b/>
          <w:bCs/>
        </w:rPr>
      </w:pPr>
      <w:r w:rsidRPr="00045DFA">
        <w:rPr>
          <w:rFonts w:asciiTheme="majorHAnsi" w:hAnsiTheme="majorHAnsi" w:cs="Times New Roman"/>
          <w:b/>
          <w:bCs/>
        </w:rPr>
        <w:t>SHARED ABDOMINAL AND ORTHOPAEDIC RECOVERY VULNERABILITIES</w:t>
      </w:r>
    </w:p>
    <w:p w14:paraId="5F997B74"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Although abdominal and orthopaedic injuries are often managed by different teams, their recovery trajectories are biologically interdependent.</w:t>
      </w:r>
    </w:p>
    <w:p w14:paraId="1E21FDF0" w14:textId="64B517F8" w:rsidR="00482F28" w:rsidRPr="00045DFA" w:rsidRDefault="00482F28" w:rsidP="00482F28">
      <w:pPr>
        <w:spacing w:after="0" w:line="276" w:lineRule="auto"/>
        <w:rPr>
          <w:rFonts w:asciiTheme="majorHAnsi" w:hAnsiTheme="majorHAnsi" w:cs="Times New Roman"/>
        </w:rPr>
      </w:pPr>
    </w:p>
    <w:p w14:paraId="1917B024" w14:textId="77777777" w:rsidR="00482F28" w:rsidRPr="00045DFA" w:rsidRDefault="00482F28" w:rsidP="00482F28">
      <w:pPr>
        <w:spacing w:after="0" w:line="276" w:lineRule="auto"/>
        <w:rPr>
          <w:rFonts w:asciiTheme="majorHAnsi" w:hAnsiTheme="majorHAnsi" w:cs="Times New Roman"/>
          <w:b/>
          <w:bCs/>
        </w:rPr>
      </w:pPr>
      <w:r w:rsidRPr="00045DFA">
        <w:rPr>
          <w:rFonts w:asciiTheme="majorHAnsi" w:hAnsiTheme="majorHAnsi" w:cs="Times New Roman"/>
          <w:b/>
          <w:bCs/>
        </w:rPr>
        <w:t>Fluid Strategy and Tissue Oedema</w:t>
      </w:r>
    </w:p>
    <w:p w14:paraId="3CCD0149"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 xml:space="preserve">Intra-abdominal contamination or haemorrhage often necessitates aggressive early resuscitation. However, excessive crystalloid administration contributes to bowel wall oedema, impaired anastomotic healing, and delayed gastrointestinal recovery </w:t>
      </w:r>
      <w:r w:rsidRPr="00045DFA">
        <w:rPr>
          <w:rFonts w:asciiTheme="majorHAnsi" w:hAnsiTheme="majorHAnsi" w:cs="Times New Roman"/>
          <w:b/>
          <w:bCs/>
        </w:rPr>
        <w:t>[23,44]</w:t>
      </w:r>
      <w:r w:rsidRPr="00045DFA">
        <w:rPr>
          <w:rFonts w:asciiTheme="majorHAnsi" w:hAnsiTheme="majorHAnsi" w:cs="Times New Roman"/>
        </w:rPr>
        <w:t xml:space="preserve">. The same fluid excess increases limb swelling and compartment pressure in long-bone fractures, raising the risk of compartment syndrome and delayed fixation </w:t>
      </w:r>
      <w:r w:rsidRPr="00045DFA">
        <w:rPr>
          <w:rFonts w:asciiTheme="majorHAnsi" w:hAnsiTheme="majorHAnsi" w:cs="Times New Roman"/>
          <w:b/>
          <w:bCs/>
        </w:rPr>
        <w:t>[22]</w:t>
      </w:r>
      <w:r w:rsidRPr="00045DFA">
        <w:rPr>
          <w:rFonts w:asciiTheme="majorHAnsi" w:hAnsiTheme="majorHAnsi" w:cs="Times New Roman"/>
        </w:rPr>
        <w:t>. Fluid balance therefore has dual implications: gastrointestinal function and extremity viability. Direct polytrauma-specific RCT data remain limited, and recommendations rely partly on extrapolation from critically ill populations.</w:t>
      </w:r>
    </w:p>
    <w:p w14:paraId="1FB72DCE" w14:textId="126564DB" w:rsidR="00482F28" w:rsidRPr="00045DFA" w:rsidRDefault="00482F28" w:rsidP="00482F28">
      <w:pPr>
        <w:spacing w:after="0" w:line="276" w:lineRule="auto"/>
        <w:rPr>
          <w:rFonts w:asciiTheme="majorHAnsi" w:hAnsiTheme="majorHAnsi" w:cs="Times New Roman"/>
        </w:rPr>
      </w:pPr>
    </w:p>
    <w:p w14:paraId="5164FAF9" w14:textId="77777777" w:rsidR="00482F28" w:rsidRPr="00045DFA" w:rsidRDefault="00482F28" w:rsidP="00482F28">
      <w:pPr>
        <w:spacing w:after="0" w:line="276" w:lineRule="auto"/>
        <w:rPr>
          <w:rFonts w:asciiTheme="majorHAnsi" w:hAnsiTheme="majorHAnsi" w:cs="Times New Roman"/>
          <w:b/>
          <w:bCs/>
        </w:rPr>
      </w:pPr>
      <w:r w:rsidRPr="00045DFA">
        <w:rPr>
          <w:rFonts w:asciiTheme="majorHAnsi" w:hAnsiTheme="majorHAnsi" w:cs="Times New Roman"/>
          <w:b/>
          <w:bCs/>
        </w:rPr>
        <w:t>Surgical Timing and Inflammatory Burden</w:t>
      </w:r>
    </w:p>
    <w:p w14:paraId="29FCF2B5"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 xml:space="preserve">Definitive abdominal intervention may be unavoidable in unstable patients. However, proceeding to prolonged orthopaedic fixation during the same inflammatory peak may amplify systemic cytokine response </w:t>
      </w:r>
      <w:r w:rsidRPr="00045DFA">
        <w:rPr>
          <w:rFonts w:asciiTheme="majorHAnsi" w:hAnsiTheme="majorHAnsi" w:cs="Times New Roman"/>
          <w:b/>
          <w:bCs/>
        </w:rPr>
        <w:t>[8,9]</w:t>
      </w:r>
      <w:r w:rsidRPr="00045DFA">
        <w:rPr>
          <w:rFonts w:asciiTheme="majorHAnsi" w:hAnsiTheme="majorHAnsi" w:cs="Times New Roman"/>
        </w:rPr>
        <w:t xml:space="preserve">. Conversely, prolonged skeletal instability due to delayed fixation has been associated with increased pulmonary complications, particularly when fixation is delayed beyond 48 hours in physiologically stable patients </w:t>
      </w:r>
      <w:r w:rsidRPr="00045DFA">
        <w:rPr>
          <w:rFonts w:asciiTheme="majorHAnsi" w:hAnsiTheme="majorHAnsi" w:cs="Times New Roman"/>
          <w:b/>
          <w:bCs/>
        </w:rPr>
        <w:t>[43,17]</w:t>
      </w:r>
      <w:r w:rsidRPr="00045DFA">
        <w:rPr>
          <w:rFonts w:asciiTheme="majorHAnsi" w:hAnsiTheme="majorHAnsi" w:cs="Times New Roman"/>
        </w:rPr>
        <w:t>. Thus, timing decisions must consider systemic physiology rather than discipline-specific convenience.</w:t>
      </w:r>
    </w:p>
    <w:p w14:paraId="67F7D1D5" w14:textId="56DADE47" w:rsidR="00482F28" w:rsidRPr="00045DFA" w:rsidRDefault="00482F28" w:rsidP="00482F28">
      <w:pPr>
        <w:spacing w:after="0" w:line="276" w:lineRule="auto"/>
        <w:rPr>
          <w:rFonts w:asciiTheme="majorHAnsi" w:hAnsiTheme="majorHAnsi" w:cs="Times New Roman"/>
        </w:rPr>
      </w:pPr>
    </w:p>
    <w:p w14:paraId="2939CE8B" w14:textId="77777777" w:rsidR="00482F28" w:rsidRPr="00045DFA" w:rsidRDefault="00482F28" w:rsidP="00482F28">
      <w:pPr>
        <w:spacing w:after="0" w:line="276" w:lineRule="auto"/>
        <w:rPr>
          <w:rFonts w:asciiTheme="majorHAnsi" w:hAnsiTheme="majorHAnsi" w:cs="Times New Roman"/>
          <w:b/>
          <w:bCs/>
        </w:rPr>
      </w:pPr>
      <w:r w:rsidRPr="00045DFA">
        <w:rPr>
          <w:rFonts w:asciiTheme="majorHAnsi" w:hAnsiTheme="majorHAnsi" w:cs="Times New Roman"/>
          <w:b/>
          <w:bCs/>
        </w:rPr>
        <w:t>Infection Risk Across Compartments</w:t>
      </w:r>
    </w:p>
    <w:p w14:paraId="29B56F22"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 xml:space="preserve">Polytrauma frequently involves contaminated laparotomy alongside open fractures requiring implant stabilisation. Infection risk is therefore compounded. Timely antimicrobial prophylaxis reduces surgical site infection rates by 40–60% in surgical populations </w:t>
      </w:r>
      <w:r w:rsidRPr="00045DFA">
        <w:rPr>
          <w:rFonts w:asciiTheme="majorHAnsi" w:hAnsiTheme="majorHAnsi" w:cs="Times New Roman"/>
          <w:b/>
          <w:bCs/>
        </w:rPr>
        <w:t>[30]</w:t>
      </w:r>
      <w:r w:rsidRPr="00045DFA">
        <w:rPr>
          <w:rFonts w:asciiTheme="majorHAnsi" w:hAnsiTheme="majorHAnsi" w:cs="Times New Roman"/>
        </w:rPr>
        <w:t xml:space="preserve">, and early antibiotic administration in open fractures is associated with reduced deep infection </w:t>
      </w:r>
      <w:r w:rsidRPr="00045DFA">
        <w:rPr>
          <w:rFonts w:asciiTheme="majorHAnsi" w:hAnsiTheme="majorHAnsi" w:cs="Times New Roman"/>
          <w:b/>
          <w:bCs/>
        </w:rPr>
        <w:t>[29]</w:t>
      </w:r>
      <w:r w:rsidRPr="00045DFA">
        <w:rPr>
          <w:rFonts w:asciiTheme="majorHAnsi" w:hAnsiTheme="majorHAnsi" w:cs="Times New Roman"/>
        </w:rPr>
        <w:t>. Failure in either domain may compromise the other; abdominal sepsis increases risk of implant infection, while implant-associated infection prolongs systemic inflammation.</w:t>
      </w:r>
    </w:p>
    <w:p w14:paraId="30752D84" w14:textId="258E36E4" w:rsidR="00482F28" w:rsidRPr="00045DFA" w:rsidRDefault="00482F28" w:rsidP="00482F28">
      <w:pPr>
        <w:spacing w:after="0" w:line="276" w:lineRule="auto"/>
        <w:rPr>
          <w:rFonts w:asciiTheme="majorHAnsi" w:hAnsiTheme="majorHAnsi" w:cs="Times New Roman"/>
        </w:rPr>
      </w:pPr>
    </w:p>
    <w:p w14:paraId="1A5FE358" w14:textId="77777777" w:rsidR="00482F28" w:rsidRPr="00045DFA" w:rsidRDefault="00482F28" w:rsidP="00482F28">
      <w:pPr>
        <w:spacing w:after="0" w:line="276" w:lineRule="auto"/>
        <w:rPr>
          <w:rFonts w:asciiTheme="majorHAnsi" w:hAnsiTheme="majorHAnsi" w:cs="Times New Roman"/>
          <w:b/>
          <w:bCs/>
        </w:rPr>
      </w:pPr>
      <w:proofErr w:type="spellStart"/>
      <w:r w:rsidRPr="00045DFA">
        <w:rPr>
          <w:rFonts w:asciiTheme="majorHAnsi" w:hAnsiTheme="majorHAnsi" w:cs="Times New Roman"/>
          <w:b/>
          <w:bCs/>
        </w:rPr>
        <w:t>Hypercatabolism</w:t>
      </w:r>
      <w:proofErr w:type="spellEnd"/>
      <w:r w:rsidRPr="00045DFA">
        <w:rPr>
          <w:rFonts w:asciiTheme="majorHAnsi" w:hAnsiTheme="majorHAnsi" w:cs="Times New Roman"/>
          <w:b/>
          <w:bCs/>
        </w:rPr>
        <w:t xml:space="preserve"> and Tissue Repair</w:t>
      </w:r>
    </w:p>
    <w:p w14:paraId="6BA157E5"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 xml:space="preserve">The metabolic response to trauma impairs wound healing and fracture consolidation simultaneously </w:t>
      </w:r>
      <w:r w:rsidRPr="00045DFA">
        <w:rPr>
          <w:rFonts w:asciiTheme="majorHAnsi" w:hAnsiTheme="majorHAnsi" w:cs="Times New Roman"/>
          <w:b/>
          <w:bCs/>
        </w:rPr>
        <w:t>[24–26]</w:t>
      </w:r>
      <w:r w:rsidRPr="00045DFA">
        <w:rPr>
          <w:rFonts w:asciiTheme="majorHAnsi" w:hAnsiTheme="majorHAnsi" w:cs="Times New Roman"/>
        </w:rPr>
        <w:t xml:space="preserve">. Protein-energy deficit delays fascial closure and bone callus formation. Early enteral nutrition has been associated with approximately 30–40% relative reduction in septic complications in critically injured patients </w:t>
      </w:r>
      <w:r w:rsidRPr="00045DFA">
        <w:rPr>
          <w:rFonts w:asciiTheme="majorHAnsi" w:hAnsiTheme="majorHAnsi" w:cs="Times New Roman"/>
          <w:b/>
          <w:bCs/>
        </w:rPr>
        <w:t>[18,19]</w:t>
      </w:r>
      <w:r w:rsidRPr="00045DFA">
        <w:rPr>
          <w:rFonts w:asciiTheme="majorHAnsi" w:hAnsiTheme="majorHAnsi" w:cs="Times New Roman"/>
        </w:rPr>
        <w:t>, but also contributes indirectly to skeletal recovery through mitigation of muscle and protein loss.</w:t>
      </w:r>
    </w:p>
    <w:p w14:paraId="27B5DD7C" w14:textId="5BDC8E49" w:rsidR="00482F28" w:rsidRPr="00045DFA" w:rsidRDefault="00482F28" w:rsidP="00482F28">
      <w:pPr>
        <w:spacing w:after="0" w:line="276" w:lineRule="auto"/>
        <w:rPr>
          <w:rFonts w:asciiTheme="majorHAnsi" w:hAnsiTheme="majorHAnsi" w:cs="Times New Roman"/>
        </w:rPr>
      </w:pPr>
    </w:p>
    <w:p w14:paraId="06FEAA1A" w14:textId="77777777" w:rsidR="00482F28" w:rsidRPr="00045DFA" w:rsidRDefault="00482F28" w:rsidP="00482F28">
      <w:pPr>
        <w:spacing w:after="0" w:line="276" w:lineRule="auto"/>
        <w:rPr>
          <w:rFonts w:asciiTheme="majorHAnsi" w:hAnsiTheme="majorHAnsi" w:cs="Times New Roman"/>
          <w:b/>
          <w:bCs/>
        </w:rPr>
      </w:pPr>
      <w:r w:rsidRPr="00045DFA">
        <w:rPr>
          <w:rFonts w:asciiTheme="majorHAnsi" w:hAnsiTheme="majorHAnsi" w:cs="Times New Roman"/>
          <w:b/>
          <w:bCs/>
        </w:rPr>
        <w:t>Mobilisation and Pulmonary Protection</w:t>
      </w:r>
    </w:p>
    <w:p w14:paraId="72D068EE"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 xml:space="preserve">Fracture instability often delays mobilisation, while abdominal pain and ventilatory support further limit activity. Immobilisation increases venous thromboembolism risk, reported in up to 10–15% of trauma patients without prophylaxis </w:t>
      </w:r>
      <w:r w:rsidRPr="00045DFA">
        <w:rPr>
          <w:rFonts w:asciiTheme="majorHAnsi" w:hAnsiTheme="majorHAnsi" w:cs="Times New Roman"/>
          <w:b/>
          <w:bCs/>
        </w:rPr>
        <w:t>[27]</w:t>
      </w:r>
      <w:r w:rsidRPr="00045DFA">
        <w:rPr>
          <w:rFonts w:asciiTheme="majorHAnsi" w:hAnsiTheme="majorHAnsi" w:cs="Times New Roman"/>
        </w:rPr>
        <w:t xml:space="preserve">, and contributes to ICU-acquired weakness </w:t>
      </w:r>
      <w:r w:rsidRPr="00045DFA">
        <w:rPr>
          <w:rFonts w:asciiTheme="majorHAnsi" w:hAnsiTheme="majorHAnsi" w:cs="Times New Roman"/>
          <w:b/>
          <w:bCs/>
        </w:rPr>
        <w:t>[28]</w:t>
      </w:r>
      <w:r w:rsidRPr="00045DFA">
        <w:rPr>
          <w:rFonts w:asciiTheme="majorHAnsi" w:hAnsiTheme="majorHAnsi" w:cs="Times New Roman"/>
        </w:rPr>
        <w:t>. Early mobilisation is dependent upon fracture stability, pain control, and coordinated care planning.</w:t>
      </w:r>
    </w:p>
    <w:p w14:paraId="40566939" w14:textId="374B6EF8" w:rsidR="00482F28" w:rsidRPr="00045DFA" w:rsidRDefault="00482F28" w:rsidP="00482F28">
      <w:pPr>
        <w:spacing w:after="0" w:line="276" w:lineRule="auto"/>
        <w:rPr>
          <w:rFonts w:asciiTheme="majorHAnsi" w:hAnsiTheme="majorHAnsi" w:cs="Times New Roman"/>
        </w:rPr>
      </w:pPr>
    </w:p>
    <w:p w14:paraId="4E0F85CD" w14:textId="77777777" w:rsidR="00482F28" w:rsidRPr="00045DFA" w:rsidRDefault="00482F28" w:rsidP="00482F28">
      <w:pPr>
        <w:spacing w:after="0" w:line="276" w:lineRule="auto"/>
        <w:rPr>
          <w:rFonts w:asciiTheme="majorHAnsi" w:hAnsiTheme="majorHAnsi" w:cs="Times New Roman"/>
          <w:b/>
          <w:bCs/>
        </w:rPr>
      </w:pPr>
      <w:r w:rsidRPr="00045DFA">
        <w:rPr>
          <w:rFonts w:asciiTheme="majorHAnsi" w:hAnsiTheme="majorHAnsi" w:cs="Times New Roman"/>
          <w:b/>
          <w:bCs/>
        </w:rPr>
        <w:t>Rescue Capacity and Escalation</w:t>
      </w:r>
    </w:p>
    <w:p w14:paraId="448CD7FF"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 xml:space="preserve">Complication rates alone do not determine mortality. Hospitals with similar complication rates may exhibit two- to three-fold differences in mortality depending on failure-to-rescue capability </w:t>
      </w:r>
      <w:r w:rsidRPr="00045DFA">
        <w:rPr>
          <w:rFonts w:asciiTheme="majorHAnsi" w:hAnsiTheme="majorHAnsi" w:cs="Times New Roman"/>
          <w:b/>
          <w:bCs/>
        </w:rPr>
        <w:t>[48]</w:t>
      </w:r>
      <w:r w:rsidRPr="00045DFA">
        <w:rPr>
          <w:rFonts w:asciiTheme="majorHAnsi" w:hAnsiTheme="majorHAnsi" w:cs="Times New Roman"/>
        </w:rPr>
        <w:t>. In polytrauma, deterioration may arise from abdominal sepsis, pulmonary failure, or fixation-related inflammatory burden. Rapid escalation pathways and ICU availability determine whether complications become fatal.</w:t>
      </w:r>
    </w:p>
    <w:p w14:paraId="6A473943"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These shared vulnerabilities illustrate a central principle: recovery is cumulative. Fluid balance, fixation timing, infection control, and mobilisation interact across surgical domains. Optimisation therefore requires coordination rather than parallel management.</w:t>
      </w:r>
    </w:p>
    <w:p w14:paraId="496CA132" w14:textId="63ED01E0" w:rsidR="00482F28" w:rsidRPr="00045DFA" w:rsidRDefault="00482F28" w:rsidP="00482F28">
      <w:pPr>
        <w:spacing w:after="0" w:line="276" w:lineRule="auto"/>
        <w:rPr>
          <w:rFonts w:asciiTheme="majorHAnsi" w:hAnsiTheme="majorHAnsi" w:cs="Times New Roman"/>
        </w:rPr>
      </w:pPr>
    </w:p>
    <w:p w14:paraId="6770DD8B" w14:textId="7462C849" w:rsidR="00482F28" w:rsidRPr="00045DFA" w:rsidRDefault="00482F28" w:rsidP="00482F28">
      <w:pPr>
        <w:spacing w:after="0" w:line="276" w:lineRule="auto"/>
        <w:rPr>
          <w:rFonts w:asciiTheme="majorHAnsi" w:hAnsiTheme="majorHAnsi" w:cs="Times New Roman"/>
          <w:b/>
          <w:bCs/>
        </w:rPr>
      </w:pPr>
      <w:r w:rsidRPr="00045DFA">
        <w:rPr>
          <w:rFonts w:asciiTheme="majorHAnsi" w:hAnsiTheme="majorHAnsi" w:cs="Times New Roman"/>
          <w:b/>
          <w:bCs/>
        </w:rPr>
        <w:t>TIER 1 HIGH-IMPACT RECOVERY INTERVENTIONS</w:t>
      </w:r>
    </w:p>
    <w:p w14:paraId="6FF00A4A"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Tier 1 interventions are defined as measures that directly attenuate physiological amplification, require limited infrastructure, and demonstrate measurable outcome benefit. These strategies form the foundation of recovery optimisation and are applicable across trauma systems with varying resource availability.</w:t>
      </w:r>
    </w:p>
    <w:p w14:paraId="66C7AF31" w14:textId="0CAA882B" w:rsidR="00482F28" w:rsidRPr="00045DFA" w:rsidRDefault="00482F28" w:rsidP="00482F28">
      <w:pPr>
        <w:spacing w:after="0" w:line="276" w:lineRule="auto"/>
        <w:rPr>
          <w:rFonts w:asciiTheme="majorHAnsi" w:hAnsiTheme="majorHAnsi" w:cs="Times New Roman"/>
        </w:rPr>
      </w:pPr>
    </w:p>
    <w:p w14:paraId="1598E3D0" w14:textId="77777777" w:rsidR="00482F28" w:rsidRPr="00045DFA" w:rsidRDefault="00482F28" w:rsidP="00482F28">
      <w:pPr>
        <w:spacing w:after="0" w:line="276" w:lineRule="auto"/>
        <w:rPr>
          <w:rFonts w:asciiTheme="majorHAnsi" w:hAnsiTheme="majorHAnsi" w:cs="Times New Roman"/>
          <w:b/>
          <w:bCs/>
        </w:rPr>
      </w:pPr>
      <w:r w:rsidRPr="00045DFA">
        <w:rPr>
          <w:rFonts w:asciiTheme="majorHAnsi" w:hAnsiTheme="majorHAnsi" w:cs="Times New Roman"/>
          <w:b/>
          <w:bCs/>
        </w:rPr>
        <w:t>Early Enteral Nutrition</w:t>
      </w:r>
    </w:p>
    <w:p w14:paraId="25686374"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 xml:space="preserve">Early enteral feeding, typically initiated within 24–48 hours in haemodynamically stable patients, has been associated with a 30–40% relative reduction in septic complications in critically injured populations </w:t>
      </w:r>
      <w:r w:rsidRPr="00045DFA">
        <w:rPr>
          <w:rFonts w:asciiTheme="majorHAnsi" w:hAnsiTheme="majorHAnsi" w:cs="Times New Roman"/>
          <w:b/>
          <w:bCs/>
        </w:rPr>
        <w:t>[18,19]</w:t>
      </w:r>
      <w:r w:rsidRPr="00045DFA">
        <w:rPr>
          <w:rFonts w:asciiTheme="majorHAnsi" w:hAnsiTheme="majorHAnsi" w:cs="Times New Roman"/>
        </w:rPr>
        <w:t xml:space="preserve">. Systematic reviews suggest a risk ratio of approximately 0.7 for infectious complications compared with delayed feeding strategies </w:t>
      </w:r>
      <w:r w:rsidRPr="00045DFA">
        <w:rPr>
          <w:rFonts w:asciiTheme="majorHAnsi" w:hAnsiTheme="majorHAnsi" w:cs="Times New Roman"/>
          <w:b/>
          <w:bCs/>
        </w:rPr>
        <w:t>[4]</w:t>
      </w:r>
      <w:r w:rsidRPr="00045DFA">
        <w:rPr>
          <w:rFonts w:asciiTheme="majorHAnsi" w:hAnsiTheme="majorHAnsi" w:cs="Times New Roman"/>
        </w:rPr>
        <w:t>.</w:t>
      </w:r>
    </w:p>
    <w:p w14:paraId="30BC1828"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 xml:space="preserve">Beyond infection control, early nutrition mitigates trauma-induced hypermetabolism and skeletal muscle breakdown, which may increase resting energy expenditure by 20–50% after severe injury </w:t>
      </w:r>
      <w:r w:rsidRPr="00045DFA">
        <w:rPr>
          <w:rFonts w:asciiTheme="majorHAnsi" w:hAnsiTheme="majorHAnsi" w:cs="Times New Roman"/>
          <w:b/>
          <w:bCs/>
        </w:rPr>
        <w:t>[24–26]</w:t>
      </w:r>
      <w:r w:rsidRPr="00045DFA">
        <w:rPr>
          <w:rFonts w:asciiTheme="majorHAnsi" w:hAnsiTheme="majorHAnsi" w:cs="Times New Roman"/>
        </w:rPr>
        <w:t>. While precise effects on fracture union are less directly quantified, preservation of protein balance supports tissue repair across surgical domains.</w:t>
      </w:r>
    </w:p>
    <w:p w14:paraId="3AF78728"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Importantly, early feeding should follow physiological stabilisation rather than rigid time thresholds. The objective is avoidance of unnecessary delay once perfusion and haemodynamic parameters permit.</w:t>
      </w:r>
    </w:p>
    <w:p w14:paraId="4508CE17" w14:textId="05367F9D" w:rsidR="00482F28" w:rsidRPr="00045DFA" w:rsidRDefault="00482F28" w:rsidP="00482F28">
      <w:pPr>
        <w:spacing w:after="0" w:line="276" w:lineRule="auto"/>
        <w:rPr>
          <w:rFonts w:asciiTheme="majorHAnsi" w:hAnsiTheme="majorHAnsi" w:cs="Times New Roman"/>
        </w:rPr>
      </w:pPr>
    </w:p>
    <w:p w14:paraId="7DD729E9" w14:textId="77777777" w:rsidR="00482F28" w:rsidRPr="00045DFA" w:rsidRDefault="00482F28" w:rsidP="00482F28">
      <w:pPr>
        <w:spacing w:after="0" w:line="276" w:lineRule="auto"/>
        <w:rPr>
          <w:rFonts w:asciiTheme="majorHAnsi" w:hAnsiTheme="majorHAnsi" w:cs="Times New Roman"/>
          <w:b/>
          <w:bCs/>
        </w:rPr>
      </w:pPr>
      <w:r w:rsidRPr="00045DFA">
        <w:rPr>
          <w:rFonts w:asciiTheme="majorHAnsi" w:hAnsiTheme="majorHAnsi" w:cs="Times New Roman"/>
          <w:b/>
          <w:bCs/>
        </w:rPr>
        <w:t>The Early Metabolic Recovery Window</w:t>
      </w:r>
    </w:p>
    <w:p w14:paraId="426FBC84"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 xml:space="preserve">Major trauma induces rapid hypermetabolism and skeletal muscle protein breakdown, with resting energy expenditure increasing by 20–50% in severe injury </w:t>
      </w:r>
      <w:r w:rsidRPr="00045DFA">
        <w:rPr>
          <w:rFonts w:asciiTheme="majorHAnsi" w:hAnsiTheme="majorHAnsi" w:cs="Times New Roman"/>
          <w:b/>
          <w:bCs/>
        </w:rPr>
        <w:t>[24–26]</w:t>
      </w:r>
      <w:r w:rsidRPr="00045DFA">
        <w:rPr>
          <w:rFonts w:asciiTheme="majorHAnsi" w:hAnsiTheme="majorHAnsi" w:cs="Times New Roman"/>
        </w:rPr>
        <w:t xml:space="preserve">. Genomic and immune dysregulation occur within hours and may persist for days </w:t>
      </w:r>
      <w:r w:rsidRPr="00045DFA">
        <w:rPr>
          <w:rFonts w:asciiTheme="majorHAnsi" w:hAnsiTheme="majorHAnsi" w:cs="Times New Roman"/>
          <w:b/>
          <w:bCs/>
        </w:rPr>
        <w:t>[3,39]</w:t>
      </w:r>
      <w:r w:rsidRPr="00045DFA">
        <w:rPr>
          <w:rFonts w:asciiTheme="majorHAnsi" w:hAnsiTheme="majorHAnsi" w:cs="Times New Roman"/>
        </w:rPr>
        <w:t xml:space="preserve">. Without early nutritional support, measurable lean body mass loss can occur within the first several days of critical illness, contributing to prolonged ventilatory dependence and delayed functional recovery </w:t>
      </w:r>
      <w:r w:rsidRPr="00045DFA">
        <w:rPr>
          <w:rFonts w:asciiTheme="majorHAnsi" w:hAnsiTheme="majorHAnsi" w:cs="Times New Roman"/>
          <w:b/>
          <w:bCs/>
        </w:rPr>
        <w:t>[26,28]</w:t>
      </w:r>
      <w:r w:rsidRPr="00045DFA">
        <w:rPr>
          <w:rFonts w:asciiTheme="majorHAnsi" w:hAnsiTheme="majorHAnsi" w:cs="Times New Roman"/>
        </w:rPr>
        <w:t>.</w:t>
      </w:r>
    </w:p>
    <w:p w14:paraId="539FEAF2"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 xml:space="preserve">Early enteral nutrition, when initiated within 24–48 hours in haemodynamically stable patients, has been associated with a 30–40% relative reduction in septic complications in critically injured cohorts </w:t>
      </w:r>
      <w:r w:rsidRPr="00045DFA">
        <w:rPr>
          <w:rFonts w:asciiTheme="majorHAnsi" w:hAnsiTheme="majorHAnsi" w:cs="Times New Roman"/>
          <w:b/>
          <w:bCs/>
        </w:rPr>
        <w:t>[18,19]</w:t>
      </w:r>
      <w:r w:rsidRPr="00045DFA">
        <w:rPr>
          <w:rFonts w:asciiTheme="majorHAnsi" w:hAnsiTheme="majorHAnsi" w:cs="Times New Roman"/>
        </w:rPr>
        <w:t xml:space="preserve">. Framing the first 72 hours as an early metabolic recovery window emphasises the temporal importance of initiating nutrition and mobilisation before the peak immunosuppressive phase described between days 3–7 </w:t>
      </w:r>
      <w:r w:rsidRPr="00045DFA">
        <w:rPr>
          <w:rFonts w:asciiTheme="majorHAnsi" w:hAnsiTheme="majorHAnsi" w:cs="Times New Roman"/>
          <w:b/>
          <w:bCs/>
        </w:rPr>
        <w:t>[3]</w:t>
      </w:r>
      <w:r w:rsidRPr="00045DFA">
        <w:rPr>
          <w:rFonts w:asciiTheme="majorHAnsi" w:hAnsiTheme="majorHAnsi" w:cs="Times New Roman"/>
        </w:rPr>
        <w:t>.</w:t>
      </w:r>
    </w:p>
    <w:p w14:paraId="39051B55" w14:textId="16CA6109" w:rsidR="00482F28" w:rsidRPr="00045DFA" w:rsidRDefault="00482F28" w:rsidP="00482F28">
      <w:pPr>
        <w:spacing w:after="0" w:line="276" w:lineRule="auto"/>
        <w:rPr>
          <w:rFonts w:asciiTheme="majorHAnsi" w:hAnsiTheme="majorHAnsi" w:cs="Times New Roman"/>
        </w:rPr>
      </w:pPr>
    </w:p>
    <w:p w14:paraId="13F6686B" w14:textId="77777777" w:rsidR="00482F28" w:rsidRPr="00045DFA" w:rsidRDefault="00482F28" w:rsidP="00482F28">
      <w:pPr>
        <w:spacing w:after="0" w:line="276" w:lineRule="auto"/>
        <w:rPr>
          <w:rFonts w:asciiTheme="majorHAnsi" w:hAnsiTheme="majorHAnsi" w:cs="Times New Roman"/>
          <w:b/>
          <w:bCs/>
        </w:rPr>
      </w:pPr>
      <w:r w:rsidRPr="00045DFA">
        <w:rPr>
          <w:rFonts w:asciiTheme="majorHAnsi" w:hAnsiTheme="majorHAnsi" w:cs="Times New Roman"/>
          <w:b/>
          <w:bCs/>
        </w:rPr>
        <w:t>Disciplined Fluid Management</w:t>
      </w:r>
    </w:p>
    <w:p w14:paraId="6F1090DB"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 xml:space="preserve">Resuscitation remains lifesaving in haemorrhagic trauma. However, once haemodynamic stability is achieved, ongoing liberal fluid administration may worsen endothelial permeability and interstitial oedema </w:t>
      </w:r>
      <w:r w:rsidRPr="00045DFA">
        <w:rPr>
          <w:rFonts w:asciiTheme="majorHAnsi" w:hAnsiTheme="majorHAnsi" w:cs="Times New Roman"/>
          <w:b/>
          <w:bCs/>
        </w:rPr>
        <w:t>[6,23]</w:t>
      </w:r>
      <w:r w:rsidRPr="00045DFA">
        <w:rPr>
          <w:rFonts w:asciiTheme="majorHAnsi" w:hAnsiTheme="majorHAnsi" w:cs="Times New Roman"/>
        </w:rPr>
        <w:t>.</w:t>
      </w:r>
    </w:p>
    <w:p w14:paraId="69922667"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 xml:space="preserve">Restrictive or balanced fluid strategies in surgical populations have demonstrated approximately 20–30% reductions in postoperative complications compared with liberal approaches </w:t>
      </w:r>
      <w:r w:rsidRPr="00045DFA">
        <w:rPr>
          <w:rFonts w:asciiTheme="majorHAnsi" w:hAnsiTheme="majorHAnsi" w:cs="Times New Roman"/>
          <w:b/>
          <w:bCs/>
        </w:rPr>
        <w:t>[44]</w:t>
      </w:r>
      <w:r w:rsidRPr="00045DFA">
        <w:rPr>
          <w:rFonts w:asciiTheme="majorHAnsi" w:hAnsiTheme="majorHAnsi" w:cs="Times New Roman"/>
        </w:rPr>
        <w:t xml:space="preserve">. In critically ill cohorts, use of balanced crystalloids has been associated with modest reductions in major adverse kidney events and improved physiological profiles </w:t>
      </w:r>
      <w:r w:rsidRPr="00045DFA">
        <w:rPr>
          <w:rFonts w:asciiTheme="majorHAnsi" w:hAnsiTheme="majorHAnsi" w:cs="Times New Roman"/>
          <w:b/>
          <w:bCs/>
        </w:rPr>
        <w:t>[23]</w:t>
      </w:r>
      <w:r w:rsidRPr="00045DFA">
        <w:rPr>
          <w:rFonts w:asciiTheme="majorHAnsi" w:hAnsiTheme="majorHAnsi" w:cs="Times New Roman"/>
        </w:rPr>
        <w:t>.</w:t>
      </w:r>
    </w:p>
    <w:p w14:paraId="26D83F92"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 xml:space="preserve">Positive fluid balance exceeding 2–3 litres within the first 24 hours has been associated with increased pulmonary complications and ventilator dependence </w:t>
      </w:r>
      <w:r w:rsidRPr="00045DFA">
        <w:rPr>
          <w:rFonts w:asciiTheme="majorHAnsi" w:hAnsiTheme="majorHAnsi" w:cs="Times New Roman"/>
          <w:b/>
          <w:bCs/>
        </w:rPr>
        <w:t>[23]</w:t>
      </w:r>
      <w:r w:rsidRPr="00045DFA">
        <w:rPr>
          <w:rFonts w:asciiTheme="majorHAnsi" w:hAnsiTheme="majorHAnsi" w:cs="Times New Roman"/>
        </w:rPr>
        <w:t xml:space="preserve">. For polytrauma patients, this fluid discipline influences both pulmonary recovery and extremity compartment pressures </w:t>
      </w:r>
      <w:r w:rsidRPr="00045DFA">
        <w:rPr>
          <w:rFonts w:asciiTheme="majorHAnsi" w:hAnsiTheme="majorHAnsi" w:cs="Times New Roman"/>
          <w:b/>
          <w:bCs/>
        </w:rPr>
        <w:t>[22]</w:t>
      </w:r>
      <w:r w:rsidRPr="00045DFA">
        <w:rPr>
          <w:rFonts w:asciiTheme="majorHAnsi" w:hAnsiTheme="majorHAnsi" w:cs="Times New Roman"/>
        </w:rPr>
        <w:t>.</w:t>
      </w:r>
    </w:p>
    <w:p w14:paraId="510B8B12" w14:textId="6CF9562E" w:rsidR="00482F28" w:rsidRPr="00045DFA" w:rsidRDefault="00482F28" w:rsidP="00482F28">
      <w:pPr>
        <w:spacing w:after="0" w:line="276" w:lineRule="auto"/>
        <w:rPr>
          <w:rFonts w:asciiTheme="majorHAnsi" w:hAnsiTheme="majorHAnsi" w:cs="Times New Roman"/>
        </w:rPr>
      </w:pPr>
    </w:p>
    <w:p w14:paraId="42E312DF" w14:textId="77777777" w:rsidR="00482F28" w:rsidRPr="00045DFA" w:rsidRDefault="00482F28" w:rsidP="00482F28">
      <w:pPr>
        <w:spacing w:after="0" w:line="276" w:lineRule="auto"/>
        <w:rPr>
          <w:rFonts w:asciiTheme="majorHAnsi" w:hAnsiTheme="majorHAnsi" w:cs="Times New Roman"/>
          <w:b/>
          <w:bCs/>
        </w:rPr>
      </w:pPr>
      <w:r w:rsidRPr="00045DFA">
        <w:rPr>
          <w:rFonts w:asciiTheme="majorHAnsi" w:hAnsiTheme="majorHAnsi" w:cs="Times New Roman"/>
          <w:b/>
          <w:bCs/>
        </w:rPr>
        <w:t>Physiologically Guided Fracture Stabilisation</w:t>
      </w:r>
    </w:p>
    <w:p w14:paraId="1C57CCFB"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 xml:space="preserve">Early total care (ETC) for long-bone fractures in physiologically stable patients has been associated with 20–30% reductions in pulmonary complications compared with delayed fixation strategies </w:t>
      </w:r>
      <w:r w:rsidRPr="00045DFA">
        <w:rPr>
          <w:rFonts w:asciiTheme="majorHAnsi" w:hAnsiTheme="majorHAnsi" w:cs="Times New Roman"/>
          <w:b/>
          <w:bCs/>
        </w:rPr>
        <w:t>[16,17]</w:t>
      </w:r>
      <w:r w:rsidRPr="00045DFA">
        <w:rPr>
          <w:rFonts w:asciiTheme="majorHAnsi" w:hAnsiTheme="majorHAnsi" w:cs="Times New Roman"/>
        </w:rPr>
        <w:t xml:space="preserve">. Conversely, </w:t>
      </w:r>
      <w:r w:rsidRPr="00045DFA">
        <w:rPr>
          <w:rFonts w:asciiTheme="majorHAnsi" w:hAnsiTheme="majorHAnsi" w:cs="Times New Roman"/>
        </w:rPr>
        <w:lastRenderedPageBreak/>
        <w:t xml:space="preserve">fixation delayed beyond 48 hours in otherwise stable patients has been linked to increased ARDS incidence and longer ventilator duration </w:t>
      </w:r>
      <w:r w:rsidRPr="00045DFA">
        <w:rPr>
          <w:rFonts w:asciiTheme="majorHAnsi" w:hAnsiTheme="majorHAnsi" w:cs="Times New Roman"/>
          <w:b/>
          <w:bCs/>
        </w:rPr>
        <w:t>[43]</w:t>
      </w:r>
      <w:r w:rsidRPr="00045DFA">
        <w:rPr>
          <w:rFonts w:asciiTheme="majorHAnsi" w:hAnsiTheme="majorHAnsi" w:cs="Times New Roman"/>
        </w:rPr>
        <w:t>.</w:t>
      </w:r>
    </w:p>
    <w:p w14:paraId="6F5F7619"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 xml:space="preserve">However, in unstable patients characterised by elevated lactate (&gt;4 mmol/L), base deficit &gt;6, hypothermia, or ongoing transfusion requirement, early definitive fixation may increase inflammatory burden and risk of MOF </w:t>
      </w:r>
      <w:r w:rsidRPr="00045DFA">
        <w:rPr>
          <w:rFonts w:asciiTheme="majorHAnsi" w:hAnsiTheme="majorHAnsi" w:cs="Times New Roman"/>
          <w:b/>
          <w:bCs/>
        </w:rPr>
        <w:t>[8,9]</w:t>
      </w:r>
      <w:r w:rsidRPr="00045DFA">
        <w:rPr>
          <w:rFonts w:asciiTheme="majorHAnsi" w:hAnsiTheme="majorHAnsi" w:cs="Times New Roman"/>
        </w:rPr>
        <w:t>. In such scenarios, damage control orthopaedics (DCO) with temporary stabilisation reduces second-hit risk.</w:t>
      </w:r>
    </w:p>
    <w:p w14:paraId="3C4290C6" w14:textId="346C2097" w:rsidR="00482F28" w:rsidRPr="00045DFA" w:rsidRDefault="00482F28" w:rsidP="00482F28">
      <w:pPr>
        <w:spacing w:after="0" w:line="276" w:lineRule="auto"/>
        <w:rPr>
          <w:rFonts w:asciiTheme="majorHAnsi" w:hAnsiTheme="majorHAnsi" w:cs="Times New Roman"/>
        </w:rPr>
      </w:pPr>
    </w:p>
    <w:p w14:paraId="60B8C0CA" w14:textId="77777777" w:rsidR="00482F28" w:rsidRPr="00045DFA" w:rsidRDefault="00482F28" w:rsidP="00482F28">
      <w:pPr>
        <w:spacing w:after="0" w:line="276" w:lineRule="auto"/>
        <w:rPr>
          <w:rFonts w:asciiTheme="majorHAnsi" w:hAnsiTheme="majorHAnsi" w:cs="Times New Roman"/>
          <w:b/>
          <w:bCs/>
        </w:rPr>
      </w:pPr>
      <w:r w:rsidRPr="00045DFA">
        <w:rPr>
          <w:rFonts w:asciiTheme="majorHAnsi" w:hAnsiTheme="majorHAnsi" w:cs="Times New Roman"/>
          <w:b/>
          <w:bCs/>
        </w:rPr>
        <w:t>Timely Antimicrobial Prophylaxis</w:t>
      </w:r>
    </w:p>
    <w:p w14:paraId="2AC8DC73"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 xml:space="preserve">Administration of prophylactic antibiotics within 60 minutes prior to incision has been associated with 40–60% reductions in surgical site infection rates across surgical populations </w:t>
      </w:r>
      <w:r w:rsidRPr="00045DFA">
        <w:rPr>
          <w:rFonts w:asciiTheme="majorHAnsi" w:hAnsiTheme="majorHAnsi" w:cs="Times New Roman"/>
          <w:b/>
          <w:bCs/>
        </w:rPr>
        <w:t>[30]</w:t>
      </w:r>
      <w:r w:rsidRPr="00045DFA">
        <w:rPr>
          <w:rFonts w:asciiTheme="majorHAnsi" w:hAnsiTheme="majorHAnsi" w:cs="Times New Roman"/>
        </w:rPr>
        <w:t xml:space="preserve">. In open fractures, early antibiotic administration is correlated with reduced deep infection and implant-related complications </w:t>
      </w:r>
      <w:r w:rsidRPr="00045DFA">
        <w:rPr>
          <w:rFonts w:asciiTheme="majorHAnsi" w:hAnsiTheme="majorHAnsi" w:cs="Times New Roman"/>
          <w:b/>
          <w:bCs/>
        </w:rPr>
        <w:t>[29]</w:t>
      </w:r>
      <w:r w:rsidRPr="00045DFA">
        <w:rPr>
          <w:rFonts w:asciiTheme="majorHAnsi" w:hAnsiTheme="majorHAnsi" w:cs="Times New Roman"/>
        </w:rPr>
        <w:t>.</w:t>
      </w:r>
    </w:p>
    <w:p w14:paraId="76BE0429" w14:textId="1891E5FE" w:rsidR="00482F28" w:rsidRPr="00045DFA" w:rsidRDefault="00482F28" w:rsidP="00482F28">
      <w:pPr>
        <w:spacing w:after="0" w:line="276" w:lineRule="auto"/>
        <w:rPr>
          <w:rFonts w:asciiTheme="majorHAnsi" w:hAnsiTheme="majorHAnsi" w:cs="Times New Roman"/>
        </w:rPr>
      </w:pPr>
    </w:p>
    <w:p w14:paraId="72B297AC" w14:textId="77777777" w:rsidR="00482F28" w:rsidRPr="00045DFA" w:rsidRDefault="00482F28" w:rsidP="00482F28">
      <w:pPr>
        <w:spacing w:after="0" w:line="276" w:lineRule="auto"/>
        <w:rPr>
          <w:rFonts w:asciiTheme="majorHAnsi" w:hAnsiTheme="majorHAnsi" w:cs="Times New Roman"/>
          <w:b/>
          <w:bCs/>
        </w:rPr>
      </w:pPr>
      <w:r w:rsidRPr="00045DFA">
        <w:rPr>
          <w:rFonts w:asciiTheme="majorHAnsi" w:hAnsiTheme="majorHAnsi" w:cs="Times New Roman"/>
          <w:b/>
          <w:bCs/>
        </w:rPr>
        <w:t>Early Mobilisation and VTE Prophylaxis</w:t>
      </w:r>
    </w:p>
    <w:p w14:paraId="48718836"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 xml:space="preserve">Early mobilisation reduces ICU-acquired weakness and shortens ICU stay in selected populations </w:t>
      </w:r>
      <w:r w:rsidRPr="00045DFA">
        <w:rPr>
          <w:rFonts w:asciiTheme="majorHAnsi" w:hAnsiTheme="majorHAnsi" w:cs="Times New Roman"/>
          <w:b/>
          <w:bCs/>
        </w:rPr>
        <w:t>[28]</w:t>
      </w:r>
      <w:r w:rsidRPr="00045DFA">
        <w:rPr>
          <w:rFonts w:asciiTheme="majorHAnsi" w:hAnsiTheme="majorHAnsi" w:cs="Times New Roman"/>
        </w:rPr>
        <w:t xml:space="preserve">. Pharmacologic thromboprophylaxis reduces deep vein thrombosis incidence in trauma patients when initiated appropriately after haemorrhage control </w:t>
      </w:r>
      <w:r w:rsidRPr="00045DFA">
        <w:rPr>
          <w:rFonts w:asciiTheme="majorHAnsi" w:hAnsiTheme="majorHAnsi" w:cs="Times New Roman"/>
          <w:b/>
          <w:bCs/>
        </w:rPr>
        <w:t>[27]</w:t>
      </w:r>
      <w:r w:rsidRPr="00045DFA">
        <w:rPr>
          <w:rFonts w:asciiTheme="majorHAnsi" w:hAnsiTheme="majorHAnsi" w:cs="Times New Roman"/>
        </w:rPr>
        <w:t>.</w:t>
      </w:r>
    </w:p>
    <w:p w14:paraId="46835AA8" w14:textId="332B20B1" w:rsidR="00482F28" w:rsidRPr="00045DFA" w:rsidRDefault="00482F28" w:rsidP="00482F28">
      <w:pPr>
        <w:spacing w:after="0" w:line="276" w:lineRule="auto"/>
        <w:rPr>
          <w:rFonts w:asciiTheme="majorHAnsi" w:hAnsiTheme="majorHAnsi" w:cs="Times New Roman"/>
        </w:rPr>
      </w:pPr>
    </w:p>
    <w:p w14:paraId="3839AD1B" w14:textId="77777777" w:rsidR="00482F28" w:rsidRPr="00045DFA" w:rsidRDefault="00482F28" w:rsidP="00482F28">
      <w:pPr>
        <w:spacing w:after="0" w:line="276" w:lineRule="auto"/>
        <w:rPr>
          <w:rFonts w:asciiTheme="majorHAnsi" w:hAnsiTheme="majorHAnsi" w:cs="Times New Roman"/>
          <w:b/>
          <w:bCs/>
        </w:rPr>
      </w:pPr>
      <w:r w:rsidRPr="00045DFA">
        <w:rPr>
          <w:rFonts w:asciiTheme="majorHAnsi" w:hAnsiTheme="majorHAnsi" w:cs="Times New Roman"/>
          <w:b/>
          <w:bCs/>
        </w:rPr>
        <w:t>Device Burden Reduction</w:t>
      </w:r>
    </w:p>
    <w:p w14:paraId="17B2C8FE"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 xml:space="preserve">Structured device review programs have demonstrated reductions of up to 60–70% in central line-associated bloodstream infections in ICU settings </w:t>
      </w:r>
      <w:r w:rsidRPr="00045DFA">
        <w:rPr>
          <w:rFonts w:asciiTheme="majorHAnsi" w:hAnsiTheme="majorHAnsi" w:cs="Times New Roman"/>
          <w:b/>
          <w:bCs/>
        </w:rPr>
        <w:t>[37]</w:t>
      </w:r>
      <w:r w:rsidRPr="00045DFA">
        <w:rPr>
          <w:rFonts w:asciiTheme="majorHAnsi" w:hAnsiTheme="majorHAnsi" w:cs="Times New Roman"/>
        </w:rPr>
        <w:t>.</w:t>
      </w:r>
    </w:p>
    <w:p w14:paraId="40D56621" w14:textId="303103E3" w:rsidR="00482F28" w:rsidRPr="00045DFA" w:rsidRDefault="00482F28" w:rsidP="00482F28">
      <w:pPr>
        <w:spacing w:after="0" w:line="276" w:lineRule="auto"/>
        <w:rPr>
          <w:rFonts w:asciiTheme="majorHAnsi" w:hAnsiTheme="majorHAnsi" w:cs="Times New Roman"/>
        </w:rPr>
      </w:pPr>
    </w:p>
    <w:p w14:paraId="55BBE01F" w14:textId="77777777" w:rsidR="00482F28" w:rsidRPr="00045DFA" w:rsidRDefault="00482F28" w:rsidP="00482F28">
      <w:pPr>
        <w:spacing w:after="0" w:line="276" w:lineRule="auto"/>
        <w:rPr>
          <w:rFonts w:asciiTheme="majorHAnsi" w:hAnsiTheme="majorHAnsi" w:cs="Times New Roman"/>
          <w:b/>
          <w:bCs/>
        </w:rPr>
      </w:pPr>
      <w:r w:rsidRPr="00045DFA">
        <w:rPr>
          <w:rFonts w:asciiTheme="majorHAnsi" w:hAnsiTheme="majorHAnsi" w:cs="Times New Roman"/>
          <w:b/>
          <w:bCs/>
        </w:rPr>
        <w:t>Avoiding Recovery Iatrogenesis</w:t>
      </w:r>
    </w:p>
    <w:p w14:paraId="3654EC14" w14:textId="636EE14C" w:rsidR="00482F28" w:rsidRPr="00045DFA" w:rsidRDefault="00482F28" w:rsidP="004F26CC">
      <w:pPr>
        <w:spacing w:after="0" w:line="276" w:lineRule="auto"/>
        <w:rPr>
          <w:rFonts w:asciiTheme="majorHAnsi" w:hAnsiTheme="majorHAnsi" w:cs="Times New Roman"/>
        </w:rPr>
      </w:pPr>
      <w:r w:rsidRPr="00045DFA">
        <w:rPr>
          <w:rFonts w:asciiTheme="majorHAnsi" w:hAnsiTheme="majorHAnsi" w:cs="Times New Roman"/>
        </w:rPr>
        <w:t xml:space="preserve">Although structured recovery pathways improve adherence and consistency </w:t>
      </w:r>
      <w:r w:rsidRPr="00045DFA">
        <w:rPr>
          <w:rFonts w:asciiTheme="majorHAnsi" w:hAnsiTheme="majorHAnsi" w:cs="Times New Roman"/>
          <w:b/>
          <w:bCs/>
        </w:rPr>
        <w:t>[31,38]</w:t>
      </w:r>
      <w:r w:rsidRPr="00045DFA">
        <w:rPr>
          <w:rFonts w:asciiTheme="majorHAnsi" w:hAnsiTheme="majorHAnsi" w:cs="Times New Roman"/>
        </w:rPr>
        <w:t xml:space="preserve">, rigid protocolisation may introduce unintended harm if physiological context is ignored </w:t>
      </w:r>
      <w:r w:rsidRPr="00045DFA">
        <w:rPr>
          <w:rFonts w:asciiTheme="majorHAnsi" w:hAnsiTheme="majorHAnsi" w:cs="Times New Roman"/>
          <w:b/>
          <w:bCs/>
        </w:rPr>
        <w:t>[8,9,23]</w:t>
      </w:r>
      <w:r w:rsidRPr="00045DFA">
        <w:rPr>
          <w:rFonts w:asciiTheme="majorHAnsi" w:hAnsiTheme="majorHAnsi" w:cs="Times New Roman"/>
        </w:rPr>
        <w:t xml:space="preserve">. The second-hit literature underscores the risk of major operative stress during ongoing systemic activation </w:t>
      </w:r>
      <w:r w:rsidRPr="00045DFA">
        <w:rPr>
          <w:rFonts w:asciiTheme="majorHAnsi" w:hAnsiTheme="majorHAnsi" w:cs="Times New Roman"/>
          <w:b/>
          <w:bCs/>
        </w:rPr>
        <w:t>[8,9]</w:t>
      </w:r>
      <w:r w:rsidRPr="00045DFA">
        <w:rPr>
          <w:rFonts w:asciiTheme="majorHAnsi" w:hAnsiTheme="majorHAnsi" w:cs="Times New Roman"/>
        </w:rPr>
        <w:t>. Accordingly, recovery optimisation requires dynamic reassessment rather than fixed timelines.</w:t>
      </w:r>
    </w:p>
    <w:p w14:paraId="5ACF4C4F" w14:textId="77777777" w:rsidR="0059516A" w:rsidRPr="00045DFA" w:rsidRDefault="0059516A" w:rsidP="004F26CC">
      <w:pPr>
        <w:spacing w:after="0" w:line="276" w:lineRule="auto"/>
        <w:rPr>
          <w:rFonts w:asciiTheme="majorHAnsi" w:hAnsiTheme="majorHAnsi" w:cs="Times New Roman"/>
        </w:rPr>
      </w:pPr>
    </w:p>
    <w:p w14:paraId="299C55DB" w14:textId="77777777" w:rsidR="0059516A" w:rsidRPr="00045DFA" w:rsidRDefault="0059516A" w:rsidP="004F26CC">
      <w:pPr>
        <w:spacing w:after="0" w:line="276" w:lineRule="auto"/>
        <w:rPr>
          <w:rFonts w:asciiTheme="majorHAnsi" w:hAnsiTheme="majorHAnsi" w:cs="Times New Roman"/>
        </w:rPr>
      </w:pPr>
    </w:p>
    <w:p w14:paraId="43D9F39F" w14:textId="77777777" w:rsidR="0059516A" w:rsidRPr="00045DFA" w:rsidRDefault="0059516A" w:rsidP="004F26CC">
      <w:pPr>
        <w:spacing w:after="0" w:line="276" w:lineRule="auto"/>
        <w:rPr>
          <w:rFonts w:asciiTheme="majorHAnsi" w:hAnsiTheme="majorHAnsi" w:cs="Times New Roman"/>
        </w:rPr>
      </w:pPr>
    </w:p>
    <w:p w14:paraId="670CEE33" w14:textId="77777777" w:rsidR="0059516A" w:rsidRPr="00045DFA" w:rsidRDefault="0059516A" w:rsidP="004F26CC">
      <w:pPr>
        <w:spacing w:after="0" w:line="276" w:lineRule="auto"/>
        <w:rPr>
          <w:rFonts w:asciiTheme="majorHAnsi" w:hAnsiTheme="majorHAnsi" w:cs="Times New Roman"/>
        </w:rPr>
      </w:pPr>
    </w:p>
    <w:p w14:paraId="73CEC83B" w14:textId="77777777" w:rsidR="00482F28" w:rsidRPr="00045DFA" w:rsidRDefault="00482F28" w:rsidP="00482F28">
      <w:pPr>
        <w:spacing w:after="0" w:line="276" w:lineRule="auto"/>
        <w:rPr>
          <w:rFonts w:asciiTheme="majorHAnsi" w:hAnsiTheme="majorHAnsi" w:cs="Times New Roman"/>
          <w:b/>
          <w:bCs/>
        </w:rPr>
      </w:pPr>
      <w:r w:rsidRPr="00045DFA">
        <w:rPr>
          <w:rFonts w:asciiTheme="majorHAnsi" w:hAnsiTheme="majorHAnsi" w:cs="Times New Roman"/>
          <w:b/>
          <w:bCs/>
        </w:rPr>
        <w:t>Table 3. Tier 1 Recovery Interventions: Quantitative Effect Sizes and Clinical Impact in Trauma &amp; Emergency Surgery (Final Corrected)</w:t>
      </w:r>
    </w:p>
    <w:tbl>
      <w:tblPr>
        <w:tblStyle w:val="TableGrid1"/>
        <w:tblW w:w="0" w:type="auto"/>
        <w:tblLook w:val="04A0" w:firstRow="1" w:lastRow="0" w:firstColumn="1" w:lastColumn="0" w:noHBand="0" w:noVBand="1"/>
      </w:tblPr>
      <w:tblGrid>
        <w:gridCol w:w="1634"/>
        <w:gridCol w:w="1217"/>
        <w:gridCol w:w="1464"/>
        <w:gridCol w:w="1452"/>
        <w:gridCol w:w="1785"/>
        <w:gridCol w:w="1377"/>
        <w:gridCol w:w="807"/>
      </w:tblGrid>
      <w:tr w:rsidR="00482F28" w:rsidRPr="00045DFA" w14:paraId="79059D74" w14:textId="77777777" w:rsidTr="0059516A">
        <w:tc>
          <w:tcPr>
            <w:tcW w:w="0" w:type="auto"/>
            <w:hideMark/>
          </w:tcPr>
          <w:p w14:paraId="5EE46F60" w14:textId="77777777" w:rsidR="00482F28" w:rsidRPr="00045DFA" w:rsidRDefault="00482F28" w:rsidP="00482F28">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Intervention</w:t>
            </w:r>
          </w:p>
        </w:tc>
        <w:tc>
          <w:tcPr>
            <w:tcW w:w="0" w:type="auto"/>
            <w:hideMark/>
          </w:tcPr>
          <w:p w14:paraId="7C919E19" w14:textId="77777777" w:rsidR="00482F28" w:rsidRPr="00045DFA" w:rsidRDefault="00482F28" w:rsidP="00482F28">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Study Context</w:t>
            </w:r>
          </w:p>
        </w:tc>
        <w:tc>
          <w:tcPr>
            <w:tcW w:w="0" w:type="auto"/>
            <w:hideMark/>
          </w:tcPr>
          <w:p w14:paraId="796B1852" w14:textId="77777777" w:rsidR="00482F28" w:rsidRPr="00045DFA" w:rsidRDefault="00482F28" w:rsidP="00482F28">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Quantified Effect Size</w:t>
            </w:r>
          </w:p>
        </w:tc>
        <w:tc>
          <w:tcPr>
            <w:tcW w:w="0" w:type="auto"/>
            <w:hideMark/>
          </w:tcPr>
          <w:p w14:paraId="1C90E9B8" w14:textId="77777777" w:rsidR="00482F28" w:rsidRPr="00045DFA" w:rsidRDefault="00482F28" w:rsidP="00482F28">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Absolute Outcome Change</w:t>
            </w:r>
          </w:p>
        </w:tc>
        <w:tc>
          <w:tcPr>
            <w:tcW w:w="0" w:type="auto"/>
            <w:hideMark/>
          </w:tcPr>
          <w:p w14:paraId="7E62E8EB" w14:textId="77777777" w:rsidR="00482F28" w:rsidRPr="00045DFA" w:rsidRDefault="00482F28" w:rsidP="00482F28">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Mechanistic Target</w:t>
            </w:r>
          </w:p>
        </w:tc>
        <w:tc>
          <w:tcPr>
            <w:tcW w:w="0" w:type="auto"/>
            <w:hideMark/>
          </w:tcPr>
          <w:p w14:paraId="338E7E9A" w14:textId="77777777" w:rsidR="00482F28" w:rsidRPr="00045DFA" w:rsidRDefault="00482F28" w:rsidP="00482F28">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Level of Evidence</w:t>
            </w:r>
          </w:p>
        </w:tc>
        <w:tc>
          <w:tcPr>
            <w:tcW w:w="0" w:type="auto"/>
            <w:hideMark/>
          </w:tcPr>
          <w:p w14:paraId="7C9B9DE7" w14:textId="77777777" w:rsidR="00482F28" w:rsidRPr="00045DFA" w:rsidRDefault="00482F28" w:rsidP="00482F28">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Key Refs</w:t>
            </w:r>
          </w:p>
        </w:tc>
      </w:tr>
      <w:tr w:rsidR="00482F28" w:rsidRPr="00045DFA" w14:paraId="74C65500" w14:textId="77777777" w:rsidTr="0059516A">
        <w:tc>
          <w:tcPr>
            <w:tcW w:w="0" w:type="auto"/>
            <w:hideMark/>
          </w:tcPr>
          <w:p w14:paraId="677652C4"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Early enteral nutrition (&lt;24–48h)</w:t>
            </w:r>
          </w:p>
        </w:tc>
        <w:tc>
          <w:tcPr>
            <w:tcW w:w="0" w:type="auto"/>
            <w:hideMark/>
          </w:tcPr>
          <w:p w14:paraId="41520B22"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Critically injured patients</w:t>
            </w:r>
          </w:p>
        </w:tc>
        <w:tc>
          <w:tcPr>
            <w:tcW w:w="0" w:type="auto"/>
            <w:hideMark/>
          </w:tcPr>
          <w:p w14:paraId="038200B4"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~30–40% relative reduction in septic complications</w:t>
            </w:r>
          </w:p>
        </w:tc>
        <w:tc>
          <w:tcPr>
            <w:tcW w:w="0" w:type="auto"/>
            <w:hideMark/>
          </w:tcPr>
          <w:p w14:paraId="2D61BBB4"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Septic complications reduced from ~30% to ~18–20%</w:t>
            </w:r>
          </w:p>
        </w:tc>
        <w:tc>
          <w:tcPr>
            <w:tcW w:w="0" w:type="auto"/>
            <w:hideMark/>
          </w:tcPr>
          <w:p w14:paraId="196AB8B7" w14:textId="77777777" w:rsidR="00482F28" w:rsidRPr="00045DFA" w:rsidRDefault="00482F28" w:rsidP="00482F28">
            <w:pPr>
              <w:spacing w:line="276" w:lineRule="auto"/>
              <w:rPr>
                <w:rFonts w:asciiTheme="majorHAnsi" w:hAnsiTheme="majorHAnsi" w:cs="Times New Roman"/>
                <w:sz w:val="20"/>
                <w:szCs w:val="20"/>
              </w:rPr>
            </w:pPr>
            <w:proofErr w:type="spellStart"/>
            <w:r w:rsidRPr="00045DFA">
              <w:rPr>
                <w:rFonts w:asciiTheme="majorHAnsi" w:hAnsiTheme="majorHAnsi" w:cs="Times New Roman"/>
                <w:sz w:val="20"/>
                <w:szCs w:val="20"/>
              </w:rPr>
              <w:t>Hypercatabolism</w:t>
            </w:r>
            <w:proofErr w:type="spellEnd"/>
            <w:r w:rsidRPr="00045DFA">
              <w:rPr>
                <w:rFonts w:asciiTheme="majorHAnsi" w:hAnsiTheme="majorHAnsi" w:cs="Times New Roman"/>
                <w:sz w:val="20"/>
                <w:szCs w:val="20"/>
              </w:rPr>
              <w:t>, gut barrier integrity</w:t>
            </w:r>
          </w:p>
        </w:tc>
        <w:tc>
          <w:tcPr>
            <w:tcW w:w="0" w:type="auto"/>
            <w:hideMark/>
          </w:tcPr>
          <w:p w14:paraId="2E3D1388"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RCT + Meta-analysis</w:t>
            </w:r>
          </w:p>
        </w:tc>
        <w:tc>
          <w:tcPr>
            <w:tcW w:w="0" w:type="auto"/>
            <w:hideMark/>
          </w:tcPr>
          <w:p w14:paraId="78231415"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[18,19]</w:t>
            </w:r>
          </w:p>
        </w:tc>
      </w:tr>
      <w:tr w:rsidR="00482F28" w:rsidRPr="00045DFA" w14:paraId="77D52F91" w14:textId="77777777" w:rsidTr="0059516A">
        <w:tc>
          <w:tcPr>
            <w:tcW w:w="0" w:type="auto"/>
            <w:hideMark/>
          </w:tcPr>
          <w:p w14:paraId="77B7C613"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Early enteral feeding vs delayed feeding</w:t>
            </w:r>
          </w:p>
        </w:tc>
        <w:tc>
          <w:tcPr>
            <w:tcW w:w="0" w:type="auto"/>
            <w:hideMark/>
          </w:tcPr>
          <w:p w14:paraId="6036C874"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GI surgery / trauma ICU</w:t>
            </w:r>
          </w:p>
        </w:tc>
        <w:tc>
          <w:tcPr>
            <w:tcW w:w="0" w:type="auto"/>
            <w:hideMark/>
          </w:tcPr>
          <w:p w14:paraId="30B4E63B"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Reduced infectious complications (RR ~0.72)</w:t>
            </w:r>
          </w:p>
        </w:tc>
        <w:tc>
          <w:tcPr>
            <w:tcW w:w="0" w:type="auto"/>
            <w:hideMark/>
          </w:tcPr>
          <w:p w14:paraId="26F121FA"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Absolute infection reduction ~8–12%</w:t>
            </w:r>
          </w:p>
        </w:tc>
        <w:tc>
          <w:tcPr>
            <w:tcW w:w="0" w:type="auto"/>
            <w:hideMark/>
          </w:tcPr>
          <w:p w14:paraId="0BB144AC"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Immune support</w:t>
            </w:r>
          </w:p>
        </w:tc>
        <w:tc>
          <w:tcPr>
            <w:tcW w:w="0" w:type="auto"/>
            <w:hideMark/>
          </w:tcPr>
          <w:p w14:paraId="2AA42D96"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Systematic review</w:t>
            </w:r>
          </w:p>
        </w:tc>
        <w:tc>
          <w:tcPr>
            <w:tcW w:w="0" w:type="auto"/>
            <w:hideMark/>
          </w:tcPr>
          <w:p w14:paraId="7775A8AF"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[4]</w:t>
            </w:r>
          </w:p>
        </w:tc>
      </w:tr>
      <w:tr w:rsidR="00482F28" w:rsidRPr="00045DFA" w14:paraId="0CC189BC" w14:textId="77777777" w:rsidTr="0059516A">
        <w:tc>
          <w:tcPr>
            <w:tcW w:w="0" w:type="auto"/>
            <w:hideMark/>
          </w:tcPr>
          <w:p w14:paraId="488EC064"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Restrictive fluid strategy</w:t>
            </w:r>
          </w:p>
        </w:tc>
        <w:tc>
          <w:tcPr>
            <w:tcW w:w="0" w:type="auto"/>
            <w:hideMark/>
          </w:tcPr>
          <w:p w14:paraId="277799C4"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Surgical populations</w:t>
            </w:r>
          </w:p>
        </w:tc>
        <w:tc>
          <w:tcPr>
            <w:tcW w:w="0" w:type="auto"/>
            <w:hideMark/>
          </w:tcPr>
          <w:p w14:paraId="3252BB16"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 xml:space="preserve">~25–30% reduction in </w:t>
            </w:r>
            <w:r w:rsidRPr="00045DFA">
              <w:rPr>
                <w:rFonts w:asciiTheme="majorHAnsi" w:hAnsiTheme="majorHAnsi" w:cs="Times New Roman"/>
                <w:sz w:val="20"/>
                <w:szCs w:val="20"/>
              </w:rPr>
              <w:lastRenderedPageBreak/>
              <w:t>overall complications</w:t>
            </w:r>
          </w:p>
        </w:tc>
        <w:tc>
          <w:tcPr>
            <w:tcW w:w="0" w:type="auto"/>
            <w:hideMark/>
          </w:tcPr>
          <w:p w14:paraId="2AE00E64"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lastRenderedPageBreak/>
              <w:t xml:space="preserve">Reduced pulmonary and </w:t>
            </w:r>
            <w:r w:rsidRPr="00045DFA">
              <w:rPr>
                <w:rFonts w:asciiTheme="majorHAnsi" w:hAnsiTheme="majorHAnsi" w:cs="Times New Roman"/>
                <w:sz w:val="20"/>
                <w:szCs w:val="20"/>
              </w:rPr>
              <w:lastRenderedPageBreak/>
              <w:t>wound complications</w:t>
            </w:r>
          </w:p>
        </w:tc>
        <w:tc>
          <w:tcPr>
            <w:tcW w:w="0" w:type="auto"/>
            <w:hideMark/>
          </w:tcPr>
          <w:p w14:paraId="7094CC2C"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lastRenderedPageBreak/>
              <w:t>Endothelial leak</w:t>
            </w:r>
          </w:p>
        </w:tc>
        <w:tc>
          <w:tcPr>
            <w:tcW w:w="0" w:type="auto"/>
            <w:hideMark/>
          </w:tcPr>
          <w:p w14:paraId="17699685"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RCT</w:t>
            </w:r>
          </w:p>
        </w:tc>
        <w:tc>
          <w:tcPr>
            <w:tcW w:w="0" w:type="auto"/>
            <w:hideMark/>
          </w:tcPr>
          <w:p w14:paraId="48C01A66"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[44]</w:t>
            </w:r>
          </w:p>
        </w:tc>
      </w:tr>
      <w:tr w:rsidR="00482F28" w:rsidRPr="00045DFA" w14:paraId="19F5E092" w14:textId="77777777" w:rsidTr="0059516A">
        <w:tc>
          <w:tcPr>
            <w:tcW w:w="0" w:type="auto"/>
            <w:hideMark/>
          </w:tcPr>
          <w:p w14:paraId="77CD9A21"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Balanced crystalloids vs saline</w:t>
            </w:r>
          </w:p>
        </w:tc>
        <w:tc>
          <w:tcPr>
            <w:tcW w:w="0" w:type="auto"/>
            <w:hideMark/>
          </w:tcPr>
          <w:p w14:paraId="259EE3F8"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Critically ill</w:t>
            </w:r>
          </w:p>
        </w:tc>
        <w:tc>
          <w:tcPr>
            <w:tcW w:w="0" w:type="auto"/>
            <w:hideMark/>
          </w:tcPr>
          <w:p w14:paraId="5B9C5DDC"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~1–2% absolute reduction in major adverse kidney events</w:t>
            </w:r>
          </w:p>
        </w:tc>
        <w:tc>
          <w:tcPr>
            <w:tcW w:w="0" w:type="auto"/>
            <w:hideMark/>
          </w:tcPr>
          <w:p w14:paraId="18C9A6AD"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Reduced renal complications</w:t>
            </w:r>
          </w:p>
        </w:tc>
        <w:tc>
          <w:tcPr>
            <w:tcW w:w="0" w:type="auto"/>
            <w:hideMark/>
          </w:tcPr>
          <w:p w14:paraId="0B0C07F4"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Microcirculation</w:t>
            </w:r>
          </w:p>
        </w:tc>
        <w:tc>
          <w:tcPr>
            <w:tcW w:w="0" w:type="auto"/>
            <w:hideMark/>
          </w:tcPr>
          <w:p w14:paraId="6799CB98"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Large pragmatic RCT</w:t>
            </w:r>
          </w:p>
        </w:tc>
        <w:tc>
          <w:tcPr>
            <w:tcW w:w="0" w:type="auto"/>
            <w:hideMark/>
          </w:tcPr>
          <w:p w14:paraId="122469A7"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[23]</w:t>
            </w:r>
          </w:p>
        </w:tc>
      </w:tr>
      <w:tr w:rsidR="00482F28" w:rsidRPr="00045DFA" w14:paraId="13B560DB" w14:textId="77777777" w:rsidTr="0059516A">
        <w:tc>
          <w:tcPr>
            <w:tcW w:w="0" w:type="auto"/>
            <w:hideMark/>
          </w:tcPr>
          <w:p w14:paraId="08B4FDA9"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Early femoral fracture fixation (&lt;24h stable)</w:t>
            </w:r>
          </w:p>
        </w:tc>
        <w:tc>
          <w:tcPr>
            <w:tcW w:w="0" w:type="auto"/>
            <w:hideMark/>
          </w:tcPr>
          <w:p w14:paraId="2273EDD9"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Polytrauma</w:t>
            </w:r>
          </w:p>
        </w:tc>
        <w:tc>
          <w:tcPr>
            <w:tcW w:w="0" w:type="auto"/>
            <w:hideMark/>
          </w:tcPr>
          <w:p w14:paraId="5478732D"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Pulmonary complication reduction ~20–30%</w:t>
            </w:r>
          </w:p>
        </w:tc>
        <w:tc>
          <w:tcPr>
            <w:tcW w:w="0" w:type="auto"/>
            <w:hideMark/>
          </w:tcPr>
          <w:p w14:paraId="2BE75AEB"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Reduced ARDS incidence</w:t>
            </w:r>
          </w:p>
        </w:tc>
        <w:tc>
          <w:tcPr>
            <w:tcW w:w="0" w:type="auto"/>
            <w:hideMark/>
          </w:tcPr>
          <w:p w14:paraId="6597AD7B"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Inflammatory control</w:t>
            </w:r>
          </w:p>
        </w:tc>
        <w:tc>
          <w:tcPr>
            <w:tcW w:w="0" w:type="auto"/>
            <w:hideMark/>
          </w:tcPr>
          <w:p w14:paraId="06E725CC"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Cohort + registry</w:t>
            </w:r>
          </w:p>
        </w:tc>
        <w:tc>
          <w:tcPr>
            <w:tcW w:w="0" w:type="auto"/>
            <w:hideMark/>
          </w:tcPr>
          <w:p w14:paraId="6CA1BBFA"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[16,17]</w:t>
            </w:r>
          </w:p>
        </w:tc>
      </w:tr>
      <w:tr w:rsidR="00482F28" w:rsidRPr="00045DFA" w14:paraId="186067FF" w14:textId="77777777" w:rsidTr="0059516A">
        <w:tc>
          <w:tcPr>
            <w:tcW w:w="0" w:type="auto"/>
            <w:hideMark/>
          </w:tcPr>
          <w:p w14:paraId="30516EED"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Delayed fixation (&gt;48h)</w:t>
            </w:r>
          </w:p>
        </w:tc>
        <w:tc>
          <w:tcPr>
            <w:tcW w:w="0" w:type="auto"/>
            <w:hideMark/>
          </w:tcPr>
          <w:p w14:paraId="3F194ADF"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Polytrauma</w:t>
            </w:r>
          </w:p>
        </w:tc>
        <w:tc>
          <w:tcPr>
            <w:tcW w:w="0" w:type="auto"/>
            <w:hideMark/>
          </w:tcPr>
          <w:p w14:paraId="485A1F82"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 pulmonary complications up to 2× higher</w:t>
            </w:r>
          </w:p>
        </w:tc>
        <w:tc>
          <w:tcPr>
            <w:tcW w:w="0" w:type="auto"/>
            <w:hideMark/>
          </w:tcPr>
          <w:p w14:paraId="4477978B"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Increased ARDS and ventilator days</w:t>
            </w:r>
          </w:p>
        </w:tc>
        <w:tc>
          <w:tcPr>
            <w:tcW w:w="0" w:type="auto"/>
            <w:hideMark/>
          </w:tcPr>
          <w:p w14:paraId="3AFD76C1"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Persistent inflammatory load</w:t>
            </w:r>
          </w:p>
        </w:tc>
        <w:tc>
          <w:tcPr>
            <w:tcW w:w="0" w:type="auto"/>
            <w:hideMark/>
          </w:tcPr>
          <w:p w14:paraId="28C199FD"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Observational</w:t>
            </w:r>
          </w:p>
        </w:tc>
        <w:tc>
          <w:tcPr>
            <w:tcW w:w="0" w:type="auto"/>
            <w:hideMark/>
          </w:tcPr>
          <w:p w14:paraId="263D4A84"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[43]</w:t>
            </w:r>
          </w:p>
        </w:tc>
      </w:tr>
      <w:tr w:rsidR="00482F28" w:rsidRPr="00045DFA" w14:paraId="49E2FF1A" w14:textId="77777777" w:rsidTr="0059516A">
        <w:tc>
          <w:tcPr>
            <w:tcW w:w="0" w:type="auto"/>
            <w:hideMark/>
          </w:tcPr>
          <w:p w14:paraId="45826466"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Timely antimicrobial prophylaxis</w:t>
            </w:r>
          </w:p>
        </w:tc>
        <w:tc>
          <w:tcPr>
            <w:tcW w:w="0" w:type="auto"/>
            <w:hideMark/>
          </w:tcPr>
          <w:p w14:paraId="365270D3"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Surgical populations</w:t>
            </w:r>
          </w:p>
        </w:tc>
        <w:tc>
          <w:tcPr>
            <w:tcW w:w="0" w:type="auto"/>
            <w:hideMark/>
          </w:tcPr>
          <w:p w14:paraId="13BF2B57"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SSI reduction 40–60%</w:t>
            </w:r>
          </w:p>
        </w:tc>
        <w:tc>
          <w:tcPr>
            <w:tcW w:w="0" w:type="auto"/>
            <w:hideMark/>
          </w:tcPr>
          <w:p w14:paraId="27EE7688"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Absolute SSI reduction 5–15%</w:t>
            </w:r>
          </w:p>
        </w:tc>
        <w:tc>
          <w:tcPr>
            <w:tcW w:w="0" w:type="auto"/>
            <w:hideMark/>
          </w:tcPr>
          <w:p w14:paraId="024615A7"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Infection control</w:t>
            </w:r>
          </w:p>
        </w:tc>
        <w:tc>
          <w:tcPr>
            <w:tcW w:w="0" w:type="auto"/>
            <w:hideMark/>
          </w:tcPr>
          <w:p w14:paraId="55B95DC4"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Guideline-based</w:t>
            </w:r>
          </w:p>
        </w:tc>
        <w:tc>
          <w:tcPr>
            <w:tcW w:w="0" w:type="auto"/>
            <w:hideMark/>
          </w:tcPr>
          <w:p w14:paraId="434F0797"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[30]</w:t>
            </w:r>
          </w:p>
        </w:tc>
      </w:tr>
      <w:tr w:rsidR="00482F28" w:rsidRPr="00045DFA" w14:paraId="1B928B2A" w14:textId="77777777" w:rsidTr="0059516A">
        <w:tc>
          <w:tcPr>
            <w:tcW w:w="0" w:type="auto"/>
            <w:hideMark/>
          </w:tcPr>
          <w:p w14:paraId="24615AB8"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Early mobilisation in ICU</w:t>
            </w:r>
          </w:p>
        </w:tc>
        <w:tc>
          <w:tcPr>
            <w:tcW w:w="0" w:type="auto"/>
            <w:hideMark/>
          </w:tcPr>
          <w:p w14:paraId="45E20941"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Ventilated patients</w:t>
            </w:r>
          </w:p>
        </w:tc>
        <w:tc>
          <w:tcPr>
            <w:tcW w:w="0" w:type="auto"/>
            <w:hideMark/>
          </w:tcPr>
          <w:p w14:paraId="0B89D63D"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ICU-acquired weakness reduced ~25–35%</w:t>
            </w:r>
          </w:p>
        </w:tc>
        <w:tc>
          <w:tcPr>
            <w:tcW w:w="0" w:type="auto"/>
            <w:hideMark/>
          </w:tcPr>
          <w:p w14:paraId="41EC8A8C"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ICU stay shorter by ~1–2 days</w:t>
            </w:r>
          </w:p>
        </w:tc>
        <w:tc>
          <w:tcPr>
            <w:tcW w:w="0" w:type="auto"/>
            <w:hideMark/>
          </w:tcPr>
          <w:p w14:paraId="2A8BF307"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Muscle preservation</w:t>
            </w:r>
          </w:p>
        </w:tc>
        <w:tc>
          <w:tcPr>
            <w:tcW w:w="0" w:type="auto"/>
            <w:hideMark/>
          </w:tcPr>
          <w:p w14:paraId="55F72909"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RCT</w:t>
            </w:r>
          </w:p>
        </w:tc>
        <w:tc>
          <w:tcPr>
            <w:tcW w:w="0" w:type="auto"/>
            <w:hideMark/>
          </w:tcPr>
          <w:p w14:paraId="05EE21C7"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[28]</w:t>
            </w:r>
          </w:p>
        </w:tc>
      </w:tr>
      <w:tr w:rsidR="00482F28" w:rsidRPr="00045DFA" w14:paraId="5DA6C3AD" w14:textId="77777777" w:rsidTr="0059516A">
        <w:tc>
          <w:tcPr>
            <w:tcW w:w="0" w:type="auto"/>
            <w:hideMark/>
          </w:tcPr>
          <w:p w14:paraId="5FF182C1"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VTE prophylaxis</w:t>
            </w:r>
          </w:p>
        </w:tc>
        <w:tc>
          <w:tcPr>
            <w:tcW w:w="0" w:type="auto"/>
            <w:hideMark/>
          </w:tcPr>
          <w:p w14:paraId="4F31FE4E"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Trauma patients</w:t>
            </w:r>
          </w:p>
        </w:tc>
        <w:tc>
          <w:tcPr>
            <w:tcW w:w="0" w:type="auto"/>
            <w:hideMark/>
          </w:tcPr>
          <w:p w14:paraId="4BF5C828"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VTE reduction ~40–60%</w:t>
            </w:r>
          </w:p>
        </w:tc>
        <w:tc>
          <w:tcPr>
            <w:tcW w:w="0" w:type="auto"/>
            <w:hideMark/>
          </w:tcPr>
          <w:p w14:paraId="2F0C8DDC"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DVT reduced ~15% → ~5–8%</w:t>
            </w:r>
          </w:p>
        </w:tc>
        <w:tc>
          <w:tcPr>
            <w:tcW w:w="0" w:type="auto"/>
            <w:hideMark/>
          </w:tcPr>
          <w:p w14:paraId="0FAAF6E8"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Hypercoagulability</w:t>
            </w:r>
          </w:p>
        </w:tc>
        <w:tc>
          <w:tcPr>
            <w:tcW w:w="0" w:type="auto"/>
            <w:hideMark/>
          </w:tcPr>
          <w:p w14:paraId="2CCEEEC9"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Guideline-based</w:t>
            </w:r>
          </w:p>
        </w:tc>
        <w:tc>
          <w:tcPr>
            <w:tcW w:w="0" w:type="auto"/>
            <w:hideMark/>
          </w:tcPr>
          <w:p w14:paraId="19AB59F5"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[27]</w:t>
            </w:r>
          </w:p>
        </w:tc>
      </w:tr>
      <w:tr w:rsidR="00482F28" w:rsidRPr="00045DFA" w14:paraId="508E3D75" w14:textId="77777777" w:rsidTr="0059516A">
        <w:tc>
          <w:tcPr>
            <w:tcW w:w="0" w:type="auto"/>
            <w:hideMark/>
          </w:tcPr>
          <w:p w14:paraId="61AD9C1D"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Structured audit &amp; feedback</w:t>
            </w:r>
          </w:p>
        </w:tc>
        <w:tc>
          <w:tcPr>
            <w:tcW w:w="0" w:type="auto"/>
            <w:hideMark/>
          </w:tcPr>
          <w:p w14:paraId="5C4ADD53"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Surgical systems</w:t>
            </w:r>
          </w:p>
        </w:tc>
        <w:tc>
          <w:tcPr>
            <w:tcW w:w="0" w:type="auto"/>
            <w:hideMark/>
          </w:tcPr>
          <w:p w14:paraId="3F199C5C"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Practice adherence improved ~10–20%</w:t>
            </w:r>
          </w:p>
        </w:tc>
        <w:tc>
          <w:tcPr>
            <w:tcW w:w="0" w:type="auto"/>
            <w:hideMark/>
          </w:tcPr>
          <w:p w14:paraId="54903BC7"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Modest complication reduction</w:t>
            </w:r>
          </w:p>
        </w:tc>
        <w:tc>
          <w:tcPr>
            <w:tcW w:w="0" w:type="auto"/>
            <w:hideMark/>
          </w:tcPr>
          <w:p w14:paraId="3C5230A3"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Compliance</w:t>
            </w:r>
          </w:p>
        </w:tc>
        <w:tc>
          <w:tcPr>
            <w:tcW w:w="0" w:type="auto"/>
            <w:hideMark/>
          </w:tcPr>
          <w:p w14:paraId="3820B3E8"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Cochrane review</w:t>
            </w:r>
          </w:p>
        </w:tc>
        <w:tc>
          <w:tcPr>
            <w:tcW w:w="0" w:type="auto"/>
            <w:hideMark/>
          </w:tcPr>
          <w:p w14:paraId="59A2AB30"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[38]</w:t>
            </w:r>
          </w:p>
        </w:tc>
      </w:tr>
      <w:tr w:rsidR="00482F28" w:rsidRPr="00045DFA" w14:paraId="7C2011F7" w14:textId="77777777" w:rsidTr="0059516A">
        <w:tc>
          <w:tcPr>
            <w:tcW w:w="0" w:type="auto"/>
            <w:hideMark/>
          </w:tcPr>
          <w:p w14:paraId="7BD8965B"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Failure-to-rescue reduction programs</w:t>
            </w:r>
          </w:p>
        </w:tc>
        <w:tc>
          <w:tcPr>
            <w:tcW w:w="0" w:type="auto"/>
            <w:hideMark/>
          </w:tcPr>
          <w:p w14:paraId="3F0D0DA1"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Multi-</w:t>
            </w:r>
            <w:proofErr w:type="spellStart"/>
            <w:r w:rsidRPr="00045DFA">
              <w:rPr>
                <w:rFonts w:asciiTheme="majorHAnsi" w:hAnsiTheme="majorHAnsi" w:cs="Times New Roman"/>
                <w:sz w:val="20"/>
                <w:szCs w:val="20"/>
              </w:rPr>
              <w:t>center</w:t>
            </w:r>
            <w:proofErr w:type="spellEnd"/>
            <w:r w:rsidRPr="00045DFA">
              <w:rPr>
                <w:rFonts w:asciiTheme="majorHAnsi" w:hAnsiTheme="majorHAnsi" w:cs="Times New Roman"/>
                <w:sz w:val="20"/>
                <w:szCs w:val="20"/>
              </w:rPr>
              <w:t xml:space="preserve"> data</w:t>
            </w:r>
          </w:p>
        </w:tc>
        <w:tc>
          <w:tcPr>
            <w:tcW w:w="0" w:type="auto"/>
            <w:hideMark/>
          </w:tcPr>
          <w:p w14:paraId="72D0BAF8"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Mortality reduction ~20–30%</w:t>
            </w:r>
          </w:p>
        </w:tc>
        <w:tc>
          <w:tcPr>
            <w:tcW w:w="0" w:type="auto"/>
            <w:hideMark/>
          </w:tcPr>
          <w:p w14:paraId="4CA1A1FF"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Mortality lower despite similar complication rates</w:t>
            </w:r>
          </w:p>
        </w:tc>
        <w:tc>
          <w:tcPr>
            <w:tcW w:w="0" w:type="auto"/>
            <w:hideMark/>
          </w:tcPr>
          <w:p w14:paraId="6FD08EAC"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Escalation</w:t>
            </w:r>
          </w:p>
        </w:tc>
        <w:tc>
          <w:tcPr>
            <w:tcW w:w="0" w:type="auto"/>
            <w:hideMark/>
          </w:tcPr>
          <w:p w14:paraId="2EFE50ED"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Observational datasets</w:t>
            </w:r>
          </w:p>
        </w:tc>
        <w:tc>
          <w:tcPr>
            <w:tcW w:w="0" w:type="auto"/>
            <w:hideMark/>
          </w:tcPr>
          <w:p w14:paraId="6D735210"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[39,40]</w:t>
            </w:r>
          </w:p>
        </w:tc>
      </w:tr>
      <w:tr w:rsidR="00482F28" w:rsidRPr="00045DFA" w14:paraId="0446BEEC" w14:textId="77777777" w:rsidTr="0059516A">
        <w:tc>
          <w:tcPr>
            <w:tcW w:w="0" w:type="auto"/>
            <w:hideMark/>
          </w:tcPr>
          <w:p w14:paraId="755E2F22"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Trauma system implementation</w:t>
            </w:r>
          </w:p>
        </w:tc>
        <w:tc>
          <w:tcPr>
            <w:tcW w:w="0" w:type="auto"/>
            <w:hideMark/>
          </w:tcPr>
          <w:p w14:paraId="394315AD"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 xml:space="preserve">LMIC trauma </w:t>
            </w:r>
            <w:proofErr w:type="spellStart"/>
            <w:r w:rsidRPr="00045DFA">
              <w:rPr>
                <w:rFonts w:asciiTheme="majorHAnsi" w:hAnsiTheme="majorHAnsi" w:cs="Times New Roman"/>
                <w:sz w:val="20"/>
                <w:szCs w:val="20"/>
              </w:rPr>
              <w:t>center</w:t>
            </w:r>
            <w:proofErr w:type="spellEnd"/>
          </w:p>
        </w:tc>
        <w:tc>
          <w:tcPr>
            <w:tcW w:w="0" w:type="auto"/>
            <w:hideMark/>
          </w:tcPr>
          <w:p w14:paraId="5DA35E18"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~20–35% mortality reduction</w:t>
            </w:r>
          </w:p>
        </w:tc>
        <w:tc>
          <w:tcPr>
            <w:tcW w:w="0" w:type="auto"/>
            <w:hideMark/>
          </w:tcPr>
          <w:p w14:paraId="5F5DAD29"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Mortality reduced ~17% → ~11%</w:t>
            </w:r>
          </w:p>
        </w:tc>
        <w:tc>
          <w:tcPr>
            <w:tcW w:w="0" w:type="auto"/>
            <w:hideMark/>
          </w:tcPr>
          <w:p w14:paraId="27C8F40F"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System coordination</w:t>
            </w:r>
          </w:p>
        </w:tc>
        <w:tc>
          <w:tcPr>
            <w:tcW w:w="0" w:type="auto"/>
            <w:hideMark/>
          </w:tcPr>
          <w:p w14:paraId="6347A815"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Before–after studies</w:t>
            </w:r>
          </w:p>
        </w:tc>
        <w:tc>
          <w:tcPr>
            <w:tcW w:w="0" w:type="auto"/>
            <w:hideMark/>
          </w:tcPr>
          <w:p w14:paraId="4F081627"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[41,42]</w:t>
            </w:r>
          </w:p>
        </w:tc>
      </w:tr>
    </w:tbl>
    <w:p w14:paraId="291714AA" w14:textId="487E639B" w:rsidR="00482F28" w:rsidRPr="00045DFA" w:rsidRDefault="00482F28" w:rsidP="00482F28">
      <w:pPr>
        <w:spacing w:after="0" w:line="276" w:lineRule="auto"/>
        <w:rPr>
          <w:rFonts w:asciiTheme="majorHAnsi" w:hAnsiTheme="majorHAnsi" w:cs="Times New Roman"/>
        </w:rPr>
      </w:pPr>
    </w:p>
    <w:p w14:paraId="758088AF" w14:textId="6AF3F167" w:rsidR="00482F28" w:rsidRPr="00045DFA" w:rsidRDefault="00482F28" w:rsidP="00482F28">
      <w:pPr>
        <w:spacing w:after="0" w:line="276" w:lineRule="auto"/>
        <w:rPr>
          <w:rFonts w:asciiTheme="majorHAnsi" w:hAnsiTheme="majorHAnsi" w:cs="Times New Roman"/>
          <w:b/>
          <w:bCs/>
        </w:rPr>
      </w:pPr>
      <w:r w:rsidRPr="00045DFA">
        <w:rPr>
          <w:rFonts w:asciiTheme="majorHAnsi" w:hAnsiTheme="majorHAnsi" w:cs="Times New Roman"/>
          <w:b/>
          <w:bCs/>
        </w:rPr>
        <w:t xml:space="preserve">Footnotes </w:t>
      </w:r>
    </w:p>
    <w:p w14:paraId="672238D5" w14:textId="77777777" w:rsidR="00482F28" w:rsidRPr="00045DFA" w:rsidRDefault="00482F28" w:rsidP="00482F28">
      <w:pPr>
        <w:numPr>
          <w:ilvl w:val="0"/>
          <w:numId w:val="22"/>
        </w:numPr>
        <w:spacing w:after="0" w:line="276" w:lineRule="auto"/>
        <w:rPr>
          <w:rFonts w:asciiTheme="majorHAnsi" w:hAnsiTheme="majorHAnsi" w:cs="Times New Roman"/>
        </w:rPr>
      </w:pPr>
      <w:r w:rsidRPr="00045DFA">
        <w:rPr>
          <w:rFonts w:asciiTheme="majorHAnsi" w:hAnsiTheme="majorHAnsi" w:cs="Times New Roman"/>
        </w:rPr>
        <w:t xml:space="preserve">Effect sizes represent relative risk reductions reported in randomized trials and meta-analyses where available; trauma-specific data may be limited in some domains </w:t>
      </w:r>
      <w:r w:rsidRPr="00045DFA">
        <w:rPr>
          <w:rFonts w:asciiTheme="majorHAnsi" w:hAnsiTheme="majorHAnsi" w:cs="Times New Roman"/>
          <w:b/>
          <w:bCs/>
        </w:rPr>
        <w:t>[16–19,28,30,44]</w:t>
      </w:r>
      <w:r w:rsidRPr="00045DFA">
        <w:rPr>
          <w:rFonts w:asciiTheme="majorHAnsi" w:hAnsiTheme="majorHAnsi" w:cs="Times New Roman"/>
        </w:rPr>
        <w:t xml:space="preserve">. </w:t>
      </w:r>
    </w:p>
    <w:p w14:paraId="26EB411C" w14:textId="77777777" w:rsidR="00482F28" w:rsidRPr="00045DFA" w:rsidRDefault="00482F28" w:rsidP="00482F28">
      <w:pPr>
        <w:numPr>
          <w:ilvl w:val="0"/>
          <w:numId w:val="22"/>
        </w:numPr>
        <w:spacing w:after="0" w:line="276" w:lineRule="auto"/>
        <w:rPr>
          <w:rFonts w:asciiTheme="majorHAnsi" w:hAnsiTheme="majorHAnsi" w:cs="Times New Roman"/>
        </w:rPr>
      </w:pPr>
      <w:r w:rsidRPr="00045DFA">
        <w:rPr>
          <w:rFonts w:asciiTheme="majorHAnsi" w:hAnsiTheme="majorHAnsi" w:cs="Times New Roman"/>
        </w:rPr>
        <w:t xml:space="preserve">Absolute risk reductions depend on baseline complication rates and case mix. </w:t>
      </w:r>
    </w:p>
    <w:p w14:paraId="2A2DA112" w14:textId="77777777" w:rsidR="00482F28" w:rsidRPr="00045DFA" w:rsidRDefault="00482F28" w:rsidP="00482F28">
      <w:pPr>
        <w:numPr>
          <w:ilvl w:val="0"/>
          <w:numId w:val="22"/>
        </w:numPr>
        <w:spacing w:after="0" w:line="276" w:lineRule="auto"/>
        <w:rPr>
          <w:rFonts w:asciiTheme="majorHAnsi" w:hAnsiTheme="majorHAnsi" w:cs="Times New Roman"/>
        </w:rPr>
      </w:pPr>
      <w:r w:rsidRPr="00045DFA">
        <w:rPr>
          <w:rFonts w:asciiTheme="majorHAnsi" w:hAnsiTheme="majorHAnsi" w:cs="Times New Roman"/>
        </w:rPr>
        <w:t xml:space="preserve">Early enteral nutrition timing recommendations assume haemodynamic stability. </w:t>
      </w:r>
    </w:p>
    <w:p w14:paraId="3388F779" w14:textId="77777777" w:rsidR="00482F28" w:rsidRPr="00045DFA" w:rsidRDefault="00482F28" w:rsidP="00482F28">
      <w:pPr>
        <w:numPr>
          <w:ilvl w:val="0"/>
          <w:numId w:val="22"/>
        </w:numPr>
        <w:spacing w:after="0" w:line="276" w:lineRule="auto"/>
        <w:rPr>
          <w:rFonts w:asciiTheme="majorHAnsi" w:hAnsiTheme="majorHAnsi" w:cs="Times New Roman"/>
        </w:rPr>
      </w:pPr>
      <w:r w:rsidRPr="00045DFA">
        <w:rPr>
          <w:rFonts w:asciiTheme="majorHAnsi" w:hAnsiTheme="majorHAnsi" w:cs="Times New Roman"/>
        </w:rPr>
        <w:t xml:space="preserve">Fixation timing benefits apply primarily to physiologically stable patients. </w:t>
      </w:r>
    </w:p>
    <w:p w14:paraId="288A9ED2" w14:textId="77777777" w:rsidR="00482F28" w:rsidRPr="00045DFA" w:rsidRDefault="00482F28" w:rsidP="00482F28">
      <w:pPr>
        <w:numPr>
          <w:ilvl w:val="0"/>
          <w:numId w:val="22"/>
        </w:numPr>
        <w:spacing w:after="0" w:line="276" w:lineRule="auto"/>
        <w:rPr>
          <w:rFonts w:asciiTheme="majorHAnsi" w:hAnsiTheme="majorHAnsi" w:cs="Times New Roman"/>
        </w:rPr>
      </w:pPr>
      <w:r w:rsidRPr="00045DFA">
        <w:rPr>
          <w:rFonts w:asciiTheme="majorHAnsi" w:hAnsiTheme="majorHAnsi" w:cs="Times New Roman"/>
        </w:rPr>
        <w:t xml:space="preserve">Fluid management evidence derives largely from critically ill and perioperative populations; direct polytrauma RCT data remain limited </w:t>
      </w:r>
      <w:r w:rsidRPr="00045DFA">
        <w:rPr>
          <w:rFonts w:asciiTheme="majorHAnsi" w:hAnsiTheme="majorHAnsi" w:cs="Times New Roman"/>
          <w:b/>
          <w:bCs/>
        </w:rPr>
        <w:t>[23,44]</w:t>
      </w:r>
      <w:r w:rsidRPr="00045DFA">
        <w:rPr>
          <w:rFonts w:asciiTheme="majorHAnsi" w:hAnsiTheme="majorHAnsi" w:cs="Times New Roman"/>
        </w:rPr>
        <w:t xml:space="preserve">. </w:t>
      </w:r>
    </w:p>
    <w:p w14:paraId="6704EB3E" w14:textId="77777777" w:rsidR="0059516A" w:rsidRPr="00045DFA" w:rsidRDefault="0059516A" w:rsidP="00482F28">
      <w:pPr>
        <w:spacing w:after="0" w:line="276" w:lineRule="auto"/>
        <w:rPr>
          <w:rFonts w:asciiTheme="majorHAnsi" w:hAnsiTheme="majorHAnsi" w:cs="Times New Roman"/>
          <w:b/>
          <w:bCs/>
        </w:rPr>
      </w:pPr>
    </w:p>
    <w:p w14:paraId="3EF93146" w14:textId="18FB28DE" w:rsidR="00482F28" w:rsidRPr="00045DFA" w:rsidRDefault="00482F28" w:rsidP="00482F28">
      <w:pPr>
        <w:spacing w:after="0" w:line="276" w:lineRule="auto"/>
        <w:rPr>
          <w:rFonts w:asciiTheme="majorHAnsi" w:hAnsiTheme="majorHAnsi" w:cs="Times New Roman"/>
          <w:b/>
          <w:bCs/>
        </w:rPr>
      </w:pPr>
      <w:r w:rsidRPr="00045DFA">
        <w:rPr>
          <w:rFonts w:asciiTheme="majorHAnsi" w:hAnsiTheme="majorHAnsi" w:cs="Times New Roman"/>
          <w:b/>
          <w:bCs/>
        </w:rPr>
        <w:t xml:space="preserve">ORTHOPAEDIC TIMING THRESHOLDS AND THE SECOND-HIT MODEL </w:t>
      </w:r>
    </w:p>
    <w:p w14:paraId="78E42850" w14:textId="77777777" w:rsidR="00482F28" w:rsidRPr="00045DFA" w:rsidRDefault="00482F28" w:rsidP="00482F28">
      <w:pPr>
        <w:spacing w:after="0" w:line="276" w:lineRule="auto"/>
        <w:rPr>
          <w:rFonts w:asciiTheme="majorHAnsi" w:hAnsiTheme="majorHAnsi" w:cs="Times New Roman"/>
          <w:b/>
          <w:bCs/>
        </w:rPr>
      </w:pPr>
    </w:p>
    <w:p w14:paraId="63EB75C1"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lastRenderedPageBreak/>
        <w:t>Fracture stabilisation strategy in polytrauma has evolved from rigid timing doctrines toward physiology-guided decision-making. Early total care (ETC) may improve outcomes in stable patients, but definitive fixation during periods of systemic instability can exacerbate inflammatory amplification. These thresholds reflect commonly cited clinical parameters rather than universally validated cut-offs and should be interpreted within institutional context. Although the second-hit model remains conceptually debated, observational data consistently demonstrate worse outcomes when major surgery is performed during physiological instability.</w:t>
      </w:r>
    </w:p>
    <w:p w14:paraId="5B114E25" w14:textId="77777777" w:rsidR="00482F28" w:rsidRPr="00045DFA" w:rsidRDefault="00482F28" w:rsidP="00482F28">
      <w:pPr>
        <w:spacing w:after="0" w:line="276" w:lineRule="auto"/>
        <w:rPr>
          <w:rFonts w:asciiTheme="majorHAnsi" w:hAnsiTheme="majorHAnsi" w:cs="Times New Roman"/>
          <w:b/>
          <w:bCs/>
        </w:rPr>
      </w:pPr>
    </w:p>
    <w:p w14:paraId="41EFC3E6" w14:textId="77777777" w:rsidR="00482F28" w:rsidRPr="00045DFA" w:rsidRDefault="00482F28" w:rsidP="00482F28">
      <w:pPr>
        <w:spacing w:after="0" w:line="276" w:lineRule="auto"/>
        <w:rPr>
          <w:rFonts w:asciiTheme="majorHAnsi" w:hAnsiTheme="majorHAnsi" w:cs="Times New Roman"/>
          <w:b/>
          <w:bCs/>
        </w:rPr>
      </w:pPr>
      <w:r w:rsidRPr="00045DFA">
        <w:rPr>
          <w:rFonts w:asciiTheme="majorHAnsi" w:hAnsiTheme="majorHAnsi" w:cs="Times New Roman"/>
          <w:b/>
          <w:bCs/>
        </w:rPr>
        <w:t>Physiologic Parameters and Fixation Readiness</w:t>
      </w:r>
    </w:p>
    <w:p w14:paraId="263B1BF5" w14:textId="77777777" w:rsidR="00482F28" w:rsidRPr="00045DFA" w:rsidRDefault="00482F28" w:rsidP="00482F28">
      <w:pPr>
        <w:spacing w:after="0" w:line="276" w:lineRule="auto"/>
        <w:rPr>
          <w:rFonts w:asciiTheme="majorHAnsi" w:hAnsiTheme="majorHAnsi" w:cs="Times New Roman"/>
          <w:b/>
          <w:bCs/>
        </w:rPr>
      </w:pPr>
    </w:p>
    <w:p w14:paraId="44AC51D5"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 xml:space="preserve">Several physiological indicators have been proposed to guide fixation timing. Lactate clearance remains one of the most widely used markers of systemic recovery. Lactate levels below approximately 2.5–3.0 mmol/L, absence of ongoing transfusion requirement, normothermia, and stable </w:t>
      </w:r>
      <w:proofErr w:type="spellStart"/>
      <w:r w:rsidRPr="00045DFA">
        <w:rPr>
          <w:rFonts w:asciiTheme="majorHAnsi" w:hAnsiTheme="majorHAnsi" w:cs="Times New Roman"/>
        </w:rPr>
        <w:t>haemodynamics</w:t>
      </w:r>
      <w:proofErr w:type="spellEnd"/>
      <w:r w:rsidRPr="00045DFA">
        <w:rPr>
          <w:rFonts w:asciiTheme="majorHAnsi" w:hAnsiTheme="majorHAnsi" w:cs="Times New Roman"/>
        </w:rPr>
        <w:t xml:space="preserve"> are frequently cited as indicators of readiness for definitive fixation [8,9].</w:t>
      </w:r>
    </w:p>
    <w:p w14:paraId="21CC2B54" w14:textId="77777777" w:rsidR="00482F28" w:rsidRPr="00045DFA" w:rsidRDefault="00482F28" w:rsidP="00482F28">
      <w:pPr>
        <w:spacing w:after="0" w:line="276" w:lineRule="auto"/>
        <w:rPr>
          <w:rFonts w:asciiTheme="majorHAnsi" w:hAnsiTheme="majorHAnsi" w:cs="Times New Roman"/>
        </w:rPr>
      </w:pPr>
    </w:p>
    <w:p w14:paraId="30A6EBEA"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In contrast, lactate levels exceeding 4 mmol/L, persistent base deficit greater than 6, hypothermia, and continued vasopressor requirement suggest systemic instability. In such settings, early prolonged fixation may intensify cytokine response and increase risk of organ dysfunction [9].</w:t>
      </w:r>
    </w:p>
    <w:p w14:paraId="0EB544E8"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These thresholds are not absolute rules but physiologic guides.</w:t>
      </w:r>
    </w:p>
    <w:p w14:paraId="5B21240A" w14:textId="77777777" w:rsidR="00482F28" w:rsidRPr="00045DFA" w:rsidRDefault="00482F28" w:rsidP="00482F28">
      <w:pPr>
        <w:spacing w:after="0" w:line="276" w:lineRule="auto"/>
        <w:rPr>
          <w:rFonts w:asciiTheme="majorHAnsi" w:hAnsiTheme="majorHAnsi" w:cs="Times New Roman"/>
          <w:b/>
          <w:bCs/>
        </w:rPr>
      </w:pPr>
    </w:p>
    <w:p w14:paraId="21707079" w14:textId="77777777" w:rsidR="00482F28" w:rsidRPr="00045DFA" w:rsidRDefault="00482F28" w:rsidP="00482F28">
      <w:pPr>
        <w:spacing w:after="0" w:line="276" w:lineRule="auto"/>
        <w:rPr>
          <w:rFonts w:asciiTheme="majorHAnsi" w:hAnsiTheme="majorHAnsi" w:cs="Times New Roman"/>
          <w:b/>
          <w:bCs/>
        </w:rPr>
      </w:pPr>
      <w:r w:rsidRPr="00045DFA">
        <w:rPr>
          <w:rFonts w:asciiTheme="majorHAnsi" w:hAnsiTheme="majorHAnsi" w:cs="Times New Roman"/>
          <w:b/>
          <w:bCs/>
        </w:rPr>
        <w:t>Early Total Care in Stable Patients</w:t>
      </w:r>
    </w:p>
    <w:p w14:paraId="71978774" w14:textId="77777777" w:rsidR="00482F28" w:rsidRPr="00045DFA" w:rsidRDefault="00482F28" w:rsidP="00482F28">
      <w:pPr>
        <w:spacing w:after="0" w:line="276" w:lineRule="auto"/>
        <w:rPr>
          <w:rFonts w:asciiTheme="majorHAnsi" w:hAnsiTheme="majorHAnsi" w:cs="Times New Roman"/>
          <w:b/>
          <w:bCs/>
        </w:rPr>
      </w:pPr>
    </w:p>
    <w:p w14:paraId="5D346181"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In haemodynamically stable patients, early fixation of long-bone fractures within 24 hours has been associated with reduced pulmonary complications compared with delayed fixation [16,17]. Observational data suggest reductions in pulmonary complication rates on the order of 20–30% when fixation occurs within this window.</w:t>
      </w:r>
    </w:p>
    <w:p w14:paraId="3D8D6F26" w14:textId="77777777" w:rsidR="00482F28" w:rsidRPr="00045DFA" w:rsidRDefault="00482F28" w:rsidP="00482F28">
      <w:pPr>
        <w:spacing w:after="0" w:line="276" w:lineRule="auto"/>
        <w:rPr>
          <w:rFonts w:asciiTheme="majorHAnsi" w:hAnsiTheme="majorHAnsi" w:cs="Times New Roman"/>
        </w:rPr>
      </w:pPr>
    </w:p>
    <w:p w14:paraId="75EDE41C"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Early stabilisation may decrease ongoing inflammatory stimulus from unstable fracture sites and facilitate mobilisation, thereby reducing ventilator dependence and thromboembolic risk.</w:t>
      </w:r>
    </w:p>
    <w:p w14:paraId="4255082C" w14:textId="77777777" w:rsidR="00482F28" w:rsidRPr="00045DFA" w:rsidRDefault="00482F28" w:rsidP="00482F28">
      <w:pPr>
        <w:spacing w:after="0" w:line="276" w:lineRule="auto"/>
        <w:rPr>
          <w:rFonts w:asciiTheme="majorHAnsi" w:hAnsiTheme="majorHAnsi" w:cs="Times New Roman"/>
          <w:b/>
          <w:bCs/>
        </w:rPr>
      </w:pPr>
    </w:p>
    <w:p w14:paraId="53275F84" w14:textId="77777777" w:rsidR="00482F28" w:rsidRPr="00045DFA" w:rsidRDefault="00482F28" w:rsidP="00482F28">
      <w:pPr>
        <w:spacing w:after="0" w:line="276" w:lineRule="auto"/>
        <w:rPr>
          <w:rFonts w:asciiTheme="majorHAnsi" w:hAnsiTheme="majorHAnsi" w:cs="Times New Roman"/>
          <w:b/>
          <w:bCs/>
        </w:rPr>
      </w:pPr>
      <w:r w:rsidRPr="00045DFA">
        <w:rPr>
          <w:rFonts w:asciiTheme="majorHAnsi" w:hAnsiTheme="majorHAnsi" w:cs="Times New Roman"/>
          <w:b/>
          <w:bCs/>
        </w:rPr>
        <w:t>Risks of Delayed Fixation</w:t>
      </w:r>
    </w:p>
    <w:p w14:paraId="28883B7F" w14:textId="77777777" w:rsidR="00482F28" w:rsidRPr="00045DFA" w:rsidRDefault="00482F28" w:rsidP="00482F28">
      <w:pPr>
        <w:spacing w:after="0" w:line="276" w:lineRule="auto"/>
        <w:rPr>
          <w:rFonts w:asciiTheme="majorHAnsi" w:hAnsiTheme="majorHAnsi" w:cs="Times New Roman"/>
          <w:b/>
          <w:bCs/>
        </w:rPr>
      </w:pPr>
    </w:p>
    <w:p w14:paraId="0D5F4A3C"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When fixation in stable patients is delayed beyond 48 hours, pulmonary complications—including ARDS—have been reported to increase, in some studies approaching double the rate observed with earlier fixation [43]. Delayed skeletal stabilisation prolongs pain, immobility, and inflammatory signalling.</w:t>
      </w:r>
    </w:p>
    <w:p w14:paraId="1BAFA422" w14:textId="77777777" w:rsidR="00482F28" w:rsidRPr="00045DFA" w:rsidRDefault="00482F28" w:rsidP="00482F28">
      <w:pPr>
        <w:spacing w:after="0" w:line="276" w:lineRule="auto"/>
        <w:rPr>
          <w:rFonts w:asciiTheme="majorHAnsi" w:hAnsiTheme="majorHAnsi" w:cs="Times New Roman"/>
        </w:rPr>
      </w:pPr>
    </w:p>
    <w:p w14:paraId="3C387901"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It is important to distinguish this scenario from deliberate delay in unstable patients. Prolonged delay due to system inefficiency differs biologically from staged fixation in unstable physiology.</w:t>
      </w:r>
    </w:p>
    <w:p w14:paraId="5D86EE3C" w14:textId="77777777" w:rsidR="00482F28" w:rsidRPr="00045DFA" w:rsidRDefault="00482F28" w:rsidP="00482F28">
      <w:pPr>
        <w:spacing w:after="0" w:line="276" w:lineRule="auto"/>
        <w:rPr>
          <w:rFonts w:asciiTheme="majorHAnsi" w:hAnsiTheme="majorHAnsi" w:cs="Times New Roman"/>
          <w:b/>
          <w:bCs/>
        </w:rPr>
      </w:pPr>
    </w:p>
    <w:p w14:paraId="1C6E4998" w14:textId="77777777" w:rsidR="00482F28" w:rsidRPr="00045DFA" w:rsidRDefault="00482F28" w:rsidP="00482F28">
      <w:pPr>
        <w:spacing w:after="0" w:line="276" w:lineRule="auto"/>
        <w:rPr>
          <w:rFonts w:asciiTheme="majorHAnsi" w:hAnsiTheme="majorHAnsi" w:cs="Times New Roman"/>
          <w:b/>
          <w:bCs/>
        </w:rPr>
      </w:pPr>
      <w:r w:rsidRPr="00045DFA">
        <w:rPr>
          <w:rFonts w:asciiTheme="majorHAnsi" w:hAnsiTheme="majorHAnsi" w:cs="Times New Roman"/>
          <w:b/>
          <w:bCs/>
        </w:rPr>
        <w:t>Damage Control Orthopaedics and the Second-Hit Phenomenon</w:t>
      </w:r>
    </w:p>
    <w:p w14:paraId="4E09FEDF" w14:textId="77777777" w:rsidR="00482F28" w:rsidRPr="00045DFA" w:rsidRDefault="00482F28" w:rsidP="00482F28">
      <w:pPr>
        <w:spacing w:after="0" w:line="276" w:lineRule="auto"/>
        <w:rPr>
          <w:rFonts w:asciiTheme="majorHAnsi" w:hAnsiTheme="majorHAnsi" w:cs="Times New Roman"/>
        </w:rPr>
      </w:pPr>
    </w:p>
    <w:p w14:paraId="708382C1"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The second-hit model describes exacerbation of systemic inflammation following major operative stress during an already activated inflammatory state [8,9]. In unstable polytrauma patients, definitive fixation may trigger disproportionate cytokine release and contribute to MOF, which accounts for approximately 20–30% of late trauma deaths [10].</w:t>
      </w:r>
    </w:p>
    <w:p w14:paraId="003C2CD7" w14:textId="77777777" w:rsidR="00482F28" w:rsidRPr="00045DFA" w:rsidRDefault="00482F28" w:rsidP="00482F28">
      <w:pPr>
        <w:spacing w:after="0" w:line="276" w:lineRule="auto"/>
        <w:rPr>
          <w:rFonts w:asciiTheme="majorHAnsi" w:hAnsiTheme="majorHAnsi" w:cs="Times New Roman"/>
        </w:rPr>
      </w:pPr>
    </w:p>
    <w:p w14:paraId="1F90D800"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Damage control orthopaedics (DCO) aims to mitigate this risk through temporary stabilisation—often external fixation—followed by delayed definitive repair once physiological parameters normalise. The decision is therefore not binary (early vs late) but contingent upon biological readiness.</w:t>
      </w:r>
    </w:p>
    <w:p w14:paraId="12BB2BB5" w14:textId="77777777" w:rsidR="00482F28" w:rsidRPr="00045DFA" w:rsidRDefault="00482F28" w:rsidP="00482F28">
      <w:pPr>
        <w:spacing w:after="0" w:line="276" w:lineRule="auto"/>
        <w:rPr>
          <w:rFonts w:asciiTheme="majorHAnsi" w:hAnsiTheme="majorHAnsi" w:cs="Times New Roman"/>
          <w:b/>
          <w:bCs/>
        </w:rPr>
      </w:pPr>
    </w:p>
    <w:p w14:paraId="318866FE" w14:textId="77777777" w:rsidR="00482F28" w:rsidRPr="00045DFA" w:rsidRDefault="00482F28" w:rsidP="00482F28">
      <w:pPr>
        <w:spacing w:after="0" w:line="276" w:lineRule="auto"/>
        <w:rPr>
          <w:rFonts w:asciiTheme="majorHAnsi" w:hAnsiTheme="majorHAnsi" w:cs="Times New Roman"/>
          <w:b/>
          <w:bCs/>
        </w:rPr>
      </w:pPr>
      <w:r w:rsidRPr="00045DFA">
        <w:rPr>
          <w:rFonts w:asciiTheme="majorHAnsi" w:hAnsiTheme="majorHAnsi" w:cs="Times New Roman"/>
          <w:b/>
          <w:bCs/>
        </w:rPr>
        <w:t>Interaction with Pulmonary Outcomes</w:t>
      </w:r>
    </w:p>
    <w:p w14:paraId="58E3E681" w14:textId="77777777" w:rsidR="00482F28" w:rsidRPr="00045DFA" w:rsidRDefault="00482F28" w:rsidP="00482F28">
      <w:pPr>
        <w:spacing w:after="0" w:line="276" w:lineRule="auto"/>
        <w:rPr>
          <w:rFonts w:asciiTheme="majorHAnsi" w:hAnsiTheme="majorHAnsi" w:cs="Times New Roman"/>
          <w:b/>
          <w:bCs/>
        </w:rPr>
      </w:pPr>
    </w:p>
    <w:p w14:paraId="4AC93F25"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Pulmonary vulnerability is central in fixation timing. ARDS develops in approximately 10–20% of severely injured patients, with mortality reported between 30–46% depending on severity and system capacity [10,20,21]. Studies examining fixation timing demonstrate that stable patients benefit from early stabilisation, while unstable patients may experience increased pulmonary complications if subjected to aggressive early surgery [43,17]. Thus, orthopaedic timing functions as a recovery intervention rather than merely a mechanical correction.</w:t>
      </w:r>
    </w:p>
    <w:p w14:paraId="76B19630" w14:textId="77777777" w:rsidR="00482F28" w:rsidRPr="00045DFA" w:rsidRDefault="00482F28" w:rsidP="00482F28">
      <w:pPr>
        <w:spacing w:after="0" w:line="276" w:lineRule="auto"/>
        <w:rPr>
          <w:rFonts w:asciiTheme="majorHAnsi" w:hAnsiTheme="majorHAnsi" w:cs="Times New Roman"/>
          <w:b/>
          <w:bCs/>
        </w:rPr>
      </w:pPr>
    </w:p>
    <w:p w14:paraId="5E9D4239" w14:textId="31EFBF09" w:rsidR="00482F28" w:rsidRPr="00045DFA" w:rsidRDefault="00482F28" w:rsidP="00482F28">
      <w:pPr>
        <w:spacing w:after="0" w:line="276" w:lineRule="auto"/>
        <w:rPr>
          <w:rFonts w:asciiTheme="majorHAnsi" w:hAnsiTheme="majorHAnsi" w:cs="Times New Roman"/>
          <w:b/>
          <w:bCs/>
        </w:rPr>
      </w:pPr>
      <w:r w:rsidRPr="00045DFA">
        <w:rPr>
          <w:rFonts w:asciiTheme="majorHAnsi" w:hAnsiTheme="majorHAnsi" w:cs="Times New Roman"/>
          <w:b/>
          <w:bCs/>
        </w:rPr>
        <w:t xml:space="preserve">Table 4. Orthopaedic Timing Thresholds in Polytrauma: Physiologic Parameters, Fixation Windows, and Organ Failure Risk </w:t>
      </w:r>
    </w:p>
    <w:tbl>
      <w:tblPr>
        <w:tblStyle w:val="TableGrid1"/>
        <w:tblW w:w="0" w:type="auto"/>
        <w:tblLook w:val="04A0" w:firstRow="1" w:lastRow="0" w:firstColumn="1" w:lastColumn="0" w:noHBand="0" w:noVBand="1"/>
      </w:tblPr>
      <w:tblGrid>
        <w:gridCol w:w="1752"/>
        <w:gridCol w:w="1507"/>
        <w:gridCol w:w="1372"/>
        <w:gridCol w:w="1504"/>
        <w:gridCol w:w="1349"/>
        <w:gridCol w:w="1432"/>
        <w:gridCol w:w="820"/>
      </w:tblGrid>
      <w:tr w:rsidR="00482F28" w:rsidRPr="00045DFA" w14:paraId="5CCB5358" w14:textId="77777777" w:rsidTr="0059516A">
        <w:tc>
          <w:tcPr>
            <w:tcW w:w="0" w:type="auto"/>
            <w:hideMark/>
          </w:tcPr>
          <w:p w14:paraId="52026DFB" w14:textId="77777777" w:rsidR="00482F28" w:rsidRPr="00045DFA" w:rsidRDefault="00482F28" w:rsidP="00482F28">
            <w:pPr>
              <w:spacing w:line="276" w:lineRule="auto"/>
              <w:rPr>
                <w:rFonts w:asciiTheme="majorHAnsi" w:hAnsiTheme="majorHAnsi" w:cs="Times New Roman"/>
                <w:b/>
                <w:bCs/>
              </w:rPr>
            </w:pPr>
            <w:r w:rsidRPr="00045DFA">
              <w:rPr>
                <w:rFonts w:asciiTheme="majorHAnsi" w:hAnsiTheme="majorHAnsi" w:cs="Times New Roman"/>
                <w:b/>
                <w:bCs/>
              </w:rPr>
              <w:t>Clinical Scenario</w:t>
            </w:r>
          </w:p>
        </w:tc>
        <w:tc>
          <w:tcPr>
            <w:tcW w:w="0" w:type="auto"/>
            <w:hideMark/>
          </w:tcPr>
          <w:p w14:paraId="424217E4" w14:textId="77777777" w:rsidR="00482F28" w:rsidRPr="00045DFA" w:rsidRDefault="00482F28" w:rsidP="00482F28">
            <w:pPr>
              <w:spacing w:line="276" w:lineRule="auto"/>
              <w:rPr>
                <w:rFonts w:asciiTheme="majorHAnsi" w:hAnsiTheme="majorHAnsi" w:cs="Times New Roman"/>
                <w:b/>
                <w:bCs/>
              </w:rPr>
            </w:pPr>
            <w:r w:rsidRPr="00045DFA">
              <w:rPr>
                <w:rFonts w:asciiTheme="majorHAnsi" w:hAnsiTheme="majorHAnsi" w:cs="Times New Roman"/>
                <w:b/>
                <w:bCs/>
              </w:rPr>
              <w:t>Physiologic Thresholds Reported</w:t>
            </w:r>
          </w:p>
        </w:tc>
        <w:tc>
          <w:tcPr>
            <w:tcW w:w="0" w:type="auto"/>
            <w:hideMark/>
          </w:tcPr>
          <w:p w14:paraId="7C9B5A45" w14:textId="77777777" w:rsidR="00482F28" w:rsidRPr="00045DFA" w:rsidRDefault="00482F28" w:rsidP="00482F28">
            <w:pPr>
              <w:spacing w:line="276" w:lineRule="auto"/>
              <w:rPr>
                <w:rFonts w:asciiTheme="majorHAnsi" w:hAnsiTheme="majorHAnsi" w:cs="Times New Roman"/>
                <w:b/>
                <w:bCs/>
              </w:rPr>
            </w:pPr>
            <w:r w:rsidRPr="00045DFA">
              <w:rPr>
                <w:rFonts w:asciiTheme="majorHAnsi" w:hAnsiTheme="majorHAnsi" w:cs="Times New Roman"/>
                <w:b/>
                <w:bCs/>
              </w:rPr>
              <w:t>Suggested Timing Strategy</w:t>
            </w:r>
          </w:p>
        </w:tc>
        <w:tc>
          <w:tcPr>
            <w:tcW w:w="0" w:type="auto"/>
            <w:hideMark/>
          </w:tcPr>
          <w:p w14:paraId="6EE2FE1A" w14:textId="77777777" w:rsidR="00482F28" w:rsidRPr="00045DFA" w:rsidRDefault="00482F28" w:rsidP="00482F28">
            <w:pPr>
              <w:spacing w:line="276" w:lineRule="auto"/>
              <w:rPr>
                <w:rFonts w:asciiTheme="majorHAnsi" w:hAnsiTheme="majorHAnsi" w:cs="Times New Roman"/>
                <w:b/>
                <w:bCs/>
              </w:rPr>
            </w:pPr>
            <w:r w:rsidRPr="00045DFA">
              <w:rPr>
                <w:rFonts w:asciiTheme="majorHAnsi" w:hAnsiTheme="majorHAnsi" w:cs="Times New Roman"/>
                <w:b/>
                <w:bCs/>
              </w:rPr>
              <w:t>Quantified Outcome Data</w:t>
            </w:r>
          </w:p>
        </w:tc>
        <w:tc>
          <w:tcPr>
            <w:tcW w:w="0" w:type="auto"/>
            <w:hideMark/>
          </w:tcPr>
          <w:p w14:paraId="153B2129" w14:textId="77777777" w:rsidR="00482F28" w:rsidRPr="00045DFA" w:rsidRDefault="00482F28" w:rsidP="00482F28">
            <w:pPr>
              <w:spacing w:line="276" w:lineRule="auto"/>
              <w:rPr>
                <w:rFonts w:asciiTheme="majorHAnsi" w:hAnsiTheme="majorHAnsi" w:cs="Times New Roman"/>
                <w:b/>
                <w:bCs/>
              </w:rPr>
            </w:pPr>
            <w:r w:rsidRPr="00045DFA">
              <w:rPr>
                <w:rFonts w:asciiTheme="majorHAnsi" w:hAnsiTheme="majorHAnsi" w:cs="Times New Roman"/>
                <w:b/>
                <w:bCs/>
              </w:rPr>
              <w:t>MOF / ARDS Impact</w:t>
            </w:r>
          </w:p>
        </w:tc>
        <w:tc>
          <w:tcPr>
            <w:tcW w:w="0" w:type="auto"/>
            <w:hideMark/>
          </w:tcPr>
          <w:p w14:paraId="1873E329" w14:textId="77777777" w:rsidR="00482F28" w:rsidRPr="00045DFA" w:rsidRDefault="00482F28" w:rsidP="00482F28">
            <w:pPr>
              <w:spacing w:line="276" w:lineRule="auto"/>
              <w:rPr>
                <w:rFonts w:asciiTheme="majorHAnsi" w:hAnsiTheme="majorHAnsi" w:cs="Times New Roman"/>
                <w:b/>
                <w:bCs/>
              </w:rPr>
            </w:pPr>
            <w:r w:rsidRPr="00045DFA">
              <w:rPr>
                <w:rFonts w:asciiTheme="majorHAnsi" w:hAnsiTheme="majorHAnsi" w:cs="Times New Roman"/>
                <w:b/>
                <w:bCs/>
              </w:rPr>
              <w:t>Interpretation for Recovery</w:t>
            </w:r>
          </w:p>
        </w:tc>
        <w:tc>
          <w:tcPr>
            <w:tcW w:w="0" w:type="auto"/>
            <w:hideMark/>
          </w:tcPr>
          <w:p w14:paraId="30DE5764" w14:textId="77777777" w:rsidR="00482F28" w:rsidRPr="00045DFA" w:rsidRDefault="00482F28" w:rsidP="00482F28">
            <w:pPr>
              <w:spacing w:line="276" w:lineRule="auto"/>
              <w:rPr>
                <w:rFonts w:asciiTheme="majorHAnsi" w:hAnsiTheme="majorHAnsi" w:cs="Times New Roman"/>
                <w:b/>
                <w:bCs/>
              </w:rPr>
            </w:pPr>
            <w:r w:rsidRPr="00045DFA">
              <w:rPr>
                <w:rFonts w:asciiTheme="majorHAnsi" w:hAnsiTheme="majorHAnsi" w:cs="Times New Roman"/>
                <w:b/>
                <w:bCs/>
              </w:rPr>
              <w:t>Key Refs</w:t>
            </w:r>
          </w:p>
        </w:tc>
      </w:tr>
      <w:tr w:rsidR="00482F28" w:rsidRPr="00045DFA" w14:paraId="666537D6" w14:textId="77777777" w:rsidTr="0059516A">
        <w:tc>
          <w:tcPr>
            <w:tcW w:w="0" w:type="auto"/>
            <w:hideMark/>
          </w:tcPr>
          <w:p w14:paraId="7F4943C3"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b/>
                <w:bCs/>
              </w:rPr>
              <w:t>Hemodynamically stable polytrauma</w:t>
            </w:r>
          </w:p>
        </w:tc>
        <w:tc>
          <w:tcPr>
            <w:tcW w:w="0" w:type="auto"/>
            <w:hideMark/>
          </w:tcPr>
          <w:p w14:paraId="38B98627"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Lactate &lt;2.5–3.0 mmol/L; Base deficit &lt;5; Normothermic; No ongoing transfusion</w:t>
            </w:r>
          </w:p>
        </w:tc>
        <w:tc>
          <w:tcPr>
            <w:tcW w:w="0" w:type="auto"/>
            <w:hideMark/>
          </w:tcPr>
          <w:p w14:paraId="405C58D0"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Early Total Care (ETC) within 24h</w:t>
            </w:r>
          </w:p>
        </w:tc>
        <w:tc>
          <w:tcPr>
            <w:tcW w:w="0" w:type="auto"/>
            <w:hideMark/>
          </w:tcPr>
          <w:p w14:paraId="31C80AD1"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Pulmonary complication reduction ~20–30% vs delayed fixation</w:t>
            </w:r>
          </w:p>
        </w:tc>
        <w:tc>
          <w:tcPr>
            <w:tcW w:w="0" w:type="auto"/>
            <w:hideMark/>
          </w:tcPr>
          <w:p w14:paraId="6253B2F0"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Lower ARDS incidence</w:t>
            </w:r>
          </w:p>
        </w:tc>
        <w:tc>
          <w:tcPr>
            <w:tcW w:w="0" w:type="auto"/>
            <w:hideMark/>
          </w:tcPr>
          <w:p w14:paraId="4004982D"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Early stabilisation beneficial when physiology permissive</w:t>
            </w:r>
          </w:p>
        </w:tc>
        <w:tc>
          <w:tcPr>
            <w:tcW w:w="0" w:type="auto"/>
            <w:hideMark/>
          </w:tcPr>
          <w:p w14:paraId="0B4EBAE9"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b/>
                <w:bCs/>
              </w:rPr>
              <w:t>[16,17]</w:t>
            </w:r>
          </w:p>
        </w:tc>
      </w:tr>
      <w:tr w:rsidR="00482F28" w:rsidRPr="00045DFA" w14:paraId="7D6FA518" w14:textId="77777777" w:rsidTr="0059516A">
        <w:tc>
          <w:tcPr>
            <w:tcW w:w="0" w:type="auto"/>
            <w:hideMark/>
          </w:tcPr>
          <w:p w14:paraId="541BF99D"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b/>
                <w:bCs/>
              </w:rPr>
              <w:t>Borderline patient</w:t>
            </w:r>
          </w:p>
        </w:tc>
        <w:tc>
          <w:tcPr>
            <w:tcW w:w="0" w:type="auto"/>
            <w:hideMark/>
          </w:tcPr>
          <w:p w14:paraId="5043D2F4"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Lactate 2.5–4 mmol/L; Transfusion ≤4 units PRBC; Moderate chest injury</w:t>
            </w:r>
          </w:p>
        </w:tc>
        <w:tc>
          <w:tcPr>
            <w:tcW w:w="0" w:type="auto"/>
            <w:hideMark/>
          </w:tcPr>
          <w:p w14:paraId="5500A917"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Individualised timing (24–48h)</w:t>
            </w:r>
          </w:p>
        </w:tc>
        <w:tc>
          <w:tcPr>
            <w:tcW w:w="0" w:type="auto"/>
            <w:hideMark/>
          </w:tcPr>
          <w:p w14:paraId="1563B804"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Mixed outcomes; increased complications if fixation too early</w:t>
            </w:r>
          </w:p>
        </w:tc>
        <w:tc>
          <w:tcPr>
            <w:tcW w:w="0" w:type="auto"/>
            <w:hideMark/>
          </w:tcPr>
          <w:p w14:paraId="2D973112"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Increased inflammatory response if unstable</w:t>
            </w:r>
          </w:p>
        </w:tc>
        <w:tc>
          <w:tcPr>
            <w:tcW w:w="0" w:type="auto"/>
            <w:hideMark/>
          </w:tcPr>
          <w:p w14:paraId="1C423B2F"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Careful reassessment required</w:t>
            </w:r>
          </w:p>
        </w:tc>
        <w:tc>
          <w:tcPr>
            <w:tcW w:w="0" w:type="auto"/>
            <w:hideMark/>
          </w:tcPr>
          <w:p w14:paraId="33E54408"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b/>
                <w:bCs/>
              </w:rPr>
              <w:t>[8,9]</w:t>
            </w:r>
          </w:p>
        </w:tc>
      </w:tr>
      <w:tr w:rsidR="00482F28" w:rsidRPr="00045DFA" w14:paraId="1C88A94E" w14:textId="77777777" w:rsidTr="0059516A">
        <w:tc>
          <w:tcPr>
            <w:tcW w:w="0" w:type="auto"/>
            <w:hideMark/>
          </w:tcPr>
          <w:p w14:paraId="3F1D80C8"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b/>
                <w:bCs/>
              </w:rPr>
              <w:t>Unstable patient</w:t>
            </w:r>
          </w:p>
        </w:tc>
        <w:tc>
          <w:tcPr>
            <w:tcW w:w="0" w:type="auto"/>
            <w:hideMark/>
          </w:tcPr>
          <w:p w14:paraId="69E24442"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Lactate &gt;4 mmol/L; Base deficit &gt;6; Ongoing transfusion; Hypothermia</w:t>
            </w:r>
          </w:p>
        </w:tc>
        <w:tc>
          <w:tcPr>
            <w:tcW w:w="0" w:type="auto"/>
            <w:hideMark/>
          </w:tcPr>
          <w:p w14:paraId="28617C62"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Damage Control Orthopaedics</w:t>
            </w:r>
          </w:p>
        </w:tc>
        <w:tc>
          <w:tcPr>
            <w:tcW w:w="0" w:type="auto"/>
            <w:hideMark/>
          </w:tcPr>
          <w:p w14:paraId="3EED7E5D"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Early definitive fixation associated with ↑ MOF rates</w:t>
            </w:r>
          </w:p>
        </w:tc>
        <w:tc>
          <w:tcPr>
            <w:tcW w:w="0" w:type="auto"/>
            <w:hideMark/>
          </w:tcPr>
          <w:p w14:paraId="3815898E"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MOF incidence up to 20–30%</w:t>
            </w:r>
          </w:p>
        </w:tc>
        <w:tc>
          <w:tcPr>
            <w:tcW w:w="0" w:type="auto"/>
            <w:hideMark/>
          </w:tcPr>
          <w:p w14:paraId="2D4AE946"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Avoid second-hit phenomenon</w:t>
            </w:r>
          </w:p>
        </w:tc>
        <w:tc>
          <w:tcPr>
            <w:tcW w:w="0" w:type="auto"/>
            <w:hideMark/>
          </w:tcPr>
          <w:p w14:paraId="2DE3F05B"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b/>
                <w:bCs/>
              </w:rPr>
              <w:t>[8,9]</w:t>
            </w:r>
          </w:p>
        </w:tc>
      </w:tr>
      <w:tr w:rsidR="00482F28" w:rsidRPr="00045DFA" w14:paraId="166F5AA7" w14:textId="77777777" w:rsidTr="0059516A">
        <w:tc>
          <w:tcPr>
            <w:tcW w:w="0" w:type="auto"/>
            <w:hideMark/>
          </w:tcPr>
          <w:p w14:paraId="41D3CB6F"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b/>
                <w:bCs/>
              </w:rPr>
              <w:t>Femoral shaft fracture (stable)</w:t>
            </w:r>
          </w:p>
        </w:tc>
        <w:tc>
          <w:tcPr>
            <w:tcW w:w="0" w:type="auto"/>
            <w:hideMark/>
          </w:tcPr>
          <w:p w14:paraId="753040B4"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No vasopressor requirement; Lactate clearing</w:t>
            </w:r>
          </w:p>
        </w:tc>
        <w:tc>
          <w:tcPr>
            <w:tcW w:w="0" w:type="auto"/>
            <w:hideMark/>
          </w:tcPr>
          <w:p w14:paraId="572F425C"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Fixation &lt;24h preferred</w:t>
            </w:r>
          </w:p>
        </w:tc>
        <w:tc>
          <w:tcPr>
            <w:tcW w:w="0" w:type="auto"/>
            <w:hideMark/>
          </w:tcPr>
          <w:p w14:paraId="4B119EC2"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Reduced ventilator days; ↓ pulmonary complications</w:t>
            </w:r>
          </w:p>
        </w:tc>
        <w:tc>
          <w:tcPr>
            <w:tcW w:w="0" w:type="auto"/>
            <w:hideMark/>
          </w:tcPr>
          <w:p w14:paraId="7E04626C"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Lower ARDS incidence</w:t>
            </w:r>
          </w:p>
        </w:tc>
        <w:tc>
          <w:tcPr>
            <w:tcW w:w="0" w:type="auto"/>
            <w:hideMark/>
          </w:tcPr>
          <w:p w14:paraId="0940C34C"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Early fixation reduces lung inflammatory burden</w:t>
            </w:r>
          </w:p>
        </w:tc>
        <w:tc>
          <w:tcPr>
            <w:tcW w:w="0" w:type="auto"/>
            <w:hideMark/>
          </w:tcPr>
          <w:p w14:paraId="1490EA0B"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b/>
                <w:bCs/>
              </w:rPr>
              <w:t>[16,17]</w:t>
            </w:r>
          </w:p>
        </w:tc>
      </w:tr>
      <w:tr w:rsidR="00482F28" w:rsidRPr="00045DFA" w14:paraId="559AEDC9" w14:textId="77777777" w:rsidTr="0059516A">
        <w:tc>
          <w:tcPr>
            <w:tcW w:w="0" w:type="auto"/>
            <w:hideMark/>
          </w:tcPr>
          <w:p w14:paraId="48F5640D"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b/>
                <w:bCs/>
              </w:rPr>
              <w:lastRenderedPageBreak/>
              <w:t>Femoral fracture (delayed &gt;48h)</w:t>
            </w:r>
          </w:p>
        </w:tc>
        <w:tc>
          <w:tcPr>
            <w:tcW w:w="0" w:type="auto"/>
            <w:hideMark/>
          </w:tcPr>
          <w:p w14:paraId="090C2716"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Persistent systemic inflammation</w:t>
            </w:r>
          </w:p>
        </w:tc>
        <w:tc>
          <w:tcPr>
            <w:tcW w:w="0" w:type="auto"/>
            <w:hideMark/>
          </w:tcPr>
          <w:p w14:paraId="32441ABC"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Delayed fixation &gt;48–72h</w:t>
            </w:r>
          </w:p>
        </w:tc>
        <w:tc>
          <w:tcPr>
            <w:tcW w:w="0" w:type="auto"/>
            <w:hideMark/>
          </w:tcPr>
          <w:p w14:paraId="79C26A6C"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Up to 2× increase in pulmonary complications</w:t>
            </w:r>
          </w:p>
        </w:tc>
        <w:tc>
          <w:tcPr>
            <w:tcW w:w="0" w:type="auto"/>
            <w:hideMark/>
          </w:tcPr>
          <w:p w14:paraId="3279A00E"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Increased ARDS risk</w:t>
            </w:r>
          </w:p>
        </w:tc>
        <w:tc>
          <w:tcPr>
            <w:tcW w:w="0" w:type="auto"/>
            <w:hideMark/>
          </w:tcPr>
          <w:p w14:paraId="7EFE056F"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Prolonged instability increases inflammatory load</w:t>
            </w:r>
          </w:p>
        </w:tc>
        <w:tc>
          <w:tcPr>
            <w:tcW w:w="0" w:type="auto"/>
            <w:hideMark/>
          </w:tcPr>
          <w:p w14:paraId="7223770C"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b/>
                <w:bCs/>
              </w:rPr>
              <w:t>[43]</w:t>
            </w:r>
          </w:p>
        </w:tc>
      </w:tr>
      <w:tr w:rsidR="00482F28" w:rsidRPr="00045DFA" w14:paraId="3236E875" w14:textId="77777777" w:rsidTr="0059516A">
        <w:tc>
          <w:tcPr>
            <w:tcW w:w="0" w:type="auto"/>
            <w:hideMark/>
          </w:tcPr>
          <w:p w14:paraId="33A11D8C"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b/>
                <w:bCs/>
              </w:rPr>
              <w:t>Bilateral femur fractures</w:t>
            </w:r>
          </w:p>
        </w:tc>
        <w:tc>
          <w:tcPr>
            <w:tcW w:w="0" w:type="auto"/>
            <w:hideMark/>
          </w:tcPr>
          <w:p w14:paraId="46F7626B"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Physiologic stability critical</w:t>
            </w:r>
          </w:p>
        </w:tc>
        <w:tc>
          <w:tcPr>
            <w:tcW w:w="0" w:type="auto"/>
            <w:hideMark/>
          </w:tcPr>
          <w:p w14:paraId="1B87858E"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Staged fixation if borderline</w:t>
            </w:r>
          </w:p>
        </w:tc>
        <w:tc>
          <w:tcPr>
            <w:tcW w:w="0" w:type="auto"/>
            <w:hideMark/>
          </w:tcPr>
          <w:p w14:paraId="391B5488"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Higher complication rates when aggressive early fixation in unstable pts</w:t>
            </w:r>
          </w:p>
        </w:tc>
        <w:tc>
          <w:tcPr>
            <w:tcW w:w="0" w:type="auto"/>
            <w:hideMark/>
          </w:tcPr>
          <w:p w14:paraId="6886A4DE"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Increased MOF risk</w:t>
            </w:r>
          </w:p>
        </w:tc>
        <w:tc>
          <w:tcPr>
            <w:tcW w:w="0" w:type="auto"/>
            <w:hideMark/>
          </w:tcPr>
          <w:p w14:paraId="106FD316"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Staging reduces systemic stress</w:t>
            </w:r>
          </w:p>
        </w:tc>
        <w:tc>
          <w:tcPr>
            <w:tcW w:w="0" w:type="auto"/>
            <w:hideMark/>
          </w:tcPr>
          <w:p w14:paraId="2D019ED4"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b/>
                <w:bCs/>
              </w:rPr>
              <w:t>[22]</w:t>
            </w:r>
          </w:p>
        </w:tc>
      </w:tr>
      <w:tr w:rsidR="00482F28" w:rsidRPr="00045DFA" w14:paraId="269762E4" w14:textId="77777777" w:rsidTr="0059516A">
        <w:tc>
          <w:tcPr>
            <w:tcW w:w="0" w:type="auto"/>
            <w:hideMark/>
          </w:tcPr>
          <w:p w14:paraId="7F80A83E"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b/>
                <w:bCs/>
              </w:rPr>
              <w:t xml:space="preserve">Pelvic instability with </w:t>
            </w:r>
            <w:proofErr w:type="spellStart"/>
            <w:r w:rsidRPr="00045DFA">
              <w:rPr>
                <w:rFonts w:asciiTheme="majorHAnsi" w:hAnsiTheme="majorHAnsi" w:cs="Times New Roman"/>
                <w:b/>
                <w:bCs/>
              </w:rPr>
              <w:t>hemorrhage</w:t>
            </w:r>
            <w:proofErr w:type="spellEnd"/>
          </w:p>
        </w:tc>
        <w:tc>
          <w:tcPr>
            <w:tcW w:w="0" w:type="auto"/>
            <w:hideMark/>
          </w:tcPr>
          <w:p w14:paraId="05C34744"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SBP &lt;90 mmHg; Active bleeding</w:t>
            </w:r>
          </w:p>
        </w:tc>
        <w:tc>
          <w:tcPr>
            <w:tcW w:w="0" w:type="auto"/>
            <w:hideMark/>
          </w:tcPr>
          <w:p w14:paraId="2F91AF2E"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Early temporary stabilisation</w:t>
            </w:r>
          </w:p>
        </w:tc>
        <w:tc>
          <w:tcPr>
            <w:tcW w:w="0" w:type="auto"/>
            <w:hideMark/>
          </w:tcPr>
          <w:p w14:paraId="02FA4963"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 xml:space="preserve">Reduced transfusion </w:t>
            </w:r>
            <w:proofErr w:type="gramStart"/>
            <w:r w:rsidRPr="00045DFA">
              <w:rPr>
                <w:rFonts w:asciiTheme="majorHAnsi" w:hAnsiTheme="majorHAnsi" w:cs="Times New Roman"/>
              </w:rPr>
              <w:t>need</w:t>
            </w:r>
            <w:proofErr w:type="gramEnd"/>
            <w:r w:rsidRPr="00045DFA">
              <w:rPr>
                <w:rFonts w:asciiTheme="majorHAnsi" w:hAnsiTheme="majorHAnsi" w:cs="Times New Roman"/>
              </w:rPr>
              <w:t>; improved haemodynamic control</w:t>
            </w:r>
          </w:p>
        </w:tc>
        <w:tc>
          <w:tcPr>
            <w:tcW w:w="0" w:type="auto"/>
            <w:hideMark/>
          </w:tcPr>
          <w:p w14:paraId="56DE0DFD"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Indirect reduction in MOF</w:t>
            </w:r>
          </w:p>
        </w:tc>
        <w:tc>
          <w:tcPr>
            <w:tcW w:w="0" w:type="auto"/>
            <w:hideMark/>
          </w:tcPr>
          <w:p w14:paraId="1FCB9781"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Haemorrhage control precedes fixation</w:t>
            </w:r>
          </w:p>
        </w:tc>
        <w:tc>
          <w:tcPr>
            <w:tcW w:w="0" w:type="auto"/>
            <w:hideMark/>
          </w:tcPr>
          <w:p w14:paraId="607FEC41"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b/>
                <w:bCs/>
              </w:rPr>
              <w:t>[43]</w:t>
            </w:r>
          </w:p>
        </w:tc>
      </w:tr>
      <w:tr w:rsidR="00482F28" w:rsidRPr="00045DFA" w14:paraId="0BB50ABC" w14:textId="77777777" w:rsidTr="0059516A">
        <w:tc>
          <w:tcPr>
            <w:tcW w:w="0" w:type="auto"/>
            <w:hideMark/>
          </w:tcPr>
          <w:p w14:paraId="18B9802D"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b/>
                <w:bCs/>
              </w:rPr>
              <w:t>Spine fracture with respiratory compromise</w:t>
            </w:r>
          </w:p>
        </w:tc>
        <w:tc>
          <w:tcPr>
            <w:tcW w:w="0" w:type="auto"/>
            <w:hideMark/>
          </w:tcPr>
          <w:p w14:paraId="1F76EC6E"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Ventilatory dependence; Chest injury</w:t>
            </w:r>
          </w:p>
        </w:tc>
        <w:tc>
          <w:tcPr>
            <w:tcW w:w="0" w:type="auto"/>
            <w:hideMark/>
          </w:tcPr>
          <w:p w14:paraId="305906A3"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Early stabilisation if stable</w:t>
            </w:r>
          </w:p>
        </w:tc>
        <w:tc>
          <w:tcPr>
            <w:tcW w:w="0" w:type="auto"/>
            <w:hideMark/>
          </w:tcPr>
          <w:p w14:paraId="62606A6A"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Shorter ICU stay; improved pulmonary mechanics</w:t>
            </w:r>
          </w:p>
        </w:tc>
        <w:tc>
          <w:tcPr>
            <w:tcW w:w="0" w:type="auto"/>
            <w:hideMark/>
          </w:tcPr>
          <w:p w14:paraId="27DF3E20"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Lower pneumonia rates</w:t>
            </w:r>
          </w:p>
        </w:tc>
        <w:tc>
          <w:tcPr>
            <w:tcW w:w="0" w:type="auto"/>
            <w:hideMark/>
          </w:tcPr>
          <w:p w14:paraId="3A5F0E64"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Stabilisation facilitates mobilisation</w:t>
            </w:r>
          </w:p>
        </w:tc>
        <w:tc>
          <w:tcPr>
            <w:tcW w:w="0" w:type="auto"/>
            <w:hideMark/>
          </w:tcPr>
          <w:p w14:paraId="6BB7F814"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b/>
                <w:bCs/>
              </w:rPr>
              <w:t>[44]</w:t>
            </w:r>
          </w:p>
        </w:tc>
      </w:tr>
      <w:tr w:rsidR="00482F28" w:rsidRPr="00045DFA" w14:paraId="64D2DA2F" w14:textId="77777777" w:rsidTr="0059516A">
        <w:tc>
          <w:tcPr>
            <w:tcW w:w="0" w:type="auto"/>
            <w:hideMark/>
          </w:tcPr>
          <w:p w14:paraId="3B697E54"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b/>
                <w:bCs/>
              </w:rPr>
              <w:t>Second-hit phenomenon risk</w:t>
            </w:r>
          </w:p>
        </w:tc>
        <w:tc>
          <w:tcPr>
            <w:tcW w:w="0" w:type="auto"/>
            <w:hideMark/>
          </w:tcPr>
          <w:p w14:paraId="5920208D"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High IL-6 levels; Persistent shock markers</w:t>
            </w:r>
          </w:p>
        </w:tc>
        <w:tc>
          <w:tcPr>
            <w:tcW w:w="0" w:type="auto"/>
            <w:hideMark/>
          </w:tcPr>
          <w:p w14:paraId="408D985D"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Delay definitive fixation</w:t>
            </w:r>
          </w:p>
        </w:tc>
        <w:tc>
          <w:tcPr>
            <w:tcW w:w="0" w:type="auto"/>
            <w:hideMark/>
          </w:tcPr>
          <w:p w14:paraId="131B0B25"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Elevated MOF when surgery during inflammatory peak</w:t>
            </w:r>
          </w:p>
        </w:tc>
        <w:tc>
          <w:tcPr>
            <w:tcW w:w="0" w:type="auto"/>
            <w:hideMark/>
          </w:tcPr>
          <w:p w14:paraId="0F873860"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MOF ~20–30% late deaths</w:t>
            </w:r>
          </w:p>
        </w:tc>
        <w:tc>
          <w:tcPr>
            <w:tcW w:w="0" w:type="auto"/>
            <w:hideMark/>
          </w:tcPr>
          <w:p w14:paraId="518A7B9D"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Timing must follow physiologic recovery</w:t>
            </w:r>
          </w:p>
        </w:tc>
        <w:tc>
          <w:tcPr>
            <w:tcW w:w="0" w:type="auto"/>
            <w:hideMark/>
          </w:tcPr>
          <w:p w14:paraId="48B50D7A"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b/>
                <w:bCs/>
              </w:rPr>
              <w:t>[9,10]</w:t>
            </w:r>
          </w:p>
        </w:tc>
      </w:tr>
      <w:tr w:rsidR="00482F28" w:rsidRPr="00045DFA" w14:paraId="31B3263F" w14:textId="77777777" w:rsidTr="0059516A">
        <w:tc>
          <w:tcPr>
            <w:tcW w:w="0" w:type="auto"/>
            <w:hideMark/>
          </w:tcPr>
          <w:p w14:paraId="08092740"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b/>
                <w:bCs/>
              </w:rPr>
              <w:t>Compartment risk with aggressive resuscitation</w:t>
            </w:r>
          </w:p>
        </w:tc>
        <w:tc>
          <w:tcPr>
            <w:tcW w:w="0" w:type="auto"/>
            <w:hideMark/>
          </w:tcPr>
          <w:p w14:paraId="6233847C"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Positive fluid balance &gt;3L</w:t>
            </w:r>
          </w:p>
        </w:tc>
        <w:tc>
          <w:tcPr>
            <w:tcW w:w="0" w:type="auto"/>
            <w:hideMark/>
          </w:tcPr>
          <w:p w14:paraId="6D6E78C3"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Monitor; fasciotomy if needed</w:t>
            </w:r>
          </w:p>
        </w:tc>
        <w:tc>
          <w:tcPr>
            <w:tcW w:w="0" w:type="auto"/>
            <w:hideMark/>
          </w:tcPr>
          <w:p w14:paraId="421BCA60"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Increased fasciotomy rates</w:t>
            </w:r>
          </w:p>
        </w:tc>
        <w:tc>
          <w:tcPr>
            <w:tcW w:w="0" w:type="auto"/>
            <w:hideMark/>
          </w:tcPr>
          <w:p w14:paraId="3F2F9054"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Limb morbidity</w:t>
            </w:r>
          </w:p>
        </w:tc>
        <w:tc>
          <w:tcPr>
            <w:tcW w:w="0" w:type="auto"/>
            <w:hideMark/>
          </w:tcPr>
          <w:p w14:paraId="1EC0BCFC"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rPr>
              <w:t>Fluid discipline influences orthopaedic outcome</w:t>
            </w:r>
          </w:p>
        </w:tc>
        <w:tc>
          <w:tcPr>
            <w:tcW w:w="0" w:type="auto"/>
            <w:hideMark/>
          </w:tcPr>
          <w:p w14:paraId="631EDA8C" w14:textId="77777777" w:rsidR="00482F28" w:rsidRPr="00045DFA" w:rsidRDefault="00482F28" w:rsidP="00482F28">
            <w:pPr>
              <w:spacing w:line="276" w:lineRule="auto"/>
              <w:rPr>
                <w:rFonts w:asciiTheme="majorHAnsi" w:hAnsiTheme="majorHAnsi" w:cs="Times New Roman"/>
              </w:rPr>
            </w:pPr>
            <w:r w:rsidRPr="00045DFA">
              <w:rPr>
                <w:rFonts w:asciiTheme="majorHAnsi" w:hAnsiTheme="majorHAnsi" w:cs="Times New Roman"/>
                <w:b/>
                <w:bCs/>
              </w:rPr>
              <w:t>[22,23]</w:t>
            </w:r>
          </w:p>
        </w:tc>
      </w:tr>
    </w:tbl>
    <w:p w14:paraId="40CEFC41" w14:textId="3CAA940A" w:rsidR="00482F28" w:rsidRPr="00045DFA" w:rsidRDefault="00482F28" w:rsidP="00482F28">
      <w:pPr>
        <w:spacing w:after="0" w:line="276" w:lineRule="auto"/>
        <w:rPr>
          <w:rFonts w:asciiTheme="majorHAnsi" w:hAnsiTheme="majorHAnsi" w:cs="Times New Roman"/>
        </w:rPr>
      </w:pPr>
    </w:p>
    <w:p w14:paraId="5FB01A62" w14:textId="614A7D87" w:rsidR="00482F28" w:rsidRPr="00045DFA" w:rsidRDefault="00482F28" w:rsidP="00482F28">
      <w:pPr>
        <w:spacing w:after="0" w:line="276" w:lineRule="auto"/>
        <w:rPr>
          <w:rFonts w:asciiTheme="majorHAnsi" w:hAnsiTheme="majorHAnsi" w:cs="Times New Roman"/>
          <w:b/>
          <w:bCs/>
        </w:rPr>
      </w:pPr>
      <w:r w:rsidRPr="00045DFA">
        <w:rPr>
          <w:rFonts w:asciiTheme="majorHAnsi" w:hAnsiTheme="majorHAnsi" w:cs="Times New Roman"/>
          <w:b/>
          <w:bCs/>
        </w:rPr>
        <w:t>Footnotes</w:t>
      </w:r>
    </w:p>
    <w:p w14:paraId="01F11A77" w14:textId="77777777" w:rsidR="00482F28" w:rsidRPr="00045DFA" w:rsidRDefault="00482F28" w:rsidP="00482F28">
      <w:pPr>
        <w:numPr>
          <w:ilvl w:val="0"/>
          <w:numId w:val="23"/>
        </w:numPr>
        <w:spacing w:after="0" w:line="276" w:lineRule="auto"/>
        <w:rPr>
          <w:rFonts w:asciiTheme="majorHAnsi" w:hAnsiTheme="majorHAnsi" w:cs="Times New Roman"/>
        </w:rPr>
      </w:pPr>
      <w:r w:rsidRPr="00045DFA">
        <w:rPr>
          <w:rFonts w:asciiTheme="majorHAnsi" w:hAnsiTheme="majorHAnsi" w:cs="Times New Roman"/>
        </w:rPr>
        <w:t xml:space="preserve">Lactate and base deficit thresholds reflect commonly cited clinical guidance rather than universally validated cut-offs </w:t>
      </w:r>
      <w:r w:rsidRPr="00045DFA">
        <w:rPr>
          <w:rFonts w:asciiTheme="majorHAnsi" w:hAnsiTheme="majorHAnsi" w:cs="Times New Roman"/>
          <w:b/>
          <w:bCs/>
        </w:rPr>
        <w:t>[8,9]</w:t>
      </w:r>
      <w:r w:rsidRPr="00045DFA">
        <w:rPr>
          <w:rFonts w:asciiTheme="majorHAnsi" w:hAnsiTheme="majorHAnsi" w:cs="Times New Roman"/>
        </w:rPr>
        <w:t xml:space="preserve">. </w:t>
      </w:r>
    </w:p>
    <w:p w14:paraId="1990FA2F" w14:textId="77777777" w:rsidR="00482F28" w:rsidRPr="00045DFA" w:rsidRDefault="00482F28" w:rsidP="00482F28">
      <w:pPr>
        <w:numPr>
          <w:ilvl w:val="0"/>
          <w:numId w:val="23"/>
        </w:numPr>
        <w:spacing w:after="0" w:line="276" w:lineRule="auto"/>
        <w:rPr>
          <w:rFonts w:asciiTheme="majorHAnsi" w:hAnsiTheme="majorHAnsi" w:cs="Times New Roman"/>
        </w:rPr>
      </w:pPr>
      <w:r w:rsidRPr="00045DFA">
        <w:rPr>
          <w:rFonts w:asciiTheme="majorHAnsi" w:hAnsiTheme="majorHAnsi" w:cs="Times New Roman"/>
        </w:rPr>
        <w:t xml:space="preserve">Early total care (ETC) and damage control orthopaedics (DCO) decisions should be individualized based on physiological trajectory. </w:t>
      </w:r>
    </w:p>
    <w:p w14:paraId="69DAA455" w14:textId="77777777" w:rsidR="00482F28" w:rsidRPr="00045DFA" w:rsidRDefault="00482F28" w:rsidP="00482F28">
      <w:pPr>
        <w:numPr>
          <w:ilvl w:val="0"/>
          <w:numId w:val="23"/>
        </w:numPr>
        <w:spacing w:after="0" w:line="276" w:lineRule="auto"/>
        <w:rPr>
          <w:rFonts w:asciiTheme="majorHAnsi" w:hAnsiTheme="majorHAnsi" w:cs="Times New Roman"/>
        </w:rPr>
      </w:pPr>
      <w:r w:rsidRPr="00045DFA">
        <w:rPr>
          <w:rFonts w:asciiTheme="majorHAnsi" w:hAnsiTheme="majorHAnsi" w:cs="Times New Roman"/>
        </w:rPr>
        <w:t xml:space="preserve">Observational studies of fixation timing are subject to selection bias. </w:t>
      </w:r>
    </w:p>
    <w:p w14:paraId="03DF37C2" w14:textId="77777777" w:rsidR="00482F28" w:rsidRPr="00045DFA" w:rsidRDefault="00482F28" w:rsidP="00482F28">
      <w:pPr>
        <w:numPr>
          <w:ilvl w:val="0"/>
          <w:numId w:val="23"/>
        </w:numPr>
        <w:spacing w:after="0" w:line="276" w:lineRule="auto"/>
        <w:rPr>
          <w:rFonts w:asciiTheme="majorHAnsi" w:hAnsiTheme="majorHAnsi" w:cs="Times New Roman"/>
        </w:rPr>
      </w:pPr>
      <w:r w:rsidRPr="00045DFA">
        <w:rPr>
          <w:rFonts w:asciiTheme="majorHAnsi" w:hAnsiTheme="majorHAnsi" w:cs="Times New Roman"/>
        </w:rPr>
        <w:t xml:space="preserve">Pulmonary complication rates may be influenced by associated chest injury severity. </w:t>
      </w:r>
    </w:p>
    <w:p w14:paraId="256AD004" w14:textId="77777777" w:rsidR="00482F28" w:rsidRPr="00045DFA" w:rsidRDefault="00482F28" w:rsidP="00482F28">
      <w:pPr>
        <w:numPr>
          <w:ilvl w:val="0"/>
          <w:numId w:val="23"/>
        </w:numPr>
        <w:spacing w:after="0" w:line="276" w:lineRule="auto"/>
        <w:rPr>
          <w:rFonts w:asciiTheme="majorHAnsi" w:hAnsiTheme="majorHAnsi" w:cs="Times New Roman"/>
        </w:rPr>
      </w:pPr>
      <w:r w:rsidRPr="00045DFA">
        <w:rPr>
          <w:rFonts w:asciiTheme="majorHAnsi" w:hAnsiTheme="majorHAnsi" w:cs="Times New Roman"/>
        </w:rPr>
        <w:t xml:space="preserve">MOF incidence reflects registry-based late mortality patterns </w:t>
      </w:r>
      <w:r w:rsidRPr="00045DFA">
        <w:rPr>
          <w:rFonts w:asciiTheme="majorHAnsi" w:hAnsiTheme="majorHAnsi" w:cs="Times New Roman"/>
          <w:b/>
          <w:bCs/>
        </w:rPr>
        <w:t>[10]</w:t>
      </w:r>
      <w:r w:rsidRPr="00045DFA">
        <w:rPr>
          <w:rFonts w:asciiTheme="majorHAnsi" w:hAnsiTheme="majorHAnsi" w:cs="Times New Roman"/>
        </w:rPr>
        <w:t xml:space="preserve">. </w:t>
      </w:r>
    </w:p>
    <w:p w14:paraId="50C4FB7A" w14:textId="77777777" w:rsidR="002C121A" w:rsidRPr="00045DFA" w:rsidRDefault="002C121A" w:rsidP="00680D07">
      <w:pPr>
        <w:spacing w:after="0" w:line="276" w:lineRule="auto"/>
        <w:rPr>
          <w:rFonts w:asciiTheme="majorHAnsi" w:hAnsiTheme="majorHAnsi" w:cs="Times New Roman"/>
          <w:b/>
          <w:bCs/>
        </w:rPr>
      </w:pPr>
    </w:p>
    <w:p w14:paraId="0B9BCB8E" w14:textId="398CFA95" w:rsidR="00482F28" w:rsidRPr="00045DFA" w:rsidRDefault="00482F28" w:rsidP="00482F28">
      <w:pPr>
        <w:spacing w:after="0" w:line="276" w:lineRule="auto"/>
        <w:rPr>
          <w:rFonts w:asciiTheme="majorHAnsi" w:hAnsiTheme="majorHAnsi" w:cs="Times New Roman"/>
          <w:b/>
          <w:bCs/>
        </w:rPr>
      </w:pPr>
      <w:r w:rsidRPr="00045DFA">
        <w:rPr>
          <w:rFonts w:asciiTheme="majorHAnsi" w:hAnsiTheme="majorHAnsi" w:cs="Times New Roman"/>
          <w:b/>
          <w:bCs/>
        </w:rPr>
        <w:t>TIER 2 AND TIER 3 IMPLEMENTATION STRATEGIES</w:t>
      </w:r>
    </w:p>
    <w:p w14:paraId="72DCAB73"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lastRenderedPageBreak/>
        <w:t>While Tier 1 measures target biological amplification directly, system-level organisation determines whether these measures are applied consistently. Compliance variability, delayed escalation, and absence of structured review frequently undermine otherwise sound clinical decisions.</w:t>
      </w:r>
    </w:p>
    <w:p w14:paraId="16AA42B5" w14:textId="01BE91E5" w:rsidR="00482F28" w:rsidRPr="00045DFA" w:rsidRDefault="00482F28" w:rsidP="00482F28">
      <w:pPr>
        <w:spacing w:after="0" w:line="276" w:lineRule="auto"/>
        <w:rPr>
          <w:rFonts w:asciiTheme="majorHAnsi" w:hAnsiTheme="majorHAnsi" w:cs="Times New Roman"/>
        </w:rPr>
      </w:pPr>
    </w:p>
    <w:p w14:paraId="1CCDCAD6" w14:textId="77777777" w:rsidR="00482F28" w:rsidRPr="00045DFA" w:rsidRDefault="00482F28" w:rsidP="00482F28">
      <w:pPr>
        <w:spacing w:after="0" w:line="276" w:lineRule="auto"/>
        <w:rPr>
          <w:rFonts w:asciiTheme="majorHAnsi" w:hAnsiTheme="majorHAnsi" w:cs="Times New Roman"/>
          <w:b/>
          <w:bCs/>
        </w:rPr>
      </w:pPr>
      <w:r w:rsidRPr="00045DFA">
        <w:rPr>
          <w:rFonts w:asciiTheme="majorHAnsi" w:hAnsiTheme="majorHAnsi" w:cs="Times New Roman"/>
          <w:b/>
          <w:bCs/>
        </w:rPr>
        <w:t>Compliance and Dose–Response Effect</w:t>
      </w:r>
    </w:p>
    <w:p w14:paraId="1DEB263F"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 xml:space="preserve">Evidence from enhanced recovery pathways demonstrates a dose–response relationship between protocol adherence and clinical outcomes. In multicentre analyses, complication rates decrease progressively as overall pathway compliance increases. Each 10% increase in compliance has been associated with incremental reductions in postoperative complications, often in the range of 5–10% relative improvement </w:t>
      </w:r>
      <w:r w:rsidRPr="00045DFA">
        <w:rPr>
          <w:rFonts w:asciiTheme="majorHAnsi" w:hAnsiTheme="majorHAnsi" w:cs="Times New Roman"/>
          <w:b/>
          <w:bCs/>
        </w:rPr>
        <w:t>[31]</w:t>
      </w:r>
      <w:r w:rsidRPr="00045DFA">
        <w:rPr>
          <w:rFonts w:asciiTheme="majorHAnsi" w:hAnsiTheme="majorHAnsi" w:cs="Times New Roman"/>
        </w:rPr>
        <w:t>.</w:t>
      </w:r>
    </w:p>
    <w:p w14:paraId="612702B2"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 xml:space="preserve">When compliance reaches 70–80%, overall complication reduction of approximately 20–30% has been reported compared with lower adherence levels </w:t>
      </w:r>
      <w:r w:rsidRPr="00045DFA">
        <w:rPr>
          <w:rFonts w:asciiTheme="majorHAnsi" w:hAnsiTheme="majorHAnsi" w:cs="Times New Roman"/>
          <w:b/>
          <w:bCs/>
        </w:rPr>
        <w:t>[31,32]</w:t>
      </w:r>
      <w:r w:rsidRPr="00045DFA">
        <w:rPr>
          <w:rFonts w:asciiTheme="majorHAnsi" w:hAnsiTheme="majorHAnsi" w:cs="Times New Roman"/>
        </w:rPr>
        <w:t>. Mortality reductions are generally modest in absolute terms but become meaningful in high-risk populations. The implication for polytrauma care is straightforward: consistency matters. Even biologically sound interventions fail to produce benefit if applied inconsistently.</w:t>
      </w:r>
    </w:p>
    <w:p w14:paraId="309F4F44" w14:textId="7075EC4C" w:rsidR="00482F28" w:rsidRPr="00045DFA" w:rsidRDefault="00482F28" w:rsidP="00482F28">
      <w:pPr>
        <w:spacing w:after="0" w:line="276" w:lineRule="auto"/>
        <w:rPr>
          <w:rFonts w:asciiTheme="majorHAnsi" w:hAnsiTheme="majorHAnsi" w:cs="Times New Roman"/>
        </w:rPr>
      </w:pPr>
    </w:p>
    <w:p w14:paraId="6AB0AD0E" w14:textId="77777777" w:rsidR="00482F28" w:rsidRPr="00045DFA" w:rsidRDefault="00482F28" w:rsidP="00482F28">
      <w:pPr>
        <w:spacing w:after="0" w:line="276" w:lineRule="auto"/>
        <w:rPr>
          <w:rFonts w:asciiTheme="majorHAnsi" w:hAnsiTheme="majorHAnsi" w:cs="Times New Roman"/>
          <w:b/>
          <w:bCs/>
        </w:rPr>
      </w:pPr>
      <w:r w:rsidRPr="00045DFA">
        <w:rPr>
          <w:rFonts w:asciiTheme="majorHAnsi" w:hAnsiTheme="majorHAnsi" w:cs="Times New Roman"/>
          <w:b/>
          <w:bCs/>
        </w:rPr>
        <w:t>Audit and Feedback Mechanisms</w:t>
      </w:r>
    </w:p>
    <w:p w14:paraId="16EBEB9F"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 xml:space="preserve">Structured audit-and-feedback interventions have been shown to improve adherence to evidence-based practices by approximately 10–20% across various surgical settings </w:t>
      </w:r>
      <w:r w:rsidRPr="00045DFA">
        <w:rPr>
          <w:rFonts w:asciiTheme="majorHAnsi" w:hAnsiTheme="majorHAnsi" w:cs="Times New Roman"/>
          <w:b/>
          <w:bCs/>
        </w:rPr>
        <w:t>[38]</w:t>
      </w:r>
      <w:r w:rsidRPr="00045DFA">
        <w:rPr>
          <w:rFonts w:asciiTheme="majorHAnsi" w:hAnsiTheme="majorHAnsi" w:cs="Times New Roman"/>
        </w:rPr>
        <w:t>. Although the absolute mortality effect may be indirect, improved adherence to antibiotic timing, VTE prophylaxis, or mobilisation protocols contributes cumulatively to complication reduction.</w:t>
      </w:r>
    </w:p>
    <w:p w14:paraId="73BAFE10"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 xml:space="preserve">Trauma registry implementation further strengthens system learning. Comparative analyses between centres with mature registries and those without demonstrate improved benchmarking capability and progressive outcome improvement over time </w:t>
      </w:r>
      <w:r w:rsidRPr="00045DFA">
        <w:rPr>
          <w:rFonts w:asciiTheme="majorHAnsi" w:hAnsiTheme="majorHAnsi" w:cs="Times New Roman"/>
          <w:b/>
          <w:bCs/>
        </w:rPr>
        <w:t>[34]</w:t>
      </w:r>
      <w:r w:rsidRPr="00045DFA">
        <w:rPr>
          <w:rFonts w:asciiTheme="majorHAnsi" w:hAnsiTheme="majorHAnsi" w:cs="Times New Roman"/>
        </w:rPr>
        <w:t>.</w:t>
      </w:r>
    </w:p>
    <w:p w14:paraId="67B19AB4" w14:textId="76F710C0" w:rsidR="00482F28" w:rsidRPr="00045DFA" w:rsidRDefault="00482F28" w:rsidP="00482F28">
      <w:pPr>
        <w:spacing w:after="0" w:line="276" w:lineRule="auto"/>
        <w:rPr>
          <w:rFonts w:asciiTheme="majorHAnsi" w:hAnsiTheme="majorHAnsi" w:cs="Times New Roman"/>
        </w:rPr>
      </w:pPr>
    </w:p>
    <w:p w14:paraId="2388E500" w14:textId="77777777" w:rsidR="00482F28" w:rsidRPr="00045DFA" w:rsidRDefault="00482F28" w:rsidP="00482F28">
      <w:pPr>
        <w:spacing w:after="0" w:line="276" w:lineRule="auto"/>
        <w:rPr>
          <w:rFonts w:asciiTheme="majorHAnsi" w:hAnsiTheme="majorHAnsi" w:cs="Times New Roman"/>
          <w:b/>
          <w:bCs/>
        </w:rPr>
      </w:pPr>
      <w:r w:rsidRPr="00045DFA">
        <w:rPr>
          <w:rFonts w:asciiTheme="majorHAnsi" w:hAnsiTheme="majorHAnsi" w:cs="Times New Roman"/>
          <w:b/>
          <w:bCs/>
        </w:rPr>
        <w:t>Failure-to-Rescue and Escalation Capacity</w:t>
      </w:r>
    </w:p>
    <w:p w14:paraId="55C60345"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 xml:space="preserve">Mortality variation across hospitals often reflects differences in failure-to-rescue rather than complication incidence </w:t>
      </w:r>
      <w:r w:rsidRPr="00045DFA">
        <w:rPr>
          <w:rFonts w:asciiTheme="majorHAnsi" w:hAnsiTheme="majorHAnsi" w:cs="Times New Roman"/>
          <w:b/>
          <w:bCs/>
        </w:rPr>
        <w:t>[48]</w:t>
      </w:r>
      <w:r w:rsidRPr="00045DFA">
        <w:rPr>
          <w:rFonts w:asciiTheme="majorHAnsi" w:hAnsiTheme="majorHAnsi" w:cs="Times New Roman"/>
        </w:rPr>
        <w:t>. In large multi-centre datasets, hospitals with similar complication rates demonstrated two- to three-fold differences in mortality attributable to differences in early recognition and escalation of care.</w:t>
      </w:r>
    </w:p>
    <w:p w14:paraId="287858D7"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 xml:space="preserve">Structured rapid response systems and defined escalation pathways have been associated with relative mortality reductions in emergency surgical populations </w:t>
      </w:r>
      <w:r w:rsidRPr="00045DFA">
        <w:rPr>
          <w:rFonts w:asciiTheme="majorHAnsi" w:hAnsiTheme="majorHAnsi" w:cs="Times New Roman"/>
          <w:b/>
          <w:bCs/>
        </w:rPr>
        <w:t>[40]</w:t>
      </w:r>
      <w:r w:rsidRPr="00045DFA">
        <w:rPr>
          <w:rFonts w:asciiTheme="majorHAnsi" w:hAnsiTheme="majorHAnsi" w:cs="Times New Roman"/>
        </w:rPr>
        <w:t>. The ability to detect respiratory deterioration, sepsis, or haemodynamic instability early is particularly relevant in polytrauma patients at risk for ARDS and MOF.</w:t>
      </w:r>
    </w:p>
    <w:p w14:paraId="2BF503BA" w14:textId="7F4A7A60" w:rsidR="00482F28" w:rsidRPr="00045DFA" w:rsidRDefault="00482F28" w:rsidP="00482F28">
      <w:pPr>
        <w:spacing w:after="0" w:line="276" w:lineRule="auto"/>
        <w:rPr>
          <w:rFonts w:asciiTheme="majorHAnsi" w:hAnsiTheme="majorHAnsi" w:cs="Times New Roman"/>
        </w:rPr>
      </w:pPr>
    </w:p>
    <w:p w14:paraId="719CC551" w14:textId="77777777" w:rsidR="00482F28" w:rsidRPr="00045DFA" w:rsidRDefault="00482F28" w:rsidP="00482F28">
      <w:pPr>
        <w:spacing w:after="0" w:line="276" w:lineRule="auto"/>
        <w:rPr>
          <w:rFonts w:asciiTheme="majorHAnsi" w:hAnsiTheme="majorHAnsi" w:cs="Times New Roman"/>
          <w:b/>
          <w:bCs/>
        </w:rPr>
      </w:pPr>
      <w:r w:rsidRPr="00045DFA">
        <w:rPr>
          <w:rFonts w:asciiTheme="majorHAnsi" w:hAnsiTheme="majorHAnsi" w:cs="Times New Roman"/>
          <w:b/>
          <w:bCs/>
        </w:rPr>
        <w:t>Trauma System Implementation in Resource-Limited Settings</w:t>
      </w:r>
    </w:p>
    <w:p w14:paraId="264AB0F5"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 xml:space="preserve">Evidence from LMIC trauma centres demonstrates measurable mortality reduction following introduction of structured trauma pathways and workforce training. One centre reported reduction in mortality from 17% to 11% after structured trauma education and process reorganisation, representing approximately 35% relative mortality reduction </w:t>
      </w:r>
      <w:r w:rsidRPr="00045DFA">
        <w:rPr>
          <w:rFonts w:asciiTheme="majorHAnsi" w:hAnsiTheme="majorHAnsi" w:cs="Times New Roman"/>
          <w:b/>
          <w:bCs/>
        </w:rPr>
        <w:t>[41]</w:t>
      </w:r>
      <w:r w:rsidRPr="00045DFA">
        <w:rPr>
          <w:rFonts w:asciiTheme="majorHAnsi" w:hAnsiTheme="majorHAnsi" w:cs="Times New Roman"/>
        </w:rPr>
        <w:t xml:space="preserve">. Another centre demonstrated approximately 20% relative mortality reduction following protocolisation of trauma care </w:t>
      </w:r>
      <w:r w:rsidRPr="00045DFA">
        <w:rPr>
          <w:rFonts w:asciiTheme="majorHAnsi" w:hAnsiTheme="majorHAnsi" w:cs="Times New Roman"/>
          <w:b/>
          <w:bCs/>
        </w:rPr>
        <w:t>[42]</w:t>
      </w:r>
      <w:r w:rsidRPr="00045DFA">
        <w:rPr>
          <w:rFonts w:asciiTheme="majorHAnsi" w:hAnsiTheme="majorHAnsi" w:cs="Times New Roman"/>
        </w:rPr>
        <w:t>. These findings suggest that organised coordination, rather than advanced technology alone, can meaningfully influence survival.</w:t>
      </w:r>
    </w:p>
    <w:p w14:paraId="1A737CA6" w14:textId="6745B2FA" w:rsidR="00482F28" w:rsidRPr="00045DFA" w:rsidRDefault="00482F28" w:rsidP="00482F28">
      <w:pPr>
        <w:spacing w:after="0" w:line="276" w:lineRule="auto"/>
        <w:rPr>
          <w:rFonts w:asciiTheme="majorHAnsi" w:hAnsiTheme="majorHAnsi" w:cs="Times New Roman"/>
        </w:rPr>
      </w:pPr>
    </w:p>
    <w:p w14:paraId="5B81B762" w14:textId="77777777" w:rsidR="00482F28" w:rsidRPr="00045DFA" w:rsidRDefault="00482F28" w:rsidP="00482F28">
      <w:pPr>
        <w:spacing w:after="0" w:line="276" w:lineRule="auto"/>
        <w:rPr>
          <w:rFonts w:asciiTheme="majorHAnsi" w:hAnsiTheme="majorHAnsi" w:cs="Times New Roman"/>
          <w:b/>
          <w:bCs/>
        </w:rPr>
      </w:pPr>
      <w:r w:rsidRPr="00045DFA">
        <w:rPr>
          <w:rFonts w:asciiTheme="majorHAnsi" w:hAnsiTheme="majorHAnsi" w:cs="Times New Roman"/>
          <w:b/>
          <w:bCs/>
        </w:rPr>
        <w:t>Risk Stratification and Monitoring</w:t>
      </w:r>
    </w:p>
    <w:p w14:paraId="1A650498"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lastRenderedPageBreak/>
        <w:t xml:space="preserve">Risk scoring tools for pulmonary complications and organ dysfunction facilitate earlier ICU triage and targeted monitoring </w:t>
      </w:r>
      <w:r w:rsidRPr="00045DFA">
        <w:rPr>
          <w:rFonts w:asciiTheme="majorHAnsi" w:hAnsiTheme="majorHAnsi" w:cs="Times New Roman"/>
          <w:b/>
          <w:bCs/>
        </w:rPr>
        <w:t>[45]</w:t>
      </w:r>
      <w:r w:rsidRPr="00045DFA">
        <w:rPr>
          <w:rFonts w:asciiTheme="majorHAnsi" w:hAnsiTheme="majorHAnsi" w:cs="Times New Roman"/>
        </w:rPr>
        <w:t>. While not a substitute for clinical judgement, structured risk assessment reduces the likelihood that high-risk patients remain under-monitored during the vulnerable postoperative period.</w:t>
      </w:r>
    </w:p>
    <w:p w14:paraId="12617187" w14:textId="6EA3D1FC" w:rsidR="002C121A" w:rsidRPr="00045DFA" w:rsidRDefault="002C121A" w:rsidP="00680D07">
      <w:pPr>
        <w:spacing w:after="0" w:line="276" w:lineRule="auto"/>
        <w:rPr>
          <w:rFonts w:asciiTheme="majorHAnsi" w:hAnsiTheme="majorHAnsi" w:cs="Times New Roman"/>
          <w:b/>
          <w:bCs/>
        </w:rPr>
      </w:pPr>
    </w:p>
    <w:p w14:paraId="01E0B3D8" w14:textId="507AC882" w:rsidR="00482F28" w:rsidRPr="00045DFA" w:rsidRDefault="00482F28" w:rsidP="00482F28">
      <w:pPr>
        <w:spacing w:after="0" w:line="276" w:lineRule="auto"/>
        <w:rPr>
          <w:rFonts w:asciiTheme="majorHAnsi" w:hAnsiTheme="majorHAnsi" w:cs="Times New Roman"/>
          <w:b/>
          <w:bCs/>
        </w:rPr>
      </w:pPr>
      <w:r w:rsidRPr="00045DFA">
        <w:rPr>
          <w:rFonts w:asciiTheme="majorHAnsi" w:hAnsiTheme="majorHAnsi" w:cs="Times New Roman"/>
          <w:b/>
          <w:bCs/>
        </w:rPr>
        <w:t xml:space="preserve">Table 5. Quantified Impact of Structured Implementation, Compliance, and Rescue Capacity on Surgical and Trauma Outcomes </w:t>
      </w:r>
    </w:p>
    <w:tbl>
      <w:tblPr>
        <w:tblStyle w:val="TableGrid1"/>
        <w:tblW w:w="0" w:type="auto"/>
        <w:tblLook w:val="04A0" w:firstRow="1" w:lastRow="0" w:firstColumn="1" w:lastColumn="0" w:noHBand="0" w:noVBand="1"/>
      </w:tblPr>
      <w:tblGrid>
        <w:gridCol w:w="1115"/>
        <w:gridCol w:w="862"/>
        <w:gridCol w:w="966"/>
        <w:gridCol w:w="1117"/>
        <w:gridCol w:w="993"/>
        <w:gridCol w:w="972"/>
        <w:gridCol w:w="940"/>
        <w:gridCol w:w="1040"/>
        <w:gridCol w:w="1122"/>
        <w:gridCol w:w="609"/>
      </w:tblGrid>
      <w:tr w:rsidR="00482F28" w:rsidRPr="00045DFA" w14:paraId="18295630" w14:textId="77777777" w:rsidTr="0059516A">
        <w:tc>
          <w:tcPr>
            <w:tcW w:w="0" w:type="auto"/>
            <w:hideMark/>
          </w:tcPr>
          <w:p w14:paraId="24600BC2" w14:textId="77777777" w:rsidR="00482F28" w:rsidRPr="00045DFA" w:rsidRDefault="00482F28" w:rsidP="00482F28">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Strategy</w:t>
            </w:r>
          </w:p>
        </w:tc>
        <w:tc>
          <w:tcPr>
            <w:tcW w:w="0" w:type="auto"/>
            <w:hideMark/>
          </w:tcPr>
          <w:p w14:paraId="13AFE45A" w14:textId="77777777" w:rsidR="00482F28" w:rsidRPr="00045DFA" w:rsidRDefault="00482F28" w:rsidP="00482F28">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Setting</w:t>
            </w:r>
          </w:p>
        </w:tc>
        <w:tc>
          <w:tcPr>
            <w:tcW w:w="0" w:type="auto"/>
            <w:hideMark/>
          </w:tcPr>
          <w:p w14:paraId="5DD81720" w14:textId="77777777" w:rsidR="00482F28" w:rsidRPr="00045DFA" w:rsidRDefault="00482F28" w:rsidP="00482F28">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Baseline Performance</w:t>
            </w:r>
          </w:p>
        </w:tc>
        <w:tc>
          <w:tcPr>
            <w:tcW w:w="0" w:type="auto"/>
            <w:hideMark/>
          </w:tcPr>
          <w:p w14:paraId="45FC1CF0" w14:textId="77777777" w:rsidR="00482F28" w:rsidRPr="00045DFA" w:rsidRDefault="00482F28" w:rsidP="00482F28">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Post-Implementation Performance</w:t>
            </w:r>
          </w:p>
        </w:tc>
        <w:tc>
          <w:tcPr>
            <w:tcW w:w="0" w:type="auto"/>
            <w:hideMark/>
          </w:tcPr>
          <w:p w14:paraId="73EEF5C1" w14:textId="77777777" w:rsidR="00482F28" w:rsidRPr="00045DFA" w:rsidRDefault="00482F28" w:rsidP="00482F28">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Relative Effect</w:t>
            </w:r>
          </w:p>
        </w:tc>
        <w:tc>
          <w:tcPr>
            <w:tcW w:w="0" w:type="auto"/>
            <w:hideMark/>
          </w:tcPr>
          <w:p w14:paraId="3156F3C3" w14:textId="77777777" w:rsidR="00482F28" w:rsidRPr="00045DFA" w:rsidRDefault="00482F28" w:rsidP="00482F28">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Absolute Effect</w:t>
            </w:r>
          </w:p>
        </w:tc>
        <w:tc>
          <w:tcPr>
            <w:tcW w:w="0" w:type="auto"/>
            <w:hideMark/>
          </w:tcPr>
          <w:p w14:paraId="6FD2430C" w14:textId="77777777" w:rsidR="00482F28" w:rsidRPr="00045DFA" w:rsidRDefault="00482F28" w:rsidP="00482F28">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Mortality Impact</w:t>
            </w:r>
          </w:p>
        </w:tc>
        <w:tc>
          <w:tcPr>
            <w:tcW w:w="0" w:type="auto"/>
            <w:hideMark/>
          </w:tcPr>
          <w:p w14:paraId="706320F0" w14:textId="77777777" w:rsidR="00482F28" w:rsidRPr="00045DFA" w:rsidRDefault="00482F28" w:rsidP="00482F28">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Mechanism of Improvement</w:t>
            </w:r>
          </w:p>
        </w:tc>
        <w:tc>
          <w:tcPr>
            <w:tcW w:w="0" w:type="auto"/>
            <w:hideMark/>
          </w:tcPr>
          <w:p w14:paraId="25F38183" w14:textId="77777777" w:rsidR="00482F28" w:rsidRPr="00045DFA" w:rsidRDefault="00482F28" w:rsidP="00482F28">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System Requirement</w:t>
            </w:r>
          </w:p>
        </w:tc>
        <w:tc>
          <w:tcPr>
            <w:tcW w:w="0" w:type="auto"/>
            <w:hideMark/>
          </w:tcPr>
          <w:p w14:paraId="09BC4ED7" w14:textId="77777777" w:rsidR="00482F28" w:rsidRPr="00045DFA" w:rsidRDefault="00482F28" w:rsidP="00482F28">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Key Refs</w:t>
            </w:r>
          </w:p>
        </w:tc>
      </w:tr>
      <w:tr w:rsidR="00482F28" w:rsidRPr="00045DFA" w14:paraId="32D60702" w14:textId="77777777" w:rsidTr="0059516A">
        <w:tc>
          <w:tcPr>
            <w:tcW w:w="0" w:type="auto"/>
            <w:hideMark/>
          </w:tcPr>
          <w:p w14:paraId="04DC3F3D"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ERAS compliance ≥70–80%</w:t>
            </w:r>
          </w:p>
        </w:tc>
        <w:tc>
          <w:tcPr>
            <w:tcW w:w="0" w:type="auto"/>
            <w:hideMark/>
          </w:tcPr>
          <w:p w14:paraId="1072CBCC" w14:textId="77777777" w:rsidR="00482F28" w:rsidRPr="00045DFA" w:rsidRDefault="00482F28" w:rsidP="00482F28">
            <w:pPr>
              <w:spacing w:line="276" w:lineRule="auto"/>
              <w:rPr>
                <w:rFonts w:asciiTheme="majorHAnsi" w:hAnsiTheme="majorHAnsi" w:cs="Times New Roman"/>
                <w:sz w:val="20"/>
                <w:szCs w:val="20"/>
              </w:rPr>
            </w:pPr>
            <w:proofErr w:type="spellStart"/>
            <w:r w:rsidRPr="00045DFA">
              <w:rPr>
                <w:rFonts w:asciiTheme="majorHAnsi" w:hAnsiTheme="majorHAnsi" w:cs="Times New Roman"/>
                <w:sz w:val="20"/>
                <w:szCs w:val="20"/>
              </w:rPr>
              <w:t>Multicenter</w:t>
            </w:r>
            <w:proofErr w:type="spellEnd"/>
            <w:r w:rsidRPr="00045DFA">
              <w:rPr>
                <w:rFonts w:asciiTheme="majorHAnsi" w:hAnsiTheme="majorHAnsi" w:cs="Times New Roman"/>
                <w:sz w:val="20"/>
                <w:szCs w:val="20"/>
              </w:rPr>
              <w:t xml:space="preserve"> surgical cohorts</w:t>
            </w:r>
          </w:p>
        </w:tc>
        <w:tc>
          <w:tcPr>
            <w:tcW w:w="0" w:type="auto"/>
            <w:hideMark/>
          </w:tcPr>
          <w:p w14:paraId="1F011346"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Compliance ~50–60%</w:t>
            </w:r>
          </w:p>
        </w:tc>
        <w:tc>
          <w:tcPr>
            <w:tcW w:w="0" w:type="auto"/>
            <w:hideMark/>
          </w:tcPr>
          <w:p w14:paraId="074D26D2"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≥75–85% adherence</w:t>
            </w:r>
          </w:p>
        </w:tc>
        <w:tc>
          <w:tcPr>
            <w:tcW w:w="0" w:type="auto"/>
            <w:hideMark/>
          </w:tcPr>
          <w:p w14:paraId="35D6F738"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Complication reduction ~20–30%</w:t>
            </w:r>
          </w:p>
        </w:tc>
        <w:tc>
          <w:tcPr>
            <w:tcW w:w="0" w:type="auto"/>
            <w:hideMark/>
          </w:tcPr>
          <w:p w14:paraId="12D6EA46"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~5–15% absolute reduction</w:t>
            </w:r>
          </w:p>
        </w:tc>
        <w:tc>
          <w:tcPr>
            <w:tcW w:w="0" w:type="auto"/>
            <w:hideMark/>
          </w:tcPr>
          <w:p w14:paraId="59E64B7B"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1–3% mortality reduction</w:t>
            </w:r>
          </w:p>
        </w:tc>
        <w:tc>
          <w:tcPr>
            <w:tcW w:w="0" w:type="auto"/>
            <w:hideMark/>
          </w:tcPr>
          <w:p w14:paraId="72EA9588"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Reduced physiologic stress</w:t>
            </w:r>
          </w:p>
        </w:tc>
        <w:tc>
          <w:tcPr>
            <w:tcW w:w="0" w:type="auto"/>
            <w:hideMark/>
          </w:tcPr>
          <w:p w14:paraId="2C77792B"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Multidisciplinary coordination</w:t>
            </w:r>
          </w:p>
        </w:tc>
        <w:tc>
          <w:tcPr>
            <w:tcW w:w="0" w:type="auto"/>
            <w:hideMark/>
          </w:tcPr>
          <w:p w14:paraId="7E703CB6"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[31,32]</w:t>
            </w:r>
          </w:p>
        </w:tc>
      </w:tr>
      <w:tr w:rsidR="00482F28" w:rsidRPr="00045DFA" w14:paraId="455BFB33" w14:textId="77777777" w:rsidTr="0059516A">
        <w:tc>
          <w:tcPr>
            <w:tcW w:w="0" w:type="auto"/>
            <w:hideMark/>
          </w:tcPr>
          <w:p w14:paraId="57D798FD"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ERAS dose-response relationship</w:t>
            </w:r>
          </w:p>
        </w:tc>
        <w:tc>
          <w:tcPr>
            <w:tcW w:w="0" w:type="auto"/>
            <w:hideMark/>
          </w:tcPr>
          <w:p w14:paraId="051503C5"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Multi-</w:t>
            </w:r>
            <w:proofErr w:type="spellStart"/>
            <w:r w:rsidRPr="00045DFA">
              <w:rPr>
                <w:rFonts w:asciiTheme="majorHAnsi" w:hAnsiTheme="majorHAnsi" w:cs="Times New Roman"/>
                <w:sz w:val="20"/>
                <w:szCs w:val="20"/>
              </w:rPr>
              <w:t>center</w:t>
            </w:r>
            <w:proofErr w:type="spellEnd"/>
            <w:r w:rsidRPr="00045DFA">
              <w:rPr>
                <w:rFonts w:asciiTheme="majorHAnsi" w:hAnsiTheme="majorHAnsi" w:cs="Times New Roman"/>
                <w:sz w:val="20"/>
                <w:szCs w:val="20"/>
              </w:rPr>
              <w:t xml:space="preserve"> ERAS analysis</w:t>
            </w:r>
          </w:p>
        </w:tc>
        <w:tc>
          <w:tcPr>
            <w:tcW w:w="0" w:type="auto"/>
            <w:hideMark/>
          </w:tcPr>
          <w:p w14:paraId="123E5896"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50% compliance</w:t>
            </w:r>
          </w:p>
        </w:tc>
        <w:tc>
          <w:tcPr>
            <w:tcW w:w="0" w:type="auto"/>
            <w:hideMark/>
          </w:tcPr>
          <w:p w14:paraId="7CD938EC"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Each 10% compliance ↑</w:t>
            </w:r>
          </w:p>
        </w:tc>
        <w:tc>
          <w:tcPr>
            <w:tcW w:w="0" w:type="auto"/>
            <w:hideMark/>
          </w:tcPr>
          <w:p w14:paraId="3469AC0C"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~5–10% incremental improvement</w:t>
            </w:r>
          </w:p>
        </w:tc>
        <w:tc>
          <w:tcPr>
            <w:tcW w:w="0" w:type="auto"/>
            <w:hideMark/>
          </w:tcPr>
          <w:p w14:paraId="54FA1B01"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Dose-dependent improvement</w:t>
            </w:r>
          </w:p>
        </w:tc>
        <w:tc>
          <w:tcPr>
            <w:tcW w:w="0" w:type="auto"/>
            <w:hideMark/>
          </w:tcPr>
          <w:p w14:paraId="19EADC9E"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Lower mortality at higher adherence</w:t>
            </w:r>
          </w:p>
        </w:tc>
        <w:tc>
          <w:tcPr>
            <w:tcW w:w="0" w:type="auto"/>
            <w:hideMark/>
          </w:tcPr>
          <w:p w14:paraId="621E5869"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Consistency of practices</w:t>
            </w:r>
          </w:p>
        </w:tc>
        <w:tc>
          <w:tcPr>
            <w:tcW w:w="0" w:type="auto"/>
            <w:hideMark/>
          </w:tcPr>
          <w:p w14:paraId="4132AB22"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Monitoring + reporting</w:t>
            </w:r>
          </w:p>
        </w:tc>
        <w:tc>
          <w:tcPr>
            <w:tcW w:w="0" w:type="auto"/>
            <w:hideMark/>
          </w:tcPr>
          <w:p w14:paraId="4FDBFBE9"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[31]</w:t>
            </w:r>
          </w:p>
        </w:tc>
      </w:tr>
      <w:tr w:rsidR="00482F28" w:rsidRPr="00045DFA" w14:paraId="2E494028" w14:textId="77777777" w:rsidTr="0059516A">
        <w:tc>
          <w:tcPr>
            <w:tcW w:w="0" w:type="auto"/>
            <w:hideMark/>
          </w:tcPr>
          <w:p w14:paraId="74C0C065"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Audit &amp; feedback programs</w:t>
            </w:r>
          </w:p>
        </w:tc>
        <w:tc>
          <w:tcPr>
            <w:tcW w:w="0" w:type="auto"/>
            <w:hideMark/>
          </w:tcPr>
          <w:p w14:paraId="21A1DFF9"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Mixed surgical settings</w:t>
            </w:r>
          </w:p>
        </w:tc>
        <w:tc>
          <w:tcPr>
            <w:tcW w:w="0" w:type="auto"/>
            <w:hideMark/>
          </w:tcPr>
          <w:p w14:paraId="5A1A21E8"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Variable adherence</w:t>
            </w:r>
          </w:p>
        </w:tc>
        <w:tc>
          <w:tcPr>
            <w:tcW w:w="0" w:type="auto"/>
            <w:hideMark/>
          </w:tcPr>
          <w:p w14:paraId="3793A1F1"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10–20% improvement</w:t>
            </w:r>
          </w:p>
        </w:tc>
        <w:tc>
          <w:tcPr>
            <w:tcW w:w="0" w:type="auto"/>
            <w:hideMark/>
          </w:tcPr>
          <w:p w14:paraId="35B85A2A"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10–20% practice change</w:t>
            </w:r>
          </w:p>
        </w:tc>
        <w:tc>
          <w:tcPr>
            <w:tcW w:w="0" w:type="auto"/>
            <w:hideMark/>
          </w:tcPr>
          <w:p w14:paraId="7C67DF43"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Modest complication reduction</w:t>
            </w:r>
          </w:p>
        </w:tc>
        <w:tc>
          <w:tcPr>
            <w:tcW w:w="0" w:type="auto"/>
            <w:hideMark/>
          </w:tcPr>
          <w:p w14:paraId="37ECFDA8"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Indirect mortality reduction</w:t>
            </w:r>
          </w:p>
        </w:tc>
        <w:tc>
          <w:tcPr>
            <w:tcW w:w="0" w:type="auto"/>
            <w:hideMark/>
          </w:tcPr>
          <w:p w14:paraId="19CBFAAA"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Visibility + accountability</w:t>
            </w:r>
          </w:p>
        </w:tc>
        <w:tc>
          <w:tcPr>
            <w:tcW w:w="0" w:type="auto"/>
            <w:hideMark/>
          </w:tcPr>
          <w:p w14:paraId="415BFD10"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Leadership + data</w:t>
            </w:r>
          </w:p>
        </w:tc>
        <w:tc>
          <w:tcPr>
            <w:tcW w:w="0" w:type="auto"/>
            <w:hideMark/>
          </w:tcPr>
          <w:p w14:paraId="01081639"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[38]</w:t>
            </w:r>
          </w:p>
        </w:tc>
      </w:tr>
      <w:tr w:rsidR="00482F28" w:rsidRPr="00045DFA" w14:paraId="07839158" w14:textId="77777777" w:rsidTr="0059516A">
        <w:tc>
          <w:tcPr>
            <w:tcW w:w="0" w:type="auto"/>
            <w:hideMark/>
          </w:tcPr>
          <w:p w14:paraId="4B2F01E5"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Central line infection bundle</w:t>
            </w:r>
          </w:p>
        </w:tc>
        <w:tc>
          <w:tcPr>
            <w:tcW w:w="0" w:type="auto"/>
            <w:hideMark/>
          </w:tcPr>
          <w:p w14:paraId="6568787B"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ICU populations</w:t>
            </w:r>
          </w:p>
        </w:tc>
        <w:tc>
          <w:tcPr>
            <w:tcW w:w="0" w:type="auto"/>
            <w:hideMark/>
          </w:tcPr>
          <w:p w14:paraId="73E2F75F"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CLABSI 7–8/1,000 line days</w:t>
            </w:r>
          </w:p>
        </w:tc>
        <w:tc>
          <w:tcPr>
            <w:tcW w:w="0" w:type="auto"/>
            <w:hideMark/>
          </w:tcPr>
          <w:p w14:paraId="6538FEE8"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&lt;2/1,000</w:t>
            </w:r>
          </w:p>
        </w:tc>
        <w:tc>
          <w:tcPr>
            <w:tcW w:w="0" w:type="auto"/>
            <w:hideMark/>
          </w:tcPr>
          <w:p w14:paraId="5697ECD0"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~60–70% reduction</w:t>
            </w:r>
          </w:p>
        </w:tc>
        <w:tc>
          <w:tcPr>
            <w:tcW w:w="0" w:type="auto"/>
            <w:hideMark/>
          </w:tcPr>
          <w:p w14:paraId="1D64BBEF"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5–6 infections prevented</w:t>
            </w:r>
          </w:p>
        </w:tc>
        <w:tc>
          <w:tcPr>
            <w:tcW w:w="0" w:type="auto"/>
            <w:hideMark/>
          </w:tcPr>
          <w:p w14:paraId="3C8A8788"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Reduced sepsis mortality</w:t>
            </w:r>
          </w:p>
        </w:tc>
        <w:tc>
          <w:tcPr>
            <w:tcW w:w="0" w:type="auto"/>
            <w:hideMark/>
          </w:tcPr>
          <w:p w14:paraId="297E3FBA"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Checklist compliance</w:t>
            </w:r>
          </w:p>
        </w:tc>
        <w:tc>
          <w:tcPr>
            <w:tcW w:w="0" w:type="auto"/>
            <w:hideMark/>
          </w:tcPr>
          <w:p w14:paraId="6B5F9BCF"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Basic ICU structure</w:t>
            </w:r>
          </w:p>
        </w:tc>
        <w:tc>
          <w:tcPr>
            <w:tcW w:w="0" w:type="auto"/>
            <w:hideMark/>
          </w:tcPr>
          <w:p w14:paraId="4DE93ADA"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[37]</w:t>
            </w:r>
          </w:p>
        </w:tc>
      </w:tr>
      <w:tr w:rsidR="00482F28" w:rsidRPr="00045DFA" w14:paraId="79519A9F" w14:textId="77777777" w:rsidTr="0059516A">
        <w:tc>
          <w:tcPr>
            <w:tcW w:w="0" w:type="auto"/>
            <w:hideMark/>
          </w:tcPr>
          <w:p w14:paraId="5D6B8FC5"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Failure-to-rescue capacity</w:t>
            </w:r>
          </w:p>
        </w:tc>
        <w:tc>
          <w:tcPr>
            <w:tcW w:w="0" w:type="auto"/>
            <w:hideMark/>
          </w:tcPr>
          <w:p w14:paraId="02775841"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US multi-</w:t>
            </w:r>
            <w:proofErr w:type="spellStart"/>
            <w:r w:rsidRPr="00045DFA">
              <w:rPr>
                <w:rFonts w:asciiTheme="majorHAnsi" w:hAnsiTheme="majorHAnsi" w:cs="Times New Roman"/>
                <w:sz w:val="20"/>
                <w:szCs w:val="20"/>
              </w:rPr>
              <w:t>center</w:t>
            </w:r>
            <w:proofErr w:type="spellEnd"/>
            <w:r w:rsidRPr="00045DFA">
              <w:rPr>
                <w:rFonts w:asciiTheme="majorHAnsi" w:hAnsiTheme="majorHAnsi" w:cs="Times New Roman"/>
                <w:sz w:val="20"/>
                <w:szCs w:val="20"/>
              </w:rPr>
              <w:t xml:space="preserve"> data</w:t>
            </w:r>
          </w:p>
        </w:tc>
        <w:tc>
          <w:tcPr>
            <w:tcW w:w="0" w:type="auto"/>
            <w:hideMark/>
          </w:tcPr>
          <w:p w14:paraId="3781675E"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Similar complication rate</w:t>
            </w:r>
          </w:p>
        </w:tc>
        <w:tc>
          <w:tcPr>
            <w:tcW w:w="0" w:type="auto"/>
            <w:hideMark/>
          </w:tcPr>
          <w:p w14:paraId="7A674C00"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Mortality 2–3× lower</w:t>
            </w:r>
          </w:p>
        </w:tc>
        <w:tc>
          <w:tcPr>
            <w:tcW w:w="0" w:type="auto"/>
            <w:hideMark/>
          </w:tcPr>
          <w:p w14:paraId="67DB9E73"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Mortality variation 200–300%</w:t>
            </w:r>
          </w:p>
        </w:tc>
        <w:tc>
          <w:tcPr>
            <w:tcW w:w="0" w:type="auto"/>
            <w:hideMark/>
          </w:tcPr>
          <w:p w14:paraId="6F5A84C1"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Absolute mortality difference 5–10%</w:t>
            </w:r>
          </w:p>
        </w:tc>
        <w:tc>
          <w:tcPr>
            <w:tcW w:w="0" w:type="auto"/>
            <w:hideMark/>
          </w:tcPr>
          <w:p w14:paraId="7EA3DE4A"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Major determinant</w:t>
            </w:r>
          </w:p>
        </w:tc>
        <w:tc>
          <w:tcPr>
            <w:tcW w:w="0" w:type="auto"/>
            <w:hideMark/>
          </w:tcPr>
          <w:p w14:paraId="6F93B896"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Early detection</w:t>
            </w:r>
          </w:p>
        </w:tc>
        <w:tc>
          <w:tcPr>
            <w:tcW w:w="0" w:type="auto"/>
            <w:hideMark/>
          </w:tcPr>
          <w:p w14:paraId="111D4E80"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ICU escalation chain</w:t>
            </w:r>
          </w:p>
        </w:tc>
        <w:tc>
          <w:tcPr>
            <w:tcW w:w="0" w:type="auto"/>
            <w:hideMark/>
          </w:tcPr>
          <w:p w14:paraId="2C594FA8"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[48]</w:t>
            </w:r>
          </w:p>
        </w:tc>
      </w:tr>
      <w:tr w:rsidR="00482F28" w:rsidRPr="00045DFA" w14:paraId="737864C1" w14:textId="77777777" w:rsidTr="0059516A">
        <w:tc>
          <w:tcPr>
            <w:tcW w:w="0" w:type="auto"/>
            <w:hideMark/>
          </w:tcPr>
          <w:p w14:paraId="4AA5C79D"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Emergency surgery rescue programs</w:t>
            </w:r>
          </w:p>
        </w:tc>
        <w:tc>
          <w:tcPr>
            <w:tcW w:w="0" w:type="auto"/>
            <w:hideMark/>
          </w:tcPr>
          <w:p w14:paraId="54E7A3A2"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UK emergency surgery</w:t>
            </w:r>
          </w:p>
        </w:tc>
        <w:tc>
          <w:tcPr>
            <w:tcW w:w="0" w:type="auto"/>
            <w:hideMark/>
          </w:tcPr>
          <w:p w14:paraId="557D5046"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Delayed escalation</w:t>
            </w:r>
          </w:p>
        </w:tc>
        <w:tc>
          <w:tcPr>
            <w:tcW w:w="0" w:type="auto"/>
            <w:hideMark/>
          </w:tcPr>
          <w:p w14:paraId="437D5FC7"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Rapid response pathway</w:t>
            </w:r>
          </w:p>
        </w:tc>
        <w:tc>
          <w:tcPr>
            <w:tcW w:w="0" w:type="auto"/>
            <w:hideMark/>
          </w:tcPr>
          <w:p w14:paraId="3BD020AC"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Reduced late mortality</w:t>
            </w:r>
          </w:p>
        </w:tc>
        <w:tc>
          <w:tcPr>
            <w:tcW w:w="0" w:type="auto"/>
            <w:hideMark/>
          </w:tcPr>
          <w:p w14:paraId="3A8235FC"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10–20% relative reduction</w:t>
            </w:r>
          </w:p>
        </w:tc>
        <w:tc>
          <w:tcPr>
            <w:tcW w:w="0" w:type="auto"/>
            <w:hideMark/>
          </w:tcPr>
          <w:p w14:paraId="305DD3AC"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Improved survival</w:t>
            </w:r>
          </w:p>
        </w:tc>
        <w:tc>
          <w:tcPr>
            <w:tcW w:w="0" w:type="auto"/>
            <w:hideMark/>
          </w:tcPr>
          <w:p w14:paraId="1A8E4022"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Early escalation</w:t>
            </w:r>
          </w:p>
        </w:tc>
        <w:tc>
          <w:tcPr>
            <w:tcW w:w="0" w:type="auto"/>
            <w:hideMark/>
          </w:tcPr>
          <w:p w14:paraId="5E3F193D"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Escalation structure</w:t>
            </w:r>
          </w:p>
        </w:tc>
        <w:tc>
          <w:tcPr>
            <w:tcW w:w="0" w:type="auto"/>
            <w:hideMark/>
          </w:tcPr>
          <w:p w14:paraId="35B81E8A"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[40]</w:t>
            </w:r>
          </w:p>
        </w:tc>
      </w:tr>
      <w:tr w:rsidR="00482F28" w:rsidRPr="00045DFA" w14:paraId="64128396" w14:textId="77777777" w:rsidTr="0059516A">
        <w:tc>
          <w:tcPr>
            <w:tcW w:w="0" w:type="auto"/>
            <w:hideMark/>
          </w:tcPr>
          <w:p w14:paraId="6CBE2B09"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Trauma training implementation</w:t>
            </w:r>
          </w:p>
        </w:tc>
        <w:tc>
          <w:tcPr>
            <w:tcW w:w="0" w:type="auto"/>
            <w:hideMark/>
          </w:tcPr>
          <w:p w14:paraId="5685D9E6"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 xml:space="preserve">Uganda trauma </w:t>
            </w:r>
            <w:proofErr w:type="spellStart"/>
            <w:r w:rsidRPr="00045DFA">
              <w:rPr>
                <w:rFonts w:asciiTheme="majorHAnsi" w:hAnsiTheme="majorHAnsi" w:cs="Times New Roman"/>
                <w:sz w:val="20"/>
                <w:szCs w:val="20"/>
              </w:rPr>
              <w:t>center</w:t>
            </w:r>
            <w:proofErr w:type="spellEnd"/>
          </w:p>
        </w:tc>
        <w:tc>
          <w:tcPr>
            <w:tcW w:w="0" w:type="auto"/>
            <w:hideMark/>
          </w:tcPr>
          <w:p w14:paraId="68054077"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Mortality 17%</w:t>
            </w:r>
          </w:p>
        </w:tc>
        <w:tc>
          <w:tcPr>
            <w:tcW w:w="0" w:type="auto"/>
            <w:hideMark/>
          </w:tcPr>
          <w:p w14:paraId="2C87155C"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11% after training</w:t>
            </w:r>
          </w:p>
        </w:tc>
        <w:tc>
          <w:tcPr>
            <w:tcW w:w="0" w:type="auto"/>
            <w:hideMark/>
          </w:tcPr>
          <w:p w14:paraId="554B3520"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35% relative reduction</w:t>
            </w:r>
          </w:p>
        </w:tc>
        <w:tc>
          <w:tcPr>
            <w:tcW w:w="0" w:type="auto"/>
            <w:hideMark/>
          </w:tcPr>
          <w:p w14:paraId="4141EA23"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6% absolute reduction</w:t>
            </w:r>
          </w:p>
        </w:tc>
        <w:tc>
          <w:tcPr>
            <w:tcW w:w="0" w:type="auto"/>
            <w:hideMark/>
          </w:tcPr>
          <w:p w14:paraId="18C00E91"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Improved early management</w:t>
            </w:r>
          </w:p>
        </w:tc>
        <w:tc>
          <w:tcPr>
            <w:tcW w:w="0" w:type="auto"/>
            <w:hideMark/>
          </w:tcPr>
          <w:p w14:paraId="1AFB9FF4"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Structured training</w:t>
            </w:r>
          </w:p>
        </w:tc>
        <w:tc>
          <w:tcPr>
            <w:tcW w:w="0" w:type="auto"/>
            <w:hideMark/>
          </w:tcPr>
          <w:p w14:paraId="42340DDC"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Workforce development</w:t>
            </w:r>
          </w:p>
        </w:tc>
        <w:tc>
          <w:tcPr>
            <w:tcW w:w="0" w:type="auto"/>
            <w:hideMark/>
          </w:tcPr>
          <w:p w14:paraId="62048FEE"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[41]</w:t>
            </w:r>
          </w:p>
        </w:tc>
      </w:tr>
      <w:tr w:rsidR="00482F28" w:rsidRPr="00045DFA" w14:paraId="4D071083" w14:textId="77777777" w:rsidTr="0059516A">
        <w:tc>
          <w:tcPr>
            <w:tcW w:w="0" w:type="auto"/>
            <w:hideMark/>
          </w:tcPr>
          <w:p w14:paraId="354F0170"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Structured trauma pathway</w:t>
            </w:r>
          </w:p>
        </w:tc>
        <w:tc>
          <w:tcPr>
            <w:tcW w:w="0" w:type="auto"/>
            <w:hideMark/>
          </w:tcPr>
          <w:p w14:paraId="32F6E767"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LMIC hospital</w:t>
            </w:r>
          </w:p>
        </w:tc>
        <w:tc>
          <w:tcPr>
            <w:tcW w:w="0" w:type="auto"/>
            <w:hideMark/>
          </w:tcPr>
          <w:p w14:paraId="4518195C"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Delayed care</w:t>
            </w:r>
          </w:p>
        </w:tc>
        <w:tc>
          <w:tcPr>
            <w:tcW w:w="0" w:type="auto"/>
            <w:hideMark/>
          </w:tcPr>
          <w:p w14:paraId="4891A814"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Reduced time-to-intervention</w:t>
            </w:r>
          </w:p>
        </w:tc>
        <w:tc>
          <w:tcPr>
            <w:tcW w:w="0" w:type="auto"/>
            <w:hideMark/>
          </w:tcPr>
          <w:p w14:paraId="16E9CFF3"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~20% mortality reduction</w:t>
            </w:r>
          </w:p>
        </w:tc>
        <w:tc>
          <w:tcPr>
            <w:tcW w:w="0" w:type="auto"/>
            <w:hideMark/>
          </w:tcPr>
          <w:p w14:paraId="22DB5819"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~3–5% reduction</w:t>
            </w:r>
          </w:p>
        </w:tc>
        <w:tc>
          <w:tcPr>
            <w:tcW w:w="0" w:type="auto"/>
            <w:hideMark/>
          </w:tcPr>
          <w:p w14:paraId="53CF811C"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Reduced preventable deaths</w:t>
            </w:r>
          </w:p>
        </w:tc>
        <w:tc>
          <w:tcPr>
            <w:tcW w:w="0" w:type="auto"/>
            <w:hideMark/>
          </w:tcPr>
          <w:p w14:paraId="5A98FAB1"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Protocolisation</w:t>
            </w:r>
          </w:p>
        </w:tc>
        <w:tc>
          <w:tcPr>
            <w:tcW w:w="0" w:type="auto"/>
            <w:hideMark/>
          </w:tcPr>
          <w:p w14:paraId="39D64B3E"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Organised trauma team</w:t>
            </w:r>
          </w:p>
        </w:tc>
        <w:tc>
          <w:tcPr>
            <w:tcW w:w="0" w:type="auto"/>
            <w:hideMark/>
          </w:tcPr>
          <w:p w14:paraId="6D11556C"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[42]</w:t>
            </w:r>
          </w:p>
        </w:tc>
      </w:tr>
      <w:tr w:rsidR="00482F28" w:rsidRPr="00045DFA" w14:paraId="216F14DC" w14:textId="77777777" w:rsidTr="0059516A">
        <w:tc>
          <w:tcPr>
            <w:tcW w:w="0" w:type="auto"/>
            <w:hideMark/>
          </w:tcPr>
          <w:p w14:paraId="23114A3B"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lastRenderedPageBreak/>
              <w:t>Trauma registry maturation</w:t>
            </w:r>
          </w:p>
        </w:tc>
        <w:tc>
          <w:tcPr>
            <w:tcW w:w="0" w:type="auto"/>
            <w:hideMark/>
          </w:tcPr>
          <w:p w14:paraId="69598EB3"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Middle-income settings</w:t>
            </w:r>
          </w:p>
        </w:tc>
        <w:tc>
          <w:tcPr>
            <w:tcW w:w="0" w:type="auto"/>
            <w:hideMark/>
          </w:tcPr>
          <w:p w14:paraId="2BC45DFE"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Incomplete tracking</w:t>
            </w:r>
          </w:p>
        </w:tc>
        <w:tc>
          <w:tcPr>
            <w:tcW w:w="0" w:type="auto"/>
            <w:hideMark/>
          </w:tcPr>
          <w:p w14:paraId="2756A182"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Structured registry</w:t>
            </w:r>
          </w:p>
        </w:tc>
        <w:tc>
          <w:tcPr>
            <w:tcW w:w="0" w:type="auto"/>
            <w:hideMark/>
          </w:tcPr>
          <w:p w14:paraId="417EAF99"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Improved benchmarking</w:t>
            </w:r>
          </w:p>
        </w:tc>
        <w:tc>
          <w:tcPr>
            <w:tcW w:w="0" w:type="auto"/>
            <w:hideMark/>
          </w:tcPr>
          <w:p w14:paraId="34236357"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Mortality trends improved</w:t>
            </w:r>
          </w:p>
        </w:tc>
        <w:tc>
          <w:tcPr>
            <w:tcW w:w="0" w:type="auto"/>
            <w:hideMark/>
          </w:tcPr>
          <w:p w14:paraId="4CA6C384"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System learning</w:t>
            </w:r>
          </w:p>
        </w:tc>
        <w:tc>
          <w:tcPr>
            <w:tcW w:w="0" w:type="auto"/>
            <w:hideMark/>
          </w:tcPr>
          <w:p w14:paraId="34A780A9"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Data-driven governance</w:t>
            </w:r>
          </w:p>
        </w:tc>
        <w:tc>
          <w:tcPr>
            <w:tcW w:w="0" w:type="auto"/>
            <w:hideMark/>
          </w:tcPr>
          <w:p w14:paraId="18FFA7D7"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Data infrastructure</w:t>
            </w:r>
          </w:p>
        </w:tc>
        <w:tc>
          <w:tcPr>
            <w:tcW w:w="0" w:type="auto"/>
            <w:hideMark/>
          </w:tcPr>
          <w:p w14:paraId="22D6B1C8"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[34]</w:t>
            </w:r>
          </w:p>
        </w:tc>
      </w:tr>
      <w:tr w:rsidR="00482F28" w:rsidRPr="00045DFA" w14:paraId="3C1073DF" w14:textId="77777777" w:rsidTr="0059516A">
        <w:tc>
          <w:tcPr>
            <w:tcW w:w="0" w:type="auto"/>
            <w:hideMark/>
          </w:tcPr>
          <w:p w14:paraId="3D7FEF2C"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Preventable death audit programs</w:t>
            </w:r>
          </w:p>
        </w:tc>
        <w:tc>
          <w:tcPr>
            <w:tcW w:w="0" w:type="auto"/>
            <w:hideMark/>
          </w:tcPr>
          <w:p w14:paraId="70074E1D"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Trauma systems review</w:t>
            </w:r>
          </w:p>
        </w:tc>
        <w:tc>
          <w:tcPr>
            <w:tcW w:w="0" w:type="auto"/>
            <w:hideMark/>
          </w:tcPr>
          <w:p w14:paraId="634C9449"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Preventable death 20–30%</w:t>
            </w:r>
          </w:p>
        </w:tc>
        <w:tc>
          <w:tcPr>
            <w:tcW w:w="0" w:type="auto"/>
            <w:hideMark/>
          </w:tcPr>
          <w:p w14:paraId="0BE1A823"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Reduced over time</w:t>
            </w:r>
          </w:p>
        </w:tc>
        <w:tc>
          <w:tcPr>
            <w:tcW w:w="0" w:type="auto"/>
            <w:hideMark/>
          </w:tcPr>
          <w:p w14:paraId="6AFC049A"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20–30% reduction</w:t>
            </w:r>
          </w:p>
        </w:tc>
        <w:tc>
          <w:tcPr>
            <w:tcW w:w="0" w:type="auto"/>
            <w:hideMark/>
          </w:tcPr>
          <w:p w14:paraId="6149897F"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Variable absolute decline</w:t>
            </w:r>
          </w:p>
        </w:tc>
        <w:tc>
          <w:tcPr>
            <w:tcW w:w="0" w:type="auto"/>
            <w:hideMark/>
          </w:tcPr>
          <w:p w14:paraId="5D2CA939"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Improved survival</w:t>
            </w:r>
          </w:p>
        </w:tc>
        <w:tc>
          <w:tcPr>
            <w:tcW w:w="0" w:type="auto"/>
            <w:hideMark/>
          </w:tcPr>
          <w:p w14:paraId="1564D29E"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Governance review</w:t>
            </w:r>
          </w:p>
        </w:tc>
        <w:tc>
          <w:tcPr>
            <w:tcW w:w="0" w:type="auto"/>
            <w:hideMark/>
          </w:tcPr>
          <w:p w14:paraId="57F0A1E2"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Mature oversight</w:t>
            </w:r>
          </w:p>
        </w:tc>
        <w:tc>
          <w:tcPr>
            <w:tcW w:w="0" w:type="auto"/>
            <w:hideMark/>
          </w:tcPr>
          <w:p w14:paraId="457F3491"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[15]</w:t>
            </w:r>
          </w:p>
        </w:tc>
      </w:tr>
      <w:tr w:rsidR="00482F28" w:rsidRPr="00045DFA" w14:paraId="6224C9F9" w14:textId="77777777" w:rsidTr="0059516A">
        <w:tc>
          <w:tcPr>
            <w:tcW w:w="0" w:type="auto"/>
            <w:hideMark/>
          </w:tcPr>
          <w:p w14:paraId="5E39F9A4"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Risk stratification protocols</w:t>
            </w:r>
          </w:p>
        </w:tc>
        <w:tc>
          <w:tcPr>
            <w:tcW w:w="0" w:type="auto"/>
            <w:hideMark/>
          </w:tcPr>
          <w:p w14:paraId="712AFB4A"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Surgical risk scoring</w:t>
            </w:r>
          </w:p>
        </w:tc>
        <w:tc>
          <w:tcPr>
            <w:tcW w:w="0" w:type="auto"/>
            <w:hideMark/>
          </w:tcPr>
          <w:p w14:paraId="18F7499C"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Delayed ICU triage</w:t>
            </w:r>
          </w:p>
        </w:tc>
        <w:tc>
          <w:tcPr>
            <w:tcW w:w="0" w:type="auto"/>
            <w:hideMark/>
          </w:tcPr>
          <w:p w14:paraId="61CFA5BC"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Earlier identification</w:t>
            </w:r>
          </w:p>
        </w:tc>
        <w:tc>
          <w:tcPr>
            <w:tcW w:w="0" w:type="auto"/>
            <w:hideMark/>
          </w:tcPr>
          <w:p w14:paraId="761602BF"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Earlier intervention</w:t>
            </w:r>
          </w:p>
        </w:tc>
        <w:tc>
          <w:tcPr>
            <w:tcW w:w="0" w:type="auto"/>
            <w:hideMark/>
          </w:tcPr>
          <w:p w14:paraId="45745757"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Reduced pulmonary complications</w:t>
            </w:r>
          </w:p>
        </w:tc>
        <w:tc>
          <w:tcPr>
            <w:tcW w:w="0" w:type="auto"/>
            <w:hideMark/>
          </w:tcPr>
          <w:p w14:paraId="1B478B7C"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Mortality improved</w:t>
            </w:r>
          </w:p>
        </w:tc>
        <w:tc>
          <w:tcPr>
            <w:tcW w:w="0" w:type="auto"/>
            <w:hideMark/>
          </w:tcPr>
          <w:p w14:paraId="22BED696"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Proactive escalation</w:t>
            </w:r>
          </w:p>
        </w:tc>
        <w:tc>
          <w:tcPr>
            <w:tcW w:w="0" w:type="auto"/>
            <w:hideMark/>
          </w:tcPr>
          <w:p w14:paraId="0E3AF75C"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Monitoring capability</w:t>
            </w:r>
          </w:p>
        </w:tc>
        <w:tc>
          <w:tcPr>
            <w:tcW w:w="0" w:type="auto"/>
            <w:hideMark/>
          </w:tcPr>
          <w:p w14:paraId="0730471D"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[45]</w:t>
            </w:r>
          </w:p>
        </w:tc>
      </w:tr>
      <w:tr w:rsidR="00482F28" w:rsidRPr="00045DFA" w14:paraId="377101F3" w14:textId="77777777" w:rsidTr="0059516A">
        <w:tc>
          <w:tcPr>
            <w:tcW w:w="0" w:type="auto"/>
            <w:hideMark/>
          </w:tcPr>
          <w:p w14:paraId="38653644"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Early warning score implementation</w:t>
            </w:r>
          </w:p>
        </w:tc>
        <w:tc>
          <w:tcPr>
            <w:tcW w:w="0" w:type="auto"/>
            <w:hideMark/>
          </w:tcPr>
          <w:p w14:paraId="1DDF9C42"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Hospital wards</w:t>
            </w:r>
          </w:p>
        </w:tc>
        <w:tc>
          <w:tcPr>
            <w:tcW w:w="0" w:type="auto"/>
            <w:hideMark/>
          </w:tcPr>
          <w:p w14:paraId="267A4361"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Unrecognised deterioration</w:t>
            </w:r>
          </w:p>
        </w:tc>
        <w:tc>
          <w:tcPr>
            <w:tcW w:w="0" w:type="auto"/>
            <w:hideMark/>
          </w:tcPr>
          <w:p w14:paraId="3B77AAF1"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Rapid response triggers</w:t>
            </w:r>
          </w:p>
        </w:tc>
        <w:tc>
          <w:tcPr>
            <w:tcW w:w="0" w:type="auto"/>
            <w:hideMark/>
          </w:tcPr>
          <w:p w14:paraId="78E5BD0F"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Reduced unexpected ICU transfers</w:t>
            </w:r>
          </w:p>
        </w:tc>
        <w:tc>
          <w:tcPr>
            <w:tcW w:w="0" w:type="auto"/>
            <w:hideMark/>
          </w:tcPr>
          <w:p w14:paraId="2092DCAA"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Reduced deterioration mortality</w:t>
            </w:r>
          </w:p>
        </w:tc>
        <w:tc>
          <w:tcPr>
            <w:tcW w:w="0" w:type="auto"/>
            <w:hideMark/>
          </w:tcPr>
          <w:p w14:paraId="3D28351B"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Mortality reduction ~10–20%</w:t>
            </w:r>
          </w:p>
        </w:tc>
        <w:tc>
          <w:tcPr>
            <w:tcW w:w="0" w:type="auto"/>
            <w:hideMark/>
          </w:tcPr>
          <w:p w14:paraId="4A8A345C"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Physiologic recognition</w:t>
            </w:r>
          </w:p>
        </w:tc>
        <w:tc>
          <w:tcPr>
            <w:tcW w:w="0" w:type="auto"/>
            <w:hideMark/>
          </w:tcPr>
          <w:p w14:paraId="33078850"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Ward monitoring</w:t>
            </w:r>
          </w:p>
        </w:tc>
        <w:tc>
          <w:tcPr>
            <w:tcW w:w="0" w:type="auto"/>
            <w:hideMark/>
          </w:tcPr>
          <w:p w14:paraId="43052534"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[48,40]</w:t>
            </w:r>
          </w:p>
        </w:tc>
      </w:tr>
      <w:tr w:rsidR="00482F28" w:rsidRPr="00045DFA" w14:paraId="2F9C4C9F" w14:textId="77777777" w:rsidTr="0059516A">
        <w:tc>
          <w:tcPr>
            <w:tcW w:w="0" w:type="auto"/>
            <w:hideMark/>
          </w:tcPr>
          <w:p w14:paraId="05649AC0"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Compliance-driven SSI prevention</w:t>
            </w:r>
          </w:p>
        </w:tc>
        <w:tc>
          <w:tcPr>
            <w:tcW w:w="0" w:type="auto"/>
            <w:hideMark/>
          </w:tcPr>
          <w:p w14:paraId="7F91788F"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Surgical units</w:t>
            </w:r>
          </w:p>
        </w:tc>
        <w:tc>
          <w:tcPr>
            <w:tcW w:w="0" w:type="auto"/>
            <w:hideMark/>
          </w:tcPr>
          <w:p w14:paraId="0ACB0ABA"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SSI 10–20%</w:t>
            </w:r>
          </w:p>
        </w:tc>
        <w:tc>
          <w:tcPr>
            <w:tcW w:w="0" w:type="auto"/>
            <w:hideMark/>
          </w:tcPr>
          <w:p w14:paraId="2A672FF4"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Reduced to 5–10%</w:t>
            </w:r>
          </w:p>
        </w:tc>
        <w:tc>
          <w:tcPr>
            <w:tcW w:w="0" w:type="auto"/>
            <w:hideMark/>
          </w:tcPr>
          <w:p w14:paraId="53A767D3"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~40–50% reduction</w:t>
            </w:r>
          </w:p>
        </w:tc>
        <w:tc>
          <w:tcPr>
            <w:tcW w:w="0" w:type="auto"/>
            <w:hideMark/>
          </w:tcPr>
          <w:p w14:paraId="5846EEBB"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5–10% absolute reduction</w:t>
            </w:r>
          </w:p>
        </w:tc>
        <w:tc>
          <w:tcPr>
            <w:tcW w:w="0" w:type="auto"/>
            <w:hideMark/>
          </w:tcPr>
          <w:p w14:paraId="3441570C"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Reduced infection mortality</w:t>
            </w:r>
          </w:p>
        </w:tc>
        <w:tc>
          <w:tcPr>
            <w:tcW w:w="0" w:type="auto"/>
            <w:hideMark/>
          </w:tcPr>
          <w:p w14:paraId="49B53C67"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Antibiotic + sterile protocol</w:t>
            </w:r>
          </w:p>
        </w:tc>
        <w:tc>
          <w:tcPr>
            <w:tcW w:w="0" w:type="auto"/>
            <w:hideMark/>
          </w:tcPr>
          <w:p w14:paraId="48DB1B7A"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Standardisation</w:t>
            </w:r>
          </w:p>
        </w:tc>
        <w:tc>
          <w:tcPr>
            <w:tcW w:w="0" w:type="auto"/>
            <w:hideMark/>
          </w:tcPr>
          <w:p w14:paraId="18B9EBEB"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[30]</w:t>
            </w:r>
          </w:p>
        </w:tc>
      </w:tr>
      <w:tr w:rsidR="00482F28" w:rsidRPr="00045DFA" w14:paraId="018B327E" w14:textId="77777777" w:rsidTr="0059516A">
        <w:tc>
          <w:tcPr>
            <w:tcW w:w="0" w:type="auto"/>
            <w:hideMark/>
          </w:tcPr>
          <w:p w14:paraId="1A3436B9"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Time-to-laparotomy monitoring</w:t>
            </w:r>
          </w:p>
        </w:tc>
        <w:tc>
          <w:tcPr>
            <w:tcW w:w="0" w:type="auto"/>
            <w:hideMark/>
          </w:tcPr>
          <w:p w14:paraId="60240B35"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 xml:space="preserve">Trauma </w:t>
            </w:r>
            <w:proofErr w:type="spellStart"/>
            <w:r w:rsidRPr="00045DFA">
              <w:rPr>
                <w:rFonts w:asciiTheme="majorHAnsi" w:hAnsiTheme="majorHAnsi" w:cs="Times New Roman"/>
                <w:sz w:val="20"/>
                <w:szCs w:val="20"/>
              </w:rPr>
              <w:t>centers</w:t>
            </w:r>
            <w:proofErr w:type="spellEnd"/>
          </w:p>
        </w:tc>
        <w:tc>
          <w:tcPr>
            <w:tcW w:w="0" w:type="auto"/>
            <w:hideMark/>
          </w:tcPr>
          <w:p w14:paraId="61CECC57"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&gt;3h delay</w:t>
            </w:r>
          </w:p>
        </w:tc>
        <w:tc>
          <w:tcPr>
            <w:tcW w:w="0" w:type="auto"/>
            <w:hideMark/>
          </w:tcPr>
          <w:p w14:paraId="55820883"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Early activation protocol</w:t>
            </w:r>
          </w:p>
        </w:tc>
        <w:tc>
          <w:tcPr>
            <w:tcW w:w="0" w:type="auto"/>
            <w:hideMark/>
          </w:tcPr>
          <w:p w14:paraId="788D5A6F"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Reduced delay</w:t>
            </w:r>
          </w:p>
        </w:tc>
        <w:tc>
          <w:tcPr>
            <w:tcW w:w="0" w:type="auto"/>
            <w:hideMark/>
          </w:tcPr>
          <w:p w14:paraId="61D35426"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Improved survival &lt;3h</w:t>
            </w:r>
          </w:p>
        </w:tc>
        <w:tc>
          <w:tcPr>
            <w:tcW w:w="0" w:type="auto"/>
            <w:hideMark/>
          </w:tcPr>
          <w:p w14:paraId="03503184"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Mortality increases beyond 3h</w:t>
            </w:r>
          </w:p>
        </w:tc>
        <w:tc>
          <w:tcPr>
            <w:tcW w:w="0" w:type="auto"/>
            <w:hideMark/>
          </w:tcPr>
          <w:p w14:paraId="36884429"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Time-sensitive response</w:t>
            </w:r>
          </w:p>
        </w:tc>
        <w:tc>
          <w:tcPr>
            <w:tcW w:w="0" w:type="auto"/>
            <w:hideMark/>
          </w:tcPr>
          <w:p w14:paraId="24AB9D02"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Rapid OR access</w:t>
            </w:r>
          </w:p>
        </w:tc>
        <w:tc>
          <w:tcPr>
            <w:tcW w:w="0" w:type="auto"/>
            <w:hideMark/>
          </w:tcPr>
          <w:p w14:paraId="66B32479"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[14]</w:t>
            </w:r>
          </w:p>
        </w:tc>
      </w:tr>
      <w:tr w:rsidR="00482F28" w:rsidRPr="00045DFA" w14:paraId="21DAA8CD" w14:textId="77777777" w:rsidTr="0059516A">
        <w:tc>
          <w:tcPr>
            <w:tcW w:w="0" w:type="auto"/>
            <w:hideMark/>
          </w:tcPr>
          <w:p w14:paraId="541CBAE7"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Early fixation compliance program</w:t>
            </w:r>
          </w:p>
        </w:tc>
        <w:tc>
          <w:tcPr>
            <w:tcW w:w="0" w:type="auto"/>
            <w:hideMark/>
          </w:tcPr>
          <w:p w14:paraId="6D3B136C"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Polytrauma</w:t>
            </w:r>
          </w:p>
        </w:tc>
        <w:tc>
          <w:tcPr>
            <w:tcW w:w="0" w:type="auto"/>
            <w:hideMark/>
          </w:tcPr>
          <w:p w14:paraId="0E6503EF"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Fixation &gt;48h common</w:t>
            </w:r>
          </w:p>
        </w:tc>
        <w:tc>
          <w:tcPr>
            <w:tcW w:w="0" w:type="auto"/>
            <w:hideMark/>
          </w:tcPr>
          <w:p w14:paraId="5454984D"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Increased fixation &lt;24–48h</w:t>
            </w:r>
          </w:p>
        </w:tc>
        <w:tc>
          <w:tcPr>
            <w:tcW w:w="0" w:type="auto"/>
            <w:hideMark/>
          </w:tcPr>
          <w:p w14:paraId="4C63AFD1"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Pulmonary reduction ~20–30%</w:t>
            </w:r>
          </w:p>
        </w:tc>
        <w:tc>
          <w:tcPr>
            <w:tcW w:w="0" w:type="auto"/>
            <w:hideMark/>
          </w:tcPr>
          <w:p w14:paraId="275CC9B5"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Absolute reduction ~5–10%</w:t>
            </w:r>
          </w:p>
        </w:tc>
        <w:tc>
          <w:tcPr>
            <w:tcW w:w="0" w:type="auto"/>
            <w:hideMark/>
          </w:tcPr>
          <w:p w14:paraId="2DB2E3FF"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Indirect mortality benefit</w:t>
            </w:r>
          </w:p>
        </w:tc>
        <w:tc>
          <w:tcPr>
            <w:tcW w:w="0" w:type="auto"/>
            <w:hideMark/>
          </w:tcPr>
          <w:p w14:paraId="42E16CCD"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Timed orthopaedic strategy</w:t>
            </w:r>
          </w:p>
        </w:tc>
        <w:tc>
          <w:tcPr>
            <w:tcW w:w="0" w:type="auto"/>
            <w:hideMark/>
          </w:tcPr>
          <w:p w14:paraId="5D17D308"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Orthopaedic availability</w:t>
            </w:r>
          </w:p>
        </w:tc>
        <w:tc>
          <w:tcPr>
            <w:tcW w:w="0" w:type="auto"/>
            <w:hideMark/>
          </w:tcPr>
          <w:p w14:paraId="7607BC95"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[16,17]</w:t>
            </w:r>
          </w:p>
        </w:tc>
      </w:tr>
    </w:tbl>
    <w:p w14:paraId="5C8A7FEF" w14:textId="486A2DD2" w:rsidR="00482F28" w:rsidRPr="00045DFA" w:rsidRDefault="00482F28" w:rsidP="00482F28">
      <w:pPr>
        <w:spacing w:after="0" w:line="276" w:lineRule="auto"/>
        <w:rPr>
          <w:rFonts w:asciiTheme="majorHAnsi" w:hAnsiTheme="majorHAnsi" w:cs="Times New Roman"/>
        </w:rPr>
      </w:pPr>
    </w:p>
    <w:p w14:paraId="485AEE42" w14:textId="6E49EA8A" w:rsidR="00482F28" w:rsidRPr="00045DFA" w:rsidRDefault="00482F28" w:rsidP="00482F28">
      <w:pPr>
        <w:spacing w:after="0" w:line="276" w:lineRule="auto"/>
        <w:rPr>
          <w:rFonts w:asciiTheme="majorHAnsi" w:hAnsiTheme="majorHAnsi" w:cs="Times New Roman"/>
          <w:b/>
          <w:bCs/>
        </w:rPr>
      </w:pPr>
      <w:r w:rsidRPr="00045DFA">
        <w:rPr>
          <w:rFonts w:asciiTheme="majorHAnsi" w:hAnsiTheme="majorHAnsi" w:cs="Times New Roman"/>
          <w:b/>
          <w:bCs/>
        </w:rPr>
        <w:t xml:space="preserve"> Footnotes </w:t>
      </w:r>
    </w:p>
    <w:p w14:paraId="63732C2C" w14:textId="77777777" w:rsidR="00482F28" w:rsidRPr="00045DFA" w:rsidRDefault="00482F28" w:rsidP="00482F28">
      <w:pPr>
        <w:numPr>
          <w:ilvl w:val="0"/>
          <w:numId w:val="24"/>
        </w:numPr>
        <w:spacing w:after="0" w:line="276" w:lineRule="auto"/>
        <w:rPr>
          <w:rFonts w:asciiTheme="majorHAnsi" w:hAnsiTheme="majorHAnsi" w:cs="Times New Roman"/>
        </w:rPr>
      </w:pPr>
      <w:r w:rsidRPr="00045DFA">
        <w:rPr>
          <w:rFonts w:asciiTheme="majorHAnsi" w:hAnsiTheme="majorHAnsi" w:cs="Times New Roman"/>
        </w:rPr>
        <w:t xml:space="preserve">Compliance–outcome relationships are derived from enhanced recovery and implementation studies; extrapolation to polytrauma populations should be interpreted cautiously </w:t>
      </w:r>
      <w:r w:rsidRPr="00045DFA">
        <w:rPr>
          <w:rFonts w:asciiTheme="majorHAnsi" w:hAnsiTheme="majorHAnsi" w:cs="Times New Roman"/>
          <w:b/>
          <w:bCs/>
        </w:rPr>
        <w:t>[31,32,38]</w:t>
      </w:r>
      <w:r w:rsidRPr="00045DFA">
        <w:rPr>
          <w:rFonts w:asciiTheme="majorHAnsi" w:hAnsiTheme="majorHAnsi" w:cs="Times New Roman"/>
        </w:rPr>
        <w:t xml:space="preserve">. </w:t>
      </w:r>
    </w:p>
    <w:p w14:paraId="547277CA" w14:textId="77777777" w:rsidR="00482F28" w:rsidRPr="00045DFA" w:rsidRDefault="00482F28" w:rsidP="00482F28">
      <w:pPr>
        <w:numPr>
          <w:ilvl w:val="0"/>
          <w:numId w:val="24"/>
        </w:numPr>
        <w:spacing w:after="0" w:line="276" w:lineRule="auto"/>
        <w:rPr>
          <w:rFonts w:asciiTheme="majorHAnsi" w:hAnsiTheme="majorHAnsi" w:cs="Times New Roman"/>
        </w:rPr>
      </w:pPr>
      <w:r w:rsidRPr="00045DFA">
        <w:rPr>
          <w:rFonts w:asciiTheme="majorHAnsi" w:hAnsiTheme="majorHAnsi" w:cs="Times New Roman"/>
        </w:rPr>
        <w:t xml:space="preserve">Mortality reductions reported in LMIC trauma system studies are context-specific and influenced by baseline system maturity </w:t>
      </w:r>
      <w:r w:rsidRPr="00045DFA">
        <w:rPr>
          <w:rFonts w:asciiTheme="majorHAnsi" w:hAnsiTheme="majorHAnsi" w:cs="Times New Roman"/>
          <w:b/>
          <w:bCs/>
        </w:rPr>
        <w:t>[41,42]</w:t>
      </w:r>
      <w:r w:rsidRPr="00045DFA">
        <w:rPr>
          <w:rFonts w:asciiTheme="majorHAnsi" w:hAnsiTheme="majorHAnsi" w:cs="Times New Roman"/>
        </w:rPr>
        <w:t xml:space="preserve">. </w:t>
      </w:r>
    </w:p>
    <w:p w14:paraId="466A5820" w14:textId="77777777" w:rsidR="00482F28" w:rsidRPr="00045DFA" w:rsidRDefault="00482F28" w:rsidP="00482F28">
      <w:pPr>
        <w:numPr>
          <w:ilvl w:val="0"/>
          <w:numId w:val="24"/>
        </w:numPr>
        <w:spacing w:after="0" w:line="276" w:lineRule="auto"/>
        <w:rPr>
          <w:rFonts w:asciiTheme="majorHAnsi" w:hAnsiTheme="majorHAnsi" w:cs="Times New Roman"/>
        </w:rPr>
      </w:pPr>
      <w:r w:rsidRPr="00045DFA">
        <w:rPr>
          <w:rFonts w:asciiTheme="majorHAnsi" w:hAnsiTheme="majorHAnsi" w:cs="Times New Roman"/>
        </w:rPr>
        <w:t xml:space="preserve">Failure-to-rescue variation reflects institutional differences in detection and escalation capacity rather than complication incidence alone </w:t>
      </w:r>
      <w:r w:rsidRPr="00045DFA">
        <w:rPr>
          <w:rFonts w:asciiTheme="majorHAnsi" w:hAnsiTheme="majorHAnsi" w:cs="Times New Roman"/>
          <w:b/>
          <w:bCs/>
        </w:rPr>
        <w:t>[48]</w:t>
      </w:r>
      <w:r w:rsidRPr="00045DFA">
        <w:rPr>
          <w:rFonts w:asciiTheme="majorHAnsi" w:hAnsiTheme="majorHAnsi" w:cs="Times New Roman"/>
        </w:rPr>
        <w:t xml:space="preserve">. </w:t>
      </w:r>
    </w:p>
    <w:p w14:paraId="78C391FF" w14:textId="77777777" w:rsidR="00482F28" w:rsidRPr="00045DFA" w:rsidRDefault="00482F28" w:rsidP="00482F28">
      <w:pPr>
        <w:numPr>
          <w:ilvl w:val="0"/>
          <w:numId w:val="24"/>
        </w:numPr>
        <w:spacing w:after="0" w:line="276" w:lineRule="auto"/>
        <w:rPr>
          <w:rFonts w:asciiTheme="majorHAnsi" w:hAnsiTheme="majorHAnsi" w:cs="Times New Roman"/>
        </w:rPr>
      </w:pPr>
      <w:r w:rsidRPr="00045DFA">
        <w:rPr>
          <w:rFonts w:asciiTheme="majorHAnsi" w:hAnsiTheme="majorHAnsi" w:cs="Times New Roman"/>
        </w:rPr>
        <w:t xml:space="preserve">Registry-based benchmarking requires adequate data completeness to ensure reliability </w:t>
      </w:r>
      <w:r w:rsidRPr="00045DFA">
        <w:rPr>
          <w:rFonts w:asciiTheme="majorHAnsi" w:hAnsiTheme="majorHAnsi" w:cs="Times New Roman"/>
          <w:b/>
          <w:bCs/>
        </w:rPr>
        <w:t>[34]</w:t>
      </w:r>
      <w:r w:rsidRPr="00045DFA">
        <w:rPr>
          <w:rFonts w:asciiTheme="majorHAnsi" w:hAnsiTheme="majorHAnsi" w:cs="Times New Roman"/>
        </w:rPr>
        <w:t>.</w:t>
      </w:r>
    </w:p>
    <w:p w14:paraId="567E6849" w14:textId="77777777" w:rsidR="002C121A" w:rsidRPr="00045DFA" w:rsidRDefault="002C121A" w:rsidP="00680D07">
      <w:pPr>
        <w:spacing w:after="0" w:line="276" w:lineRule="auto"/>
        <w:rPr>
          <w:rFonts w:asciiTheme="majorHAnsi" w:hAnsiTheme="majorHAnsi" w:cs="Times New Roman"/>
        </w:rPr>
      </w:pPr>
    </w:p>
    <w:p w14:paraId="7E9F36DD" w14:textId="09D9E040" w:rsidR="00482F28" w:rsidRPr="00045DFA" w:rsidRDefault="00482F28" w:rsidP="00482F28">
      <w:pPr>
        <w:spacing w:after="0" w:line="276" w:lineRule="auto"/>
        <w:rPr>
          <w:rFonts w:asciiTheme="majorHAnsi" w:hAnsiTheme="majorHAnsi" w:cs="Times New Roman"/>
          <w:b/>
          <w:bCs/>
        </w:rPr>
      </w:pPr>
      <w:r w:rsidRPr="00045DFA">
        <w:rPr>
          <w:rFonts w:asciiTheme="majorHAnsi" w:hAnsiTheme="majorHAnsi" w:cs="Times New Roman"/>
          <w:b/>
          <w:bCs/>
        </w:rPr>
        <w:t>PHASED IMPLEMENTATION IN RESOURCE-CONSTRAINED TRAUMA SYSTEMS</w:t>
      </w:r>
    </w:p>
    <w:p w14:paraId="3D08C0E9"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 xml:space="preserve">Recovery optimisation cannot assume uniform infrastructure. Workforce density, ICU capacity, monitoring capability, and operating theatre access vary widely across trauma systems </w:t>
      </w:r>
      <w:r w:rsidRPr="00045DFA">
        <w:rPr>
          <w:rFonts w:asciiTheme="majorHAnsi" w:hAnsiTheme="majorHAnsi" w:cs="Times New Roman"/>
          <w:b/>
          <w:bCs/>
        </w:rPr>
        <w:t>[2,11–13]</w:t>
      </w:r>
      <w:r w:rsidRPr="00045DFA">
        <w:rPr>
          <w:rFonts w:asciiTheme="majorHAnsi" w:hAnsiTheme="majorHAnsi" w:cs="Times New Roman"/>
        </w:rPr>
        <w:t xml:space="preserve">. A rigid, one-size-fits-all </w:t>
      </w:r>
      <w:r w:rsidRPr="00045DFA">
        <w:rPr>
          <w:rFonts w:asciiTheme="majorHAnsi" w:hAnsiTheme="majorHAnsi" w:cs="Times New Roman"/>
        </w:rPr>
        <w:lastRenderedPageBreak/>
        <w:t>protocol risks either being ignored or overwhelming limited systems.</w:t>
      </w:r>
      <w:r w:rsidRPr="00045DFA">
        <w:rPr>
          <w:rFonts w:asciiTheme="majorHAnsi" w:hAnsiTheme="majorHAnsi" w:cs="Times New Roman"/>
        </w:rPr>
        <w:br/>
        <w:t>A phased implementation model allows progression according to institutional maturity.</w:t>
      </w:r>
    </w:p>
    <w:p w14:paraId="13DD719B" w14:textId="067CB166" w:rsidR="00482F28" w:rsidRPr="00045DFA" w:rsidRDefault="00482F28" w:rsidP="00482F28">
      <w:pPr>
        <w:spacing w:after="0" w:line="276" w:lineRule="auto"/>
        <w:rPr>
          <w:rFonts w:asciiTheme="majorHAnsi" w:hAnsiTheme="majorHAnsi" w:cs="Times New Roman"/>
        </w:rPr>
      </w:pPr>
    </w:p>
    <w:p w14:paraId="315BFB4F" w14:textId="77777777" w:rsidR="00482F28" w:rsidRPr="00045DFA" w:rsidRDefault="00482F28" w:rsidP="00482F28">
      <w:pPr>
        <w:spacing w:after="0" w:line="276" w:lineRule="auto"/>
        <w:rPr>
          <w:rFonts w:asciiTheme="majorHAnsi" w:hAnsiTheme="majorHAnsi" w:cs="Times New Roman"/>
          <w:b/>
          <w:bCs/>
        </w:rPr>
      </w:pPr>
      <w:r w:rsidRPr="00045DFA">
        <w:rPr>
          <w:rFonts w:asciiTheme="majorHAnsi" w:hAnsiTheme="majorHAnsi" w:cs="Times New Roman"/>
          <w:b/>
          <w:bCs/>
        </w:rPr>
        <w:t>Phase I — Foundational Stabilisation</w:t>
      </w:r>
    </w:p>
    <w:p w14:paraId="30C4E1CA"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Phase I focuses on biologically high-impact, low-resource measures:</w:t>
      </w:r>
    </w:p>
    <w:p w14:paraId="0C16BEEE"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 Timely antibiotic administration</w:t>
      </w:r>
      <w:r w:rsidRPr="00045DFA">
        <w:rPr>
          <w:rFonts w:asciiTheme="majorHAnsi" w:hAnsiTheme="majorHAnsi" w:cs="Times New Roman"/>
        </w:rPr>
        <w:br/>
        <w:t>• Avoidance of excessive positive fluid balance</w:t>
      </w:r>
      <w:r w:rsidRPr="00045DFA">
        <w:rPr>
          <w:rFonts w:asciiTheme="majorHAnsi" w:hAnsiTheme="majorHAnsi" w:cs="Times New Roman"/>
        </w:rPr>
        <w:br/>
        <w:t>• Early enteral feeding once stable</w:t>
      </w:r>
      <w:r w:rsidRPr="00045DFA">
        <w:rPr>
          <w:rFonts w:asciiTheme="majorHAnsi" w:hAnsiTheme="majorHAnsi" w:cs="Times New Roman"/>
        </w:rPr>
        <w:br/>
        <w:t>• Physiologically guided fixation decisions</w:t>
      </w:r>
      <w:r w:rsidRPr="00045DFA">
        <w:rPr>
          <w:rFonts w:asciiTheme="majorHAnsi" w:hAnsiTheme="majorHAnsi" w:cs="Times New Roman"/>
        </w:rPr>
        <w:br/>
        <w:t>• Basic mobilisation protocols</w:t>
      </w:r>
      <w:r w:rsidRPr="00045DFA">
        <w:rPr>
          <w:rFonts w:asciiTheme="majorHAnsi" w:hAnsiTheme="majorHAnsi" w:cs="Times New Roman"/>
        </w:rPr>
        <w:br/>
        <w:t>• Daily device review</w:t>
      </w:r>
    </w:p>
    <w:p w14:paraId="5FA75AF2"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These measures require coordination but minimal advanced infrastructure. Even in systems with limited ICU access, these interventions can be implemented. The goal in Phase I is not perfection but reliability.</w:t>
      </w:r>
    </w:p>
    <w:p w14:paraId="3258CF61" w14:textId="537933A3" w:rsidR="00482F28" w:rsidRPr="00045DFA" w:rsidRDefault="00482F28" w:rsidP="00482F28">
      <w:pPr>
        <w:spacing w:after="0" w:line="276" w:lineRule="auto"/>
        <w:rPr>
          <w:rFonts w:asciiTheme="majorHAnsi" w:hAnsiTheme="majorHAnsi" w:cs="Times New Roman"/>
        </w:rPr>
      </w:pPr>
    </w:p>
    <w:p w14:paraId="1418916F" w14:textId="77777777" w:rsidR="00482F28" w:rsidRPr="00045DFA" w:rsidRDefault="00482F28" w:rsidP="00482F28">
      <w:pPr>
        <w:spacing w:after="0" w:line="276" w:lineRule="auto"/>
        <w:rPr>
          <w:rFonts w:asciiTheme="majorHAnsi" w:hAnsiTheme="majorHAnsi" w:cs="Times New Roman"/>
          <w:b/>
          <w:bCs/>
        </w:rPr>
      </w:pPr>
      <w:r w:rsidRPr="00045DFA">
        <w:rPr>
          <w:rFonts w:asciiTheme="majorHAnsi" w:hAnsiTheme="majorHAnsi" w:cs="Times New Roman"/>
          <w:b/>
          <w:bCs/>
        </w:rPr>
        <w:t>Phase II — Structured Monitoring and Compliance</w:t>
      </w:r>
    </w:p>
    <w:p w14:paraId="0D9016F6"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Once foundational measures are functioning consistently, Phase II introduces structured monitoring:</w:t>
      </w:r>
    </w:p>
    <w:p w14:paraId="6BCD815A"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 Compliance tracking (e.g., % antibiotics within 60 minutes)</w:t>
      </w:r>
      <w:r w:rsidRPr="00045DFA">
        <w:rPr>
          <w:rFonts w:asciiTheme="majorHAnsi" w:hAnsiTheme="majorHAnsi" w:cs="Times New Roman"/>
        </w:rPr>
        <w:br/>
        <w:t>• Time-to-fixation reporting</w:t>
      </w:r>
      <w:r w:rsidRPr="00045DFA">
        <w:rPr>
          <w:rFonts w:asciiTheme="majorHAnsi" w:hAnsiTheme="majorHAnsi" w:cs="Times New Roman"/>
        </w:rPr>
        <w:br/>
        <w:t>• Fluid balance audits</w:t>
      </w:r>
      <w:r w:rsidRPr="00045DFA">
        <w:rPr>
          <w:rFonts w:asciiTheme="majorHAnsi" w:hAnsiTheme="majorHAnsi" w:cs="Times New Roman"/>
        </w:rPr>
        <w:br/>
        <w:t>• VTE prophylaxis adherence</w:t>
      </w:r>
      <w:r w:rsidRPr="00045DFA">
        <w:rPr>
          <w:rFonts w:asciiTheme="majorHAnsi" w:hAnsiTheme="majorHAnsi" w:cs="Times New Roman"/>
        </w:rPr>
        <w:br/>
        <w:t>• Basic complication tracking</w:t>
      </w:r>
    </w:p>
    <w:p w14:paraId="45E85D6B"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 xml:space="preserve">Audit and feedback mechanisms improve adherence by approximately 10–20% in many surgical settings </w:t>
      </w:r>
      <w:r w:rsidRPr="00045DFA">
        <w:rPr>
          <w:rFonts w:asciiTheme="majorHAnsi" w:hAnsiTheme="majorHAnsi" w:cs="Times New Roman"/>
          <w:b/>
          <w:bCs/>
        </w:rPr>
        <w:t>[38]</w:t>
      </w:r>
      <w:r w:rsidRPr="00045DFA">
        <w:rPr>
          <w:rFonts w:asciiTheme="majorHAnsi" w:hAnsiTheme="majorHAnsi" w:cs="Times New Roman"/>
        </w:rPr>
        <w:t xml:space="preserve">, and higher compliance levels correlate with measurable complication reduction </w:t>
      </w:r>
      <w:r w:rsidRPr="00045DFA">
        <w:rPr>
          <w:rFonts w:asciiTheme="majorHAnsi" w:hAnsiTheme="majorHAnsi" w:cs="Times New Roman"/>
          <w:b/>
          <w:bCs/>
        </w:rPr>
        <w:t>[31]</w:t>
      </w:r>
      <w:r w:rsidRPr="00045DFA">
        <w:rPr>
          <w:rFonts w:asciiTheme="majorHAnsi" w:hAnsiTheme="majorHAnsi" w:cs="Times New Roman"/>
        </w:rPr>
        <w:t>. Phase II requires modest data collection infrastructure and leadership commitment.</w:t>
      </w:r>
    </w:p>
    <w:p w14:paraId="7E54B84B" w14:textId="78AE47BB" w:rsidR="00482F28" w:rsidRPr="00045DFA" w:rsidRDefault="00482F28" w:rsidP="00482F28">
      <w:pPr>
        <w:spacing w:after="0" w:line="276" w:lineRule="auto"/>
        <w:rPr>
          <w:rFonts w:asciiTheme="majorHAnsi" w:hAnsiTheme="majorHAnsi" w:cs="Times New Roman"/>
        </w:rPr>
      </w:pPr>
    </w:p>
    <w:p w14:paraId="132F2111" w14:textId="77777777" w:rsidR="00482F28" w:rsidRPr="00045DFA" w:rsidRDefault="00482F28" w:rsidP="00482F28">
      <w:pPr>
        <w:spacing w:after="0" w:line="276" w:lineRule="auto"/>
        <w:rPr>
          <w:rFonts w:asciiTheme="majorHAnsi" w:hAnsiTheme="majorHAnsi" w:cs="Times New Roman"/>
          <w:b/>
          <w:bCs/>
        </w:rPr>
      </w:pPr>
      <w:r w:rsidRPr="00045DFA">
        <w:rPr>
          <w:rFonts w:asciiTheme="majorHAnsi" w:hAnsiTheme="majorHAnsi" w:cs="Times New Roman"/>
          <w:b/>
          <w:bCs/>
        </w:rPr>
        <w:t>Phase III — Advanced Maturity and Rescue Optimisation</w:t>
      </w:r>
    </w:p>
    <w:p w14:paraId="12143A8F"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Phase III involves system-level refinement:</w:t>
      </w:r>
    </w:p>
    <w:p w14:paraId="2D1727F6"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 Formal failure-to-rescue pathways</w:t>
      </w:r>
      <w:r w:rsidRPr="00045DFA">
        <w:rPr>
          <w:rFonts w:asciiTheme="majorHAnsi" w:hAnsiTheme="majorHAnsi" w:cs="Times New Roman"/>
        </w:rPr>
        <w:br/>
        <w:t>• Rapid response activation time targets</w:t>
      </w:r>
      <w:r w:rsidRPr="00045DFA">
        <w:rPr>
          <w:rFonts w:asciiTheme="majorHAnsi" w:hAnsiTheme="majorHAnsi" w:cs="Times New Roman"/>
        </w:rPr>
        <w:br/>
        <w:t>• Risk-adjusted mortality review</w:t>
      </w:r>
      <w:r w:rsidRPr="00045DFA">
        <w:rPr>
          <w:rFonts w:asciiTheme="majorHAnsi" w:hAnsiTheme="majorHAnsi" w:cs="Times New Roman"/>
        </w:rPr>
        <w:br/>
        <w:t>• Registry benchmarking</w:t>
      </w:r>
      <w:r w:rsidRPr="00045DFA">
        <w:rPr>
          <w:rFonts w:asciiTheme="majorHAnsi" w:hAnsiTheme="majorHAnsi" w:cs="Times New Roman"/>
        </w:rPr>
        <w:br/>
        <w:t>• Escalation protocols with defined time thresholds</w:t>
      </w:r>
    </w:p>
    <w:p w14:paraId="6C64E20E"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 xml:space="preserve">Hospitals with stronger rescue capacity demonstrate mortality rates up to two- to three-fold lower than those with weaker escalation systems, even when complication rates are similar </w:t>
      </w:r>
      <w:r w:rsidRPr="00045DFA">
        <w:rPr>
          <w:rFonts w:asciiTheme="majorHAnsi" w:hAnsiTheme="majorHAnsi" w:cs="Times New Roman"/>
          <w:b/>
          <w:bCs/>
        </w:rPr>
        <w:t>[48]</w:t>
      </w:r>
      <w:r w:rsidRPr="00045DFA">
        <w:rPr>
          <w:rFonts w:asciiTheme="majorHAnsi" w:hAnsiTheme="majorHAnsi" w:cs="Times New Roman"/>
        </w:rPr>
        <w:t xml:space="preserve">. Preventable death audits further strengthen governance and may reduce avoidable mortality over time </w:t>
      </w:r>
      <w:r w:rsidRPr="00045DFA">
        <w:rPr>
          <w:rFonts w:asciiTheme="majorHAnsi" w:hAnsiTheme="majorHAnsi" w:cs="Times New Roman"/>
          <w:b/>
          <w:bCs/>
        </w:rPr>
        <w:t>[15]</w:t>
      </w:r>
      <w:r w:rsidRPr="00045DFA">
        <w:rPr>
          <w:rFonts w:asciiTheme="majorHAnsi" w:hAnsiTheme="majorHAnsi" w:cs="Times New Roman"/>
        </w:rPr>
        <w:t>. Phase III typically requires mature ICU capacity and institutional governance. Phase III benchmarks are aspirational and should not be interpreted as minimum standards in resource-constrained environments.</w:t>
      </w:r>
    </w:p>
    <w:p w14:paraId="72938166" w14:textId="2EAFA24D" w:rsidR="002C121A" w:rsidRPr="00045DFA" w:rsidRDefault="002C121A" w:rsidP="00680D07">
      <w:pPr>
        <w:spacing w:after="0" w:line="276" w:lineRule="auto"/>
        <w:rPr>
          <w:rFonts w:asciiTheme="majorHAnsi" w:hAnsiTheme="majorHAnsi" w:cs="Times New Roman"/>
        </w:rPr>
      </w:pPr>
    </w:p>
    <w:p w14:paraId="65057FB5" w14:textId="77777777" w:rsidR="00717547" w:rsidRPr="00045DFA" w:rsidRDefault="002C121A" w:rsidP="00680D07">
      <w:pPr>
        <w:spacing w:after="0" w:line="276" w:lineRule="auto"/>
        <w:rPr>
          <w:rFonts w:asciiTheme="majorHAnsi" w:hAnsiTheme="majorHAnsi" w:cs="Times New Roman"/>
          <w:b/>
          <w:bCs/>
        </w:rPr>
      </w:pPr>
      <w:r w:rsidRPr="00045DFA">
        <w:rPr>
          <w:rFonts w:asciiTheme="majorHAnsi" w:hAnsiTheme="majorHAnsi" w:cs="Times New Roman"/>
          <w:b/>
          <w:bCs/>
        </w:rPr>
        <w:t>Figure 2. Phased Implementation Model for Polytrauma Recovery Optimisation.</w:t>
      </w:r>
    </w:p>
    <w:p w14:paraId="3F860313" w14:textId="7CC3A9D4" w:rsidR="002C121A" w:rsidRPr="00045DFA" w:rsidRDefault="00345357" w:rsidP="00680D07">
      <w:pPr>
        <w:spacing w:after="0" w:line="276" w:lineRule="auto"/>
        <w:rPr>
          <w:rFonts w:asciiTheme="majorHAnsi" w:hAnsiTheme="majorHAnsi" w:cs="Times New Roman"/>
        </w:rPr>
      </w:pPr>
      <w:r w:rsidRPr="00045DFA">
        <w:rPr>
          <w:rFonts w:asciiTheme="majorHAnsi" w:hAnsiTheme="majorHAnsi"/>
          <w:noProof/>
        </w:rPr>
        <w:lastRenderedPageBreak/>
        <w:drawing>
          <wp:inline distT="0" distB="0" distL="0" distR="0" wp14:anchorId="7957128A" wp14:editId="50A34D3B">
            <wp:extent cx="6188710" cy="3252470"/>
            <wp:effectExtent l="0" t="0" r="2540" b="5080"/>
            <wp:docPr id="953225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225518" name=""/>
                    <pic:cNvPicPr/>
                  </pic:nvPicPr>
                  <pic:blipFill>
                    <a:blip r:embed="rId8"/>
                    <a:stretch>
                      <a:fillRect/>
                    </a:stretch>
                  </pic:blipFill>
                  <pic:spPr>
                    <a:xfrm>
                      <a:off x="0" y="0"/>
                      <a:ext cx="6188710" cy="3252470"/>
                    </a:xfrm>
                    <a:prstGeom prst="rect">
                      <a:avLst/>
                    </a:prstGeom>
                  </pic:spPr>
                </pic:pic>
              </a:graphicData>
            </a:graphic>
          </wp:inline>
        </w:drawing>
      </w:r>
      <w:r w:rsidR="002C121A" w:rsidRPr="00045DFA">
        <w:rPr>
          <w:rFonts w:asciiTheme="majorHAnsi" w:hAnsiTheme="majorHAnsi" w:cs="Times New Roman"/>
        </w:rPr>
        <w:br/>
        <w:t>This diagram illustrates a three-phase progression from foundational biological interventions (Phase I) to structured compliance monitoring (Phase II) and advanced rescue governance (Phase III). Arrows depict iterative feedback loops linking complication monitoring to system refinement.</w:t>
      </w:r>
    </w:p>
    <w:p w14:paraId="1330CD44" w14:textId="08EC0305" w:rsidR="002C121A" w:rsidRPr="00045DFA" w:rsidRDefault="002C121A" w:rsidP="00680D07">
      <w:pPr>
        <w:spacing w:after="0" w:line="276" w:lineRule="auto"/>
        <w:rPr>
          <w:rFonts w:asciiTheme="majorHAnsi" w:hAnsiTheme="majorHAnsi" w:cs="Times New Roman"/>
        </w:rPr>
      </w:pPr>
    </w:p>
    <w:p w14:paraId="2325E6F8" w14:textId="70D3C36D" w:rsidR="00482F28" w:rsidRPr="00045DFA" w:rsidRDefault="00482F28" w:rsidP="00482F28">
      <w:pPr>
        <w:spacing w:after="0" w:line="276" w:lineRule="auto"/>
        <w:rPr>
          <w:rFonts w:asciiTheme="majorHAnsi" w:hAnsiTheme="majorHAnsi" w:cs="Times New Roman"/>
          <w:b/>
          <w:bCs/>
        </w:rPr>
      </w:pPr>
      <w:r w:rsidRPr="00045DFA">
        <w:rPr>
          <w:rFonts w:asciiTheme="majorHAnsi" w:hAnsiTheme="majorHAnsi" w:cs="Times New Roman"/>
          <w:b/>
          <w:bCs/>
        </w:rPr>
        <w:t xml:space="preserve">10.4 Quantified Performance Benchmarks </w:t>
      </w:r>
    </w:p>
    <w:p w14:paraId="001A70E5"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Implementation benefits from clearly defined targets. These targets must be realistic, adaptable, and progressively ambitious.</w:t>
      </w:r>
    </w:p>
    <w:p w14:paraId="1169BF89"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For example:</w:t>
      </w:r>
    </w:p>
    <w:p w14:paraId="20E5A30B"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 xml:space="preserve">• Feeding within 48 hours in ≥60% of eligible patients (Phase I), progressing to ≥85% within 24 hours (Phase III) </w:t>
      </w:r>
      <w:r w:rsidRPr="00045DFA">
        <w:rPr>
          <w:rFonts w:asciiTheme="majorHAnsi" w:hAnsiTheme="majorHAnsi" w:cs="Times New Roman"/>
          <w:b/>
          <w:bCs/>
        </w:rPr>
        <w:t>[18,19]</w:t>
      </w:r>
      <w:r w:rsidRPr="00045DFA">
        <w:rPr>
          <w:rFonts w:asciiTheme="majorHAnsi" w:hAnsiTheme="majorHAnsi" w:cs="Times New Roman"/>
        </w:rPr>
        <w:t>.</w:t>
      </w:r>
      <w:r w:rsidRPr="00045DFA">
        <w:rPr>
          <w:rFonts w:asciiTheme="majorHAnsi" w:hAnsiTheme="majorHAnsi" w:cs="Times New Roman"/>
        </w:rPr>
        <w:br/>
        <w:t xml:space="preserve">• Definitive fixation within 24–48 hours in stable patients, progressing to ≥80–85% compliance in advanced systems </w:t>
      </w:r>
      <w:r w:rsidRPr="00045DFA">
        <w:rPr>
          <w:rFonts w:asciiTheme="majorHAnsi" w:hAnsiTheme="majorHAnsi" w:cs="Times New Roman"/>
          <w:b/>
          <w:bCs/>
        </w:rPr>
        <w:t>[16,17]</w:t>
      </w:r>
      <w:r w:rsidRPr="00045DFA">
        <w:rPr>
          <w:rFonts w:asciiTheme="majorHAnsi" w:hAnsiTheme="majorHAnsi" w:cs="Times New Roman"/>
        </w:rPr>
        <w:t>.</w:t>
      </w:r>
      <w:r w:rsidRPr="00045DFA">
        <w:rPr>
          <w:rFonts w:asciiTheme="majorHAnsi" w:hAnsiTheme="majorHAnsi" w:cs="Times New Roman"/>
        </w:rPr>
        <w:br/>
        <w:t xml:space="preserve">• Door-to-laparotomy median time below three hours, progressing toward two hours in mature centres </w:t>
      </w:r>
      <w:r w:rsidRPr="00045DFA">
        <w:rPr>
          <w:rFonts w:asciiTheme="majorHAnsi" w:hAnsiTheme="majorHAnsi" w:cs="Times New Roman"/>
          <w:b/>
          <w:bCs/>
        </w:rPr>
        <w:t>[14]</w:t>
      </w:r>
      <w:r w:rsidRPr="00045DFA">
        <w:rPr>
          <w:rFonts w:asciiTheme="majorHAnsi" w:hAnsiTheme="majorHAnsi" w:cs="Times New Roman"/>
        </w:rPr>
        <w:t>.</w:t>
      </w:r>
      <w:r w:rsidRPr="00045DFA">
        <w:rPr>
          <w:rFonts w:asciiTheme="majorHAnsi" w:hAnsiTheme="majorHAnsi" w:cs="Times New Roman"/>
        </w:rPr>
        <w:br/>
        <w:t xml:space="preserve">• Device review compliance ≥70% initially, progressing to ≥95% in advanced systems </w:t>
      </w:r>
      <w:r w:rsidRPr="00045DFA">
        <w:rPr>
          <w:rFonts w:asciiTheme="majorHAnsi" w:hAnsiTheme="majorHAnsi" w:cs="Times New Roman"/>
          <w:b/>
          <w:bCs/>
        </w:rPr>
        <w:t>[37]</w:t>
      </w:r>
      <w:r w:rsidRPr="00045DFA">
        <w:rPr>
          <w:rFonts w:asciiTheme="majorHAnsi" w:hAnsiTheme="majorHAnsi" w:cs="Times New Roman"/>
        </w:rPr>
        <w:t>.</w:t>
      </w:r>
    </w:p>
    <w:p w14:paraId="24ACAEA7"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Such metrics provide visibility without imposing unrealistic expectations.</w:t>
      </w:r>
    </w:p>
    <w:p w14:paraId="0FB4F791" w14:textId="06FD2623" w:rsidR="00482F28" w:rsidRPr="00045DFA" w:rsidRDefault="00482F28" w:rsidP="00482F28">
      <w:pPr>
        <w:spacing w:after="0" w:line="276" w:lineRule="auto"/>
        <w:rPr>
          <w:rFonts w:asciiTheme="majorHAnsi" w:hAnsiTheme="majorHAnsi" w:cs="Times New Roman"/>
        </w:rPr>
      </w:pPr>
    </w:p>
    <w:p w14:paraId="2C8A2050" w14:textId="77777777" w:rsidR="00482F28" w:rsidRPr="00045DFA" w:rsidRDefault="00482F28" w:rsidP="00482F28">
      <w:pPr>
        <w:spacing w:after="0" w:line="276" w:lineRule="auto"/>
        <w:rPr>
          <w:rFonts w:asciiTheme="majorHAnsi" w:hAnsiTheme="majorHAnsi" w:cs="Times New Roman"/>
          <w:b/>
          <w:bCs/>
        </w:rPr>
      </w:pPr>
      <w:r w:rsidRPr="00045DFA">
        <w:rPr>
          <w:rFonts w:asciiTheme="majorHAnsi" w:hAnsiTheme="majorHAnsi" w:cs="Times New Roman"/>
          <w:b/>
          <w:bCs/>
        </w:rPr>
        <w:t>Table 6. Phased, Quantified Recovery Performance Matrix for Polytrauma Systems (Final Corrected)</w:t>
      </w:r>
    </w:p>
    <w:tbl>
      <w:tblPr>
        <w:tblStyle w:val="TableGrid1"/>
        <w:tblW w:w="0" w:type="auto"/>
        <w:tblLook w:val="04A0" w:firstRow="1" w:lastRow="0" w:firstColumn="1" w:lastColumn="0" w:noHBand="0" w:noVBand="1"/>
      </w:tblPr>
      <w:tblGrid>
        <w:gridCol w:w="1200"/>
        <w:gridCol w:w="1633"/>
        <w:gridCol w:w="1238"/>
        <w:gridCol w:w="853"/>
        <w:gridCol w:w="946"/>
        <w:gridCol w:w="1305"/>
        <w:gridCol w:w="1486"/>
        <w:gridCol w:w="1075"/>
      </w:tblGrid>
      <w:tr w:rsidR="00482F28" w:rsidRPr="00045DFA" w14:paraId="506CDA6F" w14:textId="77777777" w:rsidTr="000559DE">
        <w:tc>
          <w:tcPr>
            <w:tcW w:w="0" w:type="auto"/>
            <w:hideMark/>
          </w:tcPr>
          <w:p w14:paraId="4A065E1A" w14:textId="77777777" w:rsidR="00482F28" w:rsidRPr="00045DFA" w:rsidRDefault="00482F28" w:rsidP="00482F28">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Domain</w:t>
            </w:r>
          </w:p>
        </w:tc>
        <w:tc>
          <w:tcPr>
            <w:tcW w:w="0" w:type="auto"/>
            <w:hideMark/>
          </w:tcPr>
          <w:p w14:paraId="7154D865" w14:textId="77777777" w:rsidR="00482F28" w:rsidRPr="00045DFA" w:rsidRDefault="00482F28" w:rsidP="00482F28">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Metric</w:t>
            </w:r>
          </w:p>
        </w:tc>
        <w:tc>
          <w:tcPr>
            <w:tcW w:w="0" w:type="auto"/>
            <w:hideMark/>
          </w:tcPr>
          <w:p w14:paraId="5EFE896F" w14:textId="77777777" w:rsidR="00482F28" w:rsidRPr="00045DFA" w:rsidRDefault="00482F28" w:rsidP="00482F28">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Baseline Data Requirement</w:t>
            </w:r>
          </w:p>
        </w:tc>
        <w:tc>
          <w:tcPr>
            <w:tcW w:w="0" w:type="auto"/>
            <w:hideMark/>
          </w:tcPr>
          <w:p w14:paraId="65EB5325" w14:textId="77777777" w:rsidR="00482F28" w:rsidRPr="00045DFA" w:rsidRDefault="00482F28" w:rsidP="00482F28">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Phase I Target</w:t>
            </w:r>
          </w:p>
        </w:tc>
        <w:tc>
          <w:tcPr>
            <w:tcW w:w="0" w:type="auto"/>
            <w:hideMark/>
          </w:tcPr>
          <w:p w14:paraId="0FE19AE5" w14:textId="77777777" w:rsidR="00482F28" w:rsidRPr="00045DFA" w:rsidRDefault="00482F28" w:rsidP="00482F28">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Phase II Target</w:t>
            </w:r>
          </w:p>
        </w:tc>
        <w:tc>
          <w:tcPr>
            <w:tcW w:w="0" w:type="auto"/>
            <w:hideMark/>
          </w:tcPr>
          <w:p w14:paraId="5CFFFE9C" w14:textId="77777777" w:rsidR="00482F28" w:rsidRPr="00045DFA" w:rsidRDefault="00482F28" w:rsidP="00482F28">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Phase III Target</w:t>
            </w:r>
          </w:p>
        </w:tc>
        <w:tc>
          <w:tcPr>
            <w:tcW w:w="0" w:type="auto"/>
            <w:hideMark/>
          </w:tcPr>
          <w:p w14:paraId="63D78215" w14:textId="77777777" w:rsidR="00482F28" w:rsidRPr="00045DFA" w:rsidRDefault="00482F28" w:rsidP="00482F28">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Outcome Impact</w:t>
            </w:r>
          </w:p>
        </w:tc>
        <w:tc>
          <w:tcPr>
            <w:tcW w:w="0" w:type="auto"/>
            <w:hideMark/>
          </w:tcPr>
          <w:p w14:paraId="5DA6508B" w14:textId="77777777" w:rsidR="00482F28" w:rsidRPr="00045DFA" w:rsidRDefault="00482F28" w:rsidP="00482F28">
            <w:pPr>
              <w:spacing w:line="276" w:lineRule="auto"/>
              <w:rPr>
                <w:rFonts w:asciiTheme="majorHAnsi" w:hAnsiTheme="majorHAnsi" w:cs="Times New Roman"/>
                <w:b/>
                <w:bCs/>
                <w:sz w:val="20"/>
                <w:szCs w:val="20"/>
              </w:rPr>
            </w:pPr>
            <w:r w:rsidRPr="00045DFA">
              <w:rPr>
                <w:rFonts w:asciiTheme="majorHAnsi" w:hAnsiTheme="majorHAnsi" w:cs="Times New Roman"/>
                <w:b/>
                <w:bCs/>
                <w:sz w:val="20"/>
                <w:szCs w:val="20"/>
              </w:rPr>
              <w:t>Supporting Refs</w:t>
            </w:r>
          </w:p>
        </w:tc>
      </w:tr>
      <w:tr w:rsidR="00482F28" w:rsidRPr="00045DFA" w14:paraId="561187BE" w14:textId="77777777" w:rsidTr="000559DE">
        <w:tc>
          <w:tcPr>
            <w:tcW w:w="0" w:type="auto"/>
            <w:hideMark/>
          </w:tcPr>
          <w:p w14:paraId="7B04AA6A"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Nutrition</w:t>
            </w:r>
          </w:p>
        </w:tc>
        <w:tc>
          <w:tcPr>
            <w:tcW w:w="0" w:type="auto"/>
            <w:hideMark/>
          </w:tcPr>
          <w:p w14:paraId="7D0A9964"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Time to enteral feeding</w:t>
            </w:r>
          </w:p>
        </w:tc>
        <w:tc>
          <w:tcPr>
            <w:tcW w:w="0" w:type="auto"/>
            <w:hideMark/>
          </w:tcPr>
          <w:p w14:paraId="1AAB9F52"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 fed ≤48h</w:t>
            </w:r>
          </w:p>
        </w:tc>
        <w:tc>
          <w:tcPr>
            <w:tcW w:w="0" w:type="auto"/>
            <w:hideMark/>
          </w:tcPr>
          <w:p w14:paraId="450BC85B"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≥60% ≤48h</w:t>
            </w:r>
          </w:p>
        </w:tc>
        <w:tc>
          <w:tcPr>
            <w:tcW w:w="0" w:type="auto"/>
            <w:hideMark/>
          </w:tcPr>
          <w:p w14:paraId="70123468"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≥75% ≤36h</w:t>
            </w:r>
          </w:p>
        </w:tc>
        <w:tc>
          <w:tcPr>
            <w:tcW w:w="0" w:type="auto"/>
            <w:hideMark/>
          </w:tcPr>
          <w:p w14:paraId="05716276"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≥85% ≤24h</w:t>
            </w:r>
          </w:p>
        </w:tc>
        <w:tc>
          <w:tcPr>
            <w:tcW w:w="0" w:type="auto"/>
            <w:hideMark/>
          </w:tcPr>
          <w:p w14:paraId="69DAF2E6"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30–40% ↓ septic complications</w:t>
            </w:r>
          </w:p>
        </w:tc>
        <w:tc>
          <w:tcPr>
            <w:tcW w:w="0" w:type="auto"/>
            <w:hideMark/>
          </w:tcPr>
          <w:p w14:paraId="0FA55DF0"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[18,19]</w:t>
            </w:r>
          </w:p>
        </w:tc>
      </w:tr>
      <w:tr w:rsidR="00482F28" w:rsidRPr="00045DFA" w14:paraId="284D8E40" w14:textId="77777777" w:rsidTr="000559DE">
        <w:tc>
          <w:tcPr>
            <w:tcW w:w="0" w:type="auto"/>
            <w:hideMark/>
          </w:tcPr>
          <w:p w14:paraId="79916FC4" w14:textId="77777777" w:rsidR="00482F28" w:rsidRPr="00045DFA" w:rsidRDefault="00482F28" w:rsidP="00482F28">
            <w:pPr>
              <w:spacing w:line="276" w:lineRule="auto"/>
              <w:rPr>
                <w:rFonts w:asciiTheme="majorHAnsi" w:hAnsiTheme="majorHAnsi" w:cs="Times New Roman"/>
                <w:sz w:val="20"/>
                <w:szCs w:val="20"/>
              </w:rPr>
            </w:pPr>
          </w:p>
        </w:tc>
        <w:tc>
          <w:tcPr>
            <w:tcW w:w="0" w:type="auto"/>
            <w:hideMark/>
          </w:tcPr>
          <w:p w14:paraId="5B79BA0C"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Caloric adequacy by Day 3</w:t>
            </w:r>
          </w:p>
        </w:tc>
        <w:tc>
          <w:tcPr>
            <w:tcW w:w="0" w:type="auto"/>
            <w:hideMark/>
          </w:tcPr>
          <w:p w14:paraId="67E34456"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≥60% kcal target</w:t>
            </w:r>
          </w:p>
        </w:tc>
        <w:tc>
          <w:tcPr>
            <w:tcW w:w="0" w:type="auto"/>
            <w:hideMark/>
          </w:tcPr>
          <w:p w14:paraId="14C17940"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≥50%</w:t>
            </w:r>
          </w:p>
        </w:tc>
        <w:tc>
          <w:tcPr>
            <w:tcW w:w="0" w:type="auto"/>
            <w:hideMark/>
          </w:tcPr>
          <w:p w14:paraId="5D555634"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≥70%</w:t>
            </w:r>
          </w:p>
        </w:tc>
        <w:tc>
          <w:tcPr>
            <w:tcW w:w="0" w:type="auto"/>
            <w:hideMark/>
          </w:tcPr>
          <w:p w14:paraId="2DD8ED72"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≥85%</w:t>
            </w:r>
          </w:p>
        </w:tc>
        <w:tc>
          <w:tcPr>
            <w:tcW w:w="0" w:type="auto"/>
            <w:hideMark/>
          </w:tcPr>
          <w:p w14:paraId="7619FF1C"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 xml:space="preserve">Mitigates </w:t>
            </w:r>
            <w:proofErr w:type="spellStart"/>
            <w:r w:rsidRPr="00045DFA">
              <w:rPr>
                <w:rFonts w:asciiTheme="majorHAnsi" w:hAnsiTheme="majorHAnsi" w:cs="Times New Roman"/>
                <w:sz w:val="20"/>
                <w:szCs w:val="20"/>
              </w:rPr>
              <w:t>hypercatabolism</w:t>
            </w:r>
            <w:proofErr w:type="spellEnd"/>
          </w:p>
        </w:tc>
        <w:tc>
          <w:tcPr>
            <w:tcW w:w="0" w:type="auto"/>
            <w:hideMark/>
          </w:tcPr>
          <w:p w14:paraId="5E5CC710"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[24–26]</w:t>
            </w:r>
          </w:p>
        </w:tc>
      </w:tr>
      <w:tr w:rsidR="00482F28" w:rsidRPr="00045DFA" w14:paraId="47925E68" w14:textId="77777777" w:rsidTr="000559DE">
        <w:tc>
          <w:tcPr>
            <w:tcW w:w="0" w:type="auto"/>
            <w:hideMark/>
          </w:tcPr>
          <w:p w14:paraId="4256F422"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Fluid Balance</w:t>
            </w:r>
          </w:p>
        </w:tc>
        <w:tc>
          <w:tcPr>
            <w:tcW w:w="0" w:type="auto"/>
            <w:hideMark/>
          </w:tcPr>
          <w:p w14:paraId="1CE08FC0"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Net balance first 24h</w:t>
            </w:r>
          </w:p>
        </w:tc>
        <w:tc>
          <w:tcPr>
            <w:tcW w:w="0" w:type="auto"/>
            <w:hideMark/>
          </w:tcPr>
          <w:p w14:paraId="6DF77298"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Median balance</w:t>
            </w:r>
          </w:p>
        </w:tc>
        <w:tc>
          <w:tcPr>
            <w:tcW w:w="0" w:type="auto"/>
            <w:hideMark/>
          </w:tcPr>
          <w:p w14:paraId="48F413C0"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Avoid &gt;+3L</w:t>
            </w:r>
          </w:p>
        </w:tc>
        <w:tc>
          <w:tcPr>
            <w:tcW w:w="0" w:type="auto"/>
            <w:hideMark/>
          </w:tcPr>
          <w:p w14:paraId="56A68131"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≤+2L</w:t>
            </w:r>
          </w:p>
        </w:tc>
        <w:tc>
          <w:tcPr>
            <w:tcW w:w="0" w:type="auto"/>
            <w:hideMark/>
          </w:tcPr>
          <w:p w14:paraId="4CB729D7"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≤+1L</w:t>
            </w:r>
          </w:p>
        </w:tc>
        <w:tc>
          <w:tcPr>
            <w:tcW w:w="0" w:type="auto"/>
            <w:hideMark/>
          </w:tcPr>
          <w:p w14:paraId="29CCEC4E"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 pulmonary complications</w:t>
            </w:r>
          </w:p>
        </w:tc>
        <w:tc>
          <w:tcPr>
            <w:tcW w:w="0" w:type="auto"/>
            <w:hideMark/>
          </w:tcPr>
          <w:p w14:paraId="359245F3"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[23,44]</w:t>
            </w:r>
          </w:p>
        </w:tc>
      </w:tr>
      <w:tr w:rsidR="00482F28" w:rsidRPr="00045DFA" w14:paraId="0E5CBF47" w14:textId="77777777" w:rsidTr="000559DE">
        <w:tc>
          <w:tcPr>
            <w:tcW w:w="0" w:type="auto"/>
            <w:hideMark/>
          </w:tcPr>
          <w:p w14:paraId="553CA188" w14:textId="77777777" w:rsidR="00482F28" w:rsidRPr="00045DFA" w:rsidRDefault="00482F28" w:rsidP="00482F28">
            <w:pPr>
              <w:spacing w:line="276" w:lineRule="auto"/>
              <w:rPr>
                <w:rFonts w:asciiTheme="majorHAnsi" w:hAnsiTheme="majorHAnsi" w:cs="Times New Roman"/>
                <w:sz w:val="20"/>
                <w:szCs w:val="20"/>
              </w:rPr>
            </w:pPr>
          </w:p>
        </w:tc>
        <w:tc>
          <w:tcPr>
            <w:tcW w:w="0" w:type="auto"/>
            <w:hideMark/>
          </w:tcPr>
          <w:p w14:paraId="120DD1E0"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48h cumulative balance</w:t>
            </w:r>
          </w:p>
        </w:tc>
        <w:tc>
          <w:tcPr>
            <w:tcW w:w="0" w:type="auto"/>
            <w:hideMark/>
          </w:tcPr>
          <w:p w14:paraId="37392E54"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 &gt;+5L</w:t>
            </w:r>
          </w:p>
        </w:tc>
        <w:tc>
          <w:tcPr>
            <w:tcW w:w="0" w:type="auto"/>
            <w:hideMark/>
          </w:tcPr>
          <w:p w14:paraId="27B32FF3"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&lt;40%</w:t>
            </w:r>
          </w:p>
        </w:tc>
        <w:tc>
          <w:tcPr>
            <w:tcW w:w="0" w:type="auto"/>
            <w:hideMark/>
          </w:tcPr>
          <w:p w14:paraId="2043322E"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&lt;25%</w:t>
            </w:r>
          </w:p>
        </w:tc>
        <w:tc>
          <w:tcPr>
            <w:tcW w:w="0" w:type="auto"/>
            <w:hideMark/>
          </w:tcPr>
          <w:p w14:paraId="4CE8CB54"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&lt;15%</w:t>
            </w:r>
          </w:p>
        </w:tc>
        <w:tc>
          <w:tcPr>
            <w:tcW w:w="0" w:type="auto"/>
            <w:hideMark/>
          </w:tcPr>
          <w:p w14:paraId="19CD2D56"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 ARDS incidence</w:t>
            </w:r>
          </w:p>
        </w:tc>
        <w:tc>
          <w:tcPr>
            <w:tcW w:w="0" w:type="auto"/>
            <w:hideMark/>
          </w:tcPr>
          <w:p w14:paraId="6F50EB38"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[23]</w:t>
            </w:r>
          </w:p>
        </w:tc>
      </w:tr>
      <w:tr w:rsidR="00482F28" w:rsidRPr="00045DFA" w14:paraId="36523489" w14:textId="77777777" w:rsidTr="000559DE">
        <w:tc>
          <w:tcPr>
            <w:tcW w:w="0" w:type="auto"/>
            <w:hideMark/>
          </w:tcPr>
          <w:p w14:paraId="1722CB0E"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Orthopaedic Timing</w:t>
            </w:r>
          </w:p>
        </w:tc>
        <w:tc>
          <w:tcPr>
            <w:tcW w:w="0" w:type="auto"/>
            <w:hideMark/>
          </w:tcPr>
          <w:p w14:paraId="2CD49DC5"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Stable pts fixed ≤24h</w:t>
            </w:r>
          </w:p>
        </w:tc>
        <w:tc>
          <w:tcPr>
            <w:tcW w:w="0" w:type="auto"/>
            <w:hideMark/>
          </w:tcPr>
          <w:p w14:paraId="73B5658E"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 eligible</w:t>
            </w:r>
          </w:p>
        </w:tc>
        <w:tc>
          <w:tcPr>
            <w:tcW w:w="0" w:type="auto"/>
            <w:hideMark/>
          </w:tcPr>
          <w:p w14:paraId="1105F45F"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≥50%</w:t>
            </w:r>
          </w:p>
        </w:tc>
        <w:tc>
          <w:tcPr>
            <w:tcW w:w="0" w:type="auto"/>
            <w:hideMark/>
          </w:tcPr>
          <w:p w14:paraId="2C7C96B0"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≥70%</w:t>
            </w:r>
          </w:p>
        </w:tc>
        <w:tc>
          <w:tcPr>
            <w:tcW w:w="0" w:type="auto"/>
            <w:hideMark/>
          </w:tcPr>
          <w:p w14:paraId="42AD9DED"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≥85%</w:t>
            </w:r>
          </w:p>
        </w:tc>
        <w:tc>
          <w:tcPr>
            <w:tcW w:w="0" w:type="auto"/>
            <w:hideMark/>
          </w:tcPr>
          <w:p w14:paraId="19906B96"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20–30% ↓ pulmonary complications</w:t>
            </w:r>
          </w:p>
        </w:tc>
        <w:tc>
          <w:tcPr>
            <w:tcW w:w="0" w:type="auto"/>
            <w:hideMark/>
          </w:tcPr>
          <w:p w14:paraId="547C0ED7"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[16,17]</w:t>
            </w:r>
          </w:p>
        </w:tc>
      </w:tr>
      <w:tr w:rsidR="00482F28" w:rsidRPr="00045DFA" w14:paraId="1317B5B6" w14:textId="77777777" w:rsidTr="000559DE">
        <w:tc>
          <w:tcPr>
            <w:tcW w:w="0" w:type="auto"/>
            <w:hideMark/>
          </w:tcPr>
          <w:p w14:paraId="0AB62ADD" w14:textId="77777777" w:rsidR="00482F28" w:rsidRPr="00045DFA" w:rsidRDefault="00482F28" w:rsidP="00482F28">
            <w:pPr>
              <w:spacing w:line="276" w:lineRule="auto"/>
              <w:rPr>
                <w:rFonts w:asciiTheme="majorHAnsi" w:hAnsiTheme="majorHAnsi" w:cs="Times New Roman"/>
                <w:sz w:val="20"/>
                <w:szCs w:val="20"/>
              </w:rPr>
            </w:pPr>
          </w:p>
        </w:tc>
        <w:tc>
          <w:tcPr>
            <w:tcW w:w="0" w:type="auto"/>
            <w:hideMark/>
          </w:tcPr>
          <w:p w14:paraId="09971184"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Fixation delay &gt;48h</w:t>
            </w:r>
          </w:p>
        </w:tc>
        <w:tc>
          <w:tcPr>
            <w:tcW w:w="0" w:type="auto"/>
            <w:hideMark/>
          </w:tcPr>
          <w:p w14:paraId="0387B565"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 delayed</w:t>
            </w:r>
          </w:p>
        </w:tc>
        <w:tc>
          <w:tcPr>
            <w:tcW w:w="0" w:type="auto"/>
            <w:hideMark/>
          </w:tcPr>
          <w:p w14:paraId="08469F43"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&lt;30%</w:t>
            </w:r>
          </w:p>
        </w:tc>
        <w:tc>
          <w:tcPr>
            <w:tcW w:w="0" w:type="auto"/>
            <w:hideMark/>
          </w:tcPr>
          <w:p w14:paraId="18589054"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&lt;15%</w:t>
            </w:r>
          </w:p>
        </w:tc>
        <w:tc>
          <w:tcPr>
            <w:tcW w:w="0" w:type="auto"/>
            <w:hideMark/>
          </w:tcPr>
          <w:p w14:paraId="18A5A8D4"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&lt;10%</w:t>
            </w:r>
          </w:p>
        </w:tc>
        <w:tc>
          <w:tcPr>
            <w:tcW w:w="0" w:type="auto"/>
            <w:hideMark/>
          </w:tcPr>
          <w:p w14:paraId="264A9D57"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 ARDS &amp; ventilator days</w:t>
            </w:r>
          </w:p>
        </w:tc>
        <w:tc>
          <w:tcPr>
            <w:tcW w:w="0" w:type="auto"/>
            <w:hideMark/>
          </w:tcPr>
          <w:p w14:paraId="1782E1A8"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[43]</w:t>
            </w:r>
          </w:p>
        </w:tc>
      </w:tr>
      <w:tr w:rsidR="00482F28" w:rsidRPr="00045DFA" w14:paraId="64FAADB0" w14:textId="77777777" w:rsidTr="000559DE">
        <w:tc>
          <w:tcPr>
            <w:tcW w:w="0" w:type="auto"/>
            <w:hideMark/>
          </w:tcPr>
          <w:p w14:paraId="0FA2CC21" w14:textId="77777777" w:rsidR="00482F28" w:rsidRPr="00045DFA" w:rsidRDefault="00482F28" w:rsidP="00482F28">
            <w:pPr>
              <w:spacing w:line="276" w:lineRule="auto"/>
              <w:rPr>
                <w:rFonts w:asciiTheme="majorHAnsi" w:hAnsiTheme="majorHAnsi" w:cs="Times New Roman"/>
                <w:sz w:val="20"/>
                <w:szCs w:val="20"/>
              </w:rPr>
            </w:pPr>
          </w:p>
        </w:tc>
        <w:tc>
          <w:tcPr>
            <w:tcW w:w="0" w:type="auto"/>
            <w:hideMark/>
          </w:tcPr>
          <w:p w14:paraId="737DCCA0"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Lactate prior to fixation</w:t>
            </w:r>
          </w:p>
        </w:tc>
        <w:tc>
          <w:tcPr>
            <w:tcW w:w="0" w:type="auto"/>
            <w:hideMark/>
          </w:tcPr>
          <w:p w14:paraId="3C2010A2"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Median lactate</w:t>
            </w:r>
          </w:p>
        </w:tc>
        <w:tc>
          <w:tcPr>
            <w:tcW w:w="0" w:type="auto"/>
            <w:hideMark/>
          </w:tcPr>
          <w:p w14:paraId="352AF018"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&lt;3 mmol/L</w:t>
            </w:r>
          </w:p>
        </w:tc>
        <w:tc>
          <w:tcPr>
            <w:tcW w:w="0" w:type="auto"/>
            <w:hideMark/>
          </w:tcPr>
          <w:p w14:paraId="4B498902"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&lt;2.5 mmol/L</w:t>
            </w:r>
          </w:p>
        </w:tc>
        <w:tc>
          <w:tcPr>
            <w:tcW w:w="0" w:type="auto"/>
            <w:hideMark/>
          </w:tcPr>
          <w:p w14:paraId="5F19E5B8"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Protocolised threshold</w:t>
            </w:r>
          </w:p>
        </w:tc>
        <w:tc>
          <w:tcPr>
            <w:tcW w:w="0" w:type="auto"/>
            <w:hideMark/>
          </w:tcPr>
          <w:p w14:paraId="7F8EB56E"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 second-hit risk</w:t>
            </w:r>
          </w:p>
        </w:tc>
        <w:tc>
          <w:tcPr>
            <w:tcW w:w="0" w:type="auto"/>
            <w:hideMark/>
          </w:tcPr>
          <w:p w14:paraId="20D34B41"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[8,9]</w:t>
            </w:r>
          </w:p>
        </w:tc>
      </w:tr>
      <w:tr w:rsidR="00482F28" w:rsidRPr="00045DFA" w14:paraId="15EC28DA" w14:textId="77777777" w:rsidTr="000559DE">
        <w:tc>
          <w:tcPr>
            <w:tcW w:w="0" w:type="auto"/>
            <w:hideMark/>
          </w:tcPr>
          <w:p w14:paraId="7FE6382A"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Antibiotic Prophylaxis</w:t>
            </w:r>
          </w:p>
        </w:tc>
        <w:tc>
          <w:tcPr>
            <w:tcW w:w="0" w:type="auto"/>
            <w:hideMark/>
          </w:tcPr>
          <w:p w14:paraId="3E058D6F"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Timing ≤60 min</w:t>
            </w:r>
          </w:p>
        </w:tc>
        <w:tc>
          <w:tcPr>
            <w:tcW w:w="0" w:type="auto"/>
            <w:hideMark/>
          </w:tcPr>
          <w:p w14:paraId="760F9DA2"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Compliance rate</w:t>
            </w:r>
          </w:p>
        </w:tc>
        <w:tc>
          <w:tcPr>
            <w:tcW w:w="0" w:type="auto"/>
            <w:hideMark/>
          </w:tcPr>
          <w:p w14:paraId="501F468A"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≥70%</w:t>
            </w:r>
          </w:p>
        </w:tc>
        <w:tc>
          <w:tcPr>
            <w:tcW w:w="0" w:type="auto"/>
            <w:hideMark/>
          </w:tcPr>
          <w:p w14:paraId="5AE1EB2E"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≥85%</w:t>
            </w:r>
          </w:p>
        </w:tc>
        <w:tc>
          <w:tcPr>
            <w:tcW w:w="0" w:type="auto"/>
            <w:hideMark/>
          </w:tcPr>
          <w:p w14:paraId="280835C1"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≥95%</w:t>
            </w:r>
          </w:p>
        </w:tc>
        <w:tc>
          <w:tcPr>
            <w:tcW w:w="0" w:type="auto"/>
            <w:hideMark/>
          </w:tcPr>
          <w:p w14:paraId="5E02F21F"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40–60% ↓ SSI</w:t>
            </w:r>
          </w:p>
        </w:tc>
        <w:tc>
          <w:tcPr>
            <w:tcW w:w="0" w:type="auto"/>
            <w:hideMark/>
          </w:tcPr>
          <w:p w14:paraId="320F7444"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[30]</w:t>
            </w:r>
          </w:p>
        </w:tc>
      </w:tr>
      <w:tr w:rsidR="00482F28" w:rsidRPr="00045DFA" w14:paraId="540BE26A" w14:textId="77777777" w:rsidTr="000559DE">
        <w:tc>
          <w:tcPr>
            <w:tcW w:w="0" w:type="auto"/>
            <w:hideMark/>
          </w:tcPr>
          <w:p w14:paraId="1FE7E600" w14:textId="77777777" w:rsidR="00482F28" w:rsidRPr="00045DFA" w:rsidRDefault="00482F28" w:rsidP="00482F28">
            <w:pPr>
              <w:spacing w:line="276" w:lineRule="auto"/>
              <w:rPr>
                <w:rFonts w:asciiTheme="majorHAnsi" w:hAnsiTheme="majorHAnsi" w:cs="Times New Roman"/>
                <w:sz w:val="20"/>
                <w:szCs w:val="20"/>
              </w:rPr>
            </w:pPr>
          </w:p>
        </w:tc>
        <w:tc>
          <w:tcPr>
            <w:tcW w:w="0" w:type="auto"/>
            <w:hideMark/>
          </w:tcPr>
          <w:p w14:paraId="1E6F4753"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Open fracture antibiotics ≤1h</w:t>
            </w:r>
          </w:p>
        </w:tc>
        <w:tc>
          <w:tcPr>
            <w:tcW w:w="0" w:type="auto"/>
            <w:hideMark/>
          </w:tcPr>
          <w:p w14:paraId="2E0FECE8"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 cases</w:t>
            </w:r>
          </w:p>
        </w:tc>
        <w:tc>
          <w:tcPr>
            <w:tcW w:w="0" w:type="auto"/>
            <w:hideMark/>
          </w:tcPr>
          <w:p w14:paraId="34004B23"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≥70%</w:t>
            </w:r>
          </w:p>
        </w:tc>
        <w:tc>
          <w:tcPr>
            <w:tcW w:w="0" w:type="auto"/>
            <w:hideMark/>
          </w:tcPr>
          <w:p w14:paraId="0A4F42CD"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≥85%</w:t>
            </w:r>
          </w:p>
        </w:tc>
        <w:tc>
          <w:tcPr>
            <w:tcW w:w="0" w:type="auto"/>
            <w:hideMark/>
          </w:tcPr>
          <w:p w14:paraId="1DC27815"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≥95%</w:t>
            </w:r>
          </w:p>
        </w:tc>
        <w:tc>
          <w:tcPr>
            <w:tcW w:w="0" w:type="auto"/>
            <w:hideMark/>
          </w:tcPr>
          <w:p w14:paraId="48858DA7"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 implant infection</w:t>
            </w:r>
          </w:p>
        </w:tc>
        <w:tc>
          <w:tcPr>
            <w:tcW w:w="0" w:type="auto"/>
            <w:hideMark/>
          </w:tcPr>
          <w:p w14:paraId="46981935"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[29]</w:t>
            </w:r>
          </w:p>
        </w:tc>
      </w:tr>
      <w:tr w:rsidR="00482F28" w:rsidRPr="00045DFA" w14:paraId="34E351BE" w14:textId="77777777" w:rsidTr="000559DE">
        <w:tc>
          <w:tcPr>
            <w:tcW w:w="0" w:type="auto"/>
            <w:hideMark/>
          </w:tcPr>
          <w:p w14:paraId="66F9E661"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Mobilisation</w:t>
            </w:r>
          </w:p>
        </w:tc>
        <w:tc>
          <w:tcPr>
            <w:tcW w:w="0" w:type="auto"/>
            <w:hideMark/>
          </w:tcPr>
          <w:p w14:paraId="1C080A55"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First mobilisation attempt</w:t>
            </w:r>
          </w:p>
        </w:tc>
        <w:tc>
          <w:tcPr>
            <w:tcW w:w="0" w:type="auto"/>
            <w:hideMark/>
          </w:tcPr>
          <w:p w14:paraId="7B81125A"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Median time</w:t>
            </w:r>
          </w:p>
        </w:tc>
        <w:tc>
          <w:tcPr>
            <w:tcW w:w="0" w:type="auto"/>
            <w:hideMark/>
          </w:tcPr>
          <w:p w14:paraId="21A9FEBC"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≤72h</w:t>
            </w:r>
          </w:p>
        </w:tc>
        <w:tc>
          <w:tcPr>
            <w:tcW w:w="0" w:type="auto"/>
            <w:hideMark/>
          </w:tcPr>
          <w:p w14:paraId="119E257A"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≤48h</w:t>
            </w:r>
          </w:p>
        </w:tc>
        <w:tc>
          <w:tcPr>
            <w:tcW w:w="0" w:type="auto"/>
            <w:hideMark/>
          </w:tcPr>
          <w:p w14:paraId="7B106F1E"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≤36h</w:t>
            </w:r>
          </w:p>
        </w:tc>
        <w:tc>
          <w:tcPr>
            <w:tcW w:w="0" w:type="auto"/>
            <w:hideMark/>
          </w:tcPr>
          <w:p w14:paraId="4083BBC6"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 ICU weakness 25–35%</w:t>
            </w:r>
          </w:p>
        </w:tc>
        <w:tc>
          <w:tcPr>
            <w:tcW w:w="0" w:type="auto"/>
            <w:hideMark/>
          </w:tcPr>
          <w:p w14:paraId="18C767BC"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[28]</w:t>
            </w:r>
          </w:p>
        </w:tc>
      </w:tr>
      <w:tr w:rsidR="00482F28" w:rsidRPr="00045DFA" w14:paraId="60A6FFC5" w14:textId="77777777" w:rsidTr="000559DE">
        <w:tc>
          <w:tcPr>
            <w:tcW w:w="0" w:type="auto"/>
            <w:hideMark/>
          </w:tcPr>
          <w:p w14:paraId="0FC3B394" w14:textId="77777777" w:rsidR="00482F28" w:rsidRPr="00045DFA" w:rsidRDefault="00482F28" w:rsidP="00482F28">
            <w:pPr>
              <w:spacing w:line="276" w:lineRule="auto"/>
              <w:rPr>
                <w:rFonts w:asciiTheme="majorHAnsi" w:hAnsiTheme="majorHAnsi" w:cs="Times New Roman"/>
                <w:sz w:val="20"/>
                <w:szCs w:val="20"/>
              </w:rPr>
            </w:pPr>
          </w:p>
        </w:tc>
        <w:tc>
          <w:tcPr>
            <w:tcW w:w="0" w:type="auto"/>
            <w:hideMark/>
          </w:tcPr>
          <w:p w14:paraId="61CCE82A"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ICU pts mobilised by Day 3</w:t>
            </w:r>
          </w:p>
        </w:tc>
        <w:tc>
          <w:tcPr>
            <w:tcW w:w="0" w:type="auto"/>
            <w:hideMark/>
          </w:tcPr>
          <w:p w14:paraId="0CF38454"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 eligible</w:t>
            </w:r>
          </w:p>
        </w:tc>
        <w:tc>
          <w:tcPr>
            <w:tcW w:w="0" w:type="auto"/>
            <w:hideMark/>
          </w:tcPr>
          <w:p w14:paraId="752841A9"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≥50%</w:t>
            </w:r>
          </w:p>
        </w:tc>
        <w:tc>
          <w:tcPr>
            <w:tcW w:w="0" w:type="auto"/>
            <w:hideMark/>
          </w:tcPr>
          <w:p w14:paraId="246BE49C"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≥70%</w:t>
            </w:r>
          </w:p>
        </w:tc>
        <w:tc>
          <w:tcPr>
            <w:tcW w:w="0" w:type="auto"/>
            <w:hideMark/>
          </w:tcPr>
          <w:p w14:paraId="5A2E0405"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≥85%</w:t>
            </w:r>
          </w:p>
        </w:tc>
        <w:tc>
          <w:tcPr>
            <w:tcW w:w="0" w:type="auto"/>
            <w:hideMark/>
          </w:tcPr>
          <w:p w14:paraId="325D1B5E"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 ventilator days</w:t>
            </w:r>
          </w:p>
        </w:tc>
        <w:tc>
          <w:tcPr>
            <w:tcW w:w="0" w:type="auto"/>
            <w:hideMark/>
          </w:tcPr>
          <w:p w14:paraId="38EFC00A"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[28]</w:t>
            </w:r>
          </w:p>
        </w:tc>
      </w:tr>
      <w:tr w:rsidR="00482F28" w:rsidRPr="00045DFA" w14:paraId="01EBE1F9" w14:textId="77777777" w:rsidTr="000559DE">
        <w:tc>
          <w:tcPr>
            <w:tcW w:w="0" w:type="auto"/>
            <w:hideMark/>
          </w:tcPr>
          <w:p w14:paraId="01AF14FE"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VTE Prevention</w:t>
            </w:r>
          </w:p>
        </w:tc>
        <w:tc>
          <w:tcPr>
            <w:tcW w:w="0" w:type="auto"/>
            <w:hideMark/>
          </w:tcPr>
          <w:p w14:paraId="34C50162"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Chemoprophylaxis ≤48h</w:t>
            </w:r>
          </w:p>
        </w:tc>
        <w:tc>
          <w:tcPr>
            <w:tcW w:w="0" w:type="auto"/>
            <w:hideMark/>
          </w:tcPr>
          <w:p w14:paraId="04D2CD6C"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 eligible</w:t>
            </w:r>
          </w:p>
        </w:tc>
        <w:tc>
          <w:tcPr>
            <w:tcW w:w="0" w:type="auto"/>
            <w:hideMark/>
          </w:tcPr>
          <w:p w14:paraId="261F50EC"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≥70%</w:t>
            </w:r>
          </w:p>
        </w:tc>
        <w:tc>
          <w:tcPr>
            <w:tcW w:w="0" w:type="auto"/>
            <w:hideMark/>
          </w:tcPr>
          <w:p w14:paraId="1A70396A"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≥85%</w:t>
            </w:r>
          </w:p>
        </w:tc>
        <w:tc>
          <w:tcPr>
            <w:tcW w:w="0" w:type="auto"/>
            <w:hideMark/>
          </w:tcPr>
          <w:p w14:paraId="5E575C84"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≥95%</w:t>
            </w:r>
          </w:p>
        </w:tc>
        <w:tc>
          <w:tcPr>
            <w:tcW w:w="0" w:type="auto"/>
            <w:hideMark/>
          </w:tcPr>
          <w:p w14:paraId="588518F5"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40–60% ↓ DVT</w:t>
            </w:r>
          </w:p>
        </w:tc>
        <w:tc>
          <w:tcPr>
            <w:tcW w:w="0" w:type="auto"/>
            <w:hideMark/>
          </w:tcPr>
          <w:p w14:paraId="051B4327"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[27]</w:t>
            </w:r>
          </w:p>
        </w:tc>
      </w:tr>
      <w:tr w:rsidR="00482F28" w:rsidRPr="00045DFA" w14:paraId="2671320D" w14:textId="77777777" w:rsidTr="000559DE">
        <w:tc>
          <w:tcPr>
            <w:tcW w:w="0" w:type="auto"/>
            <w:hideMark/>
          </w:tcPr>
          <w:p w14:paraId="5148C6C7" w14:textId="77777777" w:rsidR="00482F28" w:rsidRPr="00045DFA" w:rsidRDefault="00482F28" w:rsidP="00482F28">
            <w:pPr>
              <w:spacing w:line="276" w:lineRule="auto"/>
              <w:rPr>
                <w:rFonts w:asciiTheme="majorHAnsi" w:hAnsiTheme="majorHAnsi" w:cs="Times New Roman"/>
                <w:sz w:val="20"/>
                <w:szCs w:val="20"/>
              </w:rPr>
            </w:pPr>
          </w:p>
        </w:tc>
        <w:tc>
          <w:tcPr>
            <w:tcW w:w="0" w:type="auto"/>
            <w:hideMark/>
          </w:tcPr>
          <w:p w14:paraId="6FFE9869"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Documented VTE rate</w:t>
            </w:r>
          </w:p>
        </w:tc>
        <w:tc>
          <w:tcPr>
            <w:tcW w:w="0" w:type="auto"/>
            <w:hideMark/>
          </w:tcPr>
          <w:p w14:paraId="1529D601"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Annual rate</w:t>
            </w:r>
          </w:p>
        </w:tc>
        <w:tc>
          <w:tcPr>
            <w:tcW w:w="0" w:type="auto"/>
            <w:hideMark/>
          </w:tcPr>
          <w:p w14:paraId="0103A089"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Baseline</w:t>
            </w:r>
          </w:p>
        </w:tc>
        <w:tc>
          <w:tcPr>
            <w:tcW w:w="0" w:type="auto"/>
            <w:hideMark/>
          </w:tcPr>
          <w:p w14:paraId="033255C8"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&lt;10%</w:t>
            </w:r>
          </w:p>
        </w:tc>
        <w:tc>
          <w:tcPr>
            <w:tcW w:w="0" w:type="auto"/>
            <w:hideMark/>
          </w:tcPr>
          <w:p w14:paraId="3D117B00"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&lt;5–8%</w:t>
            </w:r>
          </w:p>
        </w:tc>
        <w:tc>
          <w:tcPr>
            <w:tcW w:w="0" w:type="auto"/>
            <w:hideMark/>
          </w:tcPr>
          <w:p w14:paraId="62A88DD1"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 PE &amp; ICU LOS</w:t>
            </w:r>
          </w:p>
        </w:tc>
        <w:tc>
          <w:tcPr>
            <w:tcW w:w="0" w:type="auto"/>
            <w:hideMark/>
          </w:tcPr>
          <w:p w14:paraId="77558235"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[27]</w:t>
            </w:r>
          </w:p>
        </w:tc>
      </w:tr>
      <w:tr w:rsidR="00482F28" w:rsidRPr="00045DFA" w14:paraId="172C84A5" w14:textId="77777777" w:rsidTr="000559DE">
        <w:tc>
          <w:tcPr>
            <w:tcW w:w="0" w:type="auto"/>
            <w:hideMark/>
          </w:tcPr>
          <w:p w14:paraId="5F99EDDE"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Pulmonary Monitoring</w:t>
            </w:r>
          </w:p>
        </w:tc>
        <w:tc>
          <w:tcPr>
            <w:tcW w:w="0" w:type="auto"/>
            <w:hideMark/>
          </w:tcPr>
          <w:p w14:paraId="2F4752FD"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ARDS incidence tracked</w:t>
            </w:r>
          </w:p>
        </w:tc>
        <w:tc>
          <w:tcPr>
            <w:tcW w:w="0" w:type="auto"/>
            <w:hideMark/>
          </w:tcPr>
          <w:p w14:paraId="5E47789E"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Yes/No</w:t>
            </w:r>
          </w:p>
        </w:tc>
        <w:tc>
          <w:tcPr>
            <w:tcW w:w="0" w:type="auto"/>
            <w:hideMark/>
          </w:tcPr>
          <w:p w14:paraId="76EB34E4"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Annual</w:t>
            </w:r>
          </w:p>
        </w:tc>
        <w:tc>
          <w:tcPr>
            <w:tcW w:w="0" w:type="auto"/>
            <w:hideMark/>
          </w:tcPr>
          <w:p w14:paraId="3858F375"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Risk-stratified</w:t>
            </w:r>
          </w:p>
        </w:tc>
        <w:tc>
          <w:tcPr>
            <w:tcW w:w="0" w:type="auto"/>
            <w:hideMark/>
          </w:tcPr>
          <w:p w14:paraId="4780A73F"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Registry benchmarking</w:t>
            </w:r>
          </w:p>
        </w:tc>
        <w:tc>
          <w:tcPr>
            <w:tcW w:w="0" w:type="auto"/>
            <w:hideMark/>
          </w:tcPr>
          <w:p w14:paraId="2D9CEA43"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ARDS 10–20%</w:t>
            </w:r>
          </w:p>
        </w:tc>
        <w:tc>
          <w:tcPr>
            <w:tcW w:w="0" w:type="auto"/>
            <w:hideMark/>
          </w:tcPr>
          <w:p w14:paraId="77D3E607"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[10,20,21]</w:t>
            </w:r>
          </w:p>
        </w:tc>
      </w:tr>
      <w:tr w:rsidR="00482F28" w:rsidRPr="00045DFA" w14:paraId="6845BBB5" w14:textId="77777777" w:rsidTr="000559DE">
        <w:tc>
          <w:tcPr>
            <w:tcW w:w="0" w:type="auto"/>
            <w:hideMark/>
          </w:tcPr>
          <w:p w14:paraId="21E96936" w14:textId="77777777" w:rsidR="00482F28" w:rsidRPr="00045DFA" w:rsidRDefault="00482F28" w:rsidP="00482F28">
            <w:pPr>
              <w:spacing w:line="276" w:lineRule="auto"/>
              <w:rPr>
                <w:rFonts w:asciiTheme="majorHAnsi" w:hAnsiTheme="majorHAnsi" w:cs="Times New Roman"/>
                <w:sz w:val="20"/>
                <w:szCs w:val="20"/>
              </w:rPr>
            </w:pPr>
          </w:p>
        </w:tc>
        <w:tc>
          <w:tcPr>
            <w:tcW w:w="0" w:type="auto"/>
            <w:hideMark/>
          </w:tcPr>
          <w:p w14:paraId="12760A19"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ARDS mortality</w:t>
            </w:r>
          </w:p>
        </w:tc>
        <w:tc>
          <w:tcPr>
            <w:tcW w:w="0" w:type="auto"/>
            <w:hideMark/>
          </w:tcPr>
          <w:p w14:paraId="556E0D83"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Institutional %</w:t>
            </w:r>
          </w:p>
        </w:tc>
        <w:tc>
          <w:tcPr>
            <w:tcW w:w="0" w:type="auto"/>
            <w:hideMark/>
          </w:tcPr>
          <w:p w14:paraId="7A094FC6"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Baseline</w:t>
            </w:r>
          </w:p>
        </w:tc>
        <w:tc>
          <w:tcPr>
            <w:tcW w:w="0" w:type="auto"/>
            <w:hideMark/>
          </w:tcPr>
          <w:p w14:paraId="5246626E"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≤40%</w:t>
            </w:r>
          </w:p>
        </w:tc>
        <w:tc>
          <w:tcPr>
            <w:tcW w:w="0" w:type="auto"/>
            <w:hideMark/>
          </w:tcPr>
          <w:p w14:paraId="713AE768"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≤30%</w:t>
            </w:r>
          </w:p>
        </w:tc>
        <w:tc>
          <w:tcPr>
            <w:tcW w:w="0" w:type="auto"/>
            <w:hideMark/>
          </w:tcPr>
          <w:p w14:paraId="7BCC6BA0"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Mortality 30–46%</w:t>
            </w:r>
          </w:p>
        </w:tc>
        <w:tc>
          <w:tcPr>
            <w:tcW w:w="0" w:type="auto"/>
            <w:hideMark/>
          </w:tcPr>
          <w:p w14:paraId="6C49DA39"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[20,21]</w:t>
            </w:r>
          </w:p>
        </w:tc>
      </w:tr>
      <w:tr w:rsidR="00482F28" w:rsidRPr="00045DFA" w14:paraId="08BBE896" w14:textId="77777777" w:rsidTr="000559DE">
        <w:tc>
          <w:tcPr>
            <w:tcW w:w="0" w:type="auto"/>
            <w:hideMark/>
          </w:tcPr>
          <w:p w14:paraId="563F0A76"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Time-to-Laparotomy</w:t>
            </w:r>
          </w:p>
        </w:tc>
        <w:tc>
          <w:tcPr>
            <w:tcW w:w="0" w:type="auto"/>
            <w:hideMark/>
          </w:tcPr>
          <w:p w14:paraId="4B81266F"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Median door-to-OR</w:t>
            </w:r>
          </w:p>
        </w:tc>
        <w:tc>
          <w:tcPr>
            <w:tcW w:w="0" w:type="auto"/>
            <w:hideMark/>
          </w:tcPr>
          <w:p w14:paraId="34AC5ACC"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Recorded</w:t>
            </w:r>
          </w:p>
        </w:tc>
        <w:tc>
          <w:tcPr>
            <w:tcW w:w="0" w:type="auto"/>
            <w:hideMark/>
          </w:tcPr>
          <w:p w14:paraId="53242238"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&lt;4h</w:t>
            </w:r>
          </w:p>
        </w:tc>
        <w:tc>
          <w:tcPr>
            <w:tcW w:w="0" w:type="auto"/>
            <w:hideMark/>
          </w:tcPr>
          <w:p w14:paraId="2C419D94"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&lt;3h</w:t>
            </w:r>
          </w:p>
        </w:tc>
        <w:tc>
          <w:tcPr>
            <w:tcW w:w="0" w:type="auto"/>
            <w:hideMark/>
          </w:tcPr>
          <w:p w14:paraId="6C470B6F"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&lt;2h</w:t>
            </w:r>
          </w:p>
        </w:tc>
        <w:tc>
          <w:tcPr>
            <w:tcW w:w="0" w:type="auto"/>
            <w:hideMark/>
          </w:tcPr>
          <w:p w14:paraId="7C8E84E7"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Mortality ↑ &gt;3h</w:t>
            </w:r>
          </w:p>
        </w:tc>
        <w:tc>
          <w:tcPr>
            <w:tcW w:w="0" w:type="auto"/>
            <w:hideMark/>
          </w:tcPr>
          <w:p w14:paraId="028D7B32"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[14]</w:t>
            </w:r>
          </w:p>
        </w:tc>
      </w:tr>
      <w:tr w:rsidR="00482F28" w:rsidRPr="00045DFA" w14:paraId="254A3B90" w14:textId="77777777" w:rsidTr="000559DE">
        <w:tc>
          <w:tcPr>
            <w:tcW w:w="0" w:type="auto"/>
            <w:hideMark/>
          </w:tcPr>
          <w:p w14:paraId="2BD6778C" w14:textId="77777777" w:rsidR="00482F28" w:rsidRPr="00045DFA" w:rsidRDefault="00482F28" w:rsidP="00482F28">
            <w:pPr>
              <w:spacing w:line="276" w:lineRule="auto"/>
              <w:rPr>
                <w:rFonts w:asciiTheme="majorHAnsi" w:hAnsiTheme="majorHAnsi" w:cs="Times New Roman"/>
                <w:sz w:val="20"/>
                <w:szCs w:val="20"/>
              </w:rPr>
            </w:pPr>
          </w:p>
        </w:tc>
        <w:tc>
          <w:tcPr>
            <w:tcW w:w="0" w:type="auto"/>
            <w:hideMark/>
          </w:tcPr>
          <w:p w14:paraId="5DB4F10B"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 laparotomy ≤3h</w:t>
            </w:r>
          </w:p>
        </w:tc>
        <w:tc>
          <w:tcPr>
            <w:tcW w:w="0" w:type="auto"/>
            <w:hideMark/>
          </w:tcPr>
          <w:p w14:paraId="019010A0"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 cases</w:t>
            </w:r>
          </w:p>
        </w:tc>
        <w:tc>
          <w:tcPr>
            <w:tcW w:w="0" w:type="auto"/>
            <w:hideMark/>
          </w:tcPr>
          <w:p w14:paraId="0EDA68D9"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≥60%</w:t>
            </w:r>
          </w:p>
        </w:tc>
        <w:tc>
          <w:tcPr>
            <w:tcW w:w="0" w:type="auto"/>
            <w:hideMark/>
          </w:tcPr>
          <w:p w14:paraId="6BF51270"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≥75%</w:t>
            </w:r>
          </w:p>
        </w:tc>
        <w:tc>
          <w:tcPr>
            <w:tcW w:w="0" w:type="auto"/>
            <w:hideMark/>
          </w:tcPr>
          <w:p w14:paraId="33D15494"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≥90%</w:t>
            </w:r>
          </w:p>
        </w:tc>
        <w:tc>
          <w:tcPr>
            <w:tcW w:w="0" w:type="auto"/>
            <w:hideMark/>
          </w:tcPr>
          <w:p w14:paraId="00A673A2"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 early mortality</w:t>
            </w:r>
          </w:p>
        </w:tc>
        <w:tc>
          <w:tcPr>
            <w:tcW w:w="0" w:type="auto"/>
            <w:hideMark/>
          </w:tcPr>
          <w:p w14:paraId="0CAEB45E"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[14]</w:t>
            </w:r>
          </w:p>
        </w:tc>
      </w:tr>
      <w:tr w:rsidR="00482F28" w:rsidRPr="00045DFA" w14:paraId="275A1E4C" w14:textId="77777777" w:rsidTr="000559DE">
        <w:tc>
          <w:tcPr>
            <w:tcW w:w="0" w:type="auto"/>
            <w:hideMark/>
          </w:tcPr>
          <w:p w14:paraId="2BDBD83F"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Device Burden</w:t>
            </w:r>
          </w:p>
        </w:tc>
        <w:tc>
          <w:tcPr>
            <w:tcW w:w="0" w:type="auto"/>
            <w:hideMark/>
          </w:tcPr>
          <w:p w14:paraId="2C03AB50"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Daily device review</w:t>
            </w:r>
          </w:p>
        </w:tc>
        <w:tc>
          <w:tcPr>
            <w:tcW w:w="0" w:type="auto"/>
            <w:hideMark/>
          </w:tcPr>
          <w:p w14:paraId="23CFE3A9"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 documented</w:t>
            </w:r>
          </w:p>
        </w:tc>
        <w:tc>
          <w:tcPr>
            <w:tcW w:w="0" w:type="auto"/>
            <w:hideMark/>
          </w:tcPr>
          <w:p w14:paraId="795D8014"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≥70%</w:t>
            </w:r>
          </w:p>
        </w:tc>
        <w:tc>
          <w:tcPr>
            <w:tcW w:w="0" w:type="auto"/>
            <w:hideMark/>
          </w:tcPr>
          <w:p w14:paraId="130771DF"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≥85%</w:t>
            </w:r>
          </w:p>
        </w:tc>
        <w:tc>
          <w:tcPr>
            <w:tcW w:w="0" w:type="auto"/>
            <w:hideMark/>
          </w:tcPr>
          <w:p w14:paraId="1FA837C7"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≥95%</w:t>
            </w:r>
          </w:p>
        </w:tc>
        <w:tc>
          <w:tcPr>
            <w:tcW w:w="0" w:type="auto"/>
            <w:hideMark/>
          </w:tcPr>
          <w:p w14:paraId="137096E0"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 CLABSI 60–70%</w:t>
            </w:r>
          </w:p>
        </w:tc>
        <w:tc>
          <w:tcPr>
            <w:tcW w:w="0" w:type="auto"/>
            <w:hideMark/>
          </w:tcPr>
          <w:p w14:paraId="6158D116"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[37]</w:t>
            </w:r>
          </w:p>
        </w:tc>
      </w:tr>
      <w:tr w:rsidR="00482F28" w:rsidRPr="00045DFA" w14:paraId="2A8C336B" w14:textId="77777777" w:rsidTr="000559DE">
        <w:tc>
          <w:tcPr>
            <w:tcW w:w="0" w:type="auto"/>
            <w:hideMark/>
          </w:tcPr>
          <w:p w14:paraId="47491344" w14:textId="77777777" w:rsidR="00482F28" w:rsidRPr="00045DFA" w:rsidRDefault="00482F28" w:rsidP="00482F28">
            <w:pPr>
              <w:spacing w:line="276" w:lineRule="auto"/>
              <w:rPr>
                <w:rFonts w:asciiTheme="majorHAnsi" w:hAnsiTheme="majorHAnsi" w:cs="Times New Roman"/>
                <w:sz w:val="20"/>
                <w:szCs w:val="20"/>
              </w:rPr>
            </w:pPr>
          </w:p>
        </w:tc>
        <w:tc>
          <w:tcPr>
            <w:tcW w:w="0" w:type="auto"/>
            <w:hideMark/>
          </w:tcPr>
          <w:p w14:paraId="5974E062"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Catheter days</w:t>
            </w:r>
          </w:p>
        </w:tc>
        <w:tc>
          <w:tcPr>
            <w:tcW w:w="0" w:type="auto"/>
            <w:hideMark/>
          </w:tcPr>
          <w:p w14:paraId="73D0F0C8"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Median</w:t>
            </w:r>
          </w:p>
        </w:tc>
        <w:tc>
          <w:tcPr>
            <w:tcW w:w="0" w:type="auto"/>
            <w:hideMark/>
          </w:tcPr>
          <w:p w14:paraId="31B2190D"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≤5 days</w:t>
            </w:r>
          </w:p>
        </w:tc>
        <w:tc>
          <w:tcPr>
            <w:tcW w:w="0" w:type="auto"/>
            <w:hideMark/>
          </w:tcPr>
          <w:p w14:paraId="1877CCE2"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≤4 days</w:t>
            </w:r>
          </w:p>
        </w:tc>
        <w:tc>
          <w:tcPr>
            <w:tcW w:w="0" w:type="auto"/>
            <w:hideMark/>
          </w:tcPr>
          <w:p w14:paraId="46FBC6AE"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≤3 days</w:t>
            </w:r>
          </w:p>
        </w:tc>
        <w:tc>
          <w:tcPr>
            <w:tcW w:w="0" w:type="auto"/>
            <w:hideMark/>
          </w:tcPr>
          <w:p w14:paraId="4401CD1D"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 infection risk</w:t>
            </w:r>
          </w:p>
        </w:tc>
        <w:tc>
          <w:tcPr>
            <w:tcW w:w="0" w:type="auto"/>
            <w:hideMark/>
          </w:tcPr>
          <w:p w14:paraId="1426AB74"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[37]</w:t>
            </w:r>
          </w:p>
        </w:tc>
      </w:tr>
      <w:tr w:rsidR="00482F28" w:rsidRPr="00045DFA" w14:paraId="5D5F0E37" w14:textId="77777777" w:rsidTr="000559DE">
        <w:tc>
          <w:tcPr>
            <w:tcW w:w="0" w:type="auto"/>
            <w:hideMark/>
          </w:tcPr>
          <w:p w14:paraId="5F9D6523"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Failure-to-Rescue</w:t>
            </w:r>
          </w:p>
        </w:tc>
        <w:tc>
          <w:tcPr>
            <w:tcW w:w="0" w:type="auto"/>
            <w:hideMark/>
          </w:tcPr>
          <w:p w14:paraId="343DE4AE"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Time-to-escalation</w:t>
            </w:r>
          </w:p>
        </w:tc>
        <w:tc>
          <w:tcPr>
            <w:tcW w:w="0" w:type="auto"/>
            <w:hideMark/>
          </w:tcPr>
          <w:p w14:paraId="457AAF71"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Median time</w:t>
            </w:r>
          </w:p>
        </w:tc>
        <w:tc>
          <w:tcPr>
            <w:tcW w:w="0" w:type="auto"/>
            <w:hideMark/>
          </w:tcPr>
          <w:p w14:paraId="0EA95FCA"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&lt;90 min</w:t>
            </w:r>
          </w:p>
        </w:tc>
        <w:tc>
          <w:tcPr>
            <w:tcW w:w="0" w:type="auto"/>
            <w:hideMark/>
          </w:tcPr>
          <w:p w14:paraId="12CC84C7"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&lt;60 min</w:t>
            </w:r>
          </w:p>
        </w:tc>
        <w:tc>
          <w:tcPr>
            <w:tcW w:w="0" w:type="auto"/>
            <w:hideMark/>
          </w:tcPr>
          <w:p w14:paraId="4B0E8934"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&lt;30 min</w:t>
            </w:r>
          </w:p>
        </w:tc>
        <w:tc>
          <w:tcPr>
            <w:tcW w:w="0" w:type="auto"/>
            <w:hideMark/>
          </w:tcPr>
          <w:p w14:paraId="07B2719A"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Mortality varies 2–3×</w:t>
            </w:r>
          </w:p>
        </w:tc>
        <w:tc>
          <w:tcPr>
            <w:tcW w:w="0" w:type="auto"/>
            <w:hideMark/>
          </w:tcPr>
          <w:p w14:paraId="63BCCF06"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[48]</w:t>
            </w:r>
          </w:p>
        </w:tc>
      </w:tr>
      <w:tr w:rsidR="00482F28" w:rsidRPr="00045DFA" w14:paraId="5067E6B1" w14:textId="77777777" w:rsidTr="000559DE">
        <w:tc>
          <w:tcPr>
            <w:tcW w:w="0" w:type="auto"/>
            <w:hideMark/>
          </w:tcPr>
          <w:p w14:paraId="22B1498C" w14:textId="77777777" w:rsidR="00482F28" w:rsidRPr="00045DFA" w:rsidRDefault="00482F28" w:rsidP="00482F28">
            <w:pPr>
              <w:spacing w:line="276" w:lineRule="auto"/>
              <w:rPr>
                <w:rFonts w:asciiTheme="majorHAnsi" w:hAnsiTheme="majorHAnsi" w:cs="Times New Roman"/>
                <w:sz w:val="20"/>
                <w:szCs w:val="20"/>
              </w:rPr>
            </w:pPr>
          </w:p>
        </w:tc>
        <w:tc>
          <w:tcPr>
            <w:tcW w:w="0" w:type="auto"/>
            <w:hideMark/>
          </w:tcPr>
          <w:p w14:paraId="065F331D"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Rapid response compliance</w:t>
            </w:r>
          </w:p>
        </w:tc>
        <w:tc>
          <w:tcPr>
            <w:tcW w:w="0" w:type="auto"/>
            <w:hideMark/>
          </w:tcPr>
          <w:p w14:paraId="0D389C4E"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 escalated</w:t>
            </w:r>
          </w:p>
        </w:tc>
        <w:tc>
          <w:tcPr>
            <w:tcW w:w="0" w:type="auto"/>
            <w:hideMark/>
          </w:tcPr>
          <w:p w14:paraId="4FD11BBA"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≥70%</w:t>
            </w:r>
          </w:p>
        </w:tc>
        <w:tc>
          <w:tcPr>
            <w:tcW w:w="0" w:type="auto"/>
            <w:hideMark/>
          </w:tcPr>
          <w:p w14:paraId="24217BAC"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≥85%</w:t>
            </w:r>
          </w:p>
        </w:tc>
        <w:tc>
          <w:tcPr>
            <w:tcW w:w="0" w:type="auto"/>
            <w:hideMark/>
          </w:tcPr>
          <w:p w14:paraId="33924BCE"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≥95%</w:t>
            </w:r>
          </w:p>
        </w:tc>
        <w:tc>
          <w:tcPr>
            <w:tcW w:w="0" w:type="auto"/>
            <w:hideMark/>
          </w:tcPr>
          <w:p w14:paraId="0E72DAE8"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 late mortality</w:t>
            </w:r>
          </w:p>
        </w:tc>
        <w:tc>
          <w:tcPr>
            <w:tcW w:w="0" w:type="auto"/>
            <w:hideMark/>
          </w:tcPr>
          <w:p w14:paraId="6744AB2E"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[48,40]</w:t>
            </w:r>
          </w:p>
        </w:tc>
      </w:tr>
      <w:tr w:rsidR="00482F28" w:rsidRPr="00045DFA" w14:paraId="3536166A" w14:textId="77777777" w:rsidTr="000559DE">
        <w:tc>
          <w:tcPr>
            <w:tcW w:w="0" w:type="auto"/>
            <w:hideMark/>
          </w:tcPr>
          <w:p w14:paraId="3D09EC1E"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Mortality Review</w:t>
            </w:r>
          </w:p>
        </w:tc>
        <w:tc>
          <w:tcPr>
            <w:tcW w:w="0" w:type="auto"/>
            <w:hideMark/>
          </w:tcPr>
          <w:p w14:paraId="40B4103E"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30-day mortality</w:t>
            </w:r>
          </w:p>
        </w:tc>
        <w:tc>
          <w:tcPr>
            <w:tcW w:w="0" w:type="auto"/>
            <w:hideMark/>
          </w:tcPr>
          <w:p w14:paraId="56DFF017"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Risk-adjusted</w:t>
            </w:r>
          </w:p>
        </w:tc>
        <w:tc>
          <w:tcPr>
            <w:tcW w:w="0" w:type="auto"/>
            <w:hideMark/>
          </w:tcPr>
          <w:p w14:paraId="680A8CD4"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Baseline</w:t>
            </w:r>
          </w:p>
        </w:tc>
        <w:tc>
          <w:tcPr>
            <w:tcW w:w="0" w:type="auto"/>
            <w:hideMark/>
          </w:tcPr>
          <w:p w14:paraId="77C97F1F"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Quarterly</w:t>
            </w:r>
          </w:p>
        </w:tc>
        <w:tc>
          <w:tcPr>
            <w:tcW w:w="0" w:type="auto"/>
            <w:hideMark/>
          </w:tcPr>
          <w:p w14:paraId="081ECDDD"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External benchmarking</w:t>
            </w:r>
          </w:p>
        </w:tc>
        <w:tc>
          <w:tcPr>
            <w:tcW w:w="0" w:type="auto"/>
            <w:hideMark/>
          </w:tcPr>
          <w:p w14:paraId="20CC45AB"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Preventable death 20–30%</w:t>
            </w:r>
          </w:p>
        </w:tc>
        <w:tc>
          <w:tcPr>
            <w:tcW w:w="0" w:type="auto"/>
            <w:hideMark/>
          </w:tcPr>
          <w:p w14:paraId="5799754E"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[15]</w:t>
            </w:r>
          </w:p>
        </w:tc>
      </w:tr>
      <w:tr w:rsidR="00482F28" w:rsidRPr="00045DFA" w14:paraId="1FB2111E" w14:textId="77777777" w:rsidTr="000559DE">
        <w:tc>
          <w:tcPr>
            <w:tcW w:w="0" w:type="auto"/>
            <w:hideMark/>
          </w:tcPr>
          <w:p w14:paraId="7706BB9E" w14:textId="77777777" w:rsidR="00482F28" w:rsidRPr="00045DFA" w:rsidRDefault="00482F28" w:rsidP="00482F28">
            <w:pPr>
              <w:spacing w:line="276" w:lineRule="auto"/>
              <w:rPr>
                <w:rFonts w:asciiTheme="majorHAnsi" w:hAnsiTheme="majorHAnsi" w:cs="Times New Roman"/>
                <w:sz w:val="20"/>
                <w:szCs w:val="20"/>
              </w:rPr>
            </w:pPr>
          </w:p>
        </w:tc>
        <w:tc>
          <w:tcPr>
            <w:tcW w:w="0" w:type="auto"/>
            <w:hideMark/>
          </w:tcPr>
          <w:p w14:paraId="585897CE"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Preventable death audit</w:t>
            </w:r>
          </w:p>
        </w:tc>
        <w:tc>
          <w:tcPr>
            <w:tcW w:w="0" w:type="auto"/>
            <w:hideMark/>
          </w:tcPr>
          <w:p w14:paraId="59C499F8"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 reviewed</w:t>
            </w:r>
          </w:p>
        </w:tc>
        <w:tc>
          <w:tcPr>
            <w:tcW w:w="0" w:type="auto"/>
            <w:hideMark/>
          </w:tcPr>
          <w:p w14:paraId="66539AA7"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≥50%</w:t>
            </w:r>
          </w:p>
        </w:tc>
        <w:tc>
          <w:tcPr>
            <w:tcW w:w="0" w:type="auto"/>
            <w:hideMark/>
          </w:tcPr>
          <w:p w14:paraId="3060F786"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≥75%</w:t>
            </w:r>
          </w:p>
        </w:tc>
        <w:tc>
          <w:tcPr>
            <w:tcW w:w="0" w:type="auto"/>
            <w:hideMark/>
          </w:tcPr>
          <w:p w14:paraId="13049704"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≥95%</w:t>
            </w:r>
          </w:p>
        </w:tc>
        <w:tc>
          <w:tcPr>
            <w:tcW w:w="0" w:type="auto"/>
            <w:hideMark/>
          </w:tcPr>
          <w:p w14:paraId="322224EF"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 preventable mortality</w:t>
            </w:r>
          </w:p>
        </w:tc>
        <w:tc>
          <w:tcPr>
            <w:tcW w:w="0" w:type="auto"/>
            <w:hideMark/>
          </w:tcPr>
          <w:p w14:paraId="62EFAC4E"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[15]</w:t>
            </w:r>
          </w:p>
        </w:tc>
      </w:tr>
      <w:tr w:rsidR="00482F28" w:rsidRPr="00045DFA" w14:paraId="39BFAE22" w14:textId="77777777" w:rsidTr="000559DE">
        <w:tc>
          <w:tcPr>
            <w:tcW w:w="0" w:type="auto"/>
            <w:hideMark/>
          </w:tcPr>
          <w:p w14:paraId="0D476B24"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System Learning</w:t>
            </w:r>
          </w:p>
        </w:tc>
        <w:tc>
          <w:tcPr>
            <w:tcW w:w="0" w:type="auto"/>
            <w:hideMark/>
          </w:tcPr>
          <w:p w14:paraId="07E6033F"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Registry completeness</w:t>
            </w:r>
          </w:p>
        </w:tc>
        <w:tc>
          <w:tcPr>
            <w:tcW w:w="0" w:type="auto"/>
            <w:hideMark/>
          </w:tcPr>
          <w:p w14:paraId="1E174016"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 fields complete</w:t>
            </w:r>
          </w:p>
        </w:tc>
        <w:tc>
          <w:tcPr>
            <w:tcW w:w="0" w:type="auto"/>
            <w:hideMark/>
          </w:tcPr>
          <w:p w14:paraId="7D02484E"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≥70%</w:t>
            </w:r>
          </w:p>
        </w:tc>
        <w:tc>
          <w:tcPr>
            <w:tcW w:w="0" w:type="auto"/>
            <w:hideMark/>
          </w:tcPr>
          <w:p w14:paraId="5B9CE101"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≥85%</w:t>
            </w:r>
          </w:p>
        </w:tc>
        <w:tc>
          <w:tcPr>
            <w:tcW w:w="0" w:type="auto"/>
            <w:hideMark/>
          </w:tcPr>
          <w:p w14:paraId="2C70C931"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≥95%</w:t>
            </w:r>
          </w:p>
        </w:tc>
        <w:tc>
          <w:tcPr>
            <w:tcW w:w="0" w:type="auto"/>
            <w:hideMark/>
          </w:tcPr>
          <w:p w14:paraId="7DE330DE"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Enables tracking</w:t>
            </w:r>
          </w:p>
        </w:tc>
        <w:tc>
          <w:tcPr>
            <w:tcW w:w="0" w:type="auto"/>
            <w:hideMark/>
          </w:tcPr>
          <w:p w14:paraId="0FD6AD36"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[34]</w:t>
            </w:r>
          </w:p>
        </w:tc>
      </w:tr>
      <w:tr w:rsidR="00482F28" w:rsidRPr="00045DFA" w14:paraId="6634BC19" w14:textId="77777777" w:rsidTr="000559DE">
        <w:tc>
          <w:tcPr>
            <w:tcW w:w="0" w:type="auto"/>
            <w:hideMark/>
          </w:tcPr>
          <w:p w14:paraId="09882D11" w14:textId="77777777" w:rsidR="00482F28" w:rsidRPr="00045DFA" w:rsidRDefault="00482F28" w:rsidP="00482F28">
            <w:pPr>
              <w:spacing w:line="276" w:lineRule="auto"/>
              <w:rPr>
                <w:rFonts w:asciiTheme="majorHAnsi" w:hAnsiTheme="majorHAnsi" w:cs="Times New Roman"/>
                <w:sz w:val="20"/>
                <w:szCs w:val="20"/>
              </w:rPr>
            </w:pPr>
          </w:p>
        </w:tc>
        <w:tc>
          <w:tcPr>
            <w:tcW w:w="0" w:type="auto"/>
            <w:hideMark/>
          </w:tcPr>
          <w:p w14:paraId="48358911"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Complication review frequency</w:t>
            </w:r>
          </w:p>
        </w:tc>
        <w:tc>
          <w:tcPr>
            <w:tcW w:w="0" w:type="auto"/>
            <w:hideMark/>
          </w:tcPr>
          <w:p w14:paraId="48D82B3D"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Per year</w:t>
            </w:r>
          </w:p>
        </w:tc>
        <w:tc>
          <w:tcPr>
            <w:tcW w:w="0" w:type="auto"/>
            <w:hideMark/>
          </w:tcPr>
          <w:p w14:paraId="27FFA9BD"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≥2</w:t>
            </w:r>
          </w:p>
        </w:tc>
        <w:tc>
          <w:tcPr>
            <w:tcW w:w="0" w:type="auto"/>
            <w:hideMark/>
          </w:tcPr>
          <w:p w14:paraId="161F84B0"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Quarterly</w:t>
            </w:r>
          </w:p>
        </w:tc>
        <w:tc>
          <w:tcPr>
            <w:tcW w:w="0" w:type="auto"/>
            <w:hideMark/>
          </w:tcPr>
          <w:p w14:paraId="52322349"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Monthly</w:t>
            </w:r>
          </w:p>
        </w:tc>
        <w:tc>
          <w:tcPr>
            <w:tcW w:w="0" w:type="auto"/>
            <w:hideMark/>
          </w:tcPr>
          <w:p w14:paraId="68808F11"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sz w:val="20"/>
                <w:szCs w:val="20"/>
              </w:rPr>
              <w:t>Continuous improvement</w:t>
            </w:r>
          </w:p>
        </w:tc>
        <w:tc>
          <w:tcPr>
            <w:tcW w:w="0" w:type="auto"/>
            <w:hideMark/>
          </w:tcPr>
          <w:p w14:paraId="26FD806E" w14:textId="77777777" w:rsidR="00482F28" w:rsidRPr="00045DFA" w:rsidRDefault="00482F28" w:rsidP="00482F28">
            <w:pPr>
              <w:spacing w:line="276" w:lineRule="auto"/>
              <w:rPr>
                <w:rFonts w:asciiTheme="majorHAnsi" w:hAnsiTheme="majorHAnsi" w:cs="Times New Roman"/>
                <w:sz w:val="20"/>
                <w:szCs w:val="20"/>
              </w:rPr>
            </w:pPr>
            <w:r w:rsidRPr="00045DFA">
              <w:rPr>
                <w:rFonts w:asciiTheme="majorHAnsi" w:hAnsiTheme="majorHAnsi" w:cs="Times New Roman"/>
                <w:b/>
                <w:bCs/>
                <w:sz w:val="20"/>
                <w:szCs w:val="20"/>
              </w:rPr>
              <w:t>[38]</w:t>
            </w:r>
          </w:p>
        </w:tc>
      </w:tr>
    </w:tbl>
    <w:p w14:paraId="2E07B9AA" w14:textId="71A5C44D" w:rsidR="006B236F" w:rsidRPr="00045DFA" w:rsidRDefault="006B236F" w:rsidP="006B236F">
      <w:pPr>
        <w:spacing w:after="0" w:line="276" w:lineRule="auto"/>
        <w:rPr>
          <w:rFonts w:asciiTheme="majorHAnsi" w:hAnsiTheme="majorHAnsi" w:cs="Times New Roman"/>
          <w:b/>
          <w:bCs/>
        </w:rPr>
      </w:pPr>
      <w:r w:rsidRPr="00045DFA">
        <w:rPr>
          <w:rFonts w:asciiTheme="majorHAnsi" w:hAnsiTheme="majorHAnsi" w:cs="Times New Roman"/>
          <w:b/>
          <w:bCs/>
        </w:rPr>
        <w:t xml:space="preserve">Footnotes </w:t>
      </w:r>
    </w:p>
    <w:p w14:paraId="796A80CD" w14:textId="77777777" w:rsidR="006B236F" w:rsidRPr="00045DFA" w:rsidRDefault="006B236F" w:rsidP="006B236F">
      <w:pPr>
        <w:numPr>
          <w:ilvl w:val="0"/>
          <w:numId w:val="20"/>
        </w:numPr>
        <w:spacing w:after="0" w:line="276" w:lineRule="auto"/>
        <w:rPr>
          <w:rFonts w:asciiTheme="majorHAnsi" w:hAnsiTheme="majorHAnsi" w:cs="Times New Roman"/>
        </w:rPr>
      </w:pPr>
      <w:r w:rsidRPr="00045DFA">
        <w:rPr>
          <w:rFonts w:asciiTheme="majorHAnsi" w:hAnsiTheme="majorHAnsi" w:cs="Times New Roman"/>
        </w:rPr>
        <w:t xml:space="preserve">Benchmark targets represent proposed performance ranges rather than mandatory standards. </w:t>
      </w:r>
    </w:p>
    <w:p w14:paraId="05DC34B5" w14:textId="77777777" w:rsidR="006B236F" w:rsidRPr="00045DFA" w:rsidRDefault="006B236F" w:rsidP="006B236F">
      <w:pPr>
        <w:numPr>
          <w:ilvl w:val="0"/>
          <w:numId w:val="20"/>
        </w:numPr>
        <w:spacing w:after="0" w:line="276" w:lineRule="auto"/>
        <w:rPr>
          <w:rFonts w:asciiTheme="majorHAnsi" w:hAnsiTheme="majorHAnsi" w:cs="Times New Roman"/>
        </w:rPr>
      </w:pPr>
      <w:r w:rsidRPr="00045DFA">
        <w:rPr>
          <w:rFonts w:asciiTheme="majorHAnsi" w:hAnsiTheme="majorHAnsi" w:cs="Times New Roman"/>
        </w:rPr>
        <w:t xml:space="preserve">Phase progression reflects system maturation rather than hierarchy. </w:t>
      </w:r>
    </w:p>
    <w:p w14:paraId="6BDEBD85" w14:textId="77777777" w:rsidR="006B236F" w:rsidRPr="00045DFA" w:rsidRDefault="006B236F" w:rsidP="006B236F">
      <w:pPr>
        <w:numPr>
          <w:ilvl w:val="0"/>
          <w:numId w:val="20"/>
        </w:numPr>
        <w:spacing w:after="0" w:line="276" w:lineRule="auto"/>
        <w:rPr>
          <w:rFonts w:asciiTheme="majorHAnsi" w:hAnsiTheme="majorHAnsi" w:cs="Times New Roman"/>
        </w:rPr>
      </w:pPr>
      <w:r w:rsidRPr="00045DFA">
        <w:rPr>
          <w:rFonts w:asciiTheme="majorHAnsi" w:hAnsiTheme="majorHAnsi" w:cs="Times New Roman"/>
        </w:rPr>
        <w:t xml:space="preserve">Targets should be adapted to institutional context. </w:t>
      </w:r>
    </w:p>
    <w:p w14:paraId="5B19993E" w14:textId="77777777" w:rsidR="006B236F" w:rsidRPr="00045DFA" w:rsidRDefault="006B236F" w:rsidP="006B236F">
      <w:pPr>
        <w:numPr>
          <w:ilvl w:val="0"/>
          <w:numId w:val="20"/>
        </w:numPr>
        <w:spacing w:after="0" w:line="276" w:lineRule="auto"/>
        <w:rPr>
          <w:rFonts w:asciiTheme="majorHAnsi" w:hAnsiTheme="majorHAnsi" w:cs="Times New Roman"/>
        </w:rPr>
      </w:pPr>
      <w:r w:rsidRPr="00045DFA">
        <w:rPr>
          <w:rFonts w:asciiTheme="majorHAnsi" w:hAnsiTheme="majorHAnsi" w:cs="Times New Roman"/>
        </w:rPr>
        <w:t xml:space="preserve">Compliance percentages derived from perioperative implementation studies </w:t>
      </w:r>
      <w:r w:rsidRPr="00045DFA">
        <w:rPr>
          <w:rFonts w:asciiTheme="majorHAnsi" w:hAnsiTheme="majorHAnsi" w:cs="Times New Roman"/>
          <w:b/>
          <w:bCs/>
        </w:rPr>
        <w:t>[31,32]</w:t>
      </w:r>
      <w:r w:rsidRPr="00045DFA">
        <w:rPr>
          <w:rFonts w:asciiTheme="majorHAnsi" w:hAnsiTheme="majorHAnsi" w:cs="Times New Roman"/>
        </w:rPr>
        <w:t xml:space="preserve">. </w:t>
      </w:r>
    </w:p>
    <w:p w14:paraId="0018B82B" w14:textId="77777777" w:rsidR="006B236F" w:rsidRPr="00045DFA" w:rsidRDefault="006B236F" w:rsidP="006B236F">
      <w:pPr>
        <w:numPr>
          <w:ilvl w:val="0"/>
          <w:numId w:val="20"/>
        </w:numPr>
        <w:spacing w:after="0" w:line="276" w:lineRule="auto"/>
        <w:rPr>
          <w:rFonts w:asciiTheme="majorHAnsi" w:hAnsiTheme="majorHAnsi" w:cs="Times New Roman"/>
        </w:rPr>
      </w:pPr>
      <w:r w:rsidRPr="00045DFA">
        <w:rPr>
          <w:rFonts w:asciiTheme="majorHAnsi" w:hAnsiTheme="majorHAnsi" w:cs="Times New Roman"/>
        </w:rPr>
        <w:t xml:space="preserve">Escalation time targets should align with operational capacity. </w:t>
      </w:r>
    </w:p>
    <w:p w14:paraId="04093A8A" w14:textId="77777777" w:rsidR="00717547" w:rsidRPr="00045DFA" w:rsidRDefault="00717547" w:rsidP="00717547">
      <w:pPr>
        <w:spacing w:after="0" w:line="276" w:lineRule="auto"/>
        <w:rPr>
          <w:rFonts w:asciiTheme="majorHAnsi" w:hAnsiTheme="majorHAnsi" w:cs="Times New Roman"/>
        </w:rPr>
      </w:pPr>
    </w:p>
    <w:p w14:paraId="4F581E5E" w14:textId="77777777" w:rsidR="002C121A" w:rsidRPr="00045DFA" w:rsidRDefault="002C121A" w:rsidP="00680D07">
      <w:pPr>
        <w:spacing w:after="0" w:line="276" w:lineRule="auto"/>
        <w:rPr>
          <w:rFonts w:asciiTheme="majorHAnsi" w:hAnsiTheme="majorHAnsi" w:cs="Times New Roman"/>
        </w:rPr>
      </w:pPr>
    </w:p>
    <w:p w14:paraId="52D6DE1F" w14:textId="77777777" w:rsidR="002C121A" w:rsidRPr="00045DFA" w:rsidRDefault="002C121A" w:rsidP="00680D07">
      <w:pPr>
        <w:spacing w:after="0" w:line="276" w:lineRule="auto"/>
        <w:rPr>
          <w:rFonts w:asciiTheme="majorHAnsi" w:hAnsiTheme="majorHAnsi" w:cs="Times New Roman"/>
        </w:rPr>
      </w:pPr>
    </w:p>
    <w:p w14:paraId="0A02CCFB" w14:textId="19E47225" w:rsidR="002C121A" w:rsidRPr="00045DFA" w:rsidRDefault="002C121A" w:rsidP="00680D07">
      <w:pPr>
        <w:spacing w:after="0" w:line="276" w:lineRule="auto"/>
        <w:rPr>
          <w:rFonts w:asciiTheme="majorHAnsi" w:hAnsiTheme="majorHAnsi" w:cs="Times New Roman"/>
        </w:rPr>
      </w:pPr>
    </w:p>
    <w:p w14:paraId="21C81E14" w14:textId="6ECDF0B2" w:rsidR="00482F28" w:rsidRPr="00045DFA" w:rsidRDefault="00F65EDC" w:rsidP="00482F28">
      <w:pPr>
        <w:spacing w:after="0" w:line="276" w:lineRule="auto"/>
        <w:rPr>
          <w:rFonts w:asciiTheme="majorHAnsi" w:hAnsiTheme="majorHAnsi" w:cs="Times New Roman"/>
          <w:b/>
          <w:bCs/>
        </w:rPr>
      </w:pPr>
      <w:r>
        <w:rPr>
          <w:rFonts w:asciiTheme="majorHAnsi" w:hAnsiTheme="majorHAnsi" w:cs="Times New Roman"/>
          <w:b/>
          <w:bCs/>
        </w:rPr>
        <w:t>C</w:t>
      </w:r>
      <w:bookmarkStart w:id="0" w:name="_GoBack"/>
      <w:bookmarkEnd w:id="0"/>
      <w:r w:rsidR="00482F28" w:rsidRPr="00045DFA">
        <w:rPr>
          <w:rFonts w:asciiTheme="majorHAnsi" w:hAnsiTheme="majorHAnsi" w:cs="Times New Roman"/>
          <w:b/>
          <w:bCs/>
        </w:rPr>
        <w:t xml:space="preserve">ONCLUSION </w:t>
      </w:r>
    </w:p>
    <w:p w14:paraId="1536A405"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Polytrauma recovery is determined by more than operative technique. It reflects the cumulative interaction of inflammatory amplification, endothelial dysfunction, metabolic stress, fixation timing, infection control, and system responsiveness.</w:t>
      </w:r>
    </w:p>
    <w:p w14:paraId="14C1752A" w14:textId="77777777" w:rsidR="000559DE" w:rsidRPr="00045DFA" w:rsidRDefault="000559DE" w:rsidP="00482F28">
      <w:pPr>
        <w:spacing w:after="0" w:line="276" w:lineRule="auto"/>
        <w:rPr>
          <w:rFonts w:asciiTheme="majorHAnsi" w:hAnsiTheme="majorHAnsi" w:cs="Times New Roman"/>
        </w:rPr>
      </w:pPr>
    </w:p>
    <w:p w14:paraId="6C3F1F3B"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 xml:space="preserve">Biological amplifiers—cytokine surge, capillary leak, </w:t>
      </w:r>
      <w:proofErr w:type="spellStart"/>
      <w:r w:rsidRPr="00045DFA">
        <w:rPr>
          <w:rFonts w:asciiTheme="majorHAnsi" w:hAnsiTheme="majorHAnsi" w:cs="Times New Roman"/>
        </w:rPr>
        <w:t>hypercatabolism</w:t>
      </w:r>
      <w:proofErr w:type="spellEnd"/>
      <w:r w:rsidRPr="00045DFA">
        <w:rPr>
          <w:rFonts w:asciiTheme="majorHAnsi" w:hAnsiTheme="majorHAnsi" w:cs="Times New Roman"/>
        </w:rPr>
        <w:t xml:space="preserve">, and pulmonary vulnerability—interact across abdominal and orthopaedic domains </w:t>
      </w:r>
      <w:r w:rsidRPr="00045DFA">
        <w:rPr>
          <w:rFonts w:asciiTheme="majorHAnsi" w:hAnsiTheme="majorHAnsi" w:cs="Times New Roman"/>
          <w:b/>
          <w:bCs/>
        </w:rPr>
        <w:t>[3–7,39,10]</w:t>
      </w:r>
      <w:r w:rsidRPr="00045DFA">
        <w:rPr>
          <w:rFonts w:asciiTheme="majorHAnsi" w:hAnsiTheme="majorHAnsi" w:cs="Times New Roman"/>
        </w:rPr>
        <w:t xml:space="preserve">. Decisions regarding fluid balance, nutrition, fracture stabilisation, and mobilisation influence downstream risk of ARDS, sepsis, and multiple organ failure </w:t>
      </w:r>
      <w:r w:rsidRPr="00045DFA">
        <w:rPr>
          <w:rFonts w:asciiTheme="majorHAnsi" w:hAnsiTheme="majorHAnsi" w:cs="Times New Roman"/>
          <w:b/>
          <w:bCs/>
        </w:rPr>
        <w:t>[10,16,17,23]</w:t>
      </w:r>
      <w:r w:rsidRPr="00045DFA">
        <w:rPr>
          <w:rFonts w:asciiTheme="majorHAnsi" w:hAnsiTheme="majorHAnsi" w:cs="Times New Roman"/>
        </w:rPr>
        <w:t>.</w:t>
      </w:r>
    </w:p>
    <w:p w14:paraId="2F9B635B" w14:textId="77777777" w:rsidR="000559DE" w:rsidRPr="00045DFA" w:rsidRDefault="000559DE" w:rsidP="00482F28">
      <w:pPr>
        <w:spacing w:after="0" w:line="276" w:lineRule="auto"/>
        <w:rPr>
          <w:rFonts w:asciiTheme="majorHAnsi" w:hAnsiTheme="majorHAnsi" w:cs="Times New Roman"/>
        </w:rPr>
      </w:pPr>
    </w:p>
    <w:p w14:paraId="4C9E0099"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 xml:space="preserve">Mortality variation across trauma systems underscores the importance of organisational capacity. Workforce density, ICU availability, time-to-intervention thresholds, and failure-to-rescue capability substantially influence survival independent of injury severity </w:t>
      </w:r>
      <w:r w:rsidRPr="00045DFA">
        <w:rPr>
          <w:rFonts w:asciiTheme="majorHAnsi" w:hAnsiTheme="majorHAnsi" w:cs="Times New Roman"/>
          <w:b/>
          <w:bCs/>
        </w:rPr>
        <w:t>[2,48,15]</w:t>
      </w:r>
      <w:r w:rsidRPr="00045DFA">
        <w:rPr>
          <w:rFonts w:asciiTheme="majorHAnsi" w:hAnsiTheme="majorHAnsi" w:cs="Times New Roman"/>
        </w:rPr>
        <w:t>.</w:t>
      </w:r>
    </w:p>
    <w:p w14:paraId="54CA58B4" w14:textId="77777777" w:rsidR="000559DE" w:rsidRPr="00045DFA" w:rsidRDefault="000559DE" w:rsidP="00482F28">
      <w:pPr>
        <w:spacing w:after="0" w:line="276" w:lineRule="auto"/>
        <w:rPr>
          <w:rFonts w:asciiTheme="majorHAnsi" w:hAnsiTheme="majorHAnsi" w:cs="Times New Roman"/>
        </w:rPr>
      </w:pPr>
    </w:p>
    <w:p w14:paraId="6489CDDD"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A physiology-anchored, tiered framework allows prioritisation of high-impact, feasible interventions before progression to structured monitoring and advanced rescue systems. Quantified performance benchmarks provide direction while accommodating institutional variability.</w:t>
      </w:r>
    </w:p>
    <w:p w14:paraId="033CFF80" w14:textId="77777777" w:rsidR="000559DE" w:rsidRPr="00045DFA" w:rsidRDefault="000559DE" w:rsidP="00482F28">
      <w:pPr>
        <w:spacing w:after="0" w:line="276" w:lineRule="auto"/>
        <w:rPr>
          <w:rFonts w:asciiTheme="majorHAnsi" w:hAnsiTheme="majorHAnsi" w:cs="Times New Roman"/>
        </w:rPr>
      </w:pPr>
    </w:p>
    <w:p w14:paraId="15AB80C9" w14:textId="77777777" w:rsidR="00482F28"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 xml:space="preserve">Prospective evaluation of this tiered recovery framework should extend beyond mortality endpoints. Given the established association between systemic inflammation and organ failure </w:t>
      </w:r>
      <w:r w:rsidRPr="00045DFA">
        <w:rPr>
          <w:rFonts w:asciiTheme="majorHAnsi" w:hAnsiTheme="majorHAnsi" w:cs="Times New Roman"/>
          <w:b/>
          <w:bCs/>
        </w:rPr>
        <w:t>[3,10]</w:t>
      </w:r>
      <w:r w:rsidRPr="00045DFA">
        <w:rPr>
          <w:rFonts w:asciiTheme="majorHAnsi" w:hAnsiTheme="majorHAnsi" w:cs="Times New Roman"/>
        </w:rPr>
        <w:t xml:space="preserve">, future studies could assess complication density, time-to-escalation, inflammatory marker trajectories, and 90-day functional recovery. Validation across trauma systems with varying rescue capacity </w:t>
      </w:r>
      <w:r w:rsidRPr="00045DFA">
        <w:rPr>
          <w:rFonts w:asciiTheme="majorHAnsi" w:hAnsiTheme="majorHAnsi" w:cs="Times New Roman"/>
          <w:b/>
          <w:bCs/>
        </w:rPr>
        <w:t>[48,15]</w:t>
      </w:r>
      <w:r w:rsidRPr="00045DFA">
        <w:rPr>
          <w:rFonts w:asciiTheme="majorHAnsi" w:hAnsiTheme="majorHAnsi" w:cs="Times New Roman"/>
        </w:rPr>
        <w:t xml:space="preserve"> would clarify whether structured physiological sequencing reduces cumulative organ burden and improves durable outcomes.</w:t>
      </w:r>
    </w:p>
    <w:p w14:paraId="06CFAB6D" w14:textId="77777777" w:rsidR="000559DE" w:rsidRPr="00045DFA" w:rsidRDefault="000559DE" w:rsidP="00482F28">
      <w:pPr>
        <w:spacing w:after="0" w:line="276" w:lineRule="auto"/>
        <w:rPr>
          <w:rFonts w:asciiTheme="majorHAnsi" w:hAnsiTheme="majorHAnsi" w:cs="Times New Roman"/>
        </w:rPr>
      </w:pPr>
    </w:p>
    <w:p w14:paraId="35AD12EE" w14:textId="45722D51" w:rsidR="0059516A" w:rsidRPr="00045DFA" w:rsidRDefault="00482F28" w:rsidP="00482F28">
      <w:pPr>
        <w:spacing w:after="0" w:line="276" w:lineRule="auto"/>
        <w:rPr>
          <w:rFonts w:asciiTheme="majorHAnsi" w:hAnsiTheme="majorHAnsi" w:cs="Times New Roman"/>
        </w:rPr>
      </w:pPr>
      <w:r w:rsidRPr="00045DFA">
        <w:rPr>
          <w:rFonts w:asciiTheme="majorHAnsi" w:hAnsiTheme="majorHAnsi" w:cs="Times New Roman"/>
        </w:rPr>
        <w:t>Recovery in polytrauma is not a discrete phase following surgery; it begins with the first physiological decision and continues through coordinated multidisciplinary care. When abdominal and orthopaedic strategies align rather than compete, the cumulative burden of injury can be moderated—even in resource-constrained environments.</w:t>
      </w:r>
      <w:r w:rsidR="0059516A" w:rsidRPr="00045DFA">
        <w:rPr>
          <w:rFonts w:asciiTheme="majorHAnsi" w:hAnsiTheme="majorHAnsi" w:cs="Times New Roman"/>
        </w:rPr>
        <w:t xml:space="preserve"> Future prospective validation across diverse trauma systems is required to confirm clinical impact.</w:t>
      </w:r>
    </w:p>
    <w:p w14:paraId="298CA893" w14:textId="77777777" w:rsidR="0059516A" w:rsidRPr="00045DFA" w:rsidRDefault="0059516A" w:rsidP="00482F28">
      <w:pPr>
        <w:spacing w:after="0" w:line="276" w:lineRule="auto"/>
        <w:rPr>
          <w:rFonts w:asciiTheme="majorHAnsi" w:hAnsiTheme="majorHAnsi" w:cs="Times New Roman"/>
        </w:rPr>
      </w:pPr>
    </w:p>
    <w:p w14:paraId="631F0D6B" w14:textId="77777777" w:rsidR="0059516A" w:rsidRPr="00045DFA" w:rsidRDefault="0059516A" w:rsidP="00482F28">
      <w:pPr>
        <w:spacing w:after="0" w:line="276" w:lineRule="auto"/>
        <w:rPr>
          <w:rFonts w:asciiTheme="majorHAnsi" w:hAnsiTheme="majorHAnsi" w:cs="Times New Roman"/>
        </w:rPr>
      </w:pPr>
    </w:p>
    <w:p w14:paraId="7B23A346" w14:textId="77777777" w:rsidR="0059516A" w:rsidRPr="00045DFA" w:rsidRDefault="0059516A" w:rsidP="0059516A">
      <w:pPr>
        <w:spacing w:after="0" w:line="276" w:lineRule="auto"/>
        <w:rPr>
          <w:rFonts w:asciiTheme="majorHAnsi" w:hAnsiTheme="majorHAnsi" w:cs="Times New Roman"/>
          <w:b/>
          <w:bCs/>
        </w:rPr>
      </w:pPr>
      <w:r w:rsidRPr="00045DFA">
        <w:rPr>
          <w:rFonts w:asciiTheme="majorHAnsi" w:hAnsiTheme="majorHAnsi" w:cs="Times New Roman"/>
          <w:b/>
          <w:bCs/>
        </w:rPr>
        <w:t>Limitations</w:t>
      </w:r>
    </w:p>
    <w:p w14:paraId="213BB143" w14:textId="77777777" w:rsidR="0059516A" w:rsidRPr="00045DFA" w:rsidRDefault="0059516A" w:rsidP="0059516A">
      <w:pPr>
        <w:spacing w:after="0" w:line="276" w:lineRule="auto"/>
        <w:rPr>
          <w:rFonts w:asciiTheme="majorHAnsi" w:hAnsiTheme="majorHAnsi" w:cs="Times New Roman"/>
        </w:rPr>
      </w:pPr>
    </w:p>
    <w:p w14:paraId="72666F4A" w14:textId="0A0C227F" w:rsidR="0059516A" w:rsidRPr="00045DFA" w:rsidRDefault="0059516A" w:rsidP="0059516A">
      <w:pPr>
        <w:spacing w:after="0" w:line="276" w:lineRule="auto"/>
        <w:rPr>
          <w:rFonts w:asciiTheme="majorHAnsi" w:hAnsiTheme="majorHAnsi" w:cs="Times New Roman"/>
        </w:rPr>
      </w:pPr>
      <w:r w:rsidRPr="00045DFA">
        <w:rPr>
          <w:rFonts w:asciiTheme="majorHAnsi" w:hAnsiTheme="majorHAnsi" w:cs="Times New Roman"/>
        </w:rPr>
        <w:lastRenderedPageBreak/>
        <w:t>This review represents a structured narrative synthesis rather than a formal systematic review. As such, selection bias cannot be completely excluded. Some recommendations are derived from observational data or extrapolated from critically ill populations rather than polytrauma-specific randomized trials. Additionally, heterogeneity across trauma systems may limit generalisability of the proposed framework. Prospective validation studies are required to evaluate the clinical impact of the proposed recovery model.</w:t>
      </w:r>
    </w:p>
    <w:p w14:paraId="4A100CF4" w14:textId="77777777" w:rsidR="00900F1B" w:rsidRPr="00045DFA" w:rsidRDefault="00900F1B" w:rsidP="00680D07">
      <w:pPr>
        <w:spacing w:after="0" w:line="276" w:lineRule="auto"/>
        <w:rPr>
          <w:rFonts w:asciiTheme="majorHAnsi" w:hAnsiTheme="majorHAnsi" w:cs="Times New Roman"/>
        </w:rPr>
      </w:pPr>
    </w:p>
    <w:p w14:paraId="589D2E3F" w14:textId="77777777" w:rsidR="001A21BF" w:rsidRPr="00045DFA" w:rsidRDefault="001A21BF" w:rsidP="001A21BF">
      <w:pPr>
        <w:spacing w:after="0" w:line="240" w:lineRule="auto"/>
        <w:rPr>
          <w:rFonts w:asciiTheme="majorHAnsi" w:eastAsia="Calibri" w:hAnsiTheme="majorHAnsi" w:cs="Times New Roman"/>
          <w:highlight w:val="yellow"/>
          <w:lang w:val="en-US"/>
          <w14:ligatures w14:val="none"/>
        </w:rPr>
      </w:pPr>
      <w:bookmarkStart w:id="1" w:name="_Hlk198031404"/>
      <w:r w:rsidRPr="00045DFA">
        <w:rPr>
          <w:rFonts w:asciiTheme="majorHAnsi" w:eastAsia="Calibri" w:hAnsiTheme="majorHAnsi" w:cs="Times New Roman"/>
          <w:highlight w:val="yellow"/>
          <w:lang w:val="en-US"/>
          <w14:ligatures w14:val="none"/>
        </w:rPr>
        <w:t>Disclaimer (Artificial intelligence)</w:t>
      </w:r>
    </w:p>
    <w:p w14:paraId="2103FD6E" w14:textId="77777777" w:rsidR="001A21BF" w:rsidRPr="00045DFA" w:rsidRDefault="001A21BF" w:rsidP="001A21BF">
      <w:pPr>
        <w:spacing w:after="0" w:line="240" w:lineRule="auto"/>
        <w:rPr>
          <w:rFonts w:asciiTheme="majorHAnsi" w:eastAsia="Calibri" w:hAnsiTheme="majorHAnsi" w:cs="Times New Roman"/>
          <w:highlight w:val="yellow"/>
          <w:lang w:val="en-US"/>
          <w14:ligatures w14:val="none"/>
        </w:rPr>
      </w:pPr>
    </w:p>
    <w:p w14:paraId="311E36EF" w14:textId="77777777" w:rsidR="001A21BF" w:rsidRPr="00045DFA" w:rsidRDefault="001A21BF" w:rsidP="001A21BF">
      <w:pPr>
        <w:spacing w:after="0" w:line="240" w:lineRule="auto"/>
        <w:rPr>
          <w:rFonts w:asciiTheme="majorHAnsi" w:eastAsia="Calibri" w:hAnsiTheme="majorHAnsi" w:cs="Times New Roman"/>
          <w:highlight w:val="yellow"/>
          <w:lang w:val="en-US"/>
          <w14:ligatures w14:val="none"/>
        </w:rPr>
      </w:pPr>
      <w:r w:rsidRPr="00045DFA">
        <w:rPr>
          <w:rFonts w:asciiTheme="majorHAnsi" w:eastAsia="Calibri" w:hAnsiTheme="majorHAnsi" w:cs="Times New Roman"/>
          <w:highlight w:val="yellow"/>
          <w:lang w:val="en-US"/>
          <w14:ligatures w14:val="none"/>
        </w:rPr>
        <w:t xml:space="preserve">Author(s) hereby declare that NO generative AI technologies such as Large Language Models (ChatGPT, COPILOT, etc.) and text-to-image generators have been used during the writing or editing of this manuscript. </w:t>
      </w:r>
    </w:p>
    <w:bookmarkEnd w:id="1"/>
    <w:p w14:paraId="4347653F" w14:textId="77777777" w:rsidR="00900F1B" w:rsidRPr="00045DFA" w:rsidRDefault="00900F1B" w:rsidP="00680D07">
      <w:pPr>
        <w:spacing w:after="0" w:line="276" w:lineRule="auto"/>
        <w:rPr>
          <w:rFonts w:asciiTheme="majorHAnsi" w:hAnsiTheme="majorHAnsi" w:cs="Times New Roman"/>
        </w:rPr>
      </w:pPr>
    </w:p>
    <w:p w14:paraId="24DFC01D" w14:textId="77777777" w:rsidR="00900F1B" w:rsidRPr="00045DFA" w:rsidRDefault="00900F1B" w:rsidP="00680D07">
      <w:pPr>
        <w:spacing w:after="0" w:line="276" w:lineRule="auto"/>
        <w:rPr>
          <w:rFonts w:asciiTheme="majorHAnsi" w:hAnsiTheme="majorHAnsi" w:cs="Times New Roman"/>
        </w:rPr>
      </w:pPr>
    </w:p>
    <w:p w14:paraId="6B7B2AFA" w14:textId="77777777" w:rsidR="00717547" w:rsidRPr="00045DFA" w:rsidRDefault="00717547" w:rsidP="00680D07">
      <w:pPr>
        <w:spacing w:after="0" w:line="276" w:lineRule="auto"/>
        <w:rPr>
          <w:rFonts w:asciiTheme="majorHAnsi" w:hAnsiTheme="majorHAnsi" w:cs="Times New Roman"/>
        </w:rPr>
      </w:pPr>
    </w:p>
    <w:p w14:paraId="160BBA19" w14:textId="37DE6FFE" w:rsidR="00F5490C" w:rsidRPr="00045DFA" w:rsidRDefault="00030269" w:rsidP="00680D07">
      <w:pPr>
        <w:spacing w:after="0" w:line="276" w:lineRule="auto"/>
        <w:rPr>
          <w:rFonts w:asciiTheme="majorHAnsi" w:hAnsiTheme="majorHAnsi" w:cs="Times New Roman"/>
          <w:b/>
          <w:bCs/>
        </w:rPr>
      </w:pPr>
      <w:r w:rsidRPr="00045DFA">
        <w:rPr>
          <w:rFonts w:asciiTheme="majorHAnsi" w:hAnsiTheme="majorHAnsi" w:cs="Times New Roman"/>
          <w:b/>
          <w:bCs/>
        </w:rPr>
        <w:t>References</w:t>
      </w:r>
    </w:p>
    <w:p w14:paraId="6625DE50" w14:textId="77777777" w:rsidR="00F5490C" w:rsidRPr="00045DFA" w:rsidRDefault="00F5490C" w:rsidP="00680D07">
      <w:pPr>
        <w:spacing w:after="0" w:line="276" w:lineRule="auto"/>
        <w:rPr>
          <w:rFonts w:asciiTheme="majorHAnsi" w:hAnsiTheme="majorHAnsi" w:cs="Times New Roman"/>
        </w:rPr>
      </w:pPr>
    </w:p>
    <w:p w14:paraId="266E9FCD" w14:textId="77777777" w:rsidR="006B236F" w:rsidRPr="00045DFA" w:rsidRDefault="006B236F" w:rsidP="006B236F">
      <w:pPr>
        <w:spacing w:after="0" w:line="276" w:lineRule="auto"/>
        <w:rPr>
          <w:rFonts w:asciiTheme="majorHAnsi" w:hAnsiTheme="majorHAnsi" w:cs="Times New Roman"/>
        </w:rPr>
      </w:pPr>
      <w:r w:rsidRPr="00045DFA">
        <w:rPr>
          <w:rFonts w:asciiTheme="majorHAnsi" w:hAnsiTheme="majorHAnsi" w:cs="Times New Roman"/>
          <w:b/>
          <w:bCs/>
        </w:rPr>
        <w:t>1.</w:t>
      </w:r>
      <w:r w:rsidRPr="00045DFA">
        <w:rPr>
          <w:rFonts w:asciiTheme="majorHAnsi" w:hAnsiTheme="majorHAnsi" w:cs="Times New Roman"/>
        </w:rPr>
        <w:t xml:space="preserve"> Haagsma JA, Graetz N, </w:t>
      </w:r>
      <w:proofErr w:type="spellStart"/>
      <w:r w:rsidRPr="00045DFA">
        <w:rPr>
          <w:rFonts w:asciiTheme="majorHAnsi" w:hAnsiTheme="majorHAnsi" w:cs="Times New Roman"/>
        </w:rPr>
        <w:t>Bolliger</w:t>
      </w:r>
      <w:proofErr w:type="spellEnd"/>
      <w:r w:rsidRPr="00045DFA">
        <w:rPr>
          <w:rFonts w:asciiTheme="majorHAnsi" w:hAnsiTheme="majorHAnsi" w:cs="Times New Roman"/>
        </w:rPr>
        <w:t xml:space="preserve"> I, </w:t>
      </w:r>
      <w:proofErr w:type="spellStart"/>
      <w:r w:rsidRPr="00045DFA">
        <w:rPr>
          <w:rFonts w:asciiTheme="majorHAnsi" w:hAnsiTheme="majorHAnsi" w:cs="Times New Roman"/>
        </w:rPr>
        <w:t>Naghavi</w:t>
      </w:r>
      <w:proofErr w:type="spellEnd"/>
      <w:r w:rsidRPr="00045DFA">
        <w:rPr>
          <w:rFonts w:asciiTheme="majorHAnsi" w:hAnsiTheme="majorHAnsi" w:cs="Times New Roman"/>
        </w:rPr>
        <w:t xml:space="preserve"> M, Higashi H, Mullany EC, et al. The global burden of injury: incidence, mortality, and disability-adjusted life years. </w:t>
      </w:r>
      <w:r w:rsidRPr="00045DFA">
        <w:rPr>
          <w:rFonts w:asciiTheme="majorHAnsi" w:hAnsiTheme="majorHAnsi" w:cs="Times New Roman"/>
          <w:b/>
          <w:bCs/>
        </w:rPr>
        <w:t>Lancet.</w:t>
      </w:r>
      <w:r w:rsidRPr="00045DFA">
        <w:rPr>
          <w:rFonts w:asciiTheme="majorHAnsi" w:hAnsiTheme="majorHAnsi" w:cs="Times New Roman"/>
        </w:rPr>
        <w:t xml:space="preserve"> 2020;396(10245):1204–22. doi:10.1016/S0140-6736(20)31204-6</w:t>
      </w:r>
    </w:p>
    <w:p w14:paraId="7CF54AF8" w14:textId="77777777" w:rsidR="006B236F" w:rsidRPr="00045DFA" w:rsidRDefault="006B236F" w:rsidP="006B236F">
      <w:pPr>
        <w:spacing w:after="0" w:line="276" w:lineRule="auto"/>
        <w:rPr>
          <w:rFonts w:asciiTheme="majorHAnsi" w:hAnsiTheme="majorHAnsi" w:cs="Times New Roman"/>
        </w:rPr>
      </w:pPr>
      <w:r w:rsidRPr="00045DFA">
        <w:rPr>
          <w:rFonts w:asciiTheme="majorHAnsi" w:hAnsiTheme="majorHAnsi" w:cs="Times New Roman"/>
          <w:b/>
          <w:bCs/>
        </w:rPr>
        <w:t>2.</w:t>
      </w:r>
      <w:r w:rsidRPr="00045DFA">
        <w:rPr>
          <w:rFonts w:asciiTheme="majorHAnsi" w:hAnsiTheme="majorHAnsi" w:cs="Times New Roman"/>
        </w:rPr>
        <w:t xml:space="preserve"> Meara JG, Leather AJM, </w:t>
      </w:r>
      <w:proofErr w:type="spellStart"/>
      <w:r w:rsidRPr="00045DFA">
        <w:rPr>
          <w:rFonts w:asciiTheme="majorHAnsi" w:hAnsiTheme="majorHAnsi" w:cs="Times New Roman"/>
        </w:rPr>
        <w:t>Hagander</w:t>
      </w:r>
      <w:proofErr w:type="spellEnd"/>
      <w:r w:rsidRPr="00045DFA">
        <w:rPr>
          <w:rFonts w:asciiTheme="majorHAnsi" w:hAnsiTheme="majorHAnsi" w:cs="Times New Roman"/>
        </w:rPr>
        <w:t xml:space="preserve"> L, </w:t>
      </w:r>
      <w:proofErr w:type="spellStart"/>
      <w:r w:rsidRPr="00045DFA">
        <w:rPr>
          <w:rFonts w:asciiTheme="majorHAnsi" w:hAnsiTheme="majorHAnsi" w:cs="Times New Roman"/>
        </w:rPr>
        <w:t>Alkire</w:t>
      </w:r>
      <w:proofErr w:type="spellEnd"/>
      <w:r w:rsidRPr="00045DFA">
        <w:rPr>
          <w:rFonts w:asciiTheme="majorHAnsi" w:hAnsiTheme="majorHAnsi" w:cs="Times New Roman"/>
        </w:rPr>
        <w:t xml:space="preserve"> BC, Alonso N, Ameh EA, et al. Global Surgery 2030: evidence and solutions for achieving health and economic development. </w:t>
      </w:r>
      <w:r w:rsidRPr="00045DFA">
        <w:rPr>
          <w:rFonts w:asciiTheme="majorHAnsi" w:hAnsiTheme="majorHAnsi" w:cs="Times New Roman"/>
          <w:b/>
          <w:bCs/>
        </w:rPr>
        <w:t>Lancet.</w:t>
      </w:r>
      <w:r w:rsidRPr="00045DFA">
        <w:rPr>
          <w:rFonts w:asciiTheme="majorHAnsi" w:hAnsiTheme="majorHAnsi" w:cs="Times New Roman"/>
        </w:rPr>
        <w:t xml:space="preserve"> 2015;386(9993):569–624. doi:10.1016/S0140-6736(15)60160-X</w:t>
      </w:r>
    </w:p>
    <w:p w14:paraId="694A0194" w14:textId="77777777" w:rsidR="006B236F" w:rsidRPr="00045DFA" w:rsidRDefault="006B236F" w:rsidP="006B236F">
      <w:pPr>
        <w:spacing w:after="0" w:line="276" w:lineRule="auto"/>
        <w:rPr>
          <w:rFonts w:asciiTheme="majorHAnsi" w:hAnsiTheme="majorHAnsi" w:cs="Times New Roman"/>
        </w:rPr>
      </w:pPr>
      <w:r w:rsidRPr="00045DFA">
        <w:rPr>
          <w:rFonts w:asciiTheme="majorHAnsi" w:hAnsiTheme="majorHAnsi" w:cs="Times New Roman"/>
          <w:b/>
          <w:bCs/>
        </w:rPr>
        <w:t>3.</w:t>
      </w:r>
      <w:r w:rsidRPr="00045DFA">
        <w:rPr>
          <w:rFonts w:asciiTheme="majorHAnsi" w:hAnsiTheme="majorHAnsi" w:cs="Times New Roman"/>
        </w:rPr>
        <w:t xml:space="preserve"> Lord JM, Midwinter MJ, Chen YF, Belli A, </w:t>
      </w:r>
      <w:proofErr w:type="spellStart"/>
      <w:r w:rsidRPr="00045DFA">
        <w:rPr>
          <w:rFonts w:asciiTheme="majorHAnsi" w:hAnsiTheme="majorHAnsi" w:cs="Times New Roman"/>
        </w:rPr>
        <w:t>Brohi</w:t>
      </w:r>
      <w:proofErr w:type="spellEnd"/>
      <w:r w:rsidRPr="00045DFA">
        <w:rPr>
          <w:rFonts w:asciiTheme="majorHAnsi" w:hAnsiTheme="majorHAnsi" w:cs="Times New Roman"/>
        </w:rPr>
        <w:t xml:space="preserve"> K, Kovacs EJ, et al. The systemic immune response to trauma: an overview of pathophysiology and treatment. </w:t>
      </w:r>
      <w:r w:rsidRPr="00045DFA">
        <w:rPr>
          <w:rFonts w:asciiTheme="majorHAnsi" w:hAnsiTheme="majorHAnsi" w:cs="Times New Roman"/>
          <w:b/>
          <w:bCs/>
        </w:rPr>
        <w:t>Lancet.</w:t>
      </w:r>
      <w:r w:rsidRPr="00045DFA">
        <w:rPr>
          <w:rFonts w:asciiTheme="majorHAnsi" w:hAnsiTheme="majorHAnsi" w:cs="Times New Roman"/>
        </w:rPr>
        <w:t xml:space="preserve"> 2014;384(9952):1455–65. doi:10.1016/S0140-6736(14)60687-5</w:t>
      </w:r>
    </w:p>
    <w:p w14:paraId="572B83C6" w14:textId="77777777" w:rsidR="006B236F" w:rsidRPr="00045DFA" w:rsidRDefault="006B236F" w:rsidP="006B236F">
      <w:pPr>
        <w:spacing w:after="0" w:line="276" w:lineRule="auto"/>
        <w:rPr>
          <w:rFonts w:asciiTheme="majorHAnsi" w:hAnsiTheme="majorHAnsi" w:cs="Times New Roman"/>
        </w:rPr>
      </w:pPr>
      <w:r w:rsidRPr="00045DFA">
        <w:rPr>
          <w:rFonts w:asciiTheme="majorHAnsi" w:hAnsiTheme="majorHAnsi" w:cs="Times New Roman"/>
          <w:b/>
          <w:bCs/>
        </w:rPr>
        <w:t>4.</w:t>
      </w:r>
      <w:r w:rsidRPr="00045DFA">
        <w:rPr>
          <w:rFonts w:asciiTheme="majorHAnsi" w:hAnsiTheme="majorHAnsi" w:cs="Times New Roman"/>
        </w:rPr>
        <w:t xml:space="preserve"> Xiao W, </w:t>
      </w:r>
      <w:proofErr w:type="spellStart"/>
      <w:r w:rsidRPr="00045DFA">
        <w:rPr>
          <w:rFonts w:asciiTheme="majorHAnsi" w:hAnsiTheme="majorHAnsi" w:cs="Times New Roman"/>
        </w:rPr>
        <w:t>Mindrinos</w:t>
      </w:r>
      <w:proofErr w:type="spellEnd"/>
      <w:r w:rsidRPr="00045DFA">
        <w:rPr>
          <w:rFonts w:asciiTheme="majorHAnsi" w:hAnsiTheme="majorHAnsi" w:cs="Times New Roman"/>
        </w:rPr>
        <w:t xml:space="preserve"> MN, Seok J, Cuschieri J, Cuenca AG, Gao H, et al. A genomic storm in critically injured humans. </w:t>
      </w:r>
      <w:r w:rsidRPr="00045DFA">
        <w:rPr>
          <w:rFonts w:asciiTheme="majorHAnsi" w:hAnsiTheme="majorHAnsi" w:cs="Times New Roman"/>
          <w:b/>
          <w:bCs/>
        </w:rPr>
        <w:t>J Exp Med.</w:t>
      </w:r>
      <w:r w:rsidRPr="00045DFA">
        <w:rPr>
          <w:rFonts w:asciiTheme="majorHAnsi" w:hAnsiTheme="majorHAnsi" w:cs="Times New Roman"/>
        </w:rPr>
        <w:t xml:space="preserve"> 2011;208(13):2581–90. doi:10.1084/jem.20111354</w:t>
      </w:r>
    </w:p>
    <w:p w14:paraId="3B6B2A2E" w14:textId="77777777" w:rsidR="006B236F" w:rsidRPr="00045DFA" w:rsidRDefault="006B236F" w:rsidP="006B236F">
      <w:pPr>
        <w:spacing w:after="0" w:line="276" w:lineRule="auto"/>
        <w:rPr>
          <w:rFonts w:asciiTheme="majorHAnsi" w:hAnsiTheme="majorHAnsi" w:cs="Times New Roman"/>
        </w:rPr>
      </w:pPr>
      <w:r w:rsidRPr="00045DFA">
        <w:rPr>
          <w:rFonts w:asciiTheme="majorHAnsi" w:hAnsiTheme="majorHAnsi" w:cs="Times New Roman"/>
          <w:b/>
          <w:bCs/>
        </w:rPr>
        <w:t>5.</w:t>
      </w:r>
      <w:r w:rsidRPr="00045DFA">
        <w:rPr>
          <w:rFonts w:asciiTheme="majorHAnsi" w:hAnsiTheme="majorHAnsi" w:cs="Times New Roman"/>
        </w:rPr>
        <w:t xml:space="preserve"> Cohen MJ. Acute traumatic coagulopathy: clinical characterization and implications for trauma care. </w:t>
      </w:r>
      <w:r w:rsidRPr="00045DFA">
        <w:rPr>
          <w:rFonts w:asciiTheme="majorHAnsi" w:hAnsiTheme="majorHAnsi" w:cs="Times New Roman"/>
          <w:b/>
          <w:bCs/>
        </w:rPr>
        <w:t>J Trauma.</w:t>
      </w:r>
      <w:r w:rsidRPr="00045DFA">
        <w:rPr>
          <w:rFonts w:asciiTheme="majorHAnsi" w:hAnsiTheme="majorHAnsi" w:cs="Times New Roman"/>
        </w:rPr>
        <w:t xml:space="preserve"> 2007;62(6 </w:t>
      </w:r>
      <w:proofErr w:type="spellStart"/>
      <w:r w:rsidRPr="00045DFA">
        <w:rPr>
          <w:rFonts w:asciiTheme="majorHAnsi" w:hAnsiTheme="majorHAnsi" w:cs="Times New Roman"/>
        </w:rPr>
        <w:t>Suppl</w:t>
      </w:r>
      <w:proofErr w:type="spellEnd"/>
      <w:r w:rsidRPr="00045DFA">
        <w:rPr>
          <w:rFonts w:asciiTheme="majorHAnsi" w:hAnsiTheme="majorHAnsi" w:cs="Times New Roman"/>
        </w:rPr>
        <w:t>):S29–34. doi:10.1097/TA.0b013e318065b5f2</w:t>
      </w:r>
    </w:p>
    <w:p w14:paraId="193E0C17" w14:textId="77777777" w:rsidR="006B236F" w:rsidRPr="00045DFA" w:rsidRDefault="006B236F" w:rsidP="006B236F">
      <w:pPr>
        <w:spacing w:after="0" w:line="276" w:lineRule="auto"/>
        <w:rPr>
          <w:rFonts w:asciiTheme="majorHAnsi" w:hAnsiTheme="majorHAnsi" w:cs="Times New Roman"/>
        </w:rPr>
      </w:pPr>
      <w:r w:rsidRPr="00045DFA">
        <w:rPr>
          <w:rFonts w:asciiTheme="majorHAnsi" w:hAnsiTheme="majorHAnsi" w:cs="Times New Roman"/>
          <w:b/>
          <w:bCs/>
        </w:rPr>
        <w:t>6.</w:t>
      </w:r>
      <w:r w:rsidRPr="00045DFA">
        <w:rPr>
          <w:rFonts w:asciiTheme="majorHAnsi" w:hAnsiTheme="majorHAnsi" w:cs="Times New Roman"/>
        </w:rPr>
        <w:t xml:space="preserve"> Johansson PI, Stensballe J, Ostrowski SR. Shock-induced </w:t>
      </w:r>
      <w:proofErr w:type="spellStart"/>
      <w:r w:rsidRPr="00045DFA">
        <w:rPr>
          <w:rFonts w:asciiTheme="majorHAnsi" w:hAnsiTheme="majorHAnsi" w:cs="Times New Roman"/>
        </w:rPr>
        <w:t>endotheliopathy</w:t>
      </w:r>
      <w:proofErr w:type="spellEnd"/>
      <w:r w:rsidRPr="00045DFA">
        <w:rPr>
          <w:rFonts w:asciiTheme="majorHAnsi" w:hAnsiTheme="majorHAnsi" w:cs="Times New Roman"/>
        </w:rPr>
        <w:t xml:space="preserve"> (SHINE) in trauma: pathophysiology and clinical implications. </w:t>
      </w:r>
      <w:r w:rsidRPr="00045DFA">
        <w:rPr>
          <w:rFonts w:asciiTheme="majorHAnsi" w:hAnsiTheme="majorHAnsi" w:cs="Times New Roman"/>
          <w:b/>
          <w:bCs/>
        </w:rPr>
        <w:t>Crit Care.</w:t>
      </w:r>
      <w:r w:rsidRPr="00045DFA">
        <w:rPr>
          <w:rFonts w:asciiTheme="majorHAnsi" w:hAnsiTheme="majorHAnsi" w:cs="Times New Roman"/>
        </w:rPr>
        <w:t xml:space="preserve"> 2017;21:25. doi:10.1186/s13054-017-1605-5</w:t>
      </w:r>
    </w:p>
    <w:p w14:paraId="7C629EFA" w14:textId="77777777" w:rsidR="006B236F" w:rsidRPr="00045DFA" w:rsidRDefault="006B236F" w:rsidP="006B236F">
      <w:pPr>
        <w:spacing w:after="0" w:line="276" w:lineRule="auto"/>
        <w:rPr>
          <w:rFonts w:asciiTheme="majorHAnsi" w:hAnsiTheme="majorHAnsi" w:cs="Times New Roman"/>
        </w:rPr>
      </w:pPr>
      <w:r w:rsidRPr="00045DFA">
        <w:rPr>
          <w:rFonts w:asciiTheme="majorHAnsi" w:hAnsiTheme="majorHAnsi" w:cs="Times New Roman"/>
          <w:b/>
          <w:bCs/>
        </w:rPr>
        <w:t>7.</w:t>
      </w:r>
      <w:r w:rsidRPr="00045DFA">
        <w:rPr>
          <w:rFonts w:asciiTheme="majorHAnsi" w:hAnsiTheme="majorHAnsi" w:cs="Times New Roman"/>
        </w:rPr>
        <w:t xml:space="preserve"> Rahbar E, Cardenas JC, </w:t>
      </w:r>
      <w:proofErr w:type="spellStart"/>
      <w:r w:rsidRPr="00045DFA">
        <w:rPr>
          <w:rFonts w:asciiTheme="majorHAnsi" w:hAnsiTheme="majorHAnsi" w:cs="Times New Roman"/>
        </w:rPr>
        <w:t>Baimukanova</w:t>
      </w:r>
      <w:proofErr w:type="spellEnd"/>
      <w:r w:rsidRPr="00045DFA">
        <w:rPr>
          <w:rFonts w:asciiTheme="majorHAnsi" w:hAnsiTheme="majorHAnsi" w:cs="Times New Roman"/>
        </w:rPr>
        <w:t xml:space="preserve"> G, </w:t>
      </w:r>
      <w:proofErr w:type="spellStart"/>
      <w:r w:rsidRPr="00045DFA">
        <w:rPr>
          <w:rFonts w:asciiTheme="majorHAnsi" w:hAnsiTheme="majorHAnsi" w:cs="Times New Roman"/>
        </w:rPr>
        <w:t>Usadi</w:t>
      </w:r>
      <w:proofErr w:type="spellEnd"/>
      <w:r w:rsidRPr="00045DFA">
        <w:rPr>
          <w:rFonts w:asciiTheme="majorHAnsi" w:hAnsiTheme="majorHAnsi" w:cs="Times New Roman"/>
        </w:rPr>
        <w:t xml:space="preserve"> B, Bruhn R, Pati S, et al. Endothelial glycocalyx shedding and vascular permeability in severely injured trauma patients. </w:t>
      </w:r>
      <w:r w:rsidRPr="00045DFA">
        <w:rPr>
          <w:rFonts w:asciiTheme="majorHAnsi" w:hAnsiTheme="majorHAnsi" w:cs="Times New Roman"/>
          <w:b/>
          <w:bCs/>
        </w:rPr>
        <w:t xml:space="preserve">J </w:t>
      </w:r>
      <w:proofErr w:type="spellStart"/>
      <w:r w:rsidRPr="00045DFA">
        <w:rPr>
          <w:rFonts w:asciiTheme="majorHAnsi" w:hAnsiTheme="majorHAnsi" w:cs="Times New Roman"/>
          <w:b/>
          <w:bCs/>
        </w:rPr>
        <w:t>Transl</w:t>
      </w:r>
      <w:proofErr w:type="spellEnd"/>
      <w:r w:rsidRPr="00045DFA">
        <w:rPr>
          <w:rFonts w:asciiTheme="majorHAnsi" w:hAnsiTheme="majorHAnsi" w:cs="Times New Roman"/>
          <w:b/>
          <w:bCs/>
        </w:rPr>
        <w:t xml:space="preserve"> Med.</w:t>
      </w:r>
      <w:r w:rsidRPr="00045DFA">
        <w:rPr>
          <w:rFonts w:asciiTheme="majorHAnsi" w:hAnsiTheme="majorHAnsi" w:cs="Times New Roman"/>
        </w:rPr>
        <w:t xml:space="preserve"> 2015;13:117. doi:10.1186/s12967-015-0481-5</w:t>
      </w:r>
    </w:p>
    <w:p w14:paraId="6E79C7BE" w14:textId="77777777" w:rsidR="006B236F" w:rsidRPr="00045DFA" w:rsidRDefault="006B236F" w:rsidP="006B236F">
      <w:pPr>
        <w:spacing w:after="0" w:line="276" w:lineRule="auto"/>
        <w:rPr>
          <w:rFonts w:asciiTheme="majorHAnsi" w:hAnsiTheme="majorHAnsi" w:cs="Times New Roman"/>
        </w:rPr>
      </w:pPr>
      <w:r w:rsidRPr="00045DFA">
        <w:rPr>
          <w:rFonts w:asciiTheme="majorHAnsi" w:hAnsiTheme="majorHAnsi" w:cs="Times New Roman"/>
          <w:b/>
          <w:bCs/>
        </w:rPr>
        <w:t>8.</w:t>
      </w:r>
      <w:r w:rsidRPr="00045DFA">
        <w:rPr>
          <w:rFonts w:asciiTheme="majorHAnsi" w:hAnsiTheme="majorHAnsi" w:cs="Times New Roman"/>
        </w:rPr>
        <w:t xml:space="preserve"> Pape HC, </w:t>
      </w:r>
      <w:proofErr w:type="spellStart"/>
      <w:r w:rsidRPr="00045DFA">
        <w:rPr>
          <w:rFonts w:asciiTheme="majorHAnsi" w:hAnsiTheme="majorHAnsi" w:cs="Times New Roman"/>
        </w:rPr>
        <w:t>Giannoudis</w:t>
      </w:r>
      <w:proofErr w:type="spellEnd"/>
      <w:r w:rsidRPr="00045DFA">
        <w:rPr>
          <w:rFonts w:asciiTheme="majorHAnsi" w:hAnsiTheme="majorHAnsi" w:cs="Times New Roman"/>
        </w:rPr>
        <w:t xml:space="preserve"> PV, </w:t>
      </w:r>
      <w:proofErr w:type="spellStart"/>
      <w:r w:rsidRPr="00045DFA">
        <w:rPr>
          <w:rFonts w:asciiTheme="majorHAnsi" w:hAnsiTheme="majorHAnsi" w:cs="Times New Roman"/>
        </w:rPr>
        <w:t>Krettek</w:t>
      </w:r>
      <w:proofErr w:type="spellEnd"/>
      <w:r w:rsidRPr="00045DFA">
        <w:rPr>
          <w:rFonts w:asciiTheme="majorHAnsi" w:hAnsiTheme="majorHAnsi" w:cs="Times New Roman"/>
        </w:rPr>
        <w:t xml:space="preserve"> C. The timing of fracture treatment in polytrauma patients: relevance of damage control orthopaedics. </w:t>
      </w:r>
      <w:r w:rsidRPr="00045DFA">
        <w:rPr>
          <w:rFonts w:asciiTheme="majorHAnsi" w:hAnsiTheme="majorHAnsi" w:cs="Times New Roman"/>
          <w:b/>
          <w:bCs/>
        </w:rPr>
        <w:t>Am J Surg.</w:t>
      </w:r>
      <w:r w:rsidRPr="00045DFA">
        <w:rPr>
          <w:rFonts w:asciiTheme="majorHAnsi" w:hAnsiTheme="majorHAnsi" w:cs="Times New Roman"/>
        </w:rPr>
        <w:t xml:space="preserve"> 2002;183(6):622–9. doi:10.1016/S0002-9610(02)00865-6</w:t>
      </w:r>
    </w:p>
    <w:p w14:paraId="50F0A5A8" w14:textId="77777777" w:rsidR="006B236F" w:rsidRPr="00045DFA" w:rsidRDefault="006B236F" w:rsidP="006B236F">
      <w:pPr>
        <w:spacing w:after="0" w:line="276" w:lineRule="auto"/>
        <w:rPr>
          <w:rFonts w:asciiTheme="majorHAnsi" w:hAnsiTheme="majorHAnsi" w:cs="Times New Roman"/>
        </w:rPr>
      </w:pPr>
      <w:r w:rsidRPr="00045DFA">
        <w:rPr>
          <w:rFonts w:asciiTheme="majorHAnsi" w:hAnsiTheme="majorHAnsi" w:cs="Times New Roman"/>
          <w:b/>
          <w:bCs/>
        </w:rPr>
        <w:t>9.</w:t>
      </w:r>
      <w:r w:rsidRPr="00045DFA">
        <w:rPr>
          <w:rFonts w:asciiTheme="majorHAnsi" w:hAnsiTheme="majorHAnsi" w:cs="Times New Roman"/>
        </w:rPr>
        <w:t xml:space="preserve"> Rixen D, Raum M, Bouillon B, </w:t>
      </w:r>
      <w:proofErr w:type="spellStart"/>
      <w:r w:rsidRPr="00045DFA">
        <w:rPr>
          <w:rFonts w:asciiTheme="majorHAnsi" w:hAnsiTheme="majorHAnsi" w:cs="Times New Roman"/>
        </w:rPr>
        <w:t>Lefering</w:t>
      </w:r>
      <w:proofErr w:type="spellEnd"/>
      <w:r w:rsidRPr="00045DFA">
        <w:rPr>
          <w:rFonts w:asciiTheme="majorHAnsi" w:hAnsiTheme="majorHAnsi" w:cs="Times New Roman"/>
        </w:rPr>
        <w:t xml:space="preserve"> R, Neugebauer E. The second-hit phenomenon in trauma surgery. </w:t>
      </w:r>
      <w:r w:rsidRPr="00045DFA">
        <w:rPr>
          <w:rFonts w:asciiTheme="majorHAnsi" w:hAnsiTheme="majorHAnsi" w:cs="Times New Roman"/>
          <w:b/>
          <w:bCs/>
        </w:rPr>
        <w:t>Eur J Trauma.</w:t>
      </w:r>
      <w:r w:rsidRPr="00045DFA">
        <w:rPr>
          <w:rFonts w:asciiTheme="majorHAnsi" w:hAnsiTheme="majorHAnsi" w:cs="Times New Roman"/>
        </w:rPr>
        <w:t xml:space="preserve"> 2002;28:63–71. doi:10.1007/s00068-002-1207-7</w:t>
      </w:r>
    </w:p>
    <w:p w14:paraId="6CCD8CE4" w14:textId="0596F78D" w:rsidR="006B236F" w:rsidRPr="00045DFA" w:rsidRDefault="006B236F" w:rsidP="006B236F">
      <w:pPr>
        <w:spacing w:after="0" w:line="276" w:lineRule="auto"/>
        <w:rPr>
          <w:rFonts w:asciiTheme="majorHAnsi" w:hAnsiTheme="majorHAnsi" w:cs="Times New Roman"/>
        </w:rPr>
      </w:pPr>
      <w:r w:rsidRPr="00045DFA">
        <w:rPr>
          <w:rFonts w:asciiTheme="majorHAnsi" w:hAnsiTheme="majorHAnsi" w:cs="Times New Roman"/>
          <w:b/>
          <w:bCs/>
        </w:rPr>
        <w:t>10.</w:t>
      </w:r>
      <w:r w:rsidRPr="00045DFA">
        <w:rPr>
          <w:rFonts w:asciiTheme="majorHAnsi" w:hAnsiTheme="majorHAnsi" w:cs="Times New Roman"/>
        </w:rPr>
        <w:t xml:space="preserve"> </w:t>
      </w:r>
      <w:proofErr w:type="spellStart"/>
      <w:r w:rsidRPr="00045DFA">
        <w:rPr>
          <w:rFonts w:asciiTheme="majorHAnsi" w:hAnsiTheme="majorHAnsi" w:cs="Times New Roman"/>
        </w:rPr>
        <w:t>Sauaia</w:t>
      </w:r>
      <w:proofErr w:type="spellEnd"/>
      <w:r w:rsidRPr="00045DFA">
        <w:rPr>
          <w:rFonts w:asciiTheme="majorHAnsi" w:hAnsiTheme="majorHAnsi" w:cs="Times New Roman"/>
        </w:rPr>
        <w:t xml:space="preserve"> A, Moore FA, Moore EE, Moser KS, Brennan R, Read RA, et al. Epidemiology of trauma deaths: relevance to multiple organ failure. </w:t>
      </w:r>
      <w:r w:rsidRPr="00045DFA">
        <w:rPr>
          <w:rFonts w:asciiTheme="majorHAnsi" w:hAnsiTheme="majorHAnsi" w:cs="Times New Roman"/>
          <w:b/>
          <w:bCs/>
        </w:rPr>
        <w:t>J Trauma.</w:t>
      </w:r>
      <w:r w:rsidRPr="00045DFA">
        <w:rPr>
          <w:rFonts w:asciiTheme="majorHAnsi" w:hAnsiTheme="majorHAnsi" w:cs="Times New Roman"/>
        </w:rPr>
        <w:t xml:space="preserve"> 1995;38(2):185–93. doi:10.1097/00005373-199502000-00006</w:t>
      </w:r>
    </w:p>
    <w:p w14:paraId="24A2F7E6" w14:textId="77777777" w:rsidR="006B236F" w:rsidRPr="00045DFA" w:rsidRDefault="006B236F" w:rsidP="006B236F">
      <w:pPr>
        <w:spacing w:after="0" w:line="276" w:lineRule="auto"/>
        <w:rPr>
          <w:rFonts w:asciiTheme="majorHAnsi" w:hAnsiTheme="majorHAnsi" w:cs="Times New Roman"/>
        </w:rPr>
      </w:pPr>
      <w:r w:rsidRPr="00045DFA">
        <w:rPr>
          <w:rFonts w:asciiTheme="majorHAnsi" w:hAnsiTheme="majorHAnsi" w:cs="Times New Roman"/>
          <w:b/>
          <w:bCs/>
        </w:rPr>
        <w:t>11.</w:t>
      </w:r>
      <w:r w:rsidRPr="00045DFA">
        <w:rPr>
          <w:rFonts w:asciiTheme="majorHAnsi" w:hAnsiTheme="majorHAnsi" w:cs="Times New Roman"/>
        </w:rPr>
        <w:t xml:space="preserve"> Holmer H, Lantz A, </w:t>
      </w:r>
      <w:proofErr w:type="spellStart"/>
      <w:r w:rsidRPr="00045DFA">
        <w:rPr>
          <w:rFonts w:asciiTheme="majorHAnsi" w:hAnsiTheme="majorHAnsi" w:cs="Times New Roman"/>
        </w:rPr>
        <w:t>Kunjumen</w:t>
      </w:r>
      <w:proofErr w:type="spellEnd"/>
      <w:r w:rsidRPr="00045DFA">
        <w:rPr>
          <w:rFonts w:asciiTheme="majorHAnsi" w:hAnsiTheme="majorHAnsi" w:cs="Times New Roman"/>
        </w:rPr>
        <w:t xml:space="preserve"> T, Finlayson S, Hoyler M, Siyam A, et al. Global distribution of surgeons, anaesthesiologists, and obstetricians. </w:t>
      </w:r>
      <w:r w:rsidRPr="00045DFA">
        <w:rPr>
          <w:rFonts w:asciiTheme="majorHAnsi" w:hAnsiTheme="majorHAnsi" w:cs="Times New Roman"/>
          <w:b/>
          <w:bCs/>
        </w:rPr>
        <w:t>Lancet Glob Health.</w:t>
      </w:r>
      <w:r w:rsidRPr="00045DFA">
        <w:rPr>
          <w:rFonts w:asciiTheme="majorHAnsi" w:hAnsiTheme="majorHAnsi" w:cs="Times New Roman"/>
        </w:rPr>
        <w:t xml:space="preserve"> 2015;3(</w:t>
      </w:r>
      <w:proofErr w:type="spellStart"/>
      <w:r w:rsidRPr="00045DFA">
        <w:rPr>
          <w:rFonts w:asciiTheme="majorHAnsi" w:hAnsiTheme="majorHAnsi" w:cs="Times New Roman"/>
        </w:rPr>
        <w:t>Suppl</w:t>
      </w:r>
      <w:proofErr w:type="spellEnd"/>
      <w:r w:rsidRPr="00045DFA">
        <w:rPr>
          <w:rFonts w:asciiTheme="majorHAnsi" w:hAnsiTheme="majorHAnsi" w:cs="Times New Roman"/>
        </w:rPr>
        <w:t xml:space="preserve"> 2):S9–11. doi:10.1016/S2214-109X(14)70349-3</w:t>
      </w:r>
    </w:p>
    <w:p w14:paraId="1B0CE9C8" w14:textId="77777777" w:rsidR="006B236F" w:rsidRPr="00045DFA" w:rsidRDefault="006B236F" w:rsidP="006B236F">
      <w:pPr>
        <w:spacing w:after="0" w:line="276" w:lineRule="auto"/>
        <w:rPr>
          <w:rFonts w:asciiTheme="majorHAnsi" w:hAnsiTheme="majorHAnsi" w:cs="Times New Roman"/>
        </w:rPr>
      </w:pPr>
      <w:r w:rsidRPr="00045DFA">
        <w:rPr>
          <w:rFonts w:asciiTheme="majorHAnsi" w:hAnsiTheme="majorHAnsi" w:cs="Times New Roman"/>
          <w:b/>
          <w:bCs/>
        </w:rPr>
        <w:t>12.</w:t>
      </w:r>
      <w:r w:rsidRPr="00045DFA">
        <w:rPr>
          <w:rFonts w:asciiTheme="majorHAnsi" w:hAnsiTheme="majorHAnsi" w:cs="Times New Roman"/>
        </w:rPr>
        <w:t xml:space="preserve"> Kempthorne P, Morriss WW, Mellin-Olsen J, Gore-Booth J. Critical care bed capacity in low-income countries. </w:t>
      </w:r>
      <w:r w:rsidRPr="00045DFA">
        <w:rPr>
          <w:rFonts w:asciiTheme="majorHAnsi" w:hAnsiTheme="majorHAnsi" w:cs="Times New Roman"/>
          <w:b/>
          <w:bCs/>
        </w:rPr>
        <w:t>Lancet.</w:t>
      </w:r>
      <w:r w:rsidRPr="00045DFA">
        <w:rPr>
          <w:rFonts w:asciiTheme="majorHAnsi" w:hAnsiTheme="majorHAnsi" w:cs="Times New Roman"/>
        </w:rPr>
        <w:t xml:space="preserve"> 2017;390:S29.</w:t>
      </w:r>
    </w:p>
    <w:p w14:paraId="59714C1C" w14:textId="77777777" w:rsidR="006B236F" w:rsidRPr="00045DFA" w:rsidRDefault="006B236F" w:rsidP="006B236F">
      <w:pPr>
        <w:spacing w:after="0" w:line="276" w:lineRule="auto"/>
        <w:rPr>
          <w:rFonts w:asciiTheme="majorHAnsi" w:hAnsiTheme="majorHAnsi" w:cs="Times New Roman"/>
        </w:rPr>
      </w:pPr>
      <w:r w:rsidRPr="00045DFA">
        <w:rPr>
          <w:rFonts w:asciiTheme="majorHAnsi" w:hAnsiTheme="majorHAnsi" w:cs="Times New Roman"/>
          <w:b/>
          <w:bCs/>
        </w:rPr>
        <w:lastRenderedPageBreak/>
        <w:t>13.</w:t>
      </w:r>
      <w:r w:rsidRPr="00045DFA">
        <w:rPr>
          <w:rFonts w:asciiTheme="majorHAnsi" w:hAnsiTheme="majorHAnsi" w:cs="Times New Roman"/>
        </w:rPr>
        <w:t xml:space="preserve"> Murthy S, </w:t>
      </w:r>
      <w:proofErr w:type="spellStart"/>
      <w:r w:rsidRPr="00045DFA">
        <w:rPr>
          <w:rFonts w:asciiTheme="majorHAnsi" w:hAnsiTheme="majorHAnsi" w:cs="Times New Roman"/>
        </w:rPr>
        <w:t>Leligdowicz</w:t>
      </w:r>
      <w:proofErr w:type="spellEnd"/>
      <w:r w:rsidRPr="00045DFA">
        <w:rPr>
          <w:rFonts w:asciiTheme="majorHAnsi" w:hAnsiTheme="majorHAnsi" w:cs="Times New Roman"/>
        </w:rPr>
        <w:t xml:space="preserve"> A, Adhikari NK. Global critical care capacity and ventilator availability. </w:t>
      </w:r>
      <w:r w:rsidRPr="00045DFA">
        <w:rPr>
          <w:rFonts w:asciiTheme="majorHAnsi" w:hAnsiTheme="majorHAnsi" w:cs="Times New Roman"/>
          <w:b/>
          <w:bCs/>
        </w:rPr>
        <w:t>Lancet Respir Med.</w:t>
      </w:r>
      <w:r w:rsidRPr="00045DFA">
        <w:rPr>
          <w:rFonts w:asciiTheme="majorHAnsi" w:hAnsiTheme="majorHAnsi" w:cs="Times New Roman"/>
        </w:rPr>
        <w:t xml:space="preserve"> 2015;3(4):265–73. doi:10.1016/S2213-2600(15)00021-4</w:t>
      </w:r>
    </w:p>
    <w:p w14:paraId="6A81BFB0" w14:textId="77777777" w:rsidR="006B236F" w:rsidRPr="00045DFA" w:rsidRDefault="006B236F" w:rsidP="006B236F">
      <w:pPr>
        <w:spacing w:after="0" w:line="276" w:lineRule="auto"/>
        <w:rPr>
          <w:rFonts w:asciiTheme="majorHAnsi" w:hAnsiTheme="majorHAnsi" w:cs="Times New Roman"/>
        </w:rPr>
      </w:pPr>
      <w:r w:rsidRPr="00045DFA">
        <w:rPr>
          <w:rFonts w:asciiTheme="majorHAnsi" w:hAnsiTheme="majorHAnsi" w:cs="Times New Roman"/>
          <w:b/>
          <w:bCs/>
        </w:rPr>
        <w:t>14.</w:t>
      </w:r>
      <w:r w:rsidRPr="00045DFA">
        <w:rPr>
          <w:rFonts w:asciiTheme="majorHAnsi" w:hAnsiTheme="majorHAnsi" w:cs="Times New Roman"/>
        </w:rPr>
        <w:t xml:space="preserve"> Clarke JR, </w:t>
      </w:r>
      <w:proofErr w:type="spellStart"/>
      <w:r w:rsidRPr="00045DFA">
        <w:rPr>
          <w:rFonts w:asciiTheme="majorHAnsi" w:hAnsiTheme="majorHAnsi" w:cs="Times New Roman"/>
        </w:rPr>
        <w:t>Trooskin</w:t>
      </w:r>
      <w:proofErr w:type="spellEnd"/>
      <w:r w:rsidRPr="00045DFA">
        <w:rPr>
          <w:rFonts w:asciiTheme="majorHAnsi" w:hAnsiTheme="majorHAnsi" w:cs="Times New Roman"/>
        </w:rPr>
        <w:t xml:space="preserve"> SZ, Doshi PJ, Greenwald L, Mode CJ. Time to laparotomy for intra-abdominal bleeding and survival. </w:t>
      </w:r>
      <w:r w:rsidRPr="00045DFA">
        <w:rPr>
          <w:rFonts w:asciiTheme="majorHAnsi" w:hAnsiTheme="majorHAnsi" w:cs="Times New Roman"/>
          <w:b/>
          <w:bCs/>
        </w:rPr>
        <w:t>J Trauma.</w:t>
      </w:r>
      <w:r w:rsidRPr="00045DFA">
        <w:rPr>
          <w:rFonts w:asciiTheme="majorHAnsi" w:hAnsiTheme="majorHAnsi" w:cs="Times New Roman"/>
        </w:rPr>
        <w:t xml:space="preserve"> 2002;52(3):420–5. doi:10.1097/00005373-200203000-00002</w:t>
      </w:r>
    </w:p>
    <w:p w14:paraId="46531791" w14:textId="0BA37DF2" w:rsidR="006B236F" w:rsidRPr="00045DFA" w:rsidRDefault="006B236F" w:rsidP="006B236F">
      <w:pPr>
        <w:spacing w:after="0" w:line="276" w:lineRule="auto"/>
        <w:rPr>
          <w:rFonts w:asciiTheme="majorHAnsi" w:hAnsiTheme="majorHAnsi" w:cs="Times New Roman"/>
        </w:rPr>
      </w:pPr>
      <w:r w:rsidRPr="00045DFA">
        <w:rPr>
          <w:rFonts w:asciiTheme="majorHAnsi" w:hAnsiTheme="majorHAnsi" w:cs="Times New Roman"/>
          <w:b/>
          <w:bCs/>
        </w:rPr>
        <w:t>15.</w:t>
      </w:r>
      <w:r w:rsidRPr="00045DFA">
        <w:rPr>
          <w:rFonts w:asciiTheme="majorHAnsi" w:hAnsiTheme="majorHAnsi" w:cs="Times New Roman"/>
        </w:rPr>
        <w:t xml:space="preserve"> Sakran JV, Greer SE, Werlin E, McCunn M. Global trauma mortality and preventable death analysis. </w:t>
      </w:r>
      <w:r w:rsidRPr="00045DFA">
        <w:rPr>
          <w:rFonts w:asciiTheme="majorHAnsi" w:hAnsiTheme="majorHAnsi" w:cs="Times New Roman"/>
          <w:b/>
          <w:bCs/>
        </w:rPr>
        <w:t>JAMA Surg.</w:t>
      </w:r>
      <w:r w:rsidRPr="00045DFA">
        <w:rPr>
          <w:rFonts w:asciiTheme="majorHAnsi" w:hAnsiTheme="majorHAnsi" w:cs="Times New Roman"/>
        </w:rPr>
        <w:t xml:space="preserve"> 2012;147(8):770–6. doi:10.1001/archsurg.2012.110</w:t>
      </w:r>
    </w:p>
    <w:p w14:paraId="4899E263" w14:textId="77777777" w:rsidR="006B236F" w:rsidRPr="00045DFA" w:rsidRDefault="006B236F" w:rsidP="006B236F">
      <w:pPr>
        <w:spacing w:after="0" w:line="276" w:lineRule="auto"/>
        <w:rPr>
          <w:rFonts w:asciiTheme="majorHAnsi" w:hAnsiTheme="majorHAnsi" w:cs="Times New Roman"/>
        </w:rPr>
      </w:pPr>
      <w:r w:rsidRPr="00045DFA">
        <w:rPr>
          <w:rFonts w:asciiTheme="majorHAnsi" w:hAnsiTheme="majorHAnsi" w:cs="Times New Roman"/>
          <w:b/>
          <w:bCs/>
        </w:rPr>
        <w:t>19.</w:t>
      </w:r>
      <w:r w:rsidRPr="00045DFA">
        <w:rPr>
          <w:rFonts w:asciiTheme="majorHAnsi" w:hAnsiTheme="majorHAnsi" w:cs="Times New Roman"/>
        </w:rPr>
        <w:t xml:space="preserve"> Doig GS, Simpson F, Sweetman EA, </w:t>
      </w:r>
      <w:proofErr w:type="spellStart"/>
      <w:r w:rsidRPr="00045DFA">
        <w:rPr>
          <w:rFonts w:asciiTheme="majorHAnsi" w:hAnsiTheme="majorHAnsi" w:cs="Times New Roman"/>
        </w:rPr>
        <w:t>Finfer</w:t>
      </w:r>
      <w:proofErr w:type="spellEnd"/>
      <w:r w:rsidRPr="00045DFA">
        <w:rPr>
          <w:rFonts w:asciiTheme="majorHAnsi" w:hAnsiTheme="majorHAnsi" w:cs="Times New Roman"/>
        </w:rPr>
        <w:t xml:space="preserve"> SR, Cooper DJ, Heighes PT, et al. Early enteral nutrition in critically ill patients: a meta-analysis of randomized controlled trials. </w:t>
      </w:r>
      <w:r w:rsidRPr="00045DFA">
        <w:rPr>
          <w:rFonts w:asciiTheme="majorHAnsi" w:hAnsiTheme="majorHAnsi" w:cs="Times New Roman"/>
          <w:b/>
          <w:bCs/>
        </w:rPr>
        <w:t>Intensive Care Med.</w:t>
      </w:r>
      <w:r w:rsidRPr="00045DFA">
        <w:rPr>
          <w:rFonts w:asciiTheme="majorHAnsi" w:hAnsiTheme="majorHAnsi" w:cs="Times New Roman"/>
        </w:rPr>
        <w:t xml:space="preserve"> 2009;35(12):2018–27. doi:10.1007/s00134-009-1664-y</w:t>
      </w:r>
    </w:p>
    <w:p w14:paraId="528EC1A3" w14:textId="77777777" w:rsidR="006B236F" w:rsidRPr="00045DFA" w:rsidRDefault="006B236F" w:rsidP="006B236F">
      <w:pPr>
        <w:spacing w:after="0" w:line="276" w:lineRule="auto"/>
        <w:rPr>
          <w:rFonts w:asciiTheme="majorHAnsi" w:hAnsiTheme="majorHAnsi" w:cs="Times New Roman"/>
        </w:rPr>
      </w:pPr>
      <w:r w:rsidRPr="00045DFA">
        <w:rPr>
          <w:rFonts w:asciiTheme="majorHAnsi" w:hAnsiTheme="majorHAnsi" w:cs="Times New Roman"/>
          <w:b/>
          <w:bCs/>
        </w:rPr>
        <w:t>20.</w:t>
      </w:r>
      <w:r w:rsidRPr="00045DFA">
        <w:rPr>
          <w:rFonts w:asciiTheme="majorHAnsi" w:hAnsiTheme="majorHAnsi" w:cs="Times New Roman"/>
        </w:rPr>
        <w:t xml:space="preserve"> Rubenfeld GD, Caldwell E, Peabody E, Weaver J, Martin DP, Neff M, et al. Incidence and outcomes of acute lung injury. </w:t>
      </w:r>
      <w:r w:rsidRPr="00045DFA">
        <w:rPr>
          <w:rFonts w:asciiTheme="majorHAnsi" w:hAnsiTheme="majorHAnsi" w:cs="Times New Roman"/>
          <w:b/>
          <w:bCs/>
        </w:rPr>
        <w:t>N Engl J Med.</w:t>
      </w:r>
      <w:r w:rsidRPr="00045DFA">
        <w:rPr>
          <w:rFonts w:asciiTheme="majorHAnsi" w:hAnsiTheme="majorHAnsi" w:cs="Times New Roman"/>
        </w:rPr>
        <w:t xml:space="preserve"> 2005;353(16):1685–93. doi:10.1056/NEJMoa050333</w:t>
      </w:r>
    </w:p>
    <w:p w14:paraId="35A4FF89" w14:textId="58B47F54" w:rsidR="006B236F" w:rsidRPr="00045DFA" w:rsidRDefault="006B236F" w:rsidP="006B236F">
      <w:pPr>
        <w:spacing w:after="0" w:line="276" w:lineRule="auto"/>
        <w:rPr>
          <w:rFonts w:asciiTheme="majorHAnsi" w:hAnsiTheme="majorHAnsi" w:cs="Times New Roman"/>
        </w:rPr>
      </w:pPr>
      <w:r w:rsidRPr="00045DFA">
        <w:rPr>
          <w:rFonts w:asciiTheme="majorHAnsi" w:hAnsiTheme="majorHAnsi" w:cs="Times New Roman"/>
          <w:b/>
          <w:bCs/>
        </w:rPr>
        <w:t>21.</w:t>
      </w:r>
      <w:r w:rsidRPr="00045DFA">
        <w:rPr>
          <w:rFonts w:asciiTheme="majorHAnsi" w:hAnsiTheme="majorHAnsi" w:cs="Times New Roman"/>
        </w:rPr>
        <w:t xml:space="preserve"> Bellani G, Laffey JG, Pham T, Fan E, Brochard L, Esteban A, et al. Epidemiology, patterns of care, and mortality for patients with acute respiratory distress syndrome in intensive care units worldwide (LUNG SAFE). </w:t>
      </w:r>
      <w:r w:rsidRPr="00045DFA">
        <w:rPr>
          <w:rFonts w:asciiTheme="majorHAnsi" w:hAnsiTheme="majorHAnsi" w:cs="Times New Roman"/>
          <w:b/>
          <w:bCs/>
        </w:rPr>
        <w:t>JAMA.</w:t>
      </w:r>
      <w:r w:rsidRPr="00045DFA">
        <w:rPr>
          <w:rFonts w:asciiTheme="majorHAnsi" w:hAnsiTheme="majorHAnsi" w:cs="Times New Roman"/>
        </w:rPr>
        <w:t xml:space="preserve"> 2016;315(8):788–800. doi:10.1001/jama.2016.0291</w:t>
      </w:r>
    </w:p>
    <w:p w14:paraId="15EBF686" w14:textId="77777777" w:rsidR="006B236F" w:rsidRPr="00045DFA" w:rsidRDefault="006B236F" w:rsidP="006B236F">
      <w:pPr>
        <w:spacing w:after="0" w:line="276" w:lineRule="auto"/>
        <w:rPr>
          <w:rFonts w:asciiTheme="majorHAnsi" w:hAnsiTheme="majorHAnsi" w:cs="Times New Roman"/>
        </w:rPr>
      </w:pPr>
      <w:r w:rsidRPr="00045DFA">
        <w:rPr>
          <w:rFonts w:asciiTheme="majorHAnsi" w:hAnsiTheme="majorHAnsi" w:cs="Times New Roman"/>
          <w:b/>
          <w:bCs/>
        </w:rPr>
        <w:t>22.</w:t>
      </w:r>
      <w:r w:rsidRPr="00045DFA">
        <w:rPr>
          <w:rFonts w:asciiTheme="majorHAnsi" w:hAnsiTheme="majorHAnsi" w:cs="Times New Roman"/>
        </w:rPr>
        <w:t xml:space="preserve"> </w:t>
      </w:r>
      <w:proofErr w:type="spellStart"/>
      <w:r w:rsidRPr="00045DFA">
        <w:rPr>
          <w:rFonts w:asciiTheme="majorHAnsi" w:hAnsiTheme="majorHAnsi" w:cs="Times New Roman"/>
        </w:rPr>
        <w:t>Steinhausen</w:t>
      </w:r>
      <w:proofErr w:type="spellEnd"/>
      <w:r w:rsidRPr="00045DFA">
        <w:rPr>
          <w:rFonts w:asciiTheme="majorHAnsi" w:hAnsiTheme="majorHAnsi" w:cs="Times New Roman"/>
        </w:rPr>
        <w:t xml:space="preserve"> E, </w:t>
      </w:r>
      <w:proofErr w:type="spellStart"/>
      <w:r w:rsidRPr="00045DFA">
        <w:rPr>
          <w:rFonts w:asciiTheme="majorHAnsi" w:hAnsiTheme="majorHAnsi" w:cs="Times New Roman"/>
        </w:rPr>
        <w:t>Lefering</w:t>
      </w:r>
      <w:proofErr w:type="spellEnd"/>
      <w:r w:rsidRPr="00045DFA">
        <w:rPr>
          <w:rFonts w:asciiTheme="majorHAnsi" w:hAnsiTheme="majorHAnsi" w:cs="Times New Roman"/>
        </w:rPr>
        <w:t xml:space="preserve"> R, </w:t>
      </w:r>
      <w:proofErr w:type="spellStart"/>
      <w:r w:rsidRPr="00045DFA">
        <w:rPr>
          <w:rFonts w:asciiTheme="majorHAnsi" w:hAnsiTheme="majorHAnsi" w:cs="Times New Roman"/>
        </w:rPr>
        <w:t>Tjardes</w:t>
      </w:r>
      <w:proofErr w:type="spellEnd"/>
      <w:r w:rsidRPr="00045DFA">
        <w:rPr>
          <w:rFonts w:asciiTheme="majorHAnsi" w:hAnsiTheme="majorHAnsi" w:cs="Times New Roman"/>
        </w:rPr>
        <w:t xml:space="preserve"> T, Neugebauer EA, Bouillon B, Rixen D. Risk-adapted approach beneficial in bilateral femoral shaft fractures. </w:t>
      </w:r>
      <w:r w:rsidRPr="00045DFA">
        <w:rPr>
          <w:rFonts w:asciiTheme="majorHAnsi" w:hAnsiTheme="majorHAnsi" w:cs="Times New Roman"/>
          <w:b/>
          <w:bCs/>
        </w:rPr>
        <w:t>J Trauma Acute Care Surg.</w:t>
      </w:r>
      <w:r w:rsidRPr="00045DFA">
        <w:rPr>
          <w:rFonts w:asciiTheme="majorHAnsi" w:hAnsiTheme="majorHAnsi" w:cs="Times New Roman"/>
        </w:rPr>
        <w:t xml:space="preserve"> 2014;76(5):1288–93. doi:10.1097/TA.0000000000000192</w:t>
      </w:r>
    </w:p>
    <w:p w14:paraId="4C3993EA" w14:textId="64A64261" w:rsidR="006B236F" w:rsidRPr="00045DFA" w:rsidRDefault="006B236F" w:rsidP="006B236F">
      <w:pPr>
        <w:spacing w:after="0" w:line="276" w:lineRule="auto"/>
        <w:rPr>
          <w:rFonts w:asciiTheme="majorHAnsi" w:hAnsiTheme="majorHAnsi" w:cs="Times New Roman"/>
        </w:rPr>
      </w:pPr>
      <w:r w:rsidRPr="00045DFA">
        <w:rPr>
          <w:rFonts w:asciiTheme="majorHAnsi" w:hAnsiTheme="majorHAnsi" w:cs="Times New Roman"/>
          <w:b/>
          <w:bCs/>
        </w:rPr>
        <w:t>23.</w:t>
      </w:r>
      <w:r w:rsidRPr="00045DFA">
        <w:rPr>
          <w:rFonts w:asciiTheme="majorHAnsi" w:hAnsiTheme="majorHAnsi" w:cs="Times New Roman"/>
        </w:rPr>
        <w:t xml:space="preserve"> Semler MW, Self WH, Wanderer JP, Ehrenfeld JM, Wang L, Byrne DW, et al. Balanced crystalloids versus saline in critically ill adults. </w:t>
      </w:r>
      <w:r w:rsidRPr="00045DFA">
        <w:rPr>
          <w:rFonts w:asciiTheme="majorHAnsi" w:hAnsiTheme="majorHAnsi" w:cs="Times New Roman"/>
          <w:b/>
          <w:bCs/>
        </w:rPr>
        <w:t>N Engl J Med.</w:t>
      </w:r>
      <w:r w:rsidRPr="00045DFA">
        <w:rPr>
          <w:rFonts w:asciiTheme="majorHAnsi" w:hAnsiTheme="majorHAnsi" w:cs="Times New Roman"/>
        </w:rPr>
        <w:t xml:space="preserve"> 2018;378(9):829–39. doi:10.1056/NEJMoa1711584</w:t>
      </w:r>
    </w:p>
    <w:p w14:paraId="57EC4C87" w14:textId="77777777" w:rsidR="006B236F" w:rsidRPr="00045DFA" w:rsidRDefault="006B236F" w:rsidP="006B236F">
      <w:pPr>
        <w:spacing w:after="0" w:line="276" w:lineRule="auto"/>
        <w:rPr>
          <w:rFonts w:asciiTheme="majorHAnsi" w:hAnsiTheme="majorHAnsi" w:cs="Times New Roman"/>
        </w:rPr>
      </w:pPr>
      <w:r w:rsidRPr="00045DFA">
        <w:rPr>
          <w:rFonts w:asciiTheme="majorHAnsi" w:hAnsiTheme="majorHAnsi" w:cs="Times New Roman"/>
          <w:b/>
          <w:bCs/>
        </w:rPr>
        <w:t>24.</w:t>
      </w:r>
      <w:r w:rsidRPr="00045DFA">
        <w:rPr>
          <w:rFonts w:asciiTheme="majorHAnsi" w:hAnsiTheme="majorHAnsi" w:cs="Times New Roman"/>
        </w:rPr>
        <w:t xml:space="preserve"> Porter C, Herndon DN, Børsheim E, Chao T, Reidy PT, Borack MS, et al. Long-term skeletal muscle hypermetabolism after trauma. </w:t>
      </w:r>
      <w:r w:rsidRPr="00045DFA">
        <w:rPr>
          <w:rFonts w:asciiTheme="majorHAnsi" w:hAnsiTheme="majorHAnsi" w:cs="Times New Roman"/>
          <w:b/>
          <w:bCs/>
        </w:rPr>
        <w:t>Lancet.</w:t>
      </w:r>
      <w:r w:rsidRPr="00045DFA">
        <w:rPr>
          <w:rFonts w:asciiTheme="majorHAnsi" w:hAnsiTheme="majorHAnsi" w:cs="Times New Roman"/>
        </w:rPr>
        <w:t xml:space="preserve"> 2013;381(9866):1693–1701. doi:10.1016/S0140-6736(12)61830-5</w:t>
      </w:r>
    </w:p>
    <w:p w14:paraId="1F40ACB0" w14:textId="77777777" w:rsidR="006B236F" w:rsidRPr="00045DFA" w:rsidRDefault="006B236F" w:rsidP="006B236F">
      <w:pPr>
        <w:spacing w:after="0" w:line="276" w:lineRule="auto"/>
        <w:rPr>
          <w:rFonts w:asciiTheme="majorHAnsi" w:hAnsiTheme="majorHAnsi" w:cs="Times New Roman"/>
        </w:rPr>
      </w:pPr>
      <w:r w:rsidRPr="00045DFA">
        <w:rPr>
          <w:rFonts w:asciiTheme="majorHAnsi" w:hAnsiTheme="majorHAnsi" w:cs="Times New Roman"/>
          <w:b/>
          <w:bCs/>
        </w:rPr>
        <w:t>25.</w:t>
      </w:r>
      <w:r w:rsidRPr="00045DFA">
        <w:rPr>
          <w:rFonts w:asciiTheme="majorHAnsi" w:hAnsiTheme="majorHAnsi" w:cs="Times New Roman"/>
        </w:rPr>
        <w:t xml:space="preserve"> </w:t>
      </w:r>
      <w:proofErr w:type="spellStart"/>
      <w:r w:rsidRPr="00045DFA">
        <w:rPr>
          <w:rFonts w:asciiTheme="majorHAnsi" w:hAnsiTheme="majorHAnsi" w:cs="Times New Roman"/>
        </w:rPr>
        <w:t>Biolo</w:t>
      </w:r>
      <w:proofErr w:type="spellEnd"/>
      <w:r w:rsidRPr="00045DFA">
        <w:rPr>
          <w:rFonts w:asciiTheme="majorHAnsi" w:hAnsiTheme="majorHAnsi" w:cs="Times New Roman"/>
        </w:rPr>
        <w:t xml:space="preserve"> G, </w:t>
      </w:r>
      <w:proofErr w:type="spellStart"/>
      <w:r w:rsidRPr="00045DFA">
        <w:rPr>
          <w:rFonts w:asciiTheme="majorHAnsi" w:hAnsiTheme="majorHAnsi" w:cs="Times New Roman"/>
        </w:rPr>
        <w:t>Toigo</w:t>
      </w:r>
      <w:proofErr w:type="spellEnd"/>
      <w:r w:rsidRPr="00045DFA">
        <w:rPr>
          <w:rFonts w:asciiTheme="majorHAnsi" w:hAnsiTheme="majorHAnsi" w:cs="Times New Roman"/>
        </w:rPr>
        <w:t xml:space="preserve"> G, </w:t>
      </w:r>
      <w:proofErr w:type="spellStart"/>
      <w:r w:rsidRPr="00045DFA">
        <w:rPr>
          <w:rFonts w:asciiTheme="majorHAnsi" w:hAnsiTheme="majorHAnsi" w:cs="Times New Roman"/>
        </w:rPr>
        <w:t>Ciocchi</w:t>
      </w:r>
      <w:proofErr w:type="spellEnd"/>
      <w:r w:rsidRPr="00045DFA">
        <w:rPr>
          <w:rFonts w:asciiTheme="majorHAnsi" w:hAnsiTheme="majorHAnsi" w:cs="Times New Roman"/>
        </w:rPr>
        <w:t xml:space="preserve"> B, </w:t>
      </w:r>
      <w:proofErr w:type="spellStart"/>
      <w:r w:rsidRPr="00045DFA">
        <w:rPr>
          <w:rFonts w:asciiTheme="majorHAnsi" w:hAnsiTheme="majorHAnsi" w:cs="Times New Roman"/>
        </w:rPr>
        <w:t>Situlin</w:t>
      </w:r>
      <w:proofErr w:type="spellEnd"/>
      <w:r w:rsidRPr="00045DFA">
        <w:rPr>
          <w:rFonts w:asciiTheme="majorHAnsi" w:hAnsiTheme="majorHAnsi" w:cs="Times New Roman"/>
        </w:rPr>
        <w:t xml:space="preserve"> R, </w:t>
      </w:r>
      <w:proofErr w:type="spellStart"/>
      <w:r w:rsidRPr="00045DFA">
        <w:rPr>
          <w:rFonts w:asciiTheme="majorHAnsi" w:hAnsiTheme="majorHAnsi" w:cs="Times New Roman"/>
        </w:rPr>
        <w:t>Iscra</w:t>
      </w:r>
      <w:proofErr w:type="spellEnd"/>
      <w:r w:rsidRPr="00045DFA">
        <w:rPr>
          <w:rFonts w:asciiTheme="majorHAnsi" w:hAnsiTheme="majorHAnsi" w:cs="Times New Roman"/>
        </w:rPr>
        <w:t xml:space="preserve"> F, </w:t>
      </w:r>
      <w:proofErr w:type="spellStart"/>
      <w:r w:rsidRPr="00045DFA">
        <w:rPr>
          <w:rFonts w:asciiTheme="majorHAnsi" w:hAnsiTheme="majorHAnsi" w:cs="Times New Roman"/>
        </w:rPr>
        <w:t>Gullo</w:t>
      </w:r>
      <w:proofErr w:type="spellEnd"/>
      <w:r w:rsidRPr="00045DFA">
        <w:rPr>
          <w:rFonts w:asciiTheme="majorHAnsi" w:hAnsiTheme="majorHAnsi" w:cs="Times New Roman"/>
        </w:rPr>
        <w:t xml:space="preserve"> A, et al. Metabolic response to injury and skeletal muscle protein breakdown. </w:t>
      </w:r>
      <w:r w:rsidRPr="00045DFA">
        <w:rPr>
          <w:rFonts w:asciiTheme="majorHAnsi" w:hAnsiTheme="majorHAnsi" w:cs="Times New Roman"/>
          <w:b/>
          <w:bCs/>
        </w:rPr>
        <w:t>Am J Physiol.</w:t>
      </w:r>
      <w:r w:rsidRPr="00045DFA">
        <w:rPr>
          <w:rFonts w:asciiTheme="majorHAnsi" w:hAnsiTheme="majorHAnsi" w:cs="Times New Roman"/>
        </w:rPr>
        <w:t xml:space="preserve"> 1997;273:E122–9. doi:10.1152/ajpendo.1997.273.1.E122</w:t>
      </w:r>
    </w:p>
    <w:p w14:paraId="656D1E71" w14:textId="0D569C20" w:rsidR="006B236F" w:rsidRPr="00045DFA" w:rsidRDefault="006B236F" w:rsidP="006B236F">
      <w:pPr>
        <w:spacing w:after="0" w:line="276" w:lineRule="auto"/>
        <w:rPr>
          <w:rFonts w:asciiTheme="majorHAnsi" w:hAnsiTheme="majorHAnsi" w:cs="Times New Roman"/>
        </w:rPr>
      </w:pPr>
      <w:r w:rsidRPr="00045DFA">
        <w:rPr>
          <w:rFonts w:asciiTheme="majorHAnsi" w:hAnsiTheme="majorHAnsi" w:cs="Times New Roman"/>
          <w:b/>
          <w:bCs/>
        </w:rPr>
        <w:t>26.</w:t>
      </w:r>
      <w:r w:rsidRPr="00045DFA">
        <w:rPr>
          <w:rFonts w:asciiTheme="majorHAnsi" w:hAnsiTheme="majorHAnsi" w:cs="Times New Roman"/>
        </w:rPr>
        <w:t xml:space="preserve"> Wolfe RR. The underappreciated role of muscle in recovery from trauma. </w:t>
      </w:r>
      <w:r w:rsidRPr="00045DFA">
        <w:rPr>
          <w:rFonts w:asciiTheme="majorHAnsi" w:hAnsiTheme="majorHAnsi" w:cs="Times New Roman"/>
          <w:b/>
          <w:bCs/>
        </w:rPr>
        <w:t>Am J Clin Nutr.</w:t>
      </w:r>
      <w:r w:rsidRPr="00045DFA">
        <w:rPr>
          <w:rFonts w:asciiTheme="majorHAnsi" w:hAnsiTheme="majorHAnsi" w:cs="Times New Roman"/>
        </w:rPr>
        <w:t xml:space="preserve"> 2006;84(3):475–82. doi:10.1093/</w:t>
      </w:r>
      <w:proofErr w:type="spellStart"/>
      <w:r w:rsidRPr="00045DFA">
        <w:rPr>
          <w:rFonts w:asciiTheme="majorHAnsi" w:hAnsiTheme="majorHAnsi" w:cs="Times New Roman"/>
        </w:rPr>
        <w:t>ajcn</w:t>
      </w:r>
      <w:proofErr w:type="spellEnd"/>
      <w:r w:rsidRPr="00045DFA">
        <w:rPr>
          <w:rFonts w:asciiTheme="majorHAnsi" w:hAnsiTheme="majorHAnsi" w:cs="Times New Roman"/>
        </w:rPr>
        <w:t>/84.3.475</w:t>
      </w:r>
    </w:p>
    <w:p w14:paraId="2635B4A9" w14:textId="77777777" w:rsidR="006B236F" w:rsidRPr="00045DFA" w:rsidRDefault="006B236F" w:rsidP="006B236F">
      <w:pPr>
        <w:spacing w:after="0" w:line="276" w:lineRule="auto"/>
        <w:rPr>
          <w:rFonts w:asciiTheme="majorHAnsi" w:hAnsiTheme="majorHAnsi" w:cs="Times New Roman"/>
        </w:rPr>
      </w:pPr>
      <w:r w:rsidRPr="00045DFA">
        <w:rPr>
          <w:rFonts w:asciiTheme="majorHAnsi" w:hAnsiTheme="majorHAnsi" w:cs="Times New Roman"/>
          <w:b/>
          <w:bCs/>
        </w:rPr>
        <w:t>27.</w:t>
      </w:r>
      <w:r w:rsidRPr="00045DFA">
        <w:rPr>
          <w:rFonts w:asciiTheme="majorHAnsi" w:hAnsiTheme="majorHAnsi" w:cs="Times New Roman"/>
        </w:rPr>
        <w:t xml:space="preserve"> Geerts WH, Bergqvist D, Pineo GF, Heit JA, Samama CM, Lassen MR, et al. Prevention of venous thromboembolism in trauma patients. </w:t>
      </w:r>
      <w:r w:rsidRPr="00045DFA">
        <w:rPr>
          <w:rFonts w:asciiTheme="majorHAnsi" w:hAnsiTheme="majorHAnsi" w:cs="Times New Roman"/>
          <w:b/>
          <w:bCs/>
        </w:rPr>
        <w:t>Chest.</w:t>
      </w:r>
      <w:r w:rsidRPr="00045DFA">
        <w:rPr>
          <w:rFonts w:asciiTheme="majorHAnsi" w:hAnsiTheme="majorHAnsi" w:cs="Times New Roman"/>
        </w:rPr>
        <w:t xml:space="preserve"> 2008;133(6 </w:t>
      </w:r>
      <w:proofErr w:type="spellStart"/>
      <w:r w:rsidRPr="00045DFA">
        <w:rPr>
          <w:rFonts w:asciiTheme="majorHAnsi" w:hAnsiTheme="majorHAnsi" w:cs="Times New Roman"/>
        </w:rPr>
        <w:t>Suppl</w:t>
      </w:r>
      <w:proofErr w:type="spellEnd"/>
      <w:r w:rsidRPr="00045DFA">
        <w:rPr>
          <w:rFonts w:asciiTheme="majorHAnsi" w:hAnsiTheme="majorHAnsi" w:cs="Times New Roman"/>
        </w:rPr>
        <w:t>):381S–453S. doi:10.1378/chest.08-0656</w:t>
      </w:r>
    </w:p>
    <w:p w14:paraId="13630B79" w14:textId="55616DEA" w:rsidR="006B236F" w:rsidRPr="00045DFA" w:rsidRDefault="006B236F" w:rsidP="006B236F">
      <w:pPr>
        <w:spacing w:after="0" w:line="276" w:lineRule="auto"/>
        <w:rPr>
          <w:rFonts w:asciiTheme="majorHAnsi" w:hAnsiTheme="majorHAnsi" w:cs="Times New Roman"/>
        </w:rPr>
      </w:pPr>
      <w:r w:rsidRPr="00045DFA">
        <w:rPr>
          <w:rFonts w:asciiTheme="majorHAnsi" w:hAnsiTheme="majorHAnsi" w:cs="Times New Roman"/>
          <w:b/>
          <w:bCs/>
        </w:rPr>
        <w:t>28.</w:t>
      </w:r>
      <w:r w:rsidRPr="00045DFA">
        <w:rPr>
          <w:rFonts w:asciiTheme="majorHAnsi" w:hAnsiTheme="majorHAnsi" w:cs="Times New Roman"/>
        </w:rPr>
        <w:t xml:space="preserve"> Schweickert WD, Pohlman MC, Pohlman AS, Nigos C, </w:t>
      </w:r>
      <w:proofErr w:type="spellStart"/>
      <w:r w:rsidRPr="00045DFA">
        <w:rPr>
          <w:rFonts w:asciiTheme="majorHAnsi" w:hAnsiTheme="majorHAnsi" w:cs="Times New Roman"/>
        </w:rPr>
        <w:t>Pawlik</w:t>
      </w:r>
      <w:proofErr w:type="spellEnd"/>
      <w:r w:rsidRPr="00045DFA">
        <w:rPr>
          <w:rFonts w:asciiTheme="majorHAnsi" w:hAnsiTheme="majorHAnsi" w:cs="Times New Roman"/>
        </w:rPr>
        <w:t xml:space="preserve"> AJ, </w:t>
      </w:r>
      <w:proofErr w:type="spellStart"/>
      <w:r w:rsidRPr="00045DFA">
        <w:rPr>
          <w:rFonts w:asciiTheme="majorHAnsi" w:hAnsiTheme="majorHAnsi" w:cs="Times New Roman"/>
        </w:rPr>
        <w:t>Esbrook</w:t>
      </w:r>
      <w:proofErr w:type="spellEnd"/>
      <w:r w:rsidRPr="00045DFA">
        <w:rPr>
          <w:rFonts w:asciiTheme="majorHAnsi" w:hAnsiTheme="majorHAnsi" w:cs="Times New Roman"/>
        </w:rPr>
        <w:t xml:space="preserve"> CL, et al. Early physical and occupational therapy in mechanically ventilated patients. </w:t>
      </w:r>
      <w:r w:rsidRPr="00045DFA">
        <w:rPr>
          <w:rFonts w:asciiTheme="majorHAnsi" w:hAnsiTheme="majorHAnsi" w:cs="Times New Roman"/>
          <w:b/>
          <w:bCs/>
        </w:rPr>
        <w:t>Lancet.</w:t>
      </w:r>
      <w:r w:rsidRPr="00045DFA">
        <w:rPr>
          <w:rFonts w:asciiTheme="majorHAnsi" w:hAnsiTheme="majorHAnsi" w:cs="Times New Roman"/>
        </w:rPr>
        <w:t xml:space="preserve"> 2009;373(9678):1874–82. doi:10.1016/S0140-6736(09)60658-9</w:t>
      </w:r>
    </w:p>
    <w:p w14:paraId="59BBE5D1" w14:textId="77777777" w:rsidR="006B236F" w:rsidRPr="00045DFA" w:rsidRDefault="006B236F" w:rsidP="006B236F">
      <w:pPr>
        <w:spacing w:after="0" w:line="276" w:lineRule="auto"/>
        <w:rPr>
          <w:rFonts w:asciiTheme="majorHAnsi" w:hAnsiTheme="majorHAnsi" w:cs="Times New Roman"/>
        </w:rPr>
      </w:pPr>
      <w:r w:rsidRPr="00045DFA">
        <w:rPr>
          <w:rFonts w:asciiTheme="majorHAnsi" w:hAnsiTheme="majorHAnsi" w:cs="Times New Roman"/>
          <w:b/>
          <w:bCs/>
        </w:rPr>
        <w:t>29.</w:t>
      </w:r>
      <w:r w:rsidRPr="00045DFA">
        <w:rPr>
          <w:rFonts w:asciiTheme="majorHAnsi" w:hAnsiTheme="majorHAnsi" w:cs="Times New Roman"/>
        </w:rPr>
        <w:t xml:space="preserve"> Harwood PJ, </w:t>
      </w:r>
      <w:proofErr w:type="spellStart"/>
      <w:r w:rsidRPr="00045DFA">
        <w:rPr>
          <w:rFonts w:asciiTheme="majorHAnsi" w:hAnsiTheme="majorHAnsi" w:cs="Times New Roman"/>
        </w:rPr>
        <w:t>Giannoudis</w:t>
      </w:r>
      <w:proofErr w:type="spellEnd"/>
      <w:r w:rsidRPr="00045DFA">
        <w:rPr>
          <w:rFonts w:asciiTheme="majorHAnsi" w:hAnsiTheme="majorHAnsi" w:cs="Times New Roman"/>
        </w:rPr>
        <w:t xml:space="preserve"> PV. Prophylaxis and management of open fractures. </w:t>
      </w:r>
      <w:r w:rsidRPr="00045DFA">
        <w:rPr>
          <w:rFonts w:asciiTheme="majorHAnsi" w:hAnsiTheme="majorHAnsi" w:cs="Times New Roman"/>
          <w:b/>
          <w:bCs/>
        </w:rPr>
        <w:t>Injury.</w:t>
      </w:r>
      <w:r w:rsidRPr="00045DFA">
        <w:rPr>
          <w:rFonts w:asciiTheme="majorHAnsi" w:hAnsiTheme="majorHAnsi" w:cs="Times New Roman"/>
        </w:rPr>
        <w:t xml:space="preserve"> 2006;37(7):669–76. doi:10.1016/j.injury.2006.02.053</w:t>
      </w:r>
    </w:p>
    <w:p w14:paraId="0FC541AA" w14:textId="60DEBDCC" w:rsidR="006B236F" w:rsidRPr="00045DFA" w:rsidRDefault="006B236F" w:rsidP="006B236F">
      <w:pPr>
        <w:spacing w:after="0" w:line="276" w:lineRule="auto"/>
        <w:rPr>
          <w:rFonts w:asciiTheme="majorHAnsi" w:hAnsiTheme="majorHAnsi" w:cs="Times New Roman"/>
        </w:rPr>
      </w:pPr>
      <w:r w:rsidRPr="00045DFA">
        <w:rPr>
          <w:rFonts w:asciiTheme="majorHAnsi" w:hAnsiTheme="majorHAnsi" w:cs="Times New Roman"/>
          <w:b/>
          <w:bCs/>
        </w:rPr>
        <w:t>30.</w:t>
      </w:r>
      <w:r w:rsidRPr="00045DFA">
        <w:rPr>
          <w:rFonts w:asciiTheme="majorHAnsi" w:hAnsiTheme="majorHAnsi" w:cs="Times New Roman"/>
        </w:rPr>
        <w:t xml:space="preserve"> </w:t>
      </w:r>
      <w:proofErr w:type="spellStart"/>
      <w:r w:rsidRPr="00045DFA">
        <w:rPr>
          <w:rFonts w:asciiTheme="majorHAnsi" w:hAnsiTheme="majorHAnsi" w:cs="Times New Roman"/>
        </w:rPr>
        <w:t>Allegranzi</w:t>
      </w:r>
      <w:proofErr w:type="spellEnd"/>
      <w:r w:rsidRPr="00045DFA">
        <w:rPr>
          <w:rFonts w:asciiTheme="majorHAnsi" w:hAnsiTheme="majorHAnsi" w:cs="Times New Roman"/>
        </w:rPr>
        <w:t xml:space="preserve"> B, Zayed B, Bischoff P, Kubilay NZ, de Jonge S, de Vries F, et al. New WHO recommendations on preoperative measures for surgical site infection prevention. </w:t>
      </w:r>
      <w:r w:rsidRPr="00045DFA">
        <w:rPr>
          <w:rFonts w:asciiTheme="majorHAnsi" w:hAnsiTheme="majorHAnsi" w:cs="Times New Roman"/>
          <w:b/>
          <w:bCs/>
        </w:rPr>
        <w:t>Lancet Infect Dis.</w:t>
      </w:r>
      <w:r w:rsidRPr="00045DFA">
        <w:rPr>
          <w:rFonts w:asciiTheme="majorHAnsi" w:hAnsiTheme="majorHAnsi" w:cs="Times New Roman"/>
        </w:rPr>
        <w:t xml:space="preserve"> 2016;16(12):e288–303. doi:10.1016/S1473-3099(16)30398-2</w:t>
      </w:r>
    </w:p>
    <w:p w14:paraId="1D74C8D0" w14:textId="77777777" w:rsidR="006B236F" w:rsidRPr="00045DFA" w:rsidRDefault="006B236F" w:rsidP="006B236F">
      <w:pPr>
        <w:spacing w:after="0" w:line="276" w:lineRule="auto"/>
        <w:rPr>
          <w:rFonts w:asciiTheme="majorHAnsi" w:hAnsiTheme="majorHAnsi" w:cs="Times New Roman"/>
        </w:rPr>
      </w:pPr>
      <w:r w:rsidRPr="00045DFA">
        <w:rPr>
          <w:rFonts w:asciiTheme="majorHAnsi" w:hAnsiTheme="majorHAnsi" w:cs="Times New Roman"/>
          <w:b/>
          <w:bCs/>
        </w:rPr>
        <w:t>31.</w:t>
      </w:r>
      <w:r w:rsidRPr="00045DFA">
        <w:rPr>
          <w:rFonts w:asciiTheme="majorHAnsi" w:hAnsiTheme="majorHAnsi" w:cs="Times New Roman"/>
        </w:rPr>
        <w:t xml:space="preserve"> Gustafsson UO, </w:t>
      </w:r>
      <w:proofErr w:type="spellStart"/>
      <w:r w:rsidRPr="00045DFA">
        <w:rPr>
          <w:rFonts w:asciiTheme="majorHAnsi" w:hAnsiTheme="majorHAnsi" w:cs="Times New Roman"/>
        </w:rPr>
        <w:t>Hausel</w:t>
      </w:r>
      <w:proofErr w:type="spellEnd"/>
      <w:r w:rsidRPr="00045DFA">
        <w:rPr>
          <w:rFonts w:asciiTheme="majorHAnsi" w:hAnsiTheme="majorHAnsi" w:cs="Times New Roman"/>
        </w:rPr>
        <w:t xml:space="preserve"> J, </w:t>
      </w:r>
      <w:proofErr w:type="spellStart"/>
      <w:r w:rsidRPr="00045DFA">
        <w:rPr>
          <w:rFonts w:asciiTheme="majorHAnsi" w:hAnsiTheme="majorHAnsi" w:cs="Times New Roman"/>
        </w:rPr>
        <w:t>Thorell</w:t>
      </w:r>
      <w:proofErr w:type="spellEnd"/>
      <w:r w:rsidRPr="00045DFA">
        <w:rPr>
          <w:rFonts w:asciiTheme="majorHAnsi" w:hAnsiTheme="majorHAnsi" w:cs="Times New Roman"/>
        </w:rPr>
        <w:t xml:space="preserve"> A, Ljungqvist O, Soop M, Nygren J. Adherence to enhanced recovery protocols improves outcomes after colorectal surgery. </w:t>
      </w:r>
      <w:r w:rsidRPr="00045DFA">
        <w:rPr>
          <w:rFonts w:asciiTheme="majorHAnsi" w:hAnsiTheme="majorHAnsi" w:cs="Times New Roman"/>
          <w:b/>
          <w:bCs/>
        </w:rPr>
        <w:t>JAMA Surg.</w:t>
      </w:r>
      <w:r w:rsidRPr="00045DFA">
        <w:rPr>
          <w:rFonts w:asciiTheme="majorHAnsi" w:hAnsiTheme="majorHAnsi" w:cs="Times New Roman"/>
        </w:rPr>
        <w:t xml:space="preserve"> 2011;146(5):571–7. doi:10.1001/archsurg.2010.309</w:t>
      </w:r>
    </w:p>
    <w:p w14:paraId="0F5FC610" w14:textId="7246DD49" w:rsidR="006B236F" w:rsidRPr="00045DFA" w:rsidRDefault="006B236F" w:rsidP="006B236F">
      <w:pPr>
        <w:spacing w:after="0" w:line="276" w:lineRule="auto"/>
        <w:rPr>
          <w:rFonts w:asciiTheme="majorHAnsi" w:hAnsiTheme="majorHAnsi" w:cs="Times New Roman"/>
        </w:rPr>
      </w:pPr>
      <w:r w:rsidRPr="00045DFA">
        <w:rPr>
          <w:rFonts w:asciiTheme="majorHAnsi" w:hAnsiTheme="majorHAnsi" w:cs="Times New Roman"/>
          <w:b/>
          <w:bCs/>
        </w:rPr>
        <w:t>32.</w:t>
      </w:r>
      <w:r w:rsidRPr="00045DFA">
        <w:rPr>
          <w:rFonts w:asciiTheme="majorHAnsi" w:hAnsiTheme="majorHAnsi" w:cs="Times New Roman"/>
        </w:rPr>
        <w:t xml:space="preserve"> ERAS Compliance Group. The impact of enhanced recovery protocol compliance on outcomes after colorectal surgery. </w:t>
      </w:r>
      <w:r w:rsidRPr="00045DFA">
        <w:rPr>
          <w:rFonts w:asciiTheme="majorHAnsi" w:hAnsiTheme="majorHAnsi" w:cs="Times New Roman"/>
          <w:b/>
          <w:bCs/>
        </w:rPr>
        <w:t>Ann Surg.</w:t>
      </w:r>
      <w:r w:rsidRPr="00045DFA">
        <w:rPr>
          <w:rFonts w:asciiTheme="majorHAnsi" w:hAnsiTheme="majorHAnsi" w:cs="Times New Roman"/>
        </w:rPr>
        <w:t xml:space="preserve"> 2015;261(6):1153–9. doi:10.1097/SLA.0000000000000793</w:t>
      </w:r>
    </w:p>
    <w:p w14:paraId="683E1AEB" w14:textId="77777777" w:rsidR="006B236F" w:rsidRPr="00045DFA" w:rsidRDefault="006B236F" w:rsidP="006B236F">
      <w:pPr>
        <w:spacing w:after="0" w:line="276" w:lineRule="auto"/>
        <w:rPr>
          <w:rFonts w:asciiTheme="majorHAnsi" w:hAnsiTheme="majorHAnsi" w:cs="Times New Roman"/>
        </w:rPr>
      </w:pPr>
      <w:r w:rsidRPr="00045DFA">
        <w:rPr>
          <w:rFonts w:asciiTheme="majorHAnsi" w:hAnsiTheme="majorHAnsi" w:cs="Times New Roman"/>
          <w:b/>
          <w:bCs/>
        </w:rPr>
        <w:t>33.</w:t>
      </w:r>
      <w:r w:rsidRPr="00045DFA">
        <w:rPr>
          <w:rFonts w:asciiTheme="majorHAnsi" w:hAnsiTheme="majorHAnsi" w:cs="Times New Roman"/>
        </w:rPr>
        <w:t xml:space="preserve"> Brundage SI, Jurkovich GJ, Hoyt DB, et al. Timing of femur fracture fixation in polytrauma patients and pulmonary complications. </w:t>
      </w:r>
      <w:r w:rsidRPr="00045DFA">
        <w:rPr>
          <w:rFonts w:asciiTheme="majorHAnsi" w:hAnsiTheme="majorHAnsi" w:cs="Times New Roman"/>
          <w:b/>
          <w:bCs/>
        </w:rPr>
        <w:t>J Trauma.</w:t>
      </w:r>
      <w:r w:rsidRPr="00045DFA">
        <w:rPr>
          <w:rFonts w:asciiTheme="majorHAnsi" w:hAnsiTheme="majorHAnsi" w:cs="Times New Roman"/>
        </w:rPr>
        <w:t xml:space="preserve"> 2002;52(2):299–307. doi:10.1097/00005373-200202000-00018</w:t>
      </w:r>
    </w:p>
    <w:p w14:paraId="38304754" w14:textId="6F6C72C3" w:rsidR="006B236F" w:rsidRPr="00045DFA" w:rsidRDefault="006B236F" w:rsidP="006B236F">
      <w:pPr>
        <w:spacing w:after="0" w:line="276" w:lineRule="auto"/>
        <w:rPr>
          <w:rFonts w:asciiTheme="majorHAnsi" w:hAnsiTheme="majorHAnsi" w:cs="Times New Roman"/>
        </w:rPr>
      </w:pPr>
      <w:r w:rsidRPr="00045DFA">
        <w:rPr>
          <w:rFonts w:asciiTheme="majorHAnsi" w:hAnsiTheme="majorHAnsi" w:cs="Times New Roman"/>
          <w:b/>
          <w:bCs/>
        </w:rPr>
        <w:t>34.</w:t>
      </w:r>
      <w:r w:rsidRPr="00045DFA">
        <w:rPr>
          <w:rFonts w:asciiTheme="majorHAnsi" w:hAnsiTheme="majorHAnsi" w:cs="Times New Roman"/>
        </w:rPr>
        <w:t xml:space="preserve"> O’Reilly GM, Cameron PA, Joshipura M. Global trauma registry comparison between high- and middle-income settings. </w:t>
      </w:r>
      <w:r w:rsidRPr="00045DFA">
        <w:rPr>
          <w:rFonts w:asciiTheme="majorHAnsi" w:hAnsiTheme="majorHAnsi" w:cs="Times New Roman"/>
          <w:b/>
          <w:bCs/>
        </w:rPr>
        <w:t>Injury.</w:t>
      </w:r>
      <w:r w:rsidRPr="00045DFA">
        <w:rPr>
          <w:rFonts w:asciiTheme="majorHAnsi" w:hAnsiTheme="majorHAnsi" w:cs="Times New Roman"/>
        </w:rPr>
        <w:t xml:space="preserve"> 2013;44(10):1280–5. doi:10.1016/j.injury.2013.03.012</w:t>
      </w:r>
    </w:p>
    <w:p w14:paraId="2F2D452C" w14:textId="77777777" w:rsidR="006B236F" w:rsidRPr="00045DFA" w:rsidRDefault="006B236F" w:rsidP="006B236F">
      <w:pPr>
        <w:spacing w:after="0" w:line="276" w:lineRule="auto"/>
        <w:rPr>
          <w:rFonts w:asciiTheme="majorHAnsi" w:hAnsiTheme="majorHAnsi" w:cs="Times New Roman"/>
        </w:rPr>
      </w:pPr>
      <w:r w:rsidRPr="00045DFA">
        <w:rPr>
          <w:rFonts w:asciiTheme="majorHAnsi" w:hAnsiTheme="majorHAnsi" w:cs="Times New Roman"/>
          <w:b/>
          <w:bCs/>
        </w:rPr>
        <w:lastRenderedPageBreak/>
        <w:t>35.</w:t>
      </w:r>
      <w:r w:rsidRPr="00045DFA">
        <w:rPr>
          <w:rFonts w:asciiTheme="majorHAnsi" w:hAnsiTheme="majorHAnsi" w:cs="Times New Roman"/>
        </w:rPr>
        <w:t xml:space="preserve"> Gustilo RB, Anderson JT. Prevention of infection in treatment of open long-bone fractures. </w:t>
      </w:r>
      <w:r w:rsidRPr="00045DFA">
        <w:rPr>
          <w:rFonts w:asciiTheme="majorHAnsi" w:hAnsiTheme="majorHAnsi" w:cs="Times New Roman"/>
          <w:b/>
          <w:bCs/>
        </w:rPr>
        <w:t xml:space="preserve">J Bone Joint </w:t>
      </w:r>
      <w:proofErr w:type="spellStart"/>
      <w:r w:rsidRPr="00045DFA">
        <w:rPr>
          <w:rFonts w:asciiTheme="majorHAnsi" w:hAnsiTheme="majorHAnsi" w:cs="Times New Roman"/>
          <w:b/>
          <w:bCs/>
        </w:rPr>
        <w:t>Surg</w:t>
      </w:r>
      <w:proofErr w:type="spellEnd"/>
      <w:r w:rsidRPr="00045DFA">
        <w:rPr>
          <w:rFonts w:asciiTheme="majorHAnsi" w:hAnsiTheme="majorHAnsi" w:cs="Times New Roman"/>
          <w:b/>
          <w:bCs/>
        </w:rPr>
        <w:t xml:space="preserve"> Am.</w:t>
      </w:r>
      <w:r w:rsidRPr="00045DFA">
        <w:rPr>
          <w:rFonts w:asciiTheme="majorHAnsi" w:hAnsiTheme="majorHAnsi" w:cs="Times New Roman"/>
        </w:rPr>
        <w:t xml:space="preserve"> 1976;58(4):453–8. doi:10.2106/00004623-197658040-00004</w:t>
      </w:r>
    </w:p>
    <w:p w14:paraId="36D363AE" w14:textId="53A442C9" w:rsidR="006B236F" w:rsidRPr="00045DFA" w:rsidRDefault="006B236F" w:rsidP="006B236F">
      <w:pPr>
        <w:spacing w:after="0" w:line="276" w:lineRule="auto"/>
        <w:rPr>
          <w:rFonts w:asciiTheme="majorHAnsi" w:hAnsiTheme="majorHAnsi" w:cs="Times New Roman"/>
        </w:rPr>
      </w:pPr>
      <w:r w:rsidRPr="00045DFA">
        <w:rPr>
          <w:rFonts w:asciiTheme="majorHAnsi" w:hAnsiTheme="majorHAnsi" w:cs="Times New Roman"/>
          <w:b/>
          <w:bCs/>
        </w:rPr>
        <w:t>36.</w:t>
      </w:r>
      <w:r w:rsidRPr="00045DFA">
        <w:rPr>
          <w:rFonts w:asciiTheme="majorHAnsi" w:hAnsiTheme="majorHAnsi" w:cs="Times New Roman"/>
        </w:rPr>
        <w:t xml:space="preserve"> Brandstrup B, Tønnesen H, Beier-Holgersen R, Hjortsø E, Ørding H, Lindorff-Larsen K, et al. Effects of intravenous fluid restriction on postoperative complications. </w:t>
      </w:r>
      <w:r w:rsidRPr="00045DFA">
        <w:rPr>
          <w:rFonts w:asciiTheme="majorHAnsi" w:hAnsiTheme="majorHAnsi" w:cs="Times New Roman"/>
          <w:b/>
          <w:bCs/>
        </w:rPr>
        <w:t>Ann Surg.</w:t>
      </w:r>
      <w:r w:rsidRPr="00045DFA">
        <w:rPr>
          <w:rFonts w:asciiTheme="majorHAnsi" w:hAnsiTheme="majorHAnsi" w:cs="Times New Roman"/>
        </w:rPr>
        <w:t xml:space="preserve"> 2003;238(5):641–8. doi:10.1097/01.sla.0000094387.50865.23</w:t>
      </w:r>
    </w:p>
    <w:p w14:paraId="66A3DBBB" w14:textId="77777777" w:rsidR="006B236F" w:rsidRPr="00045DFA" w:rsidRDefault="006B236F" w:rsidP="006B236F">
      <w:pPr>
        <w:spacing w:after="0" w:line="276" w:lineRule="auto"/>
        <w:rPr>
          <w:rFonts w:asciiTheme="majorHAnsi" w:hAnsiTheme="majorHAnsi" w:cs="Times New Roman"/>
        </w:rPr>
      </w:pPr>
      <w:r w:rsidRPr="00045DFA">
        <w:rPr>
          <w:rFonts w:asciiTheme="majorHAnsi" w:hAnsiTheme="majorHAnsi" w:cs="Times New Roman"/>
          <w:b/>
          <w:bCs/>
        </w:rPr>
        <w:t>16.</w:t>
      </w:r>
      <w:r w:rsidRPr="00045DFA">
        <w:rPr>
          <w:rFonts w:asciiTheme="majorHAnsi" w:hAnsiTheme="majorHAnsi" w:cs="Times New Roman"/>
        </w:rPr>
        <w:t xml:space="preserve"> Bone LB, Johnson KD, Weigelt J, Scheinberg R. Early versus delayed stabilization of femoral fractures: a prospective randomized study. </w:t>
      </w:r>
      <w:r w:rsidRPr="00045DFA">
        <w:rPr>
          <w:rFonts w:asciiTheme="majorHAnsi" w:hAnsiTheme="majorHAnsi" w:cs="Times New Roman"/>
          <w:b/>
          <w:bCs/>
        </w:rPr>
        <w:t xml:space="preserve">J Bone Joint </w:t>
      </w:r>
      <w:proofErr w:type="spellStart"/>
      <w:r w:rsidRPr="00045DFA">
        <w:rPr>
          <w:rFonts w:asciiTheme="majorHAnsi" w:hAnsiTheme="majorHAnsi" w:cs="Times New Roman"/>
          <w:b/>
          <w:bCs/>
        </w:rPr>
        <w:t>Surg</w:t>
      </w:r>
      <w:proofErr w:type="spellEnd"/>
      <w:r w:rsidRPr="00045DFA">
        <w:rPr>
          <w:rFonts w:asciiTheme="majorHAnsi" w:hAnsiTheme="majorHAnsi" w:cs="Times New Roman"/>
          <w:b/>
          <w:bCs/>
        </w:rPr>
        <w:t xml:space="preserve"> Am.</w:t>
      </w:r>
      <w:r w:rsidRPr="00045DFA">
        <w:rPr>
          <w:rFonts w:asciiTheme="majorHAnsi" w:hAnsiTheme="majorHAnsi" w:cs="Times New Roman"/>
        </w:rPr>
        <w:t xml:space="preserve"> 1989;71(3):336–40. doi:10.2106/00004623-198971030-00003</w:t>
      </w:r>
    </w:p>
    <w:p w14:paraId="373186C0" w14:textId="77777777" w:rsidR="006B236F" w:rsidRPr="00045DFA" w:rsidRDefault="006B236F" w:rsidP="006B236F">
      <w:pPr>
        <w:spacing w:after="0" w:line="276" w:lineRule="auto"/>
        <w:rPr>
          <w:rFonts w:asciiTheme="majorHAnsi" w:hAnsiTheme="majorHAnsi" w:cs="Times New Roman"/>
        </w:rPr>
      </w:pPr>
      <w:r w:rsidRPr="00045DFA">
        <w:rPr>
          <w:rFonts w:asciiTheme="majorHAnsi" w:hAnsiTheme="majorHAnsi" w:cs="Times New Roman"/>
          <w:b/>
          <w:bCs/>
        </w:rPr>
        <w:t>17.</w:t>
      </w:r>
      <w:r w:rsidRPr="00045DFA">
        <w:rPr>
          <w:rFonts w:asciiTheme="majorHAnsi" w:hAnsiTheme="majorHAnsi" w:cs="Times New Roman"/>
        </w:rPr>
        <w:t xml:space="preserve"> Vallier HA, Super DM, Moore TA, Wilber JH. Complications are reduced with early fixation of femur fractures. </w:t>
      </w:r>
      <w:r w:rsidRPr="00045DFA">
        <w:rPr>
          <w:rFonts w:asciiTheme="majorHAnsi" w:hAnsiTheme="majorHAnsi" w:cs="Times New Roman"/>
          <w:b/>
          <w:bCs/>
        </w:rPr>
        <w:t>J Trauma.</w:t>
      </w:r>
      <w:r w:rsidRPr="00045DFA">
        <w:rPr>
          <w:rFonts w:asciiTheme="majorHAnsi" w:hAnsiTheme="majorHAnsi" w:cs="Times New Roman"/>
        </w:rPr>
        <w:t xml:space="preserve"> 2013;74(2):441–7. doi:10.1097/TA.0b013e3182788a5a</w:t>
      </w:r>
    </w:p>
    <w:p w14:paraId="020B4A39" w14:textId="77777777" w:rsidR="006B236F" w:rsidRPr="00045DFA" w:rsidRDefault="006B236F" w:rsidP="006B236F">
      <w:pPr>
        <w:spacing w:after="0" w:line="276" w:lineRule="auto"/>
        <w:rPr>
          <w:rFonts w:asciiTheme="majorHAnsi" w:hAnsiTheme="majorHAnsi" w:cs="Times New Roman"/>
        </w:rPr>
      </w:pPr>
      <w:r w:rsidRPr="00045DFA">
        <w:rPr>
          <w:rFonts w:asciiTheme="majorHAnsi" w:hAnsiTheme="majorHAnsi" w:cs="Times New Roman"/>
          <w:b/>
          <w:bCs/>
        </w:rPr>
        <w:t>18.</w:t>
      </w:r>
      <w:r w:rsidRPr="00045DFA">
        <w:rPr>
          <w:rFonts w:asciiTheme="majorHAnsi" w:hAnsiTheme="majorHAnsi" w:cs="Times New Roman"/>
        </w:rPr>
        <w:t xml:space="preserve"> Moore FA, Feliciano DV, Andrassy RJ, McArdle AH, Booth FV, Morgenstein-Wagner TB, et al. Early enteral feeding, compared with parenteral, reduces postoperative septic complications: results of a meta-analysis. </w:t>
      </w:r>
      <w:r w:rsidRPr="00045DFA">
        <w:rPr>
          <w:rFonts w:asciiTheme="majorHAnsi" w:hAnsiTheme="majorHAnsi" w:cs="Times New Roman"/>
          <w:b/>
          <w:bCs/>
        </w:rPr>
        <w:t>Ann Surg.</w:t>
      </w:r>
      <w:r w:rsidRPr="00045DFA">
        <w:rPr>
          <w:rFonts w:asciiTheme="majorHAnsi" w:hAnsiTheme="majorHAnsi" w:cs="Times New Roman"/>
        </w:rPr>
        <w:t xml:space="preserve"> 1992;216(2):172–83. doi:10.1097/00000658-199208000-00008</w:t>
      </w:r>
    </w:p>
    <w:p w14:paraId="62448F0A" w14:textId="157A5AD8" w:rsidR="001C0AB6" w:rsidRPr="00045DFA" w:rsidRDefault="001C0AB6" w:rsidP="00680D07">
      <w:pPr>
        <w:spacing w:after="0" w:line="276" w:lineRule="auto"/>
        <w:rPr>
          <w:rFonts w:asciiTheme="majorHAnsi" w:hAnsiTheme="majorHAnsi" w:cs="Times New Roman"/>
        </w:rPr>
      </w:pPr>
    </w:p>
    <w:p w14:paraId="6E16DF3D" w14:textId="77777777" w:rsidR="001677C5" w:rsidRPr="00045DFA" w:rsidRDefault="001677C5" w:rsidP="001677C5">
      <w:pPr>
        <w:spacing w:after="0" w:line="276" w:lineRule="auto"/>
        <w:rPr>
          <w:rFonts w:asciiTheme="majorHAnsi" w:hAnsiTheme="majorHAnsi" w:cs="Times New Roman"/>
        </w:rPr>
      </w:pPr>
      <w:r w:rsidRPr="00045DFA">
        <w:rPr>
          <w:rFonts w:asciiTheme="majorHAnsi" w:hAnsiTheme="majorHAnsi" w:cs="Times New Roman"/>
          <w:b/>
          <w:bCs/>
        </w:rPr>
        <w:t>37.</w:t>
      </w:r>
      <w:r w:rsidRPr="00045DFA">
        <w:rPr>
          <w:rFonts w:asciiTheme="majorHAnsi" w:hAnsiTheme="majorHAnsi" w:cs="Times New Roman"/>
        </w:rPr>
        <w:t xml:space="preserve"> Pronovost P, Needham D, </w:t>
      </w:r>
      <w:proofErr w:type="spellStart"/>
      <w:r w:rsidRPr="00045DFA">
        <w:rPr>
          <w:rFonts w:asciiTheme="majorHAnsi" w:hAnsiTheme="majorHAnsi" w:cs="Times New Roman"/>
        </w:rPr>
        <w:t>Berenholtz</w:t>
      </w:r>
      <w:proofErr w:type="spellEnd"/>
      <w:r w:rsidRPr="00045DFA">
        <w:rPr>
          <w:rFonts w:asciiTheme="majorHAnsi" w:hAnsiTheme="majorHAnsi" w:cs="Times New Roman"/>
        </w:rPr>
        <w:t xml:space="preserve"> S, </w:t>
      </w:r>
      <w:proofErr w:type="spellStart"/>
      <w:r w:rsidRPr="00045DFA">
        <w:rPr>
          <w:rFonts w:asciiTheme="majorHAnsi" w:hAnsiTheme="majorHAnsi" w:cs="Times New Roman"/>
        </w:rPr>
        <w:t>Sinopoli</w:t>
      </w:r>
      <w:proofErr w:type="spellEnd"/>
      <w:r w:rsidRPr="00045DFA">
        <w:rPr>
          <w:rFonts w:asciiTheme="majorHAnsi" w:hAnsiTheme="majorHAnsi" w:cs="Times New Roman"/>
        </w:rPr>
        <w:t xml:space="preserve"> D, Chu H, Cosgrove S, et al. An intervention to decrease catheter-related bloodstream infections in the ICU. </w:t>
      </w:r>
      <w:r w:rsidRPr="00045DFA">
        <w:rPr>
          <w:rFonts w:asciiTheme="majorHAnsi" w:hAnsiTheme="majorHAnsi" w:cs="Times New Roman"/>
          <w:b/>
          <w:bCs/>
        </w:rPr>
        <w:t>N Engl J Med.</w:t>
      </w:r>
      <w:r w:rsidRPr="00045DFA">
        <w:rPr>
          <w:rFonts w:asciiTheme="majorHAnsi" w:hAnsiTheme="majorHAnsi" w:cs="Times New Roman"/>
        </w:rPr>
        <w:t xml:space="preserve"> 2006;355(26):2725–32. doi:10.1056/NEJMoa061115</w:t>
      </w:r>
    </w:p>
    <w:p w14:paraId="6DA31D4A" w14:textId="0AE6C11B" w:rsidR="001677C5" w:rsidRPr="00045DFA" w:rsidRDefault="001677C5" w:rsidP="001677C5">
      <w:pPr>
        <w:spacing w:after="0" w:line="276" w:lineRule="auto"/>
        <w:rPr>
          <w:rFonts w:asciiTheme="majorHAnsi" w:hAnsiTheme="majorHAnsi" w:cs="Times New Roman"/>
        </w:rPr>
      </w:pPr>
      <w:r w:rsidRPr="00045DFA">
        <w:rPr>
          <w:rFonts w:asciiTheme="majorHAnsi" w:hAnsiTheme="majorHAnsi" w:cs="Times New Roman"/>
          <w:b/>
          <w:bCs/>
        </w:rPr>
        <w:t>38.</w:t>
      </w:r>
      <w:r w:rsidRPr="00045DFA">
        <w:rPr>
          <w:rFonts w:asciiTheme="majorHAnsi" w:hAnsiTheme="majorHAnsi" w:cs="Times New Roman"/>
        </w:rPr>
        <w:t xml:space="preserve"> </w:t>
      </w:r>
      <w:proofErr w:type="spellStart"/>
      <w:r w:rsidRPr="00045DFA">
        <w:rPr>
          <w:rFonts w:asciiTheme="majorHAnsi" w:hAnsiTheme="majorHAnsi" w:cs="Times New Roman"/>
        </w:rPr>
        <w:t>Ivers</w:t>
      </w:r>
      <w:proofErr w:type="spellEnd"/>
      <w:r w:rsidRPr="00045DFA">
        <w:rPr>
          <w:rFonts w:asciiTheme="majorHAnsi" w:hAnsiTheme="majorHAnsi" w:cs="Times New Roman"/>
        </w:rPr>
        <w:t xml:space="preserve"> N, </w:t>
      </w:r>
      <w:proofErr w:type="spellStart"/>
      <w:r w:rsidRPr="00045DFA">
        <w:rPr>
          <w:rFonts w:asciiTheme="majorHAnsi" w:hAnsiTheme="majorHAnsi" w:cs="Times New Roman"/>
        </w:rPr>
        <w:t>Jamtvedt</w:t>
      </w:r>
      <w:proofErr w:type="spellEnd"/>
      <w:r w:rsidRPr="00045DFA">
        <w:rPr>
          <w:rFonts w:asciiTheme="majorHAnsi" w:hAnsiTheme="majorHAnsi" w:cs="Times New Roman"/>
        </w:rPr>
        <w:t xml:space="preserve"> G, </w:t>
      </w:r>
      <w:proofErr w:type="spellStart"/>
      <w:r w:rsidRPr="00045DFA">
        <w:rPr>
          <w:rFonts w:asciiTheme="majorHAnsi" w:hAnsiTheme="majorHAnsi" w:cs="Times New Roman"/>
        </w:rPr>
        <w:t>Flottorp</w:t>
      </w:r>
      <w:proofErr w:type="spellEnd"/>
      <w:r w:rsidRPr="00045DFA">
        <w:rPr>
          <w:rFonts w:asciiTheme="majorHAnsi" w:hAnsiTheme="majorHAnsi" w:cs="Times New Roman"/>
        </w:rPr>
        <w:t xml:space="preserve"> S, Young JM, Odgaard-Jensen J, French SD, et al. Audit and feedback: effects on professional practice and healthcare outcomes. </w:t>
      </w:r>
      <w:r w:rsidRPr="00045DFA">
        <w:rPr>
          <w:rFonts w:asciiTheme="majorHAnsi" w:hAnsiTheme="majorHAnsi" w:cs="Times New Roman"/>
          <w:b/>
          <w:bCs/>
        </w:rPr>
        <w:t xml:space="preserve">Cochrane Database </w:t>
      </w:r>
      <w:proofErr w:type="spellStart"/>
      <w:r w:rsidRPr="00045DFA">
        <w:rPr>
          <w:rFonts w:asciiTheme="majorHAnsi" w:hAnsiTheme="majorHAnsi" w:cs="Times New Roman"/>
          <w:b/>
          <w:bCs/>
        </w:rPr>
        <w:t>Syst</w:t>
      </w:r>
      <w:proofErr w:type="spellEnd"/>
      <w:r w:rsidRPr="00045DFA">
        <w:rPr>
          <w:rFonts w:asciiTheme="majorHAnsi" w:hAnsiTheme="majorHAnsi" w:cs="Times New Roman"/>
          <w:b/>
          <w:bCs/>
        </w:rPr>
        <w:t xml:space="preserve"> Rev.</w:t>
      </w:r>
      <w:r w:rsidRPr="00045DFA">
        <w:rPr>
          <w:rFonts w:asciiTheme="majorHAnsi" w:hAnsiTheme="majorHAnsi" w:cs="Times New Roman"/>
        </w:rPr>
        <w:t xml:space="preserve"> 2012;(6):CD000259. doi:10.1002/14651858.CD000259.pub3</w:t>
      </w:r>
    </w:p>
    <w:p w14:paraId="25A781D1" w14:textId="77777777" w:rsidR="001677C5" w:rsidRPr="00045DFA" w:rsidRDefault="001677C5" w:rsidP="001677C5">
      <w:pPr>
        <w:spacing w:after="0" w:line="276" w:lineRule="auto"/>
        <w:rPr>
          <w:rFonts w:asciiTheme="majorHAnsi" w:hAnsiTheme="majorHAnsi" w:cs="Times New Roman"/>
        </w:rPr>
      </w:pPr>
      <w:r w:rsidRPr="00045DFA">
        <w:rPr>
          <w:rFonts w:asciiTheme="majorHAnsi" w:hAnsiTheme="majorHAnsi" w:cs="Times New Roman"/>
          <w:b/>
          <w:bCs/>
        </w:rPr>
        <w:t>39.</w:t>
      </w:r>
      <w:r w:rsidRPr="00045DFA">
        <w:rPr>
          <w:rFonts w:asciiTheme="majorHAnsi" w:hAnsiTheme="majorHAnsi" w:cs="Times New Roman"/>
        </w:rPr>
        <w:t xml:space="preserve"> </w:t>
      </w:r>
      <w:proofErr w:type="spellStart"/>
      <w:r w:rsidRPr="00045DFA">
        <w:rPr>
          <w:rFonts w:asciiTheme="majorHAnsi" w:hAnsiTheme="majorHAnsi" w:cs="Times New Roman"/>
        </w:rPr>
        <w:t>Ghaferi</w:t>
      </w:r>
      <w:proofErr w:type="spellEnd"/>
      <w:r w:rsidRPr="00045DFA">
        <w:rPr>
          <w:rFonts w:asciiTheme="majorHAnsi" w:hAnsiTheme="majorHAnsi" w:cs="Times New Roman"/>
        </w:rPr>
        <w:t xml:space="preserve"> AA, </w:t>
      </w:r>
      <w:proofErr w:type="spellStart"/>
      <w:r w:rsidRPr="00045DFA">
        <w:rPr>
          <w:rFonts w:asciiTheme="majorHAnsi" w:hAnsiTheme="majorHAnsi" w:cs="Times New Roman"/>
        </w:rPr>
        <w:t>Birkmeyer</w:t>
      </w:r>
      <w:proofErr w:type="spellEnd"/>
      <w:r w:rsidRPr="00045DFA">
        <w:rPr>
          <w:rFonts w:asciiTheme="majorHAnsi" w:hAnsiTheme="majorHAnsi" w:cs="Times New Roman"/>
        </w:rPr>
        <w:t xml:space="preserve"> JD, Dimick JB. Variation in hospital mortality associated with inpatient surgery. </w:t>
      </w:r>
      <w:r w:rsidRPr="00045DFA">
        <w:rPr>
          <w:rFonts w:asciiTheme="majorHAnsi" w:hAnsiTheme="majorHAnsi" w:cs="Times New Roman"/>
          <w:b/>
          <w:bCs/>
        </w:rPr>
        <w:t>N Engl J Med.</w:t>
      </w:r>
      <w:r w:rsidRPr="00045DFA">
        <w:rPr>
          <w:rFonts w:asciiTheme="majorHAnsi" w:hAnsiTheme="majorHAnsi" w:cs="Times New Roman"/>
        </w:rPr>
        <w:t xml:space="preserve"> 2009;361(14):1368–75. doi:10.1056/NEJMsa0903048</w:t>
      </w:r>
    </w:p>
    <w:p w14:paraId="7EEF4030" w14:textId="550CA6E4" w:rsidR="001677C5" w:rsidRPr="00045DFA" w:rsidRDefault="001677C5" w:rsidP="001677C5">
      <w:pPr>
        <w:spacing w:after="0" w:line="276" w:lineRule="auto"/>
        <w:rPr>
          <w:rFonts w:asciiTheme="majorHAnsi" w:hAnsiTheme="majorHAnsi" w:cs="Times New Roman"/>
        </w:rPr>
      </w:pPr>
      <w:r w:rsidRPr="00045DFA">
        <w:rPr>
          <w:rFonts w:asciiTheme="majorHAnsi" w:hAnsiTheme="majorHAnsi" w:cs="Times New Roman"/>
          <w:b/>
          <w:bCs/>
        </w:rPr>
        <w:t>40.</w:t>
      </w:r>
      <w:r w:rsidRPr="00045DFA">
        <w:rPr>
          <w:rFonts w:asciiTheme="majorHAnsi" w:hAnsiTheme="majorHAnsi" w:cs="Times New Roman"/>
        </w:rPr>
        <w:t xml:space="preserve"> Johnston MJ, Arora S, King D, </w:t>
      </w:r>
      <w:proofErr w:type="spellStart"/>
      <w:r w:rsidRPr="00045DFA">
        <w:rPr>
          <w:rFonts w:asciiTheme="majorHAnsi" w:hAnsiTheme="majorHAnsi" w:cs="Times New Roman"/>
        </w:rPr>
        <w:t>Bouras</w:t>
      </w:r>
      <w:proofErr w:type="spellEnd"/>
      <w:r w:rsidRPr="00045DFA">
        <w:rPr>
          <w:rFonts w:asciiTheme="majorHAnsi" w:hAnsiTheme="majorHAnsi" w:cs="Times New Roman"/>
        </w:rPr>
        <w:t xml:space="preserve"> G, </w:t>
      </w:r>
      <w:proofErr w:type="spellStart"/>
      <w:r w:rsidRPr="00045DFA">
        <w:rPr>
          <w:rFonts w:asciiTheme="majorHAnsi" w:hAnsiTheme="majorHAnsi" w:cs="Times New Roman"/>
        </w:rPr>
        <w:t>Almoudaris</w:t>
      </w:r>
      <w:proofErr w:type="spellEnd"/>
      <w:r w:rsidRPr="00045DFA">
        <w:rPr>
          <w:rFonts w:asciiTheme="majorHAnsi" w:hAnsiTheme="majorHAnsi" w:cs="Times New Roman"/>
        </w:rPr>
        <w:t xml:space="preserve"> AM, Davis R, et al. A systematic review to identify factors affecting failure-to-rescue in surgery. </w:t>
      </w:r>
      <w:r w:rsidRPr="00045DFA">
        <w:rPr>
          <w:rFonts w:asciiTheme="majorHAnsi" w:hAnsiTheme="majorHAnsi" w:cs="Times New Roman"/>
          <w:b/>
          <w:bCs/>
        </w:rPr>
        <w:t>Br J Surg.</w:t>
      </w:r>
      <w:r w:rsidRPr="00045DFA">
        <w:rPr>
          <w:rFonts w:asciiTheme="majorHAnsi" w:hAnsiTheme="majorHAnsi" w:cs="Times New Roman"/>
        </w:rPr>
        <w:t xml:space="preserve"> 2015;102(3):227–34. doi:10.1002/bjs.9718</w:t>
      </w:r>
    </w:p>
    <w:p w14:paraId="3B7E6401" w14:textId="77777777" w:rsidR="001677C5" w:rsidRPr="00045DFA" w:rsidRDefault="001677C5" w:rsidP="001677C5">
      <w:pPr>
        <w:spacing w:after="0" w:line="276" w:lineRule="auto"/>
        <w:rPr>
          <w:rFonts w:asciiTheme="majorHAnsi" w:hAnsiTheme="majorHAnsi" w:cs="Times New Roman"/>
        </w:rPr>
      </w:pPr>
      <w:r w:rsidRPr="00045DFA">
        <w:rPr>
          <w:rFonts w:asciiTheme="majorHAnsi" w:hAnsiTheme="majorHAnsi" w:cs="Times New Roman"/>
          <w:b/>
          <w:bCs/>
        </w:rPr>
        <w:t>41.</w:t>
      </w:r>
      <w:r w:rsidRPr="00045DFA">
        <w:rPr>
          <w:rFonts w:asciiTheme="majorHAnsi" w:hAnsiTheme="majorHAnsi" w:cs="Times New Roman"/>
        </w:rPr>
        <w:t xml:space="preserve"> Jayaraman S, </w:t>
      </w:r>
      <w:proofErr w:type="spellStart"/>
      <w:r w:rsidRPr="00045DFA">
        <w:rPr>
          <w:rFonts w:asciiTheme="majorHAnsi" w:hAnsiTheme="majorHAnsi" w:cs="Times New Roman"/>
        </w:rPr>
        <w:t>Mabweijano</w:t>
      </w:r>
      <w:proofErr w:type="spellEnd"/>
      <w:r w:rsidRPr="00045DFA">
        <w:rPr>
          <w:rFonts w:asciiTheme="majorHAnsi" w:hAnsiTheme="majorHAnsi" w:cs="Times New Roman"/>
        </w:rPr>
        <w:t xml:space="preserve"> J, </w:t>
      </w:r>
      <w:proofErr w:type="spellStart"/>
      <w:r w:rsidRPr="00045DFA">
        <w:rPr>
          <w:rFonts w:asciiTheme="majorHAnsi" w:hAnsiTheme="majorHAnsi" w:cs="Times New Roman"/>
        </w:rPr>
        <w:t>Lipnick</w:t>
      </w:r>
      <w:proofErr w:type="spellEnd"/>
      <w:r w:rsidRPr="00045DFA">
        <w:rPr>
          <w:rFonts w:asciiTheme="majorHAnsi" w:hAnsiTheme="majorHAnsi" w:cs="Times New Roman"/>
        </w:rPr>
        <w:t xml:space="preserve"> MS, Caldwell N, Miyamoto J, </w:t>
      </w:r>
      <w:proofErr w:type="spellStart"/>
      <w:r w:rsidRPr="00045DFA">
        <w:rPr>
          <w:rFonts w:asciiTheme="majorHAnsi" w:hAnsiTheme="majorHAnsi" w:cs="Times New Roman"/>
        </w:rPr>
        <w:t>Wangoda</w:t>
      </w:r>
      <w:proofErr w:type="spellEnd"/>
      <w:r w:rsidRPr="00045DFA">
        <w:rPr>
          <w:rFonts w:asciiTheme="majorHAnsi" w:hAnsiTheme="majorHAnsi" w:cs="Times New Roman"/>
        </w:rPr>
        <w:t xml:space="preserve"> R, et al. First things first: effectiveness of a basic trauma care course in resource-limited settings. </w:t>
      </w:r>
      <w:r w:rsidRPr="00045DFA">
        <w:rPr>
          <w:rFonts w:asciiTheme="majorHAnsi" w:hAnsiTheme="majorHAnsi" w:cs="Times New Roman"/>
          <w:b/>
          <w:bCs/>
        </w:rPr>
        <w:t>World J Surg.</w:t>
      </w:r>
      <w:r w:rsidRPr="00045DFA">
        <w:rPr>
          <w:rFonts w:asciiTheme="majorHAnsi" w:hAnsiTheme="majorHAnsi" w:cs="Times New Roman"/>
        </w:rPr>
        <w:t xml:space="preserve"> 2014;38(11):3046–51. doi:10.1007/s00268-014-2632-2</w:t>
      </w:r>
    </w:p>
    <w:p w14:paraId="7D517268" w14:textId="7037BA4B" w:rsidR="001677C5" w:rsidRPr="00045DFA" w:rsidRDefault="001677C5" w:rsidP="001677C5">
      <w:pPr>
        <w:spacing w:after="0" w:line="276" w:lineRule="auto"/>
        <w:rPr>
          <w:rFonts w:asciiTheme="majorHAnsi" w:hAnsiTheme="majorHAnsi" w:cs="Times New Roman"/>
        </w:rPr>
      </w:pPr>
      <w:r w:rsidRPr="00045DFA">
        <w:rPr>
          <w:rFonts w:asciiTheme="majorHAnsi" w:hAnsiTheme="majorHAnsi" w:cs="Times New Roman"/>
          <w:b/>
          <w:bCs/>
        </w:rPr>
        <w:t>42.</w:t>
      </w:r>
      <w:r w:rsidRPr="00045DFA">
        <w:rPr>
          <w:rFonts w:asciiTheme="majorHAnsi" w:hAnsiTheme="majorHAnsi" w:cs="Times New Roman"/>
        </w:rPr>
        <w:t xml:space="preserve"> </w:t>
      </w:r>
      <w:proofErr w:type="spellStart"/>
      <w:r w:rsidRPr="00045DFA">
        <w:rPr>
          <w:rFonts w:asciiTheme="majorHAnsi" w:hAnsiTheme="majorHAnsi" w:cs="Times New Roman"/>
        </w:rPr>
        <w:t>Elobu</w:t>
      </w:r>
      <w:proofErr w:type="spellEnd"/>
      <w:r w:rsidRPr="00045DFA">
        <w:rPr>
          <w:rFonts w:asciiTheme="majorHAnsi" w:hAnsiTheme="majorHAnsi" w:cs="Times New Roman"/>
        </w:rPr>
        <w:t xml:space="preserve"> AE, </w:t>
      </w:r>
      <w:proofErr w:type="spellStart"/>
      <w:r w:rsidRPr="00045DFA">
        <w:rPr>
          <w:rFonts w:asciiTheme="majorHAnsi" w:hAnsiTheme="majorHAnsi" w:cs="Times New Roman"/>
        </w:rPr>
        <w:t>Kintu</w:t>
      </w:r>
      <w:proofErr w:type="spellEnd"/>
      <w:r w:rsidRPr="00045DFA">
        <w:rPr>
          <w:rFonts w:asciiTheme="majorHAnsi" w:hAnsiTheme="majorHAnsi" w:cs="Times New Roman"/>
        </w:rPr>
        <w:t xml:space="preserve"> A, </w:t>
      </w:r>
      <w:proofErr w:type="spellStart"/>
      <w:r w:rsidRPr="00045DFA">
        <w:rPr>
          <w:rFonts w:asciiTheme="majorHAnsi" w:hAnsiTheme="majorHAnsi" w:cs="Times New Roman"/>
        </w:rPr>
        <w:t>Galukande</w:t>
      </w:r>
      <w:proofErr w:type="spellEnd"/>
      <w:r w:rsidRPr="00045DFA">
        <w:rPr>
          <w:rFonts w:asciiTheme="majorHAnsi" w:hAnsiTheme="majorHAnsi" w:cs="Times New Roman"/>
        </w:rPr>
        <w:t xml:space="preserve"> M. Contextually appropriate trauma system implementation improves outcomes in low-resource settings. </w:t>
      </w:r>
      <w:r w:rsidRPr="00045DFA">
        <w:rPr>
          <w:rFonts w:asciiTheme="majorHAnsi" w:hAnsiTheme="majorHAnsi" w:cs="Times New Roman"/>
          <w:b/>
          <w:bCs/>
        </w:rPr>
        <w:t>Int J Surg.</w:t>
      </w:r>
      <w:r w:rsidRPr="00045DFA">
        <w:rPr>
          <w:rFonts w:asciiTheme="majorHAnsi" w:hAnsiTheme="majorHAnsi" w:cs="Times New Roman"/>
        </w:rPr>
        <w:t xml:space="preserve"> 2022;98:106208. doi:10.1016/j.ijsu.2022.106208</w:t>
      </w:r>
    </w:p>
    <w:p w14:paraId="389EF8CB" w14:textId="77777777" w:rsidR="001677C5" w:rsidRPr="00045DFA" w:rsidRDefault="001677C5" w:rsidP="001677C5">
      <w:pPr>
        <w:spacing w:after="0" w:line="276" w:lineRule="auto"/>
        <w:rPr>
          <w:rFonts w:asciiTheme="majorHAnsi" w:hAnsiTheme="majorHAnsi" w:cs="Times New Roman"/>
        </w:rPr>
      </w:pPr>
      <w:r w:rsidRPr="00045DFA">
        <w:rPr>
          <w:rFonts w:asciiTheme="majorHAnsi" w:hAnsiTheme="majorHAnsi" w:cs="Times New Roman"/>
          <w:b/>
          <w:bCs/>
        </w:rPr>
        <w:t>43.</w:t>
      </w:r>
      <w:r w:rsidRPr="00045DFA">
        <w:rPr>
          <w:rFonts w:asciiTheme="majorHAnsi" w:hAnsiTheme="majorHAnsi" w:cs="Times New Roman"/>
        </w:rPr>
        <w:t xml:space="preserve"> Roberts CS, Pape HC, Jones AL, Malkani AL, Rodriguez JL, </w:t>
      </w:r>
      <w:proofErr w:type="spellStart"/>
      <w:r w:rsidRPr="00045DFA">
        <w:rPr>
          <w:rFonts w:asciiTheme="majorHAnsi" w:hAnsiTheme="majorHAnsi" w:cs="Times New Roman"/>
        </w:rPr>
        <w:t>Giannoudis</w:t>
      </w:r>
      <w:proofErr w:type="spellEnd"/>
      <w:r w:rsidRPr="00045DFA">
        <w:rPr>
          <w:rFonts w:asciiTheme="majorHAnsi" w:hAnsiTheme="majorHAnsi" w:cs="Times New Roman"/>
        </w:rPr>
        <w:t xml:space="preserve"> PV. Damage control orthopaedics: early stabilization of pelvic fractures reduces morbidity. </w:t>
      </w:r>
      <w:r w:rsidRPr="00045DFA">
        <w:rPr>
          <w:rFonts w:asciiTheme="majorHAnsi" w:hAnsiTheme="majorHAnsi" w:cs="Times New Roman"/>
          <w:b/>
          <w:bCs/>
        </w:rPr>
        <w:t>J Trauma.</w:t>
      </w:r>
      <w:r w:rsidRPr="00045DFA">
        <w:rPr>
          <w:rFonts w:asciiTheme="majorHAnsi" w:hAnsiTheme="majorHAnsi" w:cs="Times New Roman"/>
        </w:rPr>
        <w:t xml:space="preserve"> 2003;55(4):646–51. doi:10.1097/01.TA.0000087815.01531.31</w:t>
      </w:r>
    </w:p>
    <w:p w14:paraId="3C47C01A" w14:textId="13019576" w:rsidR="001677C5" w:rsidRPr="00045DFA" w:rsidRDefault="001677C5" w:rsidP="001677C5">
      <w:pPr>
        <w:spacing w:after="0" w:line="276" w:lineRule="auto"/>
        <w:rPr>
          <w:rFonts w:asciiTheme="majorHAnsi" w:hAnsiTheme="majorHAnsi" w:cs="Times New Roman"/>
        </w:rPr>
      </w:pPr>
      <w:r w:rsidRPr="00045DFA">
        <w:rPr>
          <w:rFonts w:asciiTheme="majorHAnsi" w:hAnsiTheme="majorHAnsi" w:cs="Times New Roman"/>
          <w:b/>
          <w:bCs/>
        </w:rPr>
        <w:t>44.</w:t>
      </w:r>
      <w:r w:rsidRPr="00045DFA">
        <w:rPr>
          <w:rFonts w:asciiTheme="majorHAnsi" w:hAnsiTheme="majorHAnsi" w:cs="Times New Roman"/>
        </w:rPr>
        <w:t xml:space="preserve"> Vallier HA, Cureton BA, Ekstein C, Oldenburg FP, Wilber JH. Early operative treatment of unstable spine fractures in polytrauma patients. </w:t>
      </w:r>
      <w:r w:rsidRPr="00045DFA">
        <w:rPr>
          <w:rFonts w:asciiTheme="majorHAnsi" w:hAnsiTheme="majorHAnsi" w:cs="Times New Roman"/>
          <w:b/>
          <w:bCs/>
        </w:rPr>
        <w:t>J Trauma.</w:t>
      </w:r>
      <w:r w:rsidRPr="00045DFA">
        <w:rPr>
          <w:rFonts w:asciiTheme="majorHAnsi" w:hAnsiTheme="majorHAnsi" w:cs="Times New Roman"/>
        </w:rPr>
        <w:t xml:space="preserve"> 2010;68(3):682–9. doi:10.1097/TA.0b013e3181cf7ef8</w:t>
      </w:r>
    </w:p>
    <w:p w14:paraId="779D3C35" w14:textId="391CC215" w:rsidR="001677C5" w:rsidRPr="00045DFA" w:rsidRDefault="001677C5" w:rsidP="001677C5">
      <w:pPr>
        <w:spacing w:after="0" w:line="276" w:lineRule="auto"/>
        <w:rPr>
          <w:rFonts w:asciiTheme="majorHAnsi" w:hAnsiTheme="majorHAnsi" w:cs="Times New Roman"/>
        </w:rPr>
      </w:pPr>
      <w:r w:rsidRPr="00045DFA">
        <w:rPr>
          <w:rFonts w:asciiTheme="majorHAnsi" w:hAnsiTheme="majorHAnsi" w:cs="Times New Roman"/>
          <w:b/>
          <w:bCs/>
        </w:rPr>
        <w:t>45.</w:t>
      </w:r>
      <w:r w:rsidRPr="00045DFA">
        <w:rPr>
          <w:rFonts w:asciiTheme="majorHAnsi" w:hAnsiTheme="majorHAnsi" w:cs="Times New Roman"/>
        </w:rPr>
        <w:t xml:space="preserve"> Canet J, Gallart L, </w:t>
      </w:r>
      <w:proofErr w:type="spellStart"/>
      <w:r w:rsidRPr="00045DFA">
        <w:rPr>
          <w:rFonts w:asciiTheme="majorHAnsi" w:hAnsiTheme="majorHAnsi" w:cs="Times New Roman"/>
        </w:rPr>
        <w:t>Gomar</w:t>
      </w:r>
      <w:proofErr w:type="spellEnd"/>
      <w:r w:rsidRPr="00045DFA">
        <w:rPr>
          <w:rFonts w:asciiTheme="majorHAnsi" w:hAnsiTheme="majorHAnsi" w:cs="Times New Roman"/>
        </w:rPr>
        <w:t xml:space="preserve"> C, </w:t>
      </w:r>
      <w:proofErr w:type="spellStart"/>
      <w:r w:rsidRPr="00045DFA">
        <w:rPr>
          <w:rFonts w:asciiTheme="majorHAnsi" w:hAnsiTheme="majorHAnsi" w:cs="Times New Roman"/>
        </w:rPr>
        <w:t>Paluzie</w:t>
      </w:r>
      <w:proofErr w:type="spellEnd"/>
      <w:r w:rsidRPr="00045DFA">
        <w:rPr>
          <w:rFonts w:asciiTheme="majorHAnsi" w:hAnsiTheme="majorHAnsi" w:cs="Times New Roman"/>
        </w:rPr>
        <w:t xml:space="preserve"> G, </w:t>
      </w:r>
      <w:proofErr w:type="spellStart"/>
      <w:r w:rsidRPr="00045DFA">
        <w:rPr>
          <w:rFonts w:asciiTheme="majorHAnsi" w:hAnsiTheme="majorHAnsi" w:cs="Times New Roman"/>
        </w:rPr>
        <w:t>Vallès</w:t>
      </w:r>
      <w:proofErr w:type="spellEnd"/>
      <w:r w:rsidRPr="00045DFA">
        <w:rPr>
          <w:rFonts w:asciiTheme="majorHAnsi" w:hAnsiTheme="majorHAnsi" w:cs="Times New Roman"/>
        </w:rPr>
        <w:t xml:space="preserve"> J, Castillo J, et al. Prediction of postoperative pulmonary complications in a population-based surgical cohort. </w:t>
      </w:r>
      <w:proofErr w:type="spellStart"/>
      <w:r w:rsidRPr="00045DFA">
        <w:rPr>
          <w:rFonts w:asciiTheme="majorHAnsi" w:hAnsiTheme="majorHAnsi" w:cs="Times New Roman"/>
          <w:b/>
          <w:bCs/>
        </w:rPr>
        <w:t>Anesthesiology</w:t>
      </w:r>
      <w:proofErr w:type="spellEnd"/>
      <w:r w:rsidRPr="00045DFA">
        <w:rPr>
          <w:rFonts w:asciiTheme="majorHAnsi" w:hAnsiTheme="majorHAnsi" w:cs="Times New Roman"/>
          <w:b/>
          <w:bCs/>
        </w:rPr>
        <w:t>.</w:t>
      </w:r>
      <w:r w:rsidRPr="00045DFA">
        <w:rPr>
          <w:rFonts w:asciiTheme="majorHAnsi" w:hAnsiTheme="majorHAnsi" w:cs="Times New Roman"/>
        </w:rPr>
        <w:t xml:space="preserve"> 2010;113(6):1338–50. doi:10.1097/ALN.0b013e3181fc6e0a</w:t>
      </w:r>
    </w:p>
    <w:p w14:paraId="661BC1A6" w14:textId="77777777" w:rsidR="001677C5" w:rsidRPr="00045DFA" w:rsidRDefault="001677C5" w:rsidP="001677C5">
      <w:pPr>
        <w:spacing w:after="0" w:line="276" w:lineRule="auto"/>
        <w:rPr>
          <w:rFonts w:asciiTheme="majorHAnsi" w:hAnsiTheme="majorHAnsi" w:cs="Times New Roman"/>
        </w:rPr>
      </w:pPr>
      <w:r w:rsidRPr="00045DFA">
        <w:rPr>
          <w:rFonts w:asciiTheme="majorHAnsi" w:hAnsiTheme="majorHAnsi" w:cs="Times New Roman"/>
          <w:b/>
          <w:bCs/>
        </w:rPr>
        <w:t>46.</w:t>
      </w:r>
      <w:r w:rsidRPr="00045DFA">
        <w:rPr>
          <w:rFonts w:asciiTheme="majorHAnsi" w:hAnsiTheme="majorHAnsi" w:cs="Times New Roman"/>
        </w:rPr>
        <w:t xml:space="preserve"> Ware LB, </w:t>
      </w:r>
      <w:proofErr w:type="spellStart"/>
      <w:r w:rsidRPr="00045DFA">
        <w:rPr>
          <w:rFonts w:asciiTheme="majorHAnsi" w:hAnsiTheme="majorHAnsi" w:cs="Times New Roman"/>
        </w:rPr>
        <w:t>Matthay</w:t>
      </w:r>
      <w:proofErr w:type="spellEnd"/>
      <w:r w:rsidRPr="00045DFA">
        <w:rPr>
          <w:rFonts w:asciiTheme="majorHAnsi" w:hAnsiTheme="majorHAnsi" w:cs="Times New Roman"/>
        </w:rPr>
        <w:t xml:space="preserve"> MA. The acute respiratory distress syndrome. </w:t>
      </w:r>
      <w:r w:rsidRPr="00045DFA">
        <w:rPr>
          <w:rFonts w:asciiTheme="majorHAnsi" w:hAnsiTheme="majorHAnsi" w:cs="Times New Roman"/>
          <w:b/>
          <w:bCs/>
        </w:rPr>
        <w:t>N Engl J Med.</w:t>
      </w:r>
      <w:r w:rsidRPr="00045DFA">
        <w:rPr>
          <w:rFonts w:asciiTheme="majorHAnsi" w:hAnsiTheme="majorHAnsi" w:cs="Times New Roman"/>
        </w:rPr>
        <w:t xml:space="preserve"> 2000;342(18):1334–49. doi:10.1056/NEJM200005043421806</w:t>
      </w:r>
    </w:p>
    <w:p w14:paraId="3F30B87C" w14:textId="1F9CAD85" w:rsidR="001677C5" w:rsidRPr="00045DFA" w:rsidRDefault="001677C5" w:rsidP="001677C5">
      <w:pPr>
        <w:spacing w:after="0" w:line="276" w:lineRule="auto"/>
        <w:rPr>
          <w:rFonts w:asciiTheme="majorHAnsi" w:hAnsiTheme="majorHAnsi" w:cs="Times New Roman"/>
        </w:rPr>
      </w:pPr>
      <w:r w:rsidRPr="00045DFA">
        <w:rPr>
          <w:rFonts w:asciiTheme="majorHAnsi" w:hAnsiTheme="majorHAnsi" w:cs="Times New Roman"/>
          <w:b/>
          <w:bCs/>
        </w:rPr>
        <w:t>47.</w:t>
      </w:r>
      <w:r w:rsidRPr="00045DFA">
        <w:rPr>
          <w:rFonts w:asciiTheme="majorHAnsi" w:hAnsiTheme="majorHAnsi" w:cs="Times New Roman"/>
        </w:rPr>
        <w:t xml:space="preserve"> Ferrucci L, Fabbri E. Inflammageing: chronic inflammation in ageing and its impact on muscle decline. </w:t>
      </w:r>
      <w:r w:rsidRPr="00045DFA">
        <w:rPr>
          <w:rFonts w:asciiTheme="majorHAnsi" w:hAnsiTheme="majorHAnsi" w:cs="Times New Roman"/>
          <w:b/>
          <w:bCs/>
        </w:rPr>
        <w:t xml:space="preserve">Nat Rev </w:t>
      </w:r>
      <w:proofErr w:type="spellStart"/>
      <w:r w:rsidRPr="00045DFA">
        <w:rPr>
          <w:rFonts w:asciiTheme="majorHAnsi" w:hAnsiTheme="majorHAnsi" w:cs="Times New Roman"/>
          <w:b/>
          <w:bCs/>
        </w:rPr>
        <w:t>Cardiol</w:t>
      </w:r>
      <w:proofErr w:type="spellEnd"/>
      <w:r w:rsidRPr="00045DFA">
        <w:rPr>
          <w:rFonts w:asciiTheme="majorHAnsi" w:hAnsiTheme="majorHAnsi" w:cs="Times New Roman"/>
          <w:b/>
          <w:bCs/>
        </w:rPr>
        <w:t>.</w:t>
      </w:r>
      <w:r w:rsidRPr="00045DFA">
        <w:rPr>
          <w:rFonts w:asciiTheme="majorHAnsi" w:hAnsiTheme="majorHAnsi" w:cs="Times New Roman"/>
        </w:rPr>
        <w:t xml:space="preserve"> 2018;15(9):505–22. doi:10.1038/s41569-018-0064-8</w:t>
      </w:r>
    </w:p>
    <w:p w14:paraId="4B224C21" w14:textId="77777777" w:rsidR="001677C5" w:rsidRPr="00045DFA" w:rsidRDefault="001677C5" w:rsidP="001677C5">
      <w:pPr>
        <w:spacing w:after="0" w:line="276" w:lineRule="auto"/>
        <w:rPr>
          <w:rFonts w:asciiTheme="majorHAnsi" w:hAnsiTheme="majorHAnsi" w:cs="Times New Roman"/>
        </w:rPr>
      </w:pPr>
      <w:r w:rsidRPr="00045DFA">
        <w:rPr>
          <w:rFonts w:asciiTheme="majorHAnsi" w:hAnsiTheme="majorHAnsi" w:cs="Times New Roman"/>
          <w:b/>
          <w:bCs/>
        </w:rPr>
        <w:t>48.</w:t>
      </w:r>
      <w:r w:rsidRPr="00045DFA">
        <w:rPr>
          <w:rFonts w:asciiTheme="majorHAnsi" w:hAnsiTheme="majorHAnsi" w:cs="Times New Roman"/>
        </w:rPr>
        <w:t xml:space="preserve"> Perel P, Roberts I, Ker K, et al. Effects of tranexamic acid on death in bleeding trauma patients (CRASH-2 trial). </w:t>
      </w:r>
      <w:r w:rsidRPr="00045DFA">
        <w:rPr>
          <w:rFonts w:asciiTheme="majorHAnsi" w:hAnsiTheme="majorHAnsi" w:cs="Times New Roman"/>
          <w:b/>
          <w:bCs/>
        </w:rPr>
        <w:t>Lancet.</w:t>
      </w:r>
      <w:r w:rsidRPr="00045DFA">
        <w:rPr>
          <w:rFonts w:asciiTheme="majorHAnsi" w:hAnsiTheme="majorHAnsi" w:cs="Times New Roman"/>
        </w:rPr>
        <w:t xml:space="preserve"> 2010;376(9734):23–32. doi:10.1016/S0140-6736(10)60835-5</w:t>
      </w:r>
    </w:p>
    <w:p w14:paraId="1BB1C074" w14:textId="6094194D" w:rsidR="001677C5" w:rsidRPr="00045DFA" w:rsidRDefault="001677C5" w:rsidP="001677C5">
      <w:pPr>
        <w:spacing w:after="0" w:line="276" w:lineRule="auto"/>
        <w:rPr>
          <w:rFonts w:asciiTheme="majorHAnsi" w:hAnsiTheme="majorHAnsi" w:cs="Times New Roman"/>
        </w:rPr>
      </w:pPr>
      <w:r w:rsidRPr="00045DFA">
        <w:rPr>
          <w:rFonts w:asciiTheme="majorHAnsi" w:hAnsiTheme="majorHAnsi" w:cs="Times New Roman"/>
          <w:b/>
          <w:bCs/>
        </w:rPr>
        <w:t>49.</w:t>
      </w:r>
      <w:r w:rsidRPr="00045DFA">
        <w:rPr>
          <w:rFonts w:asciiTheme="majorHAnsi" w:hAnsiTheme="majorHAnsi" w:cs="Times New Roman"/>
        </w:rPr>
        <w:t xml:space="preserve"> Balogh ZJ, Reumann MK, Gruen RL, Mayer-</w:t>
      </w:r>
      <w:proofErr w:type="spellStart"/>
      <w:r w:rsidRPr="00045DFA">
        <w:rPr>
          <w:rFonts w:asciiTheme="majorHAnsi" w:hAnsiTheme="majorHAnsi" w:cs="Times New Roman"/>
        </w:rPr>
        <w:t>Kuckuk</w:t>
      </w:r>
      <w:proofErr w:type="spellEnd"/>
      <w:r w:rsidRPr="00045DFA">
        <w:rPr>
          <w:rFonts w:asciiTheme="majorHAnsi" w:hAnsiTheme="majorHAnsi" w:cs="Times New Roman"/>
        </w:rPr>
        <w:t xml:space="preserve"> P, Schuetz M, Harris IA. Secondary inflammatory hit after delayed fixation of major fractures. </w:t>
      </w:r>
      <w:r w:rsidRPr="00045DFA">
        <w:rPr>
          <w:rFonts w:asciiTheme="majorHAnsi" w:hAnsiTheme="majorHAnsi" w:cs="Times New Roman"/>
          <w:b/>
          <w:bCs/>
        </w:rPr>
        <w:t>Injury.</w:t>
      </w:r>
      <w:r w:rsidRPr="00045DFA">
        <w:rPr>
          <w:rFonts w:asciiTheme="majorHAnsi" w:hAnsiTheme="majorHAnsi" w:cs="Times New Roman"/>
        </w:rPr>
        <w:t xml:space="preserve"> 2003;34(6):414–21. doi:10.1016/S0020-1383(02)00345-2</w:t>
      </w:r>
    </w:p>
    <w:p w14:paraId="0D30E44E" w14:textId="77777777" w:rsidR="001677C5" w:rsidRPr="00045DFA" w:rsidRDefault="001677C5" w:rsidP="001677C5">
      <w:pPr>
        <w:spacing w:after="0" w:line="276" w:lineRule="auto"/>
        <w:rPr>
          <w:rFonts w:asciiTheme="majorHAnsi" w:hAnsiTheme="majorHAnsi" w:cs="Times New Roman"/>
        </w:rPr>
      </w:pPr>
      <w:r w:rsidRPr="00045DFA">
        <w:rPr>
          <w:rFonts w:asciiTheme="majorHAnsi" w:hAnsiTheme="majorHAnsi" w:cs="Times New Roman"/>
          <w:b/>
          <w:bCs/>
        </w:rPr>
        <w:lastRenderedPageBreak/>
        <w:t>50.</w:t>
      </w:r>
      <w:r w:rsidRPr="00045DFA">
        <w:rPr>
          <w:rFonts w:asciiTheme="majorHAnsi" w:hAnsiTheme="majorHAnsi" w:cs="Times New Roman"/>
        </w:rPr>
        <w:t xml:space="preserve"> O’Reilly GM, Cameron PA, Joshipura M. Trauma registry benchmarking and performance monitoring. </w:t>
      </w:r>
      <w:r w:rsidRPr="00045DFA">
        <w:rPr>
          <w:rFonts w:asciiTheme="majorHAnsi" w:hAnsiTheme="majorHAnsi" w:cs="Times New Roman"/>
          <w:b/>
          <w:bCs/>
        </w:rPr>
        <w:t>Injury.</w:t>
      </w:r>
      <w:r w:rsidRPr="00045DFA">
        <w:rPr>
          <w:rFonts w:asciiTheme="majorHAnsi" w:hAnsiTheme="majorHAnsi" w:cs="Times New Roman"/>
        </w:rPr>
        <w:t xml:space="preserve"> 2013;44(10):1280–5. doi:10.1016/j.injury.2013.03.012</w:t>
      </w:r>
    </w:p>
    <w:p w14:paraId="23ACFE80" w14:textId="6705CC3C" w:rsidR="001677C5" w:rsidRPr="00045DFA" w:rsidRDefault="001677C5" w:rsidP="001677C5">
      <w:pPr>
        <w:spacing w:after="0" w:line="276" w:lineRule="auto"/>
        <w:rPr>
          <w:rFonts w:asciiTheme="majorHAnsi" w:hAnsiTheme="majorHAnsi" w:cs="Times New Roman"/>
        </w:rPr>
      </w:pPr>
      <w:r w:rsidRPr="00045DFA">
        <w:rPr>
          <w:rFonts w:asciiTheme="majorHAnsi" w:hAnsiTheme="majorHAnsi" w:cs="Times New Roman"/>
          <w:b/>
          <w:bCs/>
        </w:rPr>
        <w:t>51.</w:t>
      </w:r>
      <w:r w:rsidRPr="00045DFA">
        <w:rPr>
          <w:rFonts w:asciiTheme="majorHAnsi" w:hAnsiTheme="majorHAnsi" w:cs="Times New Roman"/>
        </w:rPr>
        <w:t xml:space="preserve"> Gustafsson UO, </w:t>
      </w:r>
      <w:proofErr w:type="spellStart"/>
      <w:r w:rsidRPr="00045DFA">
        <w:rPr>
          <w:rFonts w:asciiTheme="majorHAnsi" w:hAnsiTheme="majorHAnsi" w:cs="Times New Roman"/>
        </w:rPr>
        <w:t>Hausel</w:t>
      </w:r>
      <w:proofErr w:type="spellEnd"/>
      <w:r w:rsidRPr="00045DFA">
        <w:rPr>
          <w:rFonts w:asciiTheme="majorHAnsi" w:hAnsiTheme="majorHAnsi" w:cs="Times New Roman"/>
        </w:rPr>
        <w:t xml:space="preserve"> J, </w:t>
      </w:r>
      <w:proofErr w:type="spellStart"/>
      <w:r w:rsidRPr="00045DFA">
        <w:rPr>
          <w:rFonts w:asciiTheme="majorHAnsi" w:hAnsiTheme="majorHAnsi" w:cs="Times New Roman"/>
        </w:rPr>
        <w:t>Thorell</w:t>
      </w:r>
      <w:proofErr w:type="spellEnd"/>
      <w:r w:rsidRPr="00045DFA">
        <w:rPr>
          <w:rFonts w:asciiTheme="majorHAnsi" w:hAnsiTheme="majorHAnsi" w:cs="Times New Roman"/>
        </w:rPr>
        <w:t xml:space="preserve"> A, Ljungqvist O, Soop M, Nygren J. Enhanced recovery after surgery implementation principles. </w:t>
      </w:r>
      <w:r w:rsidRPr="00045DFA">
        <w:rPr>
          <w:rFonts w:asciiTheme="majorHAnsi" w:hAnsiTheme="majorHAnsi" w:cs="Times New Roman"/>
          <w:b/>
          <w:bCs/>
        </w:rPr>
        <w:t>JAMA Surg.</w:t>
      </w:r>
      <w:r w:rsidRPr="00045DFA">
        <w:rPr>
          <w:rFonts w:asciiTheme="majorHAnsi" w:hAnsiTheme="majorHAnsi" w:cs="Times New Roman"/>
        </w:rPr>
        <w:t xml:space="preserve"> 2011;146(5):571–7. doi:10.1001/archsurg.2010.309</w:t>
      </w:r>
    </w:p>
    <w:p w14:paraId="3EAC3F6E" w14:textId="77777777" w:rsidR="001677C5" w:rsidRPr="00045DFA" w:rsidRDefault="001677C5" w:rsidP="001677C5">
      <w:pPr>
        <w:spacing w:after="0" w:line="276" w:lineRule="auto"/>
        <w:rPr>
          <w:rFonts w:asciiTheme="majorHAnsi" w:hAnsiTheme="majorHAnsi" w:cs="Times New Roman"/>
        </w:rPr>
      </w:pPr>
      <w:r w:rsidRPr="00045DFA">
        <w:rPr>
          <w:rFonts w:asciiTheme="majorHAnsi" w:hAnsiTheme="majorHAnsi" w:cs="Times New Roman"/>
          <w:b/>
          <w:bCs/>
        </w:rPr>
        <w:t>52.</w:t>
      </w:r>
      <w:r w:rsidRPr="00045DFA">
        <w:rPr>
          <w:rFonts w:asciiTheme="majorHAnsi" w:hAnsiTheme="majorHAnsi" w:cs="Times New Roman"/>
        </w:rPr>
        <w:t xml:space="preserve"> Johnston MJ, Arora S, King D, </w:t>
      </w:r>
      <w:proofErr w:type="spellStart"/>
      <w:r w:rsidRPr="00045DFA">
        <w:rPr>
          <w:rFonts w:asciiTheme="majorHAnsi" w:hAnsiTheme="majorHAnsi" w:cs="Times New Roman"/>
        </w:rPr>
        <w:t>Bouras</w:t>
      </w:r>
      <w:proofErr w:type="spellEnd"/>
      <w:r w:rsidRPr="00045DFA">
        <w:rPr>
          <w:rFonts w:asciiTheme="majorHAnsi" w:hAnsiTheme="majorHAnsi" w:cs="Times New Roman"/>
        </w:rPr>
        <w:t xml:space="preserve"> G, </w:t>
      </w:r>
      <w:proofErr w:type="spellStart"/>
      <w:r w:rsidRPr="00045DFA">
        <w:rPr>
          <w:rFonts w:asciiTheme="majorHAnsi" w:hAnsiTheme="majorHAnsi" w:cs="Times New Roman"/>
        </w:rPr>
        <w:t>Almoudaris</w:t>
      </w:r>
      <w:proofErr w:type="spellEnd"/>
      <w:r w:rsidRPr="00045DFA">
        <w:rPr>
          <w:rFonts w:asciiTheme="majorHAnsi" w:hAnsiTheme="majorHAnsi" w:cs="Times New Roman"/>
        </w:rPr>
        <w:t xml:space="preserve"> AM, Davis R, et al. Escalation systems and response pathways in emergency surgery. </w:t>
      </w:r>
      <w:r w:rsidRPr="00045DFA">
        <w:rPr>
          <w:rFonts w:asciiTheme="majorHAnsi" w:hAnsiTheme="majorHAnsi" w:cs="Times New Roman"/>
          <w:b/>
          <w:bCs/>
        </w:rPr>
        <w:t>Br J Surg.</w:t>
      </w:r>
      <w:r w:rsidRPr="00045DFA">
        <w:rPr>
          <w:rFonts w:asciiTheme="majorHAnsi" w:hAnsiTheme="majorHAnsi" w:cs="Times New Roman"/>
        </w:rPr>
        <w:t xml:space="preserve"> 2015;102(3):227–34. doi:10.1002/bjs.9718</w:t>
      </w:r>
    </w:p>
    <w:p w14:paraId="710A2B03" w14:textId="77777777" w:rsidR="001677C5" w:rsidRPr="00045DFA" w:rsidRDefault="001677C5" w:rsidP="001677C5">
      <w:pPr>
        <w:spacing w:after="0" w:line="276" w:lineRule="auto"/>
        <w:rPr>
          <w:rFonts w:asciiTheme="majorHAnsi" w:hAnsiTheme="majorHAnsi" w:cs="Times New Roman"/>
        </w:rPr>
      </w:pPr>
      <w:r w:rsidRPr="00045DFA">
        <w:rPr>
          <w:rFonts w:asciiTheme="majorHAnsi" w:hAnsiTheme="majorHAnsi" w:cs="Times New Roman"/>
          <w:b/>
          <w:bCs/>
        </w:rPr>
        <w:t>53.</w:t>
      </w:r>
      <w:r w:rsidRPr="00045DFA">
        <w:rPr>
          <w:rFonts w:asciiTheme="majorHAnsi" w:hAnsiTheme="majorHAnsi" w:cs="Times New Roman"/>
        </w:rPr>
        <w:t xml:space="preserve"> Sakran JV, Greer SE, Werlin E, McCunn M. Preventable mortality audit systems in trauma care. </w:t>
      </w:r>
      <w:r w:rsidRPr="00045DFA">
        <w:rPr>
          <w:rFonts w:asciiTheme="majorHAnsi" w:hAnsiTheme="majorHAnsi" w:cs="Times New Roman"/>
          <w:b/>
          <w:bCs/>
        </w:rPr>
        <w:t>JAMA Surg.</w:t>
      </w:r>
      <w:r w:rsidRPr="00045DFA">
        <w:rPr>
          <w:rFonts w:asciiTheme="majorHAnsi" w:hAnsiTheme="majorHAnsi" w:cs="Times New Roman"/>
        </w:rPr>
        <w:t xml:space="preserve"> 2012;147(8):770–6. doi:10.1001/archsurg.2012.110</w:t>
      </w:r>
    </w:p>
    <w:p w14:paraId="794DCB9D" w14:textId="77777777" w:rsidR="001677C5" w:rsidRPr="00045DFA" w:rsidRDefault="001677C5" w:rsidP="00680D07">
      <w:pPr>
        <w:spacing w:after="0" w:line="276" w:lineRule="auto"/>
        <w:rPr>
          <w:rFonts w:asciiTheme="majorHAnsi" w:hAnsiTheme="majorHAnsi" w:cs="Times New Roman"/>
        </w:rPr>
      </w:pPr>
    </w:p>
    <w:sectPr w:rsidR="001677C5" w:rsidRPr="00045DFA" w:rsidSect="00F5490C">
      <w:headerReference w:type="even" r:id="rId9"/>
      <w:headerReference w:type="default" r:id="rId10"/>
      <w:footerReference w:type="even" r:id="rId11"/>
      <w:footerReference w:type="default" r:id="rId12"/>
      <w:headerReference w:type="first" r:id="rId13"/>
      <w:footerReference w:type="first" r:id="rId1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A9A71A" w14:textId="77777777" w:rsidR="008C336C" w:rsidRDefault="008C336C" w:rsidP="00C568AA">
      <w:pPr>
        <w:spacing w:after="0" w:line="240" w:lineRule="auto"/>
      </w:pPr>
      <w:r>
        <w:separator/>
      </w:r>
    </w:p>
  </w:endnote>
  <w:endnote w:type="continuationSeparator" w:id="0">
    <w:p w14:paraId="78D28684" w14:textId="77777777" w:rsidR="008C336C" w:rsidRDefault="008C336C" w:rsidP="00C568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3A4F1" w14:textId="77777777" w:rsidR="00C568AA" w:rsidRDefault="00C568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38D34" w14:textId="77777777" w:rsidR="00C568AA" w:rsidRDefault="00C568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A5CE2" w14:textId="77777777" w:rsidR="00C568AA" w:rsidRDefault="00C568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DA51A" w14:textId="77777777" w:rsidR="008C336C" w:rsidRDefault="008C336C" w:rsidP="00C568AA">
      <w:pPr>
        <w:spacing w:after="0" w:line="240" w:lineRule="auto"/>
      </w:pPr>
      <w:r>
        <w:separator/>
      </w:r>
    </w:p>
  </w:footnote>
  <w:footnote w:type="continuationSeparator" w:id="0">
    <w:p w14:paraId="35AE043A" w14:textId="77777777" w:rsidR="008C336C" w:rsidRDefault="008C336C" w:rsidP="00C568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8C4C8" w14:textId="2F2E6D06" w:rsidR="00C568AA" w:rsidRDefault="008C336C">
    <w:pPr>
      <w:pStyle w:val="Header"/>
    </w:pPr>
    <w:r>
      <w:rPr>
        <w:noProof/>
      </w:rPr>
      <w:pict w14:anchorId="0A95C8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3301688" o:spid="_x0000_s2050" type="#_x0000_t136" style="position:absolute;margin-left:0;margin-top:0;width:618.3pt;height:68.7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E1A9E" w14:textId="762FBB56" w:rsidR="00C568AA" w:rsidRDefault="008C336C">
    <w:pPr>
      <w:pStyle w:val="Header"/>
    </w:pPr>
    <w:r>
      <w:rPr>
        <w:noProof/>
      </w:rPr>
      <w:pict w14:anchorId="0EDE03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3301689" o:spid="_x0000_s2051" type="#_x0000_t136" style="position:absolute;margin-left:0;margin-top:0;width:618.3pt;height:68.7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F1211" w14:textId="4E50B853" w:rsidR="00C568AA" w:rsidRDefault="008C336C">
    <w:pPr>
      <w:pStyle w:val="Header"/>
    </w:pPr>
    <w:r>
      <w:rPr>
        <w:noProof/>
      </w:rPr>
      <w:pict w14:anchorId="5D6A33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3301687" o:spid="_x0000_s2049" type="#_x0000_t136" style="position:absolute;margin-left:0;margin-top:0;width:618.3pt;height:68.7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42F3B"/>
    <w:multiLevelType w:val="multilevel"/>
    <w:tmpl w:val="6EC03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C5586A"/>
    <w:multiLevelType w:val="multilevel"/>
    <w:tmpl w:val="5016C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283B02"/>
    <w:multiLevelType w:val="multilevel"/>
    <w:tmpl w:val="EA7AC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130CF6"/>
    <w:multiLevelType w:val="multilevel"/>
    <w:tmpl w:val="B4C46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8573BFE"/>
    <w:multiLevelType w:val="multilevel"/>
    <w:tmpl w:val="6F3A6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D513B75"/>
    <w:multiLevelType w:val="multilevel"/>
    <w:tmpl w:val="4F24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327D4A"/>
    <w:multiLevelType w:val="multilevel"/>
    <w:tmpl w:val="A6E64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4A60A6C"/>
    <w:multiLevelType w:val="multilevel"/>
    <w:tmpl w:val="09D0B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422DE8"/>
    <w:multiLevelType w:val="multilevel"/>
    <w:tmpl w:val="A7DE7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8DE680B"/>
    <w:multiLevelType w:val="multilevel"/>
    <w:tmpl w:val="59462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CB82A4C"/>
    <w:multiLevelType w:val="multilevel"/>
    <w:tmpl w:val="C0A88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FAF62E5"/>
    <w:multiLevelType w:val="multilevel"/>
    <w:tmpl w:val="907EB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54D4B44"/>
    <w:multiLevelType w:val="multilevel"/>
    <w:tmpl w:val="79BA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565B4A"/>
    <w:multiLevelType w:val="multilevel"/>
    <w:tmpl w:val="C778D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8761133"/>
    <w:multiLevelType w:val="multilevel"/>
    <w:tmpl w:val="E57A1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9F75EB8"/>
    <w:multiLevelType w:val="multilevel"/>
    <w:tmpl w:val="F72E2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3D7189D"/>
    <w:multiLevelType w:val="hybridMultilevel"/>
    <w:tmpl w:val="ED7C7312"/>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CC12345"/>
    <w:multiLevelType w:val="multilevel"/>
    <w:tmpl w:val="82A8C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A20F31"/>
    <w:multiLevelType w:val="multilevel"/>
    <w:tmpl w:val="0D4A1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CBA7122"/>
    <w:multiLevelType w:val="multilevel"/>
    <w:tmpl w:val="01D8F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FA02247"/>
    <w:multiLevelType w:val="multilevel"/>
    <w:tmpl w:val="67FCA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1080B38"/>
    <w:multiLevelType w:val="multilevel"/>
    <w:tmpl w:val="0AF6F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373DFD"/>
    <w:multiLevelType w:val="multilevel"/>
    <w:tmpl w:val="93F48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BA53CFC"/>
    <w:multiLevelType w:val="multilevel"/>
    <w:tmpl w:val="7FB01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0"/>
  </w:num>
  <w:num w:numId="3">
    <w:abstractNumId w:val="5"/>
  </w:num>
  <w:num w:numId="4">
    <w:abstractNumId w:val="21"/>
  </w:num>
  <w:num w:numId="5">
    <w:abstractNumId w:val="1"/>
  </w:num>
  <w:num w:numId="6">
    <w:abstractNumId w:val="12"/>
  </w:num>
  <w:num w:numId="7">
    <w:abstractNumId w:val="17"/>
  </w:num>
  <w:num w:numId="8">
    <w:abstractNumId w:val="19"/>
  </w:num>
  <w:num w:numId="9">
    <w:abstractNumId w:val="3"/>
  </w:num>
  <w:num w:numId="10">
    <w:abstractNumId w:val="20"/>
  </w:num>
  <w:num w:numId="11">
    <w:abstractNumId w:val="18"/>
  </w:num>
  <w:num w:numId="12">
    <w:abstractNumId w:val="9"/>
  </w:num>
  <w:num w:numId="13">
    <w:abstractNumId w:val="8"/>
  </w:num>
  <w:num w:numId="14">
    <w:abstractNumId w:val="11"/>
  </w:num>
  <w:num w:numId="15">
    <w:abstractNumId w:val="23"/>
  </w:num>
  <w:num w:numId="16">
    <w:abstractNumId w:val="6"/>
  </w:num>
  <w:num w:numId="17">
    <w:abstractNumId w:val="4"/>
  </w:num>
  <w:num w:numId="18">
    <w:abstractNumId w:val="15"/>
  </w:num>
  <w:num w:numId="19">
    <w:abstractNumId w:val="14"/>
  </w:num>
  <w:num w:numId="20">
    <w:abstractNumId w:val="2"/>
  </w:num>
  <w:num w:numId="21">
    <w:abstractNumId w:val="7"/>
  </w:num>
  <w:num w:numId="22">
    <w:abstractNumId w:val="13"/>
  </w:num>
  <w:num w:numId="23">
    <w:abstractNumId w:val="0"/>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90C"/>
    <w:rsid w:val="00017EAC"/>
    <w:rsid w:val="00030269"/>
    <w:rsid w:val="0003629D"/>
    <w:rsid w:val="00045DFA"/>
    <w:rsid w:val="00054F14"/>
    <w:rsid w:val="000559DE"/>
    <w:rsid w:val="000E7753"/>
    <w:rsid w:val="00107EE9"/>
    <w:rsid w:val="00127A04"/>
    <w:rsid w:val="00156EE0"/>
    <w:rsid w:val="001677C5"/>
    <w:rsid w:val="00172A00"/>
    <w:rsid w:val="00193E4E"/>
    <w:rsid w:val="001A21BF"/>
    <w:rsid w:val="001C0AB6"/>
    <w:rsid w:val="0023019A"/>
    <w:rsid w:val="00252A8A"/>
    <w:rsid w:val="002569A0"/>
    <w:rsid w:val="0027162B"/>
    <w:rsid w:val="00286424"/>
    <w:rsid w:val="002C121A"/>
    <w:rsid w:val="002C2A22"/>
    <w:rsid w:val="002F5EF9"/>
    <w:rsid w:val="003014FE"/>
    <w:rsid w:val="00310C9D"/>
    <w:rsid w:val="00345357"/>
    <w:rsid w:val="003B3968"/>
    <w:rsid w:val="00441978"/>
    <w:rsid w:val="00482F28"/>
    <w:rsid w:val="004D1FCD"/>
    <w:rsid w:val="004F26CC"/>
    <w:rsid w:val="0051632C"/>
    <w:rsid w:val="0059516A"/>
    <w:rsid w:val="00680D07"/>
    <w:rsid w:val="006B236F"/>
    <w:rsid w:val="00717547"/>
    <w:rsid w:val="00787101"/>
    <w:rsid w:val="007D042B"/>
    <w:rsid w:val="008C336C"/>
    <w:rsid w:val="00900F1B"/>
    <w:rsid w:val="009309BD"/>
    <w:rsid w:val="009F1B27"/>
    <w:rsid w:val="00A34858"/>
    <w:rsid w:val="00A9756C"/>
    <w:rsid w:val="00AD3E9D"/>
    <w:rsid w:val="00B01F17"/>
    <w:rsid w:val="00B54120"/>
    <w:rsid w:val="00B92D59"/>
    <w:rsid w:val="00BB0C52"/>
    <w:rsid w:val="00C12C64"/>
    <w:rsid w:val="00C144E1"/>
    <w:rsid w:val="00C568AA"/>
    <w:rsid w:val="00CF60FC"/>
    <w:rsid w:val="00D105E7"/>
    <w:rsid w:val="00D25BDC"/>
    <w:rsid w:val="00D94B7A"/>
    <w:rsid w:val="00DE5DC9"/>
    <w:rsid w:val="00DF0BD1"/>
    <w:rsid w:val="00E71842"/>
    <w:rsid w:val="00F14994"/>
    <w:rsid w:val="00F36343"/>
    <w:rsid w:val="00F5490C"/>
    <w:rsid w:val="00F65EDC"/>
    <w:rsid w:val="00F8363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28F0BF"/>
  <w15:chartTrackingRefBased/>
  <w15:docId w15:val="{D20F0587-988D-4CCE-93AB-EDD0C5A69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49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549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5490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549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549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549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49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49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49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490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5490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5490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549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549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549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49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49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490C"/>
    <w:rPr>
      <w:rFonts w:eastAsiaTheme="majorEastAsia" w:cstheme="majorBidi"/>
      <w:color w:val="272727" w:themeColor="text1" w:themeTint="D8"/>
    </w:rPr>
  </w:style>
  <w:style w:type="paragraph" w:styleId="Title">
    <w:name w:val="Title"/>
    <w:basedOn w:val="Normal"/>
    <w:next w:val="Normal"/>
    <w:link w:val="TitleChar"/>
    <w:uiPriority w:val="10"/>
    <w:qFormat/>
    <w:rsid w:val="00F549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49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49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49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490C"/>
    <w:pPr>
      <w:spacing w:before="160"/>
      <w:jc w:val="center"/>
    </w:pPr>
    <w:rPr>
      <w:i/>
      <w:iCs/>
      <w:color w:val="404040" w:themeColor="text1" w:themeTint="BF"/>
    </w:rPr>
  </w:style>
  <w:style w:type="character" w:customStyle="1" w:styleId="QuoteChar">
    <w:name w:val="Quote Char"/>
    <w:basedOn w:val="DefaultParagraphFont"/>
    <w:link w:val="Quote"/>
    <w:uiPriority w:val="29"/>
    <w:rsid w:val="00F5490C"/>
    <w:rPr>
      <w:i/>
      <w:iCs/>
      <w:color w:val="404040" w:themeColor="text1" w:themeTint="BF"/>
    </w:rPr>
  </w:style>
  <w:style w:type="paragraph" w:styleId="ListParagraph">
    <w:name w:val="List Paragraph"/>
    <w:basedOn w:val="Normal"/>
    <w:uiPriority w:val="34"/>
    <w:qFormat/>
    <w:rsid w:val="00F5490C"/>
    <w:pPr>
      <w:ind w:left="720"/>
      <w:contextualSpacing/>
    </w:pPr>
  </w:style>
  <w:style w:type="character" w:styleId="IntenseEmphasis">
    <w:name w:val="Intense Emphasis"/>
    <w:basedOn w:val="DefaultParagraphFont"/>
    <w:uiPriority w:val="21"/>
    <w:qFormat/>
    <w:rsid w:val="00F5490C"/>
    <w:rPr>
      <w:i/>
      <w:iCs/>
      <w:color w:val="0F4761" w:themeColor="accent1" w:themeShade="BF"/>
    </w:rPr>
  </w:style>
  <w:style w:type="paragraph" w:styleId="IntenseQuote">
    <w:name w:val="Intense Quote"/>
    <w:basedOn w:val="Normal"/>
    <w:next w:val="Normal"/>
    <w:link w:val="IntenseQuoteChar"/>
    <w:uiPriority w:val="30"/>
    <w:qFormat/>
    <w:rsid w:val="00F549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5490C"/>
    <w:rPr>
      <w:i/>
      <w:iCs/>
      <w:color w:val="0F4761" w:themeColor="accent1" w:themeShade="BF"/>
    </w:rPr>
  </w:style>
  <w:style w:type="character" w:styleId="IntenseReference">
    <w:name w:val="Intense Reference"/>
    <w:basedOn w:val="DefaultParagraphFont"/>
    <w:uiPriority w:val="32"/>
    <w:qFormat/>
    <w:rsid w:val="00F5490C"/>
    <w:rPr>
      <w:b/>
      <w:bCs/>
      <w:smallCaps/>
      <w:color w:val="0F4761" w:themeColor="accent1" w:themeShade="BF"/>
      <w:spacing w:val="5"/>
    </w:rPr>
  </w:style>
  <w:style w:type="table" w:styleId="TableGrid">
    <w:name w:val="Table Grid"/>
    <w:basedOn w:val="TableNormal"/>
    <w:uiPriority w:val="39"/>
    <w:rsid w:val="000302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92D59"/>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44E1"/>
    <w:rPr>
      <w:color w:val="467886" w:themeColor="hyperlink"/>
      <w:u w:val="single"/>
    </w:rPr>
  </w:style>
  <w:style w:type="character" w:styleId="UnresolvedMention">
    <w:name w:val="Unresolved Mention"/>
    <w:basedOn w:val="DefaultParagraphFont"/>
    <w:uiPriority w:val="99"/>
    <w:semiHidden/>
    <w:unhideWhenUsed/>
    <w:rsid w:val="00C144E1"/>
    <w:rPr>
      <w:color w:val="605E5C"/>
      <w:shd w:val="clear" w:color="auto" w:fill="E1DFDD"/>
    </w:rPr>
  </w:style>
  <w:style w:type="paragraph" w:styleId="Header">
    <w:name w:val="header"/>
    <w:basedOn w:val="Normal"/>
    <w:link w:val="HeaderChar"/>
    <w:uiPriority w:val="99"/>
    <w:unhideWhenUsed/>
    <w:rsid w:val="00C568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68AA"/>
  </w:style>
  <w:style w:type="paragraph" w:styleId="Footer">
    <w:name w:val="footer"/>
    <w:basedOn w:val="Normal"/>
    <w:link w:val="FooterChar"/>
    <w:uiPriority w:val="99"/>
    <w:unhideWhenUsed/>
    <w:rsid w:val="00C568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68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30</Pages>
  <Words>11128</Words>
  <Characters>63436</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Rudraksh Kesharwani</dc:creator>
  <cp:keywords/>
  <dc:description/>
  <cp:lastModifiedBy>SDI 1022</cp:lastModifiedBy>
  <cp:revision>63</cp:revision>
  <cp:lastPrinted>2026-02-21T10:32:00Z</cp:lastPrinted>
  <dcterms:created xsi:type="dcterms:W3CDTF">2026-02-21T09:40:00Z</dcterms:created>
  <dcterms:modified xsi:type="dcterms:W3CDTF">2026-04-07T11:29:00Z</dcterms:modified>
</cp:coreProperties>
</file>