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297E7" w14:textId="77777777" w:rsidR="0067409E" w:rsidRDefault="0067409E" w:rsidP="007A0391">
      <w:pPr>
        <w:jc w:val="both"/>
        <w:rPr>
          <w:rFonts w:ascii="Times New Roman" w:eastAsia="SimSun" w:hAnsi="Times New Roman" w:cs="Times New Roman"/>
          <w:b/>
          <w:bCs/>
          <w:color w:val="000000" w:themeColor="text1"/>
          <w:sz w:val="24"/>
          <w:szCs w:val="24"/>
        </w:rPr>
      </w:pPr>
    </w:p>
    <w:p w14:paraId="74CC1179" w14:textId="5CFDF23B" w:rsidR="007C6ED7" w:rsidRPr="0067409E" w:rsidRDefault="002D5606" w:rsidP="007A0391">
      <w:pPr>
        <w:jc w:val="both"/>
        <w:rPr>
          <w:rFonts w:ascii="Times New Roman" w:eastAsia="SimSun" w:hAnsi="Times New Roman" w:cs="Times New Roman"/>
          <w:color w:val="000000" w:themeColor="text1"/>
          <w:sz w:val="24"/>
          <w:szCs w:val="24"/>
          <w:u w:val="single"/>
        </w:rPr>
      </w:pPr>
      <w:r w:rsidRPr="0067409E">
        <w:rPr>
          <w:rFonts w:ascii="Times New Roman" w:eastAsia="SimSun" w:hAnsi="Times New Roman" w:cs="Times New Roman"/>
          <w:color w:val="000000" w:themeColor="text1"/>
          <w:sz w:val="24"/>
          <w:szCs w:val="24"/>
          <w:u w:val="single"/>
        </w:rPr>
        <w:t>Original Research Article</w:t>
      </w:r>
    </w:p>
    <w:p w14:paraId="089C87C2" w14:textId="77777777" w:rsidR="0067409E" w:rsidRPr="002D5606" w:rsidRDefault="0067409E" w:rsidP="007A0391">
      <w:pPr>
        <w:jc w:val="both"/>
        <w:rPr>
          <w:rFonts w:ascii="Times New Roman" w:eastAsia="SimSun" w:hAnsi="Times New Roman" w:cs="Times New Roman"/>
          <w:b/>
          <w:bCs/>
          <w:color w:val="000000" w:themeColor="text1"/>
          <w:sz w:val="24"/>
          <w:szCs w:val="24"/>
        </w:rPr>
      </w:pPr>
    </w:p>
    <w:p w14:paraId="53C73768" w14:textId="77777777" w:rsidR="009F3129" w:rsidRDefault="00E54DC1" w:rsidP="007A0391">
      <w:pPr>
        <w:pStyle w:val="Heading2"/>
        <w:spacing w:beforeAutospacing="0" w:afterAutospacing="0"/>
        <w:ind w:leftChars="-400" w:left="-800"/>
        <w:jc w:val="center"/>
        <w:rPr>
          <w:rFonts w:ascii="Times New Roman" w:hAnsi="Times New Roman" w:cs="Times New Roman" w:hint="default"/>
          <w:sz w:val="24"/>
          <w:szCs w:val="24"/>
        </w:rPr>
      </w:pPr>
      <w:r w:rsidRPr="002D5606">
        <w:rPr>
          <w:rFonts w:ascii="Times New Roman" w:hAnsi="Times New Roman" w:cs="Times New Roman" w:hint="default"/>
          <w:sz w:val="24"/>
          <w:szCs w:val="24"/>
        </w:rPr>
        <w:t>Should Upper Gastrointestinal Endoscopy Be Routine Before Laparoscopic Cholecystectomy? A Prospective Study of Diagnostic Yiel</w:t>
      </w:r>
      <w:r w:rsidR="007A0391">
        <w:rPr>
          <w:rFonts w:ascii="Times New Roman" w:hAnsi="Times New Roman" w:cs="Times New Roman" w:hint="default"/>
          <w:sz w:val="24"/>
          <w:szCs w:val="24"/>
        </w:rPr>
        <w:t>d in Symptomatic Cholelithiasis</w:t>
      </w:r>
    </w:p>
    <w:p w14:paraId="1CA572B7" w14:textId="77777777" w:rsidR="007A0391" w:rsidRPr="007A0391" w:rsidRDefault="007A0391" w:rsidP="007A0391">
      <w:pPr>
        <w:rPr>
          <w:lang w:bidi="mr-IN"/>
        </w:rPr>
      </w:pPr>
    </w:p>
    <w:p w14:paraId="29FEDF42" w14:textId="77777777" w:rsidR="007D4D3E" w:rsidRPr="002D5606" w:rsidRDefault="007D4D3E" w:rsidP="002D5606">
      <w:pPr>
        <w:jc w:val="both"/>
        <w:rPr>
          <w:rFonts w:ascii="Times New Roman" w:hAnsi="Times New Roman" w:cs="Times New Roman"/>
          <w:color w:val="000000" w:themeColor="text1"/>
          <w:sz w:val="24"/>
          <w:szCs w:val="24"/>
        </w:rPr>
      </w:pPr>
    </w:p>
    <w:p w14:paraId="31C7AD56" w14:textId="77777777" w:rsidR="007C6ED7" w:rsidRPr="002D5606" w:rsidRDefault="007C6ED7" w:rsidP="002D5606">
      <w:pPr>
        <w:jc w:val="both"/>
        <w:rPr>
          <w:rFonts w:ascii="Times New Roman" w:hAnsi="Times New Roman" w:cs="Times New Roman"/>
          <w:sz w:val="24"/>
          <w:szCs w:val="24"/>
          <w:lang w:bidi="mr-IN"/>
        </w:rPr>
      </w:pPr>
    </w:p>
    <w:p w14:paraId="1087475B" w14:textId="77777777" w:rsidR="009F3129" w:rsidRPr="002D5606" w:rsidRDefault="00E54DC1" w:rsidP="002D5606">
      <w:pPr>
        <w:pStyle w:val="Heading2"/>
        <w:spacing w:beforeAutospacing="0" w:afterAutospacing="0"/>
        <w:jc w:val="both"/>
        <w:rPr>
          <w:rFonts w:ascii="Times New Roman" w:hAnsi="Times New Roman" w:cs="Times New Roman" w:hint="default"/>
          <w:sz w:val="24"/>
          <w:szCs w:val="24"/>
        </w:rPr>
      </w:pPr>
      <w:r w:rsidRPr="002D5606">
        <w:rPr>
          <w:rFonts w:ascii="Times New Roman" w:hAnsi="Times New Roman" w:cs="Times New Roman" w:hint="default"/>
          <w:sz w:val="24"/>
          <w:szCs w:val="24"/>
        </w:rPr>
        <w:t>Abstract</w:t>
      </w:r>
    </w:p>
    <w:p w14:paraId="30C92C8D" w14:textId="77777777" w:rsidR="009F3129" w:rsidRPr="002D5606" w:rsidRDefault="00A70A10" w:rsidP="00A70A10">
      <w:pPr>
        <w:jc w:val="both"/>
        <w:rPr>
          <w:rFonts w:ascii="Times New Roman" w:hAnsi="Times New Roman" w:cs="Times New Roman"/>
          <w:sz w:val="24"/>
          <w:szCs w:val="24"/>
        </w:rPr>
      </w:pPr>
      <w:r w:rsidRPr="00A70A10">
        <w:rPr>
          <w:rFonts w:ascii="Times New Roman" w:hAnsi="Times New Roman" w:cs="Times New Roman"/>
          <w:b/>
          <w:bCs/>
          <w:color w:val="000000" w:themeColor="text1"/>
          <w:sz w:val="24"/>
          <w:szCs w:val="24"/>
          <w:lang w:bidi="mr-IN"/>
        </w:rPr>
        <w:t>Background:</w:t>
      </w:r>
      <w:r w:rsidRPr="00A70A10">
        <w:rPr>
          <w:rFonts w:ascii="Times New Roman" w:hAnsi="Times New Roman" w:cs="Times New Roman"/>
          <w:color w:val="000000" w:themeColor="text1"/>
          <w:sz w:val="24"/>
          <w:szCs w:val="24"/>
          <w:lang w:bidi="mr-IN"/>
        </w:rPr>
        <w:t xml:space="preserve"> </w:t>
      </w:r>
      <w:r w:rsidRPr="002D5606">
        <w:rPr>
          <w:rFonts w:ascii="Times New Roman" w:hAnsi="Times New Roman" w:cs="Times New Roman"/>
          <w:sz w:val="24"/>
          <w:szCs w:val="24"/>
        </w:rPr>
        <w:t>Symptomatic cholelithiasis is a common indication for elective laparoscopic cholecystectomy, yet the presence of gallstones does not invariably explain upper abdominal symptoms.</w:t>
      </w:r>
      <w:r>
        <w:rPr>
          <w:rFonts w:ascii="Times New Roman" w:hAnsi="Times New Roman" w:cs="Times New Roman"/>
          <w:sz w:val="24"/>
          <w:szCs w:val="24"/>
        </w:rPr>
        <w:t xml:space="preserve"> </w:t>
      </w:r>
      <w:r w:rsidR="00E54DC1" w:rsidRPr="002D5606">
        <w:rPr>
          <w:rStyle w:val="Strong"/>
          <w:rFonts w:ascii="Times New Roman" w:hAnsi="Times New Roman" w:cs="Times New Roman"/>
          <w:sz w:val="24"/>
          <w:szCs w:val="24"/>
        </w:rPr>
        <w:t>Objective:</w:t>
      </w:r>
      <w:r w:rsidR="00E54DC1" w:rsidRPr="002D5606">
        <w:rPr>
          <w:rFonts w:ascii="Times New Roman" w:hAnsi="Times New Roman" w:cs="Times New Roman"/>
          <w:sz w:val="24"/>
          <w:szCs w:val="24"/>
        </w:rPr>
        <w:t xml:space="preserve"> To evaluate the diagnostic yield and clinical utility of preoperative upper gastrointestinal (UGI) endoscopy in patients with symptomatic cholelithiasis undergoing laparoscopic cholecystectomy.</w:t>
      </w:r>
      <w:r>
        <w:rPr>
          <w:rFonts w:ascii="Times New Roman" w:hAnsi="Times New Roman" w:cs="Times New Roman"/>
          <w:sz w:val="24"/>
          <w:szCs w:val="24"/>
        </w:rPr>
        <w:t xml:space="preserve"> </w:t>
      </w:r>
      <w:r w:rsidR="00E54DC1" w:rsidRPr="002D5606">
        <w:rPr>
          <w:rStyle w:val="Strong"/>
          <w:rFonts w:ascii="Times New Roman" w:hAnsi="Times New Roman" w:cs="Times New Roman"/>
          <w:sz w:val="24"/>
          <w:szCs w:val="24"/>
        </w:rPr>
        <w:t>Methods:</w:t>
      </w:r>
      <w:r w:rsidR="00E54DC1" w:rsidRPr="002D5606">
        <w:rPr>
          <w:rFonts w:ascii="Times New Roman" w:hAnsi="Times New Roman" w:cs="Times New Roman"/>
          <w:sz w:val="24"/>
          <w:szCs w:val="24"/>
        </w:rPr>
        <w:t xml:space="preserve"> This prospective observational study was conducted at a tertiary care </w:t>
      </w:r>
      <w:proofErr w:type="spellStart"/>
      <w:r w:rsidR="00E54DC1" w:rsidRPr="002D5606">
        <w:rPr>
          <w:rFonts w:ascii="Times New Roman" w:hAnsi="Times New Roman" w:cs="Times New Roman"/>
          <w:sz w:val="24"/>
          <w:szCs w:val="24"/>
        </w:rPr>
        <w:t>centre</w:t>
      </w:r>
      <w:proofErr w:type="spellEnd"/>
      <w:r w:rsidR="00E54DC1" w:rsidRPr="002D5606">
        <w:rPr>
          <w:rFonts w:ascii="Times New Roman" w:hAnsi="Times New Roman" w:cs="Times New Roman"/>
          <w:sz w:val="24"/>
          <w:szCs w:val="24"/>
        </w:rPr>
        <w:t xml:space="preserve"> from October 2019 to October 2021. Seventy-one consecutive patients with clinically and </w:t>
      </w:r>
      <w:proofErr w:type="spellStart"/>
      <w:r w:rsidR="00E54DC1" w:rsidRPr="002D5606">
        <w:rPr>
          <w:rFonts w:ascii="Times New Roman" w:hAnsi="Times New Roman" w:cs="Times New Roman"/>
          <w:sz w:val="24"/>
          <w:szCs w:val="24"/>
        </w:rPr>
        <w:t>ultrasonographically</w:t>
      </w:r>
      <w:proofErr w:type="spellEnd"/>
      <w:r w:rsidR="00E54DC1" w:rsidRPr="002D5606">
        <w:rPr>
          <w:rFonts w:ascii="Times New Roman" w:hAnsi="Times New Roman" w:cs="Times New Roman"/>
          <w:sz w:val="24"/>
          <w:szCs w:val="24"/>
        </w:rPr>
        <w:t xml:space="preserve"> confirmed symptomatic </w:t>
      </w:r>
      <w:proofErr w:type="spellStart"/>
      <w:r w:rsidR="00E54DC1" w:rsidRPr="002D5606">
        <w:rPr>
          <w:rFonts w:ascii="Times New Roman" w:hAnsi="Times New Roman" w:cs="Times New Roman"/>
          <w:sz w:val="24"/>
          <w:szCs w:val="24"/>
        </w:rPr>
        <w:t>cholelithiasis</w:t>
      </w:r>
      <w:proofErr w:type="spellEnd"/>
      <w:r w:rsidR="00E54DC1" w:rsidRPr="002D5606">
        <w:rPr>
          <w:rFonts w:ascii="Times New Roman" w:hAnsi="Times New Roman" w:cs="Times New Roman"/>
          <w:sz w:val="24"/>
          <w:szCs w:val="24"/>
        </w:rPr>
        <w:t xml:space="preserve"> underwent preoperative UGI endoscopy. Demographic and clinical data were recorded. Endoscopic findings were </w:t>
      </w:r>
      <w:proofErr w:type="spellStart"/>
      <w:r w:rsidR="00E54DC1" w:rsidRPr="002D5606">
        <w:rPr>
          <w:rFonts w:ascii="Times New Roman" w:hAnsi="Times New Roman" w:cs="Times New Roman"/>
          <w:sz w:val="24"/>
          <w:szCs w:val="24"/>
        </w:rPr>
        <w:t>analysed</w:t>
      </w:r>
      <w:proofErr w:type="spellEnd"/>
      <w:r w:rsidR="00E54DC1" w:rsidRPr="002D5606">
        <w:rPr>
          <w:rFonts w:ascii="Times New Roman" w:hAnsi="Times New Roman" w:cs="Times New Roman"/>
          <w:sz w:val="24"/>
          <w:szCs w:val="24"/>
        </w:rPr>
        <w:t xml:space="preserve"> using descriptive statistics (SPSS v20). The primary outcome was detection of clinically significant UGI pathology.</w:t>
      </w:r>
    </w:p>
    <w:p w14:paraId="30BEFA6F" w14:textId="77777777" w:rsidR="009F3129" w:rsidRPr="002D5606" w:rsidRDefault="00E54DC1" w:rsidP="002D5606">
      <w:pPr>
        <w:pStyle w:val="NormalWeb"/>
        <w:spacing w:beforeAutospacing="0" w:afterAutospacing="0"/>
        <w:jc w:val="both"/>
        <w:rPr>
          <w:rFonts w:cs="Times New Roman"/>
        </w:rPr>
      </w:pPr>
      <w:r w:rsidRPr="002D5606">
        <w:rPr>
          <w:rStyle w:val="Strong"/>
          <w:rFonts w:cs="Times New Roman"/>
        </w:rPr>
        <w:t>Results:</w:t>
      </w:r>
      <w:r w:rsidRPr="002D5606">
        <w:rPr>
          <w:rFonts w:cs="Times New Roman"/>
        </w:rPr>
        <w:t xml:space="preserve"> The cohort comprised 44 females (62.0%) and 27 males (38.0%), with 64.8% aged &lt;40 years. Significant endoscopic abnormalities were identified in 36 patients (50.7%), while 35 (49.3%) had normal findings. Gastritis was the most common lesion (33.3%), followed by antral gastritis (22.2%) and reflux esophagitis (13.9%). Inflammatory and reflux-related lesions accounted for the majority of abnormalities. More than half (55.6%) of significant findings occurred in patients younger than 40 years. Lesion distribution was broadly similar between sexes.</w:t>
      </w:r>
      <w:r w:rsidR="00A70A10">
        <w:rPr>
          <w:rFonts w:cs="Times New Roman"/>
        </w:rPr>
        <w:t xml:space="preserve"> </w:t>
      </w:r>
      <w:r w:rsidRPr="002D5606">
        <w:rPr>
          <w:rStyle w:val="Strong"/>
          <w:rFonts w:cs="Times New Roman"/>
        </w:rPr>
        <w:t>Conclusions:</w:t>
      </w:r>
      <w:r w:rsidRPr="002D5606">
        <w:rPr>
          <w:rFonts w:cs="Times New Roman"/>
        </w:rPr>
        <w:t xml:space="preserve"> Preoperative UGI endoscopy demonstrated a high diagnostic yield in patients undergoing laparoscopic cholecystectomy for symptomatic cholelithiasis, identifying clinically relevant mucosal pathology in approximately half of cases. The substantial coexistence of upper GI disease highlights the potential value of a structured, symptom-oriented endoscopic strategy to </w:t>
      </w:r>
      <w:proofErr w:type="spellStart"/>
      <w:r w:rsidRPr="002D5606">
        <w:rPr>
          <w:rFonts w:cs="Times New Roman"/>
        </w:rPr>
        <w:t>optimise</w:t>
      </w:r>
      <w:proofErr w:type="spellEnd"/>
      <w:r w:rsidRPr="002D5606">
        <w:rPr>
          <w:rFonts w:cs="Times New Roman"/>
        </w:rPr>
        <w:t xml:space="preserve"> diagnostic precision and perioperative management. Further </w:t>
      </w:r>
      <w:proofErr w:type="spellStart"/>
      <w:r w:rsidRPr="002D5606">
        <w:rPr>
          <w:rFonts w:cs="Times New Roman"/>
        </w:rPr>
        <w:t>multicentre</w:t>
      </w:r>
      <w:proofErr w:type="spellEnd"/>
      <w:r w:rsidRPr="002D5606">
        <w:rPr>
          <w:rFonts w:cs="Times New Roman"/>
        </w:rPr>
        <w:t xml:space="preserve"> studies incorporating long-term symptom outcomes and cost-effectiveness analyses are warranted.</w:t>
      </w:r>
    </w:p>
    <w:p w14:paraId="299A4CAB" w14:textId="77777777" w:rsidR="00A70A10" w:rsidRDefault="00A70A10" w:rsidP="002D5606">
      <w:pPr>
        <w:jc w:val="both"/>
        <w:rPr>
          <w:rStyle w:val="Strong"/>
          <w:rFonts w:ascii="Times New Roman" w:eastAsia="SimSun" w:hAnsi="Times New Roman" w:cs="Times New Roman"/>
          <w:color w:val="FF0000"/>
          <w:sz w:val="24"/>
          <w:szCs w:val="24"/>
          <w:highlight w:val="yellow"/>
          <w:lang w:bidi="mr-IN"/>
        </w:rPr>
      </w:pPr>
    </w:p>
    <w:p w14:paraId="1F7BF585" w14:textId="77777777" w:rsidR="00680203" w:rsidRPr="00A70A10" w:rsidRDefault="00A70A10" w:rsidP="002D5606">
      <w:pPr>
        <w:jc w:val="both"/>
        <w:rPr>
          <w:rStyle w:val="Strong"/>
          <w:rFonts w:ascii="Times New Roman" w:eastAsia="SimSun" w:hAnsi="Times New Roman" w:cs="Times New Roman"/>
          <w:color w:val="000000" w:themeColor="text1"/>
          <w:sz w:val="24"/>
          <w:szCs w:val="24"/>
          <w:lang w:bidi="mr-IN"/>
        </w:rPr>
      </w:pPr>
      <w:r>
        <w:rPr>
          <w:rStyle w:val="Strong"/>
          <w:rFonts w:ascii="Times New Roman" w:eastAsia="SimSun" w:hAnsi="Times New Roman" w:cs="Times New Roman"/>
          <w:color w:val="000000" w:themeColor="text1"/>
          <w:sz w:val="24"/>
          <w:szCs w:val="24"/>
          <w:lang w:bidi="mr-IN"/>
        </w:rPr>
        <w:t xml:space="preserve">Keywords: </w:t>
      </w:r>
      <w:r w:rsidR="007246FC">
        <w:rPr>
          <w:rFonts w:ascii="Times New Roman" w:hAnsi="Times New Roman" w:cs="Times New Roman"/>
          <w:sz w:val="24"/>
          <w:szCs w:val="24"/>
        </w:rPr>
        <w:t xml:space="preserve">Cholelithiasis, </w:t>
      </w:r>
      <w:r w:rsidR="007246FC" w:rsidRPr="002D5606">
        <w:rPr>
          <w:rFonts w:ascii="Times New Roman" w:hAnsi="Times New Roman" w:cs="Times New Roman"/>
          <w:sz w:val="24"/>
          <w:szCs w:val="24"/>
        </w:rPr>
        <w:t>Gastrointestinal Endoscopy</w:t>
      </w:r>
      <w:r w:rsidR="007246FC">
        <w:rPr>
          <w:rFonts w:ascii="Times New Roman" w:hAnsi="Times New Roman" w:cs="Times New Roman"/>
          <w:sz w:val="24"/>
          <w:szCs w:val="24"/>
        </w:rPr>
        <w:t xml:space="preserve">, </w:t>
      </w:r>
      <w:r w:rsidR="007246FC" w:rsidRPr="002D5606">
        <w:rPr>
          <w:rFonts w:ascii="Times New Roman" w:hAnsi="Times New Roman" w:cs="Times New Roman"/>
          <w:sz w:val="24"/>
          <w:szCs w:val="24"/>
        </w:rPr>
        <w:t>Laparoscopic Cholecystectomy</w:t>
      </w:r>
      <w:r w:rsidR="007246FC">
        <w:rPr>
          <w:rFonts w:ascii="Times New Roman" w:hAnsi="Times New Roman" w:cs="Times New Roman"/>
          <w:sz w:val="24"/>
          <w:szCs w:val="24"/>
        </w:rPr>
        <w:t>,</w:t>
      </w:r>
    </w:p>
    <w:p w14:paraId="7186A809" w14:textId="77777777" w:rsidR="00680203" w:rsidRDefault="00680203" w:rsidP="002D5606">
      <w:pPr>
        <w:pStyle w:val="NormalWeb"/>
        <w:jc w:val="both"/>
        <w:rPr>
          <w:rFonts w:cs="Times New Roman"/>
          <w:b/>
          <w:bCs/>
        </w:rPr>
      </w:pPr>
    </w:p>
    <w:p w14:paraId="55E94E5D" w14:textId="77777777" w:rsidR="00A70A10" w:rsidRDefault="00A70A10" w:rsidP="002D5606">
      <w:pPr>
        <w:pStyle w:val="NormalWeb"/>
        <w:jc w:val="both"/>
        <w:rPr>
          <w:rFonts w:cs="Times New Roman"/>
          <w:b/>
          <w:bCs/>
        </w:rPr>
      </w:pPr>
    </w:p>
    <w:p w14:paraId="7270319B" w14:textId="77777777" w:rsidR="00A70A10" w:rsidRDefault="00A70A10" w:rsidP="002D5606">
      <w:pPr>
        <w:pStyle w:val="NormalWeb"/>
        <w:jc w:val="both"/>
        <w:rPr>
          <w:rFonts w:cs="Times New Roman"/>
          <w:b/>
          <w:bCs/>
        </w:rPr>
      </w:pPr>
    </w:p>
    <w:p w14:paraId="552BEFC2" w14:textId="77777777" w:rsidR="00A70A10" w:rsidRDefault="00A70A10" w:rsidP="002D5606">
      <w:pPr>
        <w:pStyle w:val="NormalWeb"/>
        <w:jc w:val="both"/>
        <w:rPr>
          <w:rFonts w:cs="Times New Roman"/>
          <w:b/>
          <w:bCs/>
        </w:rPr>
      </w:pPr>
    </w:p>
    <w:p w14:paraId="1199C769" w14:textId="77777777" w:rsidR="00A70A10" w:rsidRDefault="00A70A10" w:rsidP="002D5606">
      <w:pPr>
        <w:pStyle w:val="NormalWeb"/>
        <w:jc w:val="both"/>
        <w:rPr>
          <w:rFonts w:cs="Times New Roman"/>
          <w:b/>
          <w:bCs/>
        </w:rPr>
      </w:pPr>
    </w:p>
    <w:p w14:paraId="5383CA21" w14:textId="77777777" w:rsidR="00A70A10" w:rsidRDefault="00A70A10" w:rsidP="002D5606">
      <w:pPr>
        <w:pStyle w:val="NormalWeb"/>
        <w:jc w:val="both"/>
        <w:rPr>
          <w:rFonts w:cs="Times New Roman"/>
          <w:b/>
          <w:bCs/>
        </w:rPr>
      </w:pPr>
    </w:p>
    <w:p w14:paraId="01EE3CAB" w14:textId="77777777" w:rsidR="00A70A10" w:rsidRDefault="00A70A10" w:rsidP="002D5606">
      <w:pPr>
        <w:pStyle w:val="NormalWeb"/>
        <w:jc w:val="both"/>
        <w:rPr>
          <w:rFonts w:cs="Times New Roman"/>
          <w:b/>
          <w:bCs/>
        </w:rPr>
      </w:pPr>
    </w:p>
    <w:p w14:paraId="2B9A1615" w14:textId="77777777" w:rsidR="00A70A10" w:rsidRDefault="00A70A10" w:rsidP="002D5606">
      <w:pPr>
        <w:pStyle w:val="NormalWeb"/>
        <w:jc w:val="both"/>
        <w:rPr>
          <w:rFonts w:cs="Times New Roman"/>
          <w:b/>
          <w:bCs/>
        </w:rPr>
      </w:pPr>
    </w:p>
    <w:p w14:paraId="514DF2AE" w14:textId="77777777" w:rsidR="00A70A10" w:rsidRDefault="00A70A10" w:rsidP="002D5606">
      <w:pPr>
        <w:pStyle w:val="NormalWeb"/>
        <w:jc w:val="both"/>
        <w:rPr>
          <w:rFonts w:cs="Times New Roman"/>
          <w:b/>
          <w:bCs/>
        </w:rPr>
      </w:pPr>
    </w:p>
    <w:p w14:paraId="3663DFE4" w14:textId="77777777" w:rsidR="00A70A10" w:rsidRDefault="00A70A10" w:rsidP="002D5606">
      <w:pPr>
        <w:pStyle w:val="NormalWeb"/>
        <w:jc w:val="both"/>
        <w:rPr>
          <w:rFonts w:cs="Times New Roman"/>
          <w:b/>
          <w:bCs/>
        </w:rPr>
      </w:pPr>
    </w:p>
    <w:p w14:paraId="30911023" w14:textId="77777777" w:rsidR="00A70A10" w:rsidRDefault="00A70A10" w:rsidP="002D5606">
      <w:pPr>
        <w:pStyle w:val="NormalWeb"/>
        <w:jc w:val="both"/>
        <w:rPr>
          <w:rFonts w:cs="Times New Roman"/>
          <w:b/>
          <w:bCs/>
        </w:rPr>
      </w:pPr>
    </w:p>
    <w:p w14:paraId="4824CE2E" w14:textId="77777777" w:rsidR="00A70A10" w:rsidRPr="002D5606" w:rsidRDefault="00A70A10" w:rsidP="002D5606">
      <w:pPr>
        <w:pStyle w:val="NormalWeb"/>
        <w:jc w:val="both"/>
        <w:rPr>
          <w:rFonts w:cs="Times New Roman"/>
          <w:b/>
          <w:bCs/>
        </w:rPr>
      </w:pPr>
    </w:p>
    <w:p w14:paraId="47068EC8" w14:textId="77777777" w:rsidR="009F3129" w:rsidRPr="002D5606" w:rsidRDefault="00A70A10" w:rsidP="00CC36B2">
      <w:pPr>
        <w:pStyle w:val="NormalWeb"/>
        <w:spacing w:beforeAutospacing="0" w:afterAutospacing="0" w:line="360" w:lineRule="auto"/>
        <w:jc w:val="both"/>
        <w:rPr>
          <w:rFonts w:cs="Times New Roman"/>
          <w:b/>
          <w:bCs/>
        </w:rPr>
      </w:pPr>
      <w:r>
        <w:rPr>
          <w:rFonts w:cs="Times New Roman"/>
          <w:b/>
          <w:bCs/>
        </w:rPr>
        <w:t>Introduction:</w:t>
      </w:r>
    </w:p>
    <w:p w14:paraId="61A060DA"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Symptomatic cholelithiasis is a common indication for elective laparoscopic cholecystectomy, yet the presence of gallstones does not invariably e</w:t>
      </w:r>
      <w:r w:rsidR="0032242C">
        <w:rPr>
          <w:rFonts w:cs="Times New Roman"/>
        </w:rPr>
        <w:t>xplain upper abdominal symptoms [1, 2].</w:t>
      </w:r>
      <w:r w:rsidRPr="002D5606">
        <w:rPr>
          <w:rFonts w:cs="Times New Roman"/>
        </w:rPr>
        <w:t xml:space="preserve"> Although laparoscopic cholecystectomy is safe and effective, persistent postoperative dyspepsia remains a </w:t>
      </w:r>
      <w:proofErr w:type="spellStart"/>
      <w:r w:rsidRPr="002D5606">
        <w:rPr>
          <w:rFonts w:cs="Times New Roman"/>
        </w:rPr>
        <w:t>recognised</w:t>
      </w:r>
      <w:proofErr w:type="spellEnd"/>
      <w:r w:rsidRPr="002D5606">
        <w:rPr>
          <w:rFonts w:cs="Times New Roman"/>
        </w:rPr>
        <w:t xml:space="preserve"> concern. </w:t>
      </w:r>
      <w:proofErr w:type="spellStart"/>
      <w:r w:rsidRPr="002D5606">
        <w:rPr>
          <w:rFonts w:cs="Times New Roman"/>
        </w:rPr>
        <w:t>Sakorafas</w:t>
      </w:r>
      <w:proofErr w:type="spellEnd"/>
      <w:r w:rsidRPr="002D5606">
        <w:rPr>
          <w:rFonts w:cs="Times New Roman"/>
        </w:rPr>
        <w:t xml:space="preserve"> et al. highlighted the risk of attributing nonspecific upper abdominal pain solely to gallstones, underscoring the importance of careful preoperative </w:t>
      </w:r>
      <w:r w:rsidR="0032242C">
        <w:rPr>
          <w:rFonts w:cs="Times New Roman"/>
          <w:color w:val="000000" w:themeColor="text1"/>
        </w:rPr>
        <w:t>evaluation [3].</w:t>
      </w:r>
    </w:p>
    <w:p w14:paraId="60B06F00"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 xml:space="preserve">Distinguishing biliary colic from overlapping upper gastrointestinal (UGI) pathology remains challenging. Dyspeptic symptoms may arise from gastritis, reflux </w:t>
      </w:r>
      <w:proofErr w:type="spellStart"/>
      <w:r w:rsidRPr="002D5606">
        <w:rPr>
          <w:rFonts w:cs="Times New Roman"/>
        </w:rPr>
        <w:t>oesophagitis</w:t>
      </w:r>
      <w:proofErr w:type="spellEnd"/>
      <w:r w:rsidRPr="002D5606">
        <w:rPr>
          <w:rFonts w:cs="Times New Roman"/>
        </w:rPr>
        <w:t xml:space="preserve">, peptic ulcer disease, or </w:t>
      </w:r>
      <w:r w:rsidRPr="002D5606">
        <w:rPr>
          <w:rStyle w:val="Emphasis"/>
          <w:rFonts w:cs="Times New Roman"/>
        </w:rPr>
        <w:t>Helicobacter pylori</w:t>
      </w:r>
      <w:r w:rsidRPr="002D5606">
        <w:rPr>
          <w:rFonts w:cs="Times New Roman"/>
        </w:rPr>
        <w:t xml:space="preserve"> infection. </w:t>
      </w:r>
      <w:proofErr w:type="spellStart"/>
      <w:r w:rsidRPr="002D5606">
        <w:rPr>
          <w:rFonts w:cs="Times New Roman"/>
        </w:rPr>
        <w:t>Testerman</w:t>
      </w:r>
      <w:proofErr w:type="spellEnd"/>
      <w:r w:rsidRPr="002D5606">
        <w:rPr>
          <w:rFonts w:cs="Times New Roman"/>
        </w:rPr>
        <w:t xml:space="preserve"> and Morris </w:t>
      </w:r>
      <w:proofErr w:type="spellStart"/>
      <w:r w:rsidRPr="002D5606">
        <w:rPr>
          <w:rFonts w:cs="Times New Roman"/>
        </w:rPr>
        <w:t>emphasised</w:t>
      </w:r>
      <w:proofErr w:type="spellEnd"/>
      <w:r w:rsidRPr="002D5606">
        <w:rPr>
          <w:rFonts w:cs="Times New Roman"/>
        </w:rPr>
        <w:t xml:space="preserve"> the clinical burden of </w:t>
      </w:r>
      <w:r w:rsidRPr="002D5606">
        <w:rPr>
          <w:rStyle w:val="Emphasis"/>
          <w:rFonts w:cs="Times New Roman"/>
        </w:rPr>
        <w:t>H. pylori</w:t>
      </w:r>
      <w:r w:rsidRPr="002D5606">
        <w:rPr>
          <w:rFonts w:cs="Times New Roman"/>
        </w:rPr>
        <w:t xml:space="preserve"> </w:t>
      </w:r>
      <w:r w:rsidR="002C12B7" w:rsidRPr="002C12B7">
        <w:rPr>
          <w:rStyle w:val="Strong"/>
          <w:rFonts w:cs="Times New Roman"/>
          <w:b w:val="0"/>
          <w:bCs w:val="0"/>
        </w:rPr>
        <w:t>[4-10]</w:t>
      </w:r>
      <w:r w:rsidRPr="002D5606">
        <w:rPr>
          <w:rFonts w:cs="Times New Roman"/>
        </w:rPr>
        <w:t xml:space="preserve">, while Hassan et al. suggested potential associations with </w:t>
      </w:r>
      <w:r w:rsidR="006E3C79">
        <w:rPr>
          <w:rFonts w:cs="Times New Roman"/>
        </w:rPr>
        <w:t>chronic calculous cholecystitis [11]</w:t>
      </w:r>
      <w:r w:rsidRPr="002D5606">
        <w:rPr>
          <w:rFonts w:cs="Times New Roman"/>
        </w:rPr>
        <w:t xml:space="preserve">. Several studies, including those by Kolla et al. </w:t>
      </w:r>
      <w:r w:rsidRPr="002D5606">
        <w:rPr>
          <w:rStyle w:val="Strong"/>
          <w:rFonts w:cs="Times New Roman"/>
          <w:vertAlign w:val="superscript"/>
        </w:rPr>
        <w:t>(1)</w:t>
      </w:r>
      <w:r w:rsidRPr="002D5606">
        <w:rPr>
          <w:rFonts w:cs="Times New Roman"/>
          <w:vertAlign w:val="superscript"/>
        </w:rPr>
        <w:t xml:space="preserve">, </w:t>
      </w:r>
      <w:r w:rsidRPr="002D5606">
        <w:rPr>
          <w:rFonts w:cs="Times New Roman"/>
        </w:rPr>
        <w:t>Gupta et al.</w:t>
      </w:r>
      <w:r w:rsidR="002C12B7">
        <w:rPr>
          <w:rFonts w:cs="Times New Roman"/>
          <w:vertAlign w:val="superscript"/>
        </w:rPr>
        <w:t xml:space="preserve"> </w:t>
      </w:r>
      <w:r w:rsidR="002C12B7">
        <w:rPr>
          <w:rFonts w:cs="Times New Roman"/>
        </w:rPr>
        <w:t>[8]</w:t>
      </w:r>
      <w:r w:rsidRPr="002D5606">
        <w:rPr>
          <w:rFonts w:cs="Times New Roman"/>
        </w:rPr>
        <w:t>, Khedkar et al.</w:t>
      </w:r>
      <w:r w:rsidRPr="002D5606">
        <w:rPr>
          <w:rFonts w:cs="Times New Roman"/>
          <w:vertAlign w:val="superscript"/>
        </w:rPr>
        <w:t xml:space="preserve"> </w:t>
      </w:r>
      <w:r w:rsidR="002C12B7" w:rsidRPr="002C12B7">
        <w:rPr>
          <w:rStyle w:val="Strong"/>
          <w:rFonts w:cs="Times New Roman"/>
          <w:b w:val="0"/>
          <w:bCs w:val="0"/>
        </w:rPr>
        <w:t>[7]</w:t>
      </w:r>
      <w:r w:rsidRPr="002D5606">
        <w:rPr>
          <w:rFonts w:cs="Times New Roman"/>
        </w:rPr>
        <w:t xml:space="preserve">, and </w:t>
      </w:r>
      <w:proofErr w:type="spellStart"/>
      <w:r w:rsidRPr="002D5606">
        <w:rPr>
          <w:rFonts w:cs="Times New Roman"/>
        </w:rPr>
        <w:t>Kunnuru</w:t>
      </w:r>
      <w:proofErr w:type="spellEnd"/>
      <w:r w:rsidRPr="002D5606">
        <w:rPr>
          <w:rFonts w:cs="Times New Roman"/>
        </w:rPr>
        <w:t xml:space="preserve"> et al.</w:t>
      </w:r>
      <w:r w:rsidR="002C12B7">
        <w:rPr>
          <w:rFonts w:cs="Times New Roman"/>
          <w:vertAlign w:val="superscript"/>
        </w:rPr>
        <w:t xml:space="preserve"> </w:t>
      </w:r>
      <w:r w:rsidR="002C12B7">
        <w:rPr>
          <w:rFonts w:cs="Times New Roman"/>
        </w:rPr>
        <w:t>[2]</w:t>
      </w:r>
      <w:r w:rsidRPr="002D5606">
        <w:rPr>
          <w:rFonts w:cs="Times New Roman"/>
        </w:rPr>
        <w:t>, have reported a substantial prevalence of endoscopic abnormalities in patients undergoin</w:t>
      </w:r>
      <w:r w:rsidR="006E3C79">
        <w:rPr>
          <w:rFonts w:cs="Times New Roman"/>
        </w:rPr>
        <w:t>g cholecystectomy. Rashid et al. [4] and Karmacharya et al. [9]</w:t>
      </w:r>
      <w:r w:rsidRPr="002D5606">
        <w:rPr>
          <w:rFonts w:cs="Times New Roman"/>
          <w:vertAlign w:val="superscript"/>
        </w:rPr>
        <w:t xml:space="preserve"> </w:t>
      </w:r>
      <w:r w:rsidRPr="002D5606">
        <w:rPr>
          <w:rFonts w:cs="Times New Roman"/>
        </w:rPr>
        <w:t xml:space="preserve">further suggested that preoperative </w:t>
      </w:r>
      <w:proofErr w:type="spellStart"/>
      <w:r w:rsidRPr="002D5606">
        <w:rPr>
          <w:rFonts w:cs="Times New Roman"/>
        </w:rPr>
        <w:t>oesophagogastroduodenoscopy</w:t>
      </w:r>
      <w:proofErr w:type="spellEnd"/>
      <w:r w:rsidRPr="002D5606">
        <w:rPr>
          <w:rFonts w:cs="Times New Roman"/>
        </w:rPr>
        <w:t xml:space="preserve"> may identify treatable lesions that influence management.</w:t>
      </w:r>
    </w:p>
    <w:p w14:paraId="6B9F2ABD"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Despite these findings, the role of routine preoperative endoscopy remains debated. While some advocate selective or unive</w:t>
      </w:r>
      <w:r w:rsidR="006E3C79">
        <w:rPr>
          <w:rFonts w:cs="Times New Roman"/>
        </w:rPr>
        <w:t>rsal screening (</w:t>
      </w:r>
      <w:proofErr w:type="spellStart"/>
      <w:r w:rsidR="006E3C79">
        <w:rPr>
          <w:rFonts w:cs="Times New Roman"/>
        </w:rPr>
        <w:t>Mozafar</w:t>
      </w:r>
      <w:proofErr w:type="spellEnd"/>
      <w:r w:rsidR="006E3C79">
        <w:rPr>
          <w:rFonts w:cs="Times New Roman"/>
        </w:rPr>
        <w:t xml:space="preserve"> et al.) [5]</w:t>
      </w:r>
      <w:r w:rsidRPr="002D5606">
        <w:rPr>
          <w:rFonts w:cs="Times New Roman"/>
          <w:vertAlign w:val="superscript"/>
        </w:rPr>
        <w:t>,</w:t>
      </w:r>
      <w:r w:rsidRPr="002D5606">
        <w:rPr>
          <w:rFonts w:cs="Times New Roman"/>
        </w:rPr>
        <w:t xml:space="preserve"> the meta-analysis by Lamberts et al. demonstrated inconsistent impact on outcomes and cost-effectiveness </w:t>
      </w:r>
      <w:r w:rsidRPr="002D5606">
        <w:rPr>
          <w:rStyle w:val="Strong"/>
          <w:rFonts w:cs="Times New Roman"/>
          <w:vertAlign w:val="superscript"/>
        </w:rPr>
        <w:t>(6)</w:t>
      </w:r>
      <w:r w:rsidRPr="002D5606">
        <w:rPr>
          <w:rFonts w:cs="Times New Roman"/>
          <w:vertAlign w:val="superscript"/>
        </w:rPr>
        <w:t>.</w:t>
      </w:r>
      <w:r w:rsidRPr="002D5606">
        <w:rPr>
          <w:rFonts w:cs="Times New Roman"/>
        </w:rPr>
        <w:t xml:space="preserve"> Given this lack of consensus, the present study evaluates the diagnostic yield and clinical utility of preoperative UGI endoscopy in patients with symptomatic cholelithiasis undergoing laparoscopic cholecystectomy.</w:t>
      </w:r>
    </w:p>
    <w:p w14:paraId="54378966" w14:textId="77777777" w:rsidR="003D4E86" w:rsidRDefault="003D4E86" w:rsidP="003D4E86">
      <w:pPr>
        <w:spacing w:line="360" w:lineRule="auto"/>
        <w:ind w:right="-20"/>
        <w:jc w:val="both"/>
        <w:rPr>
          <w:rFonts w:ascii="Times New Roman" w:hAnsi="Times New Roman" w:cs="Times New Roman"/>
          <w:sz w:val="24"/>
          <w:szCs w:val="24"/>
        </w:rPr>
      </w:pPr>
      <w:r>
        <w:rPr>
          <w:rFonts w:ascii="Times New Roman" w:eastAsia="SimSun" w:hAnsi="Times New Roman" w:cs="Times New Roman"/>
          <w:sz w:val="24"/>
          <w:szCs w:val="24"/>
          <w:lang w:bidi="mr-IN"/>
        </w:rPr>
        <w:t>The Aim of the study t</w:t>
      </w:r>
      <w:r>
        <w:rPr>
          <w:rFonts w:ascii="Times New Roman" w:hAnsi="Times New Roman" w:cs="Times New Roman"/>
          <w:bCs/>
          <w:sz w:val="24"/>
          <w:szCs w:val="24"/>
        </w:rPr>
        <w:t xml:space="preserve">o evaluate </w:t>
      </w:r>
      <w:r w:rsidR="00E54DC1" w:rsidRPr="002D5606">
        <w:rPr>
          <w:rFonts w:ascii="Times New Roman" w:hAnsi="Times New Roman" w:cs="Times New Roman"/>
          <w:bCs/>
          <w:sz w:val="24"/>
          <w:szCs w:val="24"/>
        </w:rPr>
        <w:t>the effectiveness of upper endoscopy in patients wi</w:t>
      </w:r>
      <w:r>
        <w:rPr>
          <w:rFonts w:ascii="Times New Roman" w:hAnsi="Times New Roman" w:cs="Times New Roman"/>
          <w:bCs/>
          <w:sz w:val="24"/>
          <w:szCs w:val="24"/>
        </w:rPr>
        <w:t>th symptomatic cholelithiasis. The objectives of the study t</w:t>
      </w:r>
      <w:r w:rsidR="00E54DC1" w:rsidRPr="003D4E86">
        <w:rPr>
          <w:rFonts w:ascii="Times New Roman" w:hAnsi="Times New Roman" w:cs="Times New Roman"/>
          <w:sz w:val="24"/>
          <w:szCs w:val="24"/>
        </w:rPr>
        <w:t xml:space="preserve">o evaluate the effectiveness of upper GI endoscopy in patients undergoing laparoscopic cholecystectomy. </w:t>
      </w:r>
      <w:r w:rsidR="00E54DC1" w:rsidRPr="002D5606">
        <w:rPr>
          <w:rFonts w:ascii="Times New Roman" w:hAnsi="Times New Roman" w:cs="Times New Roman"/>
          <w:sz w:val="24"/>
          <w:szCs w:val="24"/>
        </w:rPr>
        <w:t xml:space="preserve">To evaluate the different types of Gastro Intestinal lesions on upper GI endoscopy in patients with symptomatic cholelithiasis  </w:t>
      </w:r>
    </w:p>
    <w:p w14:paraId="719EE7E4" w14:textId="77777777" w:rsidR="003D4E86" w:rsidRDefault="003D4E86" w:rsidP="003D4E86">
      <w:pPr>
        <w:spacing w:line="360" w:lineRule="auto"/>
        <w:ind w:right="-19"/>
        <w:jc w:val="both"/>
        <w:rPr>
          <w:rFonts w:ascii="Times New Roman" w:hAnsi="Times New Roman" w:cs="Times New Roman"/>
          <w:b/>
          <w:bCs/>
          <w:sz w:val="24"/>
          <w:szCs w:val="24"/>
        </w:rPr>
      </w:pPr>
    </w:p>
    <w:p w14:paraId="78330DDC" w14:textId="77777777" w:rsidR="003D4E86" w:rsidRPr="003D4E86" w:rsidRDefault="003D4E86" w:rsidP="003D4E86">
      <w:pPr>
        <w:spacing w:line="360" w:lineRule="auto"/>
        <w:ind w:right="-19"/>
        <w:jc w:val="both"/>
        <w:rPr>
          <w:rFonts w:ascii="Times New Roman" w:hAnsi="Times New Roman" w:cs="Times New Roman"/>
          <w:sz w:val="24"/>
          <w:szCs w:val="24"/>
        </w:rPr>
      </w:pPr>
      <w:r w:rsidRPr="003D4E86">
        <w:rPr>
          <w:rFonts w:ascii="Times New Roman" w:hAnsi="Times New Roman" w:cs="Times New Roman"/>
          <w:b/>
          <w:bCs/>
          <w:sz w:val="24"/>
          <w:szCs w:val="24"/>
        </w:rPr>
        <w:lastRenderedPageBreak/>
        <w:t>METHODS</w:t>
      </w:r>
    </w:p>
    <w:p w14:paraId="59A7B0D3"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Study design and setting</w:t>
      </w:r>
    </w:p>
    <w:p w14:paraId="11376AE4"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This prospective observational study was conducted in the Department of General Surgery, Jawaharlal Nehru Medical College and Hospital, Aligarh Muslim University, Aligarh, Uttar Pradesh, India, from October 2019 to October 2021. The study was approved by the Institutional Ethics Committee, and written informed consent was obtained from all participants or their guardians prior to enrolment.</w:t>
      </w:r>
    </w:p>
    <w:p w14:paraId="160C774F" w14:textId="77777777" w:rsidR="001C611A" w:rsidRPr="002D5606" w:rsidRDefault="001C611A" w:rsidP="00CC36B2">
      <w:pPr>
        <w:pStyle w:val="NormalWeb"/>
        <w:spacing w:beforeAutospacing="0" w:afterAutospacing="0" w:line="360" w:lineRule="auto"/>
        <w:jc w:val="both"/>
        <w:rPr>
          <w:rFonts w:cs="Times New Roman"/>
        </w:rPr>
      </w:pPr>
    </w:p>
    <w:p w14:paraId="7749DA4D"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Study population and sample size</w:t>
      </w:r>
    </w:p>
    <w:p w14:paraId="6748BC8C"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Consecutive patients presenting with symptomatic cholelithiasis and planned for elective laparoscopic cholecystectomy were screened for eligibility. Symptomatic cholelithiasis was confirmed clinically and by abdominal ultrasonography. A total of 71 patients fulfilling the eligibility criteria were included in the final analysis.</w:t>
      </w:r>
    </w:p>
    <w:p w14:paraId="6C763B5F" w14:textId="77777777" w:rsidR="001C611A" w:rsidRPr="002D5606" w:rsidRDefault="001C611A" w:rsidP="00CC36B2">
      <w:pPr>
        <w:pStyle w:val="NormalWeb"/>
        <w:spacing w:beforeAutospacing="0" w:afterAutospacing="0" w:line="360" w:lineRule="auto"/>
        <w:jc w:val="both"/>
        <w:rPr>
          <w:rFonts w:cs="Times New Roman"/>
        </w:rPr>
      </w:pPr>
    </w:p>
    <w:p w14:paraId="0ED096AA" w14:textId="77777777" w:rsidR="009F3129" w:rsidRPr="001C611A" w:rsidRDefault="00E54DC1" w:rsidP="00CC36B2">
      <w:pPr>
        <w:pStyle w:val="Heading3"/>
        <w:spacing w:beforeAutospacing="0" w:afterAutospacing="0" w:line="360" w:lineRule="auto"/>
        <w:jc w:val="both"/>
        <w:rPr>
          <w:rFonts w:ascii="Times New Roman" w:hAnsi="Times New Roman" w:cs="Times New Roman" w:hint="default"/>
          <w:b w:val="0"/>
          <w:bCs w:val="0"/>
          <w:i/>
          <w:iCs/>
          <w:sz w:val="24"/>
          <w:szCs w:val="24"/>
        </w:rPr>
      </w:pPr>
      <w:r w:rsidRPr="001C611A">
        <w:rPr>
          <w:rFonts w:ascii="Times New Roman" w:hAnsi="Times New Roman" w:cs="Times New Roman" w:hint="default"/>
          <w:b w:val="0"/>
          <w:bCs w:val="0"/>
          <w:i/>
          <w:iCs/>
          <w:sz w:val="24"/>
          <w:szCs w:val="24"/>
        </w:rPr>
        <w:t>Inclusion criteria</w:t>
      </w:r>
    </w:p>
    <w:p w14:paraId="7330A1A4"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with clinical and ultrasonographic evidence of symptomatic cholelithiasis.</w:t>
      </w:r>
    </w:p>
    <w:p w14:paraId="2BB5FF06"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willing to undergo preoperative upper gastrointestinal (UGI) endoscopy.</w:t>
      </w:r>
    </w:p>
    <w:p w14:paraId="00055922"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providing written informed consent.</w:t>
      </w:r>
    </w:p>
    <w:p w14:paraId="6839198F" w14:textId="77777777" w:rsidR="009F3129"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All consecutive eligible patients admitted during the study period, irrespective of age or sex.</w:t>
      </w:r>
    </w:p>
    <w:p w14:paraId="7196633B" w14:textId="77777777" w:rsidR="001C611A" w:rsidRPr="002D5606" w:rsidRDefault="001C611A" w:rsidP="001C611A">
      <w:pPr>
        <w:pStyle w:val="NormalWeb"/>
        <w:tabs>
          <w:tab w:val="left" w:pos="420"/>
        </w:tabs>
        <w:spacing w:beforeAutospacing="0" w:afterAutospacing="0" w:line="360" w:lineRule="auto"/>
        <w:ind w:left="420"/>
        <w:jc w:val="both"/>
        <w:rPr>
          <w:rFonts w:cs="Times New Roman"/>
        </w:rPr>
      </w:pPr>
    </w:p>
    <w:p w14:paraId="3169C5CC" w14:textId="77777777" w:rsidR="009F3129" w:rsidRPr="001C611A" w:rsidRDefault="00E54DC1" w:rsidP="00CC36B2">
      <w:pPr>
        <w:pStyle w:val="Heading3"/>
        <w:spacing w:beforeAutospacing="0" w:afterAutospacing="0" w:line="360" w:lineRule="auto"/>
        <w:jc w:val="both"/>
        <w:rPr>
          <w:rFonts w:ascii="Times New Roman" w:hAnsi="Times New Roman" w:cs="Times New Roman" w:hint="default"/>
          <w:b w:val="0"/>
          <w:bCs w:val="0"/>
          <w:i/>
          <w:iCs/>
          <w:sz w:val="24"/>
          <w:szCs w:val="24"/>
        </w:rPr>
      </w:pPr>
      <w:r w:rsidRPr="001C611A">
        <w:rPr>
          <w:rFonts w:ascii="Times New Roman" w:hAnsi="Times New Roman" w:cs="Times New Roman" w:hint="default"/>
          <w:b w:val="0"/>
          <w:bCs w:val="0"/>
          <w:i/>
          <w:iCs/>
          <w:sz w:val="24"/>
          <w:szCs w:val="24"/>
        </w:rPr>
        <w:t>Exclusion criteria</w:t>
      </w:r>
    </w:p>
    <w:p w14:paraId="41D5E439" w14:textId="77777777" w:rsidR="009F3129"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refusing consent for UGI endoscopy.</w:t>
      </w:r>
    </w:p>
    <w:p w14:paraId="45A132A0" w14:textId="77777777" w:rsidR="001C611A" w:rsidRPr="002D5606" w:rsidRDefault="001C611A" w:rsidP="001C611A">
      <w:pPr>
        <w:pStyle w:val="NormalWeb"/>
        <w:tabs>
          <w:tab w:val="left" w:pos="420"/>
        </w:tabs>
        <w:spacing w:beforeAutospacing="0" w:afterAutospacing="0" w:line="360" w:lineRule="auto"/>
        <w:ind w:left="420"/>
        <w:jc w:val="both"/>
        <w:rPr>
          <w:rFonts w:cs="Times New Roman"/>
        </w:rPr>
      </w:pPr>
    </w:p>
    <w:p w14:paraId="54200EBF"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Clinical assessment</w:t>
      </w:r>
    </w:p>
    <w:p w14:paraId="6CE2A16E"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Baseline demographic data, symptom profile, and relevant comorbidities were recorded using a structured proforma. Particular emphasis was placed on differentiating typical biliary colic from dyspeptic or reflux-related symptoms. All patients underwent ultrasonography to confirm gallstone disease prior to enrolment.</w:t>
      </w:r>
    </w:p>
    <w:p w14:paraId="4D57F651" w14:textId="77777777" w:rsidR="001C611A" w:rsidRPr="002D5606" w:rsidRDefault="001C611A" w:rsidP="00CC36B2">
      <w:pPr>
        <w:pStyle w:val="NormalWeb"/>
        <w:spacing w:beforeAutospacing="0" w:afterAutospacing="0" w:line="360" w:lineRule="auto"/>
        <w:jc w:val="both"/>
        <w:rPr>
          <w:rFonts w:cs="Times New Roman"/>
        </w:rPr>
      </w:pPr>
    </w:p>
    <w:p w14:paraId="429156EB"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Endoscopic procedure</w:t>
      </w:r>
    </w:p>
    <w:p w14:paraId="5CC058E0"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 xml:space="preserve">All patients underwent preoperative UGI endoscopy in the general surgery endoscopy suite. Patients were kept nil per oral for at least 6 hours prior to the procedure. Intravenous access </w:t>
      </w:r>
      <w:r w:rsidRPr="002D5606">
        <w:rPr>
          <w:rFonts w:cs="Times New Roman"/>
        </w:rPr>
        <w:lastRenderedPageBreak/>
        <w:t>was secured; no intravenous sedation or prophylactic antibiotics were administered. Topical 1% lignocaine was applied to reduce gag reflex.</w:t>
      </w:r>
    </w:p>
    <w:p w14:paraId="5A1E6B9B"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A 120 cm forward-viewing flexible endoscope was used. The procedure was performed in the left lateral decubitus position under direct vision, advancing sequentially through the esophagus, stomach, and proximal duodenum. Careful mucosal inspection was carried out during insertion and withdrawal, and biopsies were taken when indicated. Endoscopic findings, including gastritis, antral or pyloric gastritis, reflux esophagitis, peptic ulcer disease, esophageal varices, and other abnormalities, were documented.</w:t>
      </w:r>
    </w:p>
    <w:p w14:paraId="5C12F82B" w14:textId="77777777" w:rsidR="001C611A" w:rsidRPr="002D5606" w:rsidRDefault="001C611A" w:rsidP="00CC36B2">
      <w:pPr>
        <w:pStyle w:val="NormalWeb"/>
        <w:spacing w:beforeAutospacing="0" w:afterAutospacing="0" w:line="360" w:lineRule="auto"/>
        <w:jc w:val="both"/>
        <w:rPr>
          <w:rFonts w:cs="Times New Roman"/>
        </w:rPr>
      </w:pPr>
    </w:p>
    <w:p w14:paraId="5EC761CF"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Outcome measures</w:t>
      </w:r>
    </w:p>
    <w:p w14:paraId="22003A63"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The primary outcome was the diagnostic yield of UGI endoscopy in detecting clinically significant upper gastrointestinal pathology. Secondary outcomes included the frequency of abnormal endoscopic findings, correlation between presenting symptoms and endoscopic abnormalities, and any change in preoperative management based on endoscopic results.</w:t>
      </w:r>
    </w:p>
    <w:p w14:paraId="7DCCA8ED" w14:textId="77777777" w:rsidR="001C611A" w:rsidRPr="002D5606" w:rsidRDefault="001C611A" w:rsidP="00CC36B2">
      <w:pPr>
        <w:pStyle w:val="NormalWeb"/>
        <w:spacing w:beforeAutospacing="0" w:afterAutospacing="0" w:line="360" w:lineRule="auto"/>
        <w:jc w:val="both"/>
        <w:rPr>
          <w:rFonts w:cs="Times New Roman"/>
        </w:rPr>
      </w:pPr>
    </w:p>
    <w:p w14:paraId="2F797872"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Statistical analysis</w:t>
      </w:r>
    </w:p>
    <w:p w14:paraId="620E7A10" w14:textId="77777777" w:rsidR="009F3129" w:rsidRPr="002D5606" w:rsidRDefault="00E54DC1" w:rsidP="00CC36B2">
      <w:pPr>
        <w:pStyle w:val="Heading2"/>
        <w:spacing w:beforeAutospacing="0" w:afterAutospacing="0" w:line="360" w:lineRule="auto"/>
        <w:jc w:val="both"/>
        <w:rPr>
          <w:rFonts w:ascii="Times New Roman" w:hAnsi="Times New Roman" w:cs="Times New Roman" w:hint="default"/>
          <w:b w:val="0"/>
          <w:bCs w:val="0"/>
          <w:sz w:val="24"/>
          <w:szCs w:val="24"/>
        </w:rPr>
      </w:pPr>
      <w:r w:rsidRPr="002D5606">
        <w:rPr>
          <w:rFonts w:ascii="Times New Roman" w:hAnsi="Times New Roman" w:cs="Times New Roman" w:hint="default"/>
          <w:b w:val="0"/>
          <w:bCs w:val="0"/>
          <w:sz w:val="24"/>
          <w:szCs w:val="24"/>
        </w:rPr>
        <w:t xml:space="preserve">Data were </w:t>
      </w:r>
      <w:proofErr w:type="spellStart"/>
      <w:r w:rsidRPr="002D5606">
        <w:rPr>
          <w:rFonts w:ascii="Times New Roman" w:hAnsi="Times New Roman" w:cs="Times New Roman" w:hint="default"/>
          <w:b w:val="0"/>
          <w:bCs w:val="0"/>
          <w:sz w:val="24"/>
          <w:szCs w:val="24"/>
        </w:rPr>
        <w:t>analysed</w:t>
      </w:r>
      <w:proofErr w:type="spellEnd"/>
      <w:r w:rsidRPr="002D5606">
        <w:rPr>
          <w:rFonts w:ascii="Times New Roman" w:hAnsi="Times New Roman" w:cs="Times New Roman" w:hint="default"/>
          <w:b w:val="0"/>
          <w:bCs w:val="0"/>
          <w:sz w:val="24"/>
          <w:szCs w:val="24"/>
        </w:rPr>
        <w:t xml:space="preserve"> using SPSS version 20.0 (IBM Corp., Armonk, NY, USA). Continuous variables were expressed as mean ± standard deviation and categorical variables as frequencies and percentages. Comparisons between categorical variables, including age group, gender, and presence of significant endoscopic pathology, were performed using the chi-square (χ²) test or Fisher’s exact test where appropriate. A two-tailed p-value &lt;0.05 was considered statistically significant. Given the observational design and moderate sample size, analyses were exploratory in nature and primarily intended to assess associations rather than establish causality.</w:t>
      </w:r>
    </w:p>
    <w:p w14:paraId="606DB10B" w14:textId="77777777" w:rsidR="009F3129" w:rsidRPr="002D5606" w:rsidRDefault="009F3129" w:rsidP="00CC36B2">
      <w:pPr>
        <w:pStyle w:val="Heading2"/>
        <w:spacing w:beforeAutospacing="0" w:afterAutospacing="0" w:line="360" w:lineRule="auto"/>
        <w:jc w:val="both"/>
        <w:rPr>
          <w:rFonts w:ascii="Times New Roman" w:hAnsi="Times New Roman" w:cs="Times New Roman" w:hint="default"/>
          <w:sz w:val="24"/>
          <w:szCs w:val="24"/>
        </w:rPr>
      </w:pPr>
    </w:p>
    <w:p w14:paraId="6B2DEF26" w14:textId="77777777" w:rsidR="009F3129" w:rsidRPr="002D5606" w:rsidRDefault="00E54DC1" w:rsidP="00CC36B2">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Results</w:t>
      </w:r>
    </w:p>
    <w:p w14:paraId="5C3C842E"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Baseline Characteristics</w:t>
      </w:r>
    </w:p>
    <w:p w14:paraId="18A7D0D3" w14:textId="77777777" w:rsidR="009F3129" w:rsidRDefault="00E54DC1" w:rsidP="00CC36B2">
      <w:pPr>
        <w:pStyle w:val="NormalWeb"/>
        <w:spacing w:beforeAutospacing="0" w:afterAutospacing="0" w:line="360" w:lineRule="auto"/>
        <w:jc w:val="both"/>
        <w:rPr>
          <w:rFonts w:cs="Times New Roman"/>
          <w:b/>
          <w:bCs/>
        </w:rPr>
      </w:pPr>
      <w:r w:rsidRPr="002D5606">
        <w:rPr>
          <w:rFonts w:cs="Times New Roman"/>
        </w:rPr>
        <w:t>Seventy-one patients with symptomatic cholelithiasis underwent preoperative upper gastrointestinal (UGI) endoscopy. Most patients were younger than 40 years (64.8%), while only 15.5% were older than 50 years, indicating a predominance of younger individuals in this cohort. Females constituted 62.0% of the study population, with a female-to-male ratio of 1.6:1, consistent with the known ep</w:t>
      </w:r>
      <w:r w:rsidR="00F45471">
        <w:rPr>
          <w:rFonts w:cs="Times New Roman"/>
        </w:rPr>
        <w:t xml:space="preserve">idemiology of gallstone disease </w:t>
      </w:r>
      <w:r w:rsidR="004F01A3">
        <w:rPr>
          <w:rFonts w:cs="Times New Roman"/>
          <w:b/>
          <w:bCs/>
        </w:rPr>
        <w:t>(Figure 1, Table 1).</w:t>
      </w:r>
    </w:p>
    <w:p w14:paraId="7902E8A5" w14:textId="77777777" w:rsidR="00F45471" w:rsidRPr="002D5606" w:rsidRDefault="00F45471" w:rsidP="00CC36B2">
      <w:pPr>
        <w:pStyle w:val="NormalWeb"/>
        <w:spacing w:beforeAutospacing="0" w:afterAutospacing="0" w:line="360" w:lineRule="auto"/>
        <w:jc w:val="both"/>
        <w:rPr>
          <w:rFonts w:cs="Times New Roman"/>
        </w:rPr>
      </w:pPr>
    </w:p>
    <w:p w14:paraId="7FA3F268" w14:textId="77777777" w:rsidR="009F3129" w:rsidRPr="002D5606" w:rsidRDefault="00E54DC1" w:rsidP="001A0456">
      <w:pPr>
        <w:pStyle w:val="NormalWeb"/>
        <w:jc w:val="center"/>
        <w:rPr>
          <w:rStyle w:val="Strong"/>
          <w:rFonts w:cs="Times New Roman"/>
        </w:rPr>
      </w:pPr>
      <w:r w:rsidRPr="002D5606">
        <w:rPr>
          <w:rStyle w:val="Strong"/>
          <w:rFonts w:cs="Times New Roman"/>
          <w:noProof/>
          <w:lang w:eastAsia="en-US"/>
        </w:rPr>
        <w:lastRenderedPageBreak/>
        <w:drawing>
          <wp:inline distT="0" distB="0" distL="114300" distR="114300" wp14:anchorId="47ADF4E9" wp14:editId="7799790A">
            <wp:extent cx="4176979" cy="1454986"/>
            <wp:effectExtent l="0" t="0" r="0" b="0"/>
            <wp:docPr id="4" name="Picture 4" descr="ChatGPT Image Feb 14, 2026, 01_07_0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tGPT Image Feb 14, 2026, 01_07_01 PM"/>
                    <pic:cNvPicPr>
                      <a:picLocks noChangeAspect="1"/>
                    </pic:cNvPicPr>
                  </pic:nvPicPr>
                  <pic:blipFill rotWithShape="1">
                    <a:blip r:embed="rId8"/>
                    <a:srcRect t="28674"/>
                    <a:stretch/>
                  </pic:blipFill>
                  <pic:spPr bwMode="auto">
                    <a:xfrm>
                      <a:off x="0" y="0"/>
                      <a:ext cx="4181596" cy="1456594"/>
                    </a:xfrm>
                    <a:prstGeom prst="rect">
                      <a:avLst/>
                    </a:prstGeom>
                    <a:ln>
                      <a:noFill/>
                    </a:ln>
                    <a:extLst>
                      <a:ext uri="{53640926-AAD7-44D8-BBD7-CCE9431645EC}">
                        <a14:shadowObscured xmlns:a14="http://schemas.microsoft.com/office/drawing/2010/main"/>
                      </a:ext>
                    </a:extLst>
                  </pic:spPr>
                </pic:pic>
              </a:graphicData>
            </a:graphic>
          </wp:inline>
        </w:drawing>
      </w:r>
    </w:p>
    <w:p w14:paraId="4F977259" w14:textId="77777777" w:rsidR="001A0456" w:rsidRPr="001A0456" w:rsidRDefault="001A0456" w:rsidP="001A0456">
      <w:pPr>
        <w:pStyle w:val="NormalWeb"/>
        <w:jc w:val="center"/>
        <w:rPr>
          <w:rStyle w:val="Strong"/>
          <w:rFonts w:cs="Times New Roman"/>
          <w:color w:val="000000" w:themeColor="text1"/>
        </w:rPr>
      </w:pPr>
      <w:r w:rsidRPr="001A0456">
        <w:rPr>
          <w:rStyle w:val="Strong"/>
          <w:rFonts w:cs="Times New Roman"/>
          <w:color w:val="000000" w:themeColor="text1"/>
        </w:rPr>
        <w:t>Figure 1: Study flow Diagram</w:t>
      </w:r>
    </w:p>
    <w:p w14:paraId="000A8FD6" w14:textId="77777777" w:rsidR="001A0456" w:rsidRDefault="001A0456" w:rsidP="002D5606">
      <w:pPr>
        <w:pStyle w:val="NormalWeb"/>
        <w:jc w:val="both"/>
        <w:rPr>
          <w:rStyle w:val="Strong"/>
          <w:rFonts w:cs="Times New Roman"/>
          <w:color w:val="FF0000"/>
        </w:rPr>
      </w:pPr>
    </w:p>
    <w:p w14:paraId="303CAD81" w14:textId="77777777" w:rsidR="009F3129" w:rsidRPr="002D5606" w:rsidRDefault="00F45471" w:rsidP="002D5606">
      <w:pPr>
        <w:pStyle w:val="NormalWeb"/>
        <w:jc w:val="both"/>
        <w:rPr>
          <w:rFonts w:cs="Times New Roman"/>
        </w:rPr>
      </w:pPr>
      <w:r>
        <w:rPr>
          <w:rStyle w:val="Strong"/>
          <w:rFonts w:cs="Times New Roman"/>
        </w:rPr>
        <w:t>Table 1:</w:t>
      </w:r>
      <w:r w:rsidR="00E54DC1" w:rsidRPr="002D5606">
        <w:rPr>
          <w:rStyle w:val="Strong"/>
          <w:rFonts w:cs="Times New Roman"/>
        </w:rPr>
        <w:t xml:space="preserve"> Baseline demographic characteristics (n=71)</w:t>
      </w:r>
    </w:p>
    <w:tbl>
      <w:tblPr>
        <w:tblStyle w:val="TableGrid"/>
        <w:tblW w:w="5000" w:type="pct"/>
        <w:tblLook w:val="04A0" w:firstRow="1" w:lastRow="0" w:firstColumn="1" w:lastColumn="0" w:noHBand="0" w:noVBand="1"/>
      </w:tblPr>
      <w:tblGrid>
        <w:gridCol w:w="3532"/>
        <w:gridCol w:w="5484"/>
      </w:tblGrid>
      <w:tr w:rsidR="009F3129" w:rsidRPr="002D5606" w14:paraId="57DAF029" w14:textId="77777777" w:rsidTr="004F01A3">
        <w:trPr>
          <w:trHeight w:val="56"/>
        </w:trPr>
        <w:tc>
          <w:tcPr>
            <w:tcW w:w="1959" w:type="pct"/>
          </w:tcPr>
          <w:p w14:paraId="22D90083" w14:textId="77777777" w:rsidR="009F3129" w:rsidRPr="002D5606" w:rsidRDefault="00E54DC1" w:rsidP="00F45471">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Variable</w:t>
            </w:r>
          </w:p>
        </w:tc>
        <w:tc>
          <w:tcPr>
            <w:tcW w:w="3041" w:type="pct"/>
          </w:tcPr>
          <w:p w14:paraId="79F5701D" w14:textId="77777777" w:rsidR="009F3129" w:rsidRPr="002D5606" w:rsidRDefault="00E54DC1" w:rsidP="00F45471">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708EB6AC" w14:textId="77777777" w:rsidTr="004F01A3">
        <w:trPr>
          <w:trHeight w:val="56"/>
        </w:trPr>
        <w:tc>
          <w:tcPr>
            <w:tcW w:w="1959" w:type="pct"/>
          </w:tcPr>
          <w:p w14:paraId="053C36D4" w14:textId="77777777" w:rsidR="009F3129" w:rsidRPr="002D5606" w:rsidRDefault="00E54DC1" w:rsidP="00F45471">
            <w:pPr>
              <w:jc w:val="both"/>
              <w:rPr>
                <w:rFonts w:ascii="Times New Roman" w:hAnsi="Times New Roman" w:cs="Times New Roman"/>
                <w:sz w:val="24"/>
                <w:szCs w:val="24"/>
              </w:rPr>
            </w:pPr>
            <w:r w:rsidRPr="002D5606">
              <w:rPr>
                <w:rStyle w:val="Strong"/>
                <w:rFonts w:ascii="Times New Roman" w:eastAsia="SimSun" w:hAnsi="Times New Roman" w:cs="Times New Roman"/>
                <w:sz w:val="24"/>
                <w:szCs w:val="24"/>
                <w:lang w:bidi="ar"/>
              </w:rPr>
              <w:t>Age group (years)</w:t>
            </w:r>
          </w:p>
        </w:tc>
        <w:tc>
          <w:tcPr>
            <w:tcW w:w="3041" w:type="pct"/>
          </w:tcPr>
          <w:p w14:paraId="72102600" w14:textId="77777777" w:rsidR="009F3129" w:rsidRPr="002D5606" w:rsidRDefault="009F3129" w:rsidP="00F45471">
            <w:pPr>
              <w:jc w:val="both"/>
              <w:rPr>
                <w:rFonts w:ascii="Times New Roman" w:hAnsi="Times New Roman" w:cs="Times New Roman"/>
                <w:sz w:val="24"/>
                <w:szCs w:val="24"/>
              </w:rPr>
            </w:pPr>
          </w:p>
        </w:tc>
      </w:tr>
      <w:tr w:rsidR="009F3129" w:rsidRPr="002D5606" w14:paraId="619ACCB5" w14:textId="77777777" w:rsidTr="004F01A3">
        <w:trPr>
          <w:trHeight w:val="56"/>
        </w:trPr>
        <w:tc>
          <w:tcPr>
            <w:tcW w:w="1959" w:type="pct"/>
          </w:tcPr>
          <w:p w14:paraId="2E02DB3F"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&lt;40</w:t>
            </w:r>
          </w:p>
        </w:tc>
        <w:tc>
          <w:tcPr>
            <w:tcW w:w="3041" w:type="pct"/>
          </w:tcPr>
          <w:p w14:paraId="3EA1D5FB"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46 (64.8)</w:t>
            </w:r>
          </w:p>
        </w:tc>
      </w:tr>
      <w:tr w:rsidR="009F3129" w:rsidRPr="002D5606" w14:paraId="19E6D51A" w14:textId="77777777" w:rsidTr="004F01A3">
        <w:trPr>
          <w:trHeight w:val="56"/>
        </w:trPr>
        <w:tc>
          <w:tcPr>
            <w:tcW w:w="1959" w:type="pct"/>
          </w:tcPr>
          <w:p w14:paraId="0AAC236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41–50</w:t>
            </w:r>
          </w:p>
        </w:tc>
        <w:tc>
          <w:tcPr>
            <w:tcW w:w="3041" w:type="pct"/>
          </w:tcPr>
          <w:p w14:paraId="08D62219"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14 (19.7)</w:t>
            </w:r>
          </w:p>
        </w:tc>
      </w:tr>
      <w:tr w:rsidR="009F3129" w:rsidRPr="002D5606" w14:paraId="6D57A982" w14:textId="77777777" w:rsidTr="004F01A3">
        <w:trPr>
          <w:trHeight w:val="56"/>
        </w:trPr>
        <w:tc>
          <w:tcPr>
            <w:tcW w:w="1959" w:type="pct"/>
          </w:tcPr>
          <w:p w14:paraId="478A0CE1"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51–60</w:t>
            </w:r>
          </w:p>
        </w:tc>
        <w:tc>
          <w:tcPr>
            <w:tcW w:w="3041" w:type="pct"/>
          </w:tcPr>
          <w:p w14:paraId="161CE3B1"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8 (11.3)</w:t>
            </w:r>
          </w:p>
        </w:tc>
      </w:tr>
      <w:tr w:rsidR="009F3129" w:rsidRPr="002D5606" w14:paraId="431CA3B0" w14:textId="77777777" w:rsidTr="004F01A3">
        <w:trPr>
          <w:trHeight w:val="56"/>
        </w:trPr>
        <w:tc>
          <w:tcPr>
            <w:tcW w:w="1959" w:type="pct"/>
          </w:tcPr>
          <w:p w14:paraId="570EC08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61–70</w:t>
            </w:r>
          </w:p>
        </w:tc>
        <w:tc>
          <w:tcPr>
            <w:tcW w:w="3041" w:type="pct"/>
          </w:tcPr>
          <w:p w14:paraId="6BFC24CC"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 (1.4)</w:t>
            </w:r>
          </w:p>
        </w:tc>
      </w:tr>
      <w:tr w:rsidR="009F3129" w:rsidRPr="002D5606" w14:paraId="682C0410" w14:textId="77777777" w:rsidTr="004F01A3">
        <w:trPr>
          <w:trHeight w:val="56"/>
        </w:trPr>
        <w:tc>
          <w:tcPr>
            <w:tcW w:w="1959" w:type="pct"/>
          </w:tcPr>
          <w:p w14:paraId="3CC08143"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&gt;70</w:t>
            </w:r>
          </w:p>
        </w:tc>
        <w:tc>
          <w:tcPr>
            <w:tcW w:w="3041" w:type="pct"/>
          </w:tcPr>
          <w:p w14:paraId="402BB783"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(2.8)</w:t>
            </w:r>
          </w:p>
        </w:tc>
      </w:tr>
      <w:tr w:rsidR="009F3129" w:rsidRPr="002D5606" w14:paraId="547A00BA" w14:textId="77777777" w:rsidTr="004F01A3">
        <w:trPr>
          <w:trHeight w:val="56"/>
        </w:trPr>
        <w:tc>
          <w:tcPr>
            <w:tcW w:w="1959" w:type="pct"/>
          </w:tcPr>
          <w:p w14:paraId="7BA4D418" w14:textId="77777777" w:rsidR="009F3129" w:rsidRPr="002D5606" w:rsidRDefault="00E54DC1" w:rsidP="00F45471">
            <w:pPr>
              <w:jc w:val="both"/>
              <w:rPr>
                <w:rFonts w:ascii="Times New Roman" w:hAnsi="Times New Roman" w:cs="Times New Roman"/>
                <w:sz w:val="24"/>
                <w:szCs w:val="24"/>
              </w:rPr>
            </w:pPr>
            <w:r w:rsidRPr="002D5606">
              <w:rPr>
                <w:rStyle w:val="Strong"/>
                <w:rFonts w:ascii="Times New Roman" w:eastAsia="SimSun" w:hAnsi="Times New Roman" w:cs="Times New Roman"/>
                <w:sz w:val="24"/>
                <w:szCs w:val="24"/>
                <w:lang w:bidi="ar"/>
              </w:rPr>
              <w:t>Gender</w:t>
            </w:r>
          </w:p>
        </w:tc>
        <w:tc>
          <w:tcPr>
            <w:tcW w:w="3041" w:type="pct"/>
          </w:tcPr>
          <w:p w14:paraId="7D698757" w14:textId="77777777" w:rsidR="009F3129" w:rsidRPr="002D5606" w:rsidRDefault="009F3129" w:rsidP="00F45471">
            <w:pPr>
              <w:jc w:val="both"/>
              <w:rPr>
                <w:rFonts w:ascii="Times New Roman" w:hAnsi="Times New Roman" w:cs="Times New Roman"/>
                <w:sz w:val="24"/>
                <w:szCs w:val="24"/>
              </w:rPr>
            </w:pPr>
          </w:p>
        </w:tc>
      </w:tr>
      <w:tr w:rsidR="009F3129" w:rsidRPr="002D5606" w14:paraId="31D0CF32" w14:textId="77777777" w:rsidTr="004F01A3">
        <w:trPr>
          <w:trHeight w:val="56"/>
        </w:trPr>
        <w:tc>
          <w:tcPr>
            <w:tcW w:w="1959" w:type="pct"/>
          </w:tcPr>
          <w:p w14:paraId="677ABD9A"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Male</w:t>
            </w:r>
          </w:p>
        </w:tc>
        <w:tc>
          <w:tcPr>
            <w:tcW w:w="3041" w:type="pct"/>
          </w:tcPr>
          <w:p w14:paraId="6AC8BB9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27 (38.0)</w:t>
            </w:r>
          </w:p>
        </w:tc>
      </w:tr>
      <w:tr w:rsidR="009F3129" w:rsidRPr="002D5606" w14:paraId="3D25C3DD" w14:textId="77777777" w:rsidTr="004F01A3">
        <w:trPr>
          <w:trHeight w:val="56"/>
        </w:trPr>
        <w:tc>
          <w:tcPr>
            <w:tcW w:w="1959" w:type="pct"/>
          </w:tcPr>
          <w:p w14:paraId="32A96E15"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Female</w:t>
            </w:r>
          </w:p>
        </w:tc>
        <w:tc>
          <w:tcPr>
            <w:tcW w:w="3041" w:type="pct"/>
          </w:tcPr>
          <w:p w14:paraId="28F0E8F5"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44 (62.0)</w:t>
            </w:r>
          </w:p>
        </w:tc>
      </w:tr>
    </w:tbl>
    <w:p w14:paraId="6CD7CC59" w14:textId="77777777" w:rsidR="009F3129" w:rsidRPr="002D5606" w:rsidRDefault="009F3129" w:rsidP="002D5606">
      <w:pPr>
        <w:jc w:val="both"/>
        <w:rPr>
          <w:rFonts w:ascii="Times New Roman" w:hAnsi="Times New Roman" w:cs="Times New Roman"/>
          <w:sz w:val="24"/>
          <w:szCs w:val="24"/>
        </w:rPr>
      </w:pPr>
    </w:p>
    <w:p w14:paraId="2DC77515" w14:textId="77777777" w:rsidR="009F3129" w:rsidRPr="002D5606" w:rsidRDefault="00E54DC1" w:rsidP="004F01A3">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Diagnostic Yield of Upper GI Endoscopy</w:t>
      </w:r>
    </w:p>
    <w:p w14:paraId="57E37F1E" w14:textId="77777777" w:rsidR="009F3129" w:rsidRPr="002D5606" w:rsidRDefault="00E54DC1" w:rsidP="004F01A3">
      <w:pPr>
        <w:pStyle w:val="NormalWeb"/>
        <w:spacing w:beforeAutospacing="0" w:afterAutospacing="0" w:line="360" w:lineRule="auto"/>
        <w:jc w:val="both"/>
        <w:rPr>
          <w:rFonts w:cs="Times New Roman"/>
        </w:rPr>
      </w:pPr>
      <w:r w:rsidRPr="002D5606">
        <w:rPr>
          <w:rFonts w:cs="Times New Roman"/>
        </w:rPr>
        <w:t>Preoperative UGI endoscopy revealed clinically significant mucosal pathology in 36 of 71 patients, corresponding to a diagnostic yield of 50.7%. Nearly half of the patients (49.3%) had a normal endoscopic examination. The detection of upper gastrointestinal lesions in more than one-half of patients highlights the substantial burden of concomitant mucosal disease in individuals presenting with symptomatic cholelithiasis. This finding underscores the potential for symptom overlap between biliary and non-biliary gastrointestinal pathology and supports the rationale for compre</w:t>
      </w:r>
      <w:r w:rsidR="004F01A3">
        <w:rPr>
          <w:rFonts w:cs="Times New Roman"/>
        </w:rPr>
        <w:t xml:space="preserve">hensive preoperative evaluation </w:t>
      </w:r>
      <w:r w:rsidR="004F01A3" w:rsidRPr="004F01A3">
        <w:rPr>
          <w:rFonts w:cs="Times New Roman"/>
          <w:b/>
          <w:bCs/>
        </w:rPr>
        <w:t>(Table 2).</w:t>
      </w:r>
    </w:p>
    <w:p w14:paraId="4D908F98" w14:textId="77777777" w:rsidR="009F3129" w:rsidRPr="002D5606" w:rsidRDefault="004F01A3" w:rsidP="002D5606">
      <w:pPr>
        <w:pStyle w:val="NormalWeb"/>
        <w:jc w:val="both"/>
        <w:rPr>
          <w:rFonts w:cs="Times New Roman"/>
        </w:rPr>
      </w:pPr>
      <w:r>
        <w:rPr>
          <w:rStyle w:val="Strong"/>
          <w:rFonts w:cs="Times New Roman"/>
        </w:rPr>
        <w:t>Table 2:</w:t>
      </w:r>
      <w:r w:rsidR="00E54DC1" w:rsidRPr="002D5606">
        <w:rPr>
          <w:rStyle w:val="Strong"/>
          <w:rFonts w:cs="Times New Roman"/>
        </w:rPr>
        <w:t xml:space="preserve"> Overall endoscopic findings (n=71)</w:t>
      </w:r>
    </w:p>
    <w:tbl>
      <w:tblPr>
        <w:tblStyle w:val="TableGrid"/>
        <w:tblW w:w="5000" w:type="pct"/>
        <w:tblLook w:val="04A0" w:firstRow="1" w:lastRow="0" w:firstColumn="1" w:lastColumn="0" w:noHBand="0" w:noVBand="1"/>
      </w:tblPr>
      <w:tblGrid>
        <w:gridCol w:w="3767"/>
        <w:gridCol w:w="5249"/>
      </w:tblGrid>
      <w:tr w:rsidR="009F3129" w:rsidRPr="002D5606" w14:paraId="7D715405" w14:textId="77777777" w:rsidTr="004F01A3">
        <w:trPr>
          <w:trHeight w:val="56"/>
        </w:trPr>
        <w:tc>
          <w:tcPr>
            <w:tcW w:w="2089" w:type="pct"/>
          </w:tcPr>
          <w:p w14:paraId="3DE19110" w14:textId="77777777" w:rsidR="009F3129" w:rsidRPr="002D5606" w:rsidRDefault="00E54DC1" w:rsidP="004F01A3">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Finding</w:t>
            </w:r>
          </w:p>
        </w:tc>
        <w:tc>
          <w:tcPr>
            <w:tcW w:w="2911" w:type="pct"/>
          </w:tcPr>
          <w:p w14:paraId="1186DA4C" w14:textId="77777777" w:rsidR="009F3129" w:rsidRPr="002D5606" w:rsidRDefault="00E54DC1" w:rsidP="004F01A3">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712496B5" w14:textId="77777777" w:rsidTr="004F01A3">
        <w:trPr>
          <w:trHeight w:val="56"/>
        </w:trPr>
        <w:tc>
          <w:tcPr>
            <w:tcW w:w="2089" w:type="pct"/>
          </w:tcPr>
          <w:p w14:paraId="7FB14FC7"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Normal study</w:t>
            </w:r>
          </w:p>
        </w:tc>
        <w:tc>
          <w:tcPr>
            <w:tcW w:w="2911" w:type="pct"/>
          </w:tcPr>
          <w:p w14:paraId="504E912F"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35 (49.3)</w:t>
            </w:r>
          </w:p>
        </w:tc>
      </w:tr>
      <w:tr w:rsidR="009F3129" w:rsidRPr="002D5606" w14:paraId="2CDAB1E4" w14:textId="77777777" w:rsidTr="004F01A3">
        <w:trPr>
          <w:trHeight w:val="56"/>
        </w:trPr>
        <w:tc>
          <w:tcPr>
            <w:tcW w:w="2089" w:type="pct"/>
          </w:tcPr>
          <w:p w14:paraId="23B68768"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Significant lesion</w:t>
            </w:r>
          </w:p>
        </w:tc>
        <w:tc>
          <w:tcPr>
            <w:tcW w:w="2911" w:type="pct"/>
          </w:tcPr>
          <w:p w14:paraId="2C7558C1"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36 (50.7)</w:t>
            </w:r>
          </w:p>
        </w:tc>
      </w:tr>
    </w:tbl>
    <w:p w14:paraId="5CE74022" w14:textId="77777777" w:rsidR="009F3129" w:rsidRPr="002D5606" w:rsidRDefault="009F3129" w:rsidP="002D5606">
      <w:pPr>
        <w:jc w:val="both"/>
        <w:rPr>
          <w:rFonts w:ascii="Times New Roman" w:hAnsi="Times New Roman" w:cs="Times New Roman"/>
          <w:sz w:val="24"/>
          <w:szCs w:val="24"/>
        </w:rPr>
      </w:pPr>
    </w:p>
    <w:p w14:paraId="2E943D0E" w14:textId="77777777" w:rsidR="009F3129" w:rsidRPr="002D5606" w:rsidRDefault="00E54DC1" w:rsidP="004F01A3">
      <w:pPr>
        <w:pStyle w:val="Heading3"/>
        <w:jc w:val="center"/>
        <w:rPr>
          <w:rFonts w:ascii="Times New Roman" w:hAnsi="Times New Roman" w:cs="Times New Roman" w:hint="default"/>
          <w:sz w:val="24"/>
          <w:szCs w:val="24"/>
        </w:rPr>
      </w:pPr>
      <w:r w:rsidRPr="002D5606">
        <w:rPr>
          <w:rFonts w:ascii="Times New Roman" w:hAnsi="Times New Roman" w:cs="Times New Roman" w:hint="default"/>
          <w:noProof/>
          <w:sz w:val="24"/>
          <w:szCs w:val="24"/>
          <w:lang w:eastAsia="en-US"/>
        </w:rPr>
        <w:lastRenderedPageBreak/>
        <w:drawing>
          <wp:inline distT="0" distB="0" distL="114300" distR="114300" wp14:anchorId="55C57223" wp14:editId="12B88C26">
            <wp:extent cx="3242310" cy="2553335"/>
            <wp:effectExtent l="0" t="0" r="15240" b="18415"/>
            <wp:docPr id="1" name="Picture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utput"/>
                    <pic:cNvPicPr>
                      <a:picLocks noChangeAspect="1"/>
                    </pic:cNvPicPr>
                  </pic:nvPicPr>
                  <pic:blipFill>
                    <a:blip r:embed="rId9"/>
                    <a:stretch>
                      <a:fillRect/>
                    </a:stretch>
                  </pic:blipFill>
                  <pic:spPr>
                    <a:xfrm>
                      <a:off x="0" y="0"/>
                      <a:ext cx="3242310" cy="2553335"/>
                    </a:xfrm>
                    <a:prstGeom prst="rect">
                      <a:avLst/>
                    </a:prstGeom>
                  </pic:spPr>
                </pic:pic>
              </a:graphicData>
            </a:graphic>
          </wp:inline>
        </w:drawing>
      </w:r>
    </w:p>
    <w:p w14:paraId="07F720B9" w14:textId="77777777" w:rsidR="009F3129" w:rsidRPr="002D5606" w:rsidRDefault="004F01A3" w:rsidP="004F01A3">
      <w:pPr>
        <w:pStyle w:val="Heading3"/>
        <w:jc w:val="center"/>
        <w:rPr>
          <w:rFonts w:ascii="Times New Roman" w:hAnsi="Times New Roman" w:cs="Times New Roman" w:hint="default"/>
          <w:sz w:val="24"/>
          <w:szCs w:val="24"/>
        </w:rPr>
      </w:pPr>
      <w:r>
        <w:rPr>
          <w:rFonts w:ascii="Times New Roman" w:hAnsi="Times New Roman" w:cs="Times New Roman" w:hint="default"/>
          <w:sz w:val="24"/>
          <w:szCs w:val="24"/>
        </w:rPr>
        <w:t>Figure 2:</w:t>
      </w:r>
      <w:r w:rsidR="00E54DC1" w:rsidRPr="002D5606">
        <w:rPr>
          <w:rFonts w:ascii="Times New Roman" w:hAnsi="Times New Roman" w:cs="Times New Roman" w:hint="default"/>
          <w:sz w:val="24"/>
          <w:szCs w:val="24"/>
        </w:rPr>
        <w:t xml:space="preserve"> Diagnostic Yield of </w:t>
      </w:r>
      <w:r>
        <w:rPr>
          <w:rFonts w:ascii="Times New Roman" w:hAnsi="Times New Roman" w:cs="Times New Roman" w:hint="default"/>
          <w:sz w:val="24"/>
          <w:szCs w:val="24"/>
        </w:rPr>
        <w:t>Preoperative Upper GI Endoscopy</w:t>
      </w:r>
    </w:p>
    <w:p w14:paraId="2EAF1C7E" w14:textId="77777777" w:rsidR="009F3129" w:rsidRPr="002D5606" w:rsidRDefault="00E54DC1" w:rsidP="00CC337E">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Spectrum and Pattern of Endoscopic Lesions</w:t>
      </w:r>
    </w:p>
    <w:p w14:paraId="0EE4EBF6" w14:textId="77777777" w:rsidR="009F3129" w:rsidRPr="002D5606" w:rsidRDefault="00E54DC1" w:rsidP="00CC337E">
      <w:pPr>
        <w:pStyle w:val="NormalWeb"/>
        <w:spacing w:beforeAutospacing="0" w:afterAutospacing="0" w:line="360" w:lineRule="auto"/>
        <w:jc w:val="both"/>
        <w:rPr>
          <w:rFonts w:cs="Times New Roman"/>
        </w:rPr>
      </w:pPr>
      <w:r w:rsidRPr="002D5606">
        <w:rPr>
          <w:rFonts w:cs="Times New Roman"/>
        </w:rPr>
        <w:t>Among the 36 patients with abnormal findings, inflammatory gastric pathology predominated. Gastritis was the most frequent lesion, observed in 33.3% of cases, followed by antral gastritis (22.2%). Reflux esophagitis accounted for 13.9% of significant lesions. When considered collectively, inflammatory and reflux-related conditions represented the majority of abnormalities detected. Less frequent findings included esophageal varices, pyloric gastritis, and combined mucosal lesions.</w:t>
      </w:r>
    </w:p>
    <w:p w14:paraId="7F3CFC34" w14:textId="77777777" w:rsidR="009F3129" w:rsidRPr="002D5606" w:rsidRDefault="00E54DC1" w:rsidP="00CC337E">
      <w:pPr>
        <w:pStyle w:val="NormalWeb"/>
        <w:spacing w:beforeAutospacing="0" w:afterAutospacing="0" w:line="360" w:lineRule="auto"/>
        <w:jc w:val="both"/>
        <w:rPr>
          <w:rFonts w:cs="Times New Roman"/>
        </w:rPr>
      </w:pPr>
      <w:r w:rsidRPr="002D5606">
        <w:rPr>
          <w:rFonts w:cs="Times New Roman"/>
        </w:rPr>
        <w:t>The predominance of gastritis and antral gastritis suggests that acid-peptic disease is a major contributor to upper abdominal symptomatology in this population. Importantly, several lesions identified on endoscopy have established medical therapies, which may influence symptom resolution independently of cholecystectomy.</w:t>
      </w:r>
    </w:p>
    <w:p w14:paraId="61A44DCD" w14:textId="77777777" w:rsidR="009F3129" w:rsidRPr="002D5606" w:rsidRDefault="00CC337E" w:rsidP="002D5606">
      <w:pPr>
        <w:pStyle w:val="NormalWeb"/>
        <w:jc w:val="both"/>
        <w:rPr>
          <w:rFonts w:cs="Times New Roman"/>
        </w:rPr>
      </w:pPr>
      <w:r>
        <w:rPr>
          <w:rStyle w:val="Strong"/>
          <w:rFonts w:cs="Times New Roman"/>
        </w:rPr>
        <w:t>Table 3:</w:t>
      </w:r>
      <w:r w:rsidR="00E54DC1" w:rsidRPr="002D5606">
        <w:rPr>
          <w:rStyle w:val="Strong"/>
          <w:rFonts w:cs="Times New Roman"/>
        </w:rPr>
        <w:t xml:space="preserve"> Distribution of significant endoscopic lesions (n=36)</w:t>
      </w:r>
    </w:p>
    <w:tbl>
      <w:tblPr>
        <w:tblStyle w:val="TableGrid"/>
        <w:tblW w:w="5000" w:type="pct"/>
        <w:tblLook w:val="04A0" w:firstRow="1" w:lastRow="0" w:firstColumn="1" w:lastColumn="0" w:noHBand="0" w:noVBand="1"/>
      </w:tblPr>
      <w:tblGrid>
        <w:gridCol w:w="4542"/>
        <w:gridCol w:w="4474"/>
      </w:tblGrid>
      <w:tr w:rsidR="009F3129" w:rsidRPr="002D5606" w14:paraId="60853FF7" w14:textId="77777777" w:rsidTr="00CC337E">
        <w:trPr>
          <w:trHeight w:val="56"/>
        </w:trPr>
        <w:tc>
          <w:tcPr>
            <w:tcW w:w="2519" w:type="pct"/>
          </w:tcPr>
          <w:p w14:paraId="77499580" w14:textId="77777777" w:rsidR="009F3129" w:rsidRPr="002D5606" w:rsidRDefault="00E54DC1" w:rsidP="00CC337E">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Lesion</w:t>
            </w:r>
          </w:p>
        </w:tc>
        <w:tc>
          <w:tcPr>
            <w:tcW w:w="2481" w:type="pct"/>
          </w:tcPr>
          <w:p w14:paraId="5CF93C25" w14:textId="77777777" w:rsidR="009F3129" w:rsidRPr="002D5606" w:rsidRDefault="00E54DC1" w:rsidP="00CC337E">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4C0CD9D3" w14:textId="77777777" w:rsidTr="00CC337E">
        <w:trPr>
          <w:trHeight w:val="56"/>
        </w:trPr>
        <w:tc>
          <w:tcPr>
            <w:tcW w:w="2519" w:type="pct"/>
          </w:tcPr>
          <w:p w14:paraId="72F3CF7A"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Gastritis</w:t>
            </w:r>
          </w:p>
        </w:tc>
        <w:tc>
          <w:tcPr>
            <w:tcW w:w="2481" w:type="pct"/>
          </w:tcPr>
          <w:p w14:paraId="0E6B78FA"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12 (33.3)</w:t>
            </w:r>
          </w:p>
        </w:tc>
      </w:tr>
      <w:tr w:rsidR="009F3129" w:rsidRPr="002D5606" w14:paraId="0A76C6C2" w14:textId="77777777" w:rsidTr="00CC337E">
        <w:trPr>
          <w:trHeight w:val="56"/>
        </w:trPr>
        <w:tc>
          <w:tcPr>
            <w:tcW w:w="2519" w:type="pct"/>
          </w:tcPr>
          <w:p w14:paraId="240D46AD"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Antral gastritis</w:t>
            </w:r>
          </w:p>
        </w:tc>
        <w:tc>
          <w:tcPr>
            <w:tcW w:w="2481" w:type="pct"/>
          </w:tcPr>
          <w:p w14:paraId="2C5D1837"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8 (22.2)</w:t>
            </w:r>
          </w:p>
        </w:tc>
      </w:tr>
      <w:tr w:rsidR="009F3129" w:rsidRPr="002D5606" w14:paraId="6FDF722A" w14:textId="77777777" w:rsidTr="00CC337E">
        <w:trPr>
          <w:trHeight w:val="56"/>
        </w:trPr>
        <w:tc>
          <w:tcPr>
            <w:tcW w:w="2519" w:type="pct"/>
          </w:tcPr>
          <w:p w14:paraId="09B3AC9D"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Reflux esophagitis</w:t>
            </w:r>
          </w:p>
        </w:tc>
        <w:tc>
          <w:tcPr>
            <w:tcW w:w="2481" w:type="pct"/>
          </w:tcPr>
          <w:p w14:paraId="4CF1B5F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(13.9)</w:t>
            </w:r>
          </w:p>
        </w:tc>
      </w:tr>
      <w:tr w:rsidR="009F3129" w:rsidRPr="002D5606" w14:paraId="5D98E0CE" w14:textId="77777777" w:rsidTr="00CC337E">
        <w:trPr>
          <w:trHeight w:val="56"/>
        </w:trPr>
        <w:tc>
          <w:tcPr>
            <w:tcW w:w="2519" w:type="pct"/>
          </w:tcPr>
          <w:p w14:paraId="6A2BAB7E"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Esophageal varices</w:t>
            </w:r>
          </w:p>
        </w:tc>
        <w:tc>
          <w:tcPr>
            <w:tcW w:w="2481" w:type="pct"/>
          </w:tcPr>
          <w:p w14:paraId="285EF2E4"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7D6A876D" w14:textId="77777777" w:rsidTr="00CC337E">
        <w:trPr>
          <w:trHeight w:val="56"/>
        </w:trPr>
        <w:tc>
          <w:tcPr>
            <w:tcW w:w="2519" w:type="pct"/>
          </w:tcPr>
          <w:p w14:paraId="4CF51FB8"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Esophagitis</w:t>
            </w:r>
          </w:p>
        </w:tc>
        <w:tc>
          <w:tcPr>
            <w:tcW w:w="2481" w:type="pct"/>
          </w:tcPr>
          <w:p w14:paraId="72CEAA5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50CEB435" w14:textId="77777777" w:rsidTr="00CC337E">
        <w:trPr>
          <w:trHeight w:val="56"/>
        </w:trPr>
        <w:tc>
          <w:tcPr>
            <w:tcW w:w="2519" w:type="pct"/>
          </w:tcPr>
          <w:p w14:paraId="7ADA521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Pyloric gastritis</w:t>
            </w:r>
          </w:p>
        </w:tc>
        <w:tc>
          <w:tcPr>
            <w:tcW w:w="2481" w:type="pct"/>
          </w:tcPr>
          <w:p w14:paraId="248D0392"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6C960CB2" w14:textId="77777777" w:rsidTr="00CC337E">
        <w:trPr>
          <w:trHeight w:val="56"/>
        </w:trPr>
        <w:tc>
          <w:tcPr>
            <w:tcW w:w="2519" w:type="pct"/>
          </w:tcPr>
          <w:p w14:paraId="24E429A0"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Other combined lesions</w:t>
            </w:r>
          </w:p>
        </w:tc>
        <w:tc>
          <w:tcPr>
            <w:tcW w:w="2481" w:type="pct"/>
          </w:tcPr>
          <w:p w14:paraId="601DA6D4"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(13.9)</w:t>
            </w:r>
          </w:p>
        </w:tc>
      </w:tr>
    </w:tbl>
    <w:p w14:paraId="53720844" w14:textId="77777777" w:rsidR="009F3129" w:rsidRPr="002D5606" w:rsidRDefault="009F3129" w:rsidP="002D5606">
      <w:pPr>
        <w:jc w:val="both"/>
        <w:rPr>
          <w:rFonts w:ascii="Times New Roman" w:hAnsi="Times New Roman" w:cs="Times New Roman"/>
          <w:sz w:val="24"/>
          <w:szCs w:val="24"/>
        </w:rPr>
      </w:pPr>
    </w:p>
    <w:p w14:paraId="58B3FF6E" w14:textId="77777777" w:rsidR="009F3129" w:rsidRPr="002D5606" w:rsidRDefault="00E54DC1" w:rsidP="00CC337E">
      <w:pPr>
        <w:ind w:leftChars="-100" w:left="-200"/>
        <w:jc w:val="center"/>
        <w:rPr>
          <w:rFonts w:ascii="Times New Roman" w:hAnsi="Times New Roman" w:cs="Times New Roman"/>
          <w:sz w:val="24"/>
          <w:szCs w:val="24"/>
        </w:rPr>
      </w:pPr>
      <w:r w:rsidRPr="002D5606">
        <w:rPr>
          <w:rFonts w:ascii="Times New Roman" w:hAnsi="Times New Roman" w:cs="Times New Roman"/>
          <w:noProof/>
          <w:sz w:val="24"/>
          <w:szCs w:val="24"/>
          <w:lang w:eastAsia="en-US" w:bidi="mr-IN"/>
        </w:rPr>
        <w:lastRenderedPageBreak/>
        <w:drawing>
          <wp:inline distT="0" distB="0" distL="114300" distR="114300" wp14:anchorId="4CE542B4" wp14:editId="123CD660">
            <wp:extent cx="4079875" cy="3024505"/>
            <wp:effectExtent l="0" t="0" r="15875" b="4445"/>
            <wp:docPr id="2" name="Picture 2" descr="outp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utput (1)"/>
                    <pic:cNvPicPr>
                      <a:picLocks noChangeAspect="1"/>
                    </pic:cNvPicPr>
                  </pic:nvPicPr>
                  <pic:blipFill>
                    <a:blip r:embed="rId10"/>
                    <a:stretch>
                      <a:fillRect/>
                    </a:stretch>
                  </pic:blipFill>
                  <pic:spPr>
                    <a:xfrm>
                      <a:off x="0" y="0"/>
                      <a:ext cx="4079875" cy="3024505"/>
                    </a:xfrm>
                    <a:prstGeom prst="rect">
                      <a:avLst/>
                    </a:prstGeom>
                  </pic:spPr>
                </pic:pic>
              </a:graphicData>
            </a:graphic>
          </wp:inline>
        </w:drawing>
      </w:r>
    </w:p>
    <w:p w14:paraId="0C5AF9ED" w14:textId="77777777" w:rsidR="009F3129" w:rsidRPr="002D5606" w:rsidRDefault="00CC337E" w:rsidP="00CC337E">
      <w:pPr>
        <w:ind w:leftChars="-100" w:left="-200"/>
        <w:jc w:val="center"/>
        <w:rPr>
          <w:rFonts w:ascii="Times New Roman" w:hAnsi="Times New Roman" w:cs="Times New Roman"/>
          <w:b/>
          <w:bCs/>
          <w:sz w:val="24"/>
          <w:szCs w:val="24"/>
        </w:rPr>
      </w:pPr>
      <w:r>
        <w:rPr>
          <w:rFonts w:ascii="Times New Roman" w:hAnsi="Times New Roman" w:cs="Times New Roman"/>
          <w:b/>
          <w:bCs/>
          <w:sz w:val="24"/>
          <w:szCs w:val="24"/>
        </w:rPr>
        <w:t xml:space="preserve">Figure 3: </w:t>
      </w:r>
      <w:r w:rsidR="00E54DC1" w:rsidRPr="002D5606">
        <w:rPr>
          <w:rFonts w:ascii="Times New Roman" w:eastAsia="SimSun" w:hAnsi="Times New Roman" w:cs="Times New Roman"/>
          <w:b/>
          <w:bCs/>
          <w:sz w:val="24"/>
          <w:szCs w:val="24"/>
        </w:rPr>
        <w:t>Distribution of Significant Endoscopic Lesions</w:t>
      </w:r>
    </w:p>
    <w:p w14:paraId="1932C035" w14:textId="77777777" w:rsidR="009F3129" w:rsidRPr="002D5606" w:rsidRDefault="00E54DC1" w:rsidP="002D5606">
      <w:pPr>
        <w:pStyle w:val="Heading3"/>
        <w:jc w:val="both"/>
        <w:rPr>
          <w:rFonts w:ascii="Times New Roman" w:hAnsi="Times New Roman" w:cs="Times New Roman" w:hint="default"/>
          <w:sz w:val="24"/>
          <w:szCs w:val="24"/>
        </w:rPr>
      </w:pPr>
      <w:r w:rsidRPr="002D5606">
        <w:rPr>
          <w:rFonts w:ascii="Times New Roman" w:hAnsi="Times New Roman" w:cs="Times New Roman" w:hint="default"/>
          <w:sz w:val="24"/>
          <w:szCs w:val="24"/>
        </w:rPr>
        <w:t>Gender-Based Differences</w:t>
      </w:r>
    </w:p>
    <w:p w14:paraId="4B047331" w14:textId="77777777" w:rsidR="009F3129" w:rsidRPr="002D5606" w:rsidRDefault="00E54DC1" w:rsidP="002D5606">
      <w:pPr>
        <w:pStyle w:val="NormalWeb"/>
        <w:jc w:val="both"/>
        <w:rPr>
          <w:rFonts w:cs="Times New Roman"/>
        </w:rPr>
      </w:pPr>
      <w:r w:rsidRPr="002D5606">
        <w:rPr>
          <w:rFonts w:cs="Times New Roman"/>
        </w:rPr>
        <w:t>Of the 36 patients with significant endoscopic findings, 22 were females and 14 were males. Although females had a higher absolute number of lesions, this corresponded to their greater representation in the study population. Gastritis and antral gastritis were the most common lesions in both sexes. Reflux esophagitis was proportionally more frequent in males (21.4%) compared to females (9.1%), whereas esophageal varices were observed only in female patients.</w:t>
      </w:r>
    </w:p>
    <w:p w14:paraId="04C3F2A6" w14:textId="77777777" w:rsidR="009F3129" w:rsidRPr="002D5606" w:rsidRDefault="00E54DC1" w:rsidP="002D5606">
      <w:pPr>
        <w:pStyle w:val="NormalWeb"/>
        <w:jc w:val="both"/>
        <w:rPr>
          <w:rFonts w:cs="Times New Roman"/>
        </w:rPr>
      </w:pPr>
      <w:r w:rsidRPr="002D5606">
        <w:rPr>
          <w:rFonts w:cs="Times New Roman"/>
        </w:rPr>
        <w:t>These findings suggest that while the overall burden of upper GI pathology parallels the gender distribution of gallstone disease, certain lesion patterns may vary between sexes.</w:t>
      </w:r>
    </w:p>
    <w:p w14:paraId="6C408798" w14:textId="77777777" w:rsidR="009F3129" w:rsidRPr="002D5606" w:rsidRDefault="005328B5" w:rsidP="002D5606">
      <w:pPr>
        <w:pStyle w:val="NormalWeb"/>
        <w:jc w:val="both"/>
        <w:rPr>
          <w:rFonts w:cs="Times New Roman"/>
        </w:rPr>
      </w:pPr>
      <w:r>
        <w:rPr>
          <w:rStyle w:val="Strong"/>
          <w:rFonts w:cs="Times New Roman"/>
        </w:rPr>
        <w:t xml:space="preserve">Table 4:  </w:t>
      </w:r>
      <w:r w:rsidR="00E54DC1" w:rsidRPr="002D5606">
        <w:rPr>
          <w:rStyle w:val="Strong"/>
          <w:rFonts w:cs="Times New Roman"/>
        </w:rPr>
        <w:t>Gender-wise distribution of significant lesions</w:t>
      </w:r>
    </w:p>
    <w:tbl>
      <w:tblPr>
        <w:tblStyle w:val="TableGrid"/>
        <w:tblW w:w="5000" w:type="pct"/>
        <w:tblLook w:val="04A0" w:firstRow="1" w:lastRow="0" w:firstColumn="1" w:lastColumn="0" w:noHBand="0" w:noVBand="1"/>
      </w:tblPr>
      <w:tblGrid>
        <w:gridCol w:w="2732"/>
        <w:gridCol w:w="2970"/>
        <w:gridCol w:w="3314"/>
      </w:tblGrid>
      <w:tr w:rsidR="009F3129" w:rsidRPr="002D5606" w14:paraId="232B2D37" w14:textId="77777777" w:rsidTr="005328B5">
        <w:trPr>
          <w:trHeight w:val="56"/>
        </w:trPr>
        <w:tc>
          <w:tcPr>
            <w:tcW w:w="1515" w:type="pct"/>
          </w:tcPr>
          <w:p w14:paraId="029EC264"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Lesion</w:t>
            </w:r>
          </w:p>
        </w:tc>
        <w:tc>
          <w:tcPr>
            <w:tcW w:w="1647" w:type="pct"/>
          </w:tcPr>
          <w:p w14:paraId="1F9426A9"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Male (n=14) n (%)</w:t>
            </w:r>
          </w:p>
        </w:tc>
        <w:tc>
          <w:tcPr>
            <w:tcW w:w="1838" w:type="pct"/>
          </w:tcPr>
          <w:p w14:paraId="119BDAF2"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Female (n=22) n (%)</w:t>
            </w:r>
          </w:p>
        </w:tc>
      </w:tr>
      <w:tr w:rsidR="009F3129" w:rsidRPr="002D5606" w14:paraId="44C33D28" w14:textId="77777777" w:rsidTr="005328B5">
        <w:trPr>
          <w:trHeight w:val="56"/>
        </w:trPr>
        <w:tc>
          <w:tcPr>
            <w:tcW w:w="1515" w:type="pct"/>
          </w:tcPr>
          <w:p w14:paraId="4A724C67"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Gastritis</w:t>
            </w:r>
          </w:p>
        </w:tc>
        <w:tc>
          <w:tcPr>
            <w:tcW w:w="1647" w:type="pct"/>
          </w:tcPr>
          <w:p w14:paraId="1DE9F8D1"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(35.7)</w:t>
            </w:r>
          </w:p>
        </w:tc>
        <w:tc>
          <w:tcPr>
            <w:tcW w:w="1838" w:type="pct"/>
          </w:tcPr>
          <w:p w14:paraId="33FB24E5"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7 (31.8)</w:t>
            </w:r>
          </w:p>
        </w:tc>
      </w:tr>
      <w:tr w:rsidR="009F3129" w:rsidRPr="002D5606" w14:paraId="5161F401" w14:textId="77777777" w:rsidTr="005328B5">
        <w:trPr>
          <w:trHeight w:val="56"/>
        </w:trPr>
        <w:tc>
          <w:tcPr>
            <w:tcW w:w="1515" w:type="pct"/>
          </w:tcPr>
          <w:p w14:paraId="110E0AD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Antral gastritis</w:t>
            </w:r>
          </w:p>
        </w:tc>
        <w:tc>
          <w:tcPr>
            <w:tcW w:w="1647" w:type="pct"/>
          </w:tcPr>
          <w:p w14:paraId="62C19AE3"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385FE1B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(22.7)</w:t>
            </w:r>
          </w:p>
        </w:tc>
      </w:tr>
      <w:tr w:rsidR="009F3129" w:rsidRPr="002D5606" w14:paraId="6AB9B782" w14:textId="77777777" w:rsidTr="005328B5">
        <w:trPr>
          <w:trHeight w:val="56"/>
        </w:trPr>
        <w:tc>
          <w:tcPr>
            <w:tcW w:w="1515" w:type="pct"/>
          </w:tcPr>
          <w:p w14:paraId="35DAA6C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Reflux esophagitis</w:t>
            </w:r>
          </w:p>
        </w:tc>
        <w:tc>
          <w:tcPr>
            <w:tcW w:w="1647" w:type="pct"/>
          </w:tcPr>
          <w:p w14:paraId="203BEC2B"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35DFEDFC"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(9.1)</w:t>
            </w:r>
          </w:p>
        </w:tc>
      </w:tr>
      <w:tr w:rsidR="009F3129" w:rsidRPr="002D5606" w14:paraId="23A0A90F" w14:textId="77777777" w:rsidTr="005328B5">
        <w:trPr>
          <w:trHeight w:val="56"/>
        </w:trPr>
        <w:tc>
          <w:tcPr>
            <w:tcW w:w="1515" w:type="pct"/>
          </w:tcPr>
          <w:p w14:paraId="71C1E3B2"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Esophageal varices</w:t>
            </w:r>
          </w:p>
        </w:tc>
        <w:tc>
          <w:tcPr>
            <w:tcW w:w="1647" w:type="pct"/>
          </w:tcPr>
          <w:p w14:paraId="36490BF7"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0</w:t>
            </w:r>
          </w:p>
        </w:tc>
        <w:tc>
          <w:tcPr>
            <w:tcW w:w="1838" w:type="pct"/>
          </w:tcPr>
          <w:p w14:paraId="2B5CD694"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(9.1)</w:t>
            </w:r>
          </w:p>
        </w:tc>
      </w:tr>
      <w:tr w:rsidR="009F3129" w:rsidRPr="002D5606" w14:paraId="119677A8" w14:textId="77777777" w:rsidTr="005328B5">
        <w:trPr>
          <w:trHeight w:val="56"/>
        </w:trPr>
        <w:tc>
          <w:tcPr>
            <w:tcW w:w="1515" w:type="pct"/>
          </w:tcPr>
          <w:p w14:paraId="65826E4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Other lesions</w:t>
            </w:r>
          </w:p>
        </w:tc>
        <w:tc>
          <w:tcPr>
            <w:tcW w:w="1647" w:type="pct"/>
          </w:tcPr>
          <w:p w14:paraId="57CC8A3B"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5CDFD25F"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 (27.3)</w:t>
            </w:r>
          </w:p>
        </w:tc>
      </w:tr>
    </w:tbl>
    <w:p w14:paraId="54792625" w14:textId="77777777" w:rsidR="009F3129" w:rsidRPr="002D5606" w:rsidRDefault="009F3129" w:rsidP="002D5606">
      <w:pPr>
        <w:jc w:val="both"/>
        <w:rPr>
          <w:rFonts w:ascii="Times New Roman" w:hAnsi="Times New Roman" w:cs="Times New Roman"/>
          <w:sz w:val="24"/>
          <w:szCs w:val="24"/>
        </w:rPr>
      </w:pPr>
    </w:p>
    <w:p w14:paraId="46B94989" w14:textId="77777777" w:rsidR="009F3129" w:rsidRPr="002D5606" w:rsidRDefault="00E54DC1" w:rsidP="007A5611">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Age Distribution of Significant Lesions</w:t>
      </w:r>
    </w:p>
    <w:p w14:paraId="4D46DC6B" w14:textId="77777777" w:rsidR="009F3129" w:rsidRPr="002D5606" w:rsidRDefault="00E54DC1" w:rsidP="007A5611">
      <w:pPr>
        <w:pStyle w:val="NormalWeb"/>
        <w:spacing w:beforeAutospacing="0" w:afterAutospacing="0" w:line="360" w:lineRule="auto"/>
        <w:jc w:val="both"/>
        <w:rPr>
          <w:rFonts w:cs="Times New Roman"/>
        </w:rPr>
      </w:pPr>
      <w:r w:rsidRPr="002D5606">
        <w:rPr>
          <w:rFonts w:cs="Times New Roman"/>
        </w:rPr>
        <w:t>More than half (55.6%) of all significant endoscopic abnormalities were identified in patients younger than 40 years. Patients aged 41–60 years accounted for 36.1% of lesions, while those older than 60 years represented a smaller proportion. The high prevalence of upper GI pathology among younger individuals is noteworthy, particularly given the assumption that acid-peptic disorders are more common in older age groups.</w:t>
      </w:r>
    </w:p>
    <w:p w14:paraId="3282D1EF" w14:textId="77777777" w:rsidR="009F3129" w:rsidRPr="002D5606" w:rsidRDefault="00E54DC1" w:rsidP="007A5611">
      <w:pPr>
        <w:pStyle w:val="NormalWeb"/>
        <w:spacing w:beforeAutospacing="0" w:afterAutospacing="0" w:line="360" w:lineRule="auto"/>
        <w:jc w:val="both"/>
        <w:rPr>
          <w:rFonts w:cs="Times New Roman"/>
        </w:rPr>
      </w:pPr>
      <w:r w:rsidRPr="002D5606">
        <w:rPr>
          <w:rFonts w:cs="Times New Roman"/>
        </w:rPr>
        <w:lastRenderedPageBreak/>
        <w:t>This age-related distribution reinforces the importance of not overlooking coexisting upper gastrointestinal disease in younger patients presenting with biliary symptoms.</w:t>
      </w:r>
    </w:p>
    <w:p w14:paraId="5FBC883A" w14:textId="77777777" w:rsidR="009F3129" w:rsidRPr="002D5606" w:rsidRDefault="005328B5" w:rsidP="002D5606">
      <w:pPr>
        <w:pStyle w:val="NormalWeb"/>
        <w:jc w:val="both"/>
        <w:rPr>
          <w:rFonts w:cs="Times New Roman"/>
        </w:rPr>
      </w:pPr>
      <w:r>
        <w:rPr>
          <w:rStyle w:val="Strong"/>
          <w:rFonts w:cs="Times New Roman"/>
        </w:rPr>
        <w:t>Table 5:</w:t>
      </w:r>
      <w:r w:rsidR="00E54DC1" w:rsidRPr="002D5606">
        <w:rPr>
          <w:rStyle w:val="Strong"/>
          <w:rFonts w:cs="Times New Roman"/>
        </w:rPr>
        <w:t xml:space="preserve"> Age-wise distribution of significant lesions (n=36)</w:t>
      </w:r>
    </w:p>
    <w:tbl>
      <w:tblPr>
        <w:tblStyle w:val="TableGrid"/>
        <w:tblW w:w="5000" w:type="pct"/>
        <w:tblLook w:val="04A0" w:firstRow="1" w:lastRow="0" w:firstColumn="1" w:lastColumn="0" w:noHBand="0" w:noVBand="1"/>
      </w:tblPr>
      <w:tblGrid>
        <w:gridCol w:w="4943"/>
        <w:gridCol w:w="4073"/>
      </w:tblGrid>
      <w:tr w:rsidR="009F3129" w:rsidRPr="002D5606" w14:paraId="5D0E7826" w14:textId="77777777" w:rsidTr="005328B5">
        <w:trPr>
          <w:trHeight w:val="56"/>
        </w:trPr>
        <w:tc>
          <w:tcPr>
            <w:tcW w:w="2741" w:type="pct"/>
          </w:tcPr>
          <w:p w14:paraId="5EC30112"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Age group (years)</w:t>
            </w:r>
          </w:p>
        </w:tc>
        <w:tc>
          <w:tcPr>
            <w:tcW w:w="2259" w:type="pct"/>
          </w:tcPr>
          <w:p w14:paraId="7A0CEDDF"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55A42BCF" w14:textId="77777777" w:rsidTr="005328B5">
        <w:trPr>
          <w:trHeight w:val="56"/>
        </w:trPr>
        <w:tc>
          <w:tcPr>
            <w:tcW w:w="2741" w:type="pct"/>
          </w:tcPr>
          <w:p w14:paraId="0F2438A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&lt;40</w:t>
            </w:r>
          </w:p>
        </w:tc>
        <w:tc>
          <w:tcPr>
            <w:tcW w:w="2259" w:type="pct"/>
          </w:tcPr>
          <w:p w14:paraId="7B9D1E66"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20 (55.6)</w:t>
            </w:r>
          </w:p>
        </w:tc>
      </w:tr>
      <w:tr w:rsidR="009F3129" w:rsidRPr="002D5606" w14:paraId="2943B874" w14:textId="77777777" w:rsidTr="005328B5">
        <w:trPr>
          <w:trHeight w:val="56"/>
        </w:trPr>
        <w:tc>
          <w:tcPr>
            <w:tcW w:w="2741" w:type="pct"/>
          </w:tcPr>
          <w:p w14:paraId="16318EAD"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41–50</w:t>
            </w:r>
          </w:p>
        </w:tc>
        <w:tc>
          <w:tcPr>
            <w:tcW w:w="2259" w:type="pct"/>
          </w:tcPr>
          <w:p w14:paraId="063B3A99"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 (16.7)</w:t>
            </w:r>
          </w:p>
        </w:tc>
      </w:tr>
      <w:tr w:rsidR="009F3129" w:rsidRPr="002D5606" w14:paraId="3F37017E" w14:textId="77777777" w:rsidTr="005328B5">
        <w:trPr>
          <w:trHeight w:val="56"/>
        </w:trPr>
        <w:tc>
          <w:tcPr>
            <w:tcW w:w="2741" w:type="pct"/>
          </w:tcPr>
          <w:p w14:paraId="26080ED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51–60</w:t>
            </w:r>
          </w:p>
        </w:tc>
        <w:tc>
          <w:tcPr>
            <w:tcW w:w="2259" w:type="pct"/>
          </w:tcPr>
          <w:p w14:paraId="1E2CFEC8"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7 (19.4)</w:t>
            </w:r>
          </w:p>
        </w:tc>
      </w:tr>
      <w:tr w:rsidR="009F3129" w:rsidRPr="002D5606" w14:paraId="4D8CBFD5" w14:textId="77777777" w:rsidTr="005328B5">
        <w:trPr>
          <w:trHeight w:val="56"/>
        </w:trPr>
        <w:tc>
          <w:tcPr>
            <w:tcW w:w="2741" w:type="pct"/>
          </w:tcPr>
          <w:p w14:paraId="3C411983"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≥61</w:t>
            </w:r>
          </w:p>
        </w:tc>
        <w:tc>
          <w:tcPr>
            <w:tcW w:w="2259" w:type="pct"/>
          </w:tcPr>
          <w:p w14:paraId="287C8F28"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(8.3)</w:t>
            </w:r>
          </w:p>
        </w:tc>
      </w:tr>
    </w:tbl>
    <w:p w14:paraId="2BA8211A" w14:textId="77777777" w:rsidR="009F3129" w:rsidRPr="002D5606" w:rsidRDefault="009F3129" w:rsidP="002D5606">
      <w:pPr>
        <w:jc w:val="both"/>
        <w:rPr>
          <w:rFonts w:ascii="Times New Roman" w:hAnsi="Times New Roman" w:cs="Times New Roman"/>
          <w:sz w:val="24"/>
          <w:szCs w:val="24"/>
        </w:rPr>
      </w:pPr>
    </w:p>
    <w:p w14:paraId="6C0AAA4D" w14:textId="77777777" w:rsidR="009F3129" w:rsidRPr="002D5606" w:rsidRDefault="00E54DC1" w:rsidP="005328B5">
      <w:pPr>
        <w:jc w:val="center"/>
        <w:rPr>
          <w:rFonts w:ascii="Times New Roman" w:eastAsia="SimSun" w:hAnsi="Times New Roman" w:cs="Times New Roman"/>
          <w:b/>
          <w:bCs/>
          <w:sz w:val="24"/>
          <w:szCs w:val="24"/>
        </w:rPr>
      </w:pPr>
      <w:r w:rsidRPr="002D5606">
        <w:rPr>
          <w:rFonts w:ascii="Times New Roman" w:eastAsia="SimSun" w:hAnsi="Times New Roman" w:cs="Times New Roman"/>
          <w:b/>
          <w:bCs/>
          <w:noProof/>
          <w:sz w:val="24"/>
          <w:szCs w:val="24"/>
          <w:lang w:eastAsia="en-US" w:bidi="mr-IN"/>
        </w:rPr>
        <w:drawing>
          <wp:inline distT="0" distB="0" distL="114300" distR="114300" wp14:anchorId="42F8D254" wp14:editId="5EA9B5DB">
            <wp:extent cx="3834765" cy="2860675"/>
            <wp:effectExtent l="0" t="0" r="13335" b="15875"/>
            <wp:docPr id="3" name="Picture 3" descr="outp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utput (2)"/>
                    <pic:cNvPicPr>
                      <a:picLocks noChangeAspect="1"/>
                    </pic:cNvPicPr>
                  </pic:nvPicPr>
                  <pic:blipFill>
                    <a:blip r:embed="rId11"/>
                    <a:stretch>
                      <a:fillRect/>
                    </a:stretch>
                  </pic:blipFill>
                  <pic:spPr>
                    <a:xfrm>
                      <a:off x="0" y="0"/>
                      <a:ext cx="3834765" cy="2860675"/>
                    </a:xfrm>
                    <a:prstGeom prst="rect">
                      <a:avLst/>
                    </a:prstGeom>
                  </pic:spPr>
                </pic:pic>
              </a:graphicData>
            </a:graphic>
          </wp:inline>
        </w:drawing>
      </w:r>
    </w:p>
    <w:p w14:paraId="70342D3A" w14:textId="77777777" w:rsidR="009F3129" w:rsidRPr="002D5606" w:rsidRDefault="009F3129" w:rsidP="002D5606">
      <w:pPr>
        <w:jc w:val="both"/>
        <w:rPr>
          <w:rFonts w:ascii="Times New Roman" w:eastAsia="SimSun" w:hAnsi="Times New Roman" w:cs="Times New Roman"/>
          <w:b/>
          <w:bCs/>
          <w:sz w:val="24"/>
          <w:szCs w:val="24"/>
        </w:rPr>
      </w:pPr>
    </w:p>
    <w:p w14:paraId="1CB80195" w14:textId="77777777" w:rsidR="009F3129" w:rsidRPr="002D5606" w:rsidRDefault="005328B5" w:rsidP="005328B5">
      <w:pPr>
        <w:jc w:val="center"/>
        <w:rPr>
          <w:rFonts w:ascii="Times New Roman" w:hAnsi="Times New Roman" w:cs="Times New Roman"/>
          <w:b/>
          <w:bCs/>
          <w:sz w:val="24"/>
          <w:szCs w:val="24"/>
        </w:rPr>
      </w:pPr>
      <w:r>
        <w:rPr>
          <w:rFonts w:ascii="Times New Roman" w:eastAsia="SimSun" w:hAnsi="Times New Roman" w:cs="Times New Roman"/>
          <w:b/>
          <w:bCs/>
          <w:sz w:val="24"/>
          <w:szCs w:val="24"/>
        </w:rPr>
        <w:t xml:space="preserve">Figure 4: </w:t>
      </w:r>
      <w:r w:rsidR="00E54DC1" w:rsidRPr="002D5606">
        <w:rPr>
          <w:rFonts w:ascii="Times New Roman" w:eastAsia="SimSun" w:hAnsi="Times New Roman" w:cs="Times New Roman"/>
          <w:b/>
          <w:bCs/>
          <w:sz w:val="24"/>
          <w:szCs w:val="24"/>
        </w:rPr>
        <w:t xml:space="preserve">Age Distribution of </w:t>
      </w:r>
      <w:r>
        <w:rPr>
          <w:rFonts w:ascii="Times New Roman" w:eastAsia="SimSun" w:hAnsi="Times New Roman" w:cs="Times New Roman"/>
          <w:b/>
          <w:bCs/>
          <w:sz w:val="24"/>
          <w:szCs w:val="24"/>
        </w:rPr>
        <w:t>Significant Endoscopic Findings</w:t>
      </w:r>
    </w:p>
    <w:p w14:paraId="5A21802D" w14:textId="77777777" w:rsidR="007A5611" w:rsidRDefault="007A5611" w:rsidP="005328B5">
      <w:pPr>
        <w:pStyle w:val="Heading3"/>
        <w:spacing w:beforeAutospacing="0" w:afterAutospacing="0" w:line="360" w:lineRule="auto"/>
        <w:jc w:val="both"/>
        <w:rPr>
          <w:rFonts w:ascii="Times New Roman" w:hAnsi="Times New Roman" w:cs="Times New Roman" w:hint="default"/>
          <w:sz w:val="24"/>
          <w:szCs w:val="24"/>
        </w:rPr>
      </w:pPr>
    </w:p>
    <w:p w14:paraId="523F3063" w14:textId="77777777" w:rsidR="009F3129" w:rsidRPr="002D5606" w:rsidRDefault="00E54DC1" w:rsidP="005328B5">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Overall Interpretation</w:t>
      </w:r>
    </w:p>
    <w:p w14:paraId="5D303156"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In this prospective cohort, routine preoperative UGI endoscopy demonstrated a high diagnostic yield, identifying clinically relevant mucosal pathology in approximately one-half of patients undergoing laparoscopic cholecystectomy for symptomatic cholelithiasis. The predominance of inflammatory and reflux-related lesions suggests that a substantial proportion of symptoms attributed to gallstones may coexist with or be compounded by upper gastrointestinal disease. These findings have important implications for preoperative evaluation, patient counselling, and optimization of postoperative symptom outcomes.</w:t>
      </w:r>
    </w:p>
    <w:p w14:paraId="1CE1953F" w14:textId="77777777" w:rsidR="007A5611" w:rsidRPr="002D5606" w:rsidRDefault="007A5611" w:rsidP="005328B5">
      <w:pPr>
        <w:pStyle w:val="NormalWeb"/>
        <w:spacing w:beforeAutospacing="0" w:afterAutospacing="0" w:line="360" w:lineRule="auto"/>
        <w:jc w:val="both"/>
        <w:rPr>
          <w:rFonts w:cs="Times New Roman"/>
        </w:rPr>
      </w:pPr>
    </w:p>
    <w:p w14:paraId="15276609"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Cost and Safety Considerations</w:t>
      </w:r>
    </w:p>
    <w:p w14:paraId="23821A13" w14:textId="152A5EF6"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Although provided free of cost to patients, preoperative UGI endoscopy required institutional resources, including equipment and personnel time. Formal cost-effectiveness </w:t>
      </w:r>
      <w:r w:rsidRPr="002D5606">
        <w:rPr>
          <w:rFonts w:cs="Times New Roman"/>
        </w:rPr>
        <w:lastRenderedPageBreak/>
        <w:t xml:space="preserve">analysis was beyond the scope of this study; however, clinically significant pathology was identified in 50.7% of patients. No procedure-related complications were observed, indicating a </w:t>
      </w:r>
      <w:proofErr w:type="spellStart"/>
      <w:r w:rsidRPr="002D5606">
        <w:rPr>
          <w:rFonts w:cs="Times New Roman"/>
        </w:rPr>
        <w:t>favourable</w:t>
      </w:r>
      <w:proofErr w:type="spellEnd"/>
      <w:r w:rsidRPr="002D5606">
        <w:rPr>
          <w:rFonts w:cs="Times New Roman"/>
        </w:rPr>
        <w:t xml:space="preserve"> safety profile. Broader health-system economic evaluation is warranted to determine whether selective use of endoscopy </w:t>
      </w:r>
      <w:proofErr w:type="spellStart"/>
      <w:r w:rsidRPr="002D5606">
        <w:rPr>
          <w:rFonts w:cs="Times New Roman"/>
        </w:rPr>
        <w:t>optimises</w:t>
      </w:r>
      <w:proofErr w:type="spellEnd"/>
      <w:r w:rsidRPr="002D5606">
        <w:rPr>
          <w:rFonts w:cs="Times New Roman"/>
        </w:rPr>
        <w:t xml:space="preserve"> resource </w:t>
      </w:r>
      <w:proofErr w:type="spellStart"/>
      <w:r w:rsidRPr="002D5606">
        <w:rPr>
          <w:rFonts w:cs="Times New Roman"/>
        </w:rPr>
        <w:t>utilisation</w:t>
      </w:r>
      <w:proofErr w:type="spellEnd"/>
      <w:r w:rsidRPr="002D5606">
        <w:rPr>
          <w:rFonts w:cs="Times New Roman"/>
        </w:rPr>
        <w:t xml:space="preserve"> while imp</w:t>
      </w:r>
      <w:r w:rsidR="00671362">
        <w:rPr>
          <w:rFonts w:cs="Times New Roman"/>
        </w:rPr>
        <w:t xml:space="preserve">roving perioperative management </w:t>
      </w:r>
      <w:r w:rsidR="00671362" w:rsidRPr="00671362">
        <w:rPr>
          <w:rFonts w:cs="Times New Roman"/>
          <w:b/>
          <w:bCs/>
        </w:rPr>
        <w:t>(Table 1-5</w:t>
      </w:r>
      <w:r w:rsidR="00BF15B9">
        <w:rPr>
          <w:rFonts w:cs="Times New Roman"/>
          <w:b/>
          <w:bCs/>
        </w:rPr>
        <w:t>, Figure 1-4</w:t>
      </w:r>
      <w:r w:rsidR="00671362" w:rsidRPr="00671362">
        <w:rPr>
          <w:rFonts w:cs="Times New Roman"/>
          <w:b/>
          <w:bCs/>
        </w:rPr>
        <w:t>).</w:t>
      </w:r>
    </w:p>
    <w:p w14:paraId="512F0439" w14:textId="77777777" w:rsidR="007A5611" w:rsidRPr="002D5606" w:rsidRDefault="007A5611" w:rsidP="005328B5">
      <w:pPr>
        <w:pStyle w:val="NormalWeb"/>
        <w:spacing w:beforeAutospacing="0" w:afterAutospacing="0" w:line="360" w:lineRule="auto"/>
        <w:jc w:val="both"/>
        <w:rPr>
          <w:rFonts w:cs="Times New Roman"/>
        </w:rPr>
      </w:pPr>
    </w:p>
    <w:p w14:paraId="13C1D6D3"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Discussion</w:t>
      </w:r>
    </w:p>
    <w:p w14:paraId="0E5B2782"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In this prospective cohort of patients undergoing laparoscopic cholecystectomy for symptomatic cholelithiasis, preoperative upper gastrointestinal (UGI) endoscopy demonstrated a clinically meaningful diagnostic yield of 50.7%. Significant mucosal pathology was identified in more than half of the patients, with inflammatory and reflux-related lesions constituting the majority of abnormalities. These findings reinforce the concept that symptom overlap between biliary colic and acid-peptic disease is substantial and clinically relevant </w:t>
      </w:r>
      <w:r w:rsidR="002A00AA">
        <w:rPr>
          <w:rFonts w:cs="Times New Roman"/>
        </w:rPr>
        <w:t>[</w:t>
      </w:r>
      <w:r w:rsidRPr="002A00AA">
        <w:rPr>
          <w:rFonts w:cs="Times New Roman"/>
        </w:rPr>
        <w:t>1,</w:t>
      </w:r>
      <w:r w:rsidR="002A00AA">
        <w:rPr>
          <w:rFonts w:cs="Times New Roman"/>
        </w:rPr>
        <w:t xml:space="preserve"> </w:t>
      </w:r>
      <w:r w:rsidRPr="002A00AA">
        <w:rPr>
          <w:rFonts w:cs="Times New Roman"/>
        </w:rPr>
        <w:t>2,</w:t>
      </w:r>
      <w:r w:rsidR="002A00AA">
        <w:rPr>
          <w:rFonts w:cs="Times New Roman"/>
        </w:rPr>
        <w:t xml:space="preserve"> </w:t>
      </w:r>
      <w:r w:rsidRPr="002A00AA">
        <w:rPr>
          <w:rFonts w:cs="Times New Roman"/>
        </w:rPr>
        <w:t>7,</w:t>
      </w:r>
      <w:r w:rsidR="002A00AA">
        <w:rPr>
          <w:rFonts w:cs="Times New Roman"/>
        </w:rPr>
        <w:t xml:space="preserve"> 8]</w:t>
      </w:r>
      <w:r w:rsidRPr="002A00AA">
        <w:rPr>
          <w:rFonts w:cs="Times New Roman"/>
        </w:rPr>
        <w:t xml:space="preserve">. </w:t>
      </w:r>
      <w:r w:rsidRPr="002D5606">
        <w:rPr>
          <w:rFonts w:cs="Times New Roman"/>
        </w:rPr>
        <w:t>In routine surgical practice, upper abdominal pain, dyspepsia, bloating, and heartburn are frequently attributed solely to gallstones once ultrasonographic confirmation is obtained. However, earlier critical appraisals have cautioned against oversimplification of symptom attribution in gallstone disease</w:t>
      </w:r>
      <w:r w:rsidRPr="002D5606">
        <w:rPr>
          <w:rFonts w:cs="Times New Roman"/>
          <w:vertAlign w:val="superscript"/>
        </w:rPr>
        <w:t xml:space="preserve"> </w:t>
      </w:r>
      <w:r w:rsidR="002A00AA">
        <w:rPr>
          <w:rFonts w:cs="Times New Roman"/>
        </w:rPr>
        <w:t>[3]</w:t>
      </w:r>
      <w:r w:rsidR="002A00AA" w:rsidRPr="002A00AA">
        <w:rPr>
          <w:rFonts w:cs="Times New Roman"/>
        </w:rPr>
        <w:t>.</w:t>
      </w:r>
      <w:r w:rsidRPr="002D5606">
        <w:rPr>
          <w:rFonts w:cs="Times New Roman"/>
        </w:rPr>
        <w:t xml:space="preserve"> Our data suggest that such attribution may be incomplete in a considerable proportion of patients.</w:t>
      </w:r>
    </w:p>
    <w:p w14:paraId="5A076B4F"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The predominance of gastritis and antral gastritis highlights the burden of acid-related mucosal disease in this population. Importantly, these conditions are amenable to structured medical therapy, including proton pump inhibitors and </w:t>
      </w:r>
      <w:r w:rsidRPr="002D5606">
        <w:rPr>
          <w:rStyle w:val="Emphasis"/>
          <w:rFonts w:cs="Times New Roman"/>
        </w:rPr>
        <w:t>Helicobacter pylori</w:t>
      </w:r>
      <w:r w:rsidRPr="002D5606">
        <w:rPr>
          <w:rFonts w:cs="Times New Roman"/>
        </w:rPr>
        <w:t xml:space="preserve"> eradica</w:t>
      </w:r>
      <w:r w:rsidR="002A00AA">
        <w:rPr>
          <w:rFonts w:cs="Times New Roman"/>
        </w:rPr>
        <w:t>tion strategies where indicated [10]</w:t>
      </w:r>
      <w:r w:rsidRPr="002D5606">
        <w:rPr>
          <w:rFonts w:cs="Times New Roman"/>
        </w:rPr>
        <w:t xml:space="preserve">. Associations between </w:t>
      </w:r>
      <w:r w:rsidRPr="002D5606">
        <w:rPr>
          <w:rStyle w:val="Emphasis"/>
          <w:rFonts w:cs="Times New Roman"/>
        </w:rPr>
        <w:t>H. pylori</w:t>
      </w:r>
      <w:r w:rsidRPr="002D5606">
        <w:rPr>
          <w:rFonts w:cs="Times New Roman"/>
        </w:rPr>
        <w:t xml:space="preserve"> infection and chronic calculous cholecystitis have also been de</w:t>
      </w:r>
      <w:r w:rsidR="002A00AA">
        <w:rPr>
          <w:rFonts w:cs="Times New Roman"/>
        </w:rPr>
        <w:t>scribed [11]</w:t>
      </w:r>
      <w:r w:rsidRPr="002D5606">
        <w:rPr>
          <w:rFonts w:cs="Times New Roman"/>
        </w:rPr>
        <w:t xml:space="preserve">, further supporting comprehensive evaluation. Early identification provides an opportunity for therapeutic </w:t>
      </w:r>
      <w:proofErr w:type="spellStart"/>
      <w:r w:rsidRPr="002D5606">
        <w:rPr>
          <w:rFonts w:cs="Times New Roman"/>
        </w:rPr>
        <w:t>optimisation</w:t>
      </w:r>
      <w:proofErr w:type="spellEnd"/>
      <w:r w:rsidRPr="002D5606">
        <w:rPr>
          <w:rFonts w:cs="Times New Roman"/>
        </w:rPr>
        <w:t xml:space="preserve"> before surgery and may contribute to improved postoperative symptom control. The detection of reflux </w:t>
      </w:r>
      <w:proofErr w:type="spellStart"/>
      <w:r w:rsidRPr="002D5606">
        <w:rPr>
          <w:rFonts w:cs="Times New Roman"/>
        </w:rPr>
        <w:t>oesophagitis</w:t>
      </w:r>
      <w:proofErr w:type="spellEnd"/>
      <w:r w:rsidRPr="002D5606">
        <w:rPr>
          <w:rFonts w:cs="Times New Roman"/>
        </w:rPr>
        <w:t xml:space="preserve"> and combined lesions further underscores the multifactorial nature of upper abdominal symptomatology in patients with gallstones. From a clinical standpoint, distinguishing biliary from non-biliary pain is critical to </w:t>
      </w:r>
      <w:proofErr w:type="spellStart"/>
      <w:r w:rsidRPr="002D5606">
        <w:rPr>
          <w:rFonts w:cs="Times New Roman"/>
        </w:rPr>
        <w:t>minimising</w:t>
      </w:r>
      <w:proofErr w:type="spellEnd"/>
      <w:r w:rsidRPr="002D5606">
        <w:rPr>
          <w:rFonts w:cs="Times New Roman"/>
        </w:rPr>
        <w:t xml:space="preserve"> the risk of persistent symptoms following technically successful </w:t>
      </w:r>
      <w:proofErr w:type="gramStart"/>
      <w:r w:rsidRPr="002D5606">
        <w:rPr>
          <w:rFonts w:cs="Times New Roman"/>
        </w:rPr>
        <w:t>cholecystectomy</w:t>
      </w:r>
      <w:r w:rsidR="002A00AA">
        <w:rPr>
          <w:rFonts w:cs="Times New Roman"/>
          <w:vertAlign w:val="superscript"/>
        </w:rPr>
        <w:t xml:space="preserve">  </w:t>
      </w:r>
      <w:r w:rsidR="002A00AA" w:rsidRPr="002A00AA">
        <w:rPr>
          <w:rFonts w:cs="Times New Roman"/>
        </w:rPr>
        <w:t>[</w:t>
      </w:r>
      <w:proofErr w:type="gramEnd"/>
      <w:r w:rsidR="002A00AA" w:rsidRPr="002A00AA">
        <w:rPr>
          <w:rFonts w:cs="Times New Roman"/>
        </w:rPr>
        <w:t>4,</w:t>
      </w:r>
      <w:r w:rsidR="002A00AA">
        <w:rPr>
          <w:rFonts w:cs="Times New Roman"/>
        </w:rPr>
        <w:t xml:space="preserve"> </w:t>
      </w:r>
      <w:r w:rsidR="002A00AA" w:rsidRPr="002A00AA">
        <w:rPr>
          <w:rFonts w:cs="Times New Roman"/>
        </w:rPr>
        <w:t>9]</w:t>
      </w:r>
      <w:r w:rsidRPr="002D5606">
        <w:rPr>
          <w:rFonts w:cs="Times New Roman"/>
        </w:rPr>
        <w:t>.</w:t>
      </w:r>
    </w:p>
    <w:p w14:paraId="69ACA1AB"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A notable observation in our study was the high proportion of significant lesions among patients younger than 40 years. This challenges the assumption that clinically relevant UGI pathology is largely confined to older individuals and suggests that age alone may not be an adequate criterion for selective endoscopic screening. Moreover, although females </w:t>
      </w:r>
      <w:r w:rsidRPr="002D5606">
        <w:rPr>
          <w:rFonts w:cs="Times New Roman"/>
        </w:rPr>
        <w:lastRenderedPageBreak/>
        <w:t xml:space="preserve">constituted the majority of the cohort—reflecting the epidemiology of gallstone disease—the pattern of lesions was broadly similar between sexes. This observation aligns with previously reported data indicating substantial endoscopic findings across demographic subgroups </w:t>
      </w:r>
      <w:r w:rsidR="002A00AA">
        <w:rPr>
          <w:rFonts w:cs="Times New Roman"/>
        </w:rPr>
        <w:t>[1, 2, 8]</w:t>
      </w:r>
      <w:r w:rsidRPr="002D5606">
        <w:rPr>
          <w:rFonts w:cs="Times New Roman"/>
          <w:vertAlign w:val="superscript"/>
        </w:rPr>
        <w:t>.</w:t>
      </w:r>
    </w:p>
    <w:p w14:paraId="1EC31383" w14:textId="636CE0C3"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Collectively, our findings </w:t>
      </w:r>
      <w:proofErr w:type="spellStart"/>
      <w:r w:rsidRPr="002D5606">
        <w:rPr>
          <w:rFonts w:cs="Times New Roman"/>
        </w:rPr>
        <w:t>emphasise</w:t>
      </w:r>
      <w:proofErr w:type="spellEnd"/>
      <w:r w:rsidRPr="002D5606">
        <w:rPr>
          <w:rFonts w:cs="Times New Roman"/>
        </w:rPr>
        <w:t xml:space="preserve"> the potential value of structured preoperative evaluation in patients with symptomatic cholelithiasis. While some authors advocate routine or universal screening </w:t>
      </w:r>
      <w:r w:rsidR="002A00AA" w:rsidRPr="002A00AA">
        <w:rPr>
          <w:rFonts w:cs="Times New Roman"/>
        </w:rPr>
        <w:t>[5]</w:t>
      </w:r>
      <w:r w:rsidRPr="002D5606">
        <w:rPr>
          <w:rFonts w:cs="Times New Roman"/>
        </w:rPr>
        <w:t xml:space="preserve">, and systematic review evidence has questioned uniform benefit and cost-effectiveness </w:t>
      </w:r>
      <w:r w:rsidR="002A00AA">
        <w:rPr>
          <w:rFonts w:cs="Times New Roman"/>
        </w:rPr>
        <w:t>[6]</w:t>
      </w:r>
      <w:r w:rsidRPr="002D5606">
        <w:rPr>
          <w:rFonts w:cs="Times New Roman"/>
        </w:rPr>
        <w:t xml:space="preserve">, the high diagnostic yield observed in this prospective study supports a selective or protocol-driven approach. In an era increasingly focused on quality metrics and patient-reported outcomes, persistent postoperative dyspeptic symptoms remain a challenge. By identifying coexisting upper GI pathology preoperatively, surgeons may better counsel patients, tailor adjunctive medical therapy, and refine operative indications. These results contribute meaningful evidence to an ongoing clinical debate and have direct implications for perioperative </w:t>
      </w:r>
      <w:proofErr w:type="spellStart"/>
      <w:r w:rsidRPr="002D5606">
        <w:rPr>
          <w:rFonts w:cs="Times New Roman"/>
        </w:rPr>
        <w:t>optimisation</w:t>
      </w:r>
      <w:proofErr w:type="spellEnd"/>
      <w:r w:rsidRPr="002D5606">
        <w:rPr>
          <w:rFonts w:cs="Times New Roman"/>
        </w:rPr>
        <w:t xml:space="preserve"> strategi</w:t>
      </w:r>
      <w:r w:rsidR="005A6118">
        <w:rPr>
          <w:rFonts w:cs="Times New Roman"/>
        </w:rPr>
        <w:t>es in general surgical practice [12-16].</w:t>
      </w:r>
    </w:p>
    <w:p w14:paraId="3CD03BC4" w14:textId="77777777" w:rsidR="007A5611" w:rsidRPr="002D5606" w:rsidRDefault="007A5611" w:rsidP="005328B5">
      <w:pPr>
        <w:pStyle w:val="NormalWeb"/>
        <w:spacing w:beforeAutospacing="0" w:afterAutospacing="0" w:line="360" w:lineRule="auto"/>
        <w:jc w:val="both"/>
        <w:rPr>
          <w:rFonts w:cs="Times New Roman"/>
        </w:rPr>
      </w:pPr>
    </w:p>
    <w:p w14:paraId="1B91AA5E"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Clinical Implications</w:t>
      </w:r>
    </w:p>
    <w:p w14:paraId="3E419BA9"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The substantial prevalence of significant upper gastrointestinal pathology in this cohort underscores the value of structured preoperative assessment in symptomatic cholelithiasis. While universal screening remains debatable, our findings support a selective, symptom-driven approach. Patients with dyspepsia, reflux, atypical epigastric pain, or persistent upper abdominal discomfort may benefit most from endoscopic evaluation. Identification of treatable acid-peptic or inflammatory lesions enables targeted medical </w:t>
      </w:r>
      <w:proofErr w:type="spellStart"/>
      <w:r w:rsidRPr="002D5606">
        <w:rPr>
          <w:rFonts w:cs="Times New Roman"/>
        </w:rPr>
        <w:t>optimisation</w:t>
      </w:r>
      <w:proofErr w:type="spellEnd"/>
      <w:r w:rsidRPr="002D5606">
        <w:rPr>
          <w:rFonts w:cs="Times New Roman"/>
        </w:rPr>
        <w:t xml:space="preserve"> prior to surgery and may reduce persistent postoperative symptoms. Integrating defined clinical criteria into preoperative pathways may enhance diagnostic precision while avoiding unnecessary routine endoscopy.</w:t>
      </w:r>
    </w:p>
    <w:p w14:paraId="75FD6F1E" w14:textId="77777777" w:rsidR="007A5611" w:rsidRPr="002D5606" w:rsidRDefault="007A5611" w:rsidP="005328B5">
      <w:pPr>
        <w:pStyle w:val="NormalWeb"/>
        <w:spacing w:beforeAutospacing="0" w:afterAutospacing="0" w:line="360" w:lineRule="auto"/>
        <w:jc w:val="both"/>
        <w:rPr>
          <w:rFonts w:cs="Times New Roman"/>
        </w:rPr>
      </w:pPr>
    </w:p>
    <w:p w14:paraId="7849A1FB"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Conclusion</w:t>
      </w:r>
    </w:p>
    <w:p w14:paraId="3BD8106C"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Preoperative upper gastrointestinal endoscopy identified clinically significant mucosal pathology in approximately half of patients undergoing laparoscopic cholecystectomy for symptomatic cholelithiasis. Inflammatory and reflux-related lesions predominated and were frequently observed even in younger individuals. These findings underscore the substantial coexistence of upper GI disease in patients presenting with biliary symptoms </w:t>
      </w:r>
      <w:r w:rsidRPr="002D5606">
        <w:rPr>
          <w:rFonts w:cs="Times New Roman"/>
        </w:rPr>
        <w:lastRenderedPageBreak/>
        <w:t xml:space="preserve">and highlight the potential role of endoscopy in enhancing diagnostic precision and perioperative </w:t>
      </w:r>
      <w:proofErr w:type="spellStart"/>
      <w:r w:rsidRPr="002D5606">
        <w:rPr>
          <w:rFonts w:cs="Times New Roman"/>
        </w:rPr>
        <w:t>optimisation</w:t>
      </w:r>
      <w:proofErr w:type="spellEnd"/>
      <w:r w:rsidRPr="002D5606">
        <w:rPr>
          <w:rFonts w:cs="Times New Roman"/>
        </w:rPr>
        <w:t>.</w:t>
      </w:r>
    </w:p>
    <w:p w14:paraId="6AFACAFC"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A structured, symptom-oriented endoscopic strategy may improve patient selection, facilitate targeted medical therapy, and potentially reduce the burden of persistent postoperative symptoms. Further </w:t>
      </w:r>
      <w:proofErr w:type="spellStart"/>
      <w:r w:rsidRPr="002D5606">
        <w:rPr>
          <w:rFonts w:cs="Times New Roman"/>
        </w:rPr>
        <w:t>multicentre</w:t>
      </w:r>
      <w:proofErr w:type="spellEnd"/>
      <w:r w:rsidRPr="002D5606">
        <w:rPr>
          <w:rFonts w:cs="Times New Roman"/>
        </w:rPr>
        <w:t>, outcome-driven studies incorporating long-term symptom assessment and cost-effectiveness analysis are warranted to define the optimal integration of UGI endoscopy into preoperative pathways for gallstone disease.</w:t>
      </w:r>
    </w:p>
    <w:p w14:paraId="1F960EA2" w14:textId="77777777" w:rsidR="0005516F" w:rsidRDefault="0005516F" w:rsidP="005328B5">
      <w:pPr>
        <w:pStyle w:val="NormalWeb"/>
        <w:spacing w:beforeAutospacing="0" w:afterAutospacing="0" w:line="360" w:lineRule="auto"/>
        <w:jc w:val="both"/>
        <w:rPr>
          <w:rFonts w:cs="Times New Roman"/>
        </w:rPr>
      </w:pPr>
    </w:p>
    <w:p w14:paraId="6191ACCE" w14:textId="77777777" w:rsidR="0005516F" w:rsidRPr="002D5606" w:rsidRDefault="0005516F" w:rsidP="0005516F">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Strengths</w:t>
      </w:r>
    </w:p>
    <w:p w14:paraId="2C9F367A"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Prospective observational design</w:t>
      </w:r>
    </w:p>
    <w:p w14:paraId="72F99F6A"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Inclusion of consecutive patients, reducing selection bias</w:t>
      </w:r>
    </w:p>
    <w:p w14:paraId="6D658F14"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 xml:space="preserve">Structured and </w:t>
      </w:r>
      <w:proofErr w:type="spellStart"/>
      <w:r w:rsidRPr="002D5606">
        <w:rPr>
          <w:rFonts w:cs="Times New Roman"/>
        </w:rPr>
        <w:t>standardised</w:t>
      </w:r>
      <w:proofErr w:type="spellEnd"/>
      <w:r w:rsidRPr="002D5606">
        <w:rPr>
          <w:rFonts w:cs="Times New Roman"/>
        </w:rPr>
        <w:t xml:space="preserve"> endoscopic assessment</w:t>
      </w:r>
    </w:p>
    <w:p w14:paraId="6C2EEFEB"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Systematic documentation of lesion patterns and demographics</w:t>
      </w:r>
    </w:p>
    <w:p w14:paraId="5FB6FBBC"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Clinically relevant research question addressing an ongoing surgical debate</w:t>
      </w:r>
    </w:p>
    <w:p w14:paraId="09E454C2" w14:textId="77777777" w:rsidR="0005516F"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 xml:space="preserve">Contextual evidence from a tertiary care </w:t>
      </w:r>
      <w:proofErr w:type="spellStart"/>
      <w:r w:rsidRPr="002D5606">
        <w:rPr>
          <w:rFonts w:cs="Times New Roman"/>
        </w:rPr>
        <w:t>centre</w:t>
      </w:r>
      <w:proofErr w:type="spellEnd"/>
    </w:p>
    <w:p w14:paraId="17945AD0" w14:textId="77777777" w:rsidR="0005516F" w:rsidRPr="002D5606" w:rsidRDefault="0005516F" w:rsidP="0005516F">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Limitations</w:t>
      </w:r>
    </w:p>
    <w:p w14:paraId="316CAA37"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Single-</w:t>
      </w:r>
      <w:proofErr w:type="spellStart"/>
      <w:r w:rsidRPr="002D5606">
        <w:rPr>
          <w:rStyle w:val="Strong"/>
          <w:rFonts w:cs="Times New Roman"/>
        </w:rPr>
        <w:t>centre</w:t>
      </w:r>
      <w:proofErr w:type="spellEnd"/>
      <w:r w:rsidRPr="002D5606">
        <w:rPr>
          <w:rStyle w:val="Strong"/>
          <w:rFonts w:cs="Times New Roman"/>
        </w:rPr>
        <w:t xml:space="preserve"> design:</w:t>
      </w:r>
      <w:r w:rsidRPr="002D5606">
        <w:rPr>
          <w:rFonts w:cs="Times New Roman"/>
        </w:rPr>
        <w:t xml:space="preserve"> The study was conducted at a single tertiary care institution, which may limit the </w:t>
      </w:r>
      <w:proofErr w:type="spellStart"/>
      <w:r w:rsidRPr="002D5606">
        <w:rPr>
          <w:rFonts w:cs="Times New Roman"/>
        </w:rPr>
        <w:t>generalisability</w:t>
      </w:r>
      <w:proofErr w:type="spellEnd"/>
      <w:r w:rsidRPr="002D5606">
        <w:rPr>
          <w:rFonts w:cs="Times New Roman"/>
        </w:rPr>
        <w:t xml:space="preserve"> of the findings to other populations and healthcare settings.</w:t>
      </w:r>
    </w:p>
    <w:p w14:paraId="30CAD2DA"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Moderate sample size:</w:t>
      </w:r>
      <w:r w:rsidRPr="002D5606">
        <w:rPr>
          <w:rFonts w:cs="Times New Roman"/>
        </w:rPr>
        <w:t xml:space="preserve"> Although prospectively conducted, the relatively small cohort (n=71) may limit the statistical power to detect subgroup differences and rare endoscopic pathologies.</w:t>
      </w:r>
    </w:p>
    <w:p w14:paraId="7007CAFC"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Lack of long-term follow-up:</w:t>
      </w:r>
      <w:r w:rsidRPr="002D5606">
        <w:rPr>
          <w:rFonts w:cs="Times New Roman"/>
        </w:rPr>
        <w:t xml:space="preserve"> Postoperative symptom resolution and quality-of-life outcomes were not systematically evaluated, precluding definitive conclusions regarding the direct clinical impact of preoperative endoscopy on long-term outcomes.</w:t>
      </w:r>
    </w:p>
    <w:p w14:paraId="760324EC"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No cost-effectiveness analysis:</w:t>
      </w:r>
      <w:r w:rsidRPr="002D5606">
        <w:rPr>
          <w:rFonts w:cs="Times New Roman"/>
        </w:rPr>
        <w:t xml:space="preserve"> The study did not assess the economic implications of routine versus selective upper GI endoscopy, which is an important consideration in resource-constrained settings.</w:t>
      </w:r>
    </w:p>
    <w:p w14:paraId="71AC69D7"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Absence of comparative arm:</w:t>
      </w:r>
      <w:r w:rsidRPr="002D5606">
        <w:rPr>
          <w:rFonts w:cs="Times New Roman"/>
        </w:rPr>
        <w:t xml:space="preserve"> There was no control group of patients undergoing cholecystectomy without preoperative endoscopy, limiting the ability to directly compare outcomes between endoscopy-guided and standard pathways.</w:t>
      </w:r>
    </w:p>
    <w:p w14:paraId="7E6563E6" w14:textId="77777777" w:rsidR="0005516F" w:rsidRDefault="0005516F" w:rsidP="0005516F">
      <w:pPr>
        <w:pStyle w:val="NormalWeb"/>
        <w:spacing w:beforeAutospacing="0" w:afterAutospacing="0" w:line="360" w:lineRule="auto"/>
        <w:jc w:val="both"/>
        <w:rPr>
          <w:rFonts w:cs="Times New Roman"/>
        </w:rPr>
      </w:pPr>
      <w:r w:rsidRPr="002D5606">
        <w:rPr>
          <w:rFonts w:cs="Times New Roman"/>
        </w:rPr>
        <w:t>Despite these limitations, the prospective design, inclusion of consecutive patients, and structured evaluation of endoscopic findings enhance the methodological robustness and clinical relevance of the study.</w:t>
      </w:r>
    </w:p>
    <w:p w14:paraId="12B66612" w14:textId="77777777" w:rsidR="0005516F" w:rsidRPr="002D5606" w:rsidRDefault="0005516F" w:rsidP="0005516F">
      <w:pPr>
        <w:pStyle w:val="NormalWeb"/>
        <w:spacing w:beforeAutospacing="0" w:afterAutospacing="0" w:line="360" w:lineRule="auto"/>
        <w:jc w:val="both"/>
        <w:rPr>
          <w:rFonts w:cs="Times New Roman"/>
        </w:rPr>
      </w:pPr>
    </w:p>
    <w:p w14:paraId="7B9A5A62" w14:textId="77777777" w:rsidR="0005516F" w:rsidRPr="002D5606" w:rsidRDefault="0005516F" w:rsidP="005328B5">
      <w:pPr>
        <w:pStyle w:val="NormalWeb"/>
        <w:spacing w:beforeAutospacing="0" w:afterAutospacing="0" w:line="360" w:lineRule="auto"/>
        <w:jc w:val="both"/>
        <w:rPr>
          <w:rFonts w:cs="Times New Roman"/>
        </w:rPr>
      </w:pPr>
    </w:p>
    <w:p w14:paraId="324A17E3" w14:textId="77777777" w:rsidR="009F3129" w:rsidRPr="002D5606" w:rsidRDefault="009F3129" w:rsidP="005328B5">
      <w:pPr>
        <w:pStyle w:val="Heading2"/>
        <w:spacing w:beforeAutospacing="0" w:afterAutospacing="0" w:line="360" w:lineRule="auto"/>
        <w:jc w:val="both"/>
        <w:rPr>
          <w:rFonts w:ascii="Times New Roman" w:hAnsi="Times New Roman" w:cs="Times New Roman" w:hint="default"/>
          <w:sz w:val="24"/>
          <w:szCs w:val="24"/>
        </w:rPr>
      </w:pPr>
    </w:p>
    <w:p w14:paraId="5F83407F"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Ethics Approval and Consent to Participate</w:t>
      </w:r>
    </w:p>
    <w:p w14:paraId="494E2A98" w14:textId="234F1AA5" w:rsidR="009F3129" w:rsidRDefault="00E54DC1" w:rsidP="005328B5">
      <w:pPr>
        <w:pStyle w:val="NormalWeb"/>
        <w:spacing w:beforeAutospacing="0" w:afterAutospacing="0" w:line="360" w:lineRule="auto"/>
        <w:jc w:val="both"/>
        <w:rPr>
          <w:rFonts w:cs="Times New Roman"/>
        </w:rPr>
      </w:pPr>
      <w:r w:rsidRPr="002D5606">
        <w:rPr>
          <w:rFonts w:cs="Times New Roman"/>
        </w:rPr>
        <w:t>The study was approved by the Institutional Ethics Committee of Jawaharlal Nehru Medical College and Hospital, Aligarh Muslim University. Written informed consent was obtained from all participants prior to enrolment.</w:t>
      </w:r>
    </w:p>
    <w:p w14:paraId="49B4D1C3" w14:textId="77777777" w:rsidR="0005516F" w:rsidRDefault="0005516F" w:rsidP="005328B5">
      <w:pPr>
        <w:pStyle w:val="NormalWeb"/>
        <w:spacing w:beforeAutospacing="0" w:afterAutospacing="0" w:line="360" w:lineRule="auto"/>
        <w:jc w:val="both"/>
        <w:rPr>
          <w:rFonts w:cs="Times New Roman"/>
        </w:rPr>
      </w:pPr>
    </w:p>
    <w:p w14:paraId="0315F6C2" w14:textId="77777777" w:rsidR="0005516F" w:rsidRPr="00DE2C7B" w:rsidRDefault="0005516F" w:rsidP="005328B5">
      <w:pPr>
        <w:pStyle w:val="NormalWeb"/>
        <w:spacing w:beforeAutospacing="0" w:afterAutospacing="0" w:line="360" w:lineRule="auto"/>
        <w:jc w:val="both"/>
        <w:rPr>
          <w:rFonts w:cs="Times New Roman"/>
          <w:b/>
          <w:bCs/>
        </w:rPr>
      </w:pPr>
    </w:p>
    <w:p w14:paraId="0740B02B" w14:textId="77777777" w:rsidR="0005516F" w:rsidRPr="00DE2C7B" w:rsidRDefault="0005516F" w:rsidP="0005516F">
      <w:pPr>
        <w:spacing w:after="200" w:line="276" w:lineRule="auto"/>
        <w:rPr>
          <w:rFonts w:ascii="Times New Roman" w:eastAsia="SimSun" w:hAnsi="Times New Roman" w:cs="Times New Roman"/>
          <w:b/>
          <w:bCs/>
          <w:sz w:val="24"/>
          <w:szCs w:val="24"/>
          <w:lang w:bidi="mr-IN"/>
        </w:rPr>
      </w:pPr>
      <w:r w:rsidRPr="00DE2C7B">
        <w:rPr>
          <w:rFonts w:ascii="Times New Roman" w:eastAsia="SimSun" w:hAnsi="Times New Roman" w:cs="Times New Roman"/>
          <w:b/>
          <w:bCs/>
          <w:sz w:val="24"/>
          <w:szCs w:val="24"/>
          <w:lang w:bidi="mr-IN"/>
        </w:rPr>
        <w:t>COMPETING INTERESTS DISCLAIMER:</w:t>
      </w:r>
    </w:p>
    <w:p w14:paraId="57B3116D" w14:textId="77777777" w:rsidR="0005516F" w:rsidRPr="00DE2C7B" w:rsidRDefault="0005516F" w:rsidP="0005516F">
      <w:pPr>
        <w:spacing w:after="200" w:line="276" w:lineRule="auto"/>
        <w:rPr>
          <w:rFonts w:ascii="Times New Roman" w:eastAsia="SimSun" w:hAnsi="Times New Roman" w:cs="Times New Roman"/>
          <w:sz w:val="24"/>
          <w:szCs w:val="24"/>
          <w:lang w:bidi="mr-IN"/>
        </w:rPr>
      </w:pPr>
      <w:r w:rsidRPr="00DE2C7B">
        <w:rPr>
          <w:rFonts w:ascii="Times New Roman" w:eastAsia="SimSun" w:hAnsi="Times New Roman" w:cs="Times New Roman"/>
          <w:sz w:val="24"/>
          <w:szCs w:val="24"/>
          <w:lang w:bidi="mr-IN"/>
        </w:rPr>
        <w:t>Authors have declared that they have no known competing financial interests OR non-financial interests OR personal relationships that could have appeared to influence the work reported in this paper.</w:t>
      </w:r>
    </w:p>
    <w:p w14:paraId="348334EB" w14:textId="77777777" w:rsidR="00C746F9" w:rsidRPr="00DE2C7B" w:rsidRDefault="00C746F9" w:rsidP="00C746F9">
      <w:pPr>
        <w:rPr>
          <w:rFonts w:ascii="Times New Roman" w:eastAsia="SimSun" w:hAnsi="Times New Roman" w:cs="Times New Roman"/>
          <w:b/>
          <w:bCs/>
          <w:sz w:val="24"/>
          <w:szCs w:val="24"/>
          <w:lang w:bidi="mr-IN"/>
        </w:rPr>
      </w:pPr>
      <w:bookmarkStart w:id="0" w:name="_Hlk198031404"/>
      <w:bookmarkStart w:id="1" w:name="_Hlk219125673"/>
      <w:r w:rsidRPr="00DE2C7B">
        <w:rPr>
          <w:rFonts w:ascii="Times New Roman" w:eastAsia="SimSun" w:hAnsi="Times New Roman" w:cs="Times New Roman"/>
          <w:b/>
          <w:bCs/>
          <w:sz w:val="24"/>
          <w:szCs w:val="24"/>
          <w:lang w:bidi="mr-IN"/>
        </w:rPr>
        <w:t>Disclaimer (Ar</w:t>
      </w:r>
      <w:bookmarkStart w:id="2" w:name="_GoBack"/>
      <w:bookmarkEnd w:id="2"/>
      <w:r w:rsidRPr="00DE2C7B">
        <w:rPr>
          <w:rFonts w:ascii="Times New Roman" w:eastAsia="SimSun" w:hAnsi="Times New Roman" w:cs="Times New Roman"/>
          <w:b/>
          <w:bCs/>
          <w:sz w:val="24"/>
          <w:szCs w:val="24"/>
          <w:lang w:bidi="mr-IN"/>
        </w:rPr>
        <w:t>tificial intelligence)</w:t>
      </w:r>
    </w:p>
    <w:p w14:paraId="2891DA8A" w14:textId="77777777" w:rsidR="00C746F9" w:rsidRPr="00DE2C7B" w:rsidRDefault="00C746F9" w:rsidP="00C746F9">
      <w:pPr>
        <w:rPr>
          <w:rFonts w:ascii="Times New Roman" w:eastAsia="SimSun" w:hAnsi="Times New Roman" w:cs="Times New Roman"/>
          <w:sz w:val="24"/>
          <w:szCs w:val="24"/>
          <w:lang w:bidi="mr-IN"/>
        </w:rPr>
      </w:pPr>
    </w:p>
    <w:p w14:paraId="7E799853" w14:textId="77777777" w:rsidR="00C746F9" w:rsidRPr="00DE2C7B" w:rsidRDefault="00C746F9" w:rsidP="00C746F9">
      <w:pPr>
        <w:rPr>
          <w:rFonts w:ascii="Times New Roman" w:eastAsia="SimSun" w:hAnsi="Times New Roman" w:cs="Times New Roman"/>
          <w:sz w:val="24"/>
          <w:szCs w:val="24"/>
          <w:lang w:bidi="mr-IN"/>
        </w:rPr>
      </w:pPr>
      <w:r w:rsidRPr="00DE2C7B">
        <w:rPr>
          <w:rFonts w:ascii="Times New Roman" w:eastAsia="SimSun" w:hAnsi="Times New Roman" w:cs="Times New Roman"/>
          <w:sz w:val="24"/>
          <w:szCs w:val="24"/>
          <w:lang w:bidi="mr-IN"/>
        </w:rPr>
        <w:t>Author(s) hereby declare that NO generative AI technologies such as Large Language Models (</w:t>
      </w:r>
      <w:proofErr w:type="spellStart"/>
      <w:r w:rsidRPr="00DE2C7B">
        <w:rPr>
          <w:rFonts w:ascii="Times New Roman" w:eastAsia="SimSun" w:hAnsi="Times New Roman" w:cs="Times New Roman"/>
          <w:sz w:val="24"/>
          <w:szCs w:val="24"/>
          <w:lang w:bidi="mr-IN"/>
        </w:rPr>
        <w:t>ChatGPT</w:t>
      </w:r>
      <w:proofErr w:type="spellEnd"/>
      <w:r w:rsidRPr="00DE2C7B">
        <w:rPr>
          <w:rFonts w:ascii="Times New Roman" w:eastAsia="SimSun" w:hAnsi="Times New Roman" w:cs="Times New Roman"/>
          <w:sz w:val="24"/>
          <w:szCs w:val="24"/>
          <w:lang w:bidi="mr-IN"/>
        </w:rPr>
        <w:t xml:space="preserve">, COPILOT, etc.) and text-to-image generators have been used during the writing or editing of this manuscript. </w:t>
      </w:r>
    </w:p>
    <w:bookmarkEnd w:id="0"/>
    <w:p w14:paraId="19D5B133" w14:textId="77777777" w:rsidR="00C746F9" w:rsidRPr="00C746F9" w:rsidRDefault="00C746F9" w:rsidP="00C746F9">
      <w:pPr>
        <w:spacing w:after="200" w:line="276" w:lineRule="auto"/>
        <w:rPr>
          <w:rFonts w:ascii="Calibri" w:eastAsia="Calibri" w:hAnsi="Calibri" w:cs="Times New Roman"/>
          <w:sz w:val="28"/>
          <w:szCs w:val="22"/>
          <w:lang w:eastAsia="en-US"/>
        </w:rPr>
      </w:pPr>
    </w:p>
    <w:bookmarkEnd w:id="1"/>
    <w:p w14:paraId="5B6F22AE" w14:textId="77777777" w:rsidR="0005516F" w:rsidRPr="002D5606" w:rsidRDefault="0005516F" w:rsidP="005328B5">
      <w:pPr>
        <w:pStyle w:val="NormalWeb"/>
        <w:spacing w:beforeAutospacing="0" w:afterAutospacing="0" w:line="360" w:lineRule="auto"/>
        <w:jc w:val="both"/>
        <w:rPr>
          <w:rFonts w:cs="Times New Roman"/>
          <w:b/>
          <w:bCs/>
        </w:rPr>
      </w:pPr>
    </w:p>
    <w:p w14:paraId="56C4D69E" w14:textId="77777777" w:rsidR="009F3129" w:rsidRPr="002D5606" w:rsidRDefault="00E54DC1" w:rsidP="002D5606">
      <w:pPr>
        <w:pStyle w:val="NormalWeb"/>
        <w:jc w:val="both"/>
        <w:rPr>
          <w:rFonts w:cs="Times New Roman"/>
          <w:b/>
          <w:bCs/>
        </w:rPr>
      </w:pPr>
      <w:r w:rsidRPr="002D5606">
        <w:rPr>
          <w:rFonts w:cs="Times New Roman"/>
          <w:b/>
          <w:bCs/>
        </w:rPr>
        <w:t>REFERENCES</w:t>
      </w:r>
    </w:p>
    <w:p w14:paraId="586A5D97"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Kolla V, Charles N, Datey S, Mahor D, Gupta A, Malhotra S. Upper gastrointestinal endoscopy prior to laparoscopic cholecystectomy: a clinical study at a tertiary care </w:t>
      </w:r>
      <w:proofErr w:type="spellStart"/>
      <w:r w:rsidRPr="002D5606">
        <w:rPr>
          <w:rFonts w:ascii="Times New Roman" w:hAnsi="Times New Roman" w:cs="Times New Roman"/>
          <w:sz w:val="24"/>
          <w:szCs w:val="24"/>
        </w:rPr>
        <w:t>centre</w:t>
      </w:r>
      <w:proofErr w:type="spellEnd"/>
      <w:r w:rsidRPr="002D5606">
        <w:rPr>
          <w:rFonts w:ascii="Times New Roman" w:hAnsi="Times New Roman" w:cs="Times New Roman"/>
          <w:sz w:val="24"/>
          <w:szCs w:val="24"/>
        </w:rPr>
        <w:t xml:space="preserve"> in central India. International Surgery Journal. 2016 Dec 8;3(2):637-42.</w:t>
      </w:r>
    </w:p>
    <w:p w14:paraId="03953CCE"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Kunnuru</w:t>
      </w:r>
      <w:proofErr w:type="spellEnd"/>
      <w:r w:rsidRPr="002D5606">
        <w:rPr>
          <w:rFonts w:ascii="Times New Roman" w:hAnsi="Times New Roman" w:cs="Times New Roman"/>
          <w:sz w:val="24"/>
          <w:szCs w:val="24"/>
        </w:rPr>
        <w:t xml:space="preserve"> SK, </w:t>
      </w:r>
      <w:proofErr w:type="spellStart"/>
      <w:r w:rsidRPr="002D5606">
        <w:rPr>
          <w:rFonts w:ascii="Times New Roman" w:hAnsi="Times New Roman" w:cs="Times New Roman"/>
          <w:sz w:val="24"/>
          <w:szCs w:val="24"/>
        </w:rPr>
        <w:t>Kanmaniyan</w:t>
      </w:r>
      <w:proofErr w:type="spellEnd"/>
      <w:r w:rsidRPr="002D5606">
        <w:rPr>
          <w:rFonts w:ascii="Times New Roman" w:hAnsi="Times New Roman" w:cs="Times New Roman"/>
          <w:sz w:val="24"/>
          <w:szCs w:val="24"/>
        </w:rPr>
        <w:t xml:space="preserve"> B, Thiyagarajan M, Singh BK, </w:t>
      </w:r>
      <w:proofErr w:type="spellStart"/>
      <w:r w:rsidRPr="002D5606">
        <w:rPr>
          <w:rFonts w:ascii="Times New Roman" w:hAnsi="Times New Roman" w:cs="Times New Roman"/>
          <w:sz w:val="24"/>
          <w:szCs w:val="24"/>
        </w:rPr>
        <w:t>Navrathan</w:t>
      </w:r>
      <w:proofErr w:type="spellEnd"/>
      <w:r w:rsidRPr="002D5606">
        <w:rPr>
          <w:rFonts w:ascii="Times New Roman" w:hAnsi="Times New Roman" w:cs="Times New Roman"/>
          <w:sz w:val="24"/>
          <w:szCs w:val="24"/>
        </w:rPr>
        <w:t xml:space="preserve"> N. A Study on Efficacy of UGI </w:t>
      </w:r>
      <w:proofErr w:type="spellStart"/>
      <w:r w:rsidRPr="002D5606">
        <w:rPr>
          <w:rFonts w:ascii="Times New Roman" w:hAnsi="Times New Roman" w:cs="Times New Roman"/>
          <w:sz w:val="24"/>
          <w:szCs w:val="24"/>
        </w:rPr>
        <w:t>Scopy</w:t>
      </w:r>
      <w:proofErr w:type="spellEnd"/>
      <w:r w:rsidRPr="002D5606">
        <w:rPr>
          <w:rFonts w:ascii="Times New Roman" w:hAnsi="Times New Roman" w:cs="Times New Roman"/>
          <w:sz w:val="24"/>
          <w:szCs w:val="24"/>
        </w:rPr>
        <w:t xml:space="preserve"> in </w:t>
      </w:r>
      <w:proofErr w:type="spellStart"/>
      <w:r w:rsidRPr="002D5606">
        <w:rPr>
          <w:rFonts w:ascii="Times New Roman" w:hAnsi="Times New Roman" w:cs="Times New Roman"/>
          <w:sz w:val="24"/>
          <w:szCs w:val="24"/>
        </w:rPr>
        <w:t>Cholelithiasis</w:t>
      </w:r>
      <w:proofErr w:type="spellEnd"/>
      <w:r w:rsidRPr="002D5606">
        <w:rPr>
          <w:rFonts w:ascii="Times New Roman" w:hAnsi="Times New Roman" w:cs="Times New Roman"/>
          <w:sz w:val="24"/>
          <w:szCs w:val="24"/>
        </w:rPr>
        <w:t xml:space="preserve"> Patients before Laparoscopic Cholecystectomy. Minimally Invasive Surgery. 2021 Jan 13;2021.</w:t>
      </w:r>
    </w:p>
    <w:p w14:paraId="0F4A613D"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Sakorafas</w:t>
      </w:r>
      <w:proofErr w:type="spellEnd"/>
      <w:r w:rsidRPr="002D5606">
        <w:rPr>
          <w:rFonts w:ascii="Times New Roman" w:hAnsi="Times New Roman" w:cs="Times New Roman"/>
          <w:sz w:val="24"/>
          <w:szCs w:val="24"/>
        </w:rPr>
        <w:t xml:space="preserve"> GH, </w:t>
      </w:r>
      <w:proofErr w:type="spellStart"/>
      <w:r w:rsidRPr="002D5606">
        <w:rPr>
          <w:rFonts w:ascii="Times New Roman" w:hAnsi="Times New Roman" w:cs="Times New Roman"/>
          <w:sz w:val="24"/>
          <w:szCs w:val="24"/>
        </w:rPr>
        <w:t>Milingos</w:t>
      </w:r>
      <w:proofErr w:type="spellEnd"/>
      <w:r w:rsidRPr="002D5606">
        <w:rPr>
          <w:rFonts w:ascii="Times New Roman" w:hAnsi="Times New Roman" w:cs="Times New Roman"/>
          <w:sz w:val="24"/>
          <w:szCs w:val="24"/>
        </w:rPr>
        <w:t xml:space="preserve"> D, Peros G. Asymptomatic cholelithiasis: is cholecystectomy really needed? A critical reappraisal 15 years after the introduction of laparoscopic cholecystectomy. Digestive diseases and sciences. 2007 May;52(5):1313-25.</w:t>
      </w:r>
    </w:p>
    <w:p w14:paraId="33810FB1"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Rashid F, Rashid N, Waraich N, Ahmed J, Iftikhar SY. Role of routine </w:t>
      </w:r>
      <w:proofErr w:type="spellStart"/>
      <w:r w:rsidRPr="002D5606">
        <w:rPr>
          <w:rFonts w:ascii="Times New Roman" w:hAnsi="Times New Roman" w:cs="Times New Roman"/>
          <w:sz w:val="24"/>
          <w:szCs w:val="24"/>
        </w:rPr>
        <w:t>oesophago-gastroduodenoscopy</w:t>
      </w:r>
      <w:proofErr w:type="spellEnd"/>
      <w:r w:rsidRPr="002D5606">
        <w:rPr>
          <w:rFonts w:ascii="Times New Roman" w:hAnsi="Times New Roman" w:cs="Times New Roman"/>
          <w:sz w:val="24"/>
          <w:szCs w:val="24"/>
        </w:rPr>
        <w:t xml:space="preserve"> before cholecystectomy. International Journal of Surgery. 2010 Jan 1;8(3):236-8.</w:t>
      </w:r>
    </w:p>
    <w:p w14:paraId="7943CB6B"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Mozafar</w:t>
      </w:r>
      <w:proofErr w:type="spellEnd"/>
      <w:r w:rsidRPr="002D5606">
        <w:rPr>
          <w:rFonts w:ascii="Times New Roman" w:hAnsi="Times New Roman" w:cs="Times New Roman"/>
          <w:sz w:val="24"/>
          <w:szCs w:val="24"/>
        </w:rPr>
        <w:t xml:space="preserve"> M, </w:t>
      </w:r>
      <w:proofErr w:type="spellStart"/>
      <w:r w:rsidRPr="002D5606">
        <w:rPr>
          <w:rFonts w:ascii="Times New Roman" w:hAnsi="Times New Roman" w:cs="Times New Roman"/>
          <w:sz w:val="24"/>
          <w:szCs w:val="24"/>
        </w:rPr>
        <w:t>reza</w:t>
      </w:r>
      <w:proofErr w:type="spellEnd"/>
      <w:r w:rsidRPr="002D5606">
        <w:rPr>
          <w:rFonts w:ascii="Times New Roman" w:hAnsi="Times New Roman" w:cs="Times New Roman"/>
          <w:sz w:val="24"/>
          <w:szCs w:val="24"/>
        </w:rPr>
        <w:t xml:space="preserve"> </w:t>
      </w:r>
      <w:proofErr w:type="spellStart"/>
      <w:r w:rsidRPr="002D5606">
        <w:rPr>
          <w:rFonts w:ascii="Times New Roman" w:hAnsi="Times New Roman" w:cs="Times New Roman"/>
          <w:sz w:val="24"/>
          <w:szCs w:val="24"/>
        </w:rPr>
        <w:t>Sobhiyeh</w:t>
      </w:r>
      <w:proofErr w:type="spellEnd"/>
      <w:r w:rsidRPr="002D5606">
        <w:rPr>
          <w:rFonts w:ascii="Times New Roman" w:hAnsi="Times New Roman" w:cs="Times New Roman"/>
          <w:sz w:val="24"/>
          <w:szCs w:val="24"/>
        </w:rPr>
        <w:t xml:space="preserve"> M, </w:t>
      </w:r>
      <w:proofErr w:type="spellStart"/>
      <w:r w:rsidRPr="002D5606">
        <w:rPr>
          <w:rFonts w:ascii="Times New Roman" w:hAnsi="Times New Roman" w:cs="Times New Roman"/>
          <w:sz w:val="24"/>
          <w:szCs w:val="24"/>
        </w:rPr>
        <w:t>Heibatollahi</w:t>
      </w:r>
      <w:proofErr w:type="spellEnd"/>
      <w:r w:rsidRPr="002D5606">
        <w:rPr>
          <w:rFonts w:ascii="Times New Roman" w:hAnsi="Times New Roman" w:cs="Times New Roman"/>
          <w:sz w:val="24"/>
          <w:szCs w:val="24"/>
        </w:rPr>
        <w:t xml:space="preserve"> M. Is esophagogastroduodenoscopy essential prior to the elective surgical therapy of symptomatic </w:t>
      </w:r>
      <w:proofErr w:type="spellStart"/>
      <w:r w:rsidRPr="002D5606">
        <w:rPr>
          <w:rFonts w:ascii="Times New Roman" w:hAnsi="Times New Roman" w:cs="Times New Roman"/>
          <w:sz w:val="24"/>
          <w:szCs w:val="24"/>
        </w:rPr>
        <w:t>cholelithaisis</w:t>
      </w:r>
      <w:proofErr w:type="spellEnd"/>
      <w:proofErr w:type="gramStart"/>
      <w:r w:rsidRPr="002D5606">
        <w:rPr>
          <w:rFonts w:ascii="Times New Roman" w:hAnsi="Times New Roman" w:cs="Times New Roman"/>
          <w:sz w:val="24"/>
          <w:szCs w:val="24"/>
        </w:rPr>
        <w:t>?.</w:t>
      </w:r>
      <w:proofErr w:type="gramEnd"/>
      <w:r w:rsidRPr="002D5606">
        <w:rPr>
          <w:rFonts w:ascii="Times New Roman" w:hAnsi="Times New Roman" w:cs="Times New Roman"/>
          <w:sz w:val="24"/>
          <w:szCs w:val="24"/>
        </w:rPr>
        <w:t xml:space="preserve"> Gastroenterology and Hepatology </w:t>
      </w:r>
      <w:proofErr w:type="gramStart"/>
      <w:r w:rsidRPr="002D5606">
        <w:rPr>
          <w:rFonts w:ascii="Times New Roman" w:hAnsi="Times New Roman" w:cs="Times New Roman"/>
          <w:sz w:val="24"/>
          <w:szCs w:val="24"/>
        </w:rPr>
        <w:t>From</w:t>
      </w:r>
      <w:proofErr w:type="gramEnd"/>
      <w:r w:rsidRPr="002D5606">
        <w:rPr>
          <w:rFonts w:ascii="Times New Roman" w:hAnsi="Times New Roman" w:cs="Times New Roman"/>
          <w:sz w:val="24"/>
          <w:szCs w:val="24"/>
        </w:rPr>
        <w:t xml:space="preserve"> Bed to Bench. 2010 Mar 15;3(2).</w:t>
      </w:r>
    </w:p>
    <w:p w14:paraId="38DFCB12"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Lamberts MP, </w:t>
      </w:r>
      <w:proofErr w:type="spellStart"/>
      <w:r w:rsidRPr="002D5606">
        <w:rPr>
          <w:rFonts w:ascii="Times New Roman" w:hAnsi="Times New Roman" w:cs="Times New Roman"/>
          <w:sz w:val="24"/>
          <w:szCs w:val="24"/>
        </w:rPr>
        <w:t>Kievit</w:t>
      </w:r>
      <w:proofErr w:type="spellEnd"/>
      <w:r w:rsidRPr="002D5606">
        <w:rPr>
          <w:rFonts w:ascii="Times New Roman" w:hAnsi="Times New Roman" w:cs="Times New Roman"/>
          <w:sz w:val="24"/>
          <w:szCs w:val="24"/>
        </w:rPr>
        <w:t xml:space="preserve"> W, </w:t>
      </w:r>
      <w:proofErr w:type="spellStart"/>
      <w:r w:rsidRPr="002D5606">
        <w:rPr>
          <w:rFonts w:ascii="Times New Roman" w:hAnsi="Times New Roman" w:cs="Times New Roman"/>
          <w:sz w:val="24"/>
          <w:szCs w:val="24"/>
        </w:rPr>
        <w:t>Özdemir</w:t>
      </w:r>
      <w:proofErr w:type="spellEnd"/>
      <w:r w:rsidRPr="002D5606">
        <w:rPr>
          <w:rFonts w:ascii="Times New Roman" w:hAnsi="Times New Roman" w:cs="Times New Roman"/>
          <w:sz w:val="24"/>
          <w:szCs w:val="24"/>
        </w:rPr>
        <w:t xml:space="preserve"> C, </w:t>
      </w:r>
      <w:proofErr w:type="spellStart"/>
      <w:r w:rsidRPr="002D5606">
        <w:rPr>
          <w:rFonts w:ascii="Times New Roman" w:hAnsi="Times New Roman" w:cs="Times New Roman"/>
          <w:sz w:val="24"/>
          <w:szCs w:val="24"/>
        </w:rPr>
        <w:t>Westert</w:t>
      </w:r>
      <w:proofErr w:type="spellEnd"/>
      <w:r w:rsidRPr="002D5606">
        <w:rPr>
          <w:rFonts w:ascii="Times New Roman" w:hAnsi="Times New Roman" w:cs="Times New Roman"/>
          <w:sz w:val="24"/>
          <w:szCs w:val="24"/>
        </w:rPr>
        <w:t xml:space="preserve"> GP, van </w:t>
      </w:r>
      <w:proofErr w:type="spellStart"/>
      <w:r w:rsidRPr="002D5606">
        <w:rPr>
          <w:rFonts w:ascii="Times New Roman" w:hAnsi="Times New Roman" w:cs="Times New Roman"/>
          <w:sz w:val="24"/>
          <w:szCs w:val="24"/>
        </w:rPr>
        <w:t>Laarhoven</w:t>
      </w:r>
      <w:proofErr w:type="spellEnd"/>
      <w:r w:rsidRPr="002D5606">
        <w:rPr>
          <w:rFonts w:ascii="Times New Roman" w:hAnsi="Times New Roman" w:cs="Times New Roman"/>
          <w:sz w:val="24"/>
          <w:szCs w:val="24"/>
        </w:rPr>
        <w:t xml:space="preserve"> CJ, </w:t>
      </w:r>
      <w:proofErr w:type="spellStart"/>
      <w:r w:rsidRPr="002D5606">
        <w:rPr>
          <w:rFonts w:ascii="Times New Roman" w:hAnsi="Times New Roman" w:cs="Times New Roman"/>
          <w:sz w:val="24"/>
          <w:szCs w:val="24"/>
        </w:rPr>
        <w:t>Drenth</w:t>
      </w:r>
      <w:proofErr w:type="spellEnd"/>
      <w:r w:rsidRPr="002D5606">
        <w:rPr>
          <w:rFonts w:ascii="Times New Roman" w:hAnsi="Times New Roman" w:cs="Times New Roman"/>
          <w:sz w:val="24"/>
          <w:szCs w:val="24"/>
        </w:rPr>
        <w:t xml:space="preserve"> JP. Value of EGD in patients referred for cholecystectomy: a systematic review and meta-analysis. Gastrointestinal endoscopy. 2015 Jul 1;82(1):24-31.</w:t>
      </w:r>
    </w:p>
    <w:p w14:paraId="7C7E4D79"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lastRenderedPageBreak/>
        <w:t>Khedkar I, Prasad D, Datta A. Diagnostic value of upper gastrointestinal endoscopy prior to elective laparoscopic cholecystectomy for symptomatic cholelithiasis. International Surgery Journal. 2017 Dec 26;5(1):105-9.</w:t>
      </w:r>
    </w:p>
    <w:p w14:paraId="146F164B"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Gupta P, Gupta V, Singh SP, Singh SP, Mishra SP, Singh P, Kumar A, Prakash M, Gupta M, Singh M, Havele S. Role of routine upper gastro intestinal endoscopy in patients of cholelithiasis presenting with dyspepsia in rural set-up. International Surgery Journal. 2016 Dec 8;3(2):509-15.</w:t>
      </w:r>
    </w:p>
    <w:p w14:paraId="04B6EE20"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Karmacharya A, Malla BR, Joshi HN, Gurung RB, Rajbhandari M. The predictive value of pre-operative symptoms including upper gastrointestinal endoscopy before laparoscopic cholecystectomy for elective symptomatic cholecystolithiasis. Kathmandu University Medical Journal. 2013;11(4):300-4.</w:t>
      </w:r>
    </w:p>
    <w:p w14:paraId="78DA01E9"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Testerman TL, Morris J. Beyond the stomach: an updated view of Helicobacter pylori pathogenesis, diagnosis, and treatment. World journal of gastroenterology: WJG. 2014 Sep 28;20(36):12781.</w:t>
      </w:r>
    </w:p>
    <w:p w14:paraId="5E884200" w14:textId="77777777" w:rsidR="009F3129"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Hassan EH, Gerges SS, Ahmed R, Mostafa ZM, Hassan A, ABD AL-HAMID HA, ABD EL-GALIL HE, Thabet S. Detection of Helicobacter antigen in stool samples and its relation to H. pylori positive cholecystitis in Egyptian patients with chronic </w:t>
      </w:r>
      <w:proofErr w:type="spellStart"/>
      <w:r w:rsidRPr="002D5606">
        <w:rPr>
          <w:rFonts w:ascii="Times New Roman" w:hAnsi="Times New Roman" w:cs="Times New Roman"/>
          <w:sz w:val="24"/>
          <w:szCs w:val="24"/>
        </w:rPr>
        <w:t>calcular</w:t>
      </w:r>
      <w:proofErr w:type="spellEnd"/>
      <w:r w:rsidRPr="002D5606">
        <w:rPr>
          <w:rFonts w:ascii="Times New Roman" w:hAnsi="Times New Roman" w:cs="Times New Roman"/>
          <w:sz w:val="24"/>
          <w:szCs w:val="24"/>
        </w:rPr>
        <w:t xml:space="preserve"> cholecystitis. Journal of the Egyptian Society of Parasitology. 2015 Dec 1</w:t>
      </w:r>
      <w:proofErr w:type="gramStart"/>
      <w:r w:rsidRPr="002D5606">
        <w:rPr>
          <w:rFonts w:ascii="Times New Roman" w:hAnsi="Times New Roman" w:cs="Times New Roman"/>
          <w:sz w:val="24"/>
          <w:szCs w:val="24"/>
        </w:rPr>
        <w:t>;45</w:t>
      </w:r>
      <w:proofErr w:type="gramEnd"/>
      <w:r w:rsidRPr="002D5606">
        <w:rPr>
          <w:rFonts w:ascii="Times New Roman" w:hAnsi="Times New Roman" w:cs="Times New Roman"/>
          <w:sz w:val="24"/>
          <w:szCs w:val="24"/>
        </w:rPr>
        <w:t>(3):579-86.</w:t>
      </w:r>
    </w:p>
    <w:p w14:paraId="5F1779DF" w14:textId="20D4A942" w:rsidR="00912939" w:rsidRDefault="00912939"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912939">
        <w:rPr>
          <w:rFonts w:ascii="Times New Roman" w:hAnsi="Times New Roman" w:cs="Times New Roman"/>
          <w:sz w:val="24"/>
          <w:szCs w:val="24"/>
        </w:rPr>
        <w:t>Heikal</w:t>
      </w:r>
      <w:proofErr w:type="spellEnd"/>
      <w:r w:rsidRPr="00912939">
        <w:rPr>
          <w:rFonts w:ascii="Times New Roman" w:hAnsi="Times New Roman" w:cs="Times New Roman"/>
          <w:sz w:val="24"/>
          <w:szCs w:val="24"/>
        </w:rPr>
        <w:t xml:space="preserve"> MA, </w:t>
      </w:r>
      <w:proofErr w:type="spellStart"/>
      <w:r w:rsidRPr="00912939">
        <w:rPr>
          <w:rFonts w:ascii="Times New Roman" w:hAnsi="Times New Roman" w:cs="Times New Roman"/>
          <w:sz w:val="24"/>
          <w:szCs w:val="24"/>
        </w:rPr>
        <w:t>Negm</w:t>
      </w:r>
      <w:proofErr w:type="spellEnd"/>
      <w:r w:rsidRPr="00912939">
        <w:rPr>
          <w:rFonts w:ascii="Times New Roman" w:hAnsi="Times New Roman" w:cs="Times New Roman"/>
          <w:sz w:val="24"/>
          <w:szCs w:val="24"/>
        </w:rPr>
        <w:t xml:space="preserve"> AM, </w:t>
      </w:r>
      <w:proofErr w:type="spellStart"/>
      <w:r w:rsidRPr="00912939">
        <w:rPr>
          <w:rFonts w:ascii="Times New Roman" w:hAnsi="Times New Roman" w:cs="Times New Roman"/>
          <w:sz w:val="24"/>
          <w:szCs w:val="24"/>
        </w:rPr>
        <w:t>Elghadban</w:t>
      </w:r>
      <w:proofErr w:type="spellEnd"/>
      <w:r w:rsidRPr="00912939">
        <w:rPr>
          <w:rFonts w:ascii="Times New Roman" w:hAnsi="Times New Roman" w:cs="Times New Roman"/>
          <w:sz w:val="24"/>
          <w:szCs w:val="24"/>
        </w:rPr>
        <w:t xml:space="preserve"> HM, Aziz MA. Bariatric Surgery With or Without Concomitant Laparoscopic Cholecystectomy in Morbidly Obese Patients With Gallbladder Stone Disease: A Prospective Randomized Controlled Pilot Study. Journal of Obesity. 2026</w:t>
      </w:r>
      <w:proofErr w:type="gramStart"/>
      <w:r w:rsidRPr="00912939">
        <w:rPr>
          <w:rFonts w:ascii="Times New Roman" w:hAnsi="Times New Roman" w:cs="Times New Roman"/>
          <w:sz w:val="24"/>
          <w:szCs w:val="24"/>
        </w:rPr>
        <w:t>;2026</w:t>
      </w:r>
      <w:proofErr w:type="gramEnd"/>
      <w:r w:rsidRPr="00912939">
        <w:rPr>
          <w:rFonts w:ascii="Times New Roman" w:hAnsi="Times New Roman" w:cs="Times New Roman"/>
          <w:sz w:val="24"/>
          <w:szCs w:val="24"/>
        </w:rPr>
        <w:t>(1):6054585.</w:t>
      </w:r>
    </w:p>
    <w:p w14:paraId="557A1DB8" w14:textId="44F7DC19" w:rsidR="00E172F4" w:rsidRDefault="00E172F4" w:rsidP="00E172F4">
      <w:pPr>
        <w:numPr>
          <w:ilvl w:val="0"/>
          <w:numId w:val="4"/>
        </w:numPr>
        <w:autoSpaceDE w:val="0"/>
        <w:autoSpaceDN w:val="0"/>
        <w:adjustRightInd w:val="0"/>
        <w:jc w:val="both"/>
        <w:rPr>
          <w:rFonts w:ascii="Times New Roman" w:hAnsi="Times New Roman" w:cs="Times New Roman"/>
          <w:sz w:val="24"/>
          <w:szCs w:val="24"/>
        </w:rPr>
      </w:pPr>
      <w:r w:rsidRPr="00E172F4">
        <w:rPr>
          <w:rFonts w:ascii="Times New Roman" w:hAnsi="Times New Roman" w:cs="Times New Roman"/>
          <w:sz w:val="24"/>
          <w:szCs w:val="24"/>
        </w:rPr>
        <w:t xml:space="preserve">Cui XC, Zaman O, Naqvi M. Implementation of a Hot Gallbladder Service at a District General Hospital: A 15-Month Review. </w:t>
      </w:r>
      <w:proofErr w:type="spellStart"/>
      <w:r w:rsidRPr="00E172F4">
        <w:rPr>
          <w:rFonts w:ascii="Times New Roman" w:hAnsi="Times New Roman" w:cs="Times New Roman"/>
          <w:sz w:val="24"/>
          <w:szCs w:val="24"/>
        </w:rPr>
        <w:t>Cureus</w:t>
      </w:r>
      <w:proofErr w:type="spellEnd"/>
      <w:r w:rsidRPr="00E172F4">
        <w:rPr>
          <w:rFonts w:ascii="Times New Roman" w:hAnsi="Times New Roman" w:cs="Times New Roman"/>
          <w:sz w:val="24"/>
          <w:szCs w:val="24"/>
        </w:rPr>
        <w:t>. 2026 Jan 21</w:t>
      </w:r>
      <w:proofErr w:type="gramStart"/>
      <w:r w:rsidRPr="00E172F4">
        <w:rPr>
          <w:rFonts w:ascii="Times New Roman" w:hAnsi="Times New Roman" w:cs="Times New Roman"/>
          <w:sz w:val="24"/>
          <w:szCs w:val="24"/>
        </w:rPr>
        <w:t>;18</w:t>
      </w:r>
      <w:proofErr w:type="gramEnd"/>
      <w:r w:rsidRPr="00E172F4">
        <w:rPr>
          <w:rFonts w:ascii="Times New Roman" w:hAnsi="Times New Roman" w:cs="Times New Roman"/>
          <w:sz w:val="24"/>
          <w:szCs w:val="24"/>
        </w:rPr>
        <w:t>(1).</w:t>
      </w:r>
    </w:p>
    <w:p w14:paraId="73C388F7" w14:textId="751F1CAC" w:rsidR="00E172F4" w:rsidRDefault="00E172F4" w:rsidP="00E172F4">
      <w:pPr>
        <w:numPr>
          <w:ilvl w:val="0"/>
          <w:numId w:val="4"/>
        </w:numPr>
        <w:autoSpaceDE w:val="0"/>
        <w:autoSpaceDN w:val="0"/>
        <w:adjustRightInd w:val="0"/>
        <w:jc w:val="both"/>
        <w:rPr>
          <w:rFonts w:ascii="Times New Roman" w:hAnsi="Times New Roman" w:cs="Times New Roman"/>
          <w:sz w:val="24"/>
          <w:szCs w:val="24"/>
        </w:rPr>
      </w:pPr>
      <w:proofErr w:type="spellStart"/>
      <w:r w:rsidRPr="00E172F4">
        <w:rPr>
          <w:rFonts w:ascii="Times New Roman" w:hAnsi="Times New Roman" w:cs="Times New Roman"/>
          <w:sz w:val="24"/>
          <w:szCs w:val="24"/>
        </w:rPr>
        <w:t>Zevallos</w:t>
      </w:r>
      <w:proofErr w:type="spellEnd"/>
      <w:r w:rsidRPr="00E172F4">
        <w:rPr>
          <w:rFonts w:ascii="Times New Roman" w:hAnsi="Times New Roman" w:cs="Times New Roman"/>
          <w:sz w:val="24"/>
          <w:szCs w:val="24"/>
        </w:rPr>
        <w:t xml:space="preserve"> A, </w:t>
      </w:r>
      <w:proofErr w:type="spellStart"/>
      <w:r w:rsidRPr="00E172F4">
        <w:rPr>
          <w:rFonts w:ascii="Times New Roman" w:hAnsi="Times New Roman" w:cs="Times New Roman"/>
          <w:sz w:val="24"/>
          <w:szCs w:val="24"/>
        </w:rPr>
        <w:t>Pouwels</w:t>
      </w:r>
      <w:proofErr w:type="spellEnd"/>
      <w:r w:rsidRPr="00E172F4">
        <w:rPr>
          <w:rFonts w:ascii="Times New Roman" w:hAnsi="Times New Roman" w:cs="Times New Roman"/>
          <w:sz w:val="24"/>
          <w:szCs w:val="24"/>
        </w:rPr>
        <w:t xml:space="preserve"> S. Diagnosis and treatment of chronic abdominal pain after bariatric surgery: a systematic review. Surgical Endoscopy. 2026 Jan 9:1-9.</w:t>
      </w:r>
    </w:p>
    <w:p w14:paraId="459BDE4E" w14:textId="6D15C31A" w:rsidR="00E172F4" w:rsidRDefault="00E172F4" w:rsidP="00E172F4">
      <w:pPr>
        <w:numPr>
          <w:ilvl w:val="0"/>
          <w:numId w:val="4"/>
        </w:numPr>
        <w:autoSpaceDE w:val="0"/>
        <w:autoSpaceDN w:val="0"/>
        <w:adjustRightInd w:val="0"/>
        <w:jc w:val="both"/>
        <w:rPr>
          <w:rFonts w:ascii="Times New Roman" w:hAnsi="Times New Roman" w:cs="Times New Roman"/>
          <w:sz w:val="24"/>
          <w:szCs w:val="24"/>
        </w:rPr>
      </w:pPr>
      <w:proofErr w:type="spellStart"/>
      <w:r w:rsidRPr="00E172F4">
        <w:rPr>
          <w:rFonts w:ascii="Times New Roman" w:hAnsi="Times New Roman" w:cs="Times New Roman"/>
          <w:sz w:val="24"/>
          <w:szCs w:val="24"/>
        </w:rPr>
        <w:t>Ziogas</w:t>
      </w:r>
      <w:proofErr w:type="spellEnd"/>
      <w:r w:rsidRPr="00E172F4">
        <w:rPr>
          <w:rFonts w:ascii="Times New Roman" w:hAnsi="Times New Roman" w:cs="Times New Roman"/>
          <w:sz w:val="24"/>
          <w:szCs w:val="24"/>
        </w:rPr>
        <w:t xml:space="preserve"> DI, </w:t>
      </w:r>
      <w:proofErr w:type="spellStart"/>
      <w:r w:rsidRPr="00E172F4">
        <w:rPr>
          <w:rFonts w:ascii="Times New Roman" w:hAnsi="Times New Roman" w:cs="Times New Roman"/>
          <w:sz w:val="24"/>
          <w:szCs w:val="24"/>
        </w:rPr>
        <w:t>Voulgaris</w:t>
      </w:r>
      <w:proofErr w:type="spellEnd"/>
      <w:r w:rsidRPr="00E172F4">
        <w:rPr>
          <w:rFonts w:ascii="Times New Roman" w:hAnsi="Times New Roman" w:cs="Times New Roman"/>
          <w:sz w:val="24"/>
          <w:szCs w:val="24"/>
        </w:rPr>
        <w:t xml:space="preserve"> TA, </w:t>
      </w:r>
      <w:proofErr w:type="spellStart"/>
      <w:r w:rsidRPr="00E172F4">
        <w:rPr>
          <w:rFonts w:ascii="Times New Roman" w:hAnsi="Times New Roman" w:cs="Times New Roman"/>
          <w:sz w:val="24"/>
          <w:szCs w:val="24"/>
        </w:rPr>
        <w:t>Volkanovska</w:t>
      </w:r>
      <w:proofErr w:type="spellEnd"/>
      <w:r w:rsidRPr="00E172F4">
        <w:rPr>
          <w:rFonts w:ascii="Times New Roman" w:hAnsi="Times New Roman" w:cs="Times New Roman"/>
          <w:sz w:val="24"/>
          <w:szCs w:val="24"/>
        </w:rPr>
        <w:t xml:space="preserve"> A, </w:t>
      </w:r>
      <w:proofErr w:type="spellStart"/>
      <w:r w:rsidRPr="00E172F4">
        <w:rPr>
          <w:rFonts w:ascii="Times New Roman" w:hAnsi="Times New Roman" w:cs="Times New Roman"/>
          <w:sz w:val="24"/>
          <w:szCs w:val="24"/>
        </w:rPr>
        <w:t>Stamou</w:t>
      </w:r>
      <w:proofErr w:type="spellEnd"/>
      <w:r w:rsidRPr="00E172F4">
        <w:rPr>
          <w:rFonts w:ascii="Times New Roman" w:hAnsi="Times New Roman" w:cs="Times New Roman"/>
          <w:sz w:val="24"/>
          <w:szCs w:val="24"/>
        </w:rPr>
        <w:t xml:space="preserve"> A, </w:t>
      </w:r>
      <w:proofErr w:type="spellStart"/>
      <w:r w:rsidRPr="00E172F4">
        <w:rPr>
          <w:rFonts w:ascii="Times New Roman" w:hAnsi="Times New Roman" w:cs="Times New Roman"/>
          <w:sz w:val="24"/>
          <w:szCs w:val="24"/>
        </w:rPr>
        <w:t>Kranidiotis</w:t>
      </w:r>
      <w:proofErr w:type="spellEnd"/>
      <w:r w:rsidRPr="00E172F4">
        <w:rPr>
          <w:rFonts w:ascii="Times New Roman" w:hAnsi="Times New Roman" w:cs="Times New Roman"/>
          <w:sz w:val="24"/>
          <w:szCs w:val="24"/>
        </w:rPr>
        <w:t xml:space="preserve"> G, </w:t>
      </w:r>
      <w:proofErr w:type="spellStart"/>
      <w:r w:rsidRPr="00E172F4">
        <w:rPr>
          <w:rFonts w:ascii="Times New Roman" w:hAnsi="Times New Roman" w:cs="Times New Roman"/>
          <w:sz w:val="24"/>
          <w:szCs w:val="24"/>
        </w:rPr>
        <w:t>Stefanidis</w:t>
      </w:r>
      <w:proofErr w:type="spellEnd"/>
      <w:r w:rsidRPr="00E172F4">
        <w:rPr>
          <w:rFonts w:ascii="Times New Roman" w:hAnsi="Times New Roman" w:cs="Times New Roman"/>
          <w:sz w:val="24"/>
          <w:szCs w:val="24"/>
        </w:rPr>
        <w:t xml:space="preserve"> G, </w:t>
      </w:r>
      <w:proofErr w:type="spellStart"/>
      <w:r w:rsidRPr="00E172F4">
        <w:rPr>
          <w:rFonts w:ascii="Times New Roman" w:hAnsi="Times New Roman" w:cs="Times New Roman"/>
          <w:sz w:val="24"/>
          <w:szCs w:val="24"/>
        </w:rPr>
        <w:t>Gkolfakis</w:t>
      </w:r>
      <w:proofErr w:type="spellEnd"/>
      <w:r w:rsidRPr="00E172F4">
        <w:rPr>
          <w:rFonts w:ascii="Times New Roman" w:hAnsi="Times New Roman" w:cs="Times New Roman"/>
          <w:sz w:val="24"/>
          <w:szCs w:val="24"/>
        </w:rPr>
        <w:t xml:space="preserve"> P, </w:t>
      </w:r>
      <w:proofErr w:type="spellStart"/>
      <w:r w:rsidRPr="00E172F4">
        <w:rPr>
          <w:rFonts w:ascii="Times New Roman" w:hAnsi="Times New Roman" w:cs="Times New Roman"/>
          <w:sz w:val="24"/>
          <w:szCs w:val="24"/>
        </w:rPr>
        <w:t>Vezakis</w:t>
      </w:r>
      <w:proofErr w:type="spellEnd"/>
      <w:r w:rsidRPr="00E172F4">
        <w:rPr>
          <w:rFonts w:ascii="Times New Roman" w:hAnsi="Times New Roman" w:cs="Times New Roman"/>
          <w:sz w:val="24"/>
          <w:szCs w:val="24"/>
        </w:rPr>
        <w:t xml:space="preserve"> IA, </w:t>
      </w:r>
      <w:proofErr w:type="spellStart"/>
      <w:r w:rsidRPr="00E172F4">
        <w:rPr>
          <w:rFonts w:ascii="Times New Roman" w:hAnsi="Times New Roman" w:cs="Times New Roman"/>
          <w:sz w:val="24"/>
          <w:szCs w:val="24"/>
        </w:rPr>
        <w:t>Deriban</w:t>
      </w:r>
      <w:proofErr w:type="spellEnd"/>
      <w:r w:rsidRPr="00E172F4">
        <w:rPr>
          <w:rFonts w:ascii="Times New Roman" w:hAnsi="Times New Roman" w:cs="Times New Roman"/>
          <w:sz w:val="24"/>
          <w:szCs w:val="24"/>
        </w:rPr>
        <w:t xml:space="preserve"> G, </w:t>
      </w:r>
      <w:proofErr w:type="spellStart"/>
      <w:r w:rsidRPr="00E172F4">
        <w:rPr>
          <w:rFonts w:ascii="Times New Roman" w:hAnsi="Times New Roman" w:cs="Times New Roman"/>
          <w:sz w:val="24"/>
          <w:szCs w:val="24"/>
        </w:rPr>
        <w:t>Trajkovska</w:t>
      </w:r>
      <w:proofErr w:type="spellEnd"/>
      <w:r w:rsidRPr="00E172F4">
        <w:rPr>
          <w:rFonts w:ascii="Times New Roman" w:hAnsi="Times New Roman" w:cs="Times New Roman"/>
          <w:sz w:val="24"/>
          <w:szCs w:val="24"/>
        </w:rPr>
        <w:t xml:space="preserve"> M, </w:t>
      </w:r>
      <w:proofErr w:type="spellStart"/>
      <w:r w:rsidRPr="00E172F4">
        <w:rPr>
          <w:rFonts w:ascii="Times New Roman" w:hAnsi="Times New Roman" w:cs="Times New Roman"/>
          <w:sz w:val="24"/>
          <w:szCs w:val="24"/>
        </w:rPr>
        <w:t>Triantafyllou</w:t>
      </w:r>
      <w:proofErr w:type="spellEnd"/>
      <w:r w:rsidRPr="00E172F4">
        <w:rPr>
          <w:rFonts w:ascii="Times New Roman" w:hAnsi="Times New Roman" w:cs="Times New Roman"/>
          <w:sz w:val="24"/>
          <w:szCs w:val="24"/>
        </w:rPr>
        <w:t xml:space="preserve"> K. Unnecessary ERCPs: Is Spontaneous Stone Passage the Sole Determinant?. </w:t>
      </w:r>
      <w:proofErr w:type="spellStart"/>
      <w:r w:rsidRPr="00E172F4">
        <w:rPr>
          <w:rFonts w:ascii="Times New Roman" w:hAnsi="Times New Roman" w:cs="Times New Roman"/>
          <w:sz w:val="24"/>
          <w:szCs w:val="24"/>
        </w:rPr>
        <w:t>Medicina</w:t>
      </w:r>
      <w:proofErr w:type="spellEnd"/>
      <w:r w:rsidRPr="00E172F4">
        <w:rPr>
          <w:rFonts w:ascii="Times New Roman" w:hAnsi="Times New Roman" w:cs="Times New Roman"/>
          <w:sz w:val="24"/>
          <w:szCs w:val="24"/>
        </w:rPr>
        <w:t>. 2026 Mar 16</w:t>
      </w:r>
      <w:proofErr w:type="gramStart"/>
      <w:r w:rsidRPr="00E172F4">
        <w:rPr>
          <w:rFonts w:ascii="Times New Roman" w:hAnsi="Times New Roman" w:cs="Times New Roman"/>
          <w:sz w:val="24"/>
          <w:szCs w:val="24"/>
        </w:rPr>
        <w:t>;62</w:t>
      </w:r>
      <w:proofErr w:type="gramEnd"/>
      <w:r w:rsidRPr="00E172F4">
        <w:rPr>
          <w:rFonts w:ascii="Times New Roman" w:hAnsi="Times New Roman" w:cs="Times New Roman"/>
          <w:sz w:val="24"/>
          <w:szCs w:val="24"/>
        </w:rPr>
        <w:t>(3):548.</w:t>
      </w:r>
    </w:p>
    <w:p w14:paraId="76EAA784" w14:textId="7B0C8EA1" w:rsidR="00E172F4" w:rsidRPr="002D5606" w:rsidRDefault="00A1457C" w:rsidP="00A1457C">
      <w:pPr>
        <w:numPr>
          <w:ilvl w:val="0"/>
          <w:numId w:val="4"/>
        </w:numPr>
        <w:autoSpaceDE w:val="0"/>
        <w:autoSpaceDN w:val="0"/>
        <w:adjustRightInd w:val="0"/>
        <w:jc w:val="both"/>
        <w:rPr>
          <w:rFonts w:ascii="Times New Roman" w:hAnsi="Times New Roman" w:cs="Times New Roman"/>
          <w:sz w:val="24"/>
          <w:szCs w:val="24"/>
        </w:rPr>
      </w:pPr>
      <w:r w:rsidRPr="00A1457C">
        <w:rPr>
          <w:rFonts w:ascii="Times New Roman" w:hAnsi="Times New Roman" w:cs="Times New Roman"/>
          <w:sz w:val="24"/>
          <w:szCs w:val="24"/>
        </w:rPr>
        <w:t xml:space="preserve">Chen M, Chen FC, Pan Q, Liu ZH. Impact of </w:t>
      </w:r>
      <w:proofErr w:type="spellStart"/>
      <w:r w:rsidRPr="00A1457C">
        <w:rPr>
          <w:rFonts w:ascii="Times New Roman" w:hAnsi="Times New Roman" w:cs="Times New Roman"/>
          <w:sz w:val="24"/>
          <w:szCs w:val="24"/>
        </w:rPr>
        <w:t>dexmedetomidine</w:t>
      </w:r>
      <w:proofErr w:type="spellEnd"/>
      <w:r w:rsidRPr="00A1457C">
        <w:rPr>
          <w:rFonts w:ascii="Times New Roman" w:hAnsi="Times New Roman" w:cs="Times New Roman"/>
          <w:sz w:val="24"/>
          <w:szCs w:val="24"/>
        </w:rPr>
        <w:t xml:space="preserve"> preconditioning on analgesic and postoperative recovery in elderly patients undergoing laparoscopic cholecystectomy. World Journal of Gastrointestinal Surgery. 2026 Feb 27</w:t>
      </w:r>
      <w:proofErr w:type="gramStart"/>
      <w:r w:rsidRPr="00A1457C">
        <w:rPr>
          <w:rFonts w:ascii="Times New Roman" w:hAnsi="Times New Roman" w:cs="Times New Roman"/>
          <w:sz w:val="24"/>
          <w:szCs w:val="24"/>
        </w:rPr>
        <w:t>;18</w:t>
      </w:r>
      <w:proofErr w:type="gramEnd"/>
      <w:r w:rsidRPr="00A1457C">
        <w:rPr>
          <w:rFonts w:ascii="Times New Roman" w:hAnsi="Times New Roman" w:cs="Times New Roman"/>
          <w:sz w:val="24"/>
          <w:szCs w:val="24"/>
        </w:rPr>
        <w:t>(2):113525.</w:t>
      </w:r>
    </w:p>
    <w:p w14:paraId="2C58EBAB" w14:textId="77777777" w:rsidR="009F3129" w:rsidRPr="002D5606" w:rsidRDefault="009F3129" w:rsidP="00973613">
      <w:pPr>
        <w:pStyle w:val="NormalWeb"/>
        <w:spacing w:beforeAutospacing="0" w:afterAutospacing="0"/>
        <w:jc w:val="both"/>
        <w:rPr>
          <w:rFonts w:cs="Times New Roman"/>
          <w:b/>
          <w:bCs/>
        </w:rPr>
      </w:pPr>
    </w:p>
    <w:p w14:paraId="6A55C7A6" w14:textId="77777777" w:rsidR="009F3129" w:rsidRPr="002D5606" w:rsidRDefault="009F3129" w:rsidP="002D5606">
      <w:pPr>
        <w:jc w:val="both"/>
        <w:rPr>
          <w:rFonts w:ascii="Times New Roman" w:hAnsi="Times New Roman" w:cs="Times New Roman"/>
          <w:sz w:val="24"/>
          <w:szCs w:val="24"/>
        </w:rPr>
      </w:pPr>
    </w:p>
    <w:sectPr w:rsidR="009F3129" w:rsidRPr="002D5606">
      <w:headerReference w:type="even" r:id="rId12"/>
      <w:headerReference w:type="default" r:id="rId13"/>
      <w:footerReference w:type="even" r:id="rId14"/>
      <w:footerReference w:type="default" r:id="rId15"/>
      <w:headerReference w:type="first" r:id="rId16"/>
      <w:footerReference w:type="first" r:id="rId17"/>
      <w:pgSz w:w="11906" w:h="16838"/>
      <w:pgMar w:top="1440" w:right="13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84224" w14:textId="77777777" w:rsidR="00567DAA" w:rsidRDefault="00567DAA" w:rsidP="00CD5A9A">
      <w:r>
        <w:separator/>
      </w:r>
    </w:p>
  </w:endnote>
  <w:endnote w:type="continuationSeparator" w:id="0">
    <w:p w14:paraId="33AF44E3" w14:textId="77777777" w:rsidR="00567DAA" w:rsidRDefault="00567DAA" w:rsidP="00CD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ED4F" w14:textId="77777777" w:rsidR="00CD5A9A" w:rsidRDefault="00CD5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97424" w14:textId="77777777" w:rsidR="00CD5A9A" w:rsidRDefault="00CD5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53A15" w14:textId="77777777" w:rsidR="00CD5A9A" w:rsidRDefault="00CD5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71085" w14:textId="77777777" w:rsidR="00567DAA" w:rsidRDefault="00567DAA" w:rsidP="00CD5A9A">
      <w:r>
        <w:separator/>
      </w:r>
    </w:p>
  </w:footnote>
  <w:footnote w:type="continuationSeparator" w:id="0">
    <w:p w14:paraId="02A453D9" w14:textId="77777777" w:rsidR="00567DAA" w:rsidRDefault="00567DAA" w:rsidP="00CD5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30BA8" w14:textId="50D2467F" w:rsidR="00CD5A9A" w:rsidRDefault="00567DAA">
    <w:pPr>
      <w:pStyle w:val="Header"/>
    </w:pPr>
    <w:r>
      <w:rPr>
        <w:noProof/>
      </w:rPr>
      <w:pict w14:anchorId="49C6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3" o:spid="_x0000_s2050" type="#_x0000_t136" style="position:absolute;margin-left:0;margin-top:0;width:522.35pt;height:9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15002" w14:textId="2B9D924E" w:rsidR="00CD5A9A" w:rsidRDefault="00567DAA">
    <w:pPr>
      <w:pStyle w:val="Header"/>
    </w:pPr>
    <w:r>
      <w:rPr>
        <w:noProof/>
      </w:rPr>
      <w:pict w14:anchorId="76D6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4" o:spid="_x0000_s2051" type="#_x0000_t136" style="position:absolute;margin-left:0;margin-top:0;width:522.35pt;height:97.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55114" w14:textId="71B6443D" w:rsidR="00CD5A9A" w:rsidRDefault="00567DAA">
    <w:pPr>
      <w:pStyle w:val="Header"/>
    </w:pPr>
    <w:r>
      <w:rPr>
        <w:noProof/>
      </w:rPr>
      <w:pict w14:anchorId="5DF3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2" o:spid="_x0000_s2049" type="#_x0000_t136" style="position:absolute;margin-left:0;margin-top:0;width:522.35pt;height:9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C6A4A"/>
    <w:multiLevelType w:val="singleLevel"/>
    <w:tmpl w:val="FBEC6A4A"/>
    <w:lvl w:ilvl="0">
      <w:start w:val="1"/>
      <w:numFmt w:val="decimal"/>
      <w:lvlText w:val="%1."/>
      <w:lvlJc w:val="left"/>
      <w:pPr>
        <w:tabs>
          <w:tab w:val="left" w:pos="425"/>
        </w:tabs>
        <w:ind w:left="425" w:hanging="425"/>
      </w:pPr>
      <w:rPr>
        <w:rFonts w:hint="default"/>
      </w:rPr>
    </w:lvl>
  </w:abstractNum>
  <w:abstractNum w:abstractNumId="1">
    <w:nsid w:val="07630E9D"/>
    <w:multiLevelType w:val="multilevel"/>
    <w:tmpl w:val="07630E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C2D57B"/>
    <w:multiLevelType w:val="singleLevel"/>
    <w:tmpl w:val="25C2D57B"/>
    <w:lvl w:ilvl="0">
      <w:start w:val="1"/>
      <w:numFmt w:val="bullet"/>
      <w:lvlText w:val=""/>
      <w:lvlJc w:val="left"/>
      <w:pPr>
        <w:tabs>
          <w:tab w:val="left" w:pos="420"/>
        </w:tabs>
        <w:ind w:left="420" w:hanging="420"/>
      </w:pPr>
      <w:rPr>
        <w:rFonts w:ascii="Wingdings" w:hAnsi="Wingdings" w:hint="default"/>
      </w:rPr>
    </w:lvl>
  </w:abstractNum>
  <w:abstractNum w:abstractNumId="3">
    <w:nsid w:val="7D49386B"/>
    <w:multiLevelType w:val="singleLevel"/>
    <w:tmpl w:val="7D49386B"/>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E517B"/>
    <w:rsid w:val="0005516F"/>
    <w:rsid w:val="001A0456"/>
    <w:rsid w:val="001A17D2"/>
    <w:rsid w:val="001C611A"/>
    <w:rsid w:val="002A00AA"/>
    <w:rsid w:val="002C12B7"/>
    <w:rsid w:val="002D5606"/>
    <w:rsid w:val="0032242C"/>
    <w:rsid w:val="00396A08"/>
    <w:rsid w:val="003D4E86"/>
    <w:rsid w:val="004F01A3"/>
    <w:rsid w:val="005328B5"/>
    <w:rsid w:val="00567DAA"/>
    <w:rsid w:val="005771E8"/>
    <w:rsid w:val="005A6118"/>
    <w:rsid w:val="00671362"/>
    <w:rsid w:val="0067409E"/>
    <w:rsid w:val="00680203"/>
    <w:rsid w:val="006949B7"/>
    <w:rsid w:val="006E3C79"/>
    <w:rsid w:val="007246FC"/>
    <w:rsid w:val="007A0391"/>
    <w:rsid w:val="007A5611"/>
    <w:rsid w:val="007C6ED7"/>
    <w:rsid w:val="007D4D3E"/>
    <w:rsid w:val="008F526F"/>
    <w:rsid w:val="00912939"/>
    <w:rsid w:val="00957045"/>
    <w:rsid w:val="00973613"/>
    <w:rsid w:val="009F3129"/>
    <w:rsid w:val="00A1457C"/>
    <w:rsid w:val="00A54B02"/>
    <w:rsid w:val="00A62ED6"/>
    <w:rsid w:val="00A70A10"/>
    <w:rsid w:val="00BF15B9"/>
    <w:rsid w:val="00C2504F"/>
    <w:rsid w:val="00C746F9"/>
    <w:rsid w:val="00CC337E"/>
    <w:rsid w:val="00CC36B2"/>
    <w:rsid w:val="00CD5A9A"/>
    <w:rsid w:val="00DA7980"/>
    <w:rsid w:val="00DE2C7B"/>
    <w:rsid w:val="00DF6115"/>
    <w:rsid w:val="00E172F4"/>
    <w:rsid w:val="00E2763C"/>
    <w:rsid w:val="00E54DC1"/>
    <w:rsid w:val="00F45471"/>
    <w:rsid w:val="030A2C78"/>
    <w:rsid w:val="197E517B"/>
    <w:rsid w:val="5F2475B6"/>
    <w:rsid w:val="62A162D8"/>
    <w:rsid w:val="65D13338"/>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58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mr-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bidi="ar-SA"/>
    </w:rPr>
  </w:style>
  <w:style w:type="paragraph" w:styleId="Heading2">
    <w:name w:val="heading 2"/>
    <w:next w:val="Normal"/>
    <w:link w:val="Heading2Char"/>
    <w:semiHidden/>
    <w:unhideWhenUsed/>
    <w:qFormat/>
    <w:pPr>
      <w:spacing w:beforeAutospacing="1" w:afterAutospacing="1"/>
      <w:outlineLvl w:val="1"/>
    </w:pPr>
    <w:rPr>
      <w:rFonts w:ascii="SimSun" w:hAnsi="SimSun" w:cs="Mangal"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cs="Mangal"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paragraph" w:styleId="NormalWeb">
    <w:name w:val="Normal (Web)"/>
    <w:pPr>
      <w:spacing w:beforeAutospacing="1" w:afterAutospacing="1"/>
    </w:pPr>
    <w:rPr>
      <w:rFonts w:cs="Mangal"/>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rsid w:val="00E54DC1"/>
    <w:rPr>
      <w:rFonts w:ascii="Tahoma" w:hAnsi="Tahoma" w:cs="Tahoma"/>
      <w:sz w:val="16"/>
      <w:szCs w:val="16"/>
    </w:rPr>
  </w:style>
  <w:style w:type="character" w:customStyle="1" w:styleId="BalloonTextChar">
    <w:name w:val="Balloon Text Char"/>
    <w:basedOn w:val="DefaultParagraphFont"/>
    <w:link w:val="BalloonText"/>
    <w:rsid w:val="00E54DC1"/>
    <w:rPr>
      <w:rFonts w:ascii="Tahoma" w:eastAsiaTheme="minorEastAsia" w:hAnsi="Tahoma" w:cs="Tahoma"/>
      <w:sz w:val="16"/>
      <w:szCs w:val="16"/>
      <w:lang w:eastAsia="zh-CN" w:bidi="ar-SA"/>
    </w:rPr>
  </w:style>
  <w:style w:type="table" w:styleId="TableGrid">
    <w:name w:val="Table Grid"/>
    <w:basedOn w:val="TableNormal"/>
    <w:rsid w:val="00F4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409E"/>
    <w:rPr>
      <w:color w:val="0563C1" w:themeColor="hyperlink"/>
      <w:u w:val="single"/>
    </w:rPr>
  </w:style>
  <w:style w:type="character" w:customStyle="1" w:styleId="UnresolvedMention">
    <w:name w:val="Unresolved Mention"/>
    <w:basedOn w:val="DefaultParagraphFont"/>
    <w:uiPriority w:val="99"/>
    <w:semiHidden/>
    <w:unhideWhenUsed/>
    <w:rsid w:val="0067409E"/>
    <w:rPr>
      <w:color w:val="605E5C"/>
      <w:shd w:val="clear" w:color="auto" w:fill="E1DFDD"/>
    </w:rPr>
  </w:style>
  <w:style w:type="character" w:customStyle="1" w:styleId="Heading2Char">
    <w:name w:val="Heading 2 Char"/>
    <w:basedOn w:val="DefaultParagraphFont"/>
    <w:link w:val="Heading2"/>
    <w:semiHidden/>
    <w:rsid w:val="0005516F"/>
    <w:rPr>
      <w:rFonts w:ascii="SimSun" w:hAnsi="SimSun" w:cs="Mangal"/>
      <w:b/>
      <w:bCs/>
      <w:sz w:val="36"/>
      <w:szCs w:val="3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mr-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bidi="ar-SA"/>
    </w:rPr>
  </w:style>
  <w:style w:type="paragraph" w:styleId="Heading2">
    <w:name w:val="heading 2"/>
    <w:next w:val="Normal"/>
    <w:link w:val="Heading2Char"/>
    <w:semiHidden/>
    <w:unhideWhenUsed/>
    <w:qFormat/>
    <w:pPr>
      <w:spacing w:beforeAutospacing="1" w:afterAutospacing="1"/>
      <w:outlineLvl w:val="1"/>
    </w:pPr>
    <w:rPr>
      <w:rFonts w:ascii="SimSun" w:hAnsi="SimSun" w:cs="Mangal"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cs="Mangal"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paragraph" w:styleId="NormalWeb">
    <w:name w:val="Normal (Web)"/>
    <w:pPr>
      <w:spacing w:beforeAutospacing="1" w:afterAutospacing="1"/>
    </w:pPr>
    <w:rPr>
      <w:rFonts w:cs="Mangal"/>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rsid w:val="00E54DC1"/>
    <w:rPr>
      <w:rFonts w:ascii="Tahoma" w:hAnsi="Tahoma" w:cs="Tahoma"/>
      <w:sz w:val="16"/>
      <w:szCs w:val="16"/>
    </w:rPr>
  </w:style>
  <w:style w:type="character" w:customStyle="1" w:styleId="BalloonTextChar">
    <w:name w:val="Balloon Text Char"/>
    <w:basedOn w:val="DefaultParagraphFont"/>
    <w:link w:val="BalloonText"/>
    <w:rsid w:val="00E54DC1"/>
    <w:rPr>
      <w:rFonts w:ascii="Tahoma" w:eastAsiaTheme="minorEastAsia" w:hAnsi="Tahoma" w:cs="Tahoma"/>
      <w:sz w:val="16"/>
      <w:szCs w:val="16"/>
      <w:lang w:eastAsia="zh-CN" w:bidi="ar-SA"/>
    </w:rPr>
  </w:style>
  <w:style w:type="table" w:styleId="TableGrid">
    <w:name w:val="Table Grid"/>
    <w:basedOn w:val="TableNormal"/>
    <w:rsid w:val="00F4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409E"/>
    <w:rPr>
      <w:color w:val="0563C1" w:themeColor="hyperlink"/>
      <w:u w:val="single"/>
    </w:rPr>
  </w:style>
  <w:style w:type="character" w:customStyle="1" w:styleId="UnresolvedMention">
    <w:name w:val="Unresolved Mention"/>
    <w:basedOn w:val="DefaultParagraphFont"/>
    <w:uiPriority w:val="99"/>
    <w:semiHidden/>
    <w:unhideWhenUsed/>
    <w:rsid w:val="0067409E"/>
    <w:rPr>
      <w:color w:val="605E5C"/>
      <w:shd w:val="clear" w:color="auto" w:fill="E1DFDD"/>
    </w:rPr>
  </w:style>
  <w:style w:type="character" w:customStyle="1" w:styleId="Heading2Char">
    <w:name w:val="Heading 2 Char"/>
    <w:basedOn w:val="DefaultParagraphFont"/>
    <w:link w:val="Heading2"/>
    <w:semiHidden/>
    <w:rsid w:val="0005516F"/>
    <w:rPr>
      <w:rFonts w:ascii="SimSun" w:hAnsi="SimSun" w:cs="Mangal"/>
      <w:b/>
      <w:b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3714</Words>
  <Characters>21176</Characters>
  <Application>Microsoft Office Word</Application>
  <DocSecurity>0</DocSecurity>
  <Lines>176</Lines>
  <Paragraphs>49</Paragraphs>
  <ScaleCrop>false</ScaleCrop>
  <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Jamil</dc:creator>
  <cp:lastModifiedBy>dell</cp:lastModifiedBy>
  <cp:revision>45</cp:revision>
  <dcterms:created xsi:type="dcterms:W3CDTF">2026-02-13T09:41:00Z</dcterms:created>
  <dcterms:modified xsi:type="dcterms:W3CDTF">2026-04-01T07:22:00Z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CD96A82CCEB34DD5AA4AA34FFFC68BD2_13</vt:lpwstr>
  </property>
</Properties>
</file>