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0F231" w14:textId="77777777" w:rsidR="00754C9A" w:rsidRDefault="00754C9A" w:rsidP="00441B6F">
      <w:pPr>
        <w:pStyle w:val="Title"/>
        <w:spacing w:after="0"/>
        <w:jc w:val="both"/>
        <w:rPr>
          <w:rFonts w:ascii="Arial" w:hAnsi="Arial" w:cs="Arial"/>
        </w:rPr>
      </w:pPr>
      <w:bookmarkStart w:id="0" w:name="_GoBack"/>
      <w:bookmarkEnd w:id="0"/>
    </w:p>
    <w:p w14:paraId="0643B6A1" w14:textId="77777777" w:rsidR="00C06394" w:rsidRPr="00C06394" w:rsidRDefault="00C06394" w:rsidP="000238A0">
      <w:pPr>
        <w:pStyle w:val="Author"/>
        <w:spacing w:line="240" w:lineRule="auto"/>
        <w:rPr>
          <w:rFonts w:ascii="Arial" w:hAnsi="Arial" w:cs="Arial"/>
          <w:bCs/>
          <w:i/>
          <w:iCs/>
          <w:kern w:val="28"/>
          <w:sz w:val="44"/>
          <w:szCs w:val="24"/>
          <w:u w:val="single"/>
        </w:rPr>
      </w:pPr>
      <w:r w:rsidRPr="00C06394">
        <w:rPr>
          <w:rFonts w:ascii="Arial" w:hAnsi="Arial" w:cs="Arial"/>
          <w:bCs/>
          <w:i/>
          <w:iCs/>
          <w:kern w:val="28"/>
          <w:sz w:val="44"/>
          <w:szCs w:val="24"/>
          <w:u w:val="single"/>
        </w:rPr>
        <w:t>Review Article</w:t>
      </w:r>
    </w:p>
    <w:p w14:paraId="7B7D6C19" w14:textId="77777777" w:rsidR="00D53DFE" w:rsidRDefault="00D53DFE" w:rsidP="00D53DFE">
      <w:pPr>
        <w:pStyle w:val="Author"/>
        <w:spacing w:line="240" w:lineRule="auto"/>
        <w:rPr>
          <w:rFonts w:ascii="Arial" w:hAnsi="Arial" w:cs="Arial"/>
          <w:bCs/>
          <w:iCs/>
          <w:kern w:val="28"/>
          <w:sz w:val="44"/>
          <w:szCs w:val="24"/>
        </w:rPr>
      </w:pPr>
      <w:r>
        <w:rPr>
          <w:rFonts w:ascii="Arial" w:hAnsi="Arial" w:cs="Arial"/>
          <w:bCs/>
          <w:iCs/>
          <w:kern w:val="28"/>
          <w:sz w:val="44"/>
          <w:szCs w:val="24"/>
        </w:rPr>
        <w:t>Thoracolumbar Spine Trauma: Classification Systems, Management Strategies, and Current Clinical Challenges</w:t>
      </w:r>
    </w:p>
    <w:p w14:paraId="2F7218F5" w14:textId="77777777" w:rsidR="00C06394" w:rsidRPr="00FB3A86" w:rsidRDefault="00C06394" w:rsidP="00EB3A3A">
      <w:pPr>
        <w:pStyle w:val="Affiliation"/>
        <w:spacing w:after="0" w:line="240" w:lineRule="auto"/>
        <w:jc w:val="both"/>
        <w:rPr>
          <w:rFonts w:ascii="Arial" w:hAnsi="Arial" w:cs="Arial"/>
        </w:rPr>
      </w:pPr>
    </w:p>
    <w:p w14:paraId="7EB378A4" w14:textId="3CDE165F" w:rsidR="00B01FCD" w:rsidRPr="00FB3A86" w:rsidRDefault="001F4780" w:rsidP="00441B6F">
      <w:pPr>
        <w:pStyle w:val="Copyright"/>
        <w:spacing w:after="0" w:line="240" w:lineRule="auto"/>
        <w:jc w:val="both"/>
        <w:rPr>
          <w:rFonts w:ascii="Arial" w:hAnsi="Arial" w:cs="Arial"/>
        </w:rPr>
        <w:sectPr w:rsidR="00B01FCD" w:rsidRPr="00FB3A86" w:rsidSect="00DA02CD">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D0D837" wp14:editId="6EA4A1BF">
                <wp:extent cx="5303520" cy="635"/>
                <wp:effectExtent l="15240" t="15240" r="15240" b="13335"/>
                <wp:docPr id="12570395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943EC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282F9A" w14:textId="7ADCE1B4" w:rsidR="00B01FCD" w:rsidRDefault="00B01FCD" w:rsidP="00725AF4">
      <w:pPr>
        <w:pStyle w:val="AbstHead"/>
        <w:spacing w:after="0"/>
        <w:ind w:left="720" w:firstLine="72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781"/>
      </w:tblGrid>
      <w:tr w:rsidR="00296529" w:rsidRPr="001E44FE" w14:paraId="5CE9B032" w14:textId="77777777" w:rsidTr="00725AF4">
        <w:tc>
          <w:tcPr>
            <w:tcW w:w="9781" w:type="dxa"/>
            <w:shd w:val="clear" w:color="auto" w:fill="F2F2F2"/>
          </w:tcPr>
          <w:p w14:paraId="3104DB58" w14:textId="77777777" w:rsidR="00036017" w:rsidRDefault="00036017" w:rsidP="00036017">
            <w:pPr>
              <w:pStyle w:val="isselectedend"/>
              <w:spacing w:before="0" w:beforeAutospacing="0" w:after="0" w:afterAutospacing="0"/>
              <w:jc w:val="both"/>
              <w:rPr>
                <w:rFonts w:ascii="Arial" w:hAnsi="Arial" w:cs="Arial"/>
                <w:sz w:val="20"/>
                <w:szCs w:val="20"/>
              </w:rPr>
            </w:pPr>
            <w:r w:rsidRPr="00036017">
              <w:rPr>
                <w:rStyle w:val="Strong"/>
                <w:rFonts w:ascii="Arial" w:hAnsi="Arial" w:cs="Arial"/>
                <w:sz w:val="20"/>
                <w:szCs w:val="20"/>
              </w:rPr>
              <w:t>Aims:</w:t>
            </w:r>
            <w:r w:rsidRPr="00036017">
              <w:rPr>
                <w:rFonts w:ascii="Arial" w:hAnsi="Arial" w:cs="Arial"/>
                <w:sz w:val="20"/>
                <w:szCs w:val="20"/>
              </w:rPr>
              <w:br/>
              <w:t>To provide a focused review of thoracolumbar trauma, with emphasis on its biomechanical basis, injury patterns, diagnostic evaluation, classification systems, management strategies, and current clinical challenges.</w:t>
            </w:r>
          </w:p>
          <w:p w14:paraId="5D7DA22E" w14:textId="77777777" w:rsidR="00036017" w:rsidRPr="00036017" w:rsidRDefault="00036017" w:rsidP="00036017">
            <w:pPr>
              <w:pStyle w:val="isselectedend"/>
              <w:spacing w:before="0" w:beforeAutospacing="0" w:after="0" w:afterAutospacing="0"/>
              <w:jc w:val="both"/>
              <w:rPr>
                <w:rFonts w:ascii="Arial" w:hAnsi="Arial" w:cs="Arial"/>
                <w:sz w:val="20"/>
                <w:szCs w:val="20"/>
              </w:rPr>
            </w:pPr>
          </w:p>
          <w:p w14:paraId="124A18FB" w14:textId="77777777" w:rsidR="00036017" w:rsidRDefault="00036017" w:rsidP="00036017">
            <w:pPr>
              <w:pStyle w:val="isselectedend"/>
              <w:spacing w:before="0" w:beforeAutospacing="0" w:after="0" w:afterAutospacing="0"/>
              <w:jc w:val="both"/>
              <w:rPr>
                <w:rStyle w:val="Strong"/>
                <w:rFonts w:ascii="Arial" w:hAnsi="Arial" w:cs="Arial"/>
                <w:sz w:val="20"/>
                <w:szCs w:val="20"/>
              </w:rPr>
            </w:pPr>
            <w:r w:rsidRPr="00036017">
              <w:rPr>
                <w:rStyle w:val="Strong"/>
                <w:rFonts w:ascii="Arial" w:hAnsi="Arial" w:cs="Arial"/>
                <w:sz w:val="20"/>
                <w:szCs w:val="20"/>
              </w:rPr>
              <w:t>Study Design:</w:t>
            </w:r>
          </w:p>
          <w:p w14:paraId="225F82B5" w14:textId="050E57C7" w:rsidR="00036017" w:rsidRDefault="00036017" w:rsidP="00036017">
            <w:pPr>
              <w:pStyle w:val="isselectedend"/>
              <w:spacing w:before="0" w:beforeAutospacing="0" w:after="0" w:afterAutospacing="0"/>
              <w:jc w:val="both"/>
              <w:rPr>
                <w:rFonts w:ascii="Arial" w:hAnsi="Arial" w:cs="Arial"/>
                <w:sz w:val="20"/>
                <w:szCs w:val="20"/>
              </w:rPr>
            </w:pPr>
            <w:r w:rsidRPr="00036017">
              <w:rPr>
                <w:rFonts w:ascii="Arial" w:hAnsi="Arial" w:cs="Arial"/>
                <w:sz w:val="20"/>
                <w:szCs w:val="20"/>
              </w:rPr>
              <w:t>Narrative literature review.</w:t>
            </w:r>
          </w:p>
          <w:p w14:paraId="686C4C1D" w14:textId="77777777" w:rsidR="00036017" w:rsidRPr="00036017" w:rsidRDefault="00036017" w:rsidP="00036017">
            <w:pPr>
              <w:pStyle w:val="isselectedend"/>
              <w:spacing w:before="0" w:beforeAutospacing="0" w:after="0" w:afterAutospacing="0"/>
              <w:jc w:val="both"/>
              <w:rPr>
                <w:rFonts w:ascii="Arial" w:hAnsi="Arial" w:cs="Arial"/>
                <w:sz w:val="20"/>
                <w:szCs w:val="20"/>
              </w:rPr>
            </w:pPr>
          </w:p>
          <w:p w14:paraId="45261506" w14:textId="77777777" w:rsidR="00036017" w:rsidRDefault="00036017" w:rsidP="00036017">
            <w:pPr>
              <w:pStyle w:val="isselectedend"/>
              <w:spacing w:before="0" w:beforeAutospacing="0" w:after="0" w:afterAutospacing="0"/>
              <w:jc w:val="both"/>
              <w:rPr>
                <w:rFonts w:ascii="Arial" w:hAnsi="Arial" w:cs="Arial"/>
                <w:sz w:val="20"/>
                <w:szCs w:val="20"/>
              </w:rPr>
            </w:pPr>
            <w:r w:rsidRPr="00036017">
              <w:rPr>
                <w:rStyle w:val="Strong"/>
                <w:rFonts w:ascii="Arial" w:hAnsi="Arial" w:cs="Arial"/>
                <w:sz w:val="20"/>
                <w:szCs w:val="20"/>
              </w:rPr>
              <w:t>Methodology:</w:t>
            </w:r>
            <w:r w:rsidRPr="00036017">
              <w:rPr>
                <w:rFonts w:ascii="Arial" w:hAnsi="Arial" w:cs="Arial"/>
                <w:sz w:val="20"/>
                <w:szCs w:val="20"/>
              </w:rPr>
              <w:br/>
              <w:t>This review summarizes published literature on thoracolumbar trauma identified through searches of PubMed, Google Scholar, and other accessible academic sources. Relevant English-language studies involving human thoracolumbar spine injuries were selected based on their contribution to the understanding of epidemiology, biomechanics, clinical presentation, imaging, classification systems, treatment approaches, and rehabilitation. The included literature was synthesized thematically to provide a clinically relevant overview of thoracolumbar trauma and its management.</w:t>
            </w:r>
          </w:p>
          <w:p w14:paraId="2556EE9D" w14:textId="77777777" w:rsidR="00036017" w:rsidRPr="00036017" w:rsidRDefault="00036017" w:rsidP="00036017">
            <w:pPr>
              <w:pStyle w:val="isselectedend"/>
              <w:spacing w:before="0" w:beforeAutospacing="0" w:after="0" w:afterAutospacing="0"/>
              <w:jc w:val="both"/>
              <w:rPr>
                <w:rFonts w:ascii="Arial" w:hAnsi="Arial" w:cs="Arial"/>
                <w:sz w:val="20"/>
                <w:szCs w:val="20"/>
              </w:rPr>
            </w:pPr>
          </w:p>
          <w:p w14:paraId="610154A7" w14:textId="77777777" w:rsidR="00036017" w:rsidRDefault="00036017" w:rsidP="00036017">
            <w:pPr>
              <w:pStyle w:val="isselectedend"/>
              <w:spacing w:before="0" w:beforeAutospacing="0" w:after="0" w:afterAutospacing="0"/>
              <w:jc w:val="both"/>
              <w:rPr>
                <w:rFonts w:ascii="Arial" w:hAnsi="Arial" w:cs="Arial"/>
                <w:sz w:val="20"/>
                <w:szCs w:val="20"/>
              </w:rPr>
            </w:pPr>
            <w:r w:rsidRPr="00036017">
              <w:rPr>
                <w:rStyle w:val="Strong"/>
                <w:rFonts w:ascii="Arial" w:hAnsi="Arial" w:cs="Arial"/>
                <w:sz w:val="20"/>
                <w:szCs w:val="20"/>
              </w:rPr>
              <w:t>Results:</w:t>
            </w:r>
            <w:r w:rsidRPr="00036017">
              <w:rPr>
                <w:rFonts w:ascii="Arial" w:hAnsi="Arial" w:cs="Arial"/>
                <w:sz w:val="20"/>
                <w:szCs w:val="20"/>
              </w:rPr>
              <w:br/>
              <w:t>The reviewed literature indicates that thoracolumbar trauma is a clinically important spinal injury because the thoracolumbar junction is a biomechanically vulnerable transition zone between the rigid thoracic spine and the mobile lumbar spine. Injury patterns range from stable compression fractures to unstable burst fractures, distraction injuries, and fracture-dislocations, with road traffic accidents and falls being the most common causes. Computed tomography and magnetic resonance imaging are essential for accurate assessment of fracture morphology, ligamentous injury, posterior ligamentous complex integrity, and neural compression. Classification systems such as the Denis three-column model, AO Spine classification, and Thoracolumbar Injury Classification and Severity Score (TLICS) are useful in evaluating instability and guiding treatment decisions. Stable injuries without neurological deficit are generally managed conservatively, whereas unstable fractures, posterior ligamentous complex disruption, progressive deformity, neural compression, and neurological deficit are the main indications for surgical intervention. Rehabilitation is important in both operative and non-operative care to support pain control, mobilization, functional recovery, and long-term quality of life. The literature also highlights ongoing challenges related to borderline cases, delayed diagnosis, limited resources, and real-world clinical decision-making.</w:t>
            </w:r>
          </w:p>
          <w:p w14:paraId="6D5FEF45" w14:textId="77777777" w:rsidR="00036017" w:rsidRPr="00036017" w:rsidRDefault="00036017" w:rsidP="00036017">
            <w:pPr>
              <w:pStyle w:val="isselectedend"/>
              <w:spacing w:before="0" w:beforeAutospacing="0" w:after="0" w:afterAutospacing="0"/>
              <w:jc w:val="both"/>
              <w:rPr>
                <w:rFonts w:ascii="Arial" w:hAnsi="Arial" w:cs="Arial"/>
                <w:sz w:val="20"/>
                <w:szCs w:val="20"/>
              </w:rPr>
            </w:pPr>
          </w:p>
          <w:p w14:paraId="0B1983D5" w14:textId="77777777" w:rsidR="00036017" w:rsidRPr="00036017" w:rsidRDefault="00036017" w:rsidP="00036017">
            <w:pPr>
              <w:pStyle w:val="NormalWeb"/>
              <w:spacing w:before="0" w:beforeAutospacing="0" w:after="0" w:afterAutospacing="0"/>
              <w:jc w:val="both"/>
              <w:rPr>
                <w:rFonts w:ascii="Arial" w:hAnsi="Arial" w:cs="Arial"/>
                <w:sz w:val="20"/>
                <w:szCs w:val="20"/>
              </w:rPr>
            </w:pPr>
            <w:r w:rsidRPr="00036017">
              <w:rPr>
                <w:rStyle w:val="Strong"/>
                <w:rFonts w:ascii="Arial" w:hAnsi="Arial" w:cs="Arial"/>
                <w:sz w:val="20"/>
                <w:szCs w:val="20"/>
              </w:rPr>
              <w:t>Conclusion:</w:t>
            </w:r>
            <w:r w:rsidRPr="00036017">
              <w:rPr>
                <w:rFonts w:ascii="Arial" w:hAnsi="Arial" w:cs="Arial"/>
                <w:sz w:val="20"/>
                <w:szCs w:val="20"/>
              </w:rPr>
              <w:br/>
              <w:t xml:space="preserve">Thoracolumbar trauma is a clinically significant and management-sensitive condition with substantial neurological and functional implications. Although classification systems are valuable in guiding treatment, management decisions must remain individualized according to instability, neurological status, ligamentous </w:t>
            </w:r>
            <w:r w:rsidRPr="00036017">
              <w:rPr>
                <w:rFonts w:ascii="Arial" w:hAnsi="Arial" w:cs="Arial"/>
                <w:sz w:val="20"/>
                <w:szCs w:val="20"/>
              </w:rPr>
              <w:lastRenderedPageBreak/>
              <w:t>injury, and patient-specific factors. Early recognition, accurate assessment, timely intervention, and appropriate rehabilitation are essential to improve outcomes and reduce long-term complications.</w:t>
            </w:r>
          </w:p>
          <w:p w14:paraId="62BF388F" w14:textId="388DBFD3" w:rsidR="00505F06" w:rsidRPr="00BA1B01" w:rsidRDefault="00505F06" w:rsidP="007F3787">
            <w:pPr>
              <w:pStyle w:val="Body"/>
              <w:spacing w:after="0"/>
              <w:rPr>
                <w:rFonts w:ascii="Arial" w:eastAsia="Calibri" w:hAnsi="Arial" w:cs="Arial"/>
                <w:szCs w:val="22"/>
              </w:rPr>
            </w:pPr>
          </w:p>
        </w:tc>
      </w:tr>
    </w:tbl>
    <w:p w14:paraId="442DBA88" w14:textId="7717C8D6" w:rsidR="00A24E7E" w:rsidRDefault="00A24E7E" w:rsidP="00441B6F">
      <w:pPr>
        <w:pStyle w:val="Body"/>
        <w:spacing w:after="0"/>
        <w:rPr>
          <w:rFonts w:ascii="Arial" w:hAnsi="Arial" w:cs="Arial"/>
          <w:i/>
        </w:rPr>
      </w:pPr>
      <w:r>
        <w:rPr>
          <w:rFonts w:ascii="Arial" w:hAnsi="Arial" w:cs="Arial"/>
          <w:i/>
        </w:rPr>
        <w:lastRenderedPageBreak/>
        <w:t xml:space="preserve">Keywords: </w:t>
      </w:r>
      <w:r w:rsidR="007F3787" w:rsidRPr="007F3787">
        <w:rPr>
          <w:rFonts w:ascii="Arial" w:hAnsi="Arial" w:cs="Arial"/>
          <w:i/>
        </w:rPr>
        <w:t>Thoracolumbar trauma, spinal fractures, thoracolumbar junction, spinal injury classification, AO Spine classification, TLICS, spinal stability, spinal trauma management</w:t>
      </w:r>
    </w:p>
    <w:p w14:paraId="3BBED506" w14:textId="77777777" w:rsidR="00036017" w:rsidRDefault="00036017" w:rsidP="00036017">
      <w:pPr>
        <w:pStyle w:val="Body"/>
        <w:spacing w:after="0"/>
        <w:rPr>
          <w:rFonts w:ascii="Arial" w:hAnsi="Arial" w:cs="Arial"/>
          <w:i/>
        </w:rPr>
      </w:pPr>
    </w:p>
    <w:p w14:paraId="22FF193A" w14:textId="77777777" w:rsidR="00036017" w:rsidRDefault="00036017" w:rsidP="00036017">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54684B86" w14:textId="77777777" w:rsidR="00D77080" w:rsidRPr="00D77080" w:rsidRDefault="00D77080" w:rsidP="00D77080">
      <w:pPr>
        <w:pStyle w:val="Body"/>
        <w:spacing w:after="0"/>
        <w:ind w:firstLine="720"/>
        <w:rPr>
          <w:rFonts w:ascii="Arial" w:hAnsi="Arial" w:cs="Arial"/>
          <w:lang w:val="en-ID"/>
        </w:rPr>
      </w:pPr>
      <w:r w:rsidRPr="00D77080">
        <w:rPr>
          <w:rFonts w:ascii="Arial" w:hAnsi="Arial" w:cs="Arial"/>
          <w:lang w:val="en-ID"/>
        </w:rPr>
        <w:t xml:space="preserve">Thoracolumbar trauma is one of the most common and clinically important forms of spinal injury, often leading to substantial morbidity, neurological impairment, and long-term disability </w:t>
      </w:r>
      <w:r w:rsidRPr="00D77080">
        <w:rPr>
          <w:rFonts w:ascii="Arial" w:hAnsi="Arial" w:cs="Arial"/>
          <w:vertAlign w:val="superscript"/>
          <w:lang w:val="en-ID"/>
        </w:rPr>
        <w:t>[13,16,22,25,30]</w:t>
      </w:r>
      <w:r w:rsidRPr="00D77080">
        <w:rPr>
          <w:rFonts w:ascii="Arial" w:hAnsi="Arial" w:cs="Arial"/>
          <w:lang w:val="en-ID"/>
        </w:rPr>
        <w:t xml:space="preserve">. The thoracolumbar junction is particularly vulnerable because it represents a biomechanical transition zone between the rigid thoracic spine and the more mobile lumbar spine, making it highly susceptible to traumatic forces such as axial compression, flexion, extension, and rotation [3,23,29]. These injuries commonly result from motor vehicle accidents, falls from height, sports injuries, and occupational trauma, with clinical presentations ranging from stable compression fractures to unstable burst fractures, flexion-distraction injuries, and fracture-dislocations </w:t>
      </w:r>
      <w:r w:rsidRPr="00D77080">
        <w:rPr>
          <w:rFonts w:ascii="Arial" w:hAnsi="Arial" w:cs="Arial"/>
          <w:vertAlign w:val="superscript"/>
          <w:lang w:val="en-ID"/>
        </w:rPr>
        <w:t>[13,22,28,30]</w:t>
      </w:r>
      <w:r w:rsidRPr="00D77080">
        <w:rPr>
          <w:rFonts w:ascii="Arial" w:hAnsi="Arial" w:cs="Arial"/>
          <w:lang w:val="en-ID"/>
        </w:rPr>
        <w:t>.</w:t>
      </w:r>
    </w:p>
    <w:p w14:paraId="402639BB" w14:textId="77777777" w:rsidR="00D77080" w:rsidRPr="00D77080" w:rsidRDefault="00D77080" w:rsidP="00D77080">
      <w:pPr>
        <w:pStyle w:val="Body"/>
        <w:spacing w:after="0"/>
        <w:ind w:firstLine="720"/>
        <w:rPr>
          <w:rFonts w:ascii="Arial" w:hAnsi="Arial" w:cs="Arial"/>
          <w:lang w:val="en-ID"/>
        </w:rPr>
      </w:pPr>
      <w:r w:rsidRPr="00D77080">
        <w:rPr>
          <w:rFonts w:ascii="Arial" w:hAnsi="Arial" w:cs="Arial"/>
          <w:lang w:val="en-ID"/>
        </w:rPr>
        <w:t xml:space="preserve">Accurate assessment of thoracolumbar trauma requires careful clinical and neurological evaluation supported by appropriate imaging, with attention to clinical red flags that may indicate significant structural injury </w:t>
      </w:r>
      <w:r w:rsidRPr="00D77080">
        <w:rPr>
          <w:rFonts w:ascii="Arial" w:hAnsi="Arial" w:cs="Arial"/>
          <w:vertAlign w:val="superscript"/>
          <w:lang w:val="en-ID"/>
        </w:rPr>
        <w:t>[5,7,17,19,22]</w:t>
      </w:r>
      <w:r w:rsidRPr="00D77080">
        <w:rPr>
          <w:rFonts w:ascii="Arial" w:hAnsi="Arial" w:cs="Arial"/>
          <w:lang w:val="en-ID"/>
        </w:rPr>
        <w:t xml:space="preserve">. While plain radiography may be useful for initial assessment, computed tomography is the main modality for defining bony injury, and magnetic resonance imaging is important for evaluating ligamentous and neural involvement </w:t>
      </w:r>
      <w:r w:rsidRPr="00D77080">
        <w:rPr>
          <w:rFonts w:ascii="Arial" w:hAnsi="Arial" w:cs="Arial"/>
          <w:vertAlign w:val="superscript"/>
          <w:lang w:val="en-ID"/>
        </w:rPr>
        <w:t>[7,19]</w:t>
      </w:r>
      <w:r w:rsidRPr="00D77080">
        <w:rPr>
          <w:rFonts w:ascii="Arial" w:hAnsi="Arial" w:cs="Arial"/>
          <w:lang w:val="en-ID"/>
        </w:rPr>
        <w:t xml:space="preserve">. Classification systems such as the AO Spine Classification System and the Thoracolumbar Injury Classification and Severity Score (TLICS) play an important role in injury stratification and treatment planning </w:t>
      </w:r>
      <w:r w:rsidRPr="00D77080">
        <w:rPr>
          <w:rFonts w:ascii="Arial" w:hAnsi="Arial" w:cs="Arial"/>
          <w:vertAlign w:val="superscript"/>
          <w:lang w:val="en-ID"/>
        </w:rPr>
        <w:t>[1,5,11,12,28]</w:t>
      </w:r>
      <w:r w:rsidRPr="00D77080">
        <w:rPr>
          <w:rFonts w:ascii="Arial" w:hAnsi="Arial" w:cs="Arial"/>
          <w:lang w:val="en-ID"/>
        </w:rPr>
        <w:t xml:space="preserve">. However, despite their clinical usefulness, important dilemmas remain regarding the interpretation of instability and the indications for conservative versus surgical management </w:t>
      </w:r>
      <w:r w:rsidRPr="00D77080">
        <w:rPr>
          <w:rFonts w:ascii="Arial" w:hAnsi="Arial" w:cs="Arial"/>
          <w:vertAlign w:val="superscript"/>
          <w:lang w:val="en-ID"/>
        </w:rPr>
        <w:t>[10,15,18,21,22]</w:t>
      </w:r>
      <w:r w:rsidRPr="00D77080">
        <w:rPr>
          <w:rFonts w:ascii="Arial" w:hAnsi="Arial" w:cs="Arial"/>
          <w:lang w:val="en-ID"/>
        </w:rPr>
        <w:t>.</w:t>
      </w:r>
    </w:p>
    <w:p w14:paraId="1581A3E9" w14:textId="77777777" w:rsidR="00D77080" w:rsidRPr="00D77080" w:rsidRDefault="00D77080" w:rsidP="00D77080">
      <w:pPr>
        <w:pStyle w:val="Body"/>
        <w:spacing w:after="0"/>
        <w:ind w:firstLine="720"/>
        <w:rPr>
          <w:rFonts w:ascii="Arial" w:hAnsi="Arial" w:cs="Arial"/>
          <w:lang w:val="en-ID"/>
        </w:rPr>
      </w:pPr>
      <w:r w:rsidRPr="00D77080">
        <w:rPr>
          <w:rFonts w:ascii="Arial" w:hAnsi="Arial" w:cs="Arial"/>
          <w:lang w:val="en-ID"/>
        </w:rPr>
        <w:t xml:space="preserve">Thoracolumbar trauma remains highly relevant for the scientific and clinical community because treatment decisions are often complex and depend on fracture morphology, neurological status, posterior ligamentous integrity, and patient-specific factors </w:t>
      </w:r>
      <w:r w:rsidRPr="00D77080">
        <w:rPr>
          <w:rFonts w:ascii="Arial" w:hAnsi="Arial" w:cs="Arial"/>
          <w:vertAlign w:val="superscript"/>
          <w:lang w:val="en-ID"/>
        </w:rPr>
        <w:t>[4,8,12,18,21,22]</w:t>
      </w:r>
      <w:r w:rsidRPr="00D77080">
        <w:rPr>
          <w:rFonts w:ascii="Arial" w:hAnsi="Arial" w:cs="Arial"/>
          <w:lang w:val="en-ID"/>
        </w:rPr>
        <w:t>. This review aims to provide a focused overview of thoracolumbar trauma, with particular emphasis on biomechanics, diagnostic evaluation, classification systems, and current management challenges, in order to support evidence-based clinical decision-making.</w:t>
      </w:r>
    </w:p>
    <w:p w14:paraId="42AFC868" w14:textId="77777777" w:rsidR="00036017" w:rsidRPr="00FB3A86" w:rsidRDefault="00036017" w:rsidP="00036017">
      <w:pPr>
        <w:pStyle w:val="Body"/>
        <w:spacing w:after="0"/>
        <w:rPr>
          <w:rFonts w:ascii="Arial" w:hAnsi="Arial" w:cs="Arial"/>
        </w:rPr>
      </w:pPr>
    </w:p>
    <w:p w14:paraId="6CA80470" w14:textId="77777777" w:rsidR="00036017" w:rsidRDefault="00036017" w:rsidP="00036017">
      <w:pPr>
        <w:pStyle w:val="AbstHead"/>
        <w:spacing w:after="0"/>
        <w:jc w:val="both"/>
        <w:rPr>
          <w:rFonts w:ascii="Arial" w:hAnsi="Arial" w:cs="Arial"/>
        </w:rPr>
      </w:pPr>
      <w:r>
        <w:rPr>
          <w:rFonts w:ascii="Arial" w:hAnsi="Arial" w:cs="Arial"/>
        </w:rPr>
        <w:t xml:space="preserve">2. material and methods </w:t>
      </w:r>
    </w:p>
    <w:p w14:paraId="0834D762" w14:textId="77777777" w:rsidR="00D77080" w:rsidRDefault="00D77080" w:rsidP="00D77080">
      <w:pPr>
        <w:pStyle w:val="Body"/>
        <w:spacing w:after="0"/>
        <w:ind w:firstLine="720"/>
        <w:rPr>
          <w:rFonts w:ascii="Arial" w:hAnsi="Arial" w:cs="Arial"/>
        </w:rPr>
      </w:pPr>
      <w:r w:rsidRPr="00D77080">
        <w:rPr>
          <w:rFonts w:ascii="Arial" w:hAnsi="Arial" w:cs="Arial"/>
        </w:rPr>
        <w:t>This study was conducted as a narrative literature review on thoracolumbar trauma and its clinical management. The review aimed to summarize current evidence on epidemiology, mechanisms of injury, classification systems, diagnostic evaluation, and treatment strategies for thoracolumbar spine injuries. A literature search was performed using PubMed, Google Scholar, and other accessible academic sources with keywords related to thoracolumbar trauma, spinal fractures, imaging, classification systems, and management.</w:t>
      </w:r>
    </w:p>
    <w:p w14:paraId="67AC7589" w14:textId="429C7B59" w:rsidR="00036017" w:rsidRDefault="00D77080" w:rsidP="00D77080">
      <w:pPr>
        <w:pStyle w:val="Body"/>
        <w:spacing w:after="0"/>
        <w:ind w:firstLine="720"/>
        <w:rPr>
          <w:rFonts w:ascii="Arial" w:hAnsi="Arial" w:cs="Arial"/>
        </w:rPr>
      </w:pPr>
      <w:r w:rsidRPr="00D77080">
        <w:rPr>
          <w:rFonts w:ascii="Arial" w:hAnsi="Arial" w:cs="Arial"/>
        </w:rPr>
        <w:t>English-language studies involving human thoracolumbar spine injuries were considered, with priority given to peer-reviewed articles, review papers, clinical studies, and guideline publications. Relevant articles were selected based on their contribution to the understanding of injury mechanisms, biomechanics, clinical presentation, neurological assessment, imaging, classification, and treatment. The included literature was reviewed and synthesized thematically to provide a focused and clinically relevant overview of thoracolumbar trauma.</w:t>
      </w:r>
    </w:p>
    <w:p w14:paraId="61543DCA" w14:textId="77777777" w:rsidR="00D77080" w:rsidRPr="00FB3A86" w:rsidRDefault="00D77080" w:rsidP="00D77080">
      <w:pPr>
        <w:pStyle w:val="Body"/>
        <w:spacing w:after="0"/>
        <w:ind w:firstLine="720"/>
        <w:rPr>
          <w:rFonts w:ascii="Arial" w:hAnsi="Arial" w:cs="Arial"/>
        </w:rPr>
      </w:pPr>
    </w:p>
    <w:p w14:paraId="5E2605D3" w14:textId="77777777" w:rsidR="00036017" w:rsidRDefault="00036017" w:rsidP="00036017">
      <w:pPr>
        <w:pStyle w:val="Head1"/>
        <w:spacing w:after="0"/>
        <w:jc w:val="both"/>
        <w:rPr>
          <w:rFonts w:ascii="Arial" w:hAnsi="Arial" w:cs="Arial"/>
        </w:rPr>
      </w:pPr>
      <w:r>
        <w:rPr>
          <w:rFonts w:ascii="Arial" w:hAnsi="Arial" w:cs="Arial"/>
        </w:rPr>
        <w:t xml:space="preserve">3. results </w:t>
      </w:r>
    </w:p>
    <w:p w14:paraId="207E5D1D" w14:textId="77777777" w:rsidR="00D77080" w:rsidRPr="00D77080" w:rsidRDefault="00D77080" w:rsidP="00D77080">
      <w:pPr>
        <w:pStyle w:val="isselectedend"/>
        <w:spacing w:before="0" w:beforeAutospacing="0" w:after="0" w:afterAutospacing="0"/>
        <w:ind w:firstLine="720"/>
        <w:jc w:val="both"/>
        <w:rPr>
          <w:rFonts w:ascii="Arial" w:hAnsi="Arial" w:cs="Arial"/>
          <w:sz w:val="20"/>
          <w:szCs w:val="20"/>
        </w:rPr>
      </w:pPr>
      <w:r w:rsidRPr="00D77080">
        <w:rPr>
          <w:rFonts w:ascii="Arial" w:hAnsi="Arial" w:cs="Arial"/>
          <w:sz w:val="20"/>
          <w:szCs w:val="20"/>
        </w:rPr>
        <w:t xml:space="preserve">The reviewed literature shows that thoracolumbar trauma is a clinically important form of spinal injury because the thoracolumbar junction, particularly T11–L2 and most commonly T12–L1, is a biomechanically vulnerable transition zone between the rigid thoracic spine and the more mobile lumbar spine </w:t>
      </w:r>
      <w:r w:rsidRPr="00D77080">
        <w:rPr>
          <w:rStyle w:val="text-token-text-primary"/>
          <w:rFonts w:ascii="Arial" w:hAnsi="Arial" w:cs="Arial"/>
          <w:sz w:val="20"/>
          <w:szCs w:val="20"/>
          <w:vertAlign w:val="superscript"/>
        </w:rPr>
        <w:t>[3,13,22,23,30]</w:t>
      </w:r>
      <w:r w:rsidRPr="00D77080">
        <w:rPr>
          <w:rFonts w:ascii="Arial" w:hAnsi="Arial" w:cs="Arial"/>
          <w:sz w:val="20"/>
          <w:szCs w:val="20"/>
        </w:rPr>
        <w:t xml:space="preserve">. This structural characteristic explains the high frequency and wide spectrum of injury patterns in this region, ranging from stable compression fractures to unstable burst fractures, distraction injuries, and fracture-dislocations </w:t>
      </w:r>
      <w:r w:rsidRPr="00D77080">
        <w:rPr>
          <w:rStyle w:val="text-token-text-primary"/>
          <w:rFonts w:ascii="Arial" w:hAnsi="Arial" w:cs="Arial"/>
          <w:sz w:val="20"/>
          <w:szCs w:val="20"/>
          <w:vertAlign w:val="superscript"/>
        </w:rPr>
        <w:t>[6,22,28]</w:t>
      </w:r>
      <w:r w:rsidRPr="00D77080">
        <w:rPr>
          <w:rFonts w:ascii="Arial" w:hAnsi="Arial" w:cs="Arial"/>
          <w:sz w:val="20"/>
          <w:szCs w:val="20"/>
        </w:rPr>
        <w:t xml:space="preserve">. Thoracolumbar trauma represents a substantial proportion of spinal injuries worldwide, with road traffic accidents and falls reported as the most common causes </w:t>
      </w:r>
      <w:r w:rsidRPr="00D77080">
        <w:rPr>
          <w:rStyle w:val="text-token-text-primary"/>
          <w:rFonts w:ascii="Arial" w:hAnsi="Arial" w:cs="Arial"/>
          <w:sz w:val="20"/>
          <w:szCs w:val="20"/>
        </w:rPr>
        <w:t>[13,16,22,25,30]</w:t>
      </w:r>
      <w:r w:rsidRPr="00D77080">
        <w:rPr>
          <w:rFonts w:ascii="Arial" w:hAnsi="Arial" w:cs="Arial"/>
          <w:sz w:val="20"/>
          <w:szCs w:val="20"/>
        </w:rPr>
        <w:t xml:space="preserve">. High-energy injuries are more frequently seen in young adult males, whereas low-energy fractures are more common in older patients with osteoporosis or reduced bone quality </w:t>
      </w:r>
      <w:r w:rsidRPr="00D77080">
        <w:rPr>
          <w:rStyle w:val="text-token-text-primary"/>
          <w:rFonts w:ascii="Arial" w:hAnsi="Arial" w:cs="Arial"/>
          <w:sz w:val="20"/>
          <w:szCs w:val="20"/>
          <w:vertAlign w:val="superscript"/>
        </w:rPr>
        <w:t>[13,22,30]</w:t>
      </w:r>
      <w:r w:rsidRPr="00D77080">
        <w:rPr>
          <w:rFonts w:ascii="Arial" w:hAnsi="Arial" w:cs="Arial"/>
          <w:sz w:val="20"/>
          <w:szCs w:val="20"/>
        </w:rPr>
        <w:t>.</w:t>
      </w:r>
    </w:p>
    <w:p w14:paraId="2AC6E306" w14:textId="77777777" w:rsidR="00D77080" w:rsidRPr="00D77080" w:rsidRDefault="00D77080" w:rsidP="00D77080">
      <w:pPr>
        <w:pStyle w:val="NormalWeb"/>
        <w:spacing w:before="0" w:beforeAutospacing="0" w:after="0" w:afterAutospacing="0"/>
        <w:ind w:firstLine="720"/>
        <w:jc w:val="both"/>
        <w:rPr>
          <w:rFonts w:ascii="Arial" w:hAnsi="Arial" w:cs="Arial"/>
          <w:sz w:val="20"/>
          <w:szCs w:val="20"/>
        </w:rPr>
      </w:pPr>
      <w:r w:rsidRPr="00D77080">
        <w:rPr>
          <w:rFonts w:ascii="Arial" w:hAnsi="Arial" w:cs="Arial"/>
          <w:sz w:val="20"/>
          <w:szCs w:val="20"/>
        </w:rPr>
        <w:t xml:space="preserve">The literature also demonstrates that injury morphology is closely related to the mechanism of trauma </w:t>
      </w:r>
      <w:r w:rsidRPr="00D77080">
        <w:rPr>
          <w:rStyle w:val="text-token-text-primary"/>
          <w:rFonts w:ascii="Arial" w:hAnsi="Arial" w:cs="Arial"/>
          <w:sz w:val="20"/>
          <w:szCs w:val="20"/>
          <w:vertAlign w:val="superscript"/>
        </w:rPr>
        <w:t>[6,7,23,28]</w:t>
      </w:r>
      <w:r w:rsidRPr="00D77080">
        <w:rPr>
          <w:rFonts w:ascii="Arial" w:hAnsi="Arial" w:cs="Arial"/>
          <w:sz w:val="20"/>
          <w:szCs w:val="20"/>
        </w:rPr>
        <w:t xml:space="preserve">. Low-energy trauma more commonly produces compression fractures, while high-energy axial loading and flexion are associated with burst fractures, and distraction or rotational forces are associated with more unstable patterns </w:t>
      </w:r>
      <w:r w:rsidRPr="00D77080">
        <w:rPr>
          <w:rStyle w:val="text-token-text-primary"/>
          <w:rFonts w:ascii="Arial" w:hAnsi="Arial" w:cs="Arial"/>
          <w:sz w:val="20"/>
          <w:szCs w:val="20"/>
          <w:vertAlign w:val="superscript"/>
        </w:rPr>
        <w:t>[6,7,22,28]</w:t>
      </w:r>
      <w:r w:rsidRPr="00D77080">
        <w:rPr>
          <w:rFonts w:ascii="Arial" w:hAnsi="Arial" w:cs="Arial"/>
          <w:sz w:val="20"/>
          <w:szCs w:val="20"/>
        </w:rPr>
        <w:t xml:space="preserve">. L1 is consistently reported as the most frequently affected vertebral level </w:t>
      </w:r>
      <w:r w:rsidRPr="00D77080">
        <w:rPr>
          <w:rStyle w:val="text-token-text-primary"/>
          <w:rFonts w:ascii="Arial" w:hAnsi="Arial" w:cs="Arial"/>
          <w:sz w:val="20"/>
          <w:szCs w:val="20"/>
          <w:vertAlign w:val="superscript"/>
        </w:rPr>
        <w:t>[13,22,30]</w:t>
      </w:r>
      <w:r w:rsidRPr="00D77080">
        <w:rPr>
          <w:rFonts w:ascii="Arial" w:hAnsi="Arial" w:cs="Arial"/>
          <w:sz w:val="20"/>
          <w:szCs w:val="20"/>
        </w:rPr>
        <w:t xml:space="preserve">. Neurological involvement is a major determinant of severity and prognosis, especially in burst, distraction, and translational injuries, which are more often associated with canal compromise and neural compression </w:t>
      </w:r>
      <w:r w:rsidRPr="00D77080">
        <w:rPr>
          <w:rStyle w:val="text-token-text-primary"/>
          <w:rFonts w:ascii="Arial" w:hAnsi="Arial" w:cs="Arial"/>
          <w:sz w:val="20"/>
          <w:szCs w:val="20"/>
          <w:vertAlign w:val="superscript"/>
        </w:rPr>
        <w:t>[4,8,18,27]</w:t>
      </w:r>
      <w:r w:rsidRPr="00D77080">
        <w:rPr>
          <w:rFonts w:ascii="Arial" w:hAnsi="Arial" w:cs="Arial"/>
          <w:sz w:val="20"/>
          <w:szCs w:val="20"/>
        </w:rPr>
        <w:t xml:space="preserve">. The reviewed studies emphasize that delayed diagnosis and treatment are associated with worse neurological and functional outcomes </w:t>
      </w:r>
      <w:r w:rsidRPr="00D77080">
        <w:rPr>
          <w:rStyle w:val="text-token-text-primary"/>
          <w:rFonts w:ascii="Arial" w:hAnsi="Arial" w:cs="Arial"/>
          <w:sz w:val="20"/>
          <w:szCs w:val="20"/>
          <w:vertAlign w:val="superscript"/>
        </w:rPr>
        <w:t>[4,8,24,27]</w:t>
      </w:r>
      <w:r w:rsidRPr="00D77080">
        <w:rPr>
          <w:rFonts w:ascii="Arial" w:hAnsi="Arial" w:cs="Arial"/>
          <w:sz w:val="20"/>
          <w:szCs w:val="20"/>
        </w:rPr>
        <w:t>.</w:t>
      </w:r>
    </w:p>
    <w:p w14:paraId="6AA3C805" w14:textId="77777777" w:rsidR="00036017" w:rsidRDefault="00036017" w:rsidP="00036017">
      <w:pPr>
        <w:pStyle w:val="NormalWeb"/>
        <w:spacing w:before="0" w:beforeAutospacing="0" w:after="0" w:afterAutospacing="0"/>
        <w:ind w:firstLine="720"/>
        <w:jc w:val="center"/>
        <w:rPr>
          <w:rFonts w:ascii="Arial" w:hAnsi="Arial" w:cs="Arial"/>
          <w:sz w:val="20"/>
          <w:szCs w:val="20"/>
        </w:rPr>
      </w:pPr>
      <w:r>
        <w:rPr>
          <w:noProof/>
        </w:rPr>
        <w:lastRenderedPageBreak/>
        <w:drawing>
          <wp:inline distT="0" distB="0" distL="0" distR="0" wp14:anchorId="4A4EBCC2" wp14:editId="49AC35C5">
            <wp:extent cx="4192905" cy="2795270"/>
            <wp:effectExtent l="0" t="0" r="0" b="5080"/>
            <wp:docPr id="479150092" name="Picture 2" descr="The image illustrates three different types of mechanical linkages, showing how each one functions in terms of compression, distraction, and rotation/transl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50092" name="Picture 2" descr="The image illustrates three different types of mechanical linkages, showing how each one functions in terms of compression, distraction, and rotation/translatio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6675" cy="2797783"/>
                    </a:xfrm>
                    <a:prstGeom prst="rect">
                      <a:avLst/>
                    </a:prstGeom>
                    <a:noFill/>
                    <a:ln>
                      <a:noFill/>
                    </a:ln>
                  </pic:spPr>
                </pic:pic>
              </a:graphicData>
            </a:graphic>
          </wp:inline>
        </w:drawing>
      </w:r>
    </w:p>
    <w:p w14:paraId="54E68F58" w14:textId="23CD7B89" w:rsidR="00036017" w:rsidRPr="00D77080" w:rsidRDefault="00D77080" w:rsidP="00036017">
      <w:pPr>
        <w:pStyle w:val="NormalWeb"/>
        <w:spacing w:before="0" w:beforeAutospacing="0" w:after="0" w:afterAutospacing="0"/>
        <w:ind w:firstLine="720"/>
        <w:jc w:val="center"/>
        <w:rPr>
          <w:rFonts w:ascii="Arial" w:hAnsi="Arial" w:cs="Arial"/>
          <w:sz w:val="20"/>
          <w:szCs w:val="20"/>
          <w:lang w:val="en-US"/>
        </w:rPr>
      </w:pPr>
      <w:r w:rsidRPr="00D77080">
        <w:rPr>
          <w:rFonts w:ascii="Arial" w:hAnsi="Arial" w:cs="Arial"/>
          <w:sz w:val="20"/>
          <w:szCs w:val="20"/>
          <w:lang w:val="en-US"/>
        </w:rPr>
        <w:t xml:space="preserve">Figure 1. Simplified schematic representation of the principal thoracolumbar injury mechanisms and corresponding AO Spine injury patterns: Type A (compression), Type B (distraction), and Type C (rotation/translation). Based on concepts described by </w:t>
      </w:r>
      <w:proofErr w:type="spellStart"/>
      <w:r w:rsidRPr="00D77080">
        <w:rPr>
          <w:rFonts w:ascii="Arial" w:hAnsi="Arial" w:cs="Arial"/>
          <w:sz w:val="20"/>
          <w:szCs w:val="20"/>
          <w:lang w:val="en-US"/>
        </w:rPr>
        <w:t>Gamanagatti</w:t>
      </w:r>
      <w:proofErr w:type="spellEnd"/>
      <w:r w:rsidRPr="00D77080">
        <w:rPr>
          <w:rFonts w:ascii="Arial" w:hAnsi="Arial" w:cs="Arial"/>
          <w:sz w:val="20"/>
          <w:szCs w:val="20"/>
          <w:lang w:val="en-US"/>
        </w:rPr>
        <w:t xml:space="preserve"> et al. </w:t>
      </w:r>
      <w:r w:rsidRPr="00D77080">
        <w:rPr>
          <w:rFonts w:ascii="Arial" w:hAnsi="Arial" w:cs="Arial"/>
          <w:sz w:val="20"/>
          <w:szCs w:val="20"/>
          <w:vertAlign w:val="superscript"/>
          <w:lang w:val="en-US"/>
        </w:rPr>
        <w:t>[7]</w:t>
      </w:r>
      <w:r w:rsidRPr="00D77080">
        <w:rPr>
          <w:rFonts w:ascii="Arial" w:hAnsi="Arial" w:cs="Arial"/>
          <w:sz w:val="20"/>
          <w:szCs w:val="20"/>
          <w:lang w:val="en-US"/>
        </w:rPr>
        <w:t>.</w:t>
      </w:r>
    </w:p>
    <w:p w14:paraId="27DC6F95" w14:textId="77777777" w:rsidR="00D77080" w:rsidRPr="00327331" w:rsidRDefault="00D77080" w:rsidP="00036017">
      <w:pPr>
        <w:pStyle w:val="NormalWeb"/>
        <w:spacing w:before="0" w:beforeAutospacing="0" w:after="0" w:afterAutospacing="0"/>
        <w:ind w:firstLine="720"/>
        <w:jc w:val="center"/>
        <w:rPr>
          <w:rFonts w:ascii="Arial" w:hAnsi="Arial" w:cs="Arial"/>
          <w:sz w:val="16"/>
          <w:szCs w:val="16"/>
        </w:rPr>
      </w:pPr>
    </w:p>
    <w:p w14:paraId="25724FA0" w14:textId="77777777" w:rsidR="00D77080" w:rsidRPr="00D77080" w:rsidRDefault="00D77080" w:rsidP="00D77080">
      <w:pPr>
        <w:pStyle w:val="NormalWeb"/>
        <w:spacing w:before="0" w:beforeAutospacing="0" w:after="0" w:afterAutospacing="0"/>
        <w:ind w:firstLine="720"/>
        <w:jc w:val="both"/>
        <w:rPr>
          <w:rFonts w:ascii="Arial" w:hAnsi="Arial" w:cs="Arial"/>
          <w:sz w:val="20"/>
          <w:szCs w:val="20"/>
        </w:rPr>
      </w:pPr>
      <w:r w:rsidRPr="00D77080">
        <w:rPr>
          <w:rFonts w:ascii="Arial" w:hAnsi="Arial" w:cs="Arial"/>
          <w:sz w:val="20"/>
          <w:szCs w:val="20"/>
        </w:rPr>
        <w:t xml:space="preserve">Imaging plays a central role in evaluation and treatment planning </w:t>
      </w:r>
      <w:r w:rsidRPr="00D77080">
        <w:rPr>
          <w:rFonts w:ascii="Arial" w:hAnsi="Arial" w:cs="Arial"/>
          <w:sz w:val="20"/>
          <w:szCs w:val="20"/>
          <w:vertAlign w:val="superscript"/>
        </w:rPr>
        <w:t>[5,7,19]</w:t>
      </w:r>
      <w:r w:rsidRPr="00D77080">
        <w:rPr>
          <w:rFonts w:ascii="Arial" w:hAnsi="Arial" w:cs="Arial"/>
          <w:sz w:val="20"/>
          <w:szCs w:val="20"/>
        </w:rPr>
        <w:t xml:space="preserve">. Plain radiography may be useful as an initial assessment tool, but computed tomography is more reliable for defining fracture morphology and osseous injury, whereas magnetic resonance imaging is essential for assessing ligamentous disruption, neural compression, and posterior ligamentous complex integrity </w:t>
      </w:r>
      <w:r w:rsidRPr="00D77080">
        <w:rPr>
          <w:rFonts w:ascii="Arial" w:hAnsi="Arial" w:cs="Arial"/>
          <w:sz w:val="20"/>
          <w:szCs w:val="20"/>
          <w:vertAlign w:val="superscript"/>
        </w:rPr>
        <w:t>[7,19]</w:t>
      </w:r>
      <w:r w:rsidRPr="00D77080">
        <w:rPr>
          <w:rFonts w:ascii="Arial" w:hAnsi="Arial" w:cs="Arial"/>
          <w:sz w:val="20"/>
          <w:szCs w:val="20"/>
        </w:rPr>
        <w:t xml:space="preserve">. In this context, classification systems are highly relevant. The Denis three-column model remains useful for understanding structural instability </w:t>
      </w:r>
      <w:r w:rsidRPr="00D77080">
        <w:rPr>
          <w:rFonts w:ascii="Arial" w:hAnsi="Arial" w:cs="Arial"/>
          <w:sz w:val="20"/>
          <w:szCs w:val="20"/>
          <w:vertAlign w:val="superscript"/>
        </w:rPr>
        <w:t>[6]</w:t>
      </w:r>
      <w:r w:rsidRPr="00D77080">
        <w:rPr>
          <w:rFonts w:ascii="Arial" w:hAnsi="Arial" w:cs="Arial"/>
          <w:sz w:val="20"/>
          <w:szCs w:val="20"/>
        </w:rPr>
        <w:t xml:space="preserve">, while the AO Spine classification system provides a morphology-based framework for grading injury severity </w:t>
      </w:r>
      <w:r w:rsidRPr="00D77080">
        <w:rPr>
          <w:rFonts w:ascii="Arial" w:hAnsi="Arial" w:cs="Arial"/>
          <w:sz w:val="20"/>
          <w:szCs w:val="20"/>
          <w:vertAlign w:val="superscript"/>
        </w:rPr>
        <w:t>[1,28]</w:t>
      </w:r>
      <w:r w:rsidRPr="00D77080">
        <w:rPr>
          <w:rFonts w:ascii="Arial" w:hAnsi="Arial" w:cs="Arial"/>
          <w:sz w:val="20"/>
          <w:szCs w:val="20"/>
        </w:rPr>
        <w:t xml:space="preserve">. The Thoracolumbar Injury Classification and Severity Score (TLICS) adds clinical value by incorporating fracture morphology, posterior ligamentous complex integrity, and neurological status, thereby helping guide decisions between conservative and operative management </w:t>
      </w:r>
      <w:r w:rsidRPr="00D77080">
        <w:rPr>
          <w:rFonts w:ascii="Arial" w:hAnsi="Arial" w:cs="Arial"/>
          <w:sz w:val="20"/>
          <w:szCs w:val="20"/>
          <w:vertAlign w:val="superscript"/>
        </w:rPr>
        <w:t>[11,12,18]</w:t>
      </w:r>
      <w:r w:rsidRPr="00D77080">
        <w:rPr>
          <w:rFonts w:ascii="Arial" w:hAnsi="Arial" w:cs="Arial"/>
          <w:sz w:val="20"/>
          <w:szCs w:val="20"/>
        </w:rPr>
        <w:t>.</w:t>
      </w:r>
    </w:p>
    <w:p w14:paraId="2D6572CF" w14:textId="77777777" w:rsidR="00D77080" w:rsidRPr="00D77080" w:rsidRDefault="00D77080" w:rsidP="00D77080">
      <w:pPr>
        <w:pStyle w:val="NormalWeb"/>
        <w:spacing w:before="0" w:beforeAutospacing="0" w:after="0" w:afterAutospacing="0"/>
        <w:ind w:firstLine="720"/>
        <w:jc w:val="both"/>
        <w:rPr>
          <w:rFonts w:ascii="Arial" w:hAnsi="Arial" w:cs="Arial"/>
          <w:sz w:val="20"/>
          <w:szCs w:val="20"/>
        </w:rPr>
      </w:pPr>
      <w:r w:rsidRPr="00D77080">
        <w:rPr>
          <w:rFonts w:ascii="Arial" w:hAnsi="Arial" w:cs="Arial"/>
          <w:sz w:val="20"/>
          <w:szCs w:val="20"/>
        </w:rPr>
        <w:t xml:space="preserve">Management findings across the reviewed literature show that stable injuries without neurological deficit are generally treated conservatively with bracing, analgesia, mobilization, and rehabilitation </w:t>
      </w:r>
      <w:r w:rsidRPr="00D77080">
        <w:rPr>
          <w:rFonts w:ascii="Arial" w:hAnsi="Arial" w:cs="Arial"/>
          <w:sz w:val="20"/>
          <w:szCs w:val="20"/>
          <w:vertAlign w:val="superscript"/>
        </w:rPr>
        <w:t>[10,20,22,26]</w:t>
      </w:r>
      <w:r w:rsidRPr="00D77080">
        <w:rPr>
          <w:rFonts w:ascii="Arial" w:hAnsi="Arial" w:cs="Arial"/>
          <w:sz w:val="20"/>
          <w:szCs w:val="20"/>
        </w:rPr>
        <w:t xml:space="preserve">. In contrast, unstable fractures, posterior ligamentous complex injury, progressive deformity, neural compression, and neurological deficit are the main factors supporting surgical intervention </w:t>
      </w:r>
      <w:r w:rsidRPr="00D77080">
        <w:rPr>
          <w:rFonts w:ascii="Arial" w:hAnsi="Arial" w:cs="Arial"/>
          <w:sz w:val="20"/>
          <w:szCs w:val="20"/>
          <w:vertAlign w:val="superscript"/>
        </w:rPr>
        <w:t>[2,4,8,18,22]</w:t>
      </w:r>
      <w:r w:rsidRPr="00D77080">
        <w:rPr>
          <w:rFonts w:ascii="Arial" w:hAnsi="Arial" w:cs="Arial"/>
          <w:sz w:val="20"/>
          <w:szCs w:val="20"/>
        </w:rPr>
        <w:t xml:space="preserve">. The literature consistently supports early decompression and stabilization in appropriately selected patients, particularly when neurological compromise is present </w:t>
      </w:r>
      <w:r w:rsidRPr="00D77080">
        <w:rPr>
          <w:rFonts w:ascii="Arial" w:hAnsi="Arial" w:cs="Arial"/>
          <w:sz w:val="20"/>
          <w:szCs w:val="20"/>
          <w:vertAlign w:val="superscript"/>
        </w:rPr>
        <w:t>[2,4,8,24]</w:t>
      </w:r>
      <w:r w:rsidRPr="00D77080">
        <w:rPr>
          <w:rFonts w:ascii="Arial" w:hAnsi="Arial" w:cs="Arial"/>
          <w:sz w:val="20"/>
          <w:szCs w:val="20"/>
        </w:rPr>
        <w:t xml:space="preserve">. Rehabilitation remains important in both operative and non-operative cases because long-term outcome depends not only on fracture healing but also on pain control, functional recovery, and prevention of secondary complications </w:t>
      </w:r>
      <w:r w:rsidRPr="00D77080">
        <w:rPr>
          <w:rFonts w:ascii="Arial" w:hAnsi="Arial" w:cs="Arial"/>
          <w:sz w:val="20"/>
          <w:szCs w:val="20"/>
          <w:vertAlign w:val="superscript"/>
        </w:rPr>
        <w:t>[9,22,27]</w:t>
      </w:r>
      <w:r w:rsidRPr="00D77080">
        <w:rPr>
          <w:rFonts w:ascii="Arial" w:hAnsi="Arial" w:cs="Arial"/>
          <w:sz w:val="20"/>
          <w:szCs w:val="20"/>
        </w:rPr>
        <w:t xml:space="preserve">. Overall, prognosis is strongly influenced by the severity of neurological injury, fracture stability, timing of intervention, patient age, bone quality, and associated trauma </w:t>
      </w:r>
      <w:r w:rsidRPr="00D77080">
        <w:rPr>
          <w:rFonts w:ascii="Arial" w:hAnsi="Arial" w:cs="Arial"/>
          <w:sz w:val="20"/>
          <w:szCs w:val="20"/>
          <w:vertAlign w:val="superscript"/>
        </w:rPr>
        <w:t>[4,8,9,24,27]</w:t>
      </w:r>
      <w:r w:rsidRPr="00D77080">
        <w:rPr>
          <w:rFonts w:ascii="Arial" w:hAnsi="Arial" w:cs="Arial"/>
          <w:sz w:val="20"/>
          <w:szCs w:val="20"/>
        </w:rPr>
        <w:t>.</w:t>
      </w:r>
    </w:p>
    <w:p w14:paraId="4A42106B" w14:textId="77777777" w:rsidR="00036017" w:rsidRDefault="00036017" w:rsidP="00036017">
      <w:pPr>
        <w:pStyle w:val="NormalWeb"/>
        <w:spacing w:before="0" w:beforeAutospacing="0" w:after="0" w:afterAutospacing="0"/>
        <w:jc w:val="both"/>
        <w:rPr>
          <w:rFonts w:ascii="Arial" w:hAnsi="Arial" w:cs="Arial"/>
          <w:sz w:val="20"/>
          <w:szCs w:val="20"/>
        </w:rPr>
      </w:pPr>
    </w:p>
    <w:p w14:paraId="637CC271" w14:textId="77777777" w:rsidR="00036017" w:rsidRDefault="00036017" w:rsidP="00036017">
      <w:pPr>
        <w:pStyle w:val="Head1"/>
        <w:spacing w:after="0"/>
        <w:jc w:val="both"/>
        <w:rPr>
          <w:rFonts w:ascii="Arial" w:hAnsi="Arial" w:cs="Arial"/>
        </w:rPr>
      </w:pPr>
      <w:r>
        <w:rPr>
          <w:rFonts w:ascii="Arial" w:hAnsi="Arial" w:cs="Arial"/>
        </w:rPr>
        <w:t>4. discussion</w:t>
      </w:r>
    </w:p>
    <w:p w14:paraId="50D94A06" w14:textId="77777777" w:rsidR="00E00B50" w:rsidRPr="00E00B50" w:rsidRDefault="00E00B50" w:rsidP="00E00B50">
      <w:pPr>
        <w:pStyle w:val="isselectedend"/>
        <w:spacing w:before="0" w:beforeAutospacing="0" w:after="0" w:afterAutospacing="0"/>
        <w:ind w:firstLine="720"/>
        <w:jc w:val="both"/>
        <w:rPr>
          <w:rFonts w:ascii="Arial" w:hAnsi="Arial" w:cs="Arial"/>
          <w:sz w:val="20"/>
          <w:szCs w:val="20"/>
        </w:rPr>
      </w:pPr>
      <w:r w:rsidRPr="00E00B50">
        <w:rPr>
          <w:rFonts w:ascii="Arial" w:hAnsi="Arial" w:cs="Arial"/>
          <w:sz w:val="20"/>
          <w:szCs w:val="20"/>
        </w:rPr>
        <w:t xml:space="preserve">Thoracolumbar trauma should be regarded as a clinically significant and biomechanically complex condition because it occurs at the transition zone between the rigid thoracic spine and the mobile lumbar spine </w:t>
      </w:r>
      <w:r w:rsidRPr="00E00B50">
        <w:rPr>
          <w:rStyle w:val="text-token-text-primary"/>
          <w:rFonts w:ascii="Arial" w:hAnsi="Arial" w:cs="Arial"/>
          <w:sz w:val="20"/>
          <w:szCs w:val="20"/>
          <w:vertAlign w:val="superscript"/>
        </w:rPr>
        <w:t>[3,23]</w:t>
      </w:r>
      <w:r w:rsidRPr="00E00B50">
        <w:rPr>
          <w:rFonts w:ascii="Arial" w:hAnsi="Arial" w:cs="Arial"/>
          <w:sz w:val="20"/>
          <w:szCs w:val="20"/>
        </w:rPr>
        <w:t xml:space="preserve">. This structural feature explains why the thoracolumbar junction, particularly T12–L1, is highly vulnerable to injury and why trauma in this region may produce a broad spectrum of fracture patterns and neurological consequences </w:t>
      </w:r>
      <w:r w:rsidRPr="00E00B50">
        <w:rPr>
          <w:rStyle w:val="text-token-text-primary"/>
          <w:rFonts w:ascii="Arial" w:hAnsi="Arial" w:cs="Arial"/>
          <w:sz w:val="20"/>
          <w:szCs w:val="20"/>
          <w:vertAlign w:val="superscript"/>
        </w:rPr>
        <w:t>[13,22,23,30]</w:t>
      </w:r>
      <w:r w:rsidRPr="00E00B50">
        <w:rPr>
          <w:rFonts w:ascii="Arial" w:hAnsi="Arial" w:cs="Arial"/>
          <w:sz w:val="20"/>
          <w:szCs w:val="20"/>
        </w:rPr>
        <w:t xml:space="preserve">. The reviewed literature consistently shows that injury morphology is strongly influenced by the mechanism and energy of trauma, making biomechanical understanding important for accurate clinical interpretation and treatment planning </w:t>
      </w:r>
      <w:r w:rsidRPr="00E00B50">
        <w:rPr>
          <w:rStyle w:val="text-token-text-primary"/>
          <w:rFonts w:ascii="Arial" w:hAnsi="Arial" w:cs="Arial"/>
          <w:sz w:val="20"/>
          <w:szCs w:val="20"/>
          <w:vertAlign w:val="superscript"/>
        </w:rPr>
        <w:t>[6,7,23,29]</w:t>
      </w:r>
      <w:r w:rsidRPr="00E00B50">
        <w:rPr>
          <w:rFonts w:ascii="Arial" w:hAnsi="Arial" w:cs="Arial"/>
          <w:sz w:val="20"/>
          <w:szCs w:val="20"/>
        </w:rPr>
        <w:t>.</w:t>
      </w:r>
    </w:p>
    <w:p w14:paraId="3AF99701" w14:textId="77777777" w:rsidR="00E00B50" w:rsidRPr="00E00B50" w:rsidRDefault="00E00B50" w:rsidP="00E00B50">
      <w:pPr>
        <w:pStyle w:val="isselectedend"/>
        <w:spacing w:before="0" w:beforeAutospacing="0" w:after="0" w:afterAutospacing="0"/>
        <w:ind w:firstLine="720"/>
        <w:jc w:val="both"/>
        <w:rPr>
          <w:rFonts w:ascii="Arial" w:hAnsi="Arial" w:cs="Arial"/>
          <w:sz w:val="20"/>
          <w:szCs w:val="20"/>
        </w:rPr>
      </w:pPr>
      <w:r w:rsidRPr="00E00B50">
        <w:rPr>
          <w:rFonts w:ascii="Arial" w:hAnsi="Arial" w:cs="Arial"/>
          <w:sz w:val="20"/>
          <w:szCs w:val="20"/>
        </w:rPr>
        <w:t xml:space="preserve">One of the most important findings of this review is that classification systems play a central role in evaluating thoracolumbar trauma, but they do not completely eliminate clinical decision-making dilemmas </w:t>
      </w:r>
      <w:r w:rsidRPr="00E00B50">
        <w:rPr>
          <w:rStyle w:val="text-token-text-primary"/>
          <w:rFonts w:ascii="Arial" w:hAnsi="Arial" w:cs="Arial"/>
          <w:sz w:val="20"/>
          <w:szCs w:val="20"/>
          <w:vertAlign w:val="superscript"/>
        </w:rPr>
        <w:t>[1,5,11,12,28]</w:t>
      </w:r>
      <w:r w:rsidRPr="00E00B50">
        <w:rPr>
          <w:rFonts w:ascii="Arial" w:hAnsi="Arial" w:cs="Arial"/>
          <w:sz w:val="20"/>
          <w:szCs w:val="20"/>
        </w:rPr>
        <w:t xml:space="preserve">. The Denis three-column model remains useful for understanding structural instability </w:t>
      </w:r>
      <w:r w:rsidRPr="00E00B50">
        <w:rPr>
          <w:rStyle w:val="text-token-text-primary"/>
          <w:rFonts w:ascii="Arial" w:hAnsi="Arial" w:cs="Arial"/>
          <w:sz w:val="20"/>
          <w:szCs w:val="20"/>
          <w:vertAlign w:val="superscript"/>
        </w:rPr>
        <w:t>[6]</w:t>
      </w:r>
      <w:r w:rsidRPr="00E00B50">
        <w:rPr>
          <w:rFonts w:ascii="Arial" w:hAnsi="Arial" w:cs="Arial"/>
          <w:sz w:val="20"/>
          <w:szCs w:val="20"/>
        </w:rPr>
        <w:t xml:space="preserve">, whereas the AO Spine classification system provides a practical morphology-based framework </w:t>
      </w:r>
      <w:r w:rsidRPr="00E00B50">
        <w:rPr>
          <w:rStyle w:val="text-token-text-primary"/>
          <w:rFonts w:ascii="Arial" w:hAnsi="Arial" w:cs="Arial"/>
          <w:sz w:val="20"/>
          <w:szCs w:val="20"/>
          <w:vertAlign w:val="superscript"/>
        </w:rPr>
        <w:t>[1,28]</w:t>
      </w:r>
      <w:r w:rsidRPr="00E00B50">
        <w:rPr>
          <w:rFonts w:ascii="Arial" w:hAnsi="Arial" w:cs="Arial"/>
          <w:sz w:val="20"/>
          <w:szCs w:val="20"/>
        </w:rPr>
        <w:t xml:space="preserve">. The TLICS system adds further value by incorporating posterior ligamentous complex integrity and neurological status, making it more directly applicable to treatment selection </w:t>
      </w:r>
      <w:r w:rsidRPr="00E00B50">
        <w:rPr>
          <w:rStyle w:val="text-token-text-primary"/>
          <w:rFonts w:ascii="Arial" w:hAnsi="Arial" w:cs="Arial"/>
          <w:sz w:val="20"/>
          <w:szCs w:val="20"/>
          <w:vertAlign w:val="superscript"/>
        </w:rPr>
        <w:t>[11,12,18]</w:t>
      </w:r>
      <w:r w:rsidRPr="00E00B50">
        <w:rPr>
          <w:rFonts w:ascii="Arial" w:hAnsi="Arial" w:cs="Arial"/>
          <w:sz w:val="20"/>
          <w:szCs w:val="20"/>
        </w:rPr>
        <w:t xml:space="preserve">. However, the literature also indicates that borderline cases remain challenging, especially when radiologic appearance, ligamentous injury, and neurological findings do not align completely </w:t>
      </w:r>
      <w:r w:rsidRPr="00E00B50">
        <w:rPr>
          <w:rStyle w:val="text-token-text-primary"/>
          <w:rFonts w:ascii="Arial" w:hAnsi="Arial" w:cs="Arial"/>
          <w:sz w:val="20"/>
          <w:szCs w:val="20"/>
          <w:vertAlign w:val="superscript"/>
        </w:rPr>
        <w:t>[10,15,18,21]</w:t>
      </w:r>
      <w:r w:rsidRPr="00E00B50">
        <w:rPr>
          <w:rFonts w:ascii="Arial" w:hAnsi="Arial" w:cs="Arial"/>
          <w:sz w:val="20"/>
          <w:szCs w:val="20"/>
        </w:rPr>
        <w:t xml:space="preserve">. Therefore, classification systems should be considered important decision-support tools rather than absolute determinants of treatment </w:t>
      </w:r>
      <w:r w:rsidRPr="00E00B50">
        <w:rPr>
          <w:rStyle w:val="text-token-text-primary"/>
          <w:rFonts w:ascii="Arial" w:hAnsi="Arial" w:cs="Arial"/>
          <w:sz w:val="20"/>
          <w:szCs w:val="20"/>
          <w:vertAlign w:val="superscript"/>
        </w:rPr>
        <w:t>[12,18,21,22]</w:t>
      </w:r>
      <w:r w:rsidRPr="00E00B50">
        <w:rPr>
          <w:rFonts w:ascii="Arial" w:hAnsi="Arial" w:cs="Arial"/>
          <w:sz w:val="20"/>
          <w:szCs w:val="20"/>
        </w:rPr>
        <w:t>.</w:t>
      </w:r>
    </w:p>
    <w:p w14:paraId="1422DE81" w14:textId="77777777" w:rsidR="00E00B50" w:rsidRPr="00E00B50" w:rsidRDefault="00E00B50" w:rsidP="00E00B50">
      <w:pPr>
        <w:pStyle w:val="isselectedend"/>
        <w:spacing w:before="0" w:beforeAutospacing="0" w:after="0" w:afterAutospacing="0"/>
        <w:ind w:firstLine="720"/>
        <w:jc w:val="both"/>
        <w:rPr>
          <w:rFonts w:ascii="Arial" w:hAnsi="Arial" w:cs="Arial"/>
          <w:sz w:val="20"/>
          <w:szCs w:val="20"/>
        </w:rPr>
      </w:pPr>
      <w:r w:rsidRPr="00E00B50">
        <w:rPr>
          <w:rFonts w:ascii="Arial" w:hAnsi="Arial" w:cs="Arial"/>
          <w:sz w:val="20"/>
          <w:szCs w:val="20"/>
        </w:rPr>
        <w:t xml:space="preserve">Management remains one of the main areas of controversy in thoracolumbar trauma, and practice variation has also been reported across surgeons and institutions </w:t>
      </w:r>
      <w:r w:rsidRPr="00E00B50">
        <w:rPr>
          <w:rStyle w:val="text-token-text-primary"/>
          <w:rFonts w:ascii="Arial" w:hAnsi="Arial" w:cs="Arial"/>
          <w:sz w:val="20"/>
          <w:szCs w:val="20"/>
          <w:vertAlign w:val="superscript"/>
        </w:rPr>
        <w:t>[10,14,15,18,22,26]</w:t>
      </w:r>
      <w:r w:rsidRPr="00E00B50">
        <w:rPr>
          <w:rFonts w:ascii="Arial" w:hAnsi="Arial" w:cs="Arial"/>
          <w:sz w:val="20"/>
          <w:szCs w:val="20"/>
        </w:rPr>
        <w:t xml:space="preserve">. Stable compression fractures without neurological deficit are generally managed conservatively with analgesia, bracing, mobilization, and rehabilitation </w:t>
      </w:r>
      <w:r w:rsidRPr="00E00B50">
        <w:rPr>
          <w:rStyle w:val="text-token-text-primary"/>
          <w:rFonts w:ascii="Arial" w:hAnsi="Arial" w:cs="Arial"/>
          <w:sz w:val="20"/>
          <w:szCs w:val="20"/>
          <w:vertAlign w:val="superscript"/>
        </w:rPr>
        <w:t>[10,20,22,26]</w:t>
      </w:r>
      <w:r w:rsidRPr="00E00B50">
        <w:rPr>
          <w:rFonts w:ascii="Arial" w:hAnsi="Arial" w:cs="Arial"/>
          <w:sz w:val="20"/>
          <w:szCs w:val="20"/>
        </w:rPr>
        <w:t xml:space="preserve">. In contrast, </w:t>
      </w:r>
      <w:r w:rsidRPr="00E00B50">
        <w:rPr>
          <w:rFonts w:ascii="Arial" w:hAnsi="Arial" w:cs="Arial"/>
          <w:sz w:val="20"/>
          <w:szCs w:val="20"/>
        </w:rPr>
        <w:lastRenderedPageBreak/>
        <w:t xml:space="preserve">unstable injuries, posterior ligamentous complex disruption, canal compromise, progressive deformity, and neurological deficit are the main indications for surgical treatment </w:t>
      </w:r>
      <w:r w:rsidRPr="00E00B50">
        <w:rPr>
          <w:rStyle w:val="text-token-text-primary"/>
          <w:rFonts w:ascii="Arial" w:hAnsi="Arial" w:cs="Arial"/>
          <w:sz w:val="20"/>
          <w:szCs w:val="20"/>
          <w:vertAlign w:val="superscript"/>
        </w:rPr>
        <w:t>[2,4,8,18,22]</w:t>
      </w:r>
      <w:r w:rsidRPr="00E00B50">
        <w:rPr>
          <w:rFonts w:ascii="Arial" w:hAnsi="Arial" w:cs="Arial"/>
          <w:sz w:val="20"/>
          <w:szCs w:val="20"/>
        </w:rPr>
        <w:t xml:space="preserve">. The reviewed literature supports early decompression and stabilization in appropriately selected patients, particularly when neurological compromise is present </w:t>
      </w:r>
      <w:r w:rsidRPr="00E00B50">
        <w:rPr>
          <w:rStyle w:val="text-token-text-primary"/>
          <w:rFonts w:ascii="Arial" w:hAnsi="Arial" w:cs="Arial"/>
          <w:sz w:val="20"/>
          <w:szCs w:val="20"/>
          <w:vertAlign w:val="superscript"/>
        </w:rPr>
        <w:t>[2,4,8,24]</w:t>
      </w:r>
      <w:r w:rsidRPr="00E00B50">
        <w:rPr>
          <w:rFonts w:ascii="Arial" w:hAnsi="Arial" w:cs="Arial"/>
          <w:sz w:val="20"/>
          <w:szCs w:val="20"/>
        </w:rPr>
        <w:t xml:space="preserve">. Nevertheless, the need for surgery is not determined by fracture pattern alone, but also by overall patient condition, associated injuries, bone quality, available clinical resources, and contemporary evolving insights in thoracolumbar trauma care </w:t>
      </w:r>
      <w:r w:rsidRPr="00E00B50">
        <w:rPr>
          <w:rStyle w:val="text-token-text-primary"/>
          <w:rFonts w:ascii="Arial" w:hAnsi="Arial" w:cs="Arial"/>
          <w:sz w:val="20"/>
          <w:szCs w:val="20"/>
          <w:vertAlign w:val="superscript"/>
        </w:rPr>
        <w:t>[2,8,12,21,22]</w:t>
      </w:r>
      <w:r w:rsidRPr="00E00B50">
        <w:rPr>
          <w:rFonts w:ascii="Arial" w:hAnsi="Arial" w:cs="Arial"/>
          <w:sz w:val="20"/>
          <w:szCs w:val="20"/>
        </w:rPr>
        <w:t>.</w:t>
      </w:r>
    </w:p>
    <w:p w14:paraId="18BEA5E0" w14:textId="77777777" w:rsidR="00E00B50" w:rsidRPr="00E00B50" w:rsidRDefault="00E00B50" w:rsidP="00E00B50">
      <w:pPr>
        <w:pStyle w:val="isselectedend"/>
        <w:spacing w:before="0" w:beforeAutospacing="0" w:after="0" w:afterAutospacing="0"/>
        <w:ind w:firstLine="720"/>
        <w:jc w:val="both"/>
        <w:rPr>
          <w:rFonts w:ascii="Arial" w:hAnsi="Arial" w:cs="Arial"/>
          <w:sz w:val="20"/>
          <w:szCs w:val="20"/>
        </w:rPr>
      </w:pPr>
      <w:r w:rsidRPr="00E00B50">
        <w:rPr>
          <w:rFonts w:ascii="Arial" w:hAnsi="Arial" w:cs="Arial"/>
          <w:sz w:val="20"/>
          <w:szCs w:val="20"/>
        </w:rPr>
        <w:t xml:space="preserve">Rehabilitation is a crucial component of thoracolumbar trauma management in both non-operative and operative cases </w:t>
      </w:r>
      <w:r w:rsidRPr="00E00B50">
        <w:rPr>
          <w:rStyle w:val="text-token-text-primary"/>
          <w:rFonts w:ascii="Arial" w:hAnsi="Arial" w:cs="Arial"/>
          <w:sz w:val="20"/>
          <w:szCs w:val="20"/>
          <w:vertAlign w:val="superscript"/>
        </w:rPr>
        <w:t>[9,22,27]</w:t>
      </w:r>
      <w:r w:rsidRPr="00E00B50">
        <w:rPr>
          <w:rFonts w:ascii="Arial" w:hAnsi="Arial" w:cs="Arial"/>
          <w:sz w:val="20"/>
          <w:szCs w:val="20"/>
        </w:rPr>
        <w:t xml:space="preserve">. In addition to fracture healing and surgical stabilization, structured rehabilitation contributes to pain control, early mobilization, muscle strengthening, prevention of complications related to prolonged immobilization, and improvement of long-term functional recovery and quality of life </w:t>
      </w:r>
      <w:r w:rsidRPr="00E00B50">
        <w:rPr>
          <w:rStyle w:val="text-token-text-primary"/>
          <w:rFonts w:ascii="Arial" w:hAnsi="Arial" w:cs="Arial"/>
          <w:sz w:val="20"/>
          <w:szCs w:val="20"/>
          <w:vertAlign w:val="superscript"/>
        </w:rPr>
        <w:t>[9,22,27]</w:t>
      </w:r>
      <w:r w:rsidRPr="00E00B50">
        <w:rPr>
          <w:rFonts w:ascii="Arial" w:hAnsi="Arial" w:cs="Arial"/>
          <w:sz w:val="20"/>
          <w:szCs w:val="20"/>
        </w:rPr>
        <w:t>.</w:t>
      </w:r>
    </w:p>
    <w:p w14:paraId="64EE3FE4" w14:textId="77777777" w:rsidR="00E00B50" w:rsidRPr="00E00B50" w:rsidRDefault="00E00B50" w:rsidP="00E00B50">
      <w:pPr>
        <w:pStyle w:val="isselectedend"/>
        <w:spacing w:before="0" w:beforeAutospacing="0" w:after="0" w:afterAutospacing="0"/>
        <w:ind w:firstLine="720"/>
        <w:jc w:val="both"/>
        <w:rPr>
          <w:rFonts w:ascii="Arial" w:hAnsi="Arial" w:cs="Arial"/>
          <w:sz w:val="20"/>
          <w:szCs w:val="20"/>
        </w:rPr>
      </w:pPr>
      <w:r w:rsidRPr="00E00B50">
        <w:rPr>
          <w:rFonts w:ascii="Arial" w:hAnsi="Arial" w:cs="Arial"/>
          <w:sz w:val="20"/>
          <w:szCs w:val="20"/>
        </w:rPr>
        <w:t xml:space="preserve">This review also highlights the importance of real-world clinical issues. In everyday practice, management decisions are influenced not only by imaging and classification scores, but also by delayed referral, limited access to CT or MRI, variability in surgical expertise, and differences in health system capacity </w:t>
      </w:r>
      <w:r w:rsidRPr="00E00B50">
        <w:rPr>
          <w:rStyle w:val="text-token-text-primary"/>
          <w:rFonts w:ascii="Arial" w:hAnsi="Arial" w:cs="Arial"/>
          <w:sz w:val="20"/>
          <w:szCs w:val="20"/>
          <w:vertAlign w:val="superscript"/>
        </w:rPr>
        <w:t>[5,7,14,19,22]</w:t>
      </w:r>
      <w:r w:rsidRPr="00E00B50">
        <w:rPr>
          <w:rFonts w:ascii="Arial" w:hAnsi="Arial" w:cs="Arial"/>
          <w:sz w:val="20"/>
          <w:szCs w:val="20"/>
        </w:rPr>
        <w:t xml:space="preserve">. These challenges are particularly relevant in developing settings, where delayed diagnosis and limited rehabilitation resources may worsen long-term outcomes </w:t>
      </w:r>
      <w:r w:rsidRPr="00E00B50">
        <w:rPr>
          <w:rStyle w:val="text-token-text-primary"/>
          <w:rFonts w:ascii="Arial" w:hAnsi="Arial" w:cs="Arial"/>
          <w:sz w:val="20"/>
          <w:szCs w:val="20"/>
          <w:vertAlign w:val="superscript"/>
        </w:rPr>
        <w:t>[9,22,27]</w:t>
      </w:r>
      <w:r w:rsidRPr="00E00B50">
        <w:rPr>
          <w:rFonts w:ascii="Arial" w:hAnsi="Arial" w:cs="Arial"/>
          <w:sz w:val="20"/>
          <w:szCs w:val="20"/>
        </w:rPr>
        <w:t xml:space="preserve">. In addition, low-energy trauma in elderly or osteoporotic patients should not be underestimated, because these injuries may still result in pain, deformity progression, reduced mobility, and functional decline </w:t>
      </w:r>
      <w:r w:rsidRPr="00E00B50">
        <w:rPr>
          <w:rStyle w:val="text-token-text-primary"/>
          <w:rFonts w:ascii="Arial" w:hAnsi="Arial" w:cs="Arial"/>
          <w:sz w:val="20"/>
          <w:szCs w:val="20"/>
          <w:vertAlign w:val="superscript"/>
        </w:rPr>
        <w:t>[13,22,30]</w:t>
      </w:r>
      <w:r w:rsidRPr="00E00B50">
        <w:rPr>
          <w:rFonts w:ascii="Arial" w:hAnsi="Arial" w:cs="Arial"/>
          <w:sz w:val="20"/>
          <w:szCs w:val="20"/>
        </w:rPr>
        <w:t>.</w:t>
      </w:r>
    </w:p>
    <w:p w14:paraId="2315EC8A" w14:textId="77777777" w:rsidR="00E00B50" w:rsidRPr="00E00B50" w:rsidRDefault="00E00B50" w:rsidP="00E00B50">
      <w:pPr>
        <w:pStyle w:val="isselectedend"/>
        <w:spacing w:before="0" w:beforeAutospacing="0" w:after="0" w:afterAutospacing="0"/>
        <w:ind w:firstLine="720"/>
        <w:jc w:val="both"/>
        <w:rPr>
          <w:rFonts w:ascii="Arial" w:hAnsi="Arial" w:cs="Arial"/>
          <w:sz w:val="20"/>
          <w:szCs w:val="20"/>
        </w:rPr>
      </w:pPr>
      <w:r w:rsidRPr="00E00B50">
        <w:rPr>
          <w:rFonts w:ascii="Arial" w:hAnsi="Arial" w:cs="Arial"/>
          <w:sz w:val="20"/>
          <w:szCs w:val="20"/>
        </w:rPr>
        <w:t xml:space="preserve">Neurological status remains the strongest predictor of prognosis and one of the most important factors guiding urgency of treatment </w:t>
      </w:r>
      <w:r w:rsidRPr="00E00B50">
        <w:rPr>
          <w:rStyle w:val="text-token-text-primary"/>
          <w:rFonts w:ascii="Arial" w:hAnsi="Arial" w:cs="Arial"/>
          <w:sz w:val="20"/>
          <w:szCs w:val="20"/>
          <w:vertAlign w:val="superscript"/>
        </w:rPr>
        <w:t>[4,8,27]</w:t>
      </w:r>
      <w:r w:rsidRPr="00E00B50">
        <w:rPr>
          <w:rFonts w:ascii="Arial" w:hAnsi="Arial" w:cs="Arial"/>
          <w:sz w:val="20"/>
          <w:szCs w:val="20"/>
        </w:rPr>
        <w:t xml:space="preserve">. Thoracolumbar injuries may affect the distal spinal cord, conus medullaris, or cauda equina, producing variable neurological syndromes and making repeated clinical assessment essential </w:t>
      </w:r>
      <w:r w:rsidRPr="00E00B50">
        <w:rPr>
          <w:rStyle w:val="text-token-text-primary"/>
          <w:rFonts w:ascii="Arial" w:hAnsi="Arial" w:cs="Arial"/>
          <w:sz w:val="20"/>
          <w:szCs w:val="20"/>
          <w:vertAlign w:val="superscript"/>
        </w:rPr>
        <w:t>[4,22,27]</w:t>
      </w:r>
      <w:r w:rsidRPr="00E00B50">
        <w:rPr>
          <w:rFonts w:ascii="Arial" w:hAnsi="Arial" w:cs="Arial"/>
          <w:sz w:val="20"/>
          <w:szCs w:val="20"/>
        </w:rPr>
        <w:t xml:space="preserve">. Long-term outcome depends not only on radiographic healing or technical success of surgery, but also on pain control, functional recovery, rehabilitation, and quality of life </w:t>
      </w:r>
      <w:r w:rsidRPr="00E00B50">
        <w:rPr>
          <w:rStyle w:val="text-token-text-primary"/>
          <w:rFonts w:ascii="Arial" w:hAnsi="Arial" w:cs="Arial"/>
          <w:sz w:val="20"/>
          <w:szCs w:val="20"/>
          <w:vertAlign w:val="superscript"/>
        </w:rPr>
        <w:t>[9,22,27]</w:t>
      </w:r>
      <w:r w:rsidRPr="00E00B50">
        <w:rPr>
          <w:rFonts w:ascii="Arial" w:hAnsi="Arial" w:cs="Arial"/>
          <w:sz w:val="20"/>
          <w:szCs w:val="20"/>
        </w:rPr>
        <w:t xml:space="preserve">. Overall, thoracolumbar trauma should be approached as a time-sensitive and multidisciplinary condition that requires careful integration of biomechanics, imaging, classification, and individualized treatment planning </w:t>
      </w:r>
      <w:r w:rsidRPr="00E00B50">
        <w:rPr>
          <w:rStyle w:val="text-token-text-primary"/>
          <w:rFonts w:ascii="Arial" w:hAnsi="Arial" w:cs="Arial"/>
          <w:sz w:val="20"/>
          <w:szCs w:val="20"/>
          <w:vertAlign w:val="superscript"/>
        </w:rPr>
        <w:t>[8,12,21,22]</w:t>
      </w:r>
      <w:r w:rsidRPr="00E00B50">
        <w:rPr>
          <w:rFonts w:ascii="Arial" w:hAnsi="Arial" w:cs="Arial"/>
          <w:sz w:val="20"/>
          <w:szCs w:val="20"/>
        </w:rPr>
        <w:t>.</w:t>
      </w:r>
    </w:p>
    <w:p w14:paraId="1B203464" w14:textId="77777777" w:rsidR="00E00B50" w:rsidRPr="00E00B50" w:rsidRDefault="00E00B50" w:rsidP="00E00B50">
      <w:pPr>
        <w:pStyle w:val="isselectedend"/>
        <w:spacing w:before="0" w:beforeAutospacing="0" w:after="0" w:afterAutospacing="0"/>
        <w:ind w:firstLine="720"/>
        <w:jc w:val="both"/>
        <w:rPr>
          <w:rFonts w:ascii="Arial" w:hAnsi="Arial" w:cs="Arial"/>
          <w:sz w:val="20"/>
          <w:szCs w:val="20"/>
        </w:rPr>
      </w:pPr>
      <w:r w:rsidRPr="00E00B50">
        <w:rPr>
          <w:rFonts w:ascii="Arial" w:hAnsi="Arial" w:cs="Arial"/>
          <w:sz w:val="20"/>
          <w:szCs w:val="20"/>
        </w:rPr>
        <w:t>This review has several limitations. First, it is a narrative literature review and not a systematic review, which may introduce selection bias in the included studies. Second, the reviewed literature includes studies with varying methodologies and levels of evidence. Third, management recommendations in thoracolumbar trauma may differ across institutions and clinical settings depending on available resources, imaging access, and surgeon experience.</w:t>
      </w:r>
    </w:p>
    <w:p w14:paraId="113B2664" w14:textId="77777777" w:rsidR="00E00B50" w:rsidRDefault="00E00B50" w:rsidP="00036017">
      <w:pPr>
        <w:pStyle w:val="Head1"/>
        <w:spacing w:after="0"/>
        <w:jc w:val="both"/>
        <w:rPr>
          <w:rFonts w:ascii="Arial" w:hAnsi="Arial" w:cs="Arial"/>
        </w:rPr>
      </w:pPr>
    </w:p>
    <w:p w14:paraId="72BD6360" w14:textId="77777777" w:rsidR="00036017" w:rsidRDefault="00036017" w:rsidP="00036017">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4AE5FE5B" w14:textId="403A27FE" w:rsidR="00036017" w:rsidRDefault="008920E8" w:rsidP="008920E8">
      <w:pPr>
        <w:pStyle w:val="Body"/>
        <w:spacing w:after="0"/>
        <w:ind w:firstLine="720"/>
        <w:rPr>
          <w:rFonts w:ascii="Arial" w:hAnsi="Arial" w:cs="Arial"/>
        </w:rPr>
      </w:pPr>
      <w:r w:rsidRPr="008920E8">
        <w:rPr>
          <w:rFonts w:ascii="Arial" w:hAnsi="Arial" w:cs="Arial"/>
        </w:rPr>
        <w:t xml:space="preserve">Thoracolumbar trauma is a clinically important spinal injury because it is associated with substantial neurological risk, functional impairment, and long-term disability </w:t>
      </w:r>
      <w:r w:rsidRPr="008920E8">
        <w:rPr>
          <w:rFonts w:ascii="Arial" w:hAnsi="Arial" w:cs="Arial"/>
          <w:vertAlign w:val="superscript"/>
        </w:rPr>
        <w:t>[13,16,22,25,30]</w:t>
      </w:r>
      <w:r w:rsidRPr="008920E8">
        <w:rPr>
          <w:rFonts w:ascii="Arial" w:hAnsi="Arial" w:cs="Arial"/>
        </w:rPr>
        <w:t xml:space="preserve">. Accurate evaluation requires careful integration of clinical findings, imaging, and injury classification </w:t>
      </w:r>
      <w:r w:rsidRPr="008920E8">
        <w:rPr>
          <w:rFonts w:ascii="Arial" w:hAnsi="Arial" w:cs="Arial"/>
          <w:vertAlign w:val="superscript"/>
        </w:rPr>
        <w:t>[5,7,19,28]</w:t>
      </w:r>
      <w:r w:rsidRPr="008920E8">
        <w:rPr>
          <w:rFonts w:ascii="Arial" w:hAnsi="Arial" w:cs="Arial"/>
        </w:rPr>
        <w:t xml:space="preserve">. The AO Spine classification and TLICS systems are useful tools for assessing injury severity and guiding treatment </w:t>
      </w:r>
      <w:r w:rsidRPr="008920E8">
        <w:rPr>
          <w:rFonts w:ascii="Arial" w:hAnsi="Arial" w:cs="Arial"/>
          <w:vertAlign w:val="superscript"/>
        </w:rPr>
        <w:t>[1,11,12,28]</w:t>
      </w:r>
      <w:r w:rsidRPr="008920E8">
        <w:rPr>
          <w:rFonts w:ascii="Arial" w:hAnsi="Arial" w:cs="Arial"/>
        </w:rPr>
        <w:t xml:space="preserve">, but management decisions must still be individualized according to instability, neurological status, posterior ligamentous complex injury, and overall patient condition </w:t>
      </w:r>
      <w:r w:rsidRPr="008920E8">
        <w:rPr>
          <w:rFonts w:ascii="Arial" w:hAnsi="Arial" w:cs="Arial"/>
          <w:vertAlign w:val="superscript"/>
        </w:rPr>
        <w:t>[10,15,18,21,22]</w:t>
      </w:r>
      <w:r w:rsidRPr="008920E8">
        <w:rPr>
          <w:rFonts w:ascii="Arial" w:hAnsi="Arial" w:cs="Arial"/>
        </w:rPr>
        <w:t xml:space="preserve">. Stable injuries are often managed conservatively, whereas unstable fractures and neurologically compromised patients more commonly require surgical stabilization </w:t>
      </w:r>
      <w:r w:rsidRPr="008920E8">
        <w:rPr>
          <w:rFonts w:ascii="Arial" w:hAnsi="Arial" w:cs="Arial"/>
          <w:vertAlign w:val="superscript"/>
        </w:rPr>
        <w:t>[2,4,10,20,22]</w:t>
      </w:r>
      <w:r w:rsidRPr="008920E8">
        <w:rPr>
          <w:rFonts w:ascii="Arial" w:hAnsi="Arial" w:cs="Arial"/>
        </w:rPr>
        <w:t xml:space="preserve">. Early recognition, appropriate classification, timely treatment, and appropriate rehabilitation are essential to improve outcomes and reduce long-term complications </w:t>
      </w:r>
      <w:r w:rsidRPr="008920E8">
        <w:rPr>
          <w:rFonts w:ascii="Arial" w:hAnsi="Arial" w:cs="Arial"/>
          <w:vertAlign w:val="superscript"/>
        </w:rPr>
        <w:t>[8,9,24,27]</w:t>
      </w:r>
      <w:r w:rsidRPr="008920E8">
        <w:rPr>
          <w:rFonts w:ascii="Arial" w:hAnsi="Arial" w:cs="Arial"/>
        </w:rPr>
        <w:t>.</w:t>
      </w:r>
    </w:p>
    <w:p w14:paraId="34C15B02" w14:textId="77777777" w:rsidR="008920E8" w:rsidRPr="00FB3A86" w:rsidRDefault="008920E8" w:rsidP="008920E8">
      <w:pPr>
        <w:pStyle w:val="Body"/>
        <w:spacing w:after="0"/>
        <w:ind w:firstLine="720"/>
        <w:rPr>
          <w:rFonts w:ascii="Arial" w:hAnsi="Arial" w:cs="Arial"/>
        </w:rPr>
      </w:pPr>
    </w:p>
    <w:p w14:paraId="745BCE82" w14:textId="77777777" w:rsidR="00036017" w:rsidRDefault="00036017" w:rsidP="00036017">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010E4F2F" w14:textId="77777777" w:rsidR="00036017" w:rsidRPr="003E7135" w:rsidRDefault="00036017" w:rsidP="00036017">
      <w:pPr>
        <w:jc w:val="both"/>
        <w:rPr>
          <w:rFonts w:ascii="Arial" w:hAnsi="Arial" w:cs="Arial"/>
        </w:rPr>
      </w:pPr>
      <w:r w:rsidRPr="003E7135">
        <w:rPr>
          <w:rFonts w:ascii="Arial" w:hAnsi="Arial" w:cs="Arial"/>
        </w:rPr>
        <w:t xml:space="preserve">The authors would like to express sincere gratitude to the </w:t>
      </w:r>
      <w:proofErr w:type="spellStart"/>
      <w:r w:rsidRPr="003E7135">
        <w:rPr>
          <w:rFonts w:ascii="Arial" w:hAnsi="Arial" w:cs="Arial"/>
        </w:rPr>
        <w:t>Orthopaedics</w:t>
      </w:r>
      <w:proofErr w:type="spellEnd"/>
      <w:r w:rsidRPr="003E7135">
        <w:rPr>
          <w:rFonts w:ascii="Arial" w:hAnsi="Arial" w:cs="Arial"/>
        </w:rPr>
        <w:t xml:space="preserve"> and Traumatology Specialist Program, Faculty of Medicine, Udayana University/Prof. Dr. I.G.N.G. </w:t>
      </w:r>
      <w:proofErr w:type="spellStart"/>
      <w:r w:rsidRPr="003E7135">
        <w:rPr>
          <w:rFonts w:ascii="Arial" w:hAnsi="Arial" w:cs="Arial"/>
        </w:rPr>
        <w:t>Ngoerah</w:t>
      </w:r>
      <w:proofErr w:type="spellEnd"/>
      <w:r w:rsidRPr="003E7135">
        <w:rPr>
          <w:rFonts w:ascii="Arial" w:hAnsi="Arial" w:cs="Arial"/>
        </w:rPr>
        <w:t xml:space="preserve"> General Hospital, for the academic support provided during the preparation of this manuscript. The authors also wish to thank Dr. dr. I </w:t>
      </w:r>
      <w:proofErr w:type="spellStart"/>
      <w:r w:rsidRPr="003E7135">
        <w:rPr>
          <w:rFonts w:ascii="Arial" w:hAnsi="Arial" w:cs="Arial"/>
        </w:rPr>
        <w:t>Gusti</w:t>
      </w:r>
      <w:proofErr w:type="spellEnd"/>
      <w:r w:rsidRPr="003E7135">
        <w:rPr>
          <w:rFonts w:ascii="Arial" w:hAnsi="Arial" w:cs="Arial"/>
        </w:rPr>
        <w:t xml:space="preserve"> </w:t>
      </w:r>
      <w:proofErr w:type="spellStart"/>
      <w:r w:rsidRPr="003E7135">
        <w:rPr>
          <w:rFonts w:ascii="Arial" w:hAnsi="Arial" w:cs="Arial"/>
        </w:rPr>
        <w:t>Ngurah</w:t>
      </w:r>
      <w:proofErr w:type="spellEnd"/>
      <w:r w:rsidRPr="003E7135">
        <w:rPr>
          <w:rFonts w:ascii="Arial" w:hAnsi="Arial" w:cs="Arial"/>
        </w:rPr>
        <w:t xml:space="preserve"> Wien Aryana, </w:t>
      </w:r>
      <w:proofErr w:type="spellStart"/>
      <w:r w:rsidRPr="003E7135">
        <w:rPr>
          <w:rFonts w:ascii="Arial" w:hAnsi="Arial" w:cs="Arial"/>
        </w:rPr>
        <w:t>Sp.O.T</w:t>
      </w:r>
      <w:proofErr w:type="spellEnd"/>
      <w:r w:rsidRPr="003E7135">
        <w:rPr>
          <w:rFonts w:ascii="Arial" w:hAnsi="Arial" w:cs="Arial"/>
        </w:rPr>
        <w:t xml:space="preserve">. </w:t>
      </w:r>
      <w:proofErr w:type="spellStart"/>
      <w:proofErr w:type="gramStart"/>
      <w:r w:rsidRPr="003E7135">
        <w:rPr>
          <w:rFonts w:ascii="Arial" w:hAnsi="Arial" w:cs="Arial"/>
        </w:rPr>
        <w:t>Subsp.C.O</w:t>
      </w:r>
      <w:proofErr w:type="spellEnd"/>
      <w:proofErr w:type="gramEnd"/>
      <w:r w:rsidRPr="003E7135">
        <w:rPr>
          <w:rFonts w:ascii="Arial" w:hAnsi="Arial" w:cs="Arial"/>
        </w:rPr>
        <w:t>(K), for his academic support. No specific funding was received for this work.</w:t>
      </w:r>
    </w:p>
    <w:p w14:paraId="1D007E97" w14:textId="77777777" w:rsidR="00036017" w:rsidRPr="00315186" w:rsidRDefault="00036017" w:rsidP="00036017"/>
    <w:p w14:paraId="37052965" w14:textId="77777777" w:rsidR="00036017" w:rsidRPr="00786D36" w:rsidRDefault="00036017" w:rsidP="00036017">
      <w:pPr>
        <w:pStyle w:val="ReferHead"/>
        <w:spacing w:after="0"/>
        <w:jc w:val="both"/>
        <w:rPr>
          <w:rFonts w:ascii="Arial" w:hAnsi="Arial" w:cs="Arial"/>
          <w:bCs/>
        </w:rPr>
      </w:pPr>
      <w:r w:rsidRPr="00786D36">
        <w:rPr>
          <w:rFonts w:ascii="Arial" w:hAnsi="Arial" w:cs="Arial"/>
          <w:bCs/>
        </w:rPr>
        <w:lastRenderedPageBreak/>
        <w:t>Competing interests</w:t>
      </w:r>
    </w:p>
    <w:p w14:paraId="5C11D20E" w14:textId="77777777" w:rsidR="00036017" w:rsidRDefault="00036017" w:rsidP="00036017">
      <w:pPr>
        <w:pStyle w:val="ReferHead"/>
        <w:spacing w:after="0"/>
        <w:jc w:val="both"/>
        <w:rPr>
          <w:rFonts w:ascii="Arial" w:hAnsi="Arial" w:cs="Arial"/>
          <w:b w:val="0"/>
          <w:caps w:val="0"/>
          <w:sz w:val="20"/>
        </w:rPr>
      </w:pPr>
      <w:r w:rsidRPr="001C7358">
        <w:rPr>
          <w:rFonts w:ascii="Arial" w:hAnsi="Arial" w:cs="Arial"/>
          <w:b w:val="0"/>
          <w:caps w:val="0"/>
          <w:sz w:val="20"/>
        </w:rPr>
        <w:t>The author declares that there are no competing interests.</w:t>
      </w:r>
    </w:p>
    <w:p w14:paraId="32B45AD3" w14:textId="77777777" w:rsidR="00036017" w:rsidRDefault="00036017" w:rsidP="00036017">
      <w:pPr>
        <w:pStyle w:val="ReferHead"/>
        <w:spacing w:after="0"/>
        <w:jc w:val="both"/>
        <w:rPr>
          <w:rFonts w:ascii="Arial" w:hAnsi="Arial" w:cs="Arial"/>
          <w:b w:val="0"/>
          <w:caps w:val="0"/>
          <w:sz w:val="20"/>
        </w:rPr>
      </w:pPr>
    </w:p>
    <w:p w14:paraId="4C0D0E2B" w14:textId="77777777" w:rsidR="00036017" w:rsidRDefault="00036017" w:rsidP="00036017">
      <w:pPr>
        <w:pStyle w:val="ReferHead"/>
        <w:spacing w:after="0"/>
        <w:jc w:val="both"/>
        <w:rPr>
          <w:rFonts w:ascii="Arial" w:hAnsi="Arial" w:cs="Arial"/>
          <w:bCs/>
        </w:rPr>
      </w:pPr>
      <w:r w:rsidRPr="00371FB6">
        <w:rPr>
          <w:rFonts w:ascii="Arial" w:hAnsi="Arial" w:cs="Arial"/>
          <w:bCs/>
        </w:rPr>
        <w:t>Authors’ Contributions</w:t>
      </w:r>
    </w:p>
    <w:p w14:paraId="2BE56655" w14:textId="77777777" w:rsidR="00036017" w:rsidRDefault="00036017" w:rsidP="00036017">
      <w:pPr>
        <w:pStyle w:val="ReferHead"/>
        <w:spacing w:after="0"/>
        <w:jc w:val="both"/>
        <w:rPr>
          <w:rFonts w:ascii="Arial" w:hAnsi="Arial" w:cs="Arial"/>
          <w:b w:val="0"/>
          <w:caps w:val="0"/>
          <w:sz w:val="20"/>
        </w:rPr>
      </w:pPr>
      <w:r w:rsidRPr="00422CE0">
        <w:rPr>
          <w:rFonts w:ascii="Arial" w:hAnsi="Arial" w:cs="Arial"/>
          <w:b w:val="0"/>
          <w:caps w:val="0"/>
          <w:sz w:val="20"/>
        </w:rPr>
        <w:t xml:space="preserve">Gede Odi Bayu Dharma Perkasa contributed to the conception of the review, literature search, literature analysis, and drafting of the manuscript. I Gusti Lanang </w:t>
      </w:r>
      <w:proofErr w:type="spellStart"/>
      <w:r w:rsidRPr="00422CE0">
        <w:rPr>
          <w:rFonts w:ascii="Arial" w:hAnsi="Arial" w:cs="Arial"/>
          <w:b w:val="0"/>
          <w:caps w:val="0"/>
          <w:sz w:val="20"/>
        </w:rPr>
        <w:t>Ngurah</w:t>
      </w:r>
      <w:proofErr w:type="spellEnd"/>
      <w:r w:rsidRPr="00422CE0">
        <w:rPr>
          <w:rFonts w:ascii="Arial" w:hAnsi="Arial" w:cs="Arial"/>
          <w:b w:val="0"/>
          <w:caps w:val="0"/>
          <w:sz w:val="20"/>
        </w:rPr>
        <w:t xml:space="preserve"> Agung </w:t>
      </w:r>
      <w:proofErr w:type="spellStart"/>
      <w:r w:rsidRPr="00422CE0">
        <w:rPr>
          <w:rFonts w:ascii="Arial" w:hAnsi="Arial" w:cs="Arial"/>
          <w:b w:val="0"/>
          <w:caps w:val="0"/>
          <w:sz w:val="20"/>
        </w:rPr>
        <w:t>Artha</w:t>
      </w:r>
      <w:proofErr w:type="spellEnd"/>
      <w:r w:rsidRPr="00422CE0">
        <w:rPr>
          <w:rFonts w:ascii="Arial" w:hAnsi="Arial" w:cs="Arial"/>
          <w:b w:val="0"/>
          <w:caps w:val="0"/>
          <w:sz w:val="20"/>
        </w:rPr>
        <w:t xml:space="preserve"> </w:t>
      </w:r>
      <w:proofErr w:type="spellStart"/>
      <w:r w:rsidRPr="00422CE0">
        <w:rPr>
          <w:rFonts w:ascii="Arial" w:hAnsi="Arial" w:cs="Arial"/>
          <w:b w:val="0"/>
          <w:caps w:val="0"/>
          <w:sz w:val="20"/>
        </w:rPr>
        <w:t>Wiguna</w:t>
      </w:r>
      <w:proofErr w:type="spellEnd"/>
      <w:r w:rsidRPr="00422CE0">
        <w:rPr>
          <w:rFonts w:ascii="Arial" w:hAnsi="Arial" w:cs="Arial"/>
          <w:b w:val="0"/>
          <w:caps w:val="0"/>
          <w:sz w:val="20"/>
        </w:rPr>
        <w:t xml:space="preserve"> contributed to academic supervision, critical revision of the manuscript, and final approval of the version to be published. Both authors approved the final manuscript</w:t>
      </w:r>
      <w:r>
        <w:rPr>
          <w:rFonts w:ascii="Arial" w:hAnsi="Arial" w:cs="Arial"/>
          <w:b w:val="0"/>
          <w:caps w:val="0"/>
          <w:sz w:val="20"/>
        </w:rPr>
        <w:t>.</w:t>
      </w:r>
    </w:p>
    <w:p w14:paraId="1A939523" w14:textId="77777777" w:rsidR="00036017" w:rsidRDefault="00036017" w:rsidP="00036017">
      <w:pPr>
        <w:pStyle w:val="ReferHead"/>
        <w:spacing w:after="0"/>
        <w:jc w:val="both"/>
        <w:rPr>
          <w:rFonts w:ascii="Arial" w:hAnsi="Arial" w:cs="Arial"/>
          <w:b w:val="0"/>
          <w:caps w:val="0"/>
          <w:sz w:val="20"/>
        </w:rPr>
      </w:pPr>
    </w:p>
    <w:p w14:paraId="2ACD136B" w14:textId="77777777" w:rsidR="00036017" w:rsidRDefault="00036017" w:rsidP="0003601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186EB016" w14:textId="77777777" w:rsidR="00036017" w:rsidRDefault="00036017" w:rsidP="00036017">
      <w:pPr>
        <w:pStyle w:val="ReferHead"/>
        <w:spacing w:after="0"/>
        <w:jc w:val="both"/>
        <w:rPr>
          <w:rFonts w:ascii="Arial" w:hAnsi="Arial" w:cs="Arial"/>
          <w:b w:val="0"/>
          <w:caps w:val="0"/>
          <w:sz w:val="20"/>
        </w:rPr>
      </w:pPr>
      <w:r w:rsidRPr="001C7358">
        <w:rPr>
          <w:rFonts w:ascii="Arial" w:hAnsi="Arial" w:cs="Arial"/>
          <w:b w:val="0"/>
          <w:caps w:val="0"/>
          <w:sz w:val="20"/>
        </w:rPr>
        <w:t>Not applicable. This manuscript is a literature review and does not involve individual patient data or case details for publication.</w:t>
      </w:r>
    </w:p>
    <w:p w14:paraId="69660904" w14:textId="77777777" w:rsidR="00036017" w:rsidRDefault="00036017" w:rsidP="00036017">
      <w:pPr>
        <w:pStyle w:val="ReferHead"/>
        <w:spacing w:after="0"/>
        <w:jc w:val="both"/>
        <w:rPr>
          <w:rFonts w:ascii="Arial" w:hAnsi="Arial" w:cs="Arial"/>
          <w:b w:val="0"/>
          <w:caps w:val="0"/>
          <w:sz w:val="20"/>
        </w:rPr>
      </w:pPr>
    </w:p>
    <w:p w14:paraId="0A74D42B" w14:textId="77777777" w:rsidR="00036017" w:rsidRDefault="00036017" w:rsidP="00036017">
      <w:pPr>
        <w:pStyle w:val="ReferHead"/>
        <w:spacing w:after="0"/>
        <w:jc w:val="both"/>
        <w:rPr>
          <w:rFonts w:ascii="Arial" w:hAnsi="Arial" w:cs="Arial"/>
          <w:bCs/>
        </w:rPr>
      </w:pPr>
      <w:r>
        <w:rPr>
          <w:rFonts w:ascii="Arial" w:hAnsi="Arial" w:cs="Arial"/>
          <w:bCs/>
        </w:rPr>
        <w:t>Ethical approval (where ever applicable)</w:t>
      </w:r>
    </w:p>
    <w:p w14:paraId="3EFC36CF" w14:textId="77777777" w:rsidR="00036017" w:rsidRDefault="00036017" w:rsidP="00036017">
      <w:pPr>
        <w:pStyle w:val="ReferHead"/>
        <w:spacing w:after="0"/>
        <w:jc w:val="both"/>
        <w:rPr>
          <w:rFonts w:ascii="Arial" w:hAnsi="Arial" w:cs="Arial"/>
          <w:b w:val="0"/>
          <w:caps w:val="0"/>
          <w:sz w:val="20"/>
        </w:rPr>
      </w:pPr>
      <w:r w:rsidRPr="001C7358">
        <w:rPr>
          <w:rFonts w:ascii="Arial" w:hAnsi="Arial" w:cs="Arial"/>
          <w:b w:val="0"/>
          <w:caps w:val="0"/>
          <w:sz w:val="20"/>
        </w:rPr>
        <w:t>Ethical approval was not required for this study because it is a literature review based on previously published sources and does not involve human participants, patient identifiers, or animal experimentation.</w:t>
      </w:r>
    </w:p>
    <w:p w14:paraId="6CCF7E16" w14:textId="7504026C" w:rsidR="00036017" w:rsidRDefault="00036017" w:rsidP="00036017">
      <w:pPr>
        <w:pStyle w:val="ReferHead"/>
        <w:spacing w:after="0"/>
        <w:jc w:val="both"/>
        <w:rPr>
          <w:rFonts w:ascii="Arial" w:hAnsi="Arial" w:cs="Arial"/>
        </w:rPr>
      </w:pPr>
    </w:p>
    <w:p w14:paraId="35DDEB63" w14:textId="1D9BFC13" w:rsidR="00815086" w:rsidRDefault="00815086" w:rsidP="00036017">
      <w:pPr>
        <w:pStyle w:val="ReferHead"/>
        <w:spacing w:after="0"/>
        <w:jc w:val="both"/>
        <w:rPr>
          <w:rFonts w:ascii="Arial" w:hAnsi="Arial" w:cs="Arial"/>
        </w:rPr>
      </w:pPr>
    </w:p>
    <w:p w14:paraId="2D38D9F4" w14:textId="77777777" w:rsidR="00815086" w:rsidRPr="00005ED1" w:rsidRDefault="00815086" w:rsidP="00815086">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90E22EE" w14:textId="77777777" w:rsidR="00815086" w:rsidRPr="00005ED1" w:rsidRDefault="00815086" w:rsidP="00815086">
      <w:pPr>
        <w:pStyle w:val="NoSpacing"/>
        <w:rPr>
          <w:rFonts w:ascii="Arial" w:hAnsi="Arial" w:cs="Arial"/>
          <w:highlight w:val="yellow"/>
        </w:rPr>
      </w:pPr>
    </w:p>
    <w:p w14:paraId="2E5EF4A1" w14:textId="77777777" w:rsidR="00815086" w:rsidRPr="00005ED1" w:rsidRDefault="00815086" w:rsidP="0081508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BDB9B2F" w14:textId="77777777" w:rsidR="00815086" w:rsidRDefault="00815086" w:rsidP="00815086">
      <w:pPr>
        <w:pStyle w:val="NoSpacing"/>
        <w:rPr>
          <w:rFonts w:ascii="Arial" w:hAnsi="Arial" w:cs="Arial"/>
        </w:rPr>
      </w:pPr>
    </w:p>
    <w:p w14:paraId="02DD13A0" w14:textId="77777777" w:rsidR="00815086" w:rsidRDefault="00815086" w:rsidP="00815086">
      <w:pPr>
        <w:pStyle w:val="NoSpacing"/>
        <w:rPr>
          <w:rFonts w:ascii="Arial" w:hAnsi="Arial" w:cs="Arial"/>
        </w:rPr>
      </w:pPr>
    </w:p>
    <w:p w14:paraId="7646816B" w14:textId="77777777" w:rsidR="00815086" w:rsidRPr="00005ED1" w:rsidRDefault="00815086" w:rsidP="00815086">
      <w:pPr>
        <w:pStyle w:val="NoSpacing"/>
        <w:rPr>
          <w:rFonts w:ascii="Arial" w:hAnsi="Arial" w:cs="Arial"/>
        </w:rPr>
      </w:pPr>
    </w:p>
    <w:p w14:paraId="042226D8" w14:textId="77777777" w:rsidR="00815086" w:rsidRDefault="00815086" w:rsidP="00036017">
      <w:pPr>
        <w:pStyle w:val="ReferHead"/>
        <w:spacing w:after="0"/>
        <w:jc w:val="both"/>
        <w:rPr>
          <w:rFonts w:ascii="Arial" w:hAnsi="Arial" w:cs="Arial"/>
        </w:rPr>
      </w:pPr>
    </w:p>
    <w:p w14:paraId="6F24F87E" w14:textId="77777777" w:rsidR="00036017" w:rsidRPr="00FB3A86" w:rsidRDefault="00036017" w:rsidP="00036017">
      <w:pPr>
        <w:pStyle w:val="ReferHead"/>
        <w:spacing w:after="0"/>
        <w:jc w:val="both"/>
        <w:rPr>
          <w:rFonts w:ascii="Arial" w:hAnsi="Arial" w:cs="Arial"/>
        </w:rPr>
      </w:pPr>
      <w:r w:rsidRPr="00FB3A86">
        <w:rPr>
          <w:rFonts w:ascii="Arial" w:hAnsi="Arial" w:cs="Arial"/>
        </w:rPr>
        <w:t>References</w:t>
      </w:r>
    </w:p>
    <w:p w14:paraId="785DE631"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Azimi, P., Mohammadi, H., Azhari, S., Alizadeh, P., &amp; Montazeri, A. (2015). The </w:t>
      </w:r>
      <w:proofErr w:type="spellStart"/>
      <w:r w:rsidRPr="000216B4">
        <w:rPr>
          <w:rFonts w:ascii="Arial" w:hAnsi="Arial" w:cs="Arial"/>
          <w:sz w:val="20"/>
          <w:szCs w:val="20"/>
        </w:rPr>
        <w:t>AOSpine</w:t>
      </w:r>
      <w:proofErr w:type="spellEnd"/>
      <w:r w:rsidRPr="000216B4">
        <w:rPr>
          <w:rFonts w:ascii="Arial" w:hAnsi="Arial" w:cs="Arial"/>
          <w:sz w:val="20"/>
          <w:szCs w:val="20"/>
        </w:rPr>
        <w:t xml:space="preserve"> thoracolumbar spine injury classification system: A reliability and agreement study. Asian Journal of Neurosurgery, 10(4), 282–285. https://doi.org/10.4103/1793-5482.162703</w:t>
      </w:r>
    </w:p>
    <w:p w14:paraId="4554DFB6"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Bloemers, F., Jug, M., Nau, C., Komadina, R., Pape, H. C., &amp; Wendt, K. (2024). Thoracolumbar injuries: Operative treatment: indications, techniques, timing and implant removal. Current practice. European Journal of Trauma and Emergency Surgery, 1959–1968. https://doi.org/10.1007/s00068-024-02602-y</w:t>
      </w:r>
    </w:p>
    <w:p w14:paraId="641710F9" w14:textId="77777777" w:rsidR="00036017" w:rsidRPr="000216B4" w:rsidRDefault="00036017" w:rsidP="00036017">
      <w:pPr>
        <w:pStyle w:val="NormalWeb"/>
        <w:numPr>
          <w:ilvl w:val="0"/>
          <w:numId w:val="34"/>
        </w:numPr>
        <w:ind w:left="284"/>
        <w:jc w:val="both"/>
        <w:rPr>
          <w:rFonts w:ascii="Arial" w:hAnsi="Arial" w:cs="Arial"/>
          <w:sz w:val="20"/>
          <w:szCs w:val="20"/>
        </w:rPr>
      </w:pPr>
      <w:proofErr w:type="spellStart"/>
      <w:r w:rsidRPr="000216B4">
        <w:rPr>
          <w:rFonts w:ascii="Arial" w:hAnsi="Arial" w:cs="Arial"/>
          <w:sz w:val="20"/>
          <w:szCs w:val="20"/>
        </w:rPr>
        <w:t>Bogduk</w:t>
      </w:r>
      <w:proofErr w:type="spellEnd"/>
      <w:r w:rsidRPr="000216B4">
        <w:rPr>
          <w:rFonts w:ascii="Arial" w:hAnsi="Arial" w:cs="Arial"/>
          <w:sz w:val="20"/>
          <w:szCs w:val="20"/>
        </w:rPr>
        <w:t>, N. (2016). Functional anatomy of the spine. In Handbook of Clinical Neurology (Vol. 136). Elsevier B.V. https://doi.org/10.1016/B978-0-444-53486-6.00032-6</w:t>
      </w:r>
    </w:p>
    <w:p w14:paraId="63F301B6"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Charles, Y. P., &amp; Steib, J. P. (2015). Management of thoracolumbar spine fractures with neurologic disorder. Orthopaedics and Traumatology: Surgery and Research, 101(1), S31–S40. https://doi.org/10.1016/j.otsr.2014.06.024</w:t>
      </w:r>
    </w:p>
    <w:p w14:paraId="7C959A79"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Dailey, A. T., Arnold, P. M., Anderson, P. A., Chi, J. H., Dhall, S. S., Eichholz, K. M., et al. (2018). Systematic review and evidence-based guidelines on the evaluation and treatment of patients with thoracolumbar spine trauma: Classification of injury. Congress of Neurological Surgeons (CNS) and Section on Disorders of the Spine and Peripheral Nerves.</w:t>
      </w:r>
    </w:p>
    <w:p w14:paraId="125421B9"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Denis, F. (1983). The </w:t>
      </w:r>
      <w:proofErr w:type="gramStart"/>
      <w:r w:rsidRPr="000216B4">
        <w:rPr>
          <w:rFonts w:ascii="Arial" w:hAnsi="Arial" w:cs="Arial"/>
          <w:sz w:val="20"/>
          <w:szCs w:val="20"/>
        </w:rPr>
        <w:t>three column</w:t>
      </w:r>
      <w:proofErr w:type="gramEnd"/>
      <w:r w:rsidRPr="000216B4">
        <w:rPr>
          <w:rFonts w:ascii="Arial" w:hAnsi="Arial" w:cs="Arial"/>
          <w:sz w:val="20"/>
          <w:szCs w:val="20"/>
        </w:rPr>
        <w:t xml:space="preserve"> spine and its significance in the classification of acute thoracolumbar spinal injuries. Spine, 8, 817–831.</w:t>
      </w:r>
    </w:p>
    <w:p w14:paraId="409E8329" w14:textId="77777777" w:rsidR="00036017" w:rsidRPr="000216B4" w:rsidRDefault="00036017" w:rsidP="00036017">
      <w:pPr>
        <w:pStyle w:val="NormalWeb"/>
        <w:numPr>
          <w:ilvl w:val="0"/>
          <w:numId w:val="34"/>
        </w:numPr>
        <w:ind w:left="284"/>
        <w:jc w:val="both"/>
        <w:rPr>
          <w:rFonts w:ascii="Arial" w:hAnsi="Arial" w:cs="Arial"/>
          <w:sz w:val="20"/>
          <w:szCs w:val="20"/>
        </w:rPr>
      </w:pPr>
      <w:proofErr w:type="spellStart"/>
      <w:r w:rsidRPr="000216B4">
        <w:rPr>
          <w:rFonts w:ascii="Arial" w:hAnsi="Arial" w:cs="Arial"/>
          <w:sz w:val="20"/>
          <w:szCs w:val="20"/>
        </w:rPr>
        <w:t>Gamanagatti</w:t>
      </w:r>
      <w:proofErr w:type="spellEnd"/>
      <w:r w:rsidRPr="000216B4">
        <w:rPr>
          <w:rFonts w:ascii="Arial" w:hAnsi="Arial" w:cs="Arial"/>
          <w:sz w:val="20"/>
          <w:szCs w:val="20"/>
        </w:rPr>
        <w:t>, S., Rathinam, D., Rangarajan, K., Kumar, A., Farooque, K., &amp; Sharma, V. (2015). Imaging evaluation of traumatic thoracolumbar spine injuries: Radiological review. World Journal of Radiology, 7(9), 253. https://doi.org/10.4329/wjr.v7.i9.253</w:t>
      </w:r>
    </w:p>
    <w:p w14:paraId="1C1A8447"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Gomez, G. I., Li, G. Q., Valido, A. A., Stoner, A. J., Bromley-Dulfano, R. A., Sheira, D., et al. (2024). Thoracic and lumbar spine injury: Evidence-based diagnosis, management, and outcomes. The American Surgeon, 90(4), 902–910. https://doi.org/10.1177/00031348231216479</w:t>
      </w:r>
    </w:p>
    <w:p w14:paraId="40515D1A"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Jindal, R., Bansal, P., Gupta, S., &amp; Garg, S. K. (2023). Quality of life after traumatic thoracolumbar spinal cord injury: A North Indian perspective. Spinal Cord, 61(7), 374–382. https://doi.org/10.1038/s41393-023-00900-7</w:t>
      </w:r>
    </w:p>
    <w:p w14:paraId="0C6D88F6"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Joaquim, A. F. (2020). Operative versus non-operative management of traumatic thoracolumbar injuries according to the AO Spine Thoracolumbar Spine Injury Classification System. </w:t>
      </w:r>
      <w:proofErr w:type="spellStart"/>
      <w:r w:rsidRPr="000216B4">
        <w:rPr>
          <w:rFonts w:ascii="Arial" w:hAnsi="Arial" w:cs="Arial"/>
          <w:sz w:val="20"/>
          <w:szCs w:val="20"/>
        </w:rPr>
        <w:t>Arquivos</w:t>
      </w:r>
      <w:proofErr w:type="spellEnd"/>
      <w:r w:rsidRPr="000216B4">
        <w:rPr>
          <w:rFonts w:ascii="Arial" w:hAnsi="Arial" w:cs="Arial"/>
          <w:sz w:val="20"/>
          <w:szCs w:val="20"/>
        </w:rPr>
        <w:t xml:space="preserve"> </w:t>
      </w:r>
      <w:proofErr w:type="spellStart"/>
      <w:r w:rsidRPr="000216B4">
        <w:rPr>
          <w:rFonts w:ascii="Arial" w:hAnsi="Arial" w:cs="Arial"/>
          <w:sz w:val="20"/>
          <w:szCs w:val="20"/>
        </w:rPr>
        <w:t>Brasileiros</w:t>
      </w:r>
      <w:proofErr w:type="spellEnd"/>
      <w:r w:rsidRPr="000216B4">
        <w:rPr>
          <w:rFonts w:ascii="Arial" w:hAnsi="Arial" w:cs="Arial"/>
          <w:sz w:val="20"/>
          <w:szCs w:val="20"/>
        </w:rPr>
        <w:t xml:space="preserve"> de </w:t>
      </w:r>
      <w:proofErr w:type="spellStart"/>
      <w:r w:rsidRPr="000216B4">
        <w:rPr>
          <w:rFonts w:ascii="Arial" w:hAnsi="Arial" w:cs="Arial"/>
          <w:sz w:val="20"/>
          <w:szCs w:val="20"/>
        </w:rPr>
        <w:t>Neurocirurgia</w:t>
      </w:r>
      <w:proofErr w:type="spellEnd"/>
      <w:r w:rsidRPr="000216B4">
        <w:rPr>
          <w:rFonts w:ascii="Arial" w:hAnsi="Arial" w:cs="Arial"/>
          <w:sz w:val="20"/>
          <w:szCs w:val="20"/>
        </w:rPr>
        <w:t>: Brazilian Neurosurgery, 39(3), 181–188. https://doi.org/10.1055/s-0039-1700578</w:t>
      </w:r>
    </w:p>
    <w:p w14:paraId="612C0907"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Joaquim, A. F., Ghizoni, E., Tedeschi, H., Batista, U. C., &amp; Patel, A. A. (2014). Clinical results of patients with thoracolumbar spine trauma treated according to the Thoracolumbar Injury Classification and Severity Score. Journal of Neurosurgery: Spine, 20(5), 562–567. https://doi.org/10.3171/2014.2.SPINE121114</w:t>
      </w:r>
    </w:p>
    <w:p w14:paraId="71632C34"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lastRenderedPageBreak/>
        <w:t>Joaquim, A. F., Patel, A. A., Schroeder, G. D., &amp; Vaccaro, A. R. (2019). A simplified treatment algorithm for treating thoracic and lumbar spine trauma. Journal of Spinal Cord Medicine, 42(4), 416–422. https://doi.org/10.1080/10790268.2018.1433267</w:t>
      </w:r>
    </w:p>
    <w:p w14:paraId="04A3BEDB" w14:textId="77777777" w:rsidR="00036017" w:rsidRPr="000216B4" w:rsidRDefault="00036017" w:rsidP="00036017">
      <w:pPr>
        <w:pStyle w:val="NormalWeb"/>
        <w:numPr>
          <w:ilvl w:val="0"/>
          <w:numId w:val="34"/>
        </w:numPr>
        <w:ind w:left="284"/>
        <w:jc w:val="both"/>
        <w:rPr>
          <w:rFonts w:ascii="Arial" w:hAnsi="Arial" w:cs="Arial"/>
          <w:sz w:val="20"/>
          <w:szCs w:val="20"/>
        </w:rPr>
      </w:pPr>
      <w:proofErr w:type="spellStart"/>
      <w:r w:rsidRPr="000216B4">
        <w:rPr>
          <w:rFonts w:ascii="Arial" w:hAnsi="Arial" w:cs="Arial"/>
          <w:sz w:val="20"/>
          <w:szCs w:val="20"/>
        </w:rPr>
        <w:t>Katsuura</w:t>
      </w:r>
      <w:proofErr w:type="spellEnd"/>
      <w:r w:rsidRPr="000216B4">
        <w:rPr>
          <w:rFonts w:ascii="Arial" w:hAnsi="Arial" w:cs="Arial"/>
          <w:sz w:val="20"/>
          <w:szCs w:val="20"/>
        </w:rPr>
        <w:t>, Y., Osborn, J. M., &amp; Cason, G. W. (2016). The epidemiology of thoracolumbar trauma: A meta-analysis. Journal of Orthopaedics, 13(4), 383–388. https://doi.org/10.1016/j.jor.2016.06.019</w:t>
      </w:r>
    </w:p>
    <w:p w14:paraId="18DD83B2"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Kepler, C. K., Vroome, C., Goldfarb, M., </w:t>
      </w:r>
      <w:proofErr w:type="spellStart"/>
      <w:r w:rsidRPr="000216B4">
        <w:rPr>
          <w:rFonts w:ascii="Arial" w:hAnsi="Arial" w:cs="Arial"/>
          <w:sz w:val="20"/>
          <w:szCs w:val="20"/>
        </w:rPr>
        <w:t>Nyirjesy</w:t>
      </w:r>
      <w:proofErr w:type="spellEnd"/>
      <w:r w:rsidRPr="000216B4">
        <w:rPr>
          <w:rFonts w:ascii="Arial" w:hAnsi="Arial" w:cs="Arial"/>
          <w:sz w:val="20"/>
          <w:szCs w:val="20"/>
        </w:rPr>
        <w:t xml:space="preserve">, S., </w:t>
      </w:r>
      <w:proofErr w:type="spellStart"/>
      <w:r w:rsidRPr="000216B4">
        <w:rPr>
          <w:rFonts w:ascii="Arial" w:hAnsi="Arial" w:cs="Arial"/>
          <w:sz w:val="20"/>
          <w:szCs w:val="20"/>
        </w:rPr>
        <w:t>Millhouse</w:t>
      </w:r>
      <w:proofErr w:type="spellEnd"/>
      <w:r w:rsidRPr="000216B4">
        <w:rPr>
          <w:rFonts w:ascii="Arial" w:hAnsi="Arial" w:cs="Arial"/>
          <w:sz w:val="20"/>
          <w:szCs w:val="20"/>
        </w:rPr>
        <w:t xml:space="preserve">, P., </w:t>
      </w:r>
      <w:proofErr w:type="spellStart"/>
      <w:r w:rsidRPr="000216B4">
        <w:rPr>
          <w:rFonts w:ascii="Arial" w:hAnsi="Arial" w:cs="Arial"/>
          <w:sz w:val="20"/>
          <w:szCs w:val="20"/>
        </w:rPr>
        <w:t>Lonjon</w:t>
      </w:r>
      <w:proofErr w:type="spellEnd"/>
      <w:r w:rsidRPr="000216B4">
        <w:rPr>
          <w:rFonts w:ascii="Arial" w:hAnsi="Arial" w:cs="Arial"/>
          <w:sz w:val="20"/>
          <w:szCs w:val="20"/>
        </w:rPr>
        <w:t>, G., et al. (2015). Variation in the management of thoracolumbar trauma and postoperative infection. Journal of Spinal Disorders &amp; Techniques, 28(4), E212–E218. https://doi.org/10.1097/BSD.0000000000000224</w:t>
      </w:r>
    </w:p>
    <w:p w14:paraId="0511F69F"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Koosha, M., Nayeb Aghaei, H., Khayat Kashani, H. R., &amp; </w:t>
      </w:r>
      <w:proofErr w:type="spellStart"/>
      <w:r w:rsidRPr="000216B4">
        <w:rPr>
          <w:rFonts w:ascii="Arial" w:hAnsi="Arial" w:cs="Arial"/>
          <w:sz w:val="20"/>
          <w:szCs w:val="20"/>
        </w:rPr>
        <w:t>Paybast</w:t>
      </w:r>
      <w:proofErr w:type="spellEnd"/>
      <w:r w:rsidRPr="000216B4">
        <w:rPr>
          <w:rFonts w:ascii="Arial" w:hAnsi="Arial" w:cs="Arial"/>
          <w:sz w:val="20"/>
          <w:szCs w:val="20"/>
        </w:rPr>
        <w:t>, S. (2020). Functional outcome of surgical versus conservative therapy in patients with traumatic thoracolumbar fractures and Thoracolumbar Injury Classification and Severity Score of 4: A non-randomized clinical trial. Bulletin of Emergency and Trauma, 8(2), 89–97. https://doi.org/10.30476/BEAT.2020.46448</w:t>
      </w:r>
    </w:p>
    <w:p w14:paraId="1D2ED2A8"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Lu, Y., Shang, Z., Zhang, W., Pang, M., Hu, X., Dai, Y., et al. (2024). Global incidence and characteristics of spinal cord injury since 2000–2021: A systematic review and meta-analysis. BMC Medicine, 22(1), 1–13. https://doi.org/10.1186/s12916-024-03514-9</w:t>
      </w:r>
    </w:p>
    <w:p w14:paraId="285446E8"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Maselli, F., Palladino, M., Barbari, V., Storari, L., </w:t>
      </w:r>
      <w:proofErr w:type="spellStart"/>
      <w:r w:rsidRPr="000216B4">
        <w:rPr>
          <w:rFonts w:ascii="Arial" w:hAnsi="Arial" w:cs="Arial"/>
          <w:sz w:val="20"/>
          <w:szCs w:val="20"/>
        </w:rPr>
        <w:t>Rossettini</w:t>
      </w:r>
      <w:proofErr w:type="spellEnd"/>
      <w:r w:rsidRPr="000216B4">
        <w:rPr>
          <w:rFonts w:ascii="Arial" w:hAnsi="Arial" w:cs="Arial"/>
          <w:sz w:val="20"/>
          <w:szCs w:val="20"/>
        </w:rPr>
        <w:t>, G., &amp; Testa, M. (2022). The diagnostic value of red flags in thoracolumbar pain: A systematic review. Disability and Rehabilitation, 44(8), 1190–1206. https://doi.org/10.1080/09638288.2020.1804626</w:t>
      </w:r>
    </w:p>
    <w:p w14:paraId="4430FDE2"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Morrissey, P. B., Shafi, K. A., Wagner, S. C., Butler, J. S., Kaye, I. D., Sebastian, A. S., et al. (2021). Surgical management of thoracolumbar burst fractures: Surgical decision-making using the </w:t>
      </w:r>
      <w:proofErr w:type="spellStart"/>
      <w:r w:rsidRPr="000216B4">
        <w:rPr>
          <w:rFonts w:ascii="Arial" w:hAnsi="Arial" w:cs="Arial"/>
          <w:sz w:val="20"/>
          <w:szCs w:val="20"/>
        </w:rPr>
        <w:t>AOSpine</w:t>
      </w:r>
      <w:proofErr w:type="spellEnd"/>
      <w:r w:rsidRPr="000216B4">
        <w:rPr>
          <w:rFonts w:ascii="Arial" w:hAnsi="Arial" w:cs="Arial"/>
          <w:sz w:val="20"/>
          <w:szCs w:val="20"/>
        </w:rPr>
        <w:t xml:space="preserve"> Thoracolumbar Injury Classification Score and Thoracolumbar Injury Classification and Severity Score. Clinical Spine Surgery, 34(1), 4–13. https://doi.org/10.1097/BSD.0000000000001038</w:t>
      </w:r>
    </w:p>
    <w:p w14:paraId="2688AB82"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Moutinho, R., Tyrrell, P., &amp; Cassar-Pullicino, V. N. (2017). Emergency and trauma imaging of the thoracolumbar spine. Seminars in Musculoskeletal Radiology, 21(3), 199–209. https://doi.org/10.1055/s-0037-1602406</w:t>
      </w:r>
    </w:p>
    <w:p w14:paraId="64285CFC"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Nau, C., Christoph, H., Marko, P., Klaus, J., Radko, W., &amp; Frank, K. (2024). Thoracolumbar injuries: </w:t>
      </w:r>
      <w:proofErr w:type="gramStart"/>
      <w:r w:rsidRPr="000216B4">
        <w:rPr>
          <w:rFonts w:ascii="Arial" w:hAnsi="Arial" w:cs="Arial"/>
          <w:sz w:val="20"/>
          <w:szCs w:val="20"/>
        </w:rPr>
        <w:t>Non operative</w:t>
      </w:r>
      <w:proofErr w:type="gramEnd"/>
      <w:r w:rsidRPr="000216B4">
        <w:rPr>
          <w:rFonts w:ascii="Arial" w:hAnsi="Arial" w:cs="Arial"/>
          <w:sz w:val="20"/>
          <w:szCs w:val="20"/>
        </w:rPr>
        <w:t xml:space="preserve"> treatment: Indications, management. 1951–1957.</w:t>
      </w:r>
    </w:p>
    <w:p w14:paraId="7B8429AD"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Neuhoff, J., Vaccaro, A., Oner, C., Schnake, K., &amp; </w:t>
      </w:r>
      <w:proofErr w:type="spellStart"/>
      <w:r w:rsidRPr="000216B4">
        <w:rPr>
          <w:rFonts w:ascii="Arial" w:hAnsi="Arial" w:cs="Arial"/>
          <w:sz w:val="20"/>
          <w:szCs w:val="20"/>
        </w:rPr>
        <w:t>Kandziora</w:t>
      </w:r>
      <w:proofErr w:type="spellEnd"/>
      <w:r w:rsidRPr="000216B4">
        <w:rPr>
          <w:rFonts w:ascii="Arial" w:hAnsi="Arial" w:cs="Arial"/>
          <w:sz w:val="20"/>
          <w:szCs w:val="20"/>
        </w:rPr>
        <w:t>, F. (2025). Advancements and emerging insights in thoracolumbar spine trauma. Brain and Spine, 5, 104150. https://doi.org/10.1016/j.bas.2024.104150</w:t>
      </w:r>
    </w:p>
    <w:p w14:paraId="183FD4E6"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Rajasekaran, S., Kanna, R. M., &amp; Shetty, A. P. (2015). Management of thoracolumbar spine trauma: An overview. Indian Journal of Orthopaedics, 49(1), 72–82. https://doi.org/10.4103/0019-5413.143914</w:t>
      </w:r>
    </w:p>
    <w:p w14:paraId="63D7498E"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Resnick, D. K., Weller, S. J., &amp; Benzel, E. C. (1997). Biomechanics of the thoracolumbar spine. Neurosurgery Clinics of North America, 8(4), 455–469. https://doi.org/10.1016/S1042-3680(18)30293-6</w:t>
      </w:r>
    </w:p>
    <w:p w14:paraId="552DA9CC"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Ricciardi, G. A., Garfinkel, I. G., </w:t>
      </w:r>
      <w:proofErr w:type="spellStart"/>
      <w:r w:rsidRPr="000216B4">
        <w:rPr>
          <w:rFonts w:ascii="Arial" w:hAnsi="Arial" w:cs="Arial"/>
          <w:sz w:val="20"/>
          <w:szCs w:val="20"/>
        </w:rPr>
        <w:t>Carrioli</w:t>
      </w:r>
      <w:proofErr w:type="spellEnd"/>
      <w:r w:rsidRPr="000216B4">
        <w:rPr>
          <w:rFonts w:ascii="Arial" w:hAnsi="Arial" w:cs="Arial"/>
          <w:sz w:val="20"/>
          <w:szCs w:val="20"/>
        </w:rPr>
        <w:t xml:space="preserve">, G. G., </w:t>
      </w:r>
      <w:proofErr w:type="spellStart"/>
      <w:r w:rsidRPr="000216B4">
        <w:rPr>
          <w:rFonts w:ascii="Arial" w:hAnsi="Arial" w:cs="Arial"/>
          <w:sz w:val="20"/>
          <w:szCs w:val="20"/>
        </w:rPr>
        <w:t>Svarzchtein</w:t>
      </w:r>
      <w:proofErr w:type="spellEnd"/>
      <w:r w:rsidRPr="000216B4">
        <w:rPr>
          <w:rFonts w:ascii="Arial" w:hAnsi="Arial" w:cs="Arial"/>
          <w:sz w:val="20"/>
          <w:szCs w:val="20"/>
        </w:rPr>
        <w:t xml:space="preserve">, S., Cid </w:t>
      </w:r>
      <w:proofErr w:type="spellStart"/>
      <w:r w:rsidRPr="000216B4">
        <w:rPr>
          <w:rFonts w:ascii="Arial" w:hAnsi="Arial" w:cs="Arial"/>
          <w:sz w:val="20"/>
          <w:szCs w:val="20"/>
        </w:rPr>
        <w:t>Casteulani</w:t>
      </w:r>
      <w:proofErr w:type="spellEnd"/>
      <w:r w:rsidRPr="000216B4">
        <w:rPr>
          <w:rFonts w:ascii="Arial" w:hAnsi="Arial" w:cs="Arial"/>
          <w:sz w:val="20"/>
          <w:szCs w:val="20"/>
        </w:rPr>
        <w:t xml:space="preserve">, A., &amp; Ricciardi, D. O. (2022). Early postoperative complications of thoracolumbar fractures in patients with multiple trauma according to the surgical timing. </w:t>
      </w:r>
      <w:proofErr w:type="spellStart"/>
      <w:r w:rsidRPr="000216B4">
        <w:rPr>
          <w:rFonts w:ascii="Arial" w:hAnsi="Arial" w:cs="Arial"/>
          <w:sz w:val="20"/>
          <w:szCs w:val="20"/>
        </w:rPr>
        <w:t>Revista</w:t>
      </w:r>
      <w:proofErr w:type="spellEnd"/>
      <w:r w:rsidRPr="000216B4">
        <w:rPr>
          <w:rFonts w:ascii="Arial" w:hAnsi="Arial" w:cs="Arial"/>
          <w:sz w:val="20"/>
          <w:szCs w:val="20"/>
        </w:rPr>
        <w:t xml:space="preserve"> Espanola de </w:t>
      </w:r>
      <w:proofErr w:type="spellStart"/>
      <w:r w:rsidRPr="000216B4">
        <w:rPr>
          <w:rFonts w:ascii="Arial" w:hAnsi="Arial" w:cs="Arial"/>
          <w:sz w:val="20"/>
          <w:szCs w:val="20"/>
        </w:rPr>
        <w:t>Cirugia</w:t>
      </w:r>
      <w:proofErr w:type="spellEnd"/>
      <w:r w:rsidRPr="000216B4">
        <w:rPr>
          <w:rFonts w:ascii="Arial" w:hAnsi="Arial" w:cs="Arial"/>
          <w:sz w:val="20"/>
          <w:szCs w:val="20"/>
        </w:rPr>
        <w:t xml:space="preserve"> </w:t>
      </w:r>
      <w:proofErr w:type="spellStart"/>
      <w:r w:rsidRPr="000216B4">
        <w:rPr>
          <w:rFonts w:ascii="Arial" w:hAnsi="Arial" w:cs="Arial"/>
          <w:sz w:val="20"/>
          <w:szCs w:val="20"/>
        </w:rPr>
        <w:t>Ortopedica</w:t>
      </w:r>
      <w:proofErr w:type="spellEnd"/>
      <w:r w:rsidRPr="000216B4">
        <w:rPr>
          <w:rFonts w:ascii="Arial" w:hAnsi="Arial" w:cs="Arial"/>
          <w:sz w:val="20"/>
          <w:szCs w:val="20"/>
        </w:rPr>
        <w:t xml:space="preserve"> y </w:t>
      </w:r>
      <w:proofErr w:type="spellStart"/>
      <w:r w:rsidRPr="000216B4">
        <w:rPr>
          <w:rFonts w:ascii="Arial" w:hAnsi="Arial" w:cs="Arial"/>
          <w:sz w:val="20"/>
          <w:szCs w:val="20"/>
        </w:rPr>
        <w:t>Traumatologia</w:t>
      </w:r>
      <w:proofErr w:type="spellEnd"/>
      <w:r w:rsidRPr="000216B4">
        <w:rPr>
          <w:rFonts w:ascii="Arial" w:hAnsi="Arial" w:cs="Arial"/>
          <w:sz w:val="20"/>
          <w:szCs w:val="20"/>
        </w:rPr>
        <w:t>, 66(5), 371–379. https://doi.org/10.1016/j.recot.2021.04.001</w:t>
      </w:r>
    </w:p>
    <w:p w14:paraId="53D7CF73" w14:textId="77777777" w:rsidR="00036017" w:rsidRPr="000216B4" w:rsidRDefault="00036017" w:rsidP="00036017">
      <w:pPr>
        <w:pStyle w:val="NormalWeb"/>
        <w:numPr>
          <w:ilvl w:val="0"/>
          <w:numId w:val="34"/>
        </w:numPr>
        <w:ind w:left="284"/>
        <w:jc w:val="both"/>
        <w:rPr>
          <w:rFonts w:ascii="Arial" w:hAnsi="Arial" w:cs="Arial"/>
          <w:sz w:val="20"/>
          <w:szCs w:val="20"/>
        </w:rPr>
      </w:pPr>
      <w:proofErr w:type="spellStart"/>
      <w:r w:rsidRPr="000216B4">
        <w:rPr>
          <w:rFonts w:ascii="Arial" w:hAnsi="Arial" w:cs="Arial"/>
          <w:sz w:val="20"/>
          <w:szCs w:val="20"/>
        </w:rPr>
        <w:t>Safdarian</w:t>
      </w:r>
      <w:proofErr w:type="spellEnd"/>
      <w:r w:rsidRPr="000216B4">
        <w:rPr>
          <w:rFonts w:ascii="Arial" w:hAnsi="Arial" w:cs="Arial"/>
          <w:sz w:val="20"/>
          <w:szCs w:val="20"/>
        </w:rPr>
        <w:t>, M., Trinka, E., Rahimi-Movaghar, V., Thomschewski, A., Aali, A., Abady, G. G., et al. (2023). Global, regional, and national burden of spinal cord injury, 1990–2019: A systematic analysis for the Global Burden of Disease Study 2019. The Lancet Neurology, 22(11), 1026–1047. https://doi.org/10.1016/S1474-4422(23)00287-9</w:t>
      </w:r>
    </w:p>
    <w:p w14:paraId="193E4E8A" w14:textId="77777777" w:rsidR="00036017" w:rsidRPr="000216B4" w:rsidRDefault="00036017" w:rsidP="00036017">
      <w:pPr>
        <w:pStyle w:val="NormalWeb"/>
        <w:numPr>
          <w:ilvl w:val="0"/>
          <w:numId w:val="34"/>
        </w:numPr>
        <w:ind w:left="284"/>
        <w:jc w:val="both"/>
        <w:rPr>
          <w:rFonts w:ascii="Arial" w:hAnsi="Arial" w:cs="Arial"/>
          <w:sz w:val="20"/>
          <w:szCs w:val="20"/>
        </w:rPr>
      </w:pPr>
      <w:proofErr w:type="spellStart"/>
      <w:r w:rsidRPr="000216B4">
        <w:rPr>
          <w:rFonts w:ascii="Arial" w:hAnsi="Arial" w:cs="Arial"/>
          <w:sz w:val="20"/>
          <w:szCs w:val="20"/>
        </w:rPr>
        <w:t>Sangondimath</w:t>
      </w:r>
      <w:proofErr w:type="spellEnd"/>
      <w:r w:rsidRPr="000216B4">
        <w:rPr>
          <w:rFonts w:ascii="Arial" w:hAnsi="Arial" w:cs="Arial"/>
          <w:sz w:val="20"/>
          <w:szCs w:val="20"/>
        </w:rPr>
        <w:t>, G., Das, K., &amp; Varma, K. (2018). Thoracolumbar fractures: Nonsurgical versus surgical treatment. Indian Spine Journal, 1(2), 79–85. https://doi.org/10.4103/isj.isj_22_18</w:t>
      </w:r>
    </w:p>
    <w:p w14:paraId="0657BCDB"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 xml:space="preserve">Schouten, R., </w:t>
      </w:r>
      <w:proofErr w:type="spellStart"/>
      <w:r w:rsidRPr="000216B4">
        <w:rPr>
          <w:rFonts w:ascii="Arial" w:hAnsi="Arial" w:cs="Arial"/>
          <w:sz w:val="20"/>
          <w:szCs w:val="20"/>
        </w:rPr>
        <w:t>Lewkonia</w:t>
      </w:r>
      <w:proofErr w:type="spellEnd"/>
      <w:r w:rsidRPr="000216B4">
        <w:rPr>
          <w:rFonts w:ascii="Arial" w:hAnsi="Arial" w:cs="Arial"/>
          <w:sz w:val="20"/>
          <w:szCs w:val="20"/>
        </w:rPr>
        <w:t>, P., Noonan, V. K., Dvorak, M. F., &amp; Fisher, C. G. (2015). Expectations of recovery and functional outcomes following thoracolumbar trauma: An evidence-based medicine process to determine what surgeons should be telling their patients. Journal of Neurosurgery: Spine, 22(1), 101–111. https://doi.org/10.3171/2014.9.SPINE13849</w:t>
      </w:r>
    </w:p>
    <w:p w14:paraId="6EF4E44A"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Schroeder, G. D., Harrop, J. S., &amp; Vaccaro, A. R. (2017). Thoracolumbar trauma classification. Neurosurgery Clinics of North America, 28(1), 23–29. https://doi.org/10.1016/j.nec.2016.07.007</w:t>
      </w:r>
    </w:p>
    <w:p w14:paraId="43E6D6B4" w14:textId="77777777" w:rsidR="00036017" w:rsidRPr="000216B4" w:rsidRDefault="00036017" w:rsidP="00036017">
      <w:pPr>
        <w:pStyle w:val="NormalWeb"/>
        <w:numPr>
          <w:ilvl w:val="0"/>
          <w:numId w:val="34"/>
        </w:numPr>
        <w:ind w:left="284"/>
        <w:jc w:val="both"/>
        <w:rPr>
          <w:rFonts w:ascii="Arial" w:hAnsi="Arial" w:cs="Arial"/>
          <w:sz w:val="20"/>
          <w:szCs w:val="20"/>
        </w:rPr>
      </w:pPr>
      <w:r w:rsidRPr="000216B4">
        <w:rPr>
          <w:rFonts w:ascii="Arial" w:hAnsi="Arial" w:cs="Arial"/>
          <w:sz w:val="20"/>
          <w:szCs w:val="20"/>
        </w:rPr>
        <w:t>Sun, P.-D., Zhang, X.-X., Zhang, Y.-W., Wang, Z., Wu, X.-Y., Wu, Y.-C., et al. (2021). Stress analysis of the thoracolumbar junction in the process of backward fall: An experimental study and finite element analysis. Experimental and Therapeutic Medicine, 22(4), 1–7. https://doi.org/10.3892/etm.2021.10551</w:t>
      </w:r>
    </w:p>
    <w:p w14:paraId="09C79FEB" w14:textId="77777777" w:rsidR="00036017" w:rsidRPr="000216B4" w:rsidRDefault="00036017" w:rsidP="00036017">
      <w:pPr>
        <w:pStyle w:val="NormalWeb"/>
        <w:numPr>
          <w:ilvl w:val="0"/>
          <w:numId w:val="34"/>
        </w:numPr>
        <w:ind w:left="284"/>
        <w:jc w:val="both"/>
        <w:rPr>
          <w:rFonts w:ascii="Arial" w:hAnsi="Arial" w:cs="Arial"/>
          <w:sz w:val="20"/>
          <w:szCs w:val="20"/>
        </w:rPr>
      </w:pPr>
      <w:proofErr w:type="spellStart"/>
      <w:r w:rsidRPr="000216B4">
        <w:rPr>
          <w:rFonts w:ascii="Arial" w:hAnsi="Arial" w:cs="Arial"/>
          <w:sz w:val="20"/>
          <w:szCs w:val="20"/>
        </w:rPr>
        <w:t>Zileli</w:t>
      </w:r>
      <w:proofErr w:type="spellEnd"/>
      <w:r w:rsidRPr="000216B4">
        <w:rPr>
          <w:rFonts w:ascii="Arial" w:hAnsi="Arial" w:cs="Arial"/>
          <w:sz w:val="20"/>
          <w:szCs w:val="20"/>
        </w:rPr>
        <w:t xml:space="preserve">, M., Sharif, S., &amp; Fornari, M. (2021). Incidence and epidemiology of thoracolumbar spine fractures: WFNS Spine Committee recommendations. </w:t>
      </w:r>
      <w:proofErr w:type="spellStart"/>
      <w:r w:rsidRPr="000216B4">
        <w:rPr>
          <w:rFonts w:ascii="Arial" w:hAnsi="Arial" w:cs="Arial"/>
          <w:sz w:val="20"/>
          <w:szCs w:val="20"/>
        </w:rPr>
        <w:t>Neurospine</w:t>
      </w:r>
      <w:proofErr w:type="spellEnd"/>
      <w:r w:rsidRPr="000216B4">
        <w:rPr>
          <w:rFonts w:ascii="Arial" w:hAnsi="Arial" w:cs="Arial"/>
          <w:sz w:val="20"/>
          <w:szCs w:val="20"/>
        </w:rPr>
        <w:t>, 18(4), 704–712. https://doi.org/10.14245/ns.2142418.209</w:t>
      </w:r>
    </w:p>
    <w:p w14:paraId="2614B0D6" w14:textId="03F46B01" w:rsidR="00B01FCD" w:rsidRPr="00CA216E" w:rsidRDefault="00B01FCD" w:rsidP="00036017">
      <w:pPr>
        <w:pStyle w:val="AbstHead"/>
        <w:spacing w:after="0"/>
        <w:jc w:val="both"/>
      </w:pPr>
    </w:p>
    <w:sectPr w:rsidR="00B01FCD" w:rsidRPr="00CA216E" w:rsidSect="00DA02CD">
      <w:headerReference w:type="even" r:id="rId13"/>
      <w:headerReference w:type="default" r:id="rId14"/>
      <w:footerReference w:type="default" r:id="rId15"/>
      <w:head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CCC23" w14:textId="77777777" w:rsidR="009559C0" w:rsidRDefault="009559C0" w:rsidP="00C37E61">
      <w:r>
        <w:separator/>
      </w:r>
    </w:p>
  </w:endnote>
  <w:endnote w:type="continuationSeparator" w:id="0">
    <w:p w14:paraId="6BD6A1ED" w14:textId="77777777" w:rsidR="009559C0" w:rsidRDefault="009559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4F84" w14:textId="77777777" w:rsidR="009E048A" w:rsidRDefault="009E048A">
    <w:pPr>
      <w:pStyle w:val="Footer"/>
      <w:rPr>
        <w:rFonts w:ascii="Arial" w:hAnsi="Arial" w:cs="Arial"/>
        <w:sz w:val="16"/>
      </w:rPr>
    </w:pPr>
  </w:p>
  <w:p w14:paraId="691D3C3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19BEBD7" w14:textId="77777777" w:rsidR="009E048A" w:rsidRDefault="009E048A">
    <w:pPr>
      <w:pStyle w:val="Footer"/>
      <w:rPr>
        <w:rFonts w:ascii="Arial" w:hAnsi="Arial" w:cs="Arial"/>
        <w:sz w:val="16"/>
      </w:rPr>
    </w:pPr>
  </w:p>
  <w:p w14:paraId="75B3531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37AD7" w14:textId="77777777" w:rsidR="00E0549A" w:rsidRDefault="00E0549A" w:rsidP="00E0549A">
    <w:pPr>
      <w:pStyle w:val="Footer"/>
    </w:pPr>
  </w:p>
  <w:p w14:paraId="4730446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D52B3" w14:textId="77777777" w:rsidR="009559C0" w:rsidRDefault="009559C0" w:rsidP="00C37E61">
      <w:r>
        <w:separator/>
      </w:r>
    </w:p>
  </w:footnote>
  <w:footnote w:type="continuationSeparator" w:id="0">
    <w:p w14:paraId="295DE502" w14:textId="77777777" w:rsidR="009559C0" w:rsidRDefault="009559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C57B" w14:textId="2764737B" w:rsidR="00FE727D" w:rsidRDefault="009559C0">
    <w:pPr>
      <w:pStyle w:val="Header"/>
    </w:pPr>
    <w:r>
      <w:rPr>
        <w:noProof/>
      </w:rPr>
      <w:pict w14:anchorId="26265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A363" w14:textId="1E086718" w:rsidR="00FE727D" w:rsidRDefault="009559C0">
    <w:pPr>
      <w:pStyle w:val="Header"/>
    </w:pPr>
    <w:r>
      <w:rPr>
        <w:noProof/>
      </w:rPr>
      <w:pict w14:anchorId="0CFE9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1E0C2" w14:textId="25469C5A" w:rsidR="00296529" w:rsidRPr="00296529" w:rsidRDefault="009559C0" w:rsidP="00296529">
    <w:pPr>
      <w:ind w:left="2160"/>
      <w:jc w:val="center"/>
      <w:rPr>
        <w:rFonts w:ascii="Times New Roman" w:eastAsia="Calibri" w:hAnsi="Times New Roman"/>
        <w:i/>
        <w:sz w:val="18"/>
        <w:szCs w:val="22"/>
      </w:rPr>
    </w:pPr>
    <w:r>
      <w:rPr>
        <w:noProof/>
      </w:rPr>
      <w:pict w14:anchorId="1D1AB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0862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C5CA2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E9C69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734E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922DA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ED969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95C0" w14:textId="7639218E" w:rsidR="00FE727D" w:rsidRDefault="009559C0">
    <w:pPr>
      <w:pStyle w:val="Header"/>
    </w:pPr>
    <w:r>
      <w:rPr>
        <w:noProof/>
      </w:rPr>
      <w:pict w14:anchorId="07377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BCA6" w14:textId="47F1365A" w:rsidR="00FE727D" w:rsidRDefault="009559C0">
    <w:pPr>
      <w:pStyle w:val="Header"/>
    </w:pPr>
    <w:r>
      <w:rPr>
        <w:noProof/>
      </w:rPr>
      <w:pict w14:anchorId="1A97A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D75E" w14:textId="606A9CE5" w:rsidR="00FE727D" w:rsidRDefault="009559C0">
    <w:pPr>
      <w:pStyle w:val="Header"/>
    </w:pPr>
    <w:r>
      <w:rPr>
        <w:noProof/>
      </w:rPr>
      <w:pict w14:anchorId="7067F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480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FA46EA"/>
    <w:multiLevelType w:val="multilevel"/>
    <w:tmpl w:val="8BAA6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74F17"/>
    <w:multiLevelType w:val="multilevel"/>
    <w:tmpl w:val="C0FE4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276EEE"/>
    <w:multiLevelType w:val="hybridMultilevel"/>
    <w:tmpl w:val="D14A95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3396E"/>
    <w:multiLevelType w:val="hybridMultilevel"/>
    <w:tmpl w:val="FE20A13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7"/>
  </w:num>
  <w:num w:numId="33">
    <w:abstractNumId w:val="1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9AD"/>
    <w:rsid w:val="000238A0"/>
    <w:rsid w:val="00030174"/>
    <w:rsid w:val="00036017"/>
    <w:rsid w:val="0004579C"/>
    <w:rsid w:val="000623E0"/>
    <w:rsid w:val="00093208"/>
    <w:rsid w:val="000A47FA"/>
    <w:rsid w:val="000A65D3"/>
    <w:rsid w:val="000B1E33"/>
    <w:rsid w:val="000D689F"/>
    <w:rsid w:val="000E7B7B"/>
    <w:rsid w:val="000E7D62"/>
    <w:rsid w:val="000F688D"/>
    <w:rsid w:val="00103357"/>
    <w:rsid w:val="00123C9F"/>
    <w:rsid w:val="00126190"/>
    <w:rsid w:val="00130F17"/>
    <w:rsid w:val="001320BF"/>
    <w:rsid w:val="00147511"/>
    <w:rsid w:val="00163BC4"/>
    <w:rsid w:val="00171FB4"/>
    <w:rsid w:val="00182594"/>
    <w:rsid w:val="00191062"/>
    <w:rsid w:val="00192B72"/>
    <w:rsid w:val="001A29D8"/>
    <w:rsid w:val="001A5CAA"/>
    <w:rsid w:val="001B0427"/>
    <w:rsid w:val="001C7358"/>
    <w:rsid w:val="001D3A51"/>
    <w:rsid w:val="001E10D2"/>
    <w:rsid w:val="001E25B4"/>
    <w:rsid w:val="001E44FE"/>
    <w:rsid w:val="001F4780"/>
    <w:rsid w:val="00200595"/>
    <w:rsid w:val="00204835"/>
    <w:rsid w:val="00210678"/>
    <w:rsid w:val="00217531"/>
    <w:rsid w:val="00231920"/>
    <w:rsid w:val="0023195C"/>
    <w:rsid w:val="0024282C"/>
    <w:rsid w:val="002460DC"/>
    <w:rsid w:val="00247E33"/>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2370"/>
    <w:rsid w:val="003763C1"/>
    <w:rsid w:val="00376BBE"/>
    <w:rsid w:val="003849AC"/>
    <w:rsid w:val="0039224F"/>
    <w:rsid w:val="003A43A4"/>
    <w:rsid w:val="003A7E18"/>
    <w:rsid w:val="003C4C86"/>
    <w:rsid w:val="003C6258"/>
    <w:rsid w:val="003D6F35"/>
    <w:rsid w:val="003E2904"/>
    <w:rsid w:val="003E2F2D"/>
    <w:rsid w:val="003E7135"/>
    <w:rsid w:val="00401927"/>
    <w:rsid w:val="0041027F"/>
    <w:rsid w:val="00412475"/>
    <w:rsid w:val="004219BD"/>
    <w:rsid w:val="00422CE0"/>
    <w:rsid w:val="00423789"/>
    <w:rsid w:val="00440F43"/>
    <w:rsid w:val="00441B6F"/>
    <w:rsid w:val="00446221"/>
    <w:rsid w:val="00450E62"/>
    <w:rsid w:val="004539DB"/>
    <w:rsid w:val="00471A80"/>
    <w:rsid w:val="004D305E"/>
    <w:rsid w:val="004D4277"/>
    <w:rsid w:val="004F390C"/>
    <w:rsid w:val="00502516"/>
    <w:rsid w:val="00505F06"/>
    <w:rsid w:val="00506828"/>
    <w:rsid w:val="0053056E"/>
    <w:rsid w:val="00554FDA"/>
    <w:rsid w:val="005C784C"/>
    <w:rsid w:val="005D17F6"/>
    <w:rsid w:val="005E5539"/>
    <w:rsid w:val="005F5291"/>
    <w:rsid w:val="00602BF5"/>
    <w:rsid w:val="00606089"/>
    <w:rsid w:val="00617FDD"/>
    <w:rsid w:val="00633614"/>
    <w:rsid w:val="00633F68"/>
    <w:rsid w:val="00636EB2"/>
    <w:rsid w:val="006375B8"/>
    <w:rsid w:val="00656C9B"/>
    <w:rsid w:val="0066510A"/>
    <w:rsid w:val="00673F9F"/>
    <w:rsid w:val="00686953"/>
    <w:rsid w:val="00687DEA"/>
    <w:rsid w:val="00687E67"/>
    <w:rsid w:val="006967F7"/>
    <w:rsid w:val="006A250C"/>
    <w:rsid w:val="006B21D3"/>
    <w:rsid w:val="006B57D0"/>
    <w:rsid w:val="006D30FF"/>
    <w:rsid w:val="006D6940"/>
    <w:rsid w:val="006E6C0B"/>
    <w:rsid w:val="006F11EC"/>
    <w:rsid w:val="006F7522"/>
    <w:rsid w:val="0070082C"/>
    <w:rsid w:val="00725AF4"/>
    <w:rsid w:val="007369E6"/>
    <w:rsid w:val="00746E59"/>
    <w:rsid w:val="00754C9A"/>
    <w:rsid w:val="0075599A"/>
    <w:rsid w:val="00761D52"/>
    <w:rsid w:val="00772AB1"/>
    <w:rsid w:val="0077749E"/>
    <w:rsid w:val="00790ADA"/>
    <w:rsid w:val="007D2288"/>
    <w:rsid w:val="007E088F"/>
    <w:rsid w:val="007F3787"/>
    <w:rsid w:val="007F7B32"/>
    <w:rsid w:val="007F7BD7"/>
    <w:rsid w:val="00804BC2"/>
    <w:rsid w:val="0081431A"/>
    <w:rsid w:val="00815086"/>
    <w:rsid w:val="0083216F"/>
    <w:rsid w:val="008555D7"/>
    <w:rsid w:val="00860000"/>
    <w:rsid w:val="00863BD3"/>
    <w:rsid w:val="008641ED"/>
    <w:rsid w:val="00866D66"/>
    <w:rsid w:val="008671C6"/>
    <w:rsid w:val="00875803"/>
    <w:rsid w:val="00880A17"/>
    <w:rsid w:val="008920E8"/>
    <w:rsid w:val="008B459E"/>
    <w:rsid w:val="008D5389"/>
    <w:rsid w:val="008E13AE"/>
    <w:rsid w:val="008E1506"/>
    <w:rsid w:val="008E710C"/>
    <w:rsid w:val="008F69D6"/>
    <w:rsid w:val="00900D9F"/>
    <w:rsid w:val="00902823"/>
    <w:rsid w:val="00915CA6"/>
    <w:rsid w:val="00927834"/>
    <w:rsid w:val="009500A6"/>
    <w:rsid w:val="009559C0"/>
    <w:rsid w:val="00957C18"/>
    <w:rsid w:val="009659BA"/>
    <w:rsid w:val="00983040"/>
    <w:rsid w:val="00996599"/>
    <w:rsid w:val="009B3FB9"/>
    <w:rsid w:val="009B77E5"/>
    <w:rsid w:val="009C2465"/>
    <w:rsid w:val="009D35A0"/>
    <w:rsid w:val="009D7EB7"/>
    <w:rsid w:val="009E048A"/>
    <w:rsid w:val="009E08E9"/>
    <w:rsid w:val="009E3DB9"/>
    <w:rsid w:val="009E6E35"/>
    <w:rsid w:val="009F0EDA"/>
    <w:rsid w:val="00A02DFB"/>
    <w:rsid w:val="00A03B96"/>
    <w:rsid w:val="00A05B19"/>
    <w:rsid w:val="00A1134E"/>
    <w:rsid w:val="00A23A4E"/>
    <w:rsid w:val="00A24E7E"/>
    <w:rsid w:val="00A258C3"/>
    <w:rsid w:val="00A347C0"/>
    <w:rsid w:val="00A4005A"/>
    <w:rsid w:val="00A44EFE"/>
    <w:rsid w:val="00A51431"/>
    <w:rsid w:val="00A51F8A"/>
    <w:rsid w:val="00A539AD"/>
    <w:rsid w:val="00A65343"/>
    <w:rsid w:val="00A8625E"/>
    <w:rsid w:val="00A94063"/>
    <w:rsid w:val="00AA6219"/>
    <w:rsid w:val="00AA74E0"/>
    <w:rsid w:val="00AB08EA"/>
    <w:rsid w:val="00AB703F"/>
    <w:rsid w:val="00AC6BB8"/>
    <w:rsid w:val="00AE008F"/>
    <w:rsid w:val="00AE5B3F"/>
    <w:rsid w:val="00AF3660"/>
    <w:rsid w:val="00B01FCD"/>
    <w:rsid w:val="00B1776C"/>
    <w:rsid w:val="00B52583"/>
    <w:rsid w:val="00B52896"/>
    <w:rsid w:val="00B95236"/>
    <w:rsid w:val="00B96BD9"/>
    <w:rsid w:val="00BA1B01"/>
    <w:rsid w:val="00BA2641"/>
    <w:rsid w:val="00BB37AA"/>
    <w:rsid w:val="00BC53A0"/>
    <w:rsid w:val="00BE62AD"/>
    <w:rsid w:val="00BF121F"/>
    <w:rsid w:val="00BF1F80"/>
    <w:rsid w:val="00C06394"/>
    <w:rsid w:val="00C166EF"/>
    <w:rsid w:val="00C17EB0"/>
    <w:rsid w:val="00C27F5F"/>
    <w:rsid w:val="00C30A0F"/>
    <w:rsid w:val="00C37E61"/>
    <w:rsid w:val="00C70F1B"/>
    <w:rsid w:val="00C71A47"/>
    <w:rsid w:val="00C7464C"/>
    <w:rsid w:val="00C85588"/>
    <w:rsid w:val="00CA216E"/>
    <w:rsid w:val="00CD6755"/>
    <w:rsid w:val="00CD6856"/>
    <w:rsid w:val="00CE0089"/>
    <w:rsid w:val="00CE793C"/>
    <w:rsid w:val="00CF193C"/>
    <w:rsid w:val="00D01448"/>
    <w:rsid w:val="00D173F1"/>
    <w:rsid w:val="00D52D3D"/>
    <w:rsid w:val="00D53DFE"/>
    <w:rsid w:val="00D74CB0"/>
    <w:rsid w:val="00D77080"/>
    <w:rsid w:val="00D8295D"/>
    <w:rsid w:val="00DA02CD"/>
    <w:rsid w:val="00DA2166"/>
    <w:rsid w:val="00DB6DD2"/>
    <w:rsid w:val="00DC2A65"/>
    <w:rsid w:val="00DD5BC7"/>
    <w:rsid w:val="00DE15F0"/>
    <w:rsid w:val="00DE5663"/>
    <w:rsid w:val="00DE78AA"/>
    <w:rsid w:val="00E00B50"/>
    <w:rsid w:val="00E0103F"/>
    <w:rsid w:val="00E053D0"/>
    <w:rsid w:val="00E0549A"/>
    <w:rsid w:val="00E15994"/>
    <w:rsid w:val="00E3114E"/>
    <w:rsid w:val="00E31A70"/>
    <w:rsid w:val="00E35B02"/>
    <w:rsid w:val="00E66496"/>
    <w:rsid w:val="00E66B35"/>
    <w:rsid w:val="00E66E10"/>
    <w:rsid w:val="00E769F6"/>
    <w:rsid w:val="00E8407C"/>
    <w:rsid w:val="00E84F3C"/>
    <w:rsid w:val="00EA012C"/>
    <w:rsid w:val="00EB3A3A"/>
    <w:rsid w:val="00EC6A55"/>
    <w:rsid w:val="00ED0288"/>
    <w:rsid w:val="00ED7151"/>
    <w:rsid w:val="00EE52CB"/>
    <w:rsid w:val="00EF57C2"/>
    <w:rsid w:val="00EF581D"/>
    <w:rsid w:val="00EF7FD8"/>
    <w:rsid w:val="00F06F59"/>
    <w:rsid w:val="00F16287"/>
    <w:rsid w:val="00F17988"/>
    <w:rsid w:val="00F264B9"/>
    <w:rsid w:val="00F31B90"/>
    <w:rsid w:val="00F469F0"/>
    <w:rsid w:val="00F53273"/>
    <w:rsid w:val="00F55702"/>
    <w:rsid w:val="00F755E4"/>
    <w:rsid w:val="00F77D02"/>
    <w:rsid w:val="00F8792C"/>
    <w:rsid w:val="00FA5B30"/>
    <w:rsid w:val="00FB3A86"/>
    <w:rsid w:val="00FD36C8"/>
    <w:rsid w:val="00FE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E142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D5B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A216E"/>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CA216E"/>
    <w:rPr>
      <w:b/>
      <w:bCs/>
    </w:rPr>
  </w:style>
  <w:style w:type="character" w:customStyle="1" w:styleId="Heading3Char">
    <w:name w:val="Heading 3 Char"/>
    <w:basedOn w:val="DefaultParagraphFont"/>
    <w:link w:val="Heading3"/>
    <w:semiHidden/>
    <w:rsid w:val="00DD5BC7"/>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rsid w:val="00C06394"/>
    <w:rPr>
      <w:rFonts w:ascii="Helvetica" w:hAnsi="Helvetica"/>
    </w:rPr>
  </w:style>
  <w:style w:type="paragraph" w:styleId="NoSpacing">
    <w:name w:val="No Spacing"/>
    <w:uiPriority w:val="1"/>
    <w:qFormat/>
    <w:rsid w:val="00093208"/>
    <w:rPr>
      <w:rFonts w:asciiTheme="minorHAnsi" w:eastAsiaTheme="minorHAnsi" w:hAnsiTheme="minorHAnsi" w:cstheme="minorBidi"/>
      <w:kern w:val="2"/>
      <w:sz w:val="22"/>
      <w:szCs w:val="22"/>
      <w14:ligatures w14:val="standardContextual"/>
    </w:rPr>
  </w:style>
  <w:style w:type="paragraph" w:customStyle="1" w:styleId="isselectedend">
    <w:name w:val="isselectedend"/>
    <w:basedOn w:val="Normal"/>
    <w:rsid w:val="00036017"/>
    <w:pPr>
      <w:spacing w:before="100" w:beforeAutospacing="1" w:after="100" w:afterAutospacing="1"/>
    </w:pPr>
    <w:rPr>
      <w:rFonts w:ascii="Times New Roman" w:hAnsi="Times New Roman"/>
      <w:sz w:val="24"/>
      <w:szCs w:val="24"/>
      <w:lang w:val="en-ID" w:eastAsia="en-ID"/>
    </w:rPr>
  </w:style>
  <w:style w:type="character" w:customStyle="1" w:styleId="text-token-text-primary">
    <w:name w:val="text-token-text-primary"/>
    <w:basedOn w:val="DefaultParagraphFont"/>
    <w:rsid w:val="00D7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D699-04D3-45ED-9A6B-B889F67E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270</TotalTime>
  <Pages>6</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77</cp:revision>
  <cp:lastPrinted>1999-07-06T11:00:00Z</cp:lastPrinted>
  <dcterms:created xsi:type="dcterms:W3CDTF">2026-03-15T15:45:00Z</dcterms:created>
  <dcterms:modified xsi:type="dcterms:W3CDTF">2026-03-30T10:16:00Z</dcterms:modified>
</cp:coreProperties>
</file>