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F1406" w14:textId="66C89494" w:rsidR="009709C7" w:rsidRPr="009709C7" w:rsidRDefault="009709C7" w:rsidP="009709C7">
      <w:pPr>
        <w:pStyle w:val="Author"/>
        <w:spacing w:line="240" w:lineRule="auto"/>
        <w:jc w:val="left"/>
        <w:rPr>
          <w:rFonts w:ascii="Arial" w:hAnsi="Arial" w:cs="Arial"/>
          <w:sz w:val="32"/>
          <w:szCs w:val="32"/>
          <w:u w:val="single"/>
        </w:rPr>
      </w:pPr>
      <w:r w:rsidRPr="009709C7">
        <w:rPr>
          <w:rFonts w:ascii="Arial" w:hAnsi="Arial" w:cs="Arial"/>
          <w:sz w:val="32"/>
          <w:szCs w:val="32"/>
          <w:u w:val="single"/>
        </w:rPr>
        <w:t>Case report</w:t>
      </w:r>
    </w:p>
    <w:p w14:paraId="3B1C0629" w14:textId="6F4815F4" w:rsidR="008A424A" w:rsidRDefault="001420AA" w:rsidP="007428B3">
      <w:pPr>
        <w:pStyle w:val="Author"/>
        <w:spacing w:line="240" w:lineRule="auto"/>
        <w:rPr>
          <w:rFonts w:ascii="Arial" w:hAnsi="Arial" w:cs="Arial"/>
          <w:sz w:val="32"/>
          <w:szCs w:val="32"/>
        </w:rPr>
      </w:pPr>
      <w:r w:rsidRPr="001420AA">
        <w:rPr>
          <w:rFonts w:ascii="Arial" w:hAnsi="Arial" w:cs="Arial"/>
          <w:sz w:val="32"/>
          <w:szCs w:val="32"/>
        </w:rPr>
        <w:t>Post-surgical neurotrophic corneal ulcer following trigeminal neuralgia treatment: a case report</w:t>
      </w:r>
    </w:p>
    <w:p w14:paraId="4F1C7526" w14:textId="77777777" w:rsidR="00511D3B" w:rsidRPr="001420AA" w:rsidRDefault="00511D3B" w:rsidP="007428B3">
      <w:pPr>
        <w:pStyle w:val="Author"/>
        <w:spacing w:line="240" w:lineRule="auto"/>
        <w:rPr>
          <w:rFonts w:ascii="Arial" w:hAnsi="Arial" w:cs="Arial"/>
          <w:sz w:val="32"/>
          <w:szCs w:val="32"/>
        </w:rPr>
      </w:pPr>
    </w:p>
    <w:p w14:paraId="09EB67EF" w14:textId="77777777" w:rsidR="00511D3B" w:rsidRDefault="00511D3B" w:rsidP="007428B3">
      <w:pPr>
        <w:pStyle w:val="Author"/>
        <w:tabs>
          <w:tab w:val="left" w:pos="720"/>
        </w:tabs>
        <w:spacing w:line="240" w:lineRule="auto"/>
        <w:rPr>
          <w:rFonts w:ascii="Arial" w:hAnsi="Arial" w:cs="Arial"/>
          <w:i/>
        </w:rPr>
      </w:pPr>
    </w:p>
    <w:p w14:paraId="6D735829" w14:textId="77777777" w:rsidR="00790ADA" w:rsidRDefault="00790ADA" w:rsidP="00441B6F">
      <w:pPr>
        <w:pStyle w:val="Affiliation"/>
        <w:spacing w:after="0" w:line="240" w:lineRule="auto"/>
        <w:jc w:val="both"/>
        <w:rPr>
          <w:rFonts w:ascii="Arial" w:hAnsi="Arial" w:cs="Arial"/>
        </w:rPr>
      </w:pPr>
    </w:p>
    <w:p w14:paraId="7D0A1560" w14:textId="77777777" w:rsidR="002C57D2" w:rsidRPr="00FB3A86" w:rsidRDefault="002C57D2" w:rsidP="00441B6F">
      <w:pPr>
        <w:pStyle w:val="Affiliation"/>
        <w:spacing w:after="0" w:line="240" w:lineRule="auto"/>
        <w:jc w:val="both"/>
        <w:rPr>
          <w:rFonts w:ascii="Arial" w:hAnsi="Arial" w:cs="Arial"/>
        </w:rPr>
      </w:pPr>
    </w:p>
    <w:p w14:paraId="06E30714" w14:textId="426BBA78" w:rsidR="00B01FCD" w:rsidRPr="00FB3A86" w:rsidRDefault="00355A22" w:rsidP="00441B6F">
      <w:pPr>
        <w:pStyle w:val="Copyright"/>
        <w:spacing w:after="0" w:line="240" w:lineRule="auto"/>
        <w:jc w:val="both"/>
        <w:rPr>
          <w:rFonts w:ascii="Arial" w:hAnsi="Arial" w:cs="Arial"/>
        </w:rPr>
        <w:sectPr w:rsidR="00B01FCD" w:rsidRPr="00FB3A86" w:rsidSect="00891F4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F674792" wp14:editId="671F9A34">
                <wp:extent cx="5303520" cy="635"/>
                <wp:effectExtent l="11430" t="17145" r="9525" b="11430"/>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w:pict>
              <v:shapetype w14:anchorId="16EAC91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" strokeweight="1.5pt">
                <w10:anchorlock/>
              </v:shape>
            </w:pict>
          </mc:Fallback>
        </mc:AlternateContent>
      </w:r>
      <w:r w:rsidR="00FB3A86">
        <w:rPr>
          <w:rFonts w:ascii="Arial" w:hAnsi="Arial" w:cs="Arial"/>
        </w:rPr>
        <w:t>.</w:t>
      </w:r>
    </w:p>
    <w:p w14:paraId="4E933FD7" w14:textId="6EECA5D6" w:rsidR="00B01FCD" w:rsidRDefault="00B01FCD" w:rsidP="00441B6F">
      <w:pPr>
        <w:pStyle w:val="AbstHead"/>
        <w:spacing w:after="0"/>
        <w:jc w:val="both"/>
        <w:rPr>
          <w:rFonts w:ascii="Arial" w:hAnsi="Arial" w:cs="Arial"/>
        </w:rPr>
      </w:pPr>
      <w:r w:rsidRPr="00FB3A86">
        <w:rPr>
          <w:rFonts w:ascii="Arial" w:hAnsi="Arial" w:cs="Arial"/>
        </w:rPr>
        <w:t>ABSTRACT</w:t>
      </w:r>
    </w:p>
    <w:p w14:paraId="0204F01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AF68AAB" w14:textId="77777777" w:rsidTr="00002694">
        <w:trPr>
          <w:trHeight w:val="558"/>
        </w:trPr>
        <w:tc>
          <w:tcPr>
            <w:tcW w:w="9576" w:type="dxa"/>
            <w:shd w:val="clear" w:color="auto" w:fill="F2F2F2"/>
          </w:tcPr>
          <w:p w14:paraId="6C3712DE" w14:textId="77777777" w:rsidR="00A26C29" w:rsidRPr="00D802F6" w:rsidRDefault="00A26C29" w:rsidP="00A26C29">
            <w:pPr>
              <w:pStyle w:val="NormalWeb"/>
              <w:jc w:val="both"/>
              <w:rPr>
                <w:rFonts w:ascii="Arial" w:eastAsia="Calibri" w:hAnsi="Arial" w:cs="Arial"/>
                <w:b/>
                <w:bCs/>
                <w:sz w:val="22"/>
                <w:szCs w:val="22"/>
                <w:lang w:val="en-IN"/>
              </w:rPr>
            </w:pPr>
            <w:r w:rsidRPr="00D802F6">
              <w:rPr>
                <w:rFonts w:ascii="Arial" w:eastAsia="Calibri" w:hAnsi="Arial" w:cs="Arial"/>
                <w:b/>
                <w:bCs/>
                <w:sz w:val="22"/>
                <w:szCs w:val="22"/>
                <w:lang w:val="en-IN"/>
              </w:rPr>
              <w:t>Introduction</w:t>
            </w:r>
          </w:p>
          <w:p w14:paraId="17DBCD6E" w14:textId="77777777" w:rsidR="00A26C29" w:rsidRPr="00D802F6" w:rsidRDefault="00A26C29" w:rsidP="00A26C29">
            <w:pPr>
              <w:pStyle w:val="NormalWeb"/>
              <w:jc w:val="both"/>
              <w:rPr>
                <w:rFonts w:ascii="Arial" w:eastAsia="Calibri" w:hAnsi="Arial" w:cs="Arial"/>
                <w:sz w:val="22"/>
                <w:szCs w:val="22"/>
                <w:lang w:val="en-IN"/>
              </w:rPr>
            </w:pPr>
            <w:r w:rsidRPr="00D802F6">
              <w:rPr>
                <w:rFonts w:ascii="Arial" w:eastAsia="Calibri" w:hAnsi="Arial" w:cs="Arial"/>
                <w:sz w:val="22"/>
                <w:szCs w:val="22"/>
                <w:lang w:val="en-IN"/>
              </w:rPr>
              <w:t xml:space="preserve">Neurotrophic keratopathy is a rare degenerative corneal disease caused by partial or complete impairment of trigeminal nerve innervation. Loss of corneal sensitivity results in epithelial instability, impaired healing, and progressive damage to the corneal surface. In advanced stages, persistent epithelial defects may evolve into stromal ulceration and even corneal perforation, potentially leading to severe visual impairment. Various </w:t>
            </w:r>
            <w:proofErr w:type="spellStart"/>
            <w:r w:rsidRPr="00D802F6">
              <w:rPr>
                <w:rFonts w:ascii="Arial" w:eastAsia="Calibri" w:hAnsi="Arial" w:cs="Arial"/>
                <w:sz w:val="22"/>
                <w:szCs w:val="22"/>
                <w:lang w:val="en-IN"/>
              </w:rPr>
              <w:t>etiologies</w:t>
            </w:r>
            <w:proofErr w:type="spellEnd"/>
            <w:r w:rsidRPr="00D802F6">
              <w:rPr>
                <w:rFonts w:ascii="Arial" w:eastAsia="Calibri" w:hAnsi="Arial" w:cs="Arial"/>
                <w:sz w:val="22"/>
                <w:szCs w:val="22"/>
                <w:lang w:val="en-IN"/>
              </w:rPr>
              <w:t xml:space="preserve"> have been reported, including herpetic infections, diabetes mellitus, intracranial </w:t>
            </w:r>
            <w:proofErr w:type="spellStart"/>
            <w:r w:rsidRPr="00D802F6">
              <w:rPr>
                <w:rFonts w:ascii="Arial" w:eastAsia="Calibri" w:hAnsi="Arial" w:cs="Arial"/>
                <w:sz w:val="22"/>
                <w:szCs w:val="22"/>
                <w:lang w:val="en-IN"/>
              </w:rPr>
              <w:t>tumors</w:t>
            </w:r>
            <w:proofErr w:type="spellEnd"/>
            <w:r w:rsidRPr="00D802F6">
              <w:rPr>
                <w:rFonts w:ascii="Arial" w:eastAsia="Calibri" w:hAnsi="Arial" w:cs="Arial"/>
                <w:sz w:val="22"/>
                <w:szCs w:val="22"/>
                <w:lang w:val="en-IN"/>
              </w:rPr>
              <w:t>, trauma, and neurosurgical procedures involving the trigeminal nerve.</w:t>
            </w:r>
          </w:p>
          <w:p w14:paraId="6664B553" w14:textId="77777777" w:rsidR="00A26C29" w:rsidRPr="00D802F6" w:rsidRDefault="00A26C29" w:rsidP="00A26C29">
            <w:pPr>
              <w:pStyle w:val="NormalWeb"/>
              <w:jc w:val="both"/>
              <w:rPr>
                <w:rFonts w:ascii="Arial" w:eastAsia="Calibri" w:hAnsi="Arial" w:cs="Arial"/>
                <w:b/>
                <w:bCs/>
                <w:sz w:val="22"/>
                <w:szCs w:val="22"/>
                <w:lang w:val="en-IN"/>
              </w:rPr>
            </w:pPr>
            <w:r w:rsidRPr="00D802F6">
              <w:rPr>
                <w:rFonts w:ascii="Arial" w:eastAsia="Calibri" w:hAnsi="Arial" w:cs="Arial"/>
                <w:b/>
                <w:bCs/>
                <w:sz w:val="22"/>
                <w:szCs w:val="22"/>
                <w:lang w:val="en-IN"/>
              </w:rPr>
              <w:t>Case Presentation</w:t>
            </w:r>
          </w:p>
          <w:p w14:paraId="408D0C1E" w14:textId="77777777" w:rsidR="00A26C29" w:rsidRPr="00D802F6" w:rsidRDefault="00A26C29" w:rsidP="00A26C29">
            <w:pPr>
              <w:pStyle w:val="NormalWeb"/>
              <w:jc w:val="both"/>
              <w:rPr>
                <w:rFonts w:ascii="Arial" w:eastAsia="Calibri" w:hAnsi="Arial" w:cs="Arial"/>
                <w:sz w:val="22"/>
                <w:szCs w:val="22"/>
                <w:lang w:val="en-IN"/>
              </w:rPr>
            </w:pPr>
            <w:r w:rsidRPr="00D802F6">
              <w:rPr>
                <w:rFonts w:ascii="Arial" w:eastAsia="Calibri" w:hAnsi="Arial" w:cs="Arial"/>
                <w:sz w:val="22"/>
                <w:szCs w:val="22"/>
                <w:lang w:val="en-IN"/>
              </w:rPr>
              <w:t xml:space="preserve">We report the case of a 61-year-old woman with a history of trigeminal neuralgia treated by thermocoagulation of the </w:t>
            </w:r>
            <w:proofErr w:type="spellStart"/>
            <w:r w:rsidRPr="00D802F6">
              <w:rPr>
                <w:rFonts w:ascii="Arial" w:eastAsia="Calibri" w:hAnsi="Arial" w:cs="Arial"/>
                <w:sz w:val="22"/>
                <w:szCs w:val="22"/>
                <w:lang w:val="en-IN"/>
              </w:rPr>
              <w:t>Gasserian</w:t>
            </w:r>
            <w:proofErr w:type="spellEnd"/>
            <w:r w:rsidRPr="00D802F6">
              <w:rPr>
                <w:rFonts w:ascii="Arial" w:eastAsia="Calibri" w:hAnsi="Arial" w:cs="Arial"/>
                <w:sz w:val="22"/>
                <w:szCs w:val="22"/>
                <w:lang w:val="en-IN"/>
              </w:rPr>
              <w:t xml:space="preserve"> ganglion eight months prior to presentation. The patient consulted for a painless red right eye associated with progressive visual impairment for 15 days. Ophthalmological examination revealed a best-corrected visual acuity limited to near finger counting. Slit-lamp examination demonstrated marked conjunctival hyperemia and a large central epithelial–stromal ulcer measuring 9 × 6 mm with intense fluorescein staining and peri-lesional stromal edema. Corneal sensitivity testing revealed a complete loss of sensitivity in the affected eye. Fundus examination was limited due to corneal opacity. The contralateral eye examination was unremarkable.</w:t>
            </w:r>
          </w:p>
          <w:p w14:paraId="7E16A200" w14:textId="77777777" w:rsidR="00A26C29" w:rsidRPr="00D802F6" w:rsidRDefault="00A26C29" w:rsidP="00A26C29">
            <w:pPr>
              <w:pStyle w:val="NormalWeb"/>
              <w:jc w:val="both"/>
              <w:rPr>
                <w:rFonts w:ascii="Arial" w:eastAsia="Calibri" w:hAnsi="Arial" w:cs="Arial"/>
                <w:b/>
                <w:bCs/>
                <w:sz w:val="22"/>
                <w:szCs w:val="22"/>
                <w:lang w:val="en-IN"/>
              </w:rPr>
            </w:pPr>
            <w:r w:rsidRPr="00D802F6">
              <w:rPr>
                <w:rFonts w:ascii="Arial" w:eastAsia="Calibri" w:hAnsi="Arial" w:cs="Arial"/>
                <w:b/>
                <w:bCs/>
                <w:sz w:val="22"/>
                <w:szCs w:val="22"/>
                <w:lang w:val="en-IN"/>
              </w:rPr>
              <w:t>Management and Outcome</w:t>
            </w:r>
          </w:p>
          <w:p w14:paraId="4551E8AA" w14:textId="77777777" w:rsidR="00A26C29" w:rsidRPr="00D802F6" w:rsidRDefault="00A26C29" w:rsidP="00A26C29">
            <w:pPr>
              <w:pStyle w:val="NormalWeb"/>
              <w:jc w:val="both"/>
              <w:rPr>
                <w:rFonts w:ascii="Arial" w:eastAsia="Calibri" w:hAnsi="Arial" w:cs="Arial"/>
                <w:sz w:val="22"/>
                <w:szCs w:val="22"/>
                <w:lang w:val="en-IN"/>
              </w:rPr>
            </w:pPr>
            <w:r w:rsidRPr="00D802F6">
              <w:rPr>
                <w:rFonts w:ascii="Arial" w:eastAsia="Calibri" w:hAnsi="Arial" w:cs="Arial"/>
                <w:sz w:val="22"/>
                <w:szCs w:val="22"/>
                <w:lang w:val="en-IN"/>
              </w:rPr>
              <w:t>The patient was managed conservatively with intensive ocular surface lubrication, autologous serum eye drops, frequent ocular lavage, and the placement of a therapeutic soft contact lens with close daily monitoring. Clinical evolution was favorable, with the onset of corneal re-epithelialization observed by the fifth day of treatment and complete epithelial healing achieved by day 30. At the two-month follow-up, a para-axial corneal scar persisted, and the final best-corrected visual acuity was 2/10.</w:t>
            </w:r>
          </w:p>
          <w:p w14:paraId="7257959A" w14:textId="77777777" w:rsidR="00A26C29" w:rsidRPr="00A26C29" w:rsidRDefault="00A26C29" w:rsidP="00A26C29">
            <w:pPr>
              <w:pStyle w:val="NormalWeb"/>
              <w:jc w:val="both"/>
              <w:rPr>
                <w:rFonts w:ascii="Arial" w:eastAsia="Calibri" w:hAnsi="Arial" w:cs="Arial"/>
                <w:b/>
                <w:bCs/>
                <w:sz w:val="22"/>
                <w:szCs w:val="22"/>
              </w:rPr>
            </w:pPr>
            <w:r w:rsidRPr="00A26C29">
              <w:rPr>
                <w:rFonts w:ascii="Arial" w:eastAsia="Calibri" w:hAnsi="Arial" w:cs="Arial"/>
                <w:b/>
                <w:bCs/>
                <w:sz w:val="22"/>
                <w:szCs w:val="22"/>
              </w:rPr>
              <w:t>Conclusion</w:t>
            </w:r>
          </w:p>
          <w:p w14:paraId="2513189A" w14:textId="77777777" w:rsidR="00A26C29" w:rsidRPr="00D802F6" w:rsidRDefault="00A26C29" w:rsidP="00A26C29">
            <w:pPr>
              <w:pStyle w:val="NormalWeb"/>
              <w:jc w:val="both"/>
              <w:rPr>
                <w:rFonts w:ascii="Arial" w:eastAsia="Calibri" w:hAnsi="Arial" w:cs="Arial"/>
                <w:sz w:val="22"/>
                <w:szCs w:val="22"/>
                <w:lang w:val="en-IN"/>
              </w:rPr>
            </w:pPr>
            <w:r w:rsidRPr="00D802F6">
              <w:rPr>
                <w:rFonts w:ascii="Arial" w:eastAsia="Calibri" w:hAnsi="Arial" w:cs="Arial"/>
                <w:sz w:val="22"/>
                <w:szCs w:val="22"/>
                <w:lang w:val="en-IN"/>
              </w:rPr>
              <w:t xml:space="preserve">Neurotrophic corneal ulcers following trigeminal nerve procedures represent a potentially sight-threatening complication. Early diagnosis based on careful clinical history and systematic </w:t>
            </w:r>
            <w:r w:rsidRPr="00D802F6">
              <w:rPr>
                <w:rFonts w:ascii="Arial" w:eastAsia="Calibri" w:hAnsi="Arial" w:cs="Arial"/>
                <w:sz w:val="22"/>
                <w:szCs w:val="22"/>
                <w:lang w:val="en-IN"/>
              </w:rPr>
              <w:lastRenderedPageBreak/>
              <w:t>assessment of corneal sensitivity is essential. Prompt initiation of aggressive ocular surface therapy can promote epithelial healing and prevent serious complications such as corneal melting or perforation.</w:t>
            </w:r>
          </w:p>
          <w:p w14:paraId="57F05B97" w14:textId="4585ED5E" w:rsidR="00B76A23" w:rsidRPr="00D802F6" w:rsidRDefault="00B76A23" w:rsidP="00A26C29">
            <w:pPr>
              <w:pStyle w:val="NormalWeb"/>
              <w:jc w:val="both"/>
              <w:rPr>
                <w:rFonts w:ascii="Arial" w:eastAsia="Calibri" w:hAnsi="Arial" w:cs="Arial"/>
                <w:sz w:val="22"/>
                <w:szCs w:val="22"/>
                <w:lang w:val="en-IN"/>
              </w:rPr>
            </w:pPr>
          </w:p>
        </w:tc>
      </w:tr>
    </w:tbl>
    <w:p w14:paraId="1F32A1A8" w14:textId="77777777" w:rsidR="00636EB2" w:rsidRDefault="00636EB2" w:rsidP="00441B6F">
      <w:pPr>
        <w:pStyle w:val="Body"/>
        <w:spacing w:after="0"/>
        <w:rPr>
          <w:rFonts w:ascii="Arial" w:hAnsi="Arial" w:cs="Arial"/>
          <w:i/>
        </w:rPr>
      </w:pPr>
    </w:p>
    <w:p w14:paraId="19270EB7" w14:textId="77777777" w:rsidR="00790ADA" w:rsidRDefault="00790ADA" w:rsidP="00441B6F">
      <w:pPr>
        <w:pStyle w:val="Body"/>
        <w:spacing w:after="0"/>
        <w:rPr>
          <w:rFonts w:ascii="Arial" w:hAnsi="Arial" w:cs="Arial"/>
          <w:i/>
        </w:rPr>
      </w:pPr>
    </w:p>
    <w:p w14:paraId="72BF7F48" w14:textId="77777777" w:rsidR="0024282C" w:rsidRDefault="0024282C" w:rsidP="00441B6F">
      <w:pPr>
        <w:pStyle w:val="Body"/>
        <w:spacing w:after="0"/>
        <w:rPr>
          <w:rFonts w:ascii="Arial" w:hAnsi="Arial" w:cs="Arial"/>
          <w:i/>
          <w:sz w:val="18"/>
        </w:rPr>
      </w:pPr>
    </w:p>
    <w:p w14:paraId="3782EFFB" w14:textId="77777777" w:rsidR="00505F06" w:rsidRPr="00A24E7E" w:rsidRDefault="00505F06" w:rsidP="00441B6F">
      <w:pPr>
        <w:pStyle w:val="Body"/>
        <w:spacing w:after="0"/>
        <w:rPr>
          <w:rFonts w:ascii="Arial" w:hAnsi="Arial" w:cs="Arial"/>
          <w:i/>
        </w:rPr>
      </w:pPr>
    </w:p>
    <w:p w14:paraId="353D4FB8" w14:textId="3D805B4B" w:rsidR="007F7B32" w:rsidRDefault="00B01FCD" w:rsidP="000E4E90">
      <w:pPr>
        <w:pStyle w:val="AbstHead"/>
        <w:numPr>
          <w:ilvl w:val="0"/>
          <w:numId w:val="32"/>
        </w:numPr>
        <w:spacing w:after="0"/>
        <w:jc w:val="both"/>
        <w:rPr>
          <w:rFonts w:ascii="Arial" w:hAnsi="Arial" w:cs="Arial"/>
          <w:szCs w:val="22"/>
        </w:rPr>
      </w:pPr>
      <w:r w:rsidRPr="00F80351">
        <w:rPr>
          <w:rFonts w:ascii="Arial" w:hAnsi="Arial" w:cs="Arial"/>
          <w:szCs w:val="22"/>
        </w:rPr>
        <w:t>INTRODUCTION</w:t>
      </w:r>
      <w:r w:rsidR="00F80351">
        <w:rPr>
          <w:rFonts w:ascii="Arial" w:hAnsi="Arial" w:cs="Arial"/>
          <w:szCs w:val="22"/>
        </w:rPr>
        <w:t>:</w:t>
      </w:r>
    </w:p>
    <w:p w14:paraId="33F79E4A" w14:textId="77777777" w:rsidR="000E4E90" w:rsidRPr="00F80351" w:rsidRDefault="000E4E90" w:rsidP="000E4E90">
      <w:pPr>
        <w:pStyle w:val="AbstHead"/>
        <w:spacing w:after="0"/>
        <w:ind w:left="720"/>
        <w:jc w:val="both"/>
        <w:rPr>
          <w:rFonts w:ascii="Arial" w:hAnsi="Arial" w:cs="Arial"/>
          <w:szCs w:val="22"/>
        </w:rPr>
      </w:pPr>
    </w:p>
    <w:p w14:paraId="1CC26BAA" w14:textId="7D1761A7" w:rsidR="003B48EB" w:rsidRPr="00F80351" w:rsidRDefault="00AD0436" w:rsidP="00AD0436">
      <w:pPr>
        <w:pStyle w:val="Body"/>
        <w:rPr>
          <w:rFonts w:ascii="Arial" w:hAnsi="Arial" w:cs="Arial"/>
          <w:bCs/>
          <w:sz w:val="22"/>
          <w:szCs w:val="22"/>
        </w:rPr>
      </w:pPr>
      <w:r w:rsidRPr="00AD0436">
        <w:rPr>
          <w:rFonts w:ascii="Arial" w:hAnsi="Arial" w:cs="Arial"/>
          <w:bCs/>
          <w:sz w:val="22"/>
          <w:szCs w:val="22"/>
        </w:rPr>
        <w:t>Neurotrophic keratopathy (NK) is a rare but potentially severe degenerative corneal disorder caused by impairment of trigeminal nerve innervation (1,2). The trigeminal nerve plays a crucial role in maintaining corneal integrity through trophic support and reflex mechanisms such as blinking and tear secretion (2). Damage to this innervation leads to reduced corneal sensitivity, disruption of epithelial metabolism, and impaired wound healing. As a result, the corneal surface becomes vulnerable to persistent epithelial defects, stromal ulceration, and eventually corneal perforation in advanced stages of the disease (2,3).</w:t>
      </w:r>
      <w:r>
        <w:rPr>
          <w:rFonts w:ascii="Arial" w:hAnsi="Arial" w:cs="Arial"/>
          <w:bCs/>
          <w:sz w:val="22"/>
          <w:szCs w:val="22"/>
        </w:rPr>
        <w:t xml:space="preserve"> </w:t>
      </w:r>
      <w:r w:rsidRPr="00AD0436">
        <w:rPr>
          <w:rFonts w:ascii="Arial" w:hAnsi="Arial" w:cs="Arial"/>
          <w:bCs/>
          <w:sz w:val="22"/>
          <w:szCs w:val="22"/>
        </w:rPr>
        <w:t>The absence of pain despite significant corneal pathology is a characteristic feature of neurotrophic keratopathy and may delay diagnosis and management (2). Several etiologies have been described in the literature (1,2,6). The most common causes include herpetic keratitis, diabetes mellitus, intracranial tumors, traumatic injuries, chemical burns, and neurosurgical procedures involving the trigeminal nerve (2,6).</w:t>
      </w:r>
      <w:r>
        <w:rPr>
          <w:rFonts w:ascii="Arial" w:hAnsi="Arial" w:cs="Arial"/>
          <w:bCs/>
          <w:sz w:val="22"/>
          <w:szCs w:val="22"/>
        </w:rPr>
        <w:t xml:space="preserve"> </w:t>
      </w:r>
      <w:r w:rsidRPr="00AD0436">
        <w:rPr>
          <w:rFonts w:ascii="Arial" w:hAnsi="Arial" w:cs="Arial"/>
          <w:bCs/>
          <w:sz w:val="22"/>
          <w:szCs w:val="22"/>
        </w:rPr>
        <w:t xml:space="preserve">In particular, surgical treatments for trigeminal neuralgia such as thermocoagulation of the </w:t>
      </w:r>
      <w:proofErr w:type="spellStart"/>
      <w:r w:rsidRPr="00AD0436">
        <w:rPr>
          <w:rFonts w:ascii="Arial" w:hAnsi="Arial" w:cs="Arial"/>
          <w:bCs/>
          <w:sz w:val="22"/>
          <w:szCs w:val="22"/>
        </w:rPr>
        <w:t>Gasserian</w:t>
      </w:r>
      <w:proofErr w:type="spellEnd"/>
      <w:r w:rsidRPr="00AD0436">
        <w:rPr>
          <w:rFonts w:ascii="Arial" w:hAnsi="Arial" w:cs="Arial"/>
          <w:bCs/>
          <w:sz w:val="22"/>
          <w:szCs w:val="22"/>
        </w:rPr>
        <w:t xml:space="preserve"> ganglion may damage the trigeminal ganglion and result in corneal denervation (7). Trigeminal neuralgia is a chronic neuropathic pain disorder characterized by sudden and severe facial pain along the distribution of the trigeminal nerve. When medical therapy fails, surgical interventions targeting the trigeminal ganglion are often required. Although effective in controlling pain, these procedures may compromise corneal innervation and predispose patients to neurotrophic keratitis (2,7).</w:t>
      </w:r>
      <w:r>
        <w:rPr>
          <w:rFonts w:ascii="Arial" w:hAnsi="Arial" w:cs="Arial"/>
          <w:bCs/>
          <w:sz w:val="22"/>
          <w:szCs w:val="22"/>
        </w:rPr>
        <w:t xml:space="preserve"> </w:t>
      </w:r>
      <w:r w:rsidRPr="00AD0436">
        <w:rPr>
          <w:rFonts w:ascii="Arial" w:hAnsi="Arial" w:cs="Arial"/>
          <w:bCs/>
          <w:sz w:val="22"/>
          <w:szCs w:val="22"/>
        </w:rPr>
        <w:t>The clinical course of neurotrophic keratopathy is often progressive and is commonly classified according to the Mackie classification into three stages: stage 1 characterized by punctate epithelial keratopathy, stage 2 by persistent epithelial defects, and stage 3 by stromal ulceration with a high risk of corneal melting and perforation (3).</w:t>
      </w:r>
      <w:r>
        <w:rPr>
          <w:rFonts w:ascii="Arial" w:hAnsi="Arial" w:cs="Arial"/>
          <w:bCs/>
          <w:sz w:val="22"/>
          <w:szCs w:val="22"/>
        </w:rPr>
        <w:t xml:space="preserve"> </w:t>
      </w:r>
      <w:r w:rsidRPr="00AD0436">
        <w:rPr>
          <w:rFonts w:ascii="Arial" w:hAnsi="Arial" w:cs="Arial"/>
          <w:bCs/>
          <w:sz w:val="22"/>
          <w:szCs w:val="22"/>
        </w:rPr>
        <w:t xml:space="preserve">Recent advances have improved understanding of NK pathophysiology, particularly the role of neurotrophic factors in corneal homeostasis. Emerging evidence highlights the importance of nerve-derived mediators in epithelial regeneration and ocular surface stability (8). Furthermore, novel therapeutic </w:t>
      </w:r>
      <w:proofErr w:type="gramStart"/>
      <w:r w:rsidRPr="00AD0436">
        <w:rPr>
          <w:rFonts w:ascii="Arial" w:hAnsi="Arial" w:cs="Arial"/>
          <w:bCs/>
          <w:sz w:val="22"/>
          <w:szCs w:val="22"/>
        </w:rPr>
        <w:t>approaches</w:t>
      </w:r>
      <w:r w:rsidR="002323D3">
        <w:rPr>
          <w:rFonts w:ascii="Arial" w:hAnsi="Arial" w:cs="Arial"/>
          <w:bCs/>
          <w:sz w:val="22"/>
          <w:szCs w:val="22"/>
        </w:rPr>
        <w:t>(</w:t>
      </w:r>
      <w:proofErr w:type="gramEnd"/>
      <w:r w:rsidR="002323D3">
        <w:rPr>
          <w:rFonts w:ascii="Arial" w:hAnsi="Arial" w:cs="Arial"/>
          <w:bCs/>
          <w:sz w:val="22"/>
          <w:szCs w:val="22"/>
        </w:rPr>
        <w:t>5,8,10,11,13)</w:t>
      </w:r>
      <w:r w:rsidRPr="00AD0436">
        <w:rPr>
          <w:rFonts w:ascii="Arial" w:hAnsi="Arial" w:cs="Arial"/>
          <w:bCs/>
          <w:sz w:val="22"/>
          <w:szCs w:val="22"/>
        </w:rPr>
        <w:t>, including recombinant human nerve growth factor, have demonstrated significant efficacy in promoting corneal healing and restoring corneal sensitivity in moderate to severe NK (5,8).</w:t>
      </w:r>
      <w:r>
        <w:rPr>
          <w:rFonts w:ascii="Arial" w:hAnsi="Arial" w:cs="Arial"/>
          <w:bCs/>
          <w:sz w:val="22"/>
          <w:szCs w:val="22"/>
        </w:rPr>
        <w:t xml:space="preserve"> </w:t>
      </w:r>
      <w:r w:rsidRPr="00AD0436">
        <w:rPr>
          <w:rFonts w:ascii="Arial" w:hAnsi="Arial" w:cs="Arial"/>
          <w:bCs/>
          <w:sz w:val="22"/>
          <w:szCs w:val="22"/>
        </w:rPr>
        <w:t>Despite these advances, early recognition of the disease remains a major challenge in clinical practice, particularly in patients with neurological conditions or a history of trigeminal nerve procedures.</w:t>
      </w:r>
    </w:p>
    <w:p w14:paraId="723B2E91" w14:textId="3C54A28B" w:rsidR="007F7B32" w:rsidRPr="00F80351" w:rsidRDefault="00902823" w:rsidP="00F80351">
      <w:pPr>
        <w:pStyle w:val="AbstHead"/>
        <w:spacing w:after="0"/>
        <w:rPr>
          <w:rFonts w:ascii="Arial" w:hAnsi="Arial" w:cs="Arial"/>
          <w:szCs w:val="22"/>
        </w:rPr>
      </w:pPr>
      <w:r w:rsidRPr="00F80351">
        <w:rPr>
          <w:rFonts w:ascii="Arial" w:hAnsi="Arial" w:cs="Arial"/>
          <w:szCs w:val="22"/>
        </w:rPr>
        <w:t xml:space="preserve">2. </w:t>
      </w:r>
      <w:r w:rsidR="00703E09" w:rsidRPr="00F80351">
        <w:rPr>
          <w:rFonts w:ascii="Arial" w:hAnsi="Arial" w:cs="Arial"/>
          <w:szCs w:val="22"/>
        </w:rPr>
        <w:t>Case presentation:</w:t>
      </w:r>
    </w:p>
    <w:p w14:paraId="15EC7BAD" w14:textId="205ED4C5" w:rsidR="00703E09" w:rsidRPr="00F80351" w:rsidRDefault="00703E09" w:rsidP="00F80351">
      <w:pPr>
        <w:pStyle w:val="AbstHead"/>
        <w:spacing w:after="0"/>
        <w:rPr>
          <w:rFonts w:ascii="Arial" w:hAnsi="Arial" w:cs="Arial"/>
          <w:b w:val="0"/>
          <w:bCs/>
          <w:szCs w:val="22"/>
        </w:rPr>
      </w:pPr>
    </w:p>
    <w:p w14:paraId="58DEEE80" w14:textId="77777777" w:rsidR="00A26C29" w:rsidRPr="00D802F6" w:rsidRDefault="00A26C29" w:rsidP="00A26C29">
      <w:pPr>
        <w:pStyle w:val="Body"/>
        <w:spacing w:after="0"/>
        <w:rPr>
          <w:rFonts w:ascii="Arial" w:hAnsi="Arial" w:cs="Arial"/>
          <w:sz w:val="22"/>
          <w:szCs w:val="22"/>
          <w:lang w:val="en-IN"/>
        </w:rPr>
      </w:pPr>
      <w:r w:rsidRPr="00D802F6">
        <w:rPr>
          <w:rFonts w:ascii="Arial" w:hAnsi="Arial" w:cs="Arial"/>
          <w:sz w:val="22"/>
          <w:szCs w:val="22"/>
          <w:lang w:val="en-IN"/>
        </w:rPr>
        <w:t>A 61-year-old woman presented to our ophthalmology department with a 15-day history of progressive visual decline in her right eye associated with redness but no pain. The patient had previously been diagnosed with trigeminal neuralgia affecting the right side of the face and had undergone thermocoagulation of the Gasserian ganglion performed by the neurosurgery department eight months earlier.</w:t>
      </w:r>
    </w:p>
    <w:p w14:paraId="7B7083F5" w14:textId="77777777" w:rsidR="00A26C29" w:rsidRPr="00D802F6" w:rsidRDefault="00A26C29" w:rsidP="00A26C29">
      <w:pPr>
        <w:pStyle w:val="Body"/>
        <w:spacing w:after="0"/>
        <w:rPr>
          <w:rFonts w:ascii="Arial" w:hAnsi="Arial" w:cs="Arial"/>
          <w:sz w:val="22"/>
          <w:szCs w:val="22"/>
          <w:lang w:val="en-IN"/>
        </w:rPr>
      </w:pPr>
      <w:r w:rsidRPr="00D802F6">
        <w:rPr>
          <w:rFonts w:ascii="Arial" w:hAnsi="Arial" w:cs="Arial"/>
          <w:sz w:val="22"/>
          <w:szCs w:val="22"/>
          <w:lang w:val="en-IN"/>
        </w:rPr>
        <w:t>Her medical history was otherwise unremarkable, with no history of diabetes, ocular trauma, or herpetic keratitis.</w:t>
      </w:r>
    </w:p>
    <w:p w14:paraId="26833794" w14:textId="77777777" w:rsidR="00A26C29" w:rsidRPr="00D802F6" w:rsidRDefault="00A26C29" w:rsidP="00A26C29">
      <w:pPr>
        <w:pStyle w:val="Body"/>
        <w:spacing w:after="0"/>
        <w:rPr>
          <w:rFonts w:ascii="Arial" w:hAnsi="Arial" w:cs="Arial"/>
          <w:sz w:val="22"/>
          <w:szCs w:val="22"/>
          <w:lang w:val="en-IN"/>
        </w:rPr>
      </w:pPr>
      <w:r w:rsidRPr="00D802F6">
        <w:rPr>
          <w:rFonts w:ascii="Arial" w:hAnsi="Arial" w:cs="Arial"/>
          <w:sz w:val="22"/>
          <w:szCs w:val="22"/>
          <w:lang w:val="en-IN"/>
        </w:rPr>
        <w:t>At presentation, ophthalmological examination revealed a best-corrected visual acuity limited to near finger counting in the right eye. Slit-lamp examination showed marked conjunctival hyperemia and a large central epithelial-stromal ulcer measuring approximately 9 × 6 mm. Fluorescein staining revealed intense uptake over the ulcerated area, indicating epithelial loss. The surrounding corneal stroma appeared edematous with poorly defined margins.</w:t>
      </w:r>
    </w:p>
    <w:p w14:paraId="12F8000F" w14:textId="77777777" w:rsidR="00A26C29" w:rsidRPr="00D802F6" w:rsidRDefault="00A26C29" w:rsidP="00A26C29">
      <w:pPr>
        <w:pStyle w:val="Body"/>
        <w:spacing w:after="0"/>
        <w:rPr>
          <w:rFonts w:ascii="Arial" w:hAnsi="Arial" w:cs="Arial"/>
          <w:sz w:val="22"/>
          <w:szCs w:val="22"/>
          <w:lang w:val="en-IN"/>
        </w:rPr>
      </w:pPr>
      <w:r w:rsidRPr="00D802F6">
        <w:rPr>
          <w:rFonts w:ascii="Arial" w:hAnsi="Arial" w:cs="Arial"/>
          <w:sz w:val="22"/>
          <w:szCs w:val="22"/>
          <w:lang w:val="en-IN"/>
        </w:rPr>
        <w:t>Corneal sensitivity testing performed using a cotton wisp demonstrated a complete absence of corneal sensation in the affected eye, strongly suggesting neurotrophic keratopathy.</w:t>
      </w:r>
    </w:p>
    <w:p w14:paraId="4F270A60" w14:textId="423B858E" w:rsidR="00A26C29" w:rsidRPr="00D802F6" w:rsidRDefault="00A26C29" w:rsidP="00A26C29">
      <w:pPr>
        <w:pStyle w:val="Body"/>
        <w:spacing w:after="0"/>
        <w:rPr>
          <w:rFonts w:ascii="Arial" w:hAnsi="Arial" w:cs="Arial"/>
          <w:sz w:val="22"/>
          <w:szCs w:val="22"/>
          <w:lang w:val="en-IN"/>
        </w:rPr>
      </w:pPr>
      <w:r w:rsidRPr="00D802F6">
        <w:rPr>
          <w:rFonts w:ascii="Arial" w:hAnsi="Arial" w:cs="Arial"/>
          <w:sz w:val="22"/>
          <w:szCs w:val="22"/>
          <w:lang w:val="en-IN"/>
        </w:rPr>
        <w:t>The anterior chamber was quiet with no evidence of hypopyon or inflammatory reaction.</w:t>
      </w:r>
      <w:r w:rsidR="00124E11" w:rsidRPr="00124E11">
        <w:t xml:space="preserve"> </w:t>
      </w:r>
      <w:r w:rsidR="00124E11" w:rsidRPr="00124E11">
        <w:rPr>
          <w:rFonts w:ascii="Arial" w:hAnsi="Arial" w:cs="Arial"/>
          <w:sz w:val="22"/>
          <w:szCs w:val="22"/>
          <w:lang w:val="en-IN"/>
        </w:rPr>
        <w:t xml:space="preserve">Intraocular pressure was within normal limits and was measured using </w:t>
      </w:r>
      <w:proofErr w:type="spellStart"/>
      <w:r w:rsidR="00124E11" w:rsidRPr="00124E11">
        <w:rPr>
          <w:rFonts w:ascii="Arial" w:hAnsi="Arial" w:cs="Arial"/>
          <w:sz w:val="22"/>
          <w:szCs w:val="22"/>
          <w:lang w:val="en-IN"/>
        </w:rPr>
        <w:t>Goldmann</w:t>
      </w:r>
      <w:proofErr w:type="spellEnd"/>
      <w:r w:rsidR="00124E11" w:rsidRPr="00124E11">
        <w:rPr>
          <w:rFonts w:ascii="Arial" w:hAnsi="Arial" w:cs="Arial"/>
          <w:sz w:val="22"/>
          <w:szCs w:val="22"/>
          <w:lang w:val="en-IN"/>
        </w:rPr>
        <w:t xml:space="preserve"> applanation tonometry</w:t>
      </w:r>
      <w:r w:rsidRPr="00D802F6">
        <w:rPr>
          <w:rFonts w:ascii="Arial" w:hAnsi="Arial" w:cs="Arial"/>
          <w:sz w:val="22"/>
          <w:szCs w:val="22"/>
          <w:lang w:val="en-IN"/>
        </w:rPr>
        <w:t>. Fundus examination was difficult because of reduced corneal transparency.</w:t>
      </w:r>
    </w:p>
    <w:p w14:paraId="27C5F74B" w14:textId="77777777" w:rsidR="00A26C29" w:rsidRPr="00D802F6" w:rsidRDefault="00A26C29" w:rsidP="00A26C29">
      <w:pPr>
        <w:pStyle w:val="Body"/>
        <w:spacing w:after="0"/>
        <w:rPr>
          <w:rFonts w:ascii="Arial" w:hAnsi="Arial" w:cs="Arial"/>
          <w:sz w:val="22"/>
          <w:szCs w:val="22"/>
          <w:lang w:val="en-IN"/>
        </w:rPr>
      </w:pPr>
      <w:r w:rsidRPr="00D802F6">
        <w:rPr>
          <w:rFonts w:ascii="Arial" w:hAnsi="Arial" w:cs="Arial"/>
          <w:sz w:val="22"/>
          <w:szCs w:val="22"/>
          <w:lang w:val="en-IN"/>
        </w:rPr>
        <w:lastRenderedPageBreak/>
        <w:t>Examination of the contralateral eye revealed no abnormalities, with normal visual acuity and preserved corneal sensitivity.</w:t>
      </w:r>
    </w:p>
    <w:p w14:paraId="70ACB9BB" w14:textId="77777777" w:rsidR="00A26C29" w:rsidRPr="00D802F6" w:rsidRDefault="00A26C29" w:rsidP="00A26C29">
      <w:pPr>
        <w:pStyle w:val="Body"/>
        <w:spacing w:after="0"/>
        <w:rPr>
          <w:rFonts w:ascii="Arial" w:hAnsi="Arial" w:cs="Arial"/>
          <w:sz w:val="22"/>
          <w:szCs w:val="22"/>
          <w:lang w:val="en-IN"/>
        </w:rPr>
      </w:pPr>
      <w:r w:rsidRPr="00D802F6">
        <w:rPr>
          <w:rFonts w:ascii="Arial" w:hAnsi="Arial" w:cs="Arial"/>
          <w:sz w:val="22"/>
          <w:szCs w:val="22"/>
          <w:lang w:val="en-IN"/>
        </w:rPr>
        <w:t>Based on the clinical findings and the patient’s history of trigeminal ganglion thermocoagulation, a diagnosis of stage 3 neurotrophic keratitis with stromal ulceration was established.</w:t>
      </w:r>
    </w:p>
    <w:p w14:paraId="2D5E31B2" w14:textId="77777777" w:rsidR="00A26C29" w:rsidRPr="00D802F6" w:rsidRDefault="00A26C29" w:rsidP="00A26C29">
      <w:pPr>
        <w:pStyle w:val="Body"/>
        <w:spacing w:after="0"/>
        <w:rPr>
          <w:rFonts w:ascii="Arial" w:hAnsi="Arial" w:cs="Arial"/>
          <w:sz w:val="22"/>
          <w:szCs w:val="22"/>
          <w:lang w:val="en-IN"/>
        </w:rPr>
      </w:pPr>
      <w:r w:rsidRPr="00D802F6">
        <w:rPr>
          <w:rFonts w:ascii="Arial" w:hAnsi="Arial" w:cs="Arial"/>
          <w:sz w:val="22"/>
          <w:szCs w:val="22"/>
          <w:lang w:val="en-IN"/>
        </w:rPr>
        <w:t>The patient was immediately started on intensive medical therapy aimed at promoting epithelial healing and protecting the ocular surface. Treatment consisted of frequent ocular lavage, preservative-free lubricating eye drops, autologous serum eye drops, and the placement of a therapeutic soft contact lens. Close daily monitoring was performed to assess corneal healing and detect any signs of infection or worsening.</w:t>
      </w:r>
    </w:p>
    <w:p w14:paraId="11A54FC3" w14:textId="77777777" w:rsidR="00A26C29" w:rsidRPr="00D802F6" w:rsidRDefault="00A26C29" w:rsidP="00A26C29">
      <w:pPr>
        <w:pStyle w:val="Body"/>
        <w:spacing w:after="0"/>
        <w:rPr>
          <w:rFonts w:ascii="Arial" w:hAnsi="Arial" w:cs="Arial"/>
          <w:sz w:val="22"/>
          <w:szCs w:val="22"/>
          <w:lang w:val="en-IN"/>
        </w:rPr>
      </w:pPr>
      <w:r w:rsidRPr="00D802F6">
        <w:rPr>
          <w:rFonts w:ascii="Arial" w:hAnsi="Arial" w:cs="Arial"/>
          <w:sz w:val="22"/>
          <w:szCs w:val="22"/>
          <w:lang w:val="en-IN"/>
        </w:rPr>
        <w:t>Clinical evolution was favorable. The first signs of epithelial healing were observed by day 5 of treatment, with gradual reduction in the size of the epithelial defect. Complete re-epithelialization was achieved by day 30.</w:t>
      </w:r>
    </w:p>
    <w:p w14:paraId="0DF19401" w14:textId="77777777" w:rsidR="00A26C29" w:rsidRPr="00D802F6" w:rsidRDefault="00A26C29" w:rsidP="00A26C29">
      <w:pPr>
        <w:pStyle w:val="Body"/>
        <w:spacing w:after="0"/>
        <w:rPr>
          <w:rFonts w:ascii="Arial" w:hAnsi="Arial" w:cs="Arial"/>
          <w:sz w:val="22"/>
          <w:szCs w:val="22"/>
          <w:lang w:val="en-IN"/>
        </w:rPr>
      </w:pPr>
      <w:r w:rsidRPr="00D802F6">
        <w:rPr>
          <w:rFonts w:ascii="Arial" w:hAnsi="Arial" w:cs="Arial"/>
          <w:sz w:val="22"/>
          <w:szCs w:val="22"/>
          <w:lang w:val="en-IN"/>
        </w:rPr>
        <w:t>At the two-month follow-up visit, the cornea had healed but a para-axial stromal opacity remained. The final best-corrected visual acuity improved to 2/10 in the affected eye.</w:t>
      </w:r>
    </w:p>
    <w:p w14:paraId="5CAFCDCA" w14:textId="71BDD871" w:rsidR="00790ADA" w:rsidRPr="00F80351" w:rsidRDefault="00790ADA" w:rsidP="00441B6F">
      <w:pPr>
        <w:pStyle w:val="Body"/>
        <w:spacing w:after="0"/>
        <w:rPr>
          <w:rFonts w:ascii="Arial" w:hAnsi="Arial" w:cs="Arial"/>
          <w:sz w:val="22"/>
          <w:szCs w:val="22"/>
        </w:rPr>
      </w:pPr>
    </w:p>
    <w:p w14:paraId="3C640DB3" w14:textId="5C6B79EB" w:rsidR="006A2B43" w:rsidRPr="00F80351" w:rsidRDefault="003B48EB" w:rsidP="00F80351">
      <w:pPr>
        <w:pStyle w:val="Body"/>
        <w:spacing w:after="0"/>
        <w:jc w:val="center"/>
        <w:rPr>
          <w:rFonts w:ascii="Arial" w:hAnsi="Arial" w:cs="Arial"/>
          <w:sz w:val="22"/>
          <w:szCs w:val="22"/>
        </w:rPr>
      </w:pPr>
      <w:r>
        <w:rPr>
          <w:rFonts w:ascii="Arial" w:hAnsi="Arial" w:cs="Arial"/>
          <w:noProof/>
          <w:sz w:val="22"/>
          <w:szCs w:val="22"/>
        </w:rPr>
        <w:drawing>
          <wp:inline distT="0" distB="0" distL="0" distR="0" wp14:anchorId="3BC39213" wp14:editId="07B25305">
            <wp:extent cx="3209925" cy="2169994"/>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7410" cy="2208856"/>
                    </a:xfrm>
                    <a:prstGeom prst="rect">
                      <a:avLst/>
                    </a:prstGeom>
                    <a:noFill/>
                  </pic:spPr>
                </pic:pic>
              </a:graphicData>
            </a:graphic>
          </wp:inline>
        </w:drawing>
      </w:r>
    </w:p>
    <w:p w14:paraId="214B0FC2" w14:textId="2FD97874" w:rsidR="006A2B43" w:rsidRPr="00F80351" w:rsidRDefault="006A2B43" w:rsidP="003B48EB">
      <w:pPr>
        <w:pStyle w:val="Body"/>
        <w:spacing w:after="0"/>
        <w:jc w:val="center"/>
        <w:rPr>
          <w:rFonts w:ascii="Arial" w:hAnsi="Arial" w:cs="Arial"/>
          <w:sz w:val="22"/>
          <w:szCs w:val="22"/>
        </w:rPr>
      </w:pPr>
    </w:p>
    <w:p w14:paraId="1AFF1DDD" w14:textId="605FAC07" w:rsidR="008B4C7C" w:rsidRDefault="00D06804" w:rsidP="00703E09">
      <w:pPr>
        <w:pStyle w:val="Body"/>
        <w:spacing w:after="0"/>
        <w:rPr>
          <w:rFonts w:ascii="Arial" w:hAnsi="Arial" w:cs="Arial"/>
          <w:sz w:val="22"/>
          <w:szCs w:val="22"/>
        </w:rPr>
      </w:pPr>
      <w:r w:rsidRPr="00F80351">
        <w:rPr>
          <w:rFonts w:ascii="Arial" w:hAnsi="Arial" w:cs="Arial"/>
          <w:sz w:val="22"/>
          <w:szCs w:val="22"/>
        </w:rPr>
        <w:tab/>
      </w:r>
      <w:r w:rsidRPr="00F80351">
        <w:rPr>
          <w:rFonts w:ascii="Arial" w:hAnsi="Arial" w:cs="Arial"/>
          <w:sz w:val="22"/>
          <w:szCs w:val="22"/>
        </w:rPr>
        <w:tab/>
      </w:r>
      <w:r w:rsidR="00511D3B">
        <w:rPr>
          <w:rFonts w:ascii="Arial" w:hAnsi="Arial" w:cs="Arial"/>
          <w:sz w:val="22"/>
          <w:szCs w:val="22"/>
        </w:rPr>
        <w:t xml:space="preserve">Fig </w:t>
      </w:r>
      <w:proofErr w:type="gramStart"/>
      <w:r w:rsidR="00511D3B">
        <w:rPr>
          <w:rFonts w:ascii="Arial" w:hAnsi="Arial" w:cs="Arial"/>
          <w:sz w:val="22"/>
          <w:szCs w:val="22"/>
        </w:rPr>
        <w:t>1.</w:t>
      </w:r>
      <w:r w:rsidR="003B48EB" w:rsidRPr="003B48EB">
        <w:rPr>
          <w:rFonts w:ascii="Arial" w:hAnsi="Arial" w:cs="Arial"/>
          <w:sz w:val="22"/>
          <w:szCs w:val="22"/>
        </w:rPr>
        <w:t>Initial</w:t>
      </w:r>
      <w:proofErr w:type="gramEnd"/>
      <w:r w:rsidR="003B48EB" w:rsidRPr="003B48EB">
        <w:rPr>
          <w:rFonts w:ascii="Arial" w:hAnsi="Arial" w:cs="Arial"/>
          <w:sz w:val="22"/>
          <w:szCs w:val="22"/>
        </w:rPr>
        <w:t xml:space="preserve"> clinical appearance upon instillation of fluorescein</w:t>
      </w:r>
    </w:p>
    <w:p w14:paraId="1C6E131E" w14:textId="0E5D1583" w:rsidR="003B48EB" w:rsidRPr="00F80351" w:rsidRDefault="003B48EB" w:rsidP="00703E09">
      <w:pPr>
        <w:pStyle w:val="Body"/>
        <w:spacing w:after="0"/>
        <w:rPr>
          <w:rFonts w:ascii="Arial" w:hAnsi="Arial" w:cs="Arial"/>
          <w:sz w:val="22"/>
          <w:szCs w:val="22"/>
        </w:rPr>
      </w:pPr>
    </w:p>
    <w:p w14:paraId="63B78AD7" w14:textId="0EF4DE0C" w:rsidR="008B4C7C" w:rsidRPr="00F80351" w:rsidRDefault="0063065B" w:rsidP="008B4C7C">
      <w:pPr>
        <w:pStyle w:val="Body"/>
        <w:spacing w:after="0"/>
        <w:jc w:val="left"/>
        <w:rPr>
          <w:rFonts w:ascii="Arial" w:hAnsi="Arial" w:cs="Arial"/>
          <w:sz w:val="22"/>
          <w:szCs w:val="22"/>
        </w:rPr>
      </w:pPr>
      <w:r>
        <w:rPr>
          <w:rFonts w:ascii="Arial" w:hAnsi="Arial" w:cs="Arial"/>
          <w:noProof/>
          <w:sz w:val="22"/>
          <w:szCs w:val="22"/>
        </w:rPr>
        <w:drawing>
          <wp:inline distT="0" distB="0" distL="0" distR="0" wp14:anchorId="62F72143" wp14:editId="50AA8CA0">
            <wp:extent cx="3785412" cy="2074460"/>
            <wp:effectExtent l="0" t="0" r="5715"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7800" cy="2185371"/>
                    </a:xfrm>
                    <a:prstGeom prst="rect">
                      <a:avLst/>
                    </a:prstGeom>
                    <a:noFill/>
                  </pic:spPr>
                </pic:pic>
              </a:graphicData>
            </a:graphic>
          </wp:inline>
        </w:drawing>
      </w:r>
    </w:p>
    <w:p w14:paraId="5D872FAE" w14:textId="54727C04" w:rsidR="000F0C19" w:rsidRPr="00F80351" w:rsidRDefault="00511D3B" w:rsidP="008B4C7C">
      <w:pPr>
        <w:pStyle w:val="Body"/>
        <w:spacing w:after="0"/>
        <w:jc w:val="left"/>
        <w:rPr>
          <w:rFonts w:ascii="Arial" w:hAnsi="Arial" w:cs="Arial"/>
          <w:sz w:val="22"/>
          <w:szCs w:val="22"/>
        </w:rPr>
      </w:pPr>
      <w:r>
        <w:rPr>
          <w:rFonts w:ascii="Arial" w:hAnsi="Arial" w:cs="Arial"/>
          <w:sz w:val="22"/>
          <w:szCs w:val="22"/>
        </w:rPr>
        <w:t xml:space="preserve">Fig 2. </w:t>
      </w:r>
      <w:r w:rsidR="003B48EB" w:rsidRPr="003B48EB">
        <w:rPr>
          <w:rFonts w:ascii="Arial" w:hAnsi="Arial" w:cs="Arial"/>
          <w:sz w:val="22"/>
          <w:szCs w:val="22"/>
        </w:rPr>
        <w:t>Clinical appearance after 2 months of treatment</w:t>
      </w:r>
    </w:p>
    <w:p w14:paraId="211AB21E" w14:textId="77777777" w:rsidR="003B48EB" w:rsidRDefault="003B48EB" w:rsidP="008B4C7C">
      <w:pPr>
        <w:pStyle w:val="Body"/>
        <w:spacing w:after="0"/>
        <w:jc w:val="left"/>
        <w:rPr>
          <w:rFonts w:ascii="Arial" w:hAnsi="Arial" w:cs="Arial"/>
          <w:b/>
          <w:bCs/>
          <w:sz w:val="22"/>
          <w:szCs w:val="22"/>
        </w:rPr>
      </w:pPr>
    </w:p>
    <w:p w14:paraId="56A18D38" w14:textId="539548E7" w:rsidR="000F0C19" w:rsidRDefault="00570D0D" w:rsidP="008B4C7C">
      <w:pPr>
        <w:pStyle w:val="Body"/>
        <w:spacing w:after="0"/>
        <w:jc w:val="left"/>
        <w:rPr>
          <w:rFonts w:ascii="Arial" w:hAnsi="Arial" w:cs="Arial"/>
          <w:b/>
          <w:bCs/>
          <w:sz w:val="22"/>
          <w:szCs w:val="22"/>
        </w:rPr>
      </w:pPr>
      <w:r w:rsidRPr="00570D0D">
        <w:rPr>
          <w:rFonts w:ascii="Arial" w:hAnsi="Arial" w:cs="Arial"/>
          <w:b/>
          <w:bCs/>
          <w:sz w:val="22"/>
          <w:szCs w:val="22"/>
        </w:rPr>
        <w:t>3</w:t>
      </w:r>
      <w:r w:rsidR="000F0C19" w:rsidRPr="00570D0D">
        <w:rPr>
          <w:rFonts w:ascii="Arial" w:hAnsi="Arial" w:cs="Arial"/>
          <w:b/>
          <w:bCs/>
          <w:sz w:val="22"/>
          <w:szCs w:val="22"/>
        </w:rPr>
        <w:t>.DISCUSSION</w:t>
      </w:r>
      <w:r w:rsidRPr="00570D0D">
        <w:rPr>
          <w:rFonts w:ascii="Arial" w:hAnsi="Arial" w:cs="Arial"/>
          <w:b/>
          <w:bCs/>
          <w:sz w:val="22"/>
          <w:szCs w:val="22"/>
        </w:rPr>
        <w:t>:</w:t>
      </w:r>
    </w:p>
    <w:p w14:paraId="56C7BF93" w14:textId="77777777" w:rsidR="00570D0D" w:rsidRPr="00570D0D" w:rsidRDefault="00570D0D" w:rsidP="00570D0D">
      <w:pPr>
        <w:pStyle w:val="Body"/>
        <w:spacing w:after="0"/>
        <w:jc w:val="left"/>
        <w:rPr>
          <w:rFonts w:ascii="Arial" w:hAnsi="Arial" w:cs="Arial"/>
          <w:b/>
          <w:bCs/>
          <w:sz w:val="22"/>
          <w:szCs w:val="22"/>
        </w:rPr>
      </w:pPr>
    </w:p>
    <w:p w14:paraId="1CC3D1C6" w14:textId="4B69C71C" w:rsidR="00D60B50" w:rsidRPr="00F80351" w:rsidRDefault="00AD0436" w:rsidP="003F6A60">
      <w:pPr>
        <w:pStyle w:val="Body"/>
        <w:rPr>
          <w:rFonts w:ascii="Arial" w:hAnsi="Arial" w:cs="Arial"/>
          <w:sz w:val="22"/>
          <w:szCs w:val="22"/>
        </w:rPr>
      </w:pPr>
      <w:r w:rsidRPr="00AD0436">
        <w:rPr>
          <w:rFonts w:ascii="Arial" w:hAnsi="Arial" w:cs="Arial"/>
          <w:sz w:val="22"/>
          <w:szCs w:val="22"/>
        </w:rPr>
        <w:t>Neurotrophic keratopathy is a rare but potentially severe corneal disease characterized by impaired corneal healing resulting from trigeminal nerve dysfunction (1,2). The loss of corneal sensory innervation leads to decreased blink reflex, reduced tear secretion, and metabolic alterations within the corneal epithelium (2,7). These changes contribute to epithelial breakdown and delayed wound healing.</w:t>
      </w:r>
      <w:r>
        <w:rPr>
          <w:rFonts w:ascii="Arial" w:hAnsi="Arial" w:cs="Arial"/>
          <w:sz w:val="22"/>
          <w:szCs w:val="22"/>
        </w:rPr>
        <w:t xml:space="preserve"> </w:t>
      </w:r>
      <w:r w:rsidRPr="00AD0436">
        <w:rPr>
          <w:rFonts w:ascii="Arial" w:hAnsi="Arial" w:cs="Arial"/>
          <w:sz w:val="22"/>
          <w:szCs w:val="22"/>
        </w:rPr>
        <w:t xml:space="preserve">In the present case, the neurotrophic ulcer developed several months after thermocoagulation of the </w:t>
      </w:r>
      <w:proofErr w:type="spellStart"/>
      <w:r w:rsidRPr="00AD0436">
        <w:rPr>
          <w:rFonts w:ascii="Arial" w:hAnsi="Arial" w:cs="Arial"/>
          <w:sz w:val="22"/>
          <w:szCs w:val="22"/>
        </w:rPr>
        <w:t>Gasserian</w:t>
      </w:r>
      <w:proofErr w:type="spellEnd"/>
      <w:r w:rsidRPr="00AD0436">
        <w:rPr>
          <w:rFonts w:ascii="Arial" w:hAnsi="Arial" w:cs="Arial"/>
          <w:sz w:val="22"/>
          <w:szCs w:val="22"/>
        </w:rPr>
        <w:t xml:space="preserve"> ganglion. Although neurotrophic keratopathy typically occurs shortly after trigeminal nerve injury, delayed onset has been reported in the literature (2,6,8</w:t>
      </w:r>
      <w:r w:rsidR="002323D3">
        <w:rPr>
          <w:rFonts w:ascii="Arial" w:hAnsi="Arial" w:cs="Arial"/>
          <w:sz w:val="22"/>
          <w:szCs w:val="22"/>
        </w:rPr>
        <w:t>,13</w:t>
      </w:r>
      <w:r w:rsidRPr="00AD0436">
        <w:rPr>
          <w:rFonts w:ascii="Arial" w:hAnsi="Arial" w:cs="Arial"/>
          <w:sz w:val="22"/>
          <w:szCs w:val="22"/>
        </w:rPr>
        <w:t>). This delay may be explained by progressive degeneration or incomplete regeneration of corneal nerve fibers.</w:t>
      </w:r>
      <w:r>
        <w:rPr>
          <w:rFonts w:ascii="Arial" w:hAnsi="Arial" w:cs="Arial"/>
          <w:sz w:val="22"/>
          <w:szCs w:val="22"/>
        </w:rPr>
        <w:t xml:space="preserve"> </w:t>
      </w:r>
      <w:r w:rsidRPr="00AD0436">
        <w:rPr>
          <w:rFonts w:ascii="Arial" w:hAnsi="Arial" w:cs="Arial"/>
          <w:sz w:val="22"/>
          <w:szCs w:val="22"/>
        </w:rPr>
        <w:t xml:space="preserve">The Mackie classification remains widely used to describe the clinical stages of </w:t>
      </w:r>
      <w:r w:rsidRPr="00AD0436">
        <w:rPr>
          <w:rFonts w:ascii="Arial" w:hAnsi="Arial" w:cs="Arial"/>
          <w:sz w:val="22"/>
          <w:szCs w:val="22"/>
        </w:rPr>
        <w:lastRenderedPageBreak/>
        <w:t>neurotrophic</w:t>
      </w:r>
      <w:r>
        <w:rPr>
          <w:rFonts w:ascii="Arial" w:hAnsi="Arial" w:cs="Arial"/>
          <w:sz w:val="22"/>
          <w:szCs w:val="22"/>
        </w:rPr>
        <w:t xml:space="preserve"> </w:t>
      </w:r>
      <w:r w:rsidRPr="00AD0436">
        <w:rPr>
          <w:rFonts w:ascii="Arial" w:hAnsi="Arial" w:cs="Arial"/>
          <w:sz w:val="22"/>
          <w:szCs w:val="22"/>
        </w:rPr>
        <w:t>keratitis (3). Our patient presented directly with stage 3 disease, emphasizing the importance of early screening and follow-up in patients undergoing trigeminal nerve procedures. Diagnosis is primarily clinical and relies on a combination of findings including persistent epithelial defects, reduced or absent corneal sensitivity, and a relevant medical history (1,2). Corneal sensitivity testing is essential and should be systematically performed.</w:t>
      </w:r>
      <w:r>
        <w:rPr>
          <w:rFonts w:ascii="Arial" w:hAnsi="Arial" w:cs="Arial"/>
          <w:sz w:val="22"/>
          <w:szCs w:val="22"/>
        </w:rPr>
        <w:t xml:space="preserve"> </w:t>
      </w:r>
      <w:r w:rsidRPr="00AD0436">
        <w:rPr>
          <w:rFonts w:ascii="Arial" w:hAnsi="Arial" w:cs="Arial"/>
          <w:sz w:val="22"/>
          <w:szCs w:val="22"/>
        </w:rPr>
        <w:t xml:space="preserve">Neurotrophic keratopathy remains underdiagnosed, particularly in patients with neurological conditions. The absence of pain often leads to delayed consultation, as observed in our patient, and may contribute to the advanced stage at diagnosis. From a pathophysiological perspective, the trigeminal nerve not only provides sensory input but also releases </w:t>
      </w:r>
      <w:proofErr w:type="spellStart"/>
      <w:r w:rsidRPr="00AD0436">
        <w:rPr>
          <w:rFonts w:ascii="Arial" w:hAnsi="Arial" w:cs="Arial"/>
          <w:sz w:val="22"/>
          <w:szCs w:val="22"/>
        </w:rPr>
        <w:t>neuromediators</w:t>
      </w:r>
      <w:proofErr w:type="spellEnd"/>
      <w:r w:rsidRPr="00AD0436">
        <w:rPr>
          <w:rFonts w:ascii="Arial" w:hAnsi="Arial" w:cs="Arial"/>
          <w:sz w:val="22"/>
          <w:szCs w:val="22"/>
        </w:rPr>
        <w:t xml:space="preserve"> such as substance P and calcitonin gene-related peptide, which are essential for epithelial cell proliferation and migration. Loss of these trophic factors results in impaired epithelial turnover and delayed wound healing (2,7,8).</w:t>
      </w:r>
      <w:r>
        <w:rPr>
          <w:rFonts w:ascii="Arial" w:hAnsi="Arial" w:cs="Arial"/>
          <w:sz w:val="22"/>
          <w:szCs w:val="22"/>
        </w:rPr>
        <w:t xml:space="preserve"> </w:t>
      </w:r>
      <w:r w:rsidRPr="00AD0436">
        <w:rPr>
          <w:rFonts w:ascii="Arial" w:hAnsi="Arial" w:cs="Arial"/>
          <w:sz w:val="22"/>
          <w:szCs w:val="22"/>
        </w:rPr>
        <w:t>Management aims to promote epithelial healing and prevent complications (3,4). First-line treatment includes lubrication, therapeutic contact lenses, and autologous serum eye drops (4). Autologous serum provides essential growth factors that enhance epithelial regeneration and improve ocular surface stability (4,6). In more severe cases, additional interventions such as tarsorrhaphy, amniotic membrane transplantation, or conjunctival flaps may be required (3,4).</w:t>
      </w:r>
      <w:r>
        <w:rPr>
          <w:rFonts w:ascii="Arial" w:hAnsi="Arial" w:cs="Arial"/>
          <w:sz w:val="22"/>
          <w:szCs w:val="22"/>
        </w:rPr>
        <w:t xml:space="preserve"> </w:t>
      </w:r>
      <w:r w:rsidRPr="00AD0436">
        <w:rPr>
          <w:rFonts w:ascii="Arial" w:hAnsi="Arial" w:cs="Arial"/>
          <w:sz w:val="22"/>
          <w:szCs w:val="22"/>
        </w:rPr>
        <w:t>In recent years, recombinant human nerve growth factor (</w:t>
      </w:r>
      <w:proofErr w:type="spellStart"/>
      <w:r w:rsidRPr="00AD0436">
        <w:rPr>
          <w:rFonts w:ascii="Arial" w:hAnsi="Arial" w:cs="Arial"/>
          <w:sz w:val="22"/>
          <w:szCs w:val="22"/>
        </w:rPr>
        <w:t>cenegermin</w:t>
      </w:r>
      <w:proofErr w:type="spellEnd"/>
      <w:r w:rsidRPr="00AD0436">
        <w:rPr>
          <w:rFonts w:ascii="Arial" w:hAnsi="Arial" w:cs="Arial"/>
          <w:sz w:val="22"/>
          <w:szCs w:val="22"/>
        </w:rPr>
        <w:t>) has emerged as a major therapeutic breakthrough, demonstrating significant efficacy in promoting corneal healing</w:t>
      </w:r>
      <w:r w:rsidR="0091138C">
        <w:rPr>
          <w:rFonts w:ascii="Arial" w:hAnsi="Arial" w:cs="Arial"/>
          <w:sz w:val="22"/>
          <w:szCs w:val="22"/>
        </w:rPr>
        <w:t xml:space="preserve"> </w:t>
      </w:r>
      <w:r w:rsidR="0091138C" w:rsidRPr="0091138C">
        <w:rPr>
          <w:rFonts w:ascii="Arial" w:hAnsi="Arial" w:cs="Arial"/>
          <w:sz w:val="22"/>
          <w:szCs w:val="22"/>
        </w:rPr>
        <w:t>(4,10,11,12)</w:t>
      </w:r>
      <w:r w:rsidR="0091138C">
        <w:rPr>
          <w:rFonts w:ascii="Arial" w:hAnsi="Arial" w:cs="Arial"/>
          <w:sz w:val="22"/>
          <w:szCs w:val="22"/>
        </w:rPr>
        <w:t xml:space="preserve"> </w:t>
      </w:r>
      <w:r w:rsidRPr="00AD0436">
        <w:rPr>
          <w:rFonts w:ascii="Arial" w:hAnsi="Arial" w:cs="Arial"/>
          <w:sz w:val="22"/>
          <w:szCs w:val="22"/>
        </w:rPr>
        <w:t>and improving corneal sensitivity (5,8). This treatment directly targets the underlying pathophysiology of NK by restoring corneal innervation. However, its accessibility remains limited in many settings.</w:t>
      </w:r>
      <w:r>
        <w:rPr>
          <w:rFonts w:ascii="Arial" w:hAnsi="Arial" w:cs="Arial"/>
          <w:sz w:val="22"/>
          <w:szCs w:val="22"/>
        </w:rPr>
        <w:t xml:space="preserve"> </w:t>
      </w:r>
      <w:r w:rsidRPr="00AD0436">
        <w:rPr>
          <w:rFonts w:ascii="Arial" w:hAnsi="Arial" w:cs="Arial"/>
          <w:sz w:val="22"/>
          <w:szCs w:val="22"/>
        </w:rPr>
        <w:t>From a clinical perspective, prevention remains essential. Patients undergoing trigeminal nerve procedures should benefit from regular ophthalmologic follow-up, including corneal sensitivity assessment. Early detection may prevent progression to advanced stages (6,8</w:t>
      </w:r>
      <w:r w:rsidR="0091138C">
        <w:rPr>
          <w:rFonts w:ascii="Arial" w:hAnsi="Arial" w:cs="Arial"/>
          <w:sz w:val="22"/>
          <w:szCs w:val="22"/>
        </w:rPr>
        <w:t>,12,13</w:t>
      </w:r>
      <w:r w:rsidRPr="00AD0436">
        <w:rPr>
          <w:rFonts w:ascii="Arial" w:hAnsi="Arial" w:cs="Arial"/>
          <w:sz w:val="22"/>
          <w:szCs w:val="22"/>
        </w:rPr>
        <w:t>). Furthermore, patient education regarding ocular symptoms and the importance of early consultation may also contribute to improved outcomes.</w:t>
      </w:r>
      <w:r>
        <w:rPr>
          <w:rFonts w:ascii="Arial" w:hAnsi="Arial" w:cs="Arial"/>
          <w:sz w:val="22"/>
          <w:szCs w:val="22"/>
        </w:rPr>
        <w:t xml:space="preserve"> </w:t>
      </w:r>
      <w:r w:rsidRPr="00AD0436">
        <w:rPr>
          <w:rFonts w:ascii="Arial" w:hAnsi="Arial" w:cs="Arial"/>
          <w:sz w:val="22"/>
          <w:szCs w:val="22"/>
        </w:rPr>
        <w:t>Finally, this case highlights the importance of multidisciplinary management involving ophthalmologists, neurologists, and neurosurgeons. Such collaboration may improve early detection and optimize therapeutic strategies, particularly in patients undergoing trigeminal nerve interventions.</w:t>
      </w:r>
      <w:r w:rsidR="003F6A60">
        <w:rPr>
          <w:rFonts w:ascii="Arial" w:hAnsi="Arial" w:cs="Arial"/>
          <w:sz w:val="22"/>
          <w:szCs w:val="22"/>
        </w:rPr>
        <w:t xml:space="preserve"> </w:t>
      </w:r>
      <w:r w:rsidR="003F6A60" w:rsidRPr="003F6A60">
        <w:rPr>
          <w:rFonts w:ascii="Arial" w:hAnsi="Arial" w:cs="Arial"/>
          <w:sz w:val="22"/>
          <w:szCs w:val="22"/>
        </w:rPr>
        <w:t>Another important aspect of neurotrophic keratopathy is the difficulty in early diagnosis, particularly in patients with minimal symptoms. Because pain is often absent, patients may delay seeking medical attention until advanced stages are reached. This highlights the need for systematic screening in high-risk populations, especially those with a history of trigeminal nerve injury or neurosurgical procedures.</w:t>
      </w:r>
      <w:r w:rsidR="003F6A60">
        <w:rPr>
          <w:rFonts w:ascii="Arial" w:hAnsi="Arial" w:cs="Arial"/>
          <w:sz w:val="22"/>
          <w:szCs w:val="22"/>
        </w:rPr>
        <w:t xml:space="preserve"> </w:t>
      </w:r>
      <w:r w:rsidR="003F6A60" w:rsidRPr="003F6A60">
        <w:rPr>
          <w:rFonts w:ascii="Arial" w:hAnsi="Arial" w:cs="Arial"/>
          <w:sz w:val="22"/>
          <w:szCs w:val="22"/>
        </w:rPr>
        <w:t>In addition, recent studies have emphasized the role of in vivo confocal microscopy as a valuable diagnostic tool for assessing corneal nerve density and morphology. This technique allows for early detection of subclinical nerve damage and may help guide therapeutic decisions in patients with suspected neurotrophic keratitis (9,12,13).</w:t>
      </w:r>
      <w:r w:rsidR="003F6A60">
        <w:rPr>
          <w:rFonts w:ascii="Arial" w:hAnsi="Arial" w:cs="Arial"/>
          <w:sz w:val="22"/>
          <w:szCs w:val="22"/>
        </w:rPr>
        <w:t xml:space="preserve"> </w:t>
      </w:r>
      <w:r w:rsidR="003F6A60" w:rsidRPr="003F6A60">
        <w:rPr>
          <w:rFonts w:ascii="Arial" w:hAnsi="Arial" w:cs="Arial"/>
          <w:sz w:val="22"/>
          <w:szCs w:val="22"/>
        </w:rPr>
        <w:t>Furthermore, the management of neurotrophic keratitis remains challenging due to the chronic nature of the disease and the high risk of recurrence. Even after complete epithelial healing, patients remain at risk of relapse, particularly if the underlying cause persists. Long-term follow-up is therefore essential to ensure stability of the ocular surface and to prevent complications.</w:t>
      </w:r>
      <w:r w:rsidR="003F6A60">
        <w:rPr>
          <w:rFonts w:ascii="Arial" w:hAnsi="Arial" w:cs="Arial"/>
          <w:sz w:val="22"/>
          <w:szCs w:val="22"/>
        </w:rPr>
        <w:t xml:space="preserve"> </w:t>
      </w:r>
      <w:r w:rsidR="003F6A60" w:rsidRPr="003F6A60">
        <w:rPr>
          <w:rFonts w:ascii="Arial" w:hAnsi="Arial" w:cs="Arial"/>
          <w:sz w:val="22"/>
          <w:szCs w:val="22"/>
        </w:rPr>
        <w:t>Another emerging concept is the importance of individualized treatment strategies. The choice of therapy should be tailored according to disease severity, underlying etiology, and patient-specific factors. While conservative treatment remains effective in many cases, advanced therapies such as biological agents or surgical interventions may be required in refractory cases.</w:t>
      </w:r>
      <w:r w:rsidR="003F6A60">
        <w:rPr>
          <w:rFonts w:ascii="Arial" w:hAnsi="Arial" w:cs="Arial"/>
          <w:sz w:val="22"/>
          <w:szCs w:val="22"/>
        </w:rPr>
        <w:t xml:space="preserve"> </w:t>
      </w:r>
      <w:r w:rsidR="003F6A60" w:rsidRPr="003F6A60">
        <w:rPr>
          <w:rFonts w:ascii="Arial" w:hAnsi="Arial" w:cs="Arial"/>
          <w:sz w:val="22"/>
          <w:szCs w:val="22"/>
        </w:rPr>
        <w:t>Overall, the management of neurotrophic keratitis requires a comprehensive and multidisciplinary approach, combining early diagnosis, appropriate medical treatment, and long-term monitoring to achieve optimal visual outcomes.</w:t>
      </w:r>
    </w:p>
    <w:p w14:paraId="6F34E4F8" w14:textId="0C01EF11" w:rsidR="00D60B50" w:rsidRPr="00570D0D" w:rsidRDefault="00570D0D" w:rsidP="00570D0D">
      <w:pPr>
        <w:pStyle w:val="Body"/>
        <w:jc w:val="left"/>
        <w:rPr>
          <w:rFonts w:ascii="Arial" w:hAnsi="Arial" w:cs="Arial"/>
          <w:b/>
          <w:bCs/>
          <w:sz w:val="22"/>
          <w:szCs w:val="22"/>
        </w:rPr>
      </w:pPr>
      <w:r w:rsidRPr="00570D0D">
        <w:rPr>
          <w:rFonts w:ascii="Arial" w:hAnsi="Arial" w:cs="Arial"/>
          <w:b/>
          <w:bCs/>
          <w:sz w:val="22"/>
          <w:szCs w:val="22"/>
        </w:rPr>
        <w:t>4</w:t>
      </w:r>
      <w:r w:rsidR="00D60B50" w:rsidRPr="00570D0D">
        <w:rPr>
          <w:rFonts w:ascii="Arial" w:hAnsi="Arial" w:cs="Arial"/>
          <w:b/>
          <w:bCs/>
          <w:sz w:val="22"/>
          <w:szCs w:val="22"/>
        </w:rPr>
        <w:t>. CONCLUSION</w:t>
      </w:r>
      <w:r w:rsidRPr="00570D0D">
        <w:rPr>
          <w:rFonts w:ascii="Arial" w:hAnsi="Arial" w:cs="Arial"/>
          <w:b/>
          <w:bCs/>
          <w:sz w:val="22"/>
          <w:szCs w:val="22"/>
        </w:rPr>
        <w:t>:</w:t>
      </w:r>
    </w:p>
    <w:p w14:paraId="17E3F78A" w14:textId="77777777" w:rsidR="00A26C29" w:rsidRPr="00D802F6" w:rsidRDefault="00A26C29" w:rsidP="00A26C29">
      <w:pPr>
        <w:pStyle w:val="NormalWeb"/>
        <w:rPr>
          <w:rFonts w:ascii="Arial" w:hAnsi="Arial" w:cs="Arial"/>
          <w:sz w:val="22"/>
          <w:szCs w:val="22"/>
          <w:lang w:val="en-IN"/>
        </w:rPr>
      </w:pPr>
      <w:r w:rsidRPr="00D802F6">
        <w:rPr>
          <w:rFonts w:ascii="Arial" w:hAnsi="Arial" w:cs="Arial"/>
          <w:sz w:val="22"/>
          <w:szCs w:val="22"/>
          <w:lang w:val="en-IN"/>
        </w:rPr>
        <w:t>Neurotrophic keratitis is a potentially sight-threatening condition that may occur after trigeminal nerve procedures performed for trigeminal neuralgia. Because symptoms may be minimal or absent despite severe corneal damage, clinicians must maintain a high level of suspicion in patients presenting with painless corneal ulcers and a history of trigeminal nerve pathology.</w:t>
      </w:r>
    </w:p>
    <w:p w14:paraId="1F9C1A37" w14:textId="77777777" w:rsidR="00A26C29" w:rsidRPr="00D802F6" w:rsidRDefault="00A26C29" w:rsidP="00A26C29">
      <w:pPr>
        <w:pStyle w:val="NormalWeb"/>
        <w:rPr>
          <w:rFonts w:ascii="Arial" w:hAnsi="Arial" w:cs="Arial"/>
          <w:sz w:val="22"/>
          <w:szCs w:val="22"/>
          <w:lang w:val="en-IN"/>
        </w:rPr>
      </w:pPr>
      <w:r w:rsidRPr="00D802F6">
        <w:rPr>
          <w:rFonts w:ascii="Arial" w:hAnsi="Arial" w:cs="Arial"/>
          <w:sz w:val="22"/>
          <w:szCs w:val="22"/>
          <w:lang w:val="en-IN"/>
        </w:rPr>
        <w:t>Careful history-taking and systematic evaluation of corneal sensitivity are essential for establishing the diagnosis. Early and aggressive management focused on ocular surface protection and epithelial healing is crucial to prevent corneal melting, perforation, and irreversible visual loss.</w:t>
      </w:r>
    </w:p>
    <w:p w14:paraId="40A0EF16" w14:textId="77777777" w:rsidR="00F61EA8" w:rsidRPr="000F0C19" w:rsidRDefault="00F61EA8" w:rsidP="00441B6F">
      <w:pPr>
        <w:pStyle w:val="ConcHead"/>
        <w:spacing w:after="0"/>
        <w:jc w:val="both"/>
        <w:rPr>
          <w:rFonts w:ascii="Arial" w:hAnsi="Arial" w:cs="Arial"/>
          <w:b w:val="0"/>
        </w:rPr>
      </w:pPr>
    </w:p>
    <w:p w14:paraId="17218567" w14:textId="7AAE34F5" w:rsidR="008B4C7C" w:rsidRDefault="008B4C7C" w:rsidP="00441B6F">
      <w:pPr>
        <w:pStyle w:val="ConcHead"/>
        <w:spacing w:after="0"/>
        <w:jc w:val="both"/>
        <w:rPr>
          <w:rFonts w:ascii="Arial" w:hAnsi="Arial" w:cs="Arial"/>
        </w:rPr>
      </w:pPr>
    </w:p>
    <w:p w14:paraId="66415747" w14:textId="77777777" w:rsidR="00790ADA" w:rsidRPr="00FB3A86" w:rsidRDefault="00790ADA" w:rsidP="00441B6F">
      <w:pPr>
        <w:pStyle w:val="ConcHead"/>
        <w:spacing w:after="0"/>
        <w:jc w:val="both"/>
        <w:rPr>
          <w:rFonts w:ascii="Arial" w:hAnsi="Arial" w:cs="Arial"/>
        </w:rPr>
      </w:pPr>
    </w:p>
    <w:p w14:paraId="63783A56" w14:textId="77777777" w:rsidR="00790ADA" w:rsidRPr="00FB3A86" w:rsidRDefault="00790ADA" w:rsidP="00441B6F">
      <w:pPr>
        <w:pStyle w:val="Body"/>
        <w:spacing w:after="0"/>
        <w:rPr>
          <w:rFonts w:ascii="Arial" w:hAnsi="Arial" w:cs="Arial"/>
        </w:rPr>
      </w:pPr>
    </w:p>
    <w:p w14:paraId="44779BF6" w14:textId="39E1C76B" w:rsidR="00511D3B" w:rsidRDefault="00511D3B" w:rsidP="00441B6F">
      <w:pPr>
        <w:pStyle w:val="ReferHead"/>
        <w:spacing w:after="0"/>
        <w:jc w:val="both"/>
        <w:rPr>
          <w:rFonts w:ascii="Arial" w:hAnsi="Arial" w:cs="Arial"/>
        </w:rPr>
      </w:pPr>
    </w:p>
    <w:p w14:paraId="062D8A22" w14:textId="77777777" w:rsidR="00D802F6" w:rsidRPr="00D802F6" w:rsidRDefault="00D802F6" w:rsidP="00D802F6">
      <w:pPr>
        <w:rPr>
          <w:rFonts w:ascii="Times New Roman" w:eastAsia="Calibri" w:hAnsi="Times New Roman"/>
          <w:kern w:val="2"/>
          <w:sz w:val="22"/>
          <w:szCs w:val="22"/>
          <w:highlight w:val="yellow"/>
        </w:rPr>
      </w:pPr>
      <w:bookmarkStart w:id="0" w:name="_Hlk198031404"/>
      <w:r w:rsidRPr="00D802F6">
        <w:rPr>
          <w:rFonts w:ascii="Times New Roman" w:eastAsia="Calibri" w:hAnsi="Times New Roman"/>
          <w:kern w:val="2"/>
          <w:sz w:val="22"/>
          <w:szCs w:val="22"/>
          <w:highlight w:val="yellow"/>
        </w:rPr>
        <w:t>Disclaimer (Artificial intelligence)</w:t>
      </w:r>
    </w:p>
    <w:p w14:paraId="1C18E2F7" w14:textId="77777777" w:rsidR="00D802F6" w:rsidRPr="00D802F6" w:rsidRDefault="00D802F6" w:rsidP="00D802F6">
      <w:pPr>
        <w:rPr>
          <w:rFonts w:ascii="Times New Roman" w:eastAsia="Calibri" w:hAnsi="Times New Roman"/>
          <w:kern w:val="2"/>
          <w:sz w:val="22"/>
          <w:szCs w:val="22"/>
          <w:highlight w:val="yellow"/>
        </w:rPr>
      </w:pPr>
    </w:p>
    <w:p w14:paraId="01C7E272" w14:textId="77777777" w:rsidR="00D802F6" w:rsidRPr="00D802F6" w:rsidRDefault="00D802F6" w:rsidP="00D802F6">
      <w:pPr>
        <w:rPr>
          <w:rFonts w:ascii="Times New Roman" w:eastAsia="Calibri" w:hAnsi="Times New Roman"/>
          <w:kern w:val="2"/>
          <w:sz w:val="22"/>
          <w:szCs w:val="22"/>
          <w:highlight w:val="yellow"/>
        </w:rPr>
      </w:pPr>
      <w:r w:rsidRPr="00D802F6">
        <w:rPr>
          <w:rFonts w:ascii="Times New Roman" w:eastAsia="Calibri" w:hAnsi="Times New Roman"/>
          <w:kern w:val="2"/>
          <w:sz w:val="22"/>
          <w:szCs w:val="22"/>
          <w:highlight w:val="yellow"/>
        </w:rPr>
        <w:t>Author(s) hereby declare that NO generative AI technologies such as Large Language Models (</w:t>
      </w:r>
      <w:proofErr w:type="spellStart"/>
      <w:r w:rsidRPr="00D802F6">
        <w:rPr>
          <w:rFonts w:ascii="Times New Roman" w:eastAsia="Calibri" w:hAnsi="Times New Roman"/>
          <w:kern w:val="2"/>
          <w:sz w:val="22"/>
          <w:szCs w:val="22"/>
          <w:highlight w:val="yellow"/>
        </w:rPr>
        <w:t>ChatGPT</w:t>
      </w:r>
      <w:proofErr w:type="spellEnd"/>
      <w:r w:rsidRPr="00D802F6">
        <w:rPr>
          <w:rFonts w:ascii="Times New Roman" w:eastAsia="Calibri" w:hAnsi="Times New Roman"/>
          <w:kern w:val="2"/>
          <w:sz w:val="22"/>
          <w:szCs w:val="22"/>
          <w:highlight w:val="yellow"/>
        </w:rPr>
        <w:t xml:space="preserve">, COPILOT, etc.) and text-to-image generators have been used during the writing or editing of this manuscript. </w:t>
      </w:r>
    </w:p>
    <w:bookmarkEnd w:id="0"/>
    <w:p w14:paraId="25AC1FED" w14:textId="57518895" w:rsidR="0063065B" w:rsidRDefault="0063065B" w:rsidP="00441B6F">
      <w:pPr>
        <w:pStyle w:val="ReferHead"/>
        <w:spacing w:after="0"/>
        <w:jc w:val="both"/>
        <w:rPr>
          <w:rFonts w:ascii="Arial" w:hAnsi="Arial" w:cs="Arial"/>
        </w:rPr>
      </w:pPr>
    </w:p>
    <w:p w14:paraId="6DF1B2E3" w14:textId="6C68AAD8" w:rsidR="0063065B" w:rsidRDefault="0063065B" w:rsidP="00441B6F">
      <w:pPr>
        <w:pStyle w:val="ReferHead"/>
        <w:spacing w:after="0"/>
        <w:jc w:val="both"/>
        <w:rPr>
          <w:rFonts w:ascii="Arial" w:hAnsi="Arial" w:cs="Arial"/>
        </w:rPr>
      </w:pPr>
    </w:p>
    <w:p w14:paraId="066F0E64" w14:textId="6D87D7C9" w:rsidR="0063065B" w:rsidRDefault="0063065B" w:rsidP="00441B6F">
      <w:pPr>
        <w:pStyle w:val="ReferHead"/>
        <w:spacing w:after="0"/>
        <w:jc w:val="both"/>
        <w:rPr>
          <w:rFonts w:ascii="Arial" w:hAnsi="Arial" w:cs="Arial"/>
        </w:rPr>
      </w:pPr>
    </w:p>
    <w:p w14:paraId="0F6E2279" w14:textId="77777777" w:rsidR="0063065B" w:rsidRDefault="0063065B" w:rsidP="00441B6F">
      <w:pPr>
        <w:pStyle w:val="ReferHead"/>
        <w:spacing w:after="0"/>
        <w:jc w:val="both"/>
        <w:rPr>
          <w:rFonts w:ascii="Arial" w:hAnsi="Arial" w:cs="Arial"/>
        </w:rPr>
      </w:pPr>
    </w:p>
    <w:p w14:paraId="40417536" w14:textId="77777777" w:rsidR="00511D3B" w:rsidRDefault="00511D3B" w:rsidP="00441B6F">
      <w:pPr>
        <w:pStyle w:val="ReferHead"/>
        <w:spacing w:after="0"/>
        <w:jc w:val="both"/>
        <w:rPr>
          <w:rFonts w:ascii="Arial" w:hAnsi="Arial" w:cs="Arial"/>
        </w:rPr>
      </w:pPr>
    </w:p>
    <w:p w14:paraId="62B900DD" w14:textId="77777777" w:rsidR="00511D3B" w:rsidRDefault="00511D3B" w:rsidP="00441B6F">
      <w:pPr>
        <w:pStyle w:val="ReferHead"/>
        <w:spacing w:after="0"/>
        <w:jc w:val="both"/>
        <w:rPr>
          <w:rFonts w:ascii="Arial" w:hAnsi="Arial" w:cs="Arial"/>
        </w:rPr>
      </w:pPr>
    </w:p>
    <w:p w14:paraId="33B311A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7BA0A76" w14:textId="77777777" w:rsidR="00790ADA" w:rsidRPr="00FB3A86" w:rsidRDefault="00790ADA" w:rsidP="00441B6F">
      <w:pPr>
        <w:pStyle w:val="ReferHead"/>
        <w:spacing w:after="0"/>
        <w:jc w:val="both"/>
        <w:rPr>
          <w:rFonts w:ascii="Arial" w:hAnsi="Arial" w:cs="Arial"/>
        </w:rPr>
      </w:pPr>
    </w:p>
    <w:p w14:paraId="42DC53F7" w14:textId="5FA7ADFF" w:rsidR="00345795" w:rsidRPr="00345795" w:rsidRDefault="00345795" w:rsidP="00686A92">
      <w:pPr>
        <w:pStyle w:val="Body"/>
        <w:numPr>
          <w:ilvl w:val="0"/>
          <w:numId w:val="34"/>
        </w:numPr>
        <w:rPr>
          <w:rFonts w:ascii="Arial" w:hAnsi="Arial" w:cs="Arial"/>
        </w:rPr>
      </w:pPr>
      <w:proofErr w:type="spellStart"/>
      <w:r>
        <w:rPr>
          <w:rFonts w:ascii="Arial" w:hAnsi="Arial" w:cs="Arial"/>
          <w:sz w:val="18"/>
          <w:szCs w:val="18"/>
        </w:rPr>
        <w:t>Sacchetti</w:t>
      </w:r>
      <w:proofErr w:type="spellEnd"/>
      <w:r>
        <w:rPr>
          <w:rFonts w:ascii="Arial" w:hAnsi="Arial" w:cs="Arial"/>
          <w:sz w:val="18"/>
          <w:szCs w:val="18"/>
        </w:rPr>
        <w:t xml:space="preserve">, M., &amp; </w:t>
      </w:r>
      <w:proofErr w:type="spellStart"/>
      <w:r>
        <w:rPr>
          <w:rFonts w:ascii="Arial" w:hAnsi="Arial" w:cs="Arial"/>
          <w:sz w:val="18"/>
          <w:szCs w:val="18"/>
        </w:rPr>
        <w:t>Lambiase</w:t>
      </w:r>
      <w:proofErr w:type="spellEnd"/>
      <w:r>
        <w:rPr>
          <w:rFonts w:ascii="Arial" w:hAnsi="Arial" w:cs="Arial"/>
          <w:sz w:val="18"/>
          <w:szCs w:val="18"/>
        </w:rPr>
        <w:t xml:space="preserve">, A. (2014). Diagnosis and management of neurotrophic keratitis. Clinical Ophthalmology, 8, 571–579. </w:t>
      </w:r>
      <w:hyperlink r:id="rId16" w:history="1">
        <w:r w:rsidRPr="008D76D5">
          <w:rPr>
            <w:rStyle w:val="Hyperlink"/>
            <w:rFonts w:ascii="Arial" w:hAnsi="Arial" w:cs="Arial"/>
            <w:sz w:val="18"/>
            <w:szCs w:val="18"/>
          </w:rPr>
          <w:t>https://doi.org/10.2147/OPTH.S45921</w:t>
        </w:r>
      </w:hyperlink>
    </w:p>
    <w:p w14:paraId="4C596B8C" w14:textId="3FF4217F" w:rsidR="00345795" w:rsidRPr="00345795" w:rsidRDefault="00345795" w:rsidP="00686A92">
      <w:pPr>
        <w:pStyle w:val="Body"/>
        <w:numPr>
          <w:ilvl w:val="0"/>
          <w:numId w:val="34"/>
        </w:numPr>
        <w:rPr>
          <w:rFonts w:ascii="Arial" w:hAnsi="Arial" w:cs="Arial"/>
        </w:rPr>
      </w:pPr>
      <w:proofErr w:type="spellStart"/>
      <w:r>
        <w:rPr>
          <w:rFonts w:ascii="Arial" w:hAnsi="Arial" w:cs="Arial"/>
          <w:sz w:val="18"/>
          <w:szCs w:val="18"/>
        </w:rPr>
        <w:t>Dua</w:t>
      </w:r>
      <w:proofErr w:type="spellEnd"/>
      <w:r>
        <w:rPr>
          <w:rFonts w:ascii="Arial" w:hAnsi="Arial" w:cs="Arial"/>
          <w:sz w:val="18"/>
          <w:szCs w:val="18"/>
        </w:rPr>
        <w:t xml:space="preserve">, H. S., Said, D. G., Messmer, E. M., Rolando, M., Benitez-Del-Castillo, J. M., Hossain, P. N., </w:t>
      </w:r>
      <w:proofErr w:type="spellStart"/>
      <w:r>
        <w:rPr>
          <w:rFonts w:ascii="Arial" w:hAnsi="Arial" w:cs="Arial"/>
          <w:sz w:val="18"/>
          <w:szCs w:val="18"/>
        </w:rPr>
        <w:t>Shortt</w:t>
      </w:r>
      <w:proofErr w:type="spellEnd"/>
      <w:r>
        <w:rPr>
          <w:rFonts w:ascii="Arial" w:hAnsi="Arial" w:cs="Arial"/>
          <w:sz w:val="18"/>
          <w:szCs w:val="18"/>
        </w:rPr>
        <w:t xml:space="preserve">, A. J., </w:t>
      </w:r>
      <w:proofErr w:type="spellStart"/>
      <w:r>
        <w:rPr>
          <w:rFonts w:ascii="Arial" w:hAnsi="Arial" w:cs="Arial"/>
          <w:sz w:val="18"/>
          <w:szCs w:val="18"/>
        </w:rPr>
        <w:t>Geerling</w:t>
      </w:r>
      <w:proofErr w:type="spellEnd"/>
      <w:r>
        <w:rPr>
          <w:rFonts w:ascii="Arial" w:hAnsi="Arial" w:cs="Arial"/>
          <w:sz w:val="18"/>
          <w:szCs w:val="18"/>
        </w:rPr>
        <w:t xml:space="preserve">, G., Nubile, M., </w:t>
      </w:r>
      <w:proofErr w:type="spellStart"/>
      <w:r>
        <w:rPr>
          <w:rFonts w:ascii="Arial" w:hAnsi="Arial" w:cs="Arial"/>
          <w:sz w:val="18"/>
          <w:szCs w:val="18"/>
        </w:rPr>
        <w:t>Figueiredo</w:t>
      </w:r>
      <w:proofErr w:type="spellEnd"/>
      <w:r>
        <w:rPr>
          <w:rFonts w:ascii="Arial" w:hAnsi="Arial" w:cs="Arial"/>
          <w:sz w:val="18"/>
          <w:szCs w:val="18"/>
        </w:rPr>
        <w:t xml:space="preserve">, F. C., </w:t>
      </w:r>
      <w:proofErr w:type="spellStart"/>
      <w:r>
        <w:rPr>
          <w:rFonts w:ascii="Arial" w:hAnsi="Arial" w:cs="Arial"/>
          <w:sz w:val="18"/>
          <w:szCs w:val="18"/>
        </w:rPr>
        <w:t>Rauz</w:t>
      </w:r>
      <w:proofErr w:type="spellEnd"/>
      <w:r>
        <w:rPr>
          <w:rFonts w:ascii="Arial" w:hAnsi="Arial" w:cs="Arial"/>
          <w:sz w:val="18"/>
          <w:szCs w:val="18"/>
        </w:rPr>
        <w:t xml:space="preserve">, S., </w:t>
      </w:r>
      <w:proofErr w:type="spellStart"/>
      <w:r>
        <w:rPr>
          <w:rFonts w:ascii="Arial" w:hAnsi="Arial" w:cs="Arial"/>
          <w:sz w:val="18"/>
          <w:szCs w:val="18"/>
        </w:rPr>
        <w:t>Mastropasqua</w:t>
      </w:r>
      <w:proofErr w:type="spellEnd"/>
      <w:r>
        <w:rPr>
          <w:rFonts w:ascii="Arial" w:hAnsi="Arial" w:cs="Arial"/>
          <w:sz w:val="18"/>
          <w:szCs w:val="18"/>
        </w:rPr>
        <w:t xml:space="preserve">, L., Rama, P., &amp; Baudouin, C. (2018). Neurotrophic keratopathy. Progress in Retinal and Eye Research. </w:t>
      </w:r>
      <w:hyperlink r:id="rId17" w:history="1">
        <w:r w:rsidRPr="008D76D5">
          <w:rPr>
            <w:rStyle w:val="Hyperlink"/>
            <w:rFonts w:ascii="Arial" w:hAnsi="Arial" w:cs="Arial"/>
            <w:sz w:val="18"/>
            <w:szCs w:val="18"/>
          </w:rPr>
          <w:t>https://doi.org/10.1016/j.preteyeres.2018.04.003</w:t>
        </w:r>
      </w:hyperlink>
    </w:p>
    <w:p w14:paraId="65DD8CD2" w14:textId="7D4B49C1" w:rsidR="00D067AC" w:rsidRPr="0091138C" w:rsidRDefault="00D067AC" w:rsidP="00686A92">
      <w:pPr>
        <w:pStyle w:val="Body"/>
        <w:numPr>
          <w:ilvl w:val="0"/>
          <w:numId w:val="34"/>
        </w:numPr>
        <w:rPr>
          <w:rFonts w:ascii="Arial" w:hAnsi="Arial" w:cs="Arial"/>
        </w:rPr>
      </w:pPr>
      <w:proofErr w:type="spellStart"/>
      <w:r w:rsidRPr="00D067AC">
        <w:rPr>
          <w:rFonts w:ascii="Arial" w:hAnsi="Arial" w:cs="Arial"/>
        </w:rPr>
        <w:t>Mastropasqua</w:t>
      </w:r>
      <w:proofErr w:type="spellEnd"/>
      <w:r w:rsidRPr="00D067AC">
        <w:rPr>
          <w:rFonts w:ascii="Arial" w:hAnsi="Arial" w:cs="Arial"/>
        </w:rPr>
        <w:t xml:space="preserve"> L, Nubile M, et al. Therapeutic approaches. Eye. 2017.</w:t>
      </w:r>
    </w:p>
    <w:p w14:paraId="7A0D3C7B" w14:textId="01BC86E2" w:rsidR="00345795" w:rsidRPr="00345795" w:rsidRDefault="00345795" w:rsidP="00686A92">
      <w:pPr>
        <w:pStyle w:val="Body"/>
        <w:numPr>
          <w:ilvl w:val="0"/>
          <w:numId w:val="34"/>
        </w:numPr>
        <w:rPr>
          <w:rFonts w:ascii="Arial" w:hAnsi="Arial" w:cs="Arial"/>
        </w:rPr>
      </w:pPr>
      <w:proofErr w:type="spellStart"/>
      <w:r>
        <w:rPr>
          <w:rFonts w:ascii="Arial" w:hAnsi="Arial" w:cs="Arial"/>
          <w:sz w:val="18"/>
          <w:szCs w:val="18"/>
        </w:rPr>
        <w:t>Pflugfelder</w:t>
      </w:r>
      <w:proofErr w:type="spellEnd"/>
      <w:r>
        <w:rPr>
          <w:rFonts w:ascii="Arial" w:hAnsi="Arial" w:cs="Arial"/>
          <w:sz w:val="18"/>
          <w:szCs w:val="18"/>
        </w:rPr>
        <w:t xml:space="preserve">, S. C., Massaro-Giordano, M., Perez, V. L., </w:t>
      </w:r>
      <w:proofErr w:type="spellStart"/>
      <w:r>
        <w:rPr>
          <w:rFonts w:ascii="Arial" w:hAnsi="Arial" w:cs="Arial"/>
          <w:sz w:val="18"/>
          <w:szCs w:val="18"/>
        </w:rPr>
        <w:t>Hamrah</w:t>
      </w:r>
      <w:proofErr w:type="spellEnd"/>
      <w:r>
        <w:rPr>
          <w:rFonts w:ascii="Arial" w:hAnsi="Arial" w:cs="Arial"/>
          <w:sz w:val="18"/>
          <w:szCs w:val="18"/>
        </w:rPr>
        <w:t xml:space="preserve">, P., Deng, S. X., </w:t>
      </w:r>
      <w:proofErr w:type="spellStart"/>
      <w:r>
        <w:rPr>
          <w:rFonts w:ascii="Arial" w:hAnsi="Arial" w:cs="Arial"/>
          <w:sz w:val="18"/>
          <w:szCs w:val="18"/>
        </w:rPr>
        <w:t>Espandar</w:t>
      </w:r>
      <w:proofErr w:type="spellEnd"/>
      <w:r>
        <w:rPr>
          <w:rFonts w:ascii="Arial" w:hAnsi="Arial" w:cs="Arial"/>
          <w:sz w:val="18"/>
          <w:szCs w:val="18"/>
        </w:rPr>
        <w:t xml:space="preserve">, L., Foster, C. S., Affeldt, J., </w:t>
      </w:r>
      <w:proofErr w:type="spellStart"/>
      <w:r>
        <w:rPr>
          <w:rFonts w:ascii="Arial" w:hAnsi="Arial" w:cs="Arial"/>
          <w:sz w:val="18"/>
          <w:szCs w:val="18"/>
        </w:rPr>
        <w:t>Seedor</w:t>
      </w:r>
      <w:proofErr w:type="spellEnd"/>
      <w:r>
        <w:rPr>
          <w:rFonts w:ascii="Arial" w:hAnsi="Arial" w:cs="Arial"/>
          <w:sz w:val="18"/>
          <w:szCs w:val="18"/>
        </w:rPr>
        <w:t xml:space="preserve">, J. A., </w:t>
      </w:r>
      <w:proofErr w:type="spellStart"/>
      <w:r>
        <w:rPr>
          <w:rFonts w:ascii="Arial" w:hAnsi="Arial" w:cs="Arial"/>
          <w:sz w:val="18"/>
          <w:szCs w:val="18"/>
        </w:rPr>
        <w:t>Afshari</w:t>
      </w:r>
      <w:proofErr w:type="spellEnd"/>
      <w:r>
        <w:rPr>
          <w:rFonts w:ascii="Arial" w:hAnsi="Arial" w:cs="Arial"/>
          <w:sz w:val="18"/>
          <w:szCs w:val="18"/>
        </w:rPr>
        <w:t xml:space="preserve">, N. A., Chao, W., </w:t>
      </w:r>
      <w:proofErr w:type="spellStart"/>
      <w:r>
        <w:rPr>
          <w:rFonts w:ascii="Arial" w:hAnsi="Arial" w:cs="Arial"/>
          <w:sz w:val="18"/>
          <w:szCs w:val="18"/>
        </w:rPr>
        <w:t>Allegretti</w:t>
      </w:r>
      <w:proofErr w:type="spellEnd"/>
      <w:r>
        <w:rPr>
          <w:rFonts w:ascii="Arial" w:hAnsi="Arial" w:cs="Arial"/>
          <w:sz w:val="18"/>
          <w:szCs w:val="18"/>
        </w:rPr>
        <w:t xml:space="preserve">, M., </w:t>
      </w:r>
      <w:proofErr w:type="spellStart"/>
      <w:r>
        <w:rPr>
          <w:rFonts w:ascii="Arial" w:hAnsi="Arial" w:cs="Arial"/>
          <w:sz w:val="18"/>
          <w:szCs w:val="18"/>
        </w:rPr>
        <w:t>Mantelli</w:t>
      </w:r>
      <w:proofErr w:type="spellEnd"/>
      <w:r>
        <w:rPr>
          <w:rFonts w:ascii="Arial" w:hAnsi="Arial" w:cs="Arial"/>
          <w:sz w:val="18"/>
          <w:szCs w:val="18"/>
        </w:rPr>
        <w:t>, F., &amp; Dana, R. (2020). Topical recombinant human nerve growth factor (</w:t>
      </w:r>
      <w:proofErr w:type="spellStart"/>
      <w:r>
        <w:rPr>
          <w:rFonts w:ascii="Arial" w:hAnsi="Arial" w:cs="Arial"/>
          <w:sz w:val="18"/>
          <w:szCs w:val="18"/>
        </w:rPr>
        <w:t>Cenegermin</w:t>
      </w:r>
      <w:proofErr w:type="spellEnd"/>
      <w:r>
        <w:rPr>
          <w:rFonts w:ascii="Arial" w:hAnsi="Arial" w:cs="Arial"/>
          <w:sz w:val="18"/>
          <w:szCs w:val="18"/>
        </w:rPr>
        <w:t xml:space="preserve">) for neurotrophic keratopathy: A multicenter randomized vehicle-controlled pivotal trial. Ophthalmology. </w:t>
      </w:r>
      <w:hyperlink r:id="rId18" w:history="1">
        <w:r w:rsidRPr="008D76D5">
          <w:rPr>
            <w:rStyle w:val="Hyperlink"/>
            <w:rFonts w:ascii="Arial" w:hAnsi="Arial" w:cs="Arial"/>
            <w:sz w:val="18"/>
            <w:szCs w:val="18"/>
          </w:rPr>
          <w:t>https://doi.org/10.1016/j.ophtha.2019.08.020</w:t>
        </w:r>
      </w:hyperlink>
    </w:p>
    <w:p w14:paraId="1162C8B7" w14:textId="4094694F" w:rsidR="00345795" w:rsidRPr="00345795" w:rsidRDefault="00345795" w:rsidP="00686A92">
      <w:pPr>
        <w:pStyle w:val="Body"/>
        <w:numPr>
          <w:ilvl w:val="0"/>
          <w:numId w:val="34"/>
        </w:numPr>
        <w:rPr>
          <w:rFonts w:ascii="Arial" w:hAnsi="Arial" w:cs="Arial"/>
        </w:rPr>
      </w:pPr>
      <w:proofErr w:type="spellStart"/>
      <w:r>
        <w:rPr>
          <w:rFonts w:ascii="Arial" w:hAnsi="Arial" w:cs="Arial"/>
          <w:sz w:val="18"/>
          <w:szCs w:val="18"/>
        </w:rPr>
        <w:t>Bonini</w:t>
      </w:r>
      <w:proofErr w:type="spellEnd"/>
      <w:r>
        <w:rPr>
          <w:rFonts w:ascii="Arial" w:hAnsi="Arial" w:cs="Arial"/>
          <w:sz w:val="18"/>
          <w:szCs w:val="18"/>
        </w:rPr>
        <w:t xml:space="preserve">, S., </w:t>
      </w:r>
      <w:proofErr w:type="spellStart"/>
      <w:r>
        <w:rPr>
          <w:rFonts w:ascii="Arial" w:hAnsi="Arial" w:cs="Arial"/>
          <w:sz w:val="18"/>
          <w:szCs w:val="18"/>
        </w:rPr>
        <w:t>Lambiase</w:t>
      </w:r>
      <w:proofErr w:type="spellEnd"/>
      <w:r>
        <w:rPr>
          <w:rFonts w:ascii="Arial" w:hAnsi="Arial" w:cs="Arial"/>
          <w:sz w:val="18"/>
          <w:szCs w:val="18"/>
        </w:rPr>
        <w:t xml:space="preserve">, A., Rama, P., Messmer, E., </w:t>
      </w:r>
      <w:proofErr w:type="spellStart"/>
      <w:r>
        <w:rPr>
          <w:rFonts w:ascii="Arial" w:hAnsi="Arial" w:cs="Arial"/>
          <w:sz w:val="18"/>
          <w:szCs w:val="18"/>
        </w:rPr>
        <w:t>Aragona</w:t>
      </w:r>
      <w:proofErr w:type="spellEnd"/>
      <w:r>
        <w:rPr>
          <w:rFonts w:ascii="Arial" w:hAnsi="Arial" w:cs="Arial"/>
          <w:sz w:val="18"/>
          <w:szCs w:val="18"/>
        </w:rPr>
        <w:t xml:space="preserve">, P., </w:t>
      </w:r>
      <w:proofErr w:type="spellStart"/>
      <w:r>
        <w:rPr>
          <w:rFonts w:ascii="Arial" w:hAnsi="Arial" w:cs="Arial"/>
          <w:sz w:val="18"/>
          <w:szCs w:val="18"/>
        </w:rPr>
        <w:t>Geerling</w:t>
      </w:r>
      <w:proofErr w:type="spellEnd"/>
      <w:r>
        <w:rPr>
          <w:rFonts w:ascii="Arial" w:hAnsi="Arial" w:cs="Arial"/>
          <w:sz w:val="18"/>
          <w:szCs w:val="18"/>
        </w:rPr>
        <w:t xml:space="preserve">, G., </w:t>
      </w:r>
      <w:proofErr w:type="spellStart"/>
      <w:r>
        <w:rPr>
          <w:rFonts w:ascii="Arial" w:hAnsi="Arial" w:cs="Arial"/>
          <w:sz w:val="18"/>
          <w:szCs w:val="18"/>
        </w:rPr>
        <w:t>Mastropasqua</w:t>
      </w:r>
      <w:proofErr w:type="spellEnd"/>
      <w:r>
        <w:rPr>
          <w:rFonts w:ascii="Arial" w:hAnsi="Arial" w:cs="Arial"/>
          <w:sz w:val="18"/>
          <w:szCs w:val="18"/>
        </w:rPr>
        <w:t xml:space="preserve">, L., </w:t>
      </w:r>
      <w:proofErr w:type="spellStart"/>
      <w:r>
        <w:rPr>
          <w:rFonts w:ascii="Arial" w:hAnsi="Arial" w:cs="Arial"/>
          <w:sz w:val="18"/>
          <w:szCs w:val="18"/>
        </w:rPr>
        <w:t>Mencucci</w:t>
      </w:r>
      <w:proofErr w:type="spellEnd"/>
      <w:r>
        <w:rPr>
          <w:rFonts w:ascii="Arial" w:hAnsi="Arial" w:cs="Arial"/>
          <w:sz w:val="18"/>
          <w:szCs w:val="18"/>
        </w:rPr>
        <w:t xml:space="preserve">, R., Dart, J., Leonardi, A., Montero, J., Rolando, M., Reinhard, T., </w:t>
      </w:r>
      <w:proofErr w:type="spellStart"/>
      <w:r>
        <w:rPr>
          <w:rFonts w:ascii="Arial" w:hAnsi="Arial" w:cs="Arial"/>
          <w:sz w:val="18"/>
          <w:szCs w:val="18"/>
        </w:rPr>
        <w:t>Cursiefen</w:t>
      </w:r>
      <w:proofErr w:type="spellEnd"/>
      <w:r>
        <w:rPr>
          <w:rFonts w:ascii="Arial" w:hAnsi="Arial" w:cs="Arial"/>
          <w:sz w:val="18"/>
          <w:szCs w:val="18"/>
        </w:rPr>
        <w:t xml:space="preserve">, C., </w:t>
      </w:r>
      <w:proofErr w:type="spellStart"/>
      <w:r>
        <w:rPr>
          <w:rFonts w:ascii="Arial" w:hAnsi="Arial" w:cs="Arial"/>
          <w:sz w:val="18"/>
          <w:szCs w:val="18"/>
        </w:rPr>
        <w:t>Etxebarria</w:t>
      </w:r>
      <w:proofErr w:type="spellEnd"/>
      <w:r>
        <w:rPr>
          <w:rFonts w:ascii="Arial" w:hAnsi="Arial" w:cs="Arial"/>
          <w:sz w:val="18"/>
          <w:szCs w:val="18"/>
        </w:rPr>
        <w:t xml:space="preserve">, J., </w:t>
      </w:r>
      <w:proofErr w:type="spellStart"/>
      <w:r>
        <w:rPr>
          <w:rFonts w:ascii="Arial" w:hAnsi="Arial" w:cs="Arial"/>
          <w:sz w:val="18"/>
          <w:szCs w:val="18"/>
        </w:rPr>
        <w:t>Gabison</w:t>
      </w:r>
      <w:proofErr w:type="spellEnd"/>
      <w:r>
        <w:rPr>
          <w:rFonts w:ascii="Arial" w:hAnsi="Arial" w:cs="Arial"/>
          <w:sz w:val="18"/>
          <w:szCs w:val="18"/>
        </w:rPr>
        <w:t xml:space="preserve">, E., </w:t>
      </w:r>
      <w:proofErr w:type="spellStart"/>
      <w:r>
        <w:rPr>
          <w:rFonts w:ascii="Arial" w:hAnsi="Arial" w:cs="Arial"/>
          <w:sz w:val="18"/>
          <w:szCs w:val="18"/>
        </w:rPr>
        <w:t>Szaflik</w:t>
      </w:r>
      <w:proofErr w:type="spellEnd"/>
      <w:r>
        <w:rPr>
          <w:rFonts w:ascii="Arial" w:hAnsi="Arial" w:cs="Arial"/>
          <w:sz w:val="18"/>
          <w:szCs w:val="18"/>
        </w:rPr>
        <w:t xml:space="preserve">, J. P., </w:t>
      </w:r>
      <w:proofErr w:type="spellStart"/>
      <w:r>
        <w:rPr>
          <w:rFonts w:ascii="Arial" w:hAnsi="Arial" w:cs="Arial"/>
          <w:sz w:val="18"/>
          <w:szCs w:val="18"/>
        </w:rPr>
        <w:t>Bouheraoua</w:t>
      </w:r>
      <w:proofErr w:type="spellEnd"/>
      <w:r>
        <w:rPr>
          <w:rFonts w:ascii="Arial" w:hAnsi="Arial" w:cs="Arial"/>
          <w:sz w:val="18"/>
          <w:szCs w:val="18"/>
        </w:rPr>
        <w:t xml:space="preserve">, N., De La Paz, M., ... </w:t>
      </w:r>
      <w:proofErr w:type="spellStart"/>
      <w:r>
        <w:rPr>
          <w:rFonts w:ascii="Arial" w:hAnsi="Arial" w:cs="Arial"/>
          <w:sz w:val="18"/>
          <w:szCs w:val="18"/>
        </w:rPr>
        <w:t>Torrao</w:t>
      </w:r>
      <w:proofErr w:type="spellEnd"/>
      <w:r>
        <w:rPr>
          <w:rFonts w:ascii="Arial" w:hAnsi="Arial" w:cs="Arial"/>
          <w:sz w:val="18"/>
          <w:szCs w:val="18"/>
        </w:rPr>
        <w:t xml:space="preserve">, L. (2018). Phase II Randomized, Double-Masked, Vehicle-Controlled Trial of Recombinant Human Nerve Growth Factor for Neurotrophic Keratitis. Ophthalmology. </w:t>
      </w:r>
      <w:hyperlink r:id="rId19" w:history="1">
        <w:r w:rsidRPr="008D76D5">
          <w:rPr>
            <w:rStyle w:val="Hyperlink"/>
            <w:rFonts w:ascii="Arial" w:hAnsi="Arial" w:cs="Arial"/>
            <w:sz w:val="18"/>
            <w:szCs w:val="18"/>
          </w:rPr>
          <w:t>https://doi.org/10.1016/j.ophtha.2018.02.022</w:t>
        </w:r>
      </w:hyperlink>
    </w:p>
    <w:p w14:paraId="1F5262AA" w14:textId="5F0AD052" w:rsidR="00345795" w:rsidRPr="00345795" w:rsidRDefault="00345795" w:rsidP="00686A92">
      <w:pPr>
        <w:pStyle w:val="Body"/>
        <w:numPr>
          <w:ilvl w:val="0"/>
          <w:numId w:val="34"/>
        </w:numPr>
        <w:rPr>
          <w:rFonts w:ascii="Arial" w:hAnsi="Arial" w:cs="Arial"/>
        </w:rPr>
      </w:pPr>
      <w:proofErr w:type="spellStart"/>
      <w:r>
        <w:rPr>
          <w:rFonts w:ascii="Arial" w:hAnsi="Arial" w:cs="Arial"/>
          <w:sz w:val="18"/>
          <w:szCs w:val="18"/>
        </w:rPr>
        <w:t>Versura</w:t>
      </w:r>
      <w:proofErr w:type="spellEnd"/>
      <w:r>
        <w:rPr>
          <w:rFonts w:ascii="Arial" w:hAnsi="Arial" w:cs="Arial"/>
          <w:sz w:val="18"/>
          <w:szCs w:val="18"/>
        </w:rPr>
        <w:t xml:space="preserve">, P., </w:t>
      </w:r>
      <w:proofErr w:type="spellStart"/>
      <w:r>
        <w:rPr>
          <w:rFonts w:ascii="Arial" w:hAnsi="Arial" w:cs="Arial"/>
          <w:sz w:val="18"/>
          <w:szCs w:val="18"/>
        </w:rPr>
        <w:t>Giannaccare</w:t>
      </w:r>
      <w:proofErr w:type="spellEnd"/>
      <w:r>
        <w:rPr>
          <w:rFonts w:ascii="Arial" w:hAnsi="Arial" w:cs="Arial"/>
          <w:sz w:val="18"/>
          <w:szCs w:val="18"/>
        </w:rPr>
        <w:t xml:space="preserve">, G., Pellegrini, M., </w:t>
      </w:r>
      <w:proofErr w:type="spellStart"/>
      <w:r>
        <w:rPr>
          <w:rFonts w:ascii="Arial" w:hAnsi="Arial" w:cs="Arial"/>
          <w:sz w:val="18"/>
          <w:szCs w:val="18"/>
        </w:rPr>
        <w:t>Sebastiani</w:t>
      </w:r>
      <w:proofErr w:type="spellEnd"/>
      <w:r>
        <w:rPr>
          <w:rFonts w:ascii="Arial" w:hAnsi="Arial" w:cs="Arial"/>
          <w:sz w:val="18"/>
          <w:szCs w:val="18"/>
        </w:rPr>
        <w:t xml:space="preserve">, S., &amp; Campos, E. C. (2018). Neurotrophic keratitis: current challenges and future prospects. Eye and Brain. </w:t>
      </w:r>
      <w:hyperlink r:id="rId20" w:history="1">
        <w:r w:rsidRPr="008D76D5">
          <w:rPr>
            <w:rStyle w:val="Hyperlink"/>
            <w:rFonts w:ascii="Arial" w:hAnsi="Arial" w:cs="Arial"/>
            <w:sz w:val="18"/>
            <w:szCs w:val="18"/>
          </w:rPr>
          <w:t>https://doi.org/10.2147/EB.S150323</w:t>
        </w:r>
      </w:hyperlink>
    </w:p>
    <w:p w14:paraId="289CBD6F" w14:textId="60149A18" w:rsidR="00345795" w:rsidRPr="00345795" w:rsidRDefault="00345795" w:rsidP="00686A92">
      <w:pPr>
        <w:pStyle w:val="Body"/>
        <w:numPr>
          <w:ilvl w:val="0"/>
          <w:numId w:val="34"/>
        </w:numPr>
        <w:spacing w:after="0"/>
        <w:rPr>
          <w:rFonts w:ascii="Arial" w:hAnsi="Arial" w:cs="Arial"/>
        </w:rPr>
      </w:pPr>
      <w:r>
        <w:rPr>
          <w:rFonts w:ascii="Arial" w:hAnsi="Arial" w:cs="Arial"/>
          <w:sz w:val="18"/>
          <w:szCs w:val="18"/>
        </w:rPr>
        <w:t xml:space="preserve">Ferrari, G., &amp; Rama, P. (2020). The keratoconus enigma: A review with emphasis on pathogenesis. </w:t>
      </w:r>
      <w:proofErr w:type="spellStart"/>
      <w:r>
        <w:rPr>
          <w:rFonts w:ascii="Arial" w:hAnsi="Arial" w:cs="Arial"/>
          <w:sz w:val="18"/>
          <w:szCs w:val="18"/>
        </w:rPr>
        <w:t>Ocul</w:t>
      </w:r>
      <w:proofErr w:type="spellEnd"/>
      <w:r>
        <w:rPr>
          <w:rFonts w:ascii="Arial" w:hAnsi="Arial" w:cs="Arial"/>
          <w:sz w:val="18"/>
          <w:szCs w:val="18"/>
        </w:rPr>
        <w:t xml:space="preserve"> Surf. </w:t>
      </w:r>
      <w:hyperlink r:id="rId21" w:history="1">
        <w:r w:rsidRPr="008D76D5">
          <w:rPr>
            <w:rStyle w:val="Hyperlink"/>
            <w:rFonts w:ascii="Arial" w:hAnsi="Arial" w:cs="Arial"/>
            <w:sz w:val="18"/>
            <w:szCs w:val="18"/>
          </w:rPr>
          <w:t>https://doi.org/10.1016/j.jtos.2020.03.006</w:t>
        </w:r>
      </w:hyperlink>
    </w:p>
    <w:p w14:paraId="5EE557D4" w14:textId="0CE78317" w:rsidR="00B01FCD" w:rsidRDefault="00D067AC" w:rsidP="00686A92">
      <w:pPr>
        <w:pStyle w:val="Body"/>
        <w:numPr>
          <w:ilvl w:val="0"/>
          <w:numId w:val="34"/>
        </w:numPr>
        <w:spacing w:after="0"/>
        <w:rPr>
          <w:rFonts w:ascii="Arial" w:hAnsi="Arial" w:cs="Arial"/>
        </w:rPr>
      </w:pPr>
      <w:proofErr w:type="spellStart"/>
      <w:r w:rsidRPr="00D067AC">
        <w:rPr>
          <w:rFonts w:ascii="Arial" w:hAnsi="Arial" w:cs="Arial"/>
        </w:rPr>
        <w:t>Giannaccare</w:t>
      </w:r>
      <w:proofErr w:type="spellEnd"/>
      <w:r w:rsidRPr="00D067AC">
        <w:rPr>
          <w:rFonts w:ascii="Arial" w:hAnsi="Arial" w:cs="Arial"/>
        </w:rPr>
        <w:t xml:space="preserve"> G, et al. Eye Vis. 2022.</w:t>
      </w:r>
    </w:p>
    <w:p w14:paraId="08F18638" w14:textId="77777777" w:rsidR="00AD0436" w:rsidRDefault="00AD0436" w:rsidP="00686A92">
      <w:pPr>
        <w:pStyle w:val="ListParagraph"/>
        <w:rPr>
          <w:rFonts w:ascii="Arial" w:hAnsi="Arial" w:cs="Arial"/>
        </w:rPr>
      </w:pPr>
    </w:p>
    <w:p w14:paraId="656C7187" w14:textId="4C1A1F90" w:rsidR="00AD0436" w:rsidRPr="00AD0436" w:rsidRDefault="00AD0436" w:rsidP="00686A92">
      <w:pPr>
        <w:pStyle w:val="Body"/>
        <w:numPr>
          <w:ilvl w:val="0"/>
          <w:numId w:val="34"/>
        </w:numPr>
        <w:rPr>
          <w:rFonts w:ascii="Arial" w:hAnsi="Arial" w:cs="Arial"/>
        </w:rPr>
      </w:pPr>
      <w:proofErr w:type="spellStart"/>
      <w:r w:rsidRPr="00AD0436">
        <w:rPr>
          <w:rFonts w:ascii="Arial" w:hAnsi="Arial" w:cs="Arial"/>
        </w:rPr>
        <w:t>Mastropasqua</w:t>
      </w:r>
      <w:proofErr w:type="spellEnd"/>
      <w:r w:rsidRPr="00AD0436">
        <w:rPr>
          <w:rFonts w:ascii="Arial" w:hAnsi="Arial" w:cs="Arial"/>
        </w:rPr>
        <w:t xml:space="preserve"> L, Nubile M, </w:t>
      </w:r>
      <w:proofErr w:type="spellStart"/>
      <w:r w:rsidRPr="00AD0436">
        <w:rPr>
          <w:rFonts w:ascii="Arial" w:hAnsi="Arial" w:cs="Arial"/>
        </w:rPr>
        <w:t>Lanzini</w:t>
      </w:r>
      <w:proofErr w:type="spellEnd"/>
      <w:r w:rsidRPr="00AD0436">
        <w:rPr>
          <w:rFonts w:ascii="Arial" w:hAnsi="Arial" w:cs="Arial"/>
        </w:rPr>
        <w:t xml:space="preserve"> M, et al. Neurotrophic keratitis: current challenges and future prospects. Eye. 2021.</w:t>
      </w:r>
    </w:p>
    <w:p w14:paraId="54930B5A" w14:textId="0101A10C" w:rsidR="00345795" w:rsidRPr="00345795" w:rsidRDefault="00345795" w:rsidP="00686A92">
      <w:pPr>
        <w:pStyle w:val="Body"/>
        <w:numPr>
          <w:ilvl w:val="0"/>
          <w:numId w:val="34"/>
        </w:numPr>
        <w:rPr>
          <w:rFonts w:ascii="Arial" w:hAnsi="Arial" w:cs="Arial"/>
        </w:rPr>
      </w:pPr>
      <w:proofErr w:type="spellStart"/>
      <w:r>
        <w:rPr>
          <w:rFonts w:ascii="Arial" w:hAnsi="Arial" w:cs="Arial"/>
          <w:sz w:val="18"/>
          <w:szCs w:val="18"/>
        </w:rPr>
        <w:t>Sacchetti</w:t>
      </w:r>
      <w:proofErr w:type="spellEnd"/>
      <w:r>
        <w:rPr>
          <w:rFonts w:ascii="Arial" w:hAnsi="Arial" w:cs="Arial"/>
          <w:sz w:val="18"/>
          <w:szCs w:val="18"/>
        </w:rPr>
        <w:t xml:space="preserve">, M., &amp; </w:t>
      </w:r>
      <w:proofErr w:type="spellStart"/>
      <w:r>
        <w:rPr>
          <w:rFonts w:ascii="Arial" w:hAnsi="Arial" w:cs="Arial"/>
          <w:sz w:val="18"/>
          <w:szCs w:val="18"/>
        </w:rPr>
        <w:t>Lambiase</w:t>
      </w:r>
      <w:proofErr w:type="spellEnd"/>
      <w:r>
        <w:rPr>
          <w:rFonts w:ascii="Arial" w:hAnsi="Arial" w:cs="Arial"/>
          <w:sz w:val="18"/>
          <w:szCs w:val="18"/>
        </w:rPr>
        <w:t xml:space="preserve">, A. (2014). Diagnosis and management of neurotrophic keratitis. Clinical Ophthalmology. </w:t>
      </w:r>
      <w:hyperlink r:id="rId22" w:history="1">
        <w:r w:rsidRPr="008D76D5">
          <w:rPr>
            <w:rStyle w:val="Hyperlink"/>
            <w:rFonts w:ascii="Arial" w:hAnsi="Arial" w:cs="Arial"/>
            <w:sz w:val="18"/>
            <w:szCs w:val="18"/>
          </w:rPr>
          <w:t>https://doi.org/10.2147/OPTH.S45921</w:t>
        </w:r>
      </w:hyperlink>
    </w:p>
    <w:p w14:paraId="5F43A9AD" w14:textId="320A6A0C" w:rsidR="00AD0436" w:rsidRPr="00AD0436" w:rsidRDefault="00AD0436" w:rsidP="00686A92">
      <w:pPr>
        <w:pStyle w:val="Body"/>
        <w:numPr>
          <w:ilvl w:val="0"/>
          <w:numId w:val="34"/>
        </w:numPr>
        <w:rPr>
          <w:rFonts w:ascii="Arial" w:hAnsi="Arial" w:cs="Arial"/>
        </w:rPr>
      </w:pPr>
      <w:proofErr w:type="spellStart"/>
      <w:r w:rsidRPr="00AD0436">
        <w:rPr>
          <w:rFonts w:ascii="Arial" w:hAnsi="Arial" w:cs="Arial"/>
        </w:rPr>
        <w:t>Bonini</w:t>
      </w:r>
      <w:proofErr w:type="spellEnd"/>
      <w:r w:rsidRPr="00AD0436">
        <w:rPr>
          <w:rFonts w:ascii="Arial" w:hAnsi="Arial" w:cs="Arial"/>
        </w:rPr>
        <w:t xml:space="preserve"> S, </w:t>
      </w:r>
      <w:proofErr w:type="spellStart"/>
      <w:r w:rsidRPr="00AD0436">
        <w:rPr>
          <w:rFonts w:ascii="Arial" w:hAnsi="Arial" w:cs="Arial"/>
        </w:rPr>
        <w:t>Lambiase</w:t>
      </w:r>
      <w:proofErr w:type="spellEnd"/>
      <w:r w:rsidRPr="00AD0436">
        <w:rPr>
          <w:rFonts w:ascii="Arial" w:hAnsi="Arial" w:cs="Arial"/>
        </w:rPr>
        <w:t xml:space="preserve"> A, Rama P, et al. Phase IV multicenter study of </w:t>
      </w:r>
      <w:proofErr w:type="spellStart"/>
      <w:r w:rsidRPr="00AD0436">
        <w:rPr>
          <w:rFonts w:ascii="Arial" w:hAnsi="Arial" w:cs="Arial"/>
        </w:rPr>
        <w:t>cenegermin</w:t>
      </w:r>
      <w:proofErr w:type="spellEnd"/>
      <w:r w:rsidRPr="00AD0436">
        <w:rPr>
          <w:rFonts w:ascii="Arial" w:hAnsi="Arial" w:cs="Arial"/>
        </w:rPr>
        <w:t xml:space="preserve"> for neurotrophic keratitis. Ophthalmology. 2020.</w:t>
      </w:r>
    </w:p>
    <w:p w14:paraId="13854E15" w14:textId="5722BEAC" w:rsidR="00AD0436" w:rsidRPr="00AD0436" w:rsidRDefault="00AD0436" w:rsidP="00686A92">
      <w:pPr>
        <w:pStyle w:val="Body"/>
        <w:numPr>
          <w:ilvl w:val="0"/>
          <w:numId w:val="34"/>
        </w:numPr>
        <w:rPr>
          <w:rFonts w:ascii="Arial" w:hAnsi="Arial" w:cs="Arial"/>
        </w:rPr>
      </w:pPr>
      <w:proofErr w:type="spellStart"/>
      <w:r w:rsidRPr="00AD0436">
        <w:rPr>
          <w:rFonts w:ascii="Arial" w:hAnsi="Arial" w:cs="Arial"/>
        </w:rPr>
        <w:t>Giannaccare</w:t>
      </w:r>
      <w:proofErr w:type="spellEnd"/>
      <w:r w:rsidRPr="00AD0436">
        <w:rPr>
          <w:rFonts w:ascii="Arial" w:hAnsi="Arial" w:cs="Arial"/>
        </w:rPr>
        <w:t xml:space="preserve"> G, Pellegrini M, </w:t>
      </w:r>
      <w:proofErr w:type="spellStart"/>
      <w:r w:rsidRPr="00AD0436">
        <w:rPr>
          <w:rFonts w:ascii="Arial" w:hAnsi="Arial" w:cs="Arial"/>
        </w:rPr>
        <w:t>Bernabei</w:t>
      </w:r>
      <w:proofErr w:type="spellEnd"/>
      <w:r w:rsidRPr="00AD0436">
        <w:rPr>
          <w:rFonts w:ascii="Arial" w:hAnsi="Arial" w:cs="Arial"/>
        </w:rPr>
        <w:t xml:space="preserve"> F, et al. Neurotrophic keratitis: current clinical management and future perspectives. Eye Vis. 2021.</w:t>
      </w:r>
    </w:p>
    <w:p w14:paraId="53DAB8D4" w14:textId="0F71126C" w:rsidR="00AD0436" w:rsidRPr="00AD0436" w:rsidRDefault="00345795" w:rsidP="00345795">
      <w:pPr>
        <w:pStyle w:val="Body"/>
        <w:numPr>
          <w:ilvl w:val="0"/>
          <w:numId w:val="34"/>
        </w:numPr>
        <w:rPr>
          <w:rFonts w:ascii="Arial" w:hAnsi="Arial" w:cs="Arial"/>
        </w:rPr>
      </w:pPr>
      <w:proofErr w:type="spellStart"/>
      <w:r>
        <w:rPr>
          <w:rFonts w:ascii="Arial" w:hAnsi="Arial" w:cs="Arial"/>
          <w:sz w:val="18"/>
          <w:szCs w:val="18"/>
        </w:rPr>
        <w:t>Dua</w:t>
      </w:r>
      <w:proofErr w:type="spellEnd"/>
      <w:r>
        <w:rPr>
          <w:rFonts w:ascii="Arial" w:hAnsi="Arial" w:cs="Arial"/>
          <w:sz w:val="18"/>
          <w:szCs w:val="18"/>
        </w:rPr>
        <w:t xml:space="preserve">, H. S., Said, D. G., Messmer, E. M., Rolando, M., Benitez-Del-Castillo, J. M., Hossain, P. N., </w:t>
      </w:r>
      <w:proofErr w:type="spellStart"/>
      <w:r>
        <w:rPr>
          <w:rFonts w:ascii="Arial" w:hAnsi="Arial" w:cs="Arial"/>
          <w:sz w:val="18"/>
          <w:szCs w:val="18"/>
        </w:rPr>
        <w:t>Shortt</w:t>
      </w:r>
      <w:proofErr w:type="spellEnd"/>
      <w:r>
        <w:rPr>
          <w:rFonts w:ascii="Arial" w:hAnsi="Arial" w:cs="Arial"/>
          <w:sz w:val="18"/>
          <w:szCs w:val="18"/>
        </w:rPr>
        <w:t xml:space="preserve">, A. J., </w:t>
      </w:r>
      <w:proofErr w:type="spellStart"/>
      <w:r>
        <w:rPr>
          <w:rFonts w:ascii="Arial" w:hAnsi="Arial" w:cs="Arial"/>
          <w:sz w:val="18"/>
          <w:szCs w:val="18"/>
        </w:rPr>
        <w:t>Geerling</w:t>
      </w:r>
      <w:proofErr w:type="spellEnd"/>
      <w:r>
        <w:rPr>
          <w:rFonts w:ascii="Arial" w:hAnsi="Arial" w:cs="Arial"/>
          <w:sz w:val="18"/>
          <w:szCs w:val="18"/>
        </w:rPr>
        <w:t xml:space="preserve">, G., Nubile, M., </w:t>
      </w:r>
      <w:proofErr w:type="spellStart"/>
      <w:r>
        <w:rPr>
          <w:rFonts w:ascii="Arial" w:hAnsi="Arial" w:cs="Arial"/>
          <w:sz w:val="18"/>
          <w:szCs w:val="18"/>
        </w:rPr>
        <w:t>Figueiredo</w:t>
      </w:r>
      <w:proofErr w:type="spellEnd"/>
      <w:r>
        <w:rPr>
          <w:rFonts w:ascii="Arial" w:hAnsi="Arial" w:cs="Arial"/>
          <w:sz w:val="18"/>
          <w:szCs w:val="18"/>
        </w:rPr>
        <w:t xml:space="preserve">, F. C., </w:t>
      </w:r>
      <w:proofErr w:type="spellStart"/>
      <w:r>
        <w:rPr>
          <w:rFonts w:ascii="Arial" w:hAnsi="Arial" w:cs="Arial"/>
          <w:sz w:val="18"/>
          <w:szCs w:val="18"/>
        </w:rPr>
        <w:t>Rauz</w:t>
      </w:r>
      <w:proofErr w:type="spellEnd"/>
      <w:r>
        <w:rPr>
          <w:rFonts w:ascii="Arial" w:hAnsi="Arial" w:cs="Arial"/>
          <w:sz w:val="18"/>
          <w:szCs w:val="18"/>
        </w:rPr>
        <w:t xml:space="preserve">, S., </w:t>
      </w:r>
      <w:proofErr w:type="spellStart"/>
      <w:r>
        <w:rPr>
          <w:rFonts w:ascii="Arial" w:hAnsi="Arial" w:cs="Arial"/>
          <w:sz w:val="18"/>
          <w:szCs w:val="18"/>
        </w:rPr>
        <w:t>Mastropasqua</w:t>
      </w:r>
      <w:proofErr w:type="spellEnd"/>
      <w:r>
        <w:rPr>
          <w:rFonts w:ascii="Arial" w:hAnsi="Arial" w:cs="Arial"/>
          <w:sz w:val="18"/>
          <w:szCs w:val="18"/>
        </w:rPr>
        <w:t>, L., Rama, P., &amp; Baudouin, C. (2018). Neurotrophic keratopathy. *Progress in Retinal and Eye Research*, *66*, 107–131. https://doi.org/10.1016/j.preteyeres.2018.04.003</w:t>
      </w:r>
      <w:bookmarkStart w:id="1" w:name="_GoBack"/>
      <w:bookmarkEnd w:id="1"/>
    </w:p>
    <w:sectPr w:rsidR="00AD0436" w:rsidRPr="00AD0436" w:rsidSect="00891F44">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B7416" w14:textId="77777777" w:rsidR="005C1E11" w:rsidRDefault="005C1E11" w:rsidP="00C37E61">
      <w:r>
        <w:separator/>
      </w:r>
    </w:p>
  </w:endnote>
  <w:endnote w:type="continuationSeparator" w:id="0">
    <w:p w14:paraId="4DDBC1BD" w14:textId="77777777" w:rsidR="005C1E11" w:rsidRDefault="005C1E1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C5A32" w14:textId="77777777" w:rsidR="003E1C7E" w:rsidRDefault="003E1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5328A" w14:textId="77777777" w:rsidR="003E1C7E" w:rsidRDefault="003E1C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625C5" w14:textId="77777777" w:rsidR="009E048A" w:rsidRDefault="009E048A">
    <w:pPr>
      <w:pStyle w:val="Footer"/>
      <w:rPr>
        <w:rFonts w:ascii="Arial" w:hAnsi="Arial" w:cs="Arial"/>
        <w:sz w:val="16"/>
      </w:rPr>
    </w:pPr>
  </w:p>
  <w:p w14:paraId="5C83C1B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5AB90CD" w14:textId="77777777" w:rsidR="009E048A" w:rsidRDefault="009E048A">
    <w:pPr>
      <w:pStyle w:val="Footer"/>
      <w:rPr>
        <w:rFonts w:ascii="Arial" w:hAnsi="Arial" w:cs="Arial"/>
        <w:sz w:val="16"/>
      </w:rPr>
    </w:pPr>
  </w:p>
  <w:p w14:paraId="61DEE3F5" w14:textId="346AEE38"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6674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84E17" w14:textId="77777777" w:rsidR="005C1E11" w:rsidRDefault="005C1E11" w:rsidP="00C37E61">
      <w:r>
        <w:separator/>
      </w:r>
    </w:p>
  </w:footnote>
  <w:footnote w:type="continuationSeparator" w:id="0">
    <w:p w14:paraId="3A576A0A" w14:textId="77777777" w:rsidR="005C1E11" w:rsidRDefault="005C1E1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310AB" w14:textId="50C76F1D" w:rsidR="003E1C7E" w:rsidRDefault="005C1E11">
    <w:pPr>
      <w:pStyle w:val="Header"/>
    </w:pPr>
    <w:r>
      <w:rPr>
        <w:noProof/>
      </w:rPr>
      <w:pict w14:anchorId="01DE8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82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161AD" w14:textId="11A6A825" w:rsidR="003E1C7E" w:rsidRDefault="005C1E11">
    <w:pPr>
      <w:pStyle w:val="Header"/>
    </w:pPr>
    <w:r>
      <w:rPr>
        <w:noProof/>
      </w:rPr>
      <w:pict w14:anchorId="7B734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82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3941C" w14:textId="28EE6616" w:rsidR="00296529" w:rsidRPr="00296529" w:rsidRDefault="005C1E11" w:rsidP="00296529">
    <w:pPr>
      <w:ind w:left="2160"/>
      <w:jc w:val="center"/>
      <w:rPr>
        <w:rFonts w:ascii="Times New Roman" w:eastAsia="Calibri" w:hAnsi="Times New Roman"/>
        <w:i/>
        <w:sz w:val="18"/>
        <w:szCs w:val="22"/>
      </w:rPr>
    </w:pPr>
    <w:r>
      <w:rPr>
        <w:noProof/>
      </w:rPr>
      <w:pict w14:anchorId="14B96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82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EE5F7E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763100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6B03E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82B96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1036A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D0D9D6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2F372" w14:textId="5D205930" w:rsidR="003E1C7E" w:rsidRDefault="005C1E11">
    <w:pPr>
      <w:pStyle w:val="Header"/>
    </w:pPr>
    <w:r>
      <w:rPr>
        <w:noProof/>
      </w:rPr>
      <w:pict w14:anchorId="5169A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825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C0EFF" w14:textId="5435467B" w:rsidR="003E1C7E" w:rsidRDefault="005C1E11">
    <w:pPr>
      <w:pStyle w:val="Header"/>
    </w:pPr>
    <w:r>
      <w:rPr>
        <w:noProof/>
      </w:rPr>
      <w:pict w14:anchorId="69ED6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825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F02C" w14:textId="52FBE077" w:rsidR="003E1C7E" w:rsidRDefault="005C1E11">
    <w:pPr>
      <w:pStyle w:val="Header"/>
    </w:pPr>
    <w:r>
      <w:rPr>
        <w:noProof/>
      </w:rPr>
      <w:pict w14:anchorId="0AB168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825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B776C"/>
    <w:multiLevelType w:val="hybridMultilevel"/>
    <w:tmpl w:val="7444C9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30F76"/>
    <w:multiLevelType w:val="hybridMultilevel"/>
    <w:tmpl w:val="BED0A946"/>
    <w:lvl w:ilvl="0" w:tplc="E8F6DE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AAE01D0"/>
    <w:multiLevelType w:val="hybridMultilevel"/>
    <w:tmpl w:val="77F097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690325A"/>
    <w:multiLevelType w:val="hybridMultilevel"/>
    <w:tmpl w:val="CF5443E8"/>
    <w:lvl w:ilvl="0" w:tplc="73F02A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5"/>
  </w:num>
  <w:num w:numId="9">
    <w:abstractNumId w:val="29"/>
  </w:num>
  <w:num w:numId="10">
    <w:abstractNumId w:val="3"/>
  </w:num>
  <w:num w:numId="11">
    <w:abstractNumId w:val="21"/>
  </w:num>
  <w:num w:numId="12">
    <w:abstractNumId w:val="4"/>
  </w:num>
  <w:num w:numId="13">
    <w:abstractNumId w:val="20"/>
  </w:num>
  <w:num w:numId="14">
    <w:abstractNumId w:val="9"/>
  </w:num>
  <w:num w:numId="15">
    <w:abstractNumId w:val="24"/>
  </w:num>
  <w:num w:numId="16">
    <w:abstractNumId w:val="6"/>
  </w:num>
  <w:num w:numId="17">
    <w:abstractNumId w:val="25"/>
  </w:num>
  <w:num w:numId="18">
    <w:abstractNumId w:val="17"/>
  </w:num>
  <w:num w:numId="19">
    <w:abstractNumId w:val="32"/>
  </w:num>
  <w:num w:numId="20">
    <w:abstractNumId w:val="13"/>
  </w:num>
  <w:num w:numId="21">
    <w:abstractNumId w:val="10"/>
  </w:num>
  <w:num w:numId="22">
    <w:abstractNumId w:val="16"/>
  </w:num>
  <w:num w:numId="23">
    <w:abstractNumId w:val="22"/>
  </w:num>
  <w:num w:numId="24">
    <w:abstractNumId w:val="30"/>
  </w:num>
  <w:num w:numId="25">
    <w:abstractNumId w:val="5"/>
  </w:num>
  <w:num w:numId="26">
    <w:abstractNumId w:val="19"/>
  </w:num>
  <w:num w:numId="27">
    <w:abstractNumId w:val="23"/>
  </w:num>
  <w:num w:numId="28">
    <w:abstractNumId w:val="31"/>
  </w:num>
  <w:num w:numId="29">
    <w:abstractNumId w:val="28"/>
  </w:num>
  <w:num w:numId="30">
    <w:abstractNumId w:val="11"/>
  </w:num>
  <w:num w:numId="31">
    <w:abstractNumId w:val="12"/>
  </w:num>
  <w:num w:numId="32">
    <w:abstractNumId w:val="1"/>
  </w:num>
  <w:num w:numId="33">
    <w:abstractNumId w:val="27"/>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694"/>
    <w:rsid w:val="00021CA3"/>
    <w:rsid w:val="00030174"/>
    <w:rsid w:val="0004579C"/>
    <w:rsid w:val="0004783C"/>
    <w:rsid w:val="000A47FA"/>
    <w:rsid w:val="000A65D3"/>
    <w:rsid w:val="000B1E33"/>
    <w:rsid w:val="000D689F"/>
    <w:rsid w:val="000D6E17"/>
    <w:rsid w:val="000E4E90"/>
    <w:rsid w:val="000E7B7B"/>
    <w:rsid w:val="000E7D62"/>
    <w:rsid w:val="000F0C19"/>
    <w:rsid w:val="00101F33"/>
    <w:rsid w:val="00103357"/>
    <w:rsid w:val="001121C2"/>
    <w:rsid w:val="00115CC0"/>
    <w:rsid w:val="00123C9F"/>
    <w:rsid w:val="00124E11"/>
    <w:rsid w:val="00126190"/>
    <w:rsid w:val="00130F17"/>
    <w:rsid w:val="001320BF"/>
    <w:rsid w:val="001420AA"/>
    <w:rsid w:val="001571AF"/>
    <w:rsid w:val="00163BC4"/>
    <w:rsid w:val="00191062"/>
    <w:rsid w:val="00192B72"/>
    <w:rsid w:val="001A29D8"/>
    <w:rsid w:val="001A5CAA"/>
    <w:rsid w:val="001B0427"/>
    <w:rsid w:val="001B1C34"/>
    <w:rsid w:val="001D3A51"/>
    <w:rsid w:val="001D6A27"/>
    <w:rsid w:val="001E10D2"/>
    <w:rsid w:val="001E25B4"/>
    <w:rsid w:val="001E44FE"/>
    <w:rsid w:val="00200595"/>
    <w:rsid w:val="00204835"/>
    <w:rsid w:val="00231920"/>
    <w:rsid w:val="0023195C"/>
    <w:rsid w:val="002323D3"/>
    <w:rsid w:val="0024282C"/>
    <w:rsid w:val="002460DC"/>
    <w:rsid w:val="00250985"/>
    <w:rsid w:val="002510F0"/>
    <w:rsid w:val="002556F6"/>
    <w:rsid w:val="00283105"/>
    <w:rsid w:val="00283C6C"/>
    <w:rsid w:val="00284C4C"/>
    <w:rsid w:val="00287E68"/>
    <w:rsid w:val="00296529"/>
    <w:rsid w:val="002A4D7C"/>
    <w:rsid w:val="002B27FB"/>
    <w:rsid w:val="002B685A"/>
    <w:rsid w:val="002C57D2"/>
    <w:rsid w:val="002E0D56"/>
    <w:rsid w:val="002F3D7D"/>
    <w:rsid w:val="0031219E"/>
    <w:rsid w:val="00315186"/>
    <w:rsid w:val="0033343E"/>
    <w:rsid w:val="00345795"/>
    <w:rsid w:val="003512C2"/>
    <w:rsid w:val="00355A22"/>
    <w:rsid w:val="00371FB6"/>
    <w:rsid w:val="003763C1"/>
    <w:rsid w:val="00376BBE"/>
    <w:rsid w:val="0039224F"/>
    <w:rsid w:val="003A43A4"/>
    <w:rsid w:val="003A7E18"/>
    <w:rsid w:val="003B00D2"/>
    <w:rsid w:val="003B48EB"/>
    <w:rsid w:val="003B7E32"/>
    <w:rsid w:val="003C4C86"/>
    <w:rsid w:val="003C6258"/>
    <w:rsid w:val="003E1C7E"/>
    <w:rsid w:val="003E2904"/>
    <w:rsid w:val="003F2B9C"/>
    <w:rsid w:val="003F6A60"/>
    <w:rsid w:val="00401927"/>
    <w:rsid w:val="0041027F"/>
    <w:rsid w:val="00412475"/>
    <w:rsid w:val="00423789"/>
    <w:rsid w:val="00440F43"/>
    <w:rsid w:val="00441B6F"/>
    <w:rsid w:val="00446221"/>
    <w:rsid w:val="00450E62"/>
    <w:rsid w:val="004539DB"/>
    <w:rsid w:val="00471A80"/>
    <w:rsid w:val="00475329"/>
    <w:rsid w:val="004C0121"/>
    <w:rsid w:val="004D305E"/>
    <w:rsid w:val="004D4277"/>
    <w:rsid w:val="00502516"/>
    <w:rsid w:val="00505F06"/>
    <w:rsid w:val="00506828"/>
    <w:rsid w:val="00511D3B"/>
    <w:rsid w:val="0053056E"/>
    <w:rsid w:val="005340DA"/>
    <w:rsid w:val="00544722"/>
    <w:rsid w:val="00551649"/>
    <w:rsid w:val="00554FDA"/>
    <w:rsid w:val="005707A7"/>
    <w:rsid w:val="00570D0D"/>
    <w:rsid w:val="00577A0F"/>
    <w:rsid w:val="005C1E11"/>
    <w:rsid w:val="005C784C"/>
    <w:rsid w:val="005D17F6"/>
    <w:rsid w:val="005E5539"/>
    <w:rsid w:val="00602BF5"/>
    <w:rsid w:val="006075B9"/>
    <w:rsid w:val="00617FDD"/>
    <w:rsid w:val="0063065B"/>
    <w:rsid w:val="00633614"/>
    <w:rsid w:val="00633F68"/>
    <w:rsid w:val="00636EB2"/>
    <w:rsid w:val="006375B8"/>
    <w:rsid w:val="0066510A"/>
    <w:rsid w:val="00673F9F"/>
    <w:rsid w:val="00686953"/>
    <w:rsid w:val="00686A92"/>
    <w:rsid w:val="00687DEA"/>
    <w:rsid w:val="00687E67"/>
    <w:rsid w:val="00691270"/>
    <w:rsid w:val="00696340"/>
    <w:rsid w:val="006967F7"/>
    <w:rsid w:val="006A250C"/>
    <w:rsid w:val="006A2B43"/>
    <w:rsid w:val="006B21D3"/>
    <w:rsid w:val="006B57D0"/>
    <w:rsid w:val="006D30FF"/>
    <w:rsid w:val="006D6940"/>
    <w:rsid w:val="006F11EC"/>
    <w:rsid w:val="0070082C"/>
    <w:rsid w:val="00703E09"/>
    <w:rsid w:val="007369E6"/>
    <w:rsid w:val="007428B3"/>
    <w:rsid w:val="00746E59"/>
    <w:rsid w:val="00754C9A"/>
    <w:rsid w:val="0075599A"/>
    <w:rsid w:val="0075772B"/>
    <w:rsid w:val="0076003F"/>
    <w:rsid w:val="00761D52"/>
    <w:rsid w:val="0077749E"/>
    <w:rsid w:val="00790ADA"/>
    <w:rsid w:val="00794715"/>
    <w:rsid w:val="007D2288"/>
    <w:rsid w:val="007E088F"/>
    <w:rsid w:val="007F7B32"/>
    <w:rsid w:val="00804BC2"/>
    <w:rsid w:val="0081431A"/>
    <w:rsid w:val="0083216F"/>
    <w:rsid w:val="00860000"/>
    <w:rsid w:val="00861880"/>
    <w:rsid w:val="00863BD3"/>
    <w:rsid w:val="008641ED"/>
    <w:rsid w:val="00866D66"/>
    <w:rsid w:val="008671C6"/>
    <w:rsid w:val="00875803"/>
    <w:rsid w:val="00891F44"/>
    <w:rsid w:val="00897F2D"/>
    <w:rsid w:val="008A424A"/>
    <w:rsid w:val="008A64A6"/>
    <w:rsid w:val="008B459E"/>
    <w:rsid w:val="008B4C7C"/>
    <w:rsid w:val="008D6869"/>
    <w:rsid w:val="008E13AE"/>
    <w:rsid w:val="008E1506"/>
    <w:rsid w:val="008E710C"/>
    <w:rsid w:val="008F69D6"/>
    <w:rsid w:val="00902823"/>
    <w:rsid w:val="009049BA"/>
    <w:rsid w:val="0091138C"/>
    <w:rsid w:val="00915CA6"/>
    <w:rsid w:val="00927834"/>
    <w:rsid w:val="009500A6"/>
    <w:rsid w:val="00957C18"/>
    <w:rsid w:val="0096457A"/>
    <w:rsid w:val="009659BA"/>
    <w:rsid w:val="009709C7"/>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C29"/>
    <w:rsid w:val="00A347C0"/>
    <w:rsid w:val="00A35637"/>
    <w:rsid w:val="00A51431"/>
    <w:rsid w:val="00A539AD"/>
    <w:rsid w:val="00A87D8B"/>
    <w:rsid w:val="00A94063"/>
    <w:rsid w:val="00AA6219"/>
    <w:rsid w:val="00AA74E0"/>
    <w:rsid w:val="00AB703F"/>
    <w:rsid w:val="00AC6BB8"/>
    <w:rsid w:val="00AD0436"/>
    <w:rsid w:val="00AE008F"/>
    <w:rsid w:val="00AE65F2"/>
    <w:rsid w:val="00B01FCD"/>
    <w:rsid w:val="00B1776C"/>
    <w:rsid w:val="00B2646C"/>
    <w:rsid w:val="00B52583"/>
    <w:rsid w:val="00B52896"/>
    <w:rsid w:val="00B76A23"/>
    <w:rsid w:val="00B94523"/>
    <w:rsid w:val="00B94E2F"/>
    <w:rsid w:val="00B95236"/>
    <w:rsid w:val="00B96BD9"/>
    <w:rsid w:val="00B9706E"/>
    <w:rsid w:val="00BA1B01"/>
    <w:rsid w:val="00BA2641"/>
    <w:rsid w:val="00BB37AA"/>
    <w:rsid w:val="00BC53A0"/>
    <w:rsid w:val="00BE62AD"/>
    <w:rsid w:val="00BF121F"/>
    <w:rsid w:val="00BF1F80"/>
    <w:rsid w:val="00C03FEB"/>
    <w:rsid w:val="00C166EF"/>
    <w:rsid w:val="00C17EB0"/>
    <w:rsid w:val="00C27F5F"/>
    <w:rsid w:val="00C30A0F"/>
    <w:rsid w:val="00C37E61"/>
    <w:rsid w:val="00C45740"/>
    <w:rsid w:val="00C70F1B"/>
    <w:rsid w:val="00C71A47"/>
    <w:rsid w:val="00C7464C"/>
    <w:rsid w:val="00C85588"/>
    <w:rsid w:val="00CA3984"/>
    <w:rsid w:val="00CD2C83"/>
    <w:rsid w:val="00CD6755"/>
    <w:rsid w:val="00CD6856"/>
    <w:rsid w:val="00CE0089"/>
    <w:rsid w:val="00CE793C"/>
    <w:rsid w:val="00CF193C"/>
    <w:rsid w:val="00D067AC"/>
    <w:rsid w:val="00D06804"/>
    <w:rsid w:val="00D173F1"/>
    <w:rsid w:val="00D60B50"/>
    <w:rsid w:val="00D74CB0"/>
    <w:rsid w:val="00D802F6"/>
    <w:rsid w:val="00D8295D"/>
    <w:rsid w:val="00DC2A65"/>
    <w:rsid w:val="00DD508B"/>
    <w:rsid w:val="00DE15F0"/>
    <w:rsid w:val="00DE5663"/>
    <w:rsid w:val="00DE78AA"/>
    <w:rsid w:val="00E053D0"/>
    <w:rsid w:val="00E06D05"/>
    <w:rsid w:val="00E15994"/>
    <w:rsid w:val="00E3114E"/>
    <w:rsid w:val="00E31A70"/>
    <w:rsid w:val="00E35B02"/>
    <w:rsid w:val="00E3651C"/>
    <w:rsid w:val="00E4621F"/>
    <w:rsid w:val="00E64980"/>
    <w:rsid w:val="00E66496"/>
    <w:rsid w:val="00E66B35"/>
    <w:rsid w:val="00E66E10"/>
    <w:rsid w:val="00E769F6"/>
    <w:rsid w:val="00E8407C"/>
    <w:rsid w:val="00E84F3C"/>
    <w:rsid w:val="00E91CB7"/>
    <w:rsid w:val="00EA012C"/>
    <w:rsid w:val="00EC6A55"/>
    <w:rsid w:val="00ED0288"/>
    <w:rsid w:val="00EE52CB"/>
    <w:rsid w:val="00EF581D"/>
    <w:rsid w:val="00EF7FD8"/>
    <w:rsid w:val="00F0062B"/>
    <w:rsid w:val="00F06F59"/>
    <w:rsid w:val="00F17988"/>
    <w:rsid w:val="00F469F0"/>
    <w:rsid w:val="00F53273"/>
    <w:rsid w:val="00F61EA8"/>
    <w:rsid w:val="00F755E4"/>
    <w:rsid w:val="00F77D02"/>
    <w:rsid w:val="00F8035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9D3855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49B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26C2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6A2B43"/>
    <w:pPr>
      <w:spacing w:before="100" w:beforeAutospacing="1" w:after="100" w:afterAutospacing="1"/>
    </w:pPr>
    <w:rPr>
      <w:rFonts w:ascii="Times New Roman" w:hAnsi="Times New Roman"/>
      <w:sz w:val="24"/>
      <w:szCs w:val="24"/>
      <w:lang w:val="fr-FR" w:eastAsia="fr-FR"/>
    </w:rPr>
  </w:style>
  <w:style w:type="character" w:customStyle="1" w:styleId="Heading3Char">
    <w:name w:val="Heading 3 Char"/>
    <w:basedOn w:val="DefaultParagraphFont"/>
    <w:link w:val="Heading3"/>
    <w:semiHidden/>
    <w:rsid w:val="00A26C29"/>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F2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4936972">
      <w:bodyDiv w:val="1"/>
      <w:marLeft w:val="0"/>
      <w:marRight w:val="0"/>
      <w:marTop w:val="0"/>
      <w:marBottom w:val="0"/>
      <w:divBdr>
        <w:top w:val="none" w:sz="0" w:space="0" w:color="auto"/>
        <w:left w:val="none" w:sz="0" w:space="0" w:color="auto"/>
        <w:bottom w:val="none" w:sz="0" w:space="0" w:color="auto"/>
        <w:right w:val="none" w:sz="0" w:space="0" w:color="auto"/>
      </w:divBdr>
    </w:div>
    <w:div w:id="12374233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448807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1571701">
      <w:bodyDiv w:val="1"/>
      <w:marLeft w:val="0"/>
      <w:marRight w:val="0"/>
      <w:marTop w:val="0"/>
      <w:marBottom w:val="0"/>
      <w:divBdr>
        <w:top w:val="none" w:sz="0" w:space="0" w:color="auto"/>
        <w:left w:val="none" w:sz="0" w:space="0" w:color="auto"/>
        <w:bottom w:val="none" w:sz="0" w:space="0" w:color="auto"/>
        <w:right w:val="none" w:sz="0" w:space="0" w:color="auto"/>
      </w:divBdr>
    </w:div>
    <w:div w:id="295840539">
      <w:bodyDiv w:val="1"/>
      <w:marLeft w:val="0"/>
      <w:marRight w:val="0"/>
      <w:marTop w:val="0"/>
      <w:marBottom w:val="0"/>
      <w:divBdr>
        <w:top w:val="none" w:sz="0" w:space="0" w:color="auto"/>
        <w:left w:val="none" w:sz="0" w:space="0" w:color="auto"/>
        <w:bottom w:val="none" w:sz="0" w:space="0" w:color="auto"/>
        <w:right w:val="none" w:sz="0" w:space="0" w:color="auto"/>
      </w:divBdr>
    </w:div>
    <w:div w:id="418990935">
      <w:bodyDiv w:val="1"/>
      <w:marLeft w:val="0"/>
      <w:marRight w:val="0"/>
      <w:marTop w:val="0"/>
      <w:marBottom w:val="0"/>
      <w:divBdr>
        <w:top w:val="none" w:sz="0" w:space="0" w:color="auto"/>
        <w:left w:val="none" w:sz="0" w:space="0" w:color="auto"/>
        <w:bottom w:val="none" w:sz="0" w:space="0" w:color="auto"/>
        <w:right w:val="none" w:sz="0" w:space="0" w:color="auto"/>
      </w:divBdr>
    </w:div>
    <w:div w:id="431167506">
      <w:bodyDiv w:val="1"/>
      <w:marLeft w:val="0"/>
      <w:marRight w:val="0"/>
      <w:marTop w:val="0"/>
      <w:marBottom w:val="0"/>
      <w:divBdr>
        <w:top w:val="none" w:sz="0" w:space="0" w:color="auto"/>
        <w:left w:val="none" w:sz="0" w:space="0" w:color="auto"/>
        <w:bottom w:val="none" w:sz="0" w:space="0" w:color="auto"/>
        <w:right w:val="none" w:sz="0" w:space="0" w:color="auto"/>
      </w:divBdr>
    </w:div>
    <w:div w:id="50987925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1811193">
      <w:bodyDiv w:val="1"/>
      <w:marLeft w:val="0"/>
      <w:marRight w:val="0"/>
      <w:marTop w:val="0"/>
      <w:marBottom w:val="0"/>
      <w:divBdr>
        <w:top w:val="none" w:sz="0" w:space="0" w:color="auto"/>
        <w:left w:val="none" w:sz="0" w:space="0" w:color="auto"/>
        <w:bottom w:val="none" w:sz="0" w:space="0" w:color="auto"/>
        <w:right w:val="none" w:sz="0" w:space="0" w:color="auto"/>
      </w:divBdr>
    </w:div>
    <w:div w:id="68262940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14289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23936400">
      <w:bodyDiv w:val="1"/>
      <w:marLeft w:val="0"/>
      <w:marRight w:val="0"/>
      <w:marTop w:val="0"/>
      <w:marBottom w:val="0"/>
      <w:divBdr>
        <w:top w:val="none" w:sz="0" w:space="0" w:color="auto"/>
        <w:left w:val="none" w:sz="0" w:space="0" w:color="auto"/>
        <w:bottom w:val="none" w:sz="0" w:space="0" w:color="auto"/>
        <w:right w:val="none" w:sz="0" w:space="0" w:color="auto"/>
      </w:divBdr>
    </w:div>
    <w:div w:id="164110769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8444948">
      <w:bodyDiv w:val="1"/>
      <w:marLeft w:val="0"/>
      <w:marRight w:val="0"/>
      <w:marTop w:val="0"/>
      <w:marBottom w:val="0"/>
      <w:divBdr>
        <w:top w:val="none" w:sz="0" w:space="0" w:color="auto"/>
        <w:left w:val="none" w:sz="0" w:space="0" w:color="auto"/>
        <w:bottom w:val="none" w:sz="0" w:space="0" w:color="auto"/>
        <w:right w:val="none" w:sz="0" w:space="0" w:color="auto"/>
      </w:divBdr>
    </w:div>
    <w:div w:id="192383691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ophtha.2019.08.020"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1016/j.jtos.2020.03.00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preteyeres.2018.04.003"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2147/OPTH.S45921" TargetMode="External"/><Relationship Id="rId20" Type="http://schemas.openxmlformats.org/officeDocument/2006/relationships/hyperlink" Target="https://doi.org/10.2147/EB.S1503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16/j.ophtha.2018.02.02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2147/OPTH.S45921"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87081-B8AD-4B1C-B4B3-E25AD0685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5</Pages>
  <Words>2571</Words>
  <Characters>14655</Characters>
  <Application>Microsoft Office Word</Application>
  <DocSecurity>0</DocSecurity>
  <Lines>122</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17192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5</cp:revision>
  <cp:lastPrinted>1999-07-06T11:00:00Z</cp:lastPrinted>
  <dcterms:created xsi:type="dcterms:W3CDTF">2026-03-27T21:53:00Z</dcterms:created>
  <dcterms:modified xsi:type="dcterms:W3CDTF">2026-03-28T12:27:00Z</dcterms:modified>
</cp:coreProperties>
</file>