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D1250" w14:textId="77777777" w:rsidR="00754C9A" w:rsidRDefault="00754C9A" w:rsidP="00441B6F">
      <w:pPr>
        <w:pStyle w:val="Titre"/>
        <w:spacing w:after="0"/>
        <w:jc w:val="both"/>
        <w:rPr>
          <w:rFonts w:ascii="Arial" w:hAnsi="Arial" w:cs="Arial"/>
        </w:rPr>
      </w:pPr>
    </w:p>
    <w:p w14:paraId="22DFEBE1" w14:textId="1421069C" w:rsidR="008A577A" w:rsidRPr="008A577A" w:rsidRDefault="008A577A" w:rsidP="008A577A">
      <w:pPr>
        <w:pStyle w:val="Author"/>
        <w:spacing w:line="240" w:lineRule="auto"/>
        <w:rPr>
          <w:rFonts w:ascii="Calibri" w:hAnsi="Calibri" w:cs="Calibri"/>
          <w:sz w:val="36"/>
          <w:szCs w:val="36"/>
        </w:rPr>
      </w:pPr>
      <w:r w:rsidRPr="00373268">
        <w:rPr>
          <w:rFonts w:ascii="Calibri" w:hAnsi="Calibri" w:cs="Calibri"/>
          <w:sz w:val="36"/>
          <w:szCs w:val="36"/>
          <w:highlight w:val="yellow"/>
        </w:rPr>
        <w:t xml:space="preserve">Assessing the prognostic performance of </w:t>
      </w:r>
      <w:r w:rsidR="00373268" w:rsidRPr="00373268">
        <w:rPr>
          <w:rFonts w:ascii="Calibri" w:hAnsi="Calibri" w:cs="Calibri"/>
          <w:sz w:val="36"/>
          <w:szCs w:val="36"/>
          <w:highlight w:val="yellow"/>
        </w:rPr>
        <w:t xml:space="preserve">albumin-bilirubin score and </w:t>
      </w:r>
      <w:r w:rsidRPr="00373268">
        <w:rPr>
          <w:rFonts w:ascii="Calibri" w:hAnsi="Calibri" w:cs="Calibri"/>
          <w:sz w:val="36"/>
          <w:szCs w:val="36"/>
          <w:highlight w:val="yellow"/>
        </w:rPr>
        <w:t>C-reactive protein to albumin ratio in patients with decompensated cirrhosis</w:t>
      </w:r>
    </w:p>
    <w:p w14:paraId="4A27A9C5" w14:textId="0D6CA4BC" w:rsidR="00A258C3" w:rsidRPr="008A577A" w:rsidRDefault="0063222E" w:rsidP="00441B6F">
      <w:pPr>
        <w:pStyle w:val="Author"/>
        <w:spacing w:line="240" w:lineRule="auto"/>
        <w:jc w:val="both"/>
        <w:rPr>
          <w:rFonts w:ascii="Arial" w:hAnsi="Arial" w:cs="Arial"/>
          <w:sz w:val="48"/>
          <w:szCs w:val="24"/>
        </w:rPr>
      </w:pPr>
      <w:r w:rsidRPr="0063222E">
        <w:rPr>
          <w:highlight w:val="yellow"/>
        </w:rPr>
        <w:t>Type of article: Original Research Article</w:t>
      </w:r>
    </w:p>
    <w:p w14:paraId="7A66C2C1" w14:textId="77777777" w:rsidR="002C57D2" w:rsidRPr="00FB3A86" w:rsidRDefault="002C57D2" w:rsidP="00441B6F">
      <w:pPr>
        <w:pStyle w:val="Affiliation"/>
        <w:spacing w:after="0" w:line="240" w:lineRule="auto"/>
        <w:jc w:val="both"/>
        <w:rPr>
          <w:rFonts w:ascii="Arial" w:hAnsi="Arial" w:cs="Arial"/>
        </w:rPr>
      </w:pPr>
    </w:p>
    <w:p w14:paraId="534A6BC9" w14:textId="77777777" w:rsidR="00B01FCD" w:rsidRPr="00FB3A86" w:rsidRDefault="00C6241D" w:rsidP="00441B6F">
      <w:pPr>
        <w:pStyle w:val="Copyright"/>
        <w:spacing w:after="0" w:line="240" w:lineRule="auto"/>
        <w:jc w:val="both"/>
        <w:rPr>
          <w:rFonts w:ascii="Arial" w:hAnsi="Arial" w:cs="Arial"/>
        </w:rPr>
        <w:sectPr w:rsidR="00B01FCD" w:rsidRPr="00FB3A86" w:rsidSect="003C460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57BD2F5">
          <v:shapetype id="_x0000_t32" coordsize="21600,21600" o:spt="32" o:oned="t" path="m,l21600,21600e" filled="f">
            <v:path arrowok="t" fillok="f" o:connecttype="none"/>
            <o:lock v:ext="edit" shapetype="t"/>
          </v:shapetype>
          <v:shape id="_x0000_s2052"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6915D9A8" w14:textId="456903D1" w:rsidR="00B01FCD" w:rsidRDefault="00B01FCD" w:rsidP="008A577A">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64BE17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B28408D" w14:textId="77777777" w:rsidTr="001E44FE">
        <w:tc>
          <w:tcPr>
            <w:tcW w:w="9576" w:type="dxa"/>
            <w:shd w:val="clear" w:color="auto" w:fill="F2F2F2"/>
          </w:tcPr>
          <w:p w14:paraId="7DB9D7C3" w14:textId="77777777" w:rsidR="00A03B96" w:rsidRDefault="00A03B96" w:rsidP="00441B6F">
            <w:pPr>
              <w:pStyle w:val="Body"/>
              <w:spacing w:after="0"/>
              <w:rPr>
                <w:rFonts w:ascii="Arial" w:eastAsia="Calibri" w:hAnsi="Arial" w:cs="Arial"/>
                <w:szCs w:val="22"/>
              </w:rPr>
            </w:pPr>
          </w:p>
          <w:p w14:paraId="094F1D6B" w14:textId="62FA07EC" w:rsidR="00505F06" w:rsidRPr="009661B8" w:rsidRDefault="008A577A" w:rsidP="009661B8">
            <w:pPr>
              <w:pStyle w:val="NormalWeb"/>
              <w:rPr>
                <w:rFonts w:ascii="Arial" w:eastAsia="Calibri" w:hAnsi="Arial" w:cs="Arial"/>
                <w:b/>
                <w:bCs/>
                <w:sz w:val="20"/>
                <w:szCs w:val="22"/>
                <w:lang w:val="en-US" w:eastAsia="en-US"/>
              </w:rPr>
            </w:pPr>
            <w:r w:rsidRPr="008A577A">
              <w:rPr>
                <w:rFonts w:ascii="Arial" w:eastAsia="Calibri" w:hAnsi="Arial" w:cs="Arial"/>
                <w:b/>
                <w:bCs/>
                <w:sz w:val="20"/>
                <w:szCs w:val="22"/>
                <w:lang w:val="en-US" w:eastAsia="en-US"/>
              </w:rPr>
              <w:t>Aims:</w:t>
            </w:r>
            <w:r w:rsidRPr="008A577A">
              <w:rPr>
                <w:rFonts w:ascii="Arial" w:eastAsia="Calibri" w:hAnsi="Arial" w:cs="Arial"/>
                <w:sz w:val="20"/>
                <w:szCs w:val="22"/>
                <w:lang w:val="en-US" w:eastAsia="en-US"/>
              </w:rPr>
              <w:br/>
              <w:t>To evaluate and compare the prognostic performance of the C-reactive protein to albumin ratio (CAR), albumin-bilirubin (ALBI), Child-Pugh (CP), and Model for End-Stage Liver Disease (MELD) scores in predicting 1-year mortality in patients with decompensated cirrhosis (DeCi).</w:t>
            </w:r>
            <w:r>
              <w:rPr>
                <w:rFonts w:ascii="Arial" w:eastAsia="Calibri" w:hAnsi="Arial" w:cs="Arial"/>
                <w:sz w:val="20"/>
                <w:szCs w:val="22"/>
                <w:lang w:val="en-US" w:eastAsia="en-US"/>
              </w:rPr>
              <w:br/>
            </w:r>
            <w:r w:rsidRPr="008A577A">
              <w:rPr>
                <w:rFonts w:ascii="Arial" w:eastAsia="Calibri" w:hAnsi="Arial" w:cs="Arial"/>
                <w:b/>
                <w:bCs/>
                <w:sz w:val="20"/>
                <w:szCs w:val="22"/>
                <w:lang w:val="en-US" w:eastAsia="en-US"/>
              </w:rPr>
              <w:t>Study design:</w:t>
            </w:r>
            <w:r w:rsidRPr="008A577A">
              <w:rPr>
                <w:rFonts w:ascii="Arial" w:eastAsia="Calibri" w:hAnsi="Arial" w:cs="Arial"/>
                <w:sz w:val="20"/>
                <w:szCs w:val="22"/>
                <w:lang w:val="en-US" w:eastAsia="en-US"/>
              </w:rPr>
              <w:br/>
              <w:t>Single-center retrospective observational study.</w:t>
            </w:r>
            <w:r>
              <w:rPr>
                <w:rFonts w:ascii="Arial" w:eastAsia="Calibri" w:hAnsi="Arial" w:cs="Arial"/>
                <w:sz w:val="20"/>
                <w:szCs w:val="22"/>
                <w:lang w:val="en-US" w:eastAsia="en-US"/>
              </w:rPr>
              <w:br/>
            </w:r>
            <w:r w:rsidRPr="008A577A">
              <w:rPr>
                <w:rFonts w:ascii="Arial" w:eastAsia="Calibri" w:hAnsi="Arial" w:cs="Arial"/>
                <w:b/>
                <w:bCs/>
                <w:sz w:val="20"/>
                <w:szCs w:val="22"/>
                <w:lang w:val="en-US" w:eastAsia="en-US"/>
              </w:rPr>
              <w:t>Place and Duration of Study:</w:t>
            </w:r>
            <w:r w:rsidRPr="008A577A">
              <w:rPr>
                <w:rFonts w:ascii="Arial" w:eastAsia="Calibri" w:hAnsi="Arial" w:cs="Arial"/>
                <w:sz w:val="20"/>
                <w:szCs w:val="22"/>
                <w:lang w:val="en-US" w:eastAsia="en-US"/>
              </w:rPr>
              <w:br/>
              <w:t>Gastroenterology Department</w:t>
            </w:r>
            <w:r w:rsidR="005F06E6">
              <w:rPr>
                <w:rFonts w:ascii="Arial" w:eastAsia="Calibri" w:hAnsi="Arial" w:cs="Arial"/>
                <w:sz w:val="20"/>
                <w:szCs w:val="22"/>
                <w:lang w:val="en-US" w:eastAsia="en-US"/>
              </w:rPr>
              <w:t xml:space="preserve">, </w:t>
            </w:r>
            <w:r w:rsidRPr="008A577A">
              <w:rPr>
                <w:rFonts w:ascii="Arial" w:eastAsia="Calibri" w:hAnsi="Arial" w:cs="Arial"/>
                <w:sz w:val="20"/>
                <w:szCs w:val="22"/>
                <w:lang w:val="en-US" w:eastAsia="en-US"/>
              </w:rPr>
              <w:t>January 2020 to June 2023.</w:t>
            </w:r>
            <w:r>
              <w:rPr>
                <w:rFonts w:ascii="Arial" w:eastAsia="Calibri" w:hAnsi="Arial" w:cs="Arial"/>
                <w:sz w:val="20"/>
                <w:szCs w:val="22"/>
                <w:lang w:val="en-US" w:eastAsia="en-US"/>
              </w:rPr>
              <w:br/>
            </w:r>
            <w:r w:rsidRPr="008A577A">
              <w:rPr>
                <w:rFonts w:ascii="Arial" w:eastAsia="Calibri" w:hAnsi="Arial" w:cs="Arial"/>
                <w:b/>
                <w:bCs/>
                <w:sz w:val="20"/>
                <w:szCs w:val="22"/>
                <w:lang w:val="en-US" w:eastAsia="en-US"/>
              </w:rPr>
              <w:t>Methodology:</w:t>
            </w:r>
            <w:r w:rsidRPr="008A577A">
              <w:rPr>
                <w:rFonts w:ascii="Arial" w:eastAsia="Calibri" w:hAnsi="Arial" w:cs="Arial"/>
                <w:sz w:val="20"/>
                <w:szCs w:val="22"/>
                <w:lang w:val="en-US" w:eastAsia="en-US"/>
              </w:rPr>
              <w:br/>
              <w:t>A total of 152 hospitalized DeCi patients were included. Clinical and biochemical data were collected at admission, and CAR, ALBI, CP, and MELD scores were calculated. Patients were followed for 1 year. Prognostic performance was assessed using ROC curves. Statistical analysis was performed with JAMOVI 2.5.</w:t>
            </w:r>
            <w:r>
              <w:rPr>
                <w:rFonts w:ascii="Arial" w:eastAsia="Calibri" w:hAnsi="Arial" w:cs="Arial"/>
                <w:sz w:val="20"/>
                <w:szCs w:val="22"/>
                <w:lang w:val="en-US" w:eastAsia="en-US"/>
              </w:rPr>
              <w:br/>
            </w:r>
            <w:r w:rsidRPr="008A577A">
              <w:rPr>
                <w:rFonts w:ascii="Arial" w:eastAsia="Calibri" w:hAnsi="Arial" w:cs="Arial"/>
                <w:b/>
                <w:bCs/>
                <w:sz w:val="20"/>
                <w:szCs w:val="22"/>
                <w:lang w:val="en-US" w:eastAsia="en-US"/>
              </w:rPr>
              <w:t>Results:</w:t>
            </w:r>
            <w:r w:rsidRPr="008A577A">
              <w:rPr>
                <w:rFonts w:ascii="Arial" w:eastAsia="Calibri" w:hAnsi="Arial" w:cs="Arial"/>
                <w:sz w:val="20"/>
                <w:szCs w:val="22"/>
                <w:lang w:val="en-US" w:eastAsia="en-US"/>
              </w:rPr>
              <w:br/>
              <w:t>Mean age was 64.7 ± 11.1 years (sex ratio 2.1). Variceal bleeding occurred in 44.7%, ascites in 71.1%, and hepatic encephalopathy in 13.2%. Median scores were: CAR 0.79, ALBI −1.49, CP 8, and MELD 13.</w:t>
            </w:r>
            <w:r>
              <w:rPr>
                <w:rFonts w:ascii="Arial" w:eastAsia="Calibri" w:hAnsi="Arial" w:cs="Arial"/>
                <w:sz w:val="20"/>
                <w:szCs w:val="22"/>
                <w:lang w:val="en-US" w:eastAsia="en-US"/>
              </w:rPr>
              <w:br/>
            </w:r>
            <w:r w:rsidRPr="008A577A">
              <w:rPr>
                <w:rFonts w:ascii="Arial" w:eastAsia="Calibri" w:hAnsi="Arial" w:cs="Arial"/>
                <w:sz w:val="20"/>
                <w:szCs w:val="22"/>
                <w:lang w:val="en-US" w:eastAsia="en-US"/>
              </w:rPr>
              <w:t>In univariate analysis, sex (p=0.011), MELD (p&lt;0.001), CP (p=0.047), CAR (p=0.002), and ALBI (p=0.016) were associated with mortality. In multivariate analysis, only MELD (OR 1.29; 95% CI 1.14–1.46; p&lt;0.001) and CAR (OR 1.44; 95% CI 1.10–1.90) remained independent predictors.</w:t>
            </w:r>
            <w:r>
              <w:rPr>
                <w:rFonts w:ascii="Arial" w:eastAsia="Calibri" w:hAnsi="Arial" w:cs="Arial"/>
                <w:sz w:val="20"/>
                <w:szCs w:val="22"/>
                <w:lang w:val="en-US" w:eastAsia="en-US"/>
              </w:rPr>
              <w:br/>
            </w:r>
            <w:r w:rsidRPr="008A577A">
              <w:rPr>
                <w:rFonts w:ascii="Arial" w:eastAsia="Calibri" w:hAnsi="Arial" w:cs="Arial"/>
                <w:sz w:val="20"/>
                <w:szCs w:val="22"/>
                <w:lang w:val="en-US" w:eastAsia="en-US"/>
              </w:rPr>
              <w:t>CAR and ALBI correlated with CP (r=0.32; r=0.78) and MELD (r=0.22; r=0.55). MELD showed the highest predictive accuracy (AUC=0.75).</w:t>
            </w:r>
            <w:r>
              <w:rPr>
                <w:rFonts w:ascii="Arial" w:eastAsia="Calibri" w:hAnsi="Arial" w:cs="Arial"/>
                <w:sz w:val="20"/>
                <w:szCs w:val="22"/>
                <w:lang w:val="en-US" w:eastAsia="en-US"/>
              </w:rPr>
              <w:br/>
            </w:r>
            <w:r w:rsidRPr="008A577A">
              <w:rPr>
                <w:rFonts w:ascii="Arial" w:eastAsia="Calibri" w:hAnsi="Arial" w:cs="Arial"/>
                <w:b/>
                <w:bCs/>
                <w:sz w:val="20"/>
                <w:szCs w:val="22"/>
                <w:lang w:val="en-US" w:eastAsia="en-US"/>
              </w:rPr>
              <w:t>Conclusion:</w:t>
            </w:r>
            <w:r w:rsidRPr="008A577A">
              <w:rPr>
                <w:rFonts w:ascii="Arial" w:eastAsia="Calibri" w:hAnsi="Arial" w:cs="Arial"/>
                <w:sz w:val="20"/>
                <w:szCs w:val="22"/>
                <w:lang w:val="en-US" w:eastAsia="en-US"/>
              </w:rPr>
              <w:br/>
              <w:t>CAR and MELD are the strongest independent predictors of mortality in DeCi. While ALBI correlates with established scores, MELD remains the most accurate prognostic tool. Combining CAR with MELD may improve risk stratification.</w:t>
            </w:r>
          </w:p>
        </w:tc>
      </w:tr>
    </w:tbl>
    <w:p w14:paraId="12414149" w14:textId="77777777" w:rsidR="00636EB2" w:rsidRDefault="00636EB2" w:rsidP="00441B6F">
      <w:pPr>
        <w:pStyle w:val="Body"/>
        <w:spacing w:after="0"/>
        <w:rPr>
          <w:rFonts w:ascii="Arial" w:hAnsi="Arial" w:cs="Arial"/>
          <w:i/>
        </w:rPr>
      </w:pPr>
    </w:p>
    <w:p w14:paraId="6C723BBF" w14:textId="5A5FAC5D" w:rsidR="00A24E7E" w:rsidRDefault="00A24E7E" w:rsidP="008A577A">
      <w:pPr>
        <w:pStyle w:val="Body"/>
        <w:spacing w:after="0"/>
        <w:rPr>
          <w:rFonts w:ascii="Arial" w:hAnsi="Arial" w:cs="Arial"/>
          <w:i/>
        </w:rPr>
      </w:pPr>
      <w:r>
        <w:rPr>
          <w:rFonts w:ascii="Arial" w:hAnsi="Arial" w:cs="Arial"/>
          <w:i/>
        </w:rPr>
        <w:t>Keywords:</w:t>
      </w:r>
      <w:r w:rsidR="008A577A">
        <w:rPr>
          <w:rFonts w:ascii="Arial" w:hAnsi="Arial" w:cs="Arial"/>
          <w:i/>
        </w:rPr>
        <w:t xml:space="preserve"> Cirrhosis, Child-Pugh, MELD, ALBI, CAR </w:t>
      </w:r>
    </w:p>
    <w:p w14:paraId="397F8385" w14:textId="77777777" w:rsidR="0024282C" w:rsidRDefault="0024282C" w:rsidP="00441B6F">
      <w:pPr>
        <w:pStyle w:val="Body"/>
        <w:spacing w:after="0"/>
        <w:rPr>
          <w:rFonts w:ascii="Arial" w:hAnsi="Arial" w:cs="Arial"/>
          <w:i/>
          <w:sz w:val="18"/>
        </w:rPr>
      </w:pPr>
    </w:p>
    <w:p w14:paraId="6BE55689" w14:textId="77777777" w:rsidR="00505F06" w:rsidRPr="00A24E7E" w:rsidRDefault="00505F06" w:rsidP="00441B6F">
      <w:pPr>
        <w:pStyle w:val="Body"/>
        <w:spacing w:after="0"/>
        <w:rPr>
          <w:rFonts w:ascii="Arial" w:hAnsi="Arial" w:cs="Arial"/>
          <w:i/>
        </w:rPr>
      </w:pPr>
    </w:p>
    <w:p w14:paraId="5835C213" w14:textId="0A658E00"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4A0B417" w14:textId="4133F88C" w:rsidR="00134EE8" w:rsidRPr="00134EE8" w:rsidRDefault="00134EE8" w:rsidP="00134EE8">
      <w:pPr>
        <w:jc w:val="both"/>
        <w:rPr>
          <w:rFonts w:ascii="Arial" w:hAnsi="Arial" w:cs="Arial"/>
        </w:rPr>
      </w:pPr>
      <w:r>
        <w:rPr>
          <w:rFonts w:ascii="Arial" w:hAnsi="Arial" w:cs="Arial"/>
        </w:rPr>
        <w:br/>
      </w:r>
      <w:r w:rsidRPr="00134EE8">
        <w:rPr>
          <w:rFonts w:ascii="Arial" w:hAnsi="Arial" w:cs="Arial"/>
        </w:rPr>
        <w:t xml:space="preserve">Decompensated cirrhosis (DeCi) refers to the advanced stage of liver disease where the liver can no longer perform its essential functions, leading to complications such as ascites, variceal bleeding and hepatic encephalopathy </w:t>
      </w:r>
      <w:r w:rsidRPr="00134EE8">
        <w:rPr>
          <w:rFonts w:ascii="Arial" w:hAnsi="Arial" w:cs="Arial"/>
        </w:rPr>
        <w:fldChar w:fldCharType="begin"/>
      </w:r>
      <w:r w:rsidRPr="00134EE8">
        <w:rPr>
          <w:rFonts w:ascii="Arial" w:hAnsi="Arial" w:cs="Arial"/>
        </w:rPr>
        <w:instrText xml:space="preserve"> ADDIN ZOTERO_ITEM CSL_CITATION {"citationID":"AIQynMjr","properties":{"formattedCitation":"\\super 1\\nosupersub{}","plainCitation":"1","noteIndex":0},"citationItems":[{"id":112,"uris":["http://zotero.org/users/local/XuoWewzg/items/CXWS3IT3"],"itemData":{"id":112,"type":"article-journal","container-title":"Journal of Hepatology","DOI":"10.1016/j.jhep.2021.01.002","ISSN":"01688278","journalAbbreviation":"Journal of Hepatology","language":"en","page":"S49-S66","source":"DOI.org (Crossref)","title":"Pathophysiology of decompensated cirrhosis: Portal hypertension, circulatory dysfunction, inflammation, metabolism and mitochondrial dysfunction","title-short":"Pathophysiology of decompensated cirrhosis","volume":"75","author":[{"family":"Engelmann","given":"Cornelius"},{"family":"Clària","given":"Joan"},{"family":"Szabo","given":"Gyongyi"},{"family":"Bosch","given":"Jaume"},{"family":"Bernardi","given":"Mauro"}],"issued":{"date-parts":[["2021",7]]}}}],"schema":"https://github.com/citation-style-language/schema/raw/master/csl-citation.json"} </w:instrText>
      </w:r>
      <w:r w:rsidRPr="00134EE8">
        <w:rPr>
          <w:rFonts w:ascii="Arial" w:hAnsi="Arial" w:cs="Arial"/>
        </w:rPr>
        <w:fldChar w:fldCharType="separate"/>
      </w:r>
      <w:r w:rsidRPr="00134EE8">
        <w:rPr>
          <w:rFonts w:ascii="Arial" w:hAnsi="Arial" w:cs="Arial"/>
          <w:vertAlign w:val="superscript"/>
        </w:rPr>
        <w:t>1</w:t>
      </w:r>
      <w:r w:rsidRPr="00134EE8">
        <w:rPr>
          <w:rFonts w:ascii="Arial" w:hAnsi="Arial" w:cs="Arial"/>
        </w:rPr>
        <w:fldChar w:fldCharType="end"/>
      </w:r>
      <w:r w:rsidRPr="00134EE8">
        <w:rPr>
          <w:rFonts w:ascii="Arial" w:hAnsi="Arial" w:cs="Arial"/>
        </w:rPr>
        <w:t xml:space="preserve">. These complications significantly worsen the prognosis, making accurate risk stratification crucial for patient management. </w:t>
      </w:r>
      <w:r w:rsidRPr="00134EE8">
        <w:rPr>
          <w:rFonts w:ascii="Arial" w:hAnsi="Arial" w:cs="Arial"/>
        </w:rPr>
        <w:br/>
      </w:r>
      <w:r w:rsidRPr="00134EE8">
        <w:rPr>
          <w:rFonts w:ascii="Arial" w:hAnsi="Arial" w:cs="Arial"/>
        </w:rPr>
        <w:lastRenderedPageBreak/>
        <w:t>Traditionally, the Child-Pugh score</w:t>
      </w:r>
      <w:r w:rsidRPr="00134EE8">
        <w:rPr>
          <w:rFonts w:ascii="Arial" w:hAnsi="Arial" w:cs="Arial"/>
        </w:rPr>
        <w:fldChar w:fldCharType="begin"/>
      </w:r>
      <w:r w:rsidR="00AD06E9">
        <w:rPr>
          <w:rFonts w:ascii="Arial" w:hAnsi="Arial" w:cs="Arial"/>
        </w:rPr>
        <w:instrText xml:space="preserve"> ADDIN ZOTERO_ITEM CSL_CITATION {"citationID":"sy0YM4XD","properties":{"formattedCitation":"\\super 2\\nosupersub{}","plainCitation":"2","noteIndex":0},"citationItems":[{"id":114,"uris":["http://zotero.org/users/local/XuoWewzg/items/HPMGDWWB"],"itemData":{"id":114,"type":"article-journal","container-title":"Major Problems in Clinical Surgery","ISSN":"0025-1062","journalAbbreviation":"Major Probl Clin Surg","language":"eng","page":"1-85","PMID":"4950264","source":"PubMed","title":"Surgery and portal hypertension","volume":"1","author":[{"family":"Child","given":"C. G."},{"family":"Turcotte","given":"J. G."}],"issued":{"date-parts":[["1964"]]}}}],"schema":"https://github.com/citation-style-language/schema/raw/master/csl-citation.json"} </w:instrText>
      </w:r>
      <w:r w:rsidRPr="00134EE8">
        <w:rPr>
          <w:rFonts w:ascii="Arial" w:hAnsi="Arial" w:cs="Arial"/>
        </w:rPr>
        <w:fldChar w:fldCharType="separate"/>
      </w:r>
      <w:r w:rsidRPr="00134EE8">
        <w:rPr>
          <w:rFonts w:ascii="Arial" w:hAnsi="Arial" w:cs="Arial"/>
          <w:vertAlign w:val="superscript"/>
        </w:rPr>
        <w:t>2</w:t>
      </w:r>
      <w:r w:rsidRPr="00134EE8">
        <w:rPr>
          <w:rFonts w:ascii="Arial" w:hAnsi="Arial" w:cs="Arial"/>
        </w:rPr>
        <w:fldChar w:fldCharType="end"/>
      </w:r>
      <w:r w:rsidRPr="00134EE8">
        <w:rPr>
          <w:rFonts w:ascii="Arial" w:hAnsi="Arial" w:cs="Arial"/>
        </w:rPr>
        <w:t xml:space="preserve"> and Model for End-Stage Liver Disease (MELD) score</w:t>
      </w:r>
      <w:r w:rsidRPr="00134EE8">
        <w:rPr>
          <w:rFonts w:ascii="Arial" w:hAnsi="Arial" w:cs="Arial"/>
        </w:rPr>
        <w:fldChar w:fldCharType="begin"/>
      </w:r>
      <w:r w:rsidRPr="00134EE8">
        <w:rPr>
          <w:rFonts w:ascii="Arial" w:hAnsi="Arial" w:cs="Arial"/>
        </w:rPr>
        <w:instrText xml:space="preserve"> ADDIN ZOTERO_ITEM CSL_CITATION {"citationID":"jIDVhwjX","properties":{"formattedCitation":"\\super 3\\nosupersub{}","plainCitation":"3","noteIndex":0},"citationItems":[{"id":116,"uris":["http://zotero.org/users/local/XuoWewzg/items/GVV348KN"],"itemData":{"id":116,"type":"article-journal","abstract":"Abstract\n              \n                The Model for End-stage Liver Disease (MELD) was initially created to predict survival in patients with complications of portal hypertension undergoing elective placement of transjugular intrahepatic portosystemic shunts. The MELD which uses only objective variables was validated subsequently as an accurate predictor of survival among different populations of patients with advanced liver disease. The major use of the MELD score has been in allocation of organs for liver transplantation. However, the MELD score has also been shown to predict survival in patients with cirrhosis who have infections, variceal bleeding, as well as in patients with fulminant hepatic failure and alcoholic hepatitis. MELD may be used in selection of patients for surgery other than liver transplantation and in determining optimal treatment for patients with hepatocellular carcinoma who are not candidates for liver transplantation. Despite the many advantages of the MELD score, there are approximately 15%-20% of patients whose survival cannot be accurately predicted by the MELD score. It is possible that the addition of variables that are better determinants of liver and renal function may improve the predictive accuracy of the model. Efforts at further refinement and validation of the MELD score will continue. (Hepatology 2007;45:797–805.)","container-title":"Hepatology","DOI":"10.1002/hep.21563","ISSN":"0270-9139","issue":"3","language":"en","page":"797-805","source":"DOI.org (Crossref)","title":"The model for end-stage liver disease (MELD)","volume":"45","author":[{"family":"Kamath","given":"Patrick S."},{"family":"Kim","given":"Ray W."}],"issued":{"date-parts":[["2007",3]]}}}],"schema":"https://github.com/citation-style-language/schema/raw/master/csl-citation.json"} </w:instrText>
      </w:r>
      <w:r w:rsidRPr="00134EE8">
        <w:rPr>
          <w:rFonts w:ascii="Arial" w:hAnsi="Arial" w:cs="Arial"/>
        </w:rPr>
        <w:fldChar w:fldCharType="separate"/>
      </w:r>
      <w:r w:rsidRPr="00134EE8">
        <w:rPr>
          <w:rFonts w:ascii="Arial" w:hAnsi="Arial" w:cs="Arial"/>
          <w:vertAlign w:val="superscript"/>
        </w:rPr>
        <w:t>3</w:t>
      </w:r>
      <w:r w:rsidRPr="00134EE8">
        <w:rPr>
          <w:rFonts w:ascii="Arial" w:hAnsi="Arial" w:cs="Arial"/>
        </w:rPr>
        <w:fldChar w:fldCharType="end"/>
      </w:r>
      <w:r w:rsidRPr="00134EE8">
        <w:rPr>
          <w:rFonts w:ascii="Arial" w:hAnsi="Arial" w:cs="Arial"/>
        </w:rPr>
        <w:t xml:space="preserve"> have been used to assess the severity of cirrhosis and predict mortality. </w:t>
      </w:r>
      <w:r w:rsidRPr="00134EE8">
        <w:rPr>
          <w:rFonts w:ascii="Arial" w:hAnsi="Arial" w:cs="Arial"/>
        </w:rPr>
        <w:br/>
        <w:t xml:space="preserve">While the Child-Pugh score uses five clinical and biological parameters, the MELD score is only based on three biological parameters, destined to predict short-term mortality. </w:t>
      </w:r>
    </w:p>
    <w:p w14:paraId="142995F9" w14:textId="3E5AE799" w:rsidR="00134EE8" w:rsidRPr="00134EE8" w:rsidRDefault="00134EE8" w:rsidP="005F7F97">
      <w:pPr>
        <w:jc w:val="both"/>
        <w:rPr>
          <w:rFonts w:ascii="Arial" w:hAnsi="Arial" w:cs="Arial"/>
        </w:rPr>
      </w:pPr>
      <w:r w:rsidRPr="00134EE8">
        <w:rPr>
          <w:rFonts w:ascii="Arial" w:hAnsi="Arial" w:cs="Arial"/>
        </w:rPr>
        <w:t xml:space="preserve">Although both scores are widely used, they have their limitations. </w:t>
      </w:r>
      <w:r w:rsidRPr="00134EE8">
        <w:rPr>
          <w:rFonts w:ascii="Arial" w:hAnsi="Arial" w:cs="Arial"/>
        </w:rPr>
        <w:br/>
      </w:r>
      <w:r w:rsidR="00373268" w:rsidRPr="00373268">
        <w:rPr>
          <w:rFonts w:ascii="Arial" w:hAnsi="Arial" w:cs="Arial"/>
          <w:highlight w:val="yellow"/>
        </w:rPr>
        <w:t>Recently new scores like the C-reactive protein to albumin ratio (CAR)</w:t>
      </w:r>
      <w:r w:rsidR="00373268" w:rsidRPr="00373268">
        <w:rPr>
          <w:rFonts w:ascii="Arial" w:hAnsi="Arial" w:cs="Arial"/>
          <w:highlight w:val="yellow"/>
        </w:rPr>
        <w:fldChar w:fldCharType="begin"/>
      </w:r>
      <w:r w:rsidR="00373268" w:rsidRPr="00373268">
        <w:rPr>
          <w:rFonts w:ascii="Arial" w:hAnsi="Arial" w:cs="Arial"/>
          <w:highlight w:val="yellow"/>
        </w:rPr>
        <w:instrText xml:space="preserve"> ADDIN ZOTERO_ITEM CSL_CITATION {"citationID":"lAcqzvE2","properties":{"formattedCitation":"\\super 4\\nosupersub{}","plainCitation":"4","noteIndex":0},"citationItems":[{"id":118,"uris":["http://zotero.org/users/local/XuoWewzg/items/YCK3DECE"],"itemData":{"id":118,"type":"article-journal","container-title":"Annals of Gastroenterology","DOI":"10.20524/aog.2020.0534","ISSN":"17927463","journalAbbreviation":"aog","source":"DOI.org (Crossref)","title":"The significance of C-reactive protein to albumin ratio in patients with decompensated cirrhosis","URL":"http://www.annalsgastro.gr/files/journals/1/earlyview/2020/ev-09-2020-07-AG_4970-0534.pdf","author":[{"family":"Oikonomou","given":"Theodora"}],"accessed":{"date-parts":[["2025",2,26]]},"issued":{"date-parts":[["2020"]]}}}],"schema":"https://github.com/citation-style-language/schema/raw/master/csl-citation.json"} </w:instrText>
      </w:r>
      <w:r w:rsidR="00373268" w:rsidRPr="00373268">
        <w:rPr>
          <w:rFonts w:ascii="Arial" w:hAnsi="Arial" w:cs="Arial"/>
          <w:highlight w:val="yellow"/>
        </w:rPr>
        <w:fldChar w:fldCharType="separate"/>
      </w:r>
      <w:r w:rsidR="00373268" w:rsidRPr="00373268">
        <w:rPr>
          <w:rFonts w:ascii="Arial" w:hAnsi="Arial" w:cs="Arial"/>
          <w:highlight w:val="yellow"/>
          <w:vertAlign w:val="superscript"/>
        </w:rPr>
        <w:t>4</w:t>
      </w:r>
      <w:r w:rsidR="00373268" w:rsidRPr="00373268">
        <w:rPr>
          <w:rFonts w:ascii="Arial" w:hAnsi="Arial" w:cs="Arial"/>
          <w:highlight w:val="yellow"/>
        </w:rPr>
        <w:fldChar w:fldCharType="end"/>
      </w:r>
      <w:r w:rsidR="00373268" w:rsidRPr="00373268">
        <w:rPr>
          <w:rFonts w:ascii="Arial" w:hAnsi="Arial" w:cs="Arial"/>
          <w:highlight w:val="yellow"/>
        </w:rPr>
        <w:t>, which combines markers of inflammation and nutritional status, have been proposed and offers a more holistic prognostic tool. Likewise, the albumin-bilirubin (ALBI) score</w:t>
      </w:r>
      <w:r w:rsidR="00D65CE8">
        <w:rPr>
          <w:rFonts w:ascii="Arial" w:hAnsi="Arial" w:cs="Arial"/>
          <w:highlight w:val="yellow"/>
        </w:rPr>
        <w:t xml:space="preserve"> </w:t>
      </w:r>
      <w:r w:rsidR="00D65CE8">
        <w:rPr>
          <w:rFonts w:ascii="Arial" w:hAnsi="Arial" w:cs="Arial"/>
          <w:highlight w:val="yellow"/>
        </w:rPr>
        <w:fldChar w:fldCharType="begin"/>
      </w:r>
      <w:r w:rsidR="00D65CE8">
        <w:rPr>
          <w:rFonts w:ascii="Arial" w:hAnsi="Arial" w:cs="Arial"/>
          <w:highlight w:val="yellow"/>
        </w:rPr>
        <w:instrText xml:space="preserve"> ADDIN ZOTERO_ITEM CSL_CITATION {"citationID":"NBBi7Ndx","properties":{"unsorted":false,"formattedCitation":"\\super 5\\nosupersub{}","plainCitation":"5","noteIndex":0},"citationItems":[{"id":120,"uris":["http://zotero.org/users/local/XuoWewzg/items/S9JQMJ7C"],"itemData":{"id":120,"type":"article-journal","container-title":"JHEP Reports","DOI":"10.1016/j.jhepr.2022.100557","ISSN":"25895559","issue":"10","journalAbbreviation":"JHEP Reports","language":"en","page":"100557","source":"DOI.org (Crossref)","title":"The ALBI score: From liver function in patients with HCC to a general measure of liver function","title-short":"The ALBI score","volume":"4","author":[{"family":"Toyoda","given":"Hidenori"},{"family":"Johnson","given":"Philip J."}],"issued":{"date-parts":[["2022",10]]}}}],"schema":"https://github.com/citation-style-language/schema/raw/master/csl-citation.json"} </w:instrText>
      </w:r>
      <w:r w:rsidR="00D65CE8">
        <w:rPr>
          <w:rFonts w:ascii="Arial" w:hAnsi="Arial" w:cs="Arial"/>
          <w:highlight w:val="yellow"/>
        </w:rPr>
        <w:fldChar w:fldCharType="separate"/>
      </w:r>
      <w:r w:rsidR="00D65CE8" w:rsidRPr="00D65CE8">
        <w:rPr>
          <w:rFonts w:ascii="Arial" w:hAnsi="Arial" w:cs="Arial"/>
          <w:szCs w:val="24"/>
          <w:vertAlign w:val="superscript"/>
        </w:rPr>
        <w:t>5</w:t>
      </w:r>
      <w:r w:rsidR="00D65CE8">
        <w:rPr>
          <w:rFonts w:ascii="Arial" w:hAnsi="Arial" w:cs="Arial"/>
          <w:highlight w:val="yellow"/>
        </w:rPr>
        <w:fldChar w:fldCharType="end"/>
      </w:r>
      <w:r w:rsidR="00373268" w:rsidRPr="00373268">
        <w:rPr>
          <w:rFonts w:ascii="Arial" w:hAnsi="Arial" w:cs="Arial"/>
          <w:highlight w:val="yellow"/>
        </w:rPr>
        <w:t xml:space="preserve">, originally designed for evaluating liver function in hepatocellular carcinoma, has become an objective and reliable method to assess liver health without relying on subjective criteria. A growing body of research supports its prognostic significance in populations with cirrhosis. </w:t>
      </w:r>
      <w:r w:rsidR="00373268" w:rsidRPr="00373268">
        <w:rPr>
          <w:rFonts w:ascii="Arial" w:hAnsi="Arial" w:cs="Arial"/>
          <w:highlight w:val="yellow"/>
        </w:rPr>
        <w:br/>
        <w:t>Nevertheless, comparative data evaluating the performance of ALBI and CAR against well-established scoring systems like MELD and Child-Pugh in cases of decompensated cirrhosis remain limited and occasionally inconsistent.</w:t>
      </w:r>
      <w:r w:rsidR="00373268">
        <w:rPr>
          <w:rFonts w:ascii="Arial" w:hAnsi="Arial" w:cs="Arial"/>
        </w:rPr>
        <w:br/>
      </w:r>
      <w:r w:rsidRPr="00134EE8">
        <w:rPr>
          <w:rFonts w:ascii="Arial" w:hAnsi="Arial" w:cs="Arial"/>
        </w:rPr>
        <w:t>This study aims to compare the prognostic value of CAR and ALBI score with traditional scores like MELD and Child-Pugh in predicting mortality</w:t>
      </w:r>
    </w:p>
    <w:p w14:paraId="0522AF14" w14:textId="1A6B2D1A" w:rsidR="00B01FCD" w:rsidRDefault="00B01FCD" w:rsidP="00441B6F">
      <w:pPr>
        <w:pStyle w:val="Body"/>
        <w:spacing w:after="0"/>
        <w:rPr>
          <w:rFonts w:ascii="Arial" w:hAnsi="Arial" w:cs="Arial"/>
        </w:rPr>
      </w:pPr>
    </w:p>
    <w:p w14:paraId="1EA338A2" w14:textId="77777777" w:rsidR="00790ADA" w:rsidRPr="00FB3A86" w:rsidRDefault="00790ADA" w:rsidP="00441B6F">
      <w:pPr>
        <w:pStyle w:val="Body"/>
        <w:spacing w:after="0"/>
        <w:rPr>
          <w:rFonts w:ascii="Arial" w:hAnsi="Arial" w:cs="Arial"/>
        </w:rPr>
      </w:pPr>
    </w:p>
    <w:p w14:paraId="76C05253" w14:textId="60DF0E3B"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7224D35" w14:textId="77777777" w:rsidR="00790ADA" w:rsidRPr="00FB3A86" w:rsidRDefault="00790ADA" w:rsidP="00441B6F">
      <w:pPr>
        <w:pStyle w:val="Body"/>
        <w:spacing w:after="0"/>
        <w:rPr>
          <w:rFonts w:ascii="Arial" w:hAnsi="Arial" w:cs="Arial"/>
        </w:rPr>
      </w:pPr>
    </w:p>
    <w:p w14:paraId="0489DC8D" w14:textId="107AE868" w:rsidR="00134EE8" w:rsidRDefault="00AA74E0" w:rsidP="00134EE8">
      <w:pPr>
        <w:pStyle w:val="Body"/>
        <w:spacing w:after="0"/>
        <w:rPr>
          <w:rFonts w:ascii="Arial" w:hAnsi="Arial" w:cs="Arial"/>
          <w:b/>
          <w:sz w:val="22"/>
        </w:rPr>
      </w:pPr>
      <w:r w:rsidRPr="00C30A0F">
        <w:rPr>
          <w:rFonts w:ascii="Arial" w:hAnsi="Arial" w:cs="Arial"/>
          <w:b/>
          <w:caps/>
          <w:sz w:val="22"/>
        </w:rPr>
        <w:t xml:space="preserve">2.1 </w:t>
      </w:r>
      <w:r w:rsidR="00134EE8">
        <w:rPr>
          <w:rFonts w:ascii="Arial" w:hAnsi="Arial" w:cs="Arial"/>
          <w:b/>
          <w:sz w:val="22"/>
        </w:rPr>
        <w:t xml:space="preserve">Study design </w:t>
      </w:r>
    </w:p>
    <w:p w14:paraId="5BE7EF66" w14:textId="77777777" w:rsidR="00134EE8" w:rsidRPr="00134EE8" w:rsidRDefault="00134EE8" w:rsidP="00134EE8">
      <w:pPr>
        <w:jc w:val="both"/>
        <w:rPr>
          <w:rFonts w:ascii="Arial" w:eastAsiaTheme="minorHAnsi" w:hAnsi="Arial" w:cs="Arial"/>
          <w:b/>
          <w:bCs/>
          <w:i/>
          <w:iCs/>
        </w:rPr>
      </w:pPr>
      <w:r w:rsidRPr="00134EE8">
        <w:rPr>
          <w:rFonts w:ascii="Arial" w:eastAsiaTheme="minorHAnsi" w:hAnsi="Arial" w:cs="Arial"/>
        </w:rPr>
        <w:t xml:space="preserve">This was a single-center, retrospective cohort study conducted at the Gastroenterology Department of the Military Teaching Hospital in Rabat, Morocco, between January 2020 and June 2023. The study included 152 patients diagnosed with decompensated cirrhosis, who were hospitalized during the study period. The data were collected from medical records, and all patients were followed for </w:t>
      </w:r>
      <w:r w:rsidRPr="00134EE8">
        <w:rPr>
          <w:rFonts w:ascii="Arial" w:hAnsi="Arial" w:cs="Arial"/>
        </w:rPr>
        <w:t>1-year</w:t>
      </w:r>
      <w:r w:rsidRPr="00134EE8">
        <w:rPr>
          <w:rFonts w:ascii="Arial" w:eastAsiaTheme="minorHAnsi" w:hAnsi="Arial" w:cs="Arial"/>
        </w:rPr>
        <w:t xml:space="preserve"> post-admission to determine their survival status.</w:t>
      </w:r>
    </w:p>
    <w:p w14:paraId="3B79C1D3" w14:textId="77777777" w:rsidR="00134EE8" w:rsidRDefault="00134EE8" w:rsidP="00134EE8">
      <w:pPr>
        <w:pStyle w:val="Body"/>
        <w:spacing w:after="0"/>
        <w:rPr>
          <w:rFonts w:ascii="Arial" w:hAnsi="Arial" w:cs="Arial"/>
          <w:b/>
          <w:sz w:val="22"/>
        </w:rPr>
      </w:pPr>
    </w:p>
    <w:p w14:paraId="5B57C619" w14:textId="326D228A" w:rsidR="00134EE8" w:rsidRDefault="00134EE8" w:rsidP="00134EE8">
      <w:pPr>
        <w:pStyle w:val="Body"/>
        <w:spacing w:after="0"/>
        <w:rPr>
          <w:rFonts w:ascii="Arial" w:hAnsi="Arial" w:cs="Arial"/>
          <w:b/>
          <w:sz w:val="22"/>
        </w:rPr>
      </w:pPr>
      <w:r>
        <w:rPr>
          <w:rFonts w:ascii="Arial" w:hAnsi="Arial" w:cs="Arial"/>
          <w:b/>
          <w:sz w:val="22"/>
        </w:rPr>
        <w:t xml:space="preserve">2.2 Inclusion and exclusion criteria </w:t>
      </w:r>
    </w:p>
    <w:p w14:paraId="62E124B2" w14:textId="68ECCC92" w:rsidR="00134EE8" w:rsidRPr="00134EE8" w:rsidRDefault="00134EE8" w:rsidP="00134EE8">
      <w:pPr>
        <w:pStyle w:val="Body"/>
        <w:spacing w:after="0"/>
        <w:jc w:val="left"/>
        <w:rPr>
          <w:rFonts w:ascii="Arial" w:hAnsi="Arial" w:cs="Arial"/>
          <w:b/>
          <w:sz w:val="22"/>
        </w:rPr>
      </w:pPr>
      <w:r w:rsidRPr="00134EE8">
        <w:rPr>
          <w:rFonts w:ascii="Arial" w:eastAsiaTheme="minorHAnsi" w:hAnsi="Arial" w:cs="Arial"/>
        </w:rPr>
        <w:t>Inclusion criteria were:</w:t>
      </w:r>
      <w:r w:rsidRPr="00134EE8">
        <w:rPr>
          <w:rFonts w:ascii="Arial" w:eastAsiaTheme="minorHAnsi" w:hAnsi="Arial" w:cs="Arial"/>
        </w:rPr>
        <w:br/>
      </w:r>
      <w:r w:rsidRPr="00134EE8">
        <w:rPr>
          <w:rFonts w:ascii="Arial" w:eastAsiaTheme="minorHAnsi" w:hAnsi="Arial" w:cs="Arial"/>
        </w:rPr>
        <w:tab/>
        <w:t>Age &gt;18 years</w:t>
      </w:r>
      <w:r w:rsidRPr="00134EE8">
        <w:rPr>
          <w:rFonts w:ascii="Arial" w:eastAsiaTheme="minorHAnsi" w:hAnsi="Arial" w:cs="Arial"/>
        </w:rPr>
        <w:br/>
      </w:r>
      <w:r w:rsidRPr="00134EE8">
        <w:rPr>
          <w:rFonts w:ascii="Arial" w:eastAsiaTheme="minorHAnsi" w:hAnsi="Arial" w:cs="Arial"/>
        </w:rPr>
        <w:tab/>
        <w:t>Diagnosis of decompensated cirrhosis, defined by the presence of ascites, variceal hemorrhage, or hepatic encephalopathy</w:t>
      </w:r>
      <w:r w:rsidRPr="00134EE8">
        <w:rPr>
          <w:rFonts w:ascii="Arial" w:eastAsiaTheme="minorHAnsi" w:hAnsi="Arial" w:cs="Arial"/>
        </w:rPr>
        <w:br/>
        <w:t>Exclusion criteria included:</w:t>
      </w:r>
      <w:r w:rsidRPr="00134EE8">
        <w:rPr>
          <w:rFonts w:ascii="Arial" w:eastAsiaTheme="minorHAnsi" w:hAnsi="Arial" w:cs="Arial"/>
        </w:rPr>
        <w:br/>
      </w:r>
      <w:r w:rsidRPr="00134EE8">
        <w:rPr>
          <w:rFonts w:ascii="Arial" w:eastAsiaTheme="minorHAnsi" w:hAnsi="Arial" w:cs="Arial"/>
        </w:rPr>
        <w:tab/>
        <w:t>Compensated cirrhosis</w:t>
      </w:r>
      <w:r w:rsidRPr="00134EE8">
        <w:rPr>
          <w:rFonts w:ascii="Arial" w:eastAsiaTheme="minorHAnsi" w:hAnsi="Arial" w:cs="Arial"/>
        </w:rPr>
        <w:br/>
      </w:r>
      <w:r w:rsidRPr="00134EE8">
        <w:rPr>
          <w:rFonts w:ascii="Arial" w:eastAsiaTheme="minorHAnsi" w:hAnsi="Arial" w:cs="Arial"/>
        </w:rPr>
        <w:tab/>
        <w:t>Missing follow-up data</w:t>
      </w:r>
      <w:r w:rsidRPr="00134EE8">
        <w:rPr>
          <w:rFonts w:ascii="Arial" w:hAnsi="Arial" w:cs="Arial"/>
        </w:rPr>
        <w:br/>
      </w:r>
    </w:p>
    <w:p w14:paraId="366FDDA4" w14:textId="0419C2F1" w:rsidR="00134EE8" w:rsidRDefault="00134EE8" w:rsidP="00134EE8">
      <w:pPr>
        <w:pStyle w:val="Body"/>
        <w:spacing w:after="0"/>
        <w:rPr>
          <w:rFonts w:ascii="Arial" w:hAnsi="Arial" w:cs="Arial"/>
          <w:b/>
          <w:sz w:val="22"/>
        </w:rPr>
      </w:pPr>
      <w:r>
        <w:rPr>
          <w:rFonts w:ascii="Arial" w:hAnsi="Arial" w:cs="Arial"/>
          <w:b/>
          <w:sz w:val="22"/>
        </w:rPr>
        <w:t xml:space="preserve">2.3 Data collection </w:t>
      </w:r>
    </w:p>
    <w:p w14:paraId="6BA5393E" w14:textId="77777777" w:rsidR="00134EE8" w:rsidRPr="00134EE8" w:rsidRDefault="00134EE8" w:rsidP="00134EE8">
      <w:pPr>
        <w:jc w:val="both"/>
        <w:rPr>
          <w:rFonts w:ascii="Arial" w:hAnsi="Arial" w:cs="Arial"/>
          <w:b/>
          <w:bCs/>
          <w:i/>
          <w:iCs/>
        </w:rPr>
      </w:pPr>
      <w:r w:rsidRPr="00134EE8">
        <w:rPr>
          <w:rFonts w:ascii="Arial" w:hAnsi="Arial" w:cs="Arial"/>
        </w:rPr>
        <w:t>Epidemiological and clinical data were collected, including age, sex, alcohol consumption, smoking history, and cirrhosis-related complications. Biochemical parameters such as serum albumin, bilirubin, and C-reactive protein were measured upon admission.</w:t>
      </w:r>
      <w:r w:rsidRPr="00134EE8">
        <w:rPr>
          <w:rFonts w:ascii="Arial" w:hAnsi="Arial" w:cs="Arial"/>
        </w:rPr>
        <w:br/>
        <w:t xml:space="preserve">Different prognostic scores were calculated upon admission for each patient: Child-Pugh score, MELD score, ALBI score and CAR. </w:t>
      </w:r>
    </w:p>
    <w:p w14:paraId="6B026C9C" w14:textId="77777777" w:rsidR="00134EE8" w:rsidRDefault="00134EE8" w:rsidP="00134EE8">
      <w:pPr>
        <w:pStyle w:val="Body"/>
        <w:spacing w:after="0"/>
        <w:rPr>
          <w:rFonts w:ascii="Arial" w:hAnsi="Arial" w:cs="Arial"/>
          <w:b/>
          <w:sz w:val="22"/>
        </w:rPr>
      </w:pPr>
    </w:p>
    <w:p w14:paraId="4BC2387A" w14:textId="5BDA8956" w:rsidR="00134EE8" w:rsidRPr="00134EE8" w:rsidRDefault="00134EE8" w:rsidP="00134EE8">
      <w:pPr>
        <w:pStyle w:val="Body"/>
        <w:spacing w:after="0"/>
        <w:rPr>
          <w:rFonts w:ascii="Arial" w:hAnsi="Arial" w:cs="Arial"/>
          <w:b/>
          <w:sz w:val="22"/>
        </w:rPr>
      </w:pPr>
      <w:r>
        <w:rPr>
          <w:rFonts w:ascii="Arial" w:hAnsi="Arial" w:cs="Arial"/>
          <w:b/>
          <w:sz w:val="22"/>
        </w:rPr>
        <w:t xml:space="preserve">2.4 Statistical analysis </w:t>
      </w:r>
    </w:p>
    <w:p w14:paraId="06B6D43E" w14:textId="5812DFF1" w:rsidR="00790ADA" w:rsidRPr="00134EE8" w:rsidRDefault="00134EE8" w:rsidP="00D12D3B">
      <w:pPr>
        <w:jc w:val="both"/>
        <w:rPr>
          <w:rFonts w:ascii="Arial" w:hAnsi="Arial" w:cs="Arial"/>
          <w:b/>
          <w:bCs/>
          <w:i/>
          <w:iCs/>
        </w:rPr>
      </w:pPr>
      <w:r w:rsidRPr="00134EE8">
        <w:rPr>
          <w:rFonts w:ascii="Arial" w:hAnsi="Arial" w:cs="Arial"/>
        </w:rPr>
        <w:t>Data were analyzed using JAMOVI 2.5 for Mac. Descriptive statistics were used to summarize the clinical and laboratory characteristics of the patients. The prognostic performance of the scores was assessed using receiver operating characteristic (ROC) curves, and the area under the curve (AUC) was calculated to compare the discriminatory ability of each score</w:t>
      </w:r>
      <w:r w:rsidR="00D12D3B">
        <w:rPr>
          <w:rFonts w:ascii="Arial" w:hAnsi="Arial" w:cs="Arial"/>
        </w:rPr>
        <w:t xml:space="preserve">, </w:t>
      </w:r>
      <w:r w:rsidR="00D12D3B">
        <w:rPr>
          <w:rFonts w:ascii="Arial" w:hAnsi="Arial" w:cs="Arial"/>
        </w:rPr>
        <w:br/>
      </w:r>
      <w:r w:rsidR="00D12D3B" w:rsidRPr="00D12D3B">
        <w:rPr>
          <w:rFonts w:ascii="Arial" w:hAnsi="Arial" w:cs="Arial"/>
          <w:highlight w:val="yellow"/>
        </w:rPr>
        <w:t xml:space="preserve">and </w:t>
      </w:r>
      <w:r w:rsidR="00D12D3B" w:rsidRPr="00D12D3B">
        <w:rPr>
          <w:highlight w:val="yellow"/>
        </w:rPr>
        <w:t>optimal cut-off values were determined using the Youden index. Sensitivity and specificity were calculated accordingly.</w:t>
      </w:r>
      <w:r w:rsidR="00D12D3B">
        <w:rPr>
          <w:rFonts w:ascii="Arial" w:hAnsi="Arial" w:cs="Arial"/>
        </w:rPr>
        <w:br/>
      </w:r>
      <w:r w:rsidRPr="00134EE8">
        <w:rPr>
          <w:rFonts w:ascii="Arial" w:hAnsi="Arial" w:cs="Arial"/>
        </w:rPr>
        <w:t xml:space="preserve">Univariate and multivariate logistic regression analyses were performed to identify factors </w:t>
      </w:r>
      <w:r w:rsidRPr="00134EE8">
        <w:rPr>
          <w:rFonts w:ascii="Arial" w:hAnsi="Arial" w:cs="Arial"/>
        </w:rPr>
        <w:lastRenderedPageBreak/>
        <w:t>independently associated with mortality. Spearman’s correlation coefficient was used to assess the relationships between the different scores.</w:t>
      </w:r>
      <w:r w:rsidR="00D12D3B">
        <w:rPr>
          <w:rFonts w:ascii="Arial" w:hAnsi="Arial" w:cs="Arial"/>
        </w:rPr>
        <w:br/>
      </w:r>
      <w:r w:rsidR="00D12D3B">
        <w:rPr>
          <w:rFonts w:ascii="Arial" w:hAnsi="Arial" w:cs="Arial"/>
        </w:rPr>
        <w:br/>
      </w:r>
    </w:p>
    <w:p w14:paraId="2EF90898" w14:textId="531DB62E"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r w:rsidR="005F06E6">
        <w:rPr>
          <w:rFonts w:ascii="Arial" w:hAnsi="Arial" w:cs="Arial"/>
        </w:rPr>
        <w:t xml:space="preserve">&amp; </w:t>
      </w:r>
      <w:r w:rsidR="005F06E6" w:rsidRPr="005F06E6">
        <w:rPr>
          <w:rFonts w:ascii="Arial" w:hAnsi="Arial" w:cs="Arial"/>
        </w:rPr>
        <w:t>Discussion</w:t>
      </w:r>
    </w:p>
    <w:p w14:paraId="4CAF96D1" w14:textId="77777777" w:rsidR="005F06E6" w:rsidRDefault="005F06E6" w:rsidP="00441B6F">
      <w:pPr>
        <w:pStyle w:val="Head1"/>
        <w:spacing w:after="0"/>
        <w:jc w:val="both"/>
        <w:rPr>
          <w:rFonts w:ascii="Arial" w:hAnsi="Arial" w:cs="Arial"/>
        </w:rPr>
      </w:pPr>
    </w:p>
    <w:p w14:paraId="451F11B7" w14:textId="5F99D3F8" w:rsidR="00134EE8" w:rsidRDefault="00134EE8" w:rsidP="00134EE8">
      <w:pPr>
        <w:pStyle w:val="Body"/>
        <w:spacing w:after="0"/>
        <w:rPr>
          <w:rFonts w:ascii="Arial" w:hAnsi="Arial" w:cs="Arial"/>
          <w:b/>
          <w:sz w:val="22"/>
        </w:rPr>
      </w:pPr>
      <w:r>
        <w:rPr>
          <w:rFonts w:ascii="Arial" w:hAnsi="Arial" w:cs="Arial"/>
          <w:b/>
          <w:sz w:val="22"/>
        </w:rPr>
        <w:t xml:space="preserve">3.1 Baseline characteristics </w:t>
      </w:r>
    </w:p>
    <w:p w14:paraId="6DC0A3CF" w14:textId="77777777" w:rsidR="00134EE8" w:rsidRPr="00134EE8" w:rsidRDefault="00134EE8" w:rsidP="00134EE8">
      <w:pPr>
        <w:rPr>
          <w:rFonts w:ascii="Arial" w:hAnsi="Arial" w:cs="Arial"/>
        </w:rPr>
      </w:pPr>
      <w:r w:rsidRPr="00134EE8">
        <w:rPr>
          <w:rFonts w:ascii="Arial" w:hAnsi="Arial" w:cs="Arial"/>
        </w:rPr>
        <w:t>The study included 152 patients, with a mean age of 64.7 ± 11.1 years and a male-to-female ratio of 2.1. Alcohol consumption was reported in 14.5% of patients, and 25% were smokers. Regarding decompensated cirrhosis complications, 44.7% of patients presented with variceal hemorrhage, 71.1% had ascitic decompensation, and 13.2% developed hepatic encephalopathy.</w:t>
      </w:r>
    </w:p>
    <w:p w14:paraId="5AB27F7B" w14:textId="77777777" w:rsidR="00134EE8" w:rsidRDefault="00134EE8" w:rsidP="00134EE8">
      <w:pPr>
        <w:pStyle w:val="Body"/>
        <w:spacing w:after="0"/>
        <w:rPr>
          <w:rFonts w:ascii="Arial" w:hAnsi="Arial" w:cs="Arial"/>
          <w:b/>
          <w:sz w:val="22"/>
        </w:rPr>
      </w:pPr>
    </w:p>
    <w:p w14:paraId="1F828D25" w14:textId="77777777" w:rsidR="00134EE8" w:rsidRPr="0050793F" w:rsidRDefault="00134EE8" w:rsidP="00134EE8">
      <w:pPr>
        <w:rPr>
          <w:rFonts w:ascii="Calibri" w:hAnsi="Calibri" w:cs="Calibri"/>
        </w:rPr>
      </w:pPr>
    </w:p>
    <w:tbl>
      <w:tblPr>
        <w:tblStyle w:val="Tableausimple1"/>
        <w:tblW w:w="8399" w:type="dxa"/>
        <w:tblLook w:val="04A0" w:firstRow="1" w:lastRow="0" w:firstColumn="1" w:lastColumn="0" w:noHBand="0" w:noVBand="1"/>
      </w:tblPr>
      <w:tblGrid>
        <w:gridCol w:w="444"/>
        <w:gridCol w:w="5679"/>
        <w:gridCol w:w="2276"/>
      </w:tblGrid>
      <w:tr w:rsidR="00134EE8" w:rsidRPr="00875C14" w14:paraId="62727AB6" w14:textId="77777777" w:rsidTr="0066197D">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6123" w:type="dxa"/>
            <w:gridSpan w:val="2"/>
            <w:hideMark/>
          </w:tcPr>
          <w:p w14:paraId="6E6D8973" w14:textId="77777777" w:rsidR="00134EE8" w:rsidRPr="00875C14" w:rsidRDefault="00134EE8" w:rsidP="0066197D">
            <w:pPr>
              <w:rPr>
                <w:rFonts w:ascii="Calibri" w:hAnsi="Calibri" w:cs="Calibri"/>
              </w:rPr>
            </w:pPr>
            <w:r w:rsidRPr="00875C14">
              <w:rPr>
                <w:rFonts w:ascii="Calibri" w:hAnsi="Calibri" w:cs="Calibri"/>
                <w:lang w:val="en-US"/>
              </w:rPr>
              <w:t>Variables</w:t>
            </w:r>
          </w:p>
        </w:tc>
        <w:tc>
          <w:tcPr>
            <w:tcW w:w="2276" w:type="dxa"/>
            <w:hideMark/>
          </w:tcPr>
          <w:p w14:paraId="7B3EE5C7" w14:textId="77777777" w:rsidR="00134EE8" w:rsidRPr="00875C14" w:rsidRDefault="00134EE8" w:rsidP="0066197D">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Description</w:t>
            </w:r>
          </w:p>
          <w:p w14:paraId="3701FDCD" w14:textId="77777777" w:rsidR="00134EE8" w:rsidRPr="00875C14" w:rsidRDefault="00134EE8" w:rsidP="0066197D">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(n = 152)</w:t>
            </w:r>
          </w:p>
        </w:tc>
      </w:tr>
      <w:tr w:rsidR="00134EE8" w:rsidRPr="00875C14" w14:paraId="6C61700E" w14:textId="77777777" w:rsidTr="0066197D">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6123" w:type="dxa"/>
            <w:gridSpan w:val="2"/>
            <w:hideMark/>
          </w:tcPr>
          <w:p w14:paraId="5CDA7EC4" w14:textId="77777777" w:rsidR="00134EE8" w:rsidRPr="00875C14" w:rsidRDefault="00134EE8" w:rsidP="0066197D">
            <w:pPr>
              <w:rPr>
                <w:rFonts w:ascii="Calibri" w:hAnsi="Calibri" w:cs="Calibri"/>
              </w:rPr>
            </w:pPr>
            <w:r w:rsidRPr="00875C14">
              <w:rPr>
                <w:rFonts w:ascii="Calibri" w:hAnsi="Calibri" w:cs="Calibri"/>
                <w:lang w:val="en-US"/>
              </w:rPr>
              <w:t xml:space="preserve">Age (years) </w:t>
            </w:r>
            <w:r w:rsidRPr="00875C14">
              <w:rPr>
                <w:rFonts w:ascii="Calibri" w:hAnsi="Calibri" w:cs="Calibri"/>
                <w:vertAlign w:val="superscript"/>
                <w:lang w:val="en-US"/>
              </w:rPr>
              <w:t>a</w:t>
            </w:r>
          </w:p>
          <w:p w14:paraId="453E1F90" w14:textId="77777777" w:rsidR="00134EE8" w:rsidRPr="00875C14" w:rsidRDefault="00134EE8" w:rsidP="0066197D">
            <w:pPr>
              <w:rPr>
                <w:rFonts w:ascii="Calibri" w:hAnsi="Calibri" w:cs="Calibri"/>
              </w:rPr>
            </w:pPr>
            <w:r w:rsidRPr="00875C14">
              <w:rPr>
                <w:rFonts w:ascii="Calibri" w:hAnsi="Calibri" w:cs="Calibri"/>
                <w:vertAlign w:val="superscript"/>
                <w:lang w:val="en-US"/>
              </w:rPr>
              <w:t> </w:t>
            </w:r>
          </w:p>
        </w:tc>
        <w:tc>
          <w:tcPr>
            <w:tcW w:w="2276" w:type="dxa"/>
            <w:hideMark/>
          </w:tcPr>
          <w:p w14:paraId="7B4DA28A" w14:textId="77777777" w:rsidR="00134EE8" w:rsidRPr="00875C14" w:rsidRDefault="00134EE8" w:rsidP="0066197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75C14">
              <w:rPr>
                <w:rFonts w:ascii="Calibri" w:hAnsi="Calibri" w:cs="Calibri"/>
                <w:lang w:val="en-US"/>
              </w:rPr>
              <w:t xml:space="preserve">64.7 +/- 11.1 </w:t>
            </w:r>
          </w:p>
        </w:tc>
      </w:tr>
      <w:tr w:rsidR="00134EE8" w:rsidRPr="00875C14" w14:paraId="4F2DDD6B" w14:textId="77777777" w:rsidTr="0066197D">
        <w:trPr>
          <w:trHeight w:val="267"/>
        </w:trPr>
        <w:tc>
          <w:tcPr>
            <w:cnfStyle w:val="001000000000" w:firstRow="0" w:lastRow="0" w:firstColumn="1" w:lastColumn="0" w:oddVBand="0" w:evenVBand="0" w:oddHBand="0" w:evenHBand="0" w:firstRowFirstColumn="0" w:firstRowLastColumn="0" w:lastRowFirstColumn="0" w:lastRowLastColumn="0"/>
            <w:tcW w:w="6123" w:type="dxa"/>
            <w:gridSpan w:val="2"/>
            <w:hideMark/>
          </w:tcPr>
          <w:p w14:paraId="7114C6E3" w14:textId="77777777" w:rsidR="00134EE8" w:rsidRPr="00875C14" w:rsidRDefault="00134EE8" w:rsidP="0066197D">
            <w:pPr>
              <w:rPr>
                <w:rFonts w:ascii="Calibri" w:hAnsi="Calibri" w:cs="Calibri"/>
              </w:rPr>
            </w:pPr>
            <w:r w:rsidRPr="00875C14">
              <w:rPr>
                <w:rFonts w:ascii="Calibri" w:hAnsi="Calibri" w:cs="Calibri"/>
                <w:lang w:val="en-US"/>
              </w:rPr>
              <w:t xml:space="preserve">Sex </w:t>
            </w:r>
            <w:r w:rsidRPr="00875C14">
              <w:rPr>
                <w:rFonts w:ascii="Calibri" w:hAnsi="Calibri" w:cs="Calibri"/>
                <w:vertAlign w:val="superscript"/>
                <w:lang w:val="en-US"/>
              </w:rPr>
              <w:t>b</w:t>
            </w:r>
          </w:p>
        </w:tc>
        <w:tc>
          <w:tcPr>
            <w:tcW w:w="2276" w:type="dxa"/>
            <w:hideMark/>
          </w:tcPr>
          <w:p w14:paraId="451EF1C5" w14:textId="77777777" w:rsidR="00134EE8" w:rsidRPr="00875C14" w:rsidRDefault="00134EE8" w:rsidP="006619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 </w:t>
            </w:r>
          </w:p>
        </w:tc>
      </w:tr>
      <w:tr w:rsidR="00134EE8" w:rsidRPr="00875C14" w14:paraId="1247E5CF" w14:textId="77777777" w:rsidTr="0066197D">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44" w:type="dxa"/>
            <w:hideMark/>
          </w:tcPr>
          <w:p w14:paraId="2D943D52" w14:textId="77777777" w:rsidR="00134EE8" w:rsidRPr="00875C14" w:rsidRDefault="00134EE8" w:rsidP="0066197D">
            <w:pPr>
              <w:rPr>
                <w:rFonts w:ascii="Calibri" w:hAnsi="Calibri" w:cs="Calibri"/>
              </w:rPr>
            </w:pPr>
            <w:r w:rsidRPr="00875C14">
              <w:rPr>
                <w:rFonts w:ascii="Calibri" w:hAnsi="Calibri" w:cs="Calibri"/>
                <w:lang w:val="en-US"/>
              </w:rPr>
              <w:t> </w:t>
            </w:r>
          </w:p>
        </w:tc>
        <w:tc>
          <w:tcPr>
            <w:tcW w:w="5678" w:type="dxa"/>
            <w:hideMark/>
          </w:tcPr>
          <w:p w14:paraId="2B013866" w14:textId="77777777" w:rsidR="00134EE8" w:rsidRPr="00875C14" w:rsidRDefault="00134EE8" w:rsidP="0066197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75C14">
              <w:rPr>
                <w:rFonts w:ascii="Calibri" w:hAnsi="Calibri" w:cs="Calibri"/>
                <w:lang w:val="en-US"/>
              </w:rPr>
              <w:t>Male</w:t>
            </w:r>
          </w:p>
        </w:tc>
        <w:tc>
          <w:tcPr>
            <w:tcW w:w="2276" w:type="dxa"/>
            <w:hideMark/>
          </w:tcPr>
          <w:p w14:paraId="68DD7113" w14:textId="77777777" w:rsidR="00134EE8" w:rsidRPr="00875C14" w:rsidRDefault="00134EE8" w:rsidP="0066197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75C14">
              <w:rPr>
                <w:rFonts w:ascii="Calibri" w:hAnsi="Calibri" w:cs="Calibri"/>
                <w:lang w:val="en-US"/>
              </w:rPr>
              <w:t>104 (68.4)</w:t>
            </w:r>
          </w:p>
        </w:tc>
      </w:tr>
      <w:tr w:rsidR="00134EE8" w:rsidRPr="00875C14" w14:paraId="38FB8A23" w14:textId="77777777" w:rsidTr="0066197D">
        <w:trPr>
          <w:trHeight w:val="267"/>
        </w:trPr>
        <w:tc>
          <w:tcPr>
            <w:cnfStyle w:val="001000000000" w:firstRow="0" w:lastRow="0" w:firstColumn="1" w:lastColumn="0" w:oddVBand="0" w:evenVBand="0" w:oddHBand="0" w:evenHBand="0" w:firstRowFirstColumn="0" w:firstRowLastColumn="0" w:lastRowFirstColumn="0" w:lastRowLastColumn="0"/>
            <w:tcW w:w="444" w:type="dxa"/>
            <w:hideMark/>
          </w:tcPr>
          <w:p w14:paraId="6B47EBFF" w14:textId="77777777" w:rsidR="00134EE8" w:rsidRPr="00875C14" w:rsidRDefault="00134EE8" w:rsidP="0066197D">
            <w:pPr>
              <w:rPr>
                <w:rFonts w:ascii="Calibri" w:hAnsi="Calibri" w:cs="Calibri"/>
              </w:rPr>
            </w:pPr>
            <w:r w:rsidRPr="00875C14">
              <w:rPr>
                <w:rFonts w:ascii="Calibri" w:hAnsi="Calibri" w:cs="Calibri"/>
                <w:lang w:val="en-US"/>
              </w:rPr>
              <w:t> </w:t>
            </w:r>
          </w:p>
        </w:tc>
        <w:tc>
          <w:tcPr>
            <w:tcW w:w="5678" w:type="dxa"/>
            <w:hideMark/>
          </w:tcPr>
          <w:p w14:paraId="41357F83" w14:textId="77777777" w:rsidR="00134EE8" w:rsidRPr="00875C14" w:rsidRDefault="00134EE8" w:rsidP="006619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Female</w:t>
            </w:r>
          </w:p>
        </w:tc>
        <w:tc>
          <w:tcPr>
            <w:tcW w:w="2276" w:type="dxa"/>
            <w:hideMark/>
          </w:tcPr>
          <w:p w14:paraId="3C699164" w14:textId="77777777" w:rsidR="00134EE8" w:rsidRPr="00875C14" w:rsidRDefault="00134EE8" w:rsidP="006619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48 (31.6)</w:t>
            </w:r>
          </w:p>
        </w:tc>
      </w:tr>
      <w:tr w:rsidR="00134EE8" w:rsidRPr="00875C14" w14:paraId="44BA864C" w14:textId="77777777" w:rsidTr="0066197D">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123" w:type="dxa"/>
            <w:gridSpan w:val="2"/>
            <w:hideMark/>
          </w:tcPr>
          <w:p w14:paraId="24EF2E45" w14:textId="77777777" w:rsidR="00134EE8" w:rsidRPr="00875C14" w:rsidRDefault="00134EE8" w:rsidP="0066197D">
            <w:pPr>
              <w:rPr>
                <w:rFonts w:ascii="Calibri" w:hAnsi="Calibri" w:cs="Calibri"/>
              </w:rPr>
            </w:pPr>
            <w:r w:rsidRPr="00875C14">
              <w:rPr>
                <w:rFonts w:ascii="Calibri" w:hAnsi="Calibri" w:cs="Calibri"/>
                <w:lang w:val="en-US"/>
              </w:rPr>
              <w:t xml:space="preserve">Smoking </w:t>
            </w:r>
            <w:r w:rsidRPr="00875C14">
              <w:rPr>
                <w:rFonts w:ascii="Calibri" w:hAnsi="Calibri" w:cs="Calibri"/>
                <w:vertAlign w:val="superscript"/>
                <w:lang w:val="en-US"/>
              </w:rPr>
              <w:t>b</w:t>
            </w:r>
          </w:p>
        </w:tc>
        <w:tc>
          <w:tcPr>
            <w:tcW w:w="2276" w:type="dxa"/>
            <w:hideMark/>
          </w:tcPr>
          <w:p w14:paraId="06CEC079" w14:textId="77777777" w:rsidR="00134EE8" w:rsidRPr="00875C14" w:rsidRDefault="00134EE8" w:rsidP="0066197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75C14">
              <w:rPr>
                <w:rFonts w:ascii="Calibri" w:hAnsi="Calibri" w:cs="Calibri"/>
                <w:lang w:val="en-US"/>
              </w:rPr>
              <w:t> </w:t>
            </w:r>
          </w:p>
        </w:tc>
      </w:tr>
      <w:tr w:rsidR="00134EE8" w:rsidRPr="00875C14" w14:paraId="613E06C8" w14:textId="77777777" w:rsidTr="0066197D">
        <w:trPr>
          <w:trHeight w:val="267"/>
        </w:trPr>
        <w:tc>
          <w:tcPr>
            <w:cnfStyle w:val="001000000000" w:firstRow="0" w:lastRow="0" w:firstColumn="1" w:lastColumn="0" w:oddVBand="0" w:evenVBand="0" w:oddHBand="0" w:evenHBand="0" w:firstRowFirstColumn="0" w:firstRowLastColumn="0" w:lastRowFirstColumn="0" w:lastRowLastColumn="0"/>
            <w:tcW w:w="444" w:type="dxa"/>
            <w:hideMark/>
          </w:tcPr>
          <w:p w14:paraId="42BEEF1F" w14:textId="77777777" w:rsidR="00134EE8" w:rsidRPr="00875C14" w:rsidRDefault="00134EE8" w:rsidP="0066197D">
            <w:pPr>
              <w:rPr>
                <w:rFonts w:ascii="Calibri" w:hAnsi="Calibri" w:cs="Calibri"/>
              </w:rPr>
            </w:pPr>
            <w:r w:rsidRPr="00875C14">
              <w:rPr>
                <w:rFonts w:ascii="Calibri" w:hAnsi="Calibri" w:cs="Calibri"/>
                <w:lang w:val="en-US"/>
              </w:rPr>
              <w:t> </w:t>
            </w:r>
          </w:p>
        </w:tc>
        <w:tc>
          <w:tcPr>
            <w:tcW w:w="5678" w:type="dxa"/>
            <w:hideMark/>
          </w:tcPr>
          <w:p w14:paraId="31E8461D" w14:textId="77777777" w:rsidR="00134EE8" w:rsidRPr="00875C14" w:rsidRDefault="00134EE8" w:rsidP="006619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 xml:space="preserve">Yes </w:t>
            </w:r>
          </w:p>
        </w:tc>
        <w:tc>
          <w:tcPr>
            <w:tcW w:w="2276" w:type="dxa"/>
            <w:hideMark/>
          </w:tcPr>
          <w:p w14:paraId="36D695CF" w14:textId="77777777" w:rsidR="00134EE8" w:rsidRPr="00875C14" w:rsidRDefault="00134EE8" w:rsidP="006619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38 (25)</w:t>
            </w:r>
          </w:p>
        </w:tc>
      </w:tr>
      <w:tr w:rsidR="00134EE8" w:rsidRPr="00875C14" w14:paraId="557D3E0B" w14:textId="77777777" w:rsidTr="0066197D">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6123" w:type="dxa"/>
            <w:gridSpan w:val="2"/>
            <w:hideMark/>
          </w:tcPr>
          <w:p w14:paraId="239705AB" w14:textId="77777777" w:rsidR="00134EE8" w:rsidRPr="00875C14" w:rsidRDefault="00134EE8" w:rsidP="0066197D">
            <w:pPr>
              <w:rPr>
                <w:rFonts w:ascii="Calibri" w:hAnsi="Calibri" w:cs="Calibri"/>
              </w:rPr>
            </w:pPr>
            <w:r w:rsidRPr="00875C14">
              <w:rPr>
                <w:rFonts w:ascii="Calibri" w:hAnsi="Calibri" w:cs="Calibri"/>
                <w:lang w:val="en-US"/>
              </w:rPr>
              <w:t xml:space="preserve">Alcohol </w:t>
            </w:r>
            <w:r w:rsidRPr="00875C14">
              <w:rPr>
                <w:rFonts w:ascii="Calibri" w:hAnsi="Calibri" w:cs="Calibri"/>
                <w:vertAlign w:val="superscript"/>
                <w:lang w:val="en-US"/>
              </w:rPr>
              <w:t>b</w:t>
            </w:r>
          </w:p>
        </w:tc>
        <w:tc>
          <w:tcPr>
            <w:tcW w:w="2276" w:type="dxa"/>
            <w:hideMark/>
          </w:tcPr>
          <w:p w14:paraId="73C130E2" w14:textId="77777777" w:rsidR="00134EE8" w:rsidRPr="00875C14" w:rsidRDefault="00134EE8" w:rsidP="0066197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75C14">
              <w:rPr>
                <w:rFonts w:ascii="Calibri" w:hAnsi="Calibri" w:cs="Calibri"/>
                <w:lang w:val="en-US"/>
              </w:rPr>
              <w:t> </w:t>
            </w:r>
          </w:p>
        </w:tc>
      </w:tr>
      <w:tr w:rsidR="00134EE8" w:rsidRPr="00875C14" w14:paraId="788C0F61" w14:textId="77777777" w:rsidTr="0066197D">
        <w:trPr>
          <w:trHeight w:val="267"/>
        </w:trPr>
        <w:tc>
          <w:tcPr>
            <w:cnfStyle w:val="001000000000" w:firstRow="0" w:lastRow="0" w:firstColumn="1" w:lastColumn="0" w:oddVBand="0" w:evenVBand="0" w:oddHBand="0" w:evenHBand="0" w:firstRowFirstColumn="0" w:firstRowLastColumn="0" w:lastRowFirstColumn="0" w:lastRowLastColumn="0"/>
            <w:tcW w:w="444" w:type="dxa"/>
            <w:hideMark/>
          </w:tcPr>
          <w:p w14:paraId="40C21412" w14:textId="77777777" w:rsidR="00134EE8" w:rsidRPr="00875C14" w:rsidRDefault="00134EE8" w:rsidP="0066197D">
            <w:pPr>
              <w:rPr>
                <w:rFonts w:ascii="Calibri" w:hAnsi="Calibri" w:cs="Calibri"/>
              </w:rPr>
            </w:pPr>
            <w:r w:rsidRPr="00875C14">
              <w:rPr>
                <w:rFonts w:ascii="Calibri" w:hAnsi="Calibri" w:cs="Calibri"/>
                <w:lang w:val="en-US"/>
              </w:rPr>
              <w:t> </w:t>
            </w:r>
          </w:p>
        </w:tc>
        <w:tc>
          <w:tcPr>
            <w:tcW w:w="5678" w:type="dxa"/>
            <w:hideMark/>
          </w:tcPr>
          <w:p w14:paraId="7088DBD7" w14:textId="77777777" w:rsidR="00134EE8" w:rsidRPr="00875C14" w:rsidRDefault="00134EE8" w:rsidP="006619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 xml:space="preserve">Yes </w:t>
            </w:r>
          </w:p>
        </w:tc>
        <w:tc>
          <w:tcPr>
            <w:tcW w:w="2276" w:type="dxa"/>
            <w:hideMark/>
          </w:tcPr>
          <w:p w14:paraId="4D66B71F" w14:textId="77777777" w:rsidR="00134EE8" w:rsidRPr="00875C14" w:rsidRDefault="00134EE8" w:rsidP="006619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22 (14.5)</w:t>
            </w:r>
          </w:p>
        </w:tc>
      </w:tr>
      <w:tr w:rsidR="00134EE8" w:rsidRPr="00875C14" w14:paraId="106467B2" w14:textId="77777777" w:rsidTr="0066197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6123" w:type="dxa"/>
            <w:gridSpan w:val="2"/>
            <w:hideMark/>
          </w:tcPr>
          <w:p w14:paraId="3036E464" w14:textId="77777777" w:rsidR="00134EE8" w:rsidRPr="00875C14" w:rsidRDefault="00134EE8" w:rsidP="0066197D">
            <w:pPr>
              <w:rPr>
                <w:rFonts w:ascii="Calibri" w:hAnsi="Calibri" w:cs="Calibri"/>
              </w:rPr>
            </w:pPr>
            <w:r w:rsidRPr="00875C14">
              <w:rPr>
                <w:rFonts w:ascii="Calibri" w:hAnsi="Calibri" w:cs="Calibri"/>
                <w:lang w:val="en-US"/>
              </w:rPr>
              <w:t xml:space="preserve">Decompensation  </w:t>
            </w:r>
            <w:r w:rsidRPr="00875C14">
              <w:rPr>
                <w:rFonts w:ascii="Calibri" w:hAnsi="Calibri" w:cs="Calibri"/>
                <w:vertAlign w:val="superscript"/>
                <w:lang w:val="en-US"/>
              </w:rPr>
              <w:t>b</w:t>
            </w:r>
          </w:p>
        </w:tc>
        <w:tc>
          <w:tcPr>
            <w:tcW w:w="2276" w:type="dxa"/>
            <w:hideMark/>
          </w:tcPr>
          <w:p w14:paraId="44E4963C" w14:textId="77777777" w:rsidR="00134EE8" w:rsidRPr="00875C14" w:rsidRDefault="00134EE8" w:rsidP="0066197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75C14">
              <w:rPr>
                <w:rFonts w:ascii="Calibri" w:hAnsi="Calibri" w:cs="Calibri"/>
                <w:lang w:val="en-US"/>
              </w:rPr>
              <w:t> </w:t>
            </w:r>
          </w:p>
        </w:tc>
      </w:tr>
      <w:tr w:rsidR="00134EE8" w:rsidRPr="00875C14" w14:paraId="6BFD8DB3" w14:textId="77777777" w:rsidTr="0066197D">
        <w:trPr>
          <w:trHeight w:val="267"/>
        </w:trPr>
        <w:tc>
          <w:tcPr>
            <w:cnfStyle w:val="001000000000" w:firstRow="0" w:lastRow="0" w:firstColumn="1" w:lastColumn="0" w:oddVBand="0" w:evenVBand="0" w:oddHBand="0" w:evenHBand="0" w:firstRowFirstColumn="0" w:firstRowLastColumn="0" w:lastRowFirstColumn="0" w:lastRowLastColumn="0"/>
            <w:tcW w:w="444" w:type="dxa"/>
            <w:hideMark/>
          </w:tcPr>
          <w:p w14:paraId="76EAE0B7" w14:textId="77777777" w:rsidR="00134EE8" w:rsidRPr="00875C14" w:rsidRDefault="00134EE8" w:rsidP="0066197D">
            <w:pPr>
              <w:rPr>
                <w:rFonts w:ascii="Calibri" w:hAnsi="Calibri" w:cs="Calibri"/>
              </w:rPr>
            </w:pPr>
            <w:r w:rsidRPr="00875C14">
              <w:rPr>
                <w:rFonts w:ascii="Calibri" w:hAnsi="Calibri" w:cs="Calibri"/>
                <w:lang w:val="en-US"/>
              </w:rPr>
              <w:t> </w:t>
            </w:r>
          </w:p>
        </w:tc>
        <w:tc>
          <w:tcPr>
            <w:tcW w:w="5678" w:type="dxa"/>
            <w:hideMark/>
          </w:tcPr>
          <w:p w14:paraId="2BBBD081" w14:textId="77777777" w:rsidR="00134EE8" w:rsidRPr="00875C14" w:rsidRDefault="00134EE8" w:rsidP="006619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 xml:space="preserve">Ascites </w:t>
            </w:r>
          </w:p>
        </w:tc>
        <w:tc>
          <w:tcPr>
            <w:tcW w:w="2276" w:type="dxa"/>
            <w:hideMark/>
          </w:tcPr>
          <w:p w14:paraId="5F3AC0A6" w14:textId="77777777" w:rsidR="00134EE8" w:rsidRPr="00875C14" w:rsidRDefault="00134EE8" w:rsidP="006619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108 (71.1)</w:t>
            </w:r>
          </w:p>
        </w:tc>
      </w:tr>
      <w:tr w:rsidR="00134EE8" w:rsidRPr="00875C14" w14:paraId="45CEC6F9" w14:textId="77777777" w:rsidTr="0066197D">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44" w:type="dxa"/>
            <w:hideMark/>
          </w:tcPr>
          <w:p w14:paraId="7931ED5B" w14:textId="77777777" w:rsidR="00134EE8" w:rsidRPr="00875C14" w:rsidRDefault="00134EE8" w:rsidP="0066197D">
            <w:pPr>
              <w:rPr>
                <w:rFonts w:ascii="Calibri" w:hAnsi="Calibri" w:cs="Calibri"/>
              </w:rPr>
            </w:pPr>
            <w:r w:rsidRPr="00875C14">
              <w:rPr>
                <w:rFonts w:ascii="Calibri" w:hAnsi="Calibri" w:cs="Calibri"/>
                <w:lang w:val="en-US"/>
              </w:rPr>
              <w:t> </w:t>
            </w:r>
          </w:p>
        </w:tc>
        <w:tc>
          <w:tcPr>
            <w:tcW w:w="5678" w:type="dxa"/>
            <w:hideMark/>
          </w:tcPr>
          <w:p w14:paraId="0B6BBA77" w14:textId="77777777" w:rsidR="00134EE8" w:rsidRPr="00875C14" w:rsidRDefault="00134EE8" w:rsidP="0066197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75C14">
              <w:rPr>
                <w:rFonts w:ascii="Calibri" w:hAnsi="Calibri" w:cs="Calibri"/>
                <w:lang w:val="en-US"/>
              </w:rPr>
              <w:t xml:space="preserve">Gastrointestinal bleeding </w:t>
            </w:r>
          </w:p>
        </w:tc>
        <w:tc>
          <w:tcPr>
            <w:tcW w:w="2276" w:type="dxa"/>
            <w:hideMark/>
          </w:tcPr>
          <w:p w14:paraId="3EDD2B31" w14:textId="77777777" w:rsidR="00134EE8" w:rsidRPr="00875C14" w:rsidRDefault="00134EE8" w:rsidP="0066197D">
            <w:pP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875C14">
              <w:rPr>
                <w:rFonts w:ascii="Calibri" w:hAnsi="Calibri" w:cs="Calibri"/>
                <w:lang w:val="en-US"/>
              </w:rPr>
              <w:t>68 (44.7)</w:t>
            </w:r>
          </w:p>
        </w:tc>
      </w:tr>
      <w:tr w:rsidR="00134EE8" w:rsidRPr="00875C14" w14:paraId="439219FD" w14:textId="77777777" w:rsidTr="0066197D">
        <w:trPr>
          <w:trHeight w:val="267"/>
        </w:trPr>
        <w:tc>
          <w:tcPr>
            <w:cnfStyle w:val="001000000000" w:firstRow="0" w:lastRow="0" w:firstColumn="1" w:lastColumn="0" w:oddVBand="0" w:evenVBand="0" w:oddHBand="0" w:evenHBand="0" w:firstRowFirstColumn="0" w:firstRowLastColumn="0" w:lastRowFirstColumn="0" w:lastRowLastColumn="0"/>
            <w:tcW w:w="444" w:type="dxa"/>
            <w:hideMark/>
          </w:tcPr>
          <w:p w14:paraId="28B425EF" w14:textId="77777777" w:rsidR="00134EE8" w:rsidRPr="00875C14" w:rsidRDefault="00134EE8" w:rsidP="0066197D">
            <w:pPr>
              <w:rPr>
                <w:rFonts w:ascii="Calibri" w:hAnsi="Calibri" w:cs="Calibri"/>
              </w:rPr>
            </w:pPr>
            <w:r w:rsidRPr="00875C14">
              <w:rPr>
                <w:rFonts w:ascii="Calibri" w:hAnsi="Calibri" w:cs="Calibri"/>
                <w:lang w:val="en-US"/>
              </w:rPr>
              <w:t> </w:t>
            </w:r>
          </w:p>
        </w:tc>
        <w:tc>
          <w:tcPr>
            <w:tcW w:w="5678" w:type="dxa"/>
            <w:hideMark/>
          </w:tcPr>
          <w:p w14:paraId="222015BF" w14:textId="77777777" w:rsidR="00134EE8" w:rsidRPr="00875C14" w:rsidRDefault="00134EE8" w:rsidP="006619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 xml:space="preserve">Hepatic encephalopathy </w:t>
            </w:r>
          </w:p>
        </w:tc>
        <w:tc>
          <w:tcPr>
            <w:tcW w:w="2276" w:type="dxa"/>
            <w:hideMark/>
          </w:tcPr>
          <w:p w14:paraId="43EF04A5" w14:textId="77777777" w:rsidR="00134EE8" w:rsidRPr="00875C14" w:rsidRDefault="00134EE8" w:rsidP="0066197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75C14">
              <w:rPr>
                <w:rFonts w:ascii="Calibri" w:hAnsi="Calibri" w:cs="Calibri"/>
                <w:lang w:val="en-US"/>
              </w:rPr>
              <w:t>20 (13.2)</w:t>
            </w:r>
          </w:p>
        </w:tc>
      </w:tr>
    </w:tbl>
    <w:p w14:paraId="56FBD5E7" w14:textId="77777777" w:rsidR="00134EE8" w:rsidRPr="0050793F" w:rsidRDefault="00134EE8" w:rsidP="00134EE8">
      <w:pPr>
        <w:rPr>
          <w:rFonts w:ascii="Calibri" w:hAnsi="Calibri" w:cs="Calibri"/>
          <w:i/>
          <w:iCs/>
        </w:rPr>
      </w:pPr>
      <w:r w:rsidRPr="0050793F">
        <w:rPr>
          <w:rFonts w:ascii="Calibri" w:hAnsi="Calibri" w:cs="Calibri"/>
          <w:i/>
          <w:iCs/>
        </w:rPr>
        <w:t xml:space="preserve">Table 1: Population characteristics </w:t>
      </w:r>
    </w:p>
    <w:p w14:paraId="1649D457" w14:textId="77777777" w:rsidR="00134EE8" w:rsidRPr="00875C14" w:rsidRDefault="00134EE8" w:rsidP="00134EE8">
      <w:pPr>
        <w:rPr>
          <w:rFonts w:ascii="Calibri" w:hAnsi="Calibri" w:cs="Calibri"/>
        </w:rPr>
      </w:pPr>
      <w:r w:rsidRPr="00875C14">
        <w:rPr>
          <w:rFonts w:ascii="Calibri" w:hAnsi="Calibri" w:cs="Calibri"/>
          <w:vertAlign w:val="superscript"/>
        </w:rPr>
        <w:t>a</w:t>
      </w:r>
      <w:r w:rsidRPr="00875C14">
        <w:rPr>
          <w:rFonts w:ascii="Calibri" w:hAnsi="Calibri" w:cs="Calibri"/>
        </w:rPr>
        <w:t xml:space="preserve"> Mean +/- SD</w:t>
      </w:r>
    </w:p>
    <w:p w14:paraId="2963C3C8" w14:textId="77777777" w:rsidR="00134EE8" w:rsidRPr="00875C14" w:rsidRDefault="00134EE8" w:rsidP="00134EE8">
      <w:pPr>
        <w:rPr>
          <w:rFonts w:ascii="Calibri" w:hAnsi="Calibri" w:cs="Calibri"/>
        </w:rPr>
      </w:pPr>
      <w:r w:rsidRPr="00875C14">
        <w:rPr>
          <w:rFonts w:ascii="Calibri" w:hAnsi="Calibri" w:cs="Calibri"/>
          <w:vertAlign w:val="superscript"/>
        </w:rPr>
        <w:t xml:space="preserve">b </w:t>
      </w:r>
      <w:r w:rsidRPr="00875C14">
        <w:rPr>
          <w:rFonts w:ascii="Calibri" w:hAnsi="Calibri" w:cs="Calibri"/>
        </w:rPr>
        <w:t>Sample size(%)</w:t>
      </w:r>
    </w:p>
    <w:p w14:paraId="735A8FA4" w14:textId="77777777" w:rsidR="00134EE8" w:rsidRPr="0050793F" w:rsidRDefault="00134EE8" w:rsidP="00134EE8">
      <w:pPr>
        <w:rPr>
          <w:rFonts w:ascii="Calibri" w:hAnsi="Calibri" w:cs="Calibri"/>
        </w:rPr>
      </w:pPr>
    </w:p>
    <w:p w14:paraId="409FA584" w14:textId="77777777" w:rsidR="00134EE8" w:rsidRDefault="00134EE8" w:rsidP="00134EE8">
      <w:pPr>
        <w:pStyle w:val="Body"/>
        <w:spacing w:after="0"/>
        <w:rPr>
          <w:rFonts w:ascii="Arial" w:hAnsi="Arial" w:cs="Arial"/>
          <w:b/>
          <w:sz w:val="22"/>
        </w:rPr>
      </w:pPr>
    </w:p>
    <w:p w14:paraId="5A68A50D" w14:textId="77777777" w:rsidR="00134EE8" w:rsidRPr="00134EE8" w:rsidRDefault="00134EE8" w:rsidP="00134EE8">
      <w:pPr>
        <w:rPr>
          <w:rFonts w:ascii="Arial" w:hAnsi="Arial" w:cs="Arial"/>
          <w:b/>
          <w:bCs/>
        </w:rPr>
      </w:pPr>
      <w:r>
        <w:rPr>
          <w:rFonts w:ascii="Arial" w:hAnsi="Arial" w:cs="Arial"/>
          <w:b/>
          <w:sz w:val="22"/>
        </w:rPr>
        <w:t xml:space="preserve">3.2 Prognostic scores </w:t>
      </w:r>
      <w:r>
        <w:rPr>
          <w:rFonts w:ascii="Arial" w:hAnsi="Arial" w:cs="Arial"/>
          <w:b/>
          <w:sz w:val="22"/>
        </w:rPr>
        <w:br/>
      </w:r>
      <w:r w:rsidRPr="00134EE8">
        <w:rPr>
          <w:rFonts w:ascii="Arial" w:hAnsi="Arial" w:cs="Arial"/>
        </w:rPr>
        <w:t>The median scores for the cohort were as follows:</w:t>
      </w:r>
    </w:p>
    <w:p w14:paraId="7B90DB15" w14:textId="77777777" w:rsidR="00134EE8" w:rsidRPr="00134EE8" w:rsidRDefault="00134EE8" w:rsidP="00134EE8">
      <w:pPr>
        <w:numPr>
          <w:ilvl w:val="0"/>
          <w:numId w:val="31"/>
        </w:numPr>
        <w:spacing w:before="100" w:beforeAutospacing="1" w:after="100" w:afterAutospacing="1"/>
        <w:rPr>
          <w:rFonts w:ascii="Arial" w:hAnsi="Arial" w:cs="Arial"/>
        </w:rPr>
      </w:pPr>
      <w:r w:rsidRPr="00134EE8">
        <w:rPr>
          <w:rStyle w:val="lev"/>
          <w:rFonts w:ascii="Arial" w:hAnsi="Arial" w:cs="Arial"/>
        </w:rPr>
        <w:t>CAR</w:t>
      </w:r>
      <w:r w:rsidRPr="00134EE8">
        <w:rPr>
          <w:rFonts w:ascii="Arial" w:hAnsi="Arial" w:cs="Arial"/>
        </w:rPr>
        <w:t>: 0.797 (range 0.158-2.09)</w:t>
      </w:r>
    </w:p>
    <w:p w14:paraId="7F319C07" w14:textId="77777777" w:rsidR="00134EE8" w:rsidRPr="00134EE8" w:rsidRDefault="00134EE8" w:rsidP="00134EE8">
      <w:pPr>
        <w:numPr>
          <w:ilvl w:val="0"/>
          <w:numId w:val="31"/>
        </w:numPr>
        <w:spacing w:before="100" w:beforeAutospacing="1" w:after="100" w:afterAutospacing="1"/>
        <w:rPr>
          <w:rFonts w:ascii="Arial" w:hAnsi="Arial" w:cs="Arial"/>
        </w:rPr>
      </w:pPr>
      <w:r w:rsidRPr="00134EE8">
        <w:rPr>
          <w:rStyle w:val="lev"/>
          <w:rFonts w:ascii="Arial" w:hAnsi="Arial" w:cs="Arial"/>
        </w:rPr>
        <w:t>ALBI score</w:t>
      </w:r>
      <w:r w:rsidRPr="00134EE8">
        <w:rPr>
          <w:rFonts w:ascii="Arial" w:hAnsi="Arial" w:cs="Arial"/>
        </w:rPr>
        <w:t>: -1.49 (range -2.11 to -1.02)</w:t>
      </w:r>
    </w:p>
    <w:p w14:paraId="2D3BABDC" w14:textId="77777777" w:rsidR="00134EE8" w:rsidRPr="00134EE8" w:rsidRDefault="00134EE8" w:rsidP="00134EE8">
      <w:pPr>
        <w:numPr>
          <w:ilvl w:val="0"/>
          <w:numId w:val="31"/>
        </w:numPr>
        <w:spacing w:before="100" w:beforeAutospacing="1" w:after="100" w:afterAutospacing="1"/>
        <w:rPr>
          <w:rFonts w:ascii="Arial" w:hAnsi="Arial" w:cs="Arial"/>
        </w:rPr>
      </w:pPr>
      <w:r w:rsidRPr="00134EE8">
        <w:rPr>
          <w:rStyle w:val="lev"/>
          <w:rFonts w:ascii="Arial" w:hAnsi="Arial" w:cs="Arial"/>
        </w:rPr>
        <w:t>Child-Pugh score</w:t>
      </w:r>
      <w:r w:rsidRPr="00134EE8">
        <w:rPr>
          <w:rFonts w:ascii="Arial" w:hAnsi="Arial" w:cs="Arial"/>
        </w:rPr>
        <w:t>: 8 (range 6-10)</w:t>
      </w:r>
    </w:p>
    <w:p w14:paraId="653CDF60" w14:textId="77777777" w:rsidR="00134EE8" w:rsidRPr="00134EE8" w:rsidRDefault="00134EE8" w:rsidP="00134EE8">
      <w:pPr>
        <w:numPr>
          <w:ilvl w:val="0"/>
          <w:numId w:val="31"/>
        </w:numPr>
        <w:spacing w:before="100" w:beforeAutospacing="1" w:after="100" w:afterAutospacing="1"/>
        <w:rPr>
          <w:rFonts w:ascii="Arial" w:hAnsi="Arial" w:cs="Arial"/>
        </w:rPr>
      </w:pPr>
      <w:r w:rsidRPr="00134EE8">
        <w:rPr>
          <w:rStyle w:val="lev"/>
          <w:rFonts w:ascii="Arial" w:hAnsi="Arial" w:cs="Arial"/>
        </w:rPr>
        <w:t>MELD score</w:t>
      </w:r>
      <w:r w:rsidRPr="00134EE8">
        <w:rPr>
          <w:rFonts w:ascii="Arial" w:hAnsi="Arial" w:cs="Arial"/>
        </w:rPr>
        <w:t>: 13 (range 11-16)</w:t>
      </w:r>
    </w:p>
    <w:p w14:paraId="78443DE6" w14:textId="6201B2A7" w:rsidR="00134EE8" w:rsidRPr="00134EE8" w:rsidRDefault="00134EE8" w:rsidP="00134EE8">
      <w:pPr>
        <w:pStyle w:val="NormalWeb"/>
        <w:rPr>
          <w:rFonts w:ascii="Arial" w:hAnsi="Arial" w:cs="Arial"/>
          <w:sz w:val="20"/>
          <w:szCs w:val="20"/>
          <w:lang w:val="en-US"/>
        </w:rPr>
      </w:pPr>
      <w:r w:rsidRPr="00134EE8">
        <w:rPr>
          <w:rFonts w:ascii="Arial" w:hAnsi="Arial" w:cs="Arial"/>
          <w:sz w:val="20"/>
          <w:szCs w:val="20"/>
          <w:lang w:val="en-US"/>
        </w:rPr>
        <w:t>The 1-year mortality rate was 31.6%, with 48 patients passing away during the follow-up period. In univariate analysis, the following factors were significantly associated with mortality: sex (p=0.011), MELD score (p&lt;0.001), Child-Pugh score (p=0.047), CAR (p=0.002), and ALBI score (p=0.016).</w:t>
      </w:r>
    </w:p>
    <w:p w14:paraId="4A99B2B0" w14:textId="2A19A9BF" w:rsidR="00134EE8" w:rsidRDefault="00134EE8" w:rsidP="00134EE8">
      <w:pPr>
        <w:pStyle w:val="Body"/>
        <w:spacing w:after="0"/>
        <w:rPr>
          <w:rFonts w:ascii="Arial" w:hAnsi="Arial" w:cs="Arial"/>
          <w:b/>
          <w:sz w:val="22"/>
        </w:rPr>
      </w:pPr>
      <w:r>
        <w:rPr>
          <w:rFonts w:ascii="Arial" w:hAnsi="Arial" w:cs="Arial"/>
          <w:b/>
          <w:sz w:val="22"/>
        </w:rPr>
        <w:lastRenderedPageBreak/>
        <w:t xml:space="preserve">3.3 Univariate and multivariate analysis </w:t>
      </w:r>
    </w:p>
    <w:p w14:paraId="7186CE18" w14:textId="77777777" w:rsidR="00134EE8" w:rsidRPr="00134EE8" w:rsidRDefault="00134EE8" w:rsidP="00134EE8">
      <w:pPr>
        <w:rPr>
          <w:rFonts w:ascii="Arial" w:hAnsi="Arial" w:cs="Arial"/>
        </w:rPr>
      </w:pPr>
      <w:r w:rsidRPr="00134EE8">
        <w:rPr>
          <w:rFonts w:ascii="Arial" w:hAnsi="Arial" w:cs="Arial"/>
        </w:rPr>
        <w:t xml:space="preserve">In univariate analysis, sex (p=0.011),smoking,  patients with gastrointestinal bleeding or an ascites, with a high MELD score (p&lt;0.001), high Child-Pugh score (p=0.047), high CAR (p=0.002), or high Albi score (p=0.016) were found to be significantly associated with mortality in one year. </w:t>
      </w:r>
    </w:p>
    <w:p w14:paraId="5B9D5046" w14:textId="165247CE" w:rsidR="00134EE8" w:rsidRPr="00134EE8" w:rsidRDefault="00134EE8" w:rsidP="00134EE8">
      <w:pPr>
        <w:rPr>
          <w:rFonts w:ascii="Arial" w:hAnsi="Arial" w:cs="Arial"/>
        </w:rPr>
      </w:pPr>
      <w:r w:rsidRPr="00134EE8">
        <w:rPr>
          <w:rFonts w:ascii="Arial" w:hAnsi="Arial" w:cs="Arial"/>
        </w:rPr>
        <w:t xml:space="preserve">However, in multivariate analysis,by adjusting to all the associated factors in the univariate analysis, only the smoking (OR: 4,1) , </w:t>
      </w:r>
      <w:r w:rsidRPr="00FA4488">
        <w:rPr>
          <w:rFonts w:ascii="Arial" w:hAnsi="Arial" w:cs="Arial"/>
          <w:highlight w:val="yellow"/>
        </w:rPr>
        <w:t>MELD score (OR 1.29 CI 1.1</w:t>
      </w:r>
      <w:r w:rsidR="00E12864" w:rsidRPr="00FA4488">
        <w:rPr>
          <w:rFonts w:ascii="Arial" w:hAnsi="Arial" w:cs="Arial"/>
          <w:highlight w:val="yellow"/>
        </w:rPr>
        <w:t>1</w:t>
      </w:r>
      <w:r w:rsidRPr="00FA4488">
        <w:rPr>
          <w:rFonts w:ascii="Arial" w:hAnsi="Arial" w:cs="Arial"/>
          <w:highlight w:val="yellow"/>
        </w:rPr>
        <w:t>-1.4</w:t>
      </w:r>
      <w:r w:rsidR="00E12864" w:rsidRPr="00FA4488">
        <w:rPr>
          <w:rFonts w:ascii="Arial" w:hAnsi="Arial" w:cs="Arial"/>
          <w:highlight w:val="yellow"/>
        </w:rPr>
        <w:t>5</w:t>
      </w:r>
      <w:r w:rsidRPr="00FA4488">
        <w:rPr>
          <w:rFonts w:ascii="Arial" w:hAnsi="Arial" w:cs="Arial"/>
          <w:highlight w:val="yellow"/>
        </w:rPr>
        <w:t xml:space="preserve"> p&lt;0.001) , CAR (OR 1.44 CI 1.0-1.</w:t>
      </w:r>
      <w:r w:rsidR="00E12864" w:rsidRPr="00FA4488">
        <w:rPr>
          <w:rFonts w:ascii="Arial" w:hAnsi="Arial" w:cs="Arial"/>
          <w:highlight w:val="yellow"/>
        </w:rPr>
        <w:t>87</w:t>
      </w:r>
      <w:r w:rsidRPr="00FA4488">
        <w:rPr>
          <w:rFonts w:ascii="Arial" w:hAnsi="Arial" w:cs="Arial"/>
          <w:highlight w:val="yellow"/>
        </w:rPr>
        <w:t>)</w:t>
      </w:r>
      <w:r w:rsidRPr="00134EE8">
        <w:rPr>
          <w:rFonts w:ascii="Arial" w:hAnsi="Arial" w:cs="Arial"/>
        </w:rPr>
        <w:t xml:space="preserve"> and Child-Pugh </w:t>
      </w:r>
      <w:r w:rsidR="00194B6D">
        <w:rPr>
          <w:rFonts w:ascii="Arial" w:hAnsi="Arial" w:cs="Arial"/>
        </w:rPr>
        <w:t>(</w:t>
      </w:r>
      <w:r w:rsidR="00194B6D" w:rsidRPr="00194B6D">
        <w:rPr>
          <w:rFonts w:ascii="Arial" w:hAnsi="Arial" w:cs="Arial"/>
          <w:highlight w:val="yellow"/>
        </w:rPr>
        <w:t xml:space="preserve">OR 1,37 </w:t>
      </w:r>
      <w:r w:rsidR="00194B6D" w:rsidRPr="00194B6D">
        <w:rPr>
          <w:rFonts w:ascii="Arial" w:hAnsi="Arial" w:cs="Arial"/>
          <w:highlight w:val="yellow"/>
        </w:rPr>
        <w:t>[1,0- 1,87]</w:t>
      </w:r>
      <w:r w:rsidR="00194B6D" w:rsidRPr="00194B6D">
        <w:rPr>
          <w:rFonts w:ascii="Arial" w:hAnsi="Arial" w:cs="Arial"/>
          <w:highlight w:val="yellow"/>
        </w:rPr>
        <w:t xml:space="preserve"> p= 0,048) </w:t>
      </w:r>
      <w:r w:rsidRPr="00194B6D">
        <w:rPr>
          <w:rFonts w:ascii="Arial" w:hAnsi="Arial" w:cs="Arial"/>
          <w:highlight w:val="yellow"/>
        </w:rPr>
        <w:t>remained</w:t>
      </w:r>
      <w:r w:rsidRPr="00134EE8">
        <w:rPr>
          <w:rFonts w:ascii="Arial" w:hAnsi="Arial" w:cs="Arial"/>
        </w:rPr>
        <w:t xml:space="preserve"> independently associated with mortality. </w:t>
      </w:r>
    </w:p>
    <w:p w14:paraId="3D1D7A4D" w14:textId="77777777" w:rsidR="00134EE8" w:rsidRPr="00134EE8" w:rsidRDefault="00134EE8" w:rsidP="00134EE8">
      <w:pPr>
        <w:rPr>
          <w:rFonts w:ascii="Arial" w:hAnsi="Arial" w:cs="Arial"/>
        </w:rPr>
      </w:pPr>
      <w:r w:rsidRPr="00134EE8">
        <w:rPr>
          <w:rFonts w:ascii="Arial" w:hAnsi="Arial" w:cs="Arial"/>
        </w:rPr>
        <w:t xml:space="preserve">Using Spearman correlation, ALBI score and CAR were positively associated with Child Pugh (r=0,78 / r=0,32 respectively) and MELD score (r=0.55 and r=0.22 respectively). </w:t>
      </w:r>
    </w:p>
    <w:p w14:paraId="7C6989A0" w14:textId="77777777" w:rsidR="00134EE8" w:rsidRDefault="00134EE8" w:rsidP="00134EE8">
      <w:pPr>
        <w:pStyle w:val="Body"/>
        <w:spacing w:after="0"/>
        <w:rPr>
          <w:rFonts w:ascii="Arial" w:hAnsi="Arial" w:cs="Arial"/>
          <w:b/>
          <w:sz w:val="22"/>
        </w:rPr>
      </w:pPr>
    </w:p>
    <w:p w14:paraId="2278E5C0" w14:textId="77777777" w:rsidR="00134EE8" w:rsidRPr="0050793F" w:rsidRDefault="00134EE8" w:rsidP="00134EE8">
      <w:pPr>
        <w:rPr>
          <w:rFonts w:ascii="Calibri" w:hAnsi="Calibri" w:cs="Calibri"/>
          <w:b/>
          <w:bCs/>
        </w:rPr>
      </w:pPr>
    </w:p>
    <w:tbl>
      <w:tblPr>
        <w:tblStyle w:val="Grilledutableau"/>
        <w:tblpPr w:leftFromText="141" w:rightFromText="141" w:vertAnchor="text" w:tblpY="1"/>
        <w:tblOverlap w:val="never"/>
        <w:tblW w:w="5365" w:type="pct"/>
        <w:tblLook w:val="04A0" w:firstRow="1" w:lastRow="0" w:firstColumn="1" w:lastColumn="0" w:noHBand="0" w:noVBand="1"/>
      </w:tblPr>
      <w:tblGrid>
        <w:gridCol w:w="224"/>
        <w:gridCol w:w="1917"/>
        <w:gridCol w:w="745"/>
        <w:gridCol w:w="1470"/>
        <w:gridCol w:w="900"/>
        <w:gridCol w:w="783"/>
        <w:gridCol w:w="1557"/>
        <w:gridCol w:w="1443"/>
      </w:tblGrid>
      <w:tr w:rsidR="00134EE8" w:rsidRPr="0050793F" w14:paraId="53EBF584" w14:textId="77777777" w:rsidTr="00134EE8">
        <w:trPr>
          <w:trHeight w:val="20"/>
        </w:trPr>
        <w:tc>
          <w:tcPr>
            <w:tcW w:w="1185" w:type="pct"/>
            <w:gridSpan w:val="2"/>
            <w:tcBorders>
              <w:left w:val="nil"/>
              <w:bottom w:val="nil"/>
              <w:right w:val="nil"/>
            </w:tcBorders>
            <w:shd w:val="clear" w:color="auto" w:fill="EEECE1" w:themeFill="background2"/>
          </w:tcPr>
          <w:p w14:paraId="1312CA4C" w14:textId="77777777" w:rsidR="00134EE8" w:rsidRPr="0050793F" w:rsidRDefault="00134EE8" w:rsidP="0066197D">
            <w:pPr>
              <w:jc w:val="both"/>
              <w:rPr>
                <w:rFonts w:ascii="Calibri" w:hAnsi="Calibri" w:cs="Calibri"/>
              </w:rPr>
            </w:pPr>
          </w:p>
        </w:tc>
        <w:tc>
          <w:tcPr>
            <w:tcW w:w="1723" w:type="pct"/>
            <w:gridSpan w:val="3"/>
            <w:tcBorders>
              <w:left w:val="nil"/>
              <w:right w:val="nil"/>
            </w:tcBorders>
            <w:shd w:val="clear" w:color="auto" w:fill="EEECE1" w:themeFill="background2"/>
          </w:tcPr>
          <w:p w14:paraId="52E78D64" w14:textId="77777777" w:rsidR="00134EE8" w:rsidRPr="0050793F" w:rsidRDefault="00134EE8" w:rsidP="0066197D">
            <w:pPr>
              <w:jc w:val="both"/>
              <w:rPr>
                <w:rFonts w:ascii="Calibri" w:hAnsi="Calibri" w:cs="Calibri"/>
                <w:b/>
                <w:bCs/>
              </w:rPr>
            </w:pPr>
            <w:r w:rsidRPr="0050793F">
              <w:rPr>
                <w:rFonts w:ascii="Calibri" w:hAnsi="Calibri" w:cs="Calibri"/>
                <w:b/>
              </w:rPr>
              <w:t>Univariate analysis</w:t>
            </w:r>
          </w:p>
        </w:tc>
        <w:tc>
          <w:tcPr>
            <w:tcW w:w="2093" w:type="pct"/>
            <w:gridSpan w:val="3"/>
            <w:tcBorders>
              <w:left w:val="nil"/>
              <w:right w:val="nil"/>
            </w:tcBorders>
            <w:shd w:val="clear" w:color="auto" w:fill="EEECE1" w:themeFill="background2"/>
          </w:tcPr>
          <w:p w14:paraId="18280F9F" w14:textId="77777777" w:rsidR="00134EE8" w:rsidRPr="0050793F" w:rsidRDefault="00134EE8" w:rsidP="0066197D">
            <w:pPr>
              <w:jc w:val="both"/>
              <w:rPr>
                <w:rFonts w:ascii="Calibri" w:hAnsi="Calibri" w:cs="Calibri"/>
                <w:b/>
                <w:bCs/>
              </w:rPr>
            </w:pPr>
            <w:r w:rsidRPr="0050793F">
              <w:rPr>
                <w:rFonts w:ascii="Calibri" w:hAnsi="Calibri" w:cs="Calibri"/>
                <w:b/>
              </w:rPr>
              <w:t>Multivariate analysis</w:t>
            </w:r>
          </w:p>
        </w:tc>
      </w:tr>
      <w:tr w:rsidR="00134EE8" w:rsidRPr="0050793F" w14:paraId="33EF0F9A" w14:textId="77777777" w:rsidTr="00134EE8">
        <w:trPr>
          <w:trHeight w:val="20"/>
        </w:trPr>
        <w:tc>
          <w:tcPr>
            <w:tcW w:w="1185" w:type="pct"/>
            <w:gridSpan w:val="2"/>
            <w:tcBorders>
              <w:top w:val="nil"/>
              <w:left w:val="nil"/>
              <w:bottom w:val="single" w:sz="4" w:space="0" w:color="auto"/>
              <w:right w:val="nil"/>
            </w:tcBorders>
            <w:shd w:val="clear" w:color="auto" w:fill="EEECE1" w:themeFill="background2"/>
          </w:tcPr>
          <w:p w14:paraId="1E36AFFB" w14:textId="77777777" w:rsidR="00134EE8" w:rsidRPr="0050793F" w:rsidRDefault="00134EE8" w:rsidP="0066197D">
            <w:pPr>
              <w:jc w:val="both"/>
              <w:rPr>
                <w:rFonts w:ascii="Calibri" w:hAnsi="Calibri" w:cs="Calibri"/>
              </w:rPr>
            </w:pPr>
          </w:p>
        </w:tc>
        <w:tc>
          <w:tcPr>
            <w:tcW w:w="412" w:type="pct"/>
            <w:tcBorders>
              <w:left w:val="nil"/>
              <w:bottom w:val="single" w:sz="4" w:space="0" w:color="auto"/>
              <w:right w:val="nil"/>
            </w:tcBorders>
            <w:shd w:val="clear" w:color="auto" w:fill="EEECE1" w:themeFill="background2"/>
          </w:tcPr>
          <w:p w14:paraId="330A00A8" w14:textId="77777777" w:rsidR="00134EE8" w:rsidRPr="0050793F" w:rsidRDefault="00134EE8" w:rsidP="0066197D">
            <w:pPr>
              <w:jc w:val="both"/>
              <w:rPr>
                <w:rFonts w:ascii="Calibri" w:hAnsi="Calibri" w:cs="Calibri"/>
              </w:rPr>
            </w:pPr>
            <w:r w:rsidRPr="0050793F">
              <w:rPr>
                <w:rFonts w:ascii="Calibri" w:hAnsi="Calibri" w:cs="Calibri"/>
              </w:rPr>
              <w:t>OR</w:t>
            </w:r>
          </w:p>
        </w:tc>
        <w:tc>
          <w:tcPr>
            <w:tcW w:w="813" w:type="pct"/>
            <w:tcBorders>
              <w:left w:val="nil"/>
              <w:bottom w:val="single" w:sz="4" w:space="0" w:color="auto"/>
              <w:right w:val="nil"/>
            </w:tcBorders>
            <w:shd w:val="clear" w:color="auto" w:fill="EEECE1" w:themeFill="background2"/>
          </w:tcPr>
          <w:p w14:paraId="21C80A05" w14:textId="77777777" w:rsidR="00134EE8" w:rsidRPr="0050793F" w:rsidRDefault="00134EE8" w:rsidP="0066197D">
            <w:pPr>
              <w:jc w:val="both"/>
              <w:rPr>
                <w:rFonts w:ascii="Calibri" w:hAnsi="Calibri" w:cs="Calibri"/>
              </w:rPr>
            </w:pPr>
            <w:r w:rsidRPr="0050793F">
              <w:rPr>
                <w:rFonts w:ascii="Calibri" w:hAnsi="Calibri" w:cs="Calibri"/>
              </w:rPr>
              <w:t>IC 95%</w:t>
            </w:r>
          </w:p>
        </w:tc>
        <w:tc>
          <w:tcPr>
            <w:tcW w:w="498" w:type="pct"/>
            <w:tcBorders>
              <w:left w:val="nil"/>
              <w:bottom w:val="single" w:sz="4" w:space="0" w:color="auto"/>
              <w:right w:val="nil"/>
            </w:tcBorders>
            <w:shd w:val="clear" w:color="auto" w:fill="EEECE1" w:themeFill="background2"/>
          </w:tcPr>
          <w:p w14:paraId="12352541" w14:textId="77777777" w:rsidR="00134EE8" w:rsidRPr="0050793F" w:rsidRDefault="00134EE8" w:rsidP="0066197D">
            <w:pPr>
              <w:jc w:val="both"/>
              <w:rPr>
                <w:rFonts w:ascii="Calibri" w:hAnsi="Calibri" w:cs="Calibri"/>
              </w:rPr>
            </w:pPr>
            <w:r w:rsidRPr="0050793F">
              <w:rPr>
                <w:rFonts w:ascii="Calibri" w:hAnsi="Calibri" w:cs="Calibri"/>
              </w:rPr>
              <w:t>p</w:t>
            </w:r>
          </w:p>
        </w:tc>
        <w:tc>
          <w:tcPr>
            <w:tcW w:w="433" w:type="pct"/>
            <w:tcBorders>
              <w:left w:val="nil"/>
              <w:bottom w:val="single" w:sz="4" w:space="0" w:color="auto"/>
              <w:right w:val="nil"/>
            </w:tcBorders>
            <w:shd w:val="clear" w:color="auto" w:fill="EEECE1" w:themeFill="background2"/>
          </w:tcPr>
          <w:p w14:paraId="1BE2F460" w14:textId="77777777" w:rsidR="00134EE8" w:rsidRPr="0050793F" w:rsidRDefault="00134EE8" w:rsidP="0066197D">
            <w:pPr>
              <w:jc w:val="both"/>
              <w:rPr>
                <w:rFonts w:ascii="Calibri" w:hAnsi="Calibri" w:cs="Calibri"/>
              </w:rPr>
            </w:pPr>
            <w:r w:rsidRPr="0050793F">
              <w:rPr>
                <w:rFonts w:ascii="Calibri" w:hAnsi="Calibri" w:cs="Calibri"/>
              </w:rPr>
              <w:t>OR</w:t>
            </w:r>
          </w:p>
        </w:tc>
        <w:tc>
          <w:tcPr>
            <w:tcW w:w="861" w:type="pct"/>
            <w:tcBorders>
              <w:left w:val="nil"/>
              <w:bottom w:val="single" w:sz="4" w:space="0" w:color="auto"/>
              <w:right w:val="nil"/>
            </w:tcBorders>
            <w:shd w:val="clear" w:color="auto" w:fill="EEECE1" w:themeFill="background2"/>
          </w:tcPr>
          <w:p w14:paraId="6CC5BE78" w14:textId="77777777" w:rsidR="00134EE8" w:rsidRPr="0050793F" w:rsidRDefault="00134EE8" w:rsidP="0066197D">
            <w:pPr>
              <w:jc w:val="both"/>
              <w:rPr>
                <w:rFonts w:ascii="Calibri" w:hAnsi="Calibri" w:cs="Calibri"/>
              </w:rPr>
            </w:pPr>
            <w:r w:rsidRPr="0050793F">
              <w:rPr>
                <w:rFonts w:ascii="Calibri" w:hAnsi="Calibri" w:cs="Calibri"/>
              </w:rPr>
              <w:t>IC 95%</w:t>
            </w:r>
          </w:p>
        </w:tc>
        <w:tc>
          <w:tcPr>
            <w:tcW w:w="799" w:type="pct"/>
            <w:tcBorders>
              <w:left w:val="nil"/>
              <w:bottom w:val="single" w:sz="4" w:space="0" w:color="auto"/>
              <w:right w:val="nil"/>
            </w:tcBorders>
            <w:shd w:val="clear" w:color="auto" w:fill="EEECE1" w:themeFill="background2"/>
          </w:tcPr>
          <w:p w14:paraId="7928F940" w14:textId="77777777" w:rsidR="00134EE8" w:rsidRPr="0050793F" w:rsidRDefault="00134EE8" w:rsidP="0066197D">
            <w:pPr>
              <w:jc w:val="both"/>
              <w:rPr>
                <w:rFonts w:ascii="Calibri" w:hAnsi="Calibri" w:cs="Calibri"/>
              </w:rPr>
            </w:pPr>
            <w:r w:rsidRPr="0050793F">
              <w:rPr>
                <w:rFonts w:ascii="Calibri" w:hAnsi="Calibri" w:cs="Calibri"/>
              </w:rPr>
              <w:t>p</w:t>
            </w:r>
          </w:p>
        </w:tc>
      </w:tr>
      <w:tr w:rsidR="00134EE8" w:rsidRPr="0050793F" w14:paraId="510F7DD6" w14:textId="77777777" w:rsidTr="00134EE8">
        <w:trPr>
          <w:gridAfter w:val="3"/>
          <w:wAfter w:w="2093" w:type="pct"/>
          <w:trHeight w:val="20"/>
        </w:trPr>
        <w:tc>
          <w:tcPr>
            <w:tcW w:w="1185" w:type="pct"/>
            <w:gridSpan w:val="2"/>
            <w:tcBorders>
              <w:left w:val="nil"/>
              <w:bottom w:val="nil"/>
              <w:right w:val="nil"/>
            </w:tcBorders>
            <w:shd w:val="clear" w:color="auto" w:fill="F2F2F2" w:themeFill="background1" w:themeFillShade="F2"/>
          </w:tcPr>
          <w:p w14:paraId="75364A74" w14:textId="77777777" w:rsidR="00134EE8" w:rsidRPr="0050793F" w:rsidRDefault="00134EE8" w:rsidP="0066197D">
            <w:pPr>
              <w:widowControl w:val="0"/>
              <w:autoSpaceDE w:val="0"/>
              <w:autoSpaceDN w:val="0"/>
              <w:adjustRightInd w:val="0"/>
              <w:contextualSpacing/>
              <w:jc w:val="both"/>
              <w:rPr>
                <w:rFonts w:ascii="Calibri" w:hAnsi="Calibri" w:cs="Calibri"/>
                <w:b/>
                <w:bCs/>
              </w:rPr>
            </w:pPr>
            <w:r w:rsidRPr="0050793F">
              <w:rPr>
                <w:rFonts w:ascii="Calibri" w:hAnsi="Calibri" w:cs="Calibri"/>
                <w:b/>
              </w:rPr>
              <w:t>Age</w:t>
            </w:r>
          </w:p>
        </w:tc>
        <w:tc>
          <w:tcPr>
            <w:tcW w:w="412" w:type="pct"/>
            <w:tcBorders>
              <w:left w:val="nil"/>
              <w:bottom w:val="nil"/>
              <w:right w:val="nil"/>
            </w:tcBorders>
            <w:shd w:val="clear" w:color="auto" w:fill="F2F2F2" w:themeFill="background1" w:themeFillShade="F2"/>
          </w:tcPr>
          <w:p w14:paraId="3ED3373B"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0,97</w:t>
            </w:r>
          </w:p>
        </w:tc>
        <w:tc>
          <w:tcPr>
            <w:tcW w:w="813" w:type="pct"/>
            <w:tcBorders>
              <w:left w:val="nil"/>
              <w:bottom w:val="nil"/>
              <w:right w:val="nil"/>
            </w:tcBorders>
            <w:shd w:val="clear" w:color="auto" w:fill="F2F2F2" w:themeFill="background1" w:themeFillShade="F2"/>
          </w:tcPr>
          <w:p w14:paraId="47FAAC46"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color w:val="000000"/>
              </w:rPr>
              <w:t>[0,94 – 1.00]</w:t>
            </w:r>
          </w:p>
        </w:tc>
        <w:tc>
          <w:tcPr>
            <w:tcW w:w="498" w:type="pct"/>
            <w:tcBorders>
              <w:left w:val="nil"/>
              <w:bottom w:val="nil"/>
              <w:right w:val="nil"/>
            </w:tcBorders>
            <w:shd w:val="clear" w:color="auto" w:fill="F2F2F2" w:themeFill="background1" w:themeFillShade="F2"/>
          </w:tcPr>
          <w:p w14:paraId="76AFCB19"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0,09</w:t>
            </w:r>
          </w:p>
        </w:tc>
      </w:tr>
      <w:tr w:rsidR="00134EE8" w:rsidRPr="0050793F" w14:paraId="793DC9B5" w14:textId="77777777" w:rsidTr="00134EE8">
        <w:trPr>
          <w:trHeight w:val="20"/>
        </w:trPr>
        <w:tc>
          <w:tcPr>
            <w:tcW w:w="1185" w:type="pct"/>
            <w:gridSpan w:val="2"/>
            <w:tcBorders>
              <w:top w:val="nil"/>
              <w:left w:val="nil"/>
              <w:bottom w:val="nil"/>
              <w:right w:val="nil"/>
            </w:tcBorders>
            <w:shd w:val="clear" w:color="auto" w:fill="EEECE1" w:themeFill="background2"/>
          </w:tcPr>
          <w:p w14:paraId="5A5B490A" w14:textId="77777777" w:rsidR="00134EE8" w:rsidRPr="0050793F" w:rsidRDefault="00134EE8" w:rsidP="0066197D">
            <w:pPr>
              <w:widowControl w:val="0"/>
              <w:autoSpaceDE w:val="0"/>
              <w:autoSpaceDN w:val="0"/>
              <w:adjustRightInd w:val="0"/>
              <w:contextualSpacing/>
              <w:jc w:val="both"/>
              <w:rPr>
                <w:rFonts w:ascii="Calibri" w:hAnsi="Calibri" w:cs="Calibri"/>
                <w:b/>
                <w:bCs/>
              </w:rPr>
            </w:pPr>
            <w:r w:rsidRPr="0050793F">
              <w:rPr>
                <w:rFonts w:ascii="Calibri" w:hAnsi="Calibri" w:cs="Calibri"/>
                <w:b/>
              </w:rPr>
              <w:t>Sex (male)</w:t>
            </w:r>
          </w:p>
        </w:tc>
        <w:tc>
          <w:tcPr>
            <w:tcW w:w="412" w:type="pct"/>
            <w:tcBorders>
              <w:top w:val="nil"/>
              <w:left w:val="nil"/>
              <w:bottom w:val="nil"/>
              <w:right w:val="nil"/>
            </w:tcBorders>
            <w:shd w:val="clear" w:color="auto" w:fill="EEECE1" w:themeFill="background2"/>
          </w:tcPr>
          <w:p w14:paraId="7B0DFDB7" w14:textId="77777777" w:rsidR="00134EE8" w:rsidRPr="0050793F" w:rsidRDefault="00134EE8" w:rsidP="0066197D">
            <w:pPr>
              <w:widowControl w:val="0"/>
              <w:autoSpaceDE w:val="0"/>
              <w:autoSpaceDN w:val="0"/>
              <w:adjustRightInd w:val="0"/>
              <w:contextualSpacing/>
              <w:jc w:val="both"/>
              <w:rPr>
                <w:rFonts w:ascii="Calibri" w:hAnsi="Calibri" w:cs="Calibri"/>
              </w:rPr>
            </w:pPr>
          </w:p>
        </w:tc>
        <w:tc>
          <w:tcPr>
            <w:tcW w:w="813" w:type="pct"/>
            <w:tcBorders>
              <w:top w:val="nil"/>
              <w:left w:val="nil"/>
              <w:bottom w:val="nil"/>
              <w:right w:val="nil"/>
            </w:tcBorders>
            <w:shd w:val="clear" w:color="auto" w:fill="EEECE1" w:themeFill="background2"/>
          </w:tcPr>
          <w:p w14:paraId="62CB43B3" w14:textId="77777777" w:rsidR="00134EE8" w:rsidRPr="0050793F" w:rsidRDefault="00134EE8" w:rsidP="0066197D">
            <w:pPr>
              <w:widowControl w:val="0"/>
              <w:autoSpaceDE w:val="0"/>
              <w:autoSpaceDN w:val="0"/>
              <w:adjustRightInd w:val="0"/>
              <w:contextualSpacing/>
              <w:jc w:val="both"/>
              <w:rPr>
                <w:rFonts w:ascii="Calibri" w:hAnsi="Calibri" w:cs="Calibri"/>
              </w:rPr>
            </w:pPr>
          </w:p>
        </w:tc>
        <w:tc>
          <w:tcPr>
            <w:tcW w:w="498" w:type="pct"/>
            <w:tcBorders>
              <w:top w:val="nil"/>
              <w:left w:val="nil"/>
              <w:bottom w:val="nil"/>
              <w:right w:val="nil"/>
            </w:tcBorders>
            <w:shd w:val="clear" w:color="auto" w:fill="EEECE1" w:themeFill="background2"/>
          </w:tcPr>
          <w:p w14:paraId="2AF10B5C" w14:textId="77777777" w:rsidR="00134EE8" w:rsidRPr="0050793F" w:rsidRDefault="00134EE8" w:rsidP="0066197D">
            <w:pPr>
              <w:widowControl w:val="0"/>
              <w:autoSpaceDE w:val="0"/>
              <w:autoSpaceDN w:val="0"/>
              <w:adjustRightInd w:val="0"/>
              <w:contextualSpacing/>
              <w:jc w:val="both"/>
              <w:rPr>
                <w:rFonts w:ascii="Calibri" w:hAnsi="Calibri" w:cs="Calibri"/>
              </w:rPr>
            </w:pPr>
          </w:p>
        </w:tc>
        <w:tc>
          <w:tcPr>
            <w:tcW w:w="433" w:type="pct"/>
            <w:tcBorders>
              <w:top w:val="nil"/>
              <w:left w:val="nil"/>
              <w:bottom w:val="nil"/>
              <w:right w:val="nil"/>
            </w:tcBorders>
            <w:shd w:val="clear" w:color="auto" w:fill="EEECE1" w:themeFill="background2"/>
          </w:tcPr>
          <w:p w14:paraId="7C4DA062" w14:textId="77777777" w:rsidR="00134EE8" w:rsidRPr="0050793F" w:rsidRDefault="00134EE8" w:rsidP="0066197D">
            <w:pPr>
              <w:widowControl w:val="0"/>
              <w:autoSpaceDE w:val="0"/>
              <w:autoSpaceDN w:val="0"/>
              <w:adjustRightInd w:val="0"/>
              <w:contextualSpacing/>
              <w:jc w:val="both"/>
              <w:rPr>
                <w:rFonts w:ascii="Calibri" w:hAnsi="Calibri" w:cs="Calibri"/>
              </w:rPr>
            </w:pPr>
          </w:p>
        </w:tc>
        <w:tc>
          <w:tcPr>
            <w:tcW w:w="861" w:type="pct"/>
            <w:tcBorders>
              <w:top w:val="nil"/>
              <w:left w:val="nil"/>
              <w:bottom w:val="nil"/>
              <w:right w:val="nil"/>
            </w:tcBorders>
            <w:shd w:val="clear" w:color="auto" w:fill="EEECE1" w:themeFill="background2"/>
          </w:tcPr>
          <w:p w14:paraId="490ED93F" w14:textId="77777777" w:rsidR="00134EE8" w:rsidRPr="0050793F" w:rsidRDefault="00134EE8" w:rsidP="0066197D">
            <w:pPr>
              <w:widowControl w:val="0"/>
              <w:autoSpaceDE w:val="0"/>
              <w:autoSpaceDN w:val="0"/>
              <w:adjustRightInd w:val="0"/>
              <w:contextualSpacing/>
              <w:jc w:val="both"/>
              <w:rPr>
                <w:rFonts w:ascii="Calibri" w:hAnsi="Calibri" w:cs="Calibri"/>
              </w:rPr>
            </w:pPr>
          </w:p>
        </w:tc>
        <w:tc>
          <w:tcPr>
            <w:tcW w:w="799" w:type="pct"/>
            <w:tcBorders>
              <w:top w:val="nil"/>
              <w:left w:val="nil"/>
              <w:bottom w:val="nil"/>
              <w:right w:val="nil"/>
            </w:tcBorders>
            <w:shd w:val="clear" w:color="auto" w:fill="EEECE1" w:themeFill="background2"/>
          </w:tcPr>
          <w:p w14:paraId="59B11349" w14:textId="77777777" w:rsidR="00134EE8" w:rsidRPr="0050793F" w:rsidRDefault="00134EE8" w:rsidP="0066197D">
            <w:pPr>
              <w:widowControl w:val="0"/>
              <w:autoSpaceDE w:val="0"/>
              <w:autoSpaceDN w:val="0"/>
              <w:adjustRightInd w:val="0"/>
              <w:contextualSpacing/>
              <w:jc w:val="both"/>
              <w:rPr>
                <w:rFonts w:ascii="Calibri" w:hAnsi="Calibri" w:cs="Calibri"/>
              </w:rPr>
            </w:pPr>
          </w:p>
        </w:tc>
      </w:tr>
      <w:tr w:rsidR="00134EE8" w:rsidRPr="0050793F" w14:paraId="1578425E" w14:textId="77777777" w:rsidTr="00134EE8">
        <w:trPr>
          <w:trHeight w:val="20"/>
        </w:trPr>
        <w:tc>
          <w:tcPr>
            <w:tcW w:w="124" w:type="pct"/>
            <w:tcBorders>
              <w:top w:val="nil"/>
              <w:left w:val="nil"/>
              <w:bottom w:val="nil"/>
              <w:right w:val="nil"/>
            </w:tcBorders>
            <w:shd w:val="clear" w:color="auto" w:fill="EEECE1" w:themeFill="background2"/>
          </w:tcPr>
          <w:p w14:paraId="52701E10" w14:textId="4770884C" w:rsidR="00134EE8" w:rsidRPr="0050793F" w:rsidRDefault="00C6241D" w:rsidP="0066197D">
            <w:pPr>
              <w:widowControl w:val="0"/>
              <w:autoSpaceDE w:val="0"/>
              <w:autoSpaceDN w:val="0"/>
              <w:adjustRightInd w:val="0"/>
              <w:contextualSpacing/>
              <w:jc w:val="both"/>
              <w:rPr>
                <w:rFonts w:ascii="Calibri" w:hAnsi="Calibri" w:cs="Calibri"/>
              </w:rPr>
            </w:pPr>
            <w:r>
              <w:rPr>
                <w:noProof/>
              </w:rPr>
              <w:pict w14:anchorId="13D87D9F">
                <v:line id="Connecteur droit 3" o:spid="_x0000_s2051" alt="" style="position:absolute;left:0;text-align:left;z-index:251659264;visibility:visible;mso-wrap-style:square;mso-wrap-edited:f;mso-width-percent:0;mso-height-percent:0;mso-wrap-distance-left:9pt;mso-wrap-distance-right:9pt;mso-position-horizontal:absolute;mso-position-horizontal-relative:text;mso-position-vertical:absolute;mso-position-vertical-relative:text;mso-width-percent:0;mso-height-percent:0;mso-width-relative:page;mso-height-relative:page" from="-5.25pt,25.5pt" to="448.05pt,25.5pt"/>
              </w:pict>
            </w:r>
          </w:p>
        </w:tc>
        <w:tc>
          <w:tcPr>
            <w:tcW w:w="1061" w:type="pct"/>
            <w:tcBorders>
              <w:top w:val="nil"/>
              <w:left w:val="nil"/>
              <w:bottom w:val="nil"/>
              <w:right w:val="nil"/>
            </w:tcBorders>
            <w:shd w:val="clear" w:color="auto" w:fill="EEECE1" w:themeFill="background2"/>
          </w:tcPr>
          <w:p w14:paraId="323E28A6"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Male</w:t>
            </w:r>
          </w:p>
        </w:tc>
        <w:tc>
          <w:tcPr>
            <w:tcW w:w="412" w:type="pct"/>
            <w:tcBorders>
              <w:top w:val="nil"/>
              <w:left w:val="nil"/>
              <w:bottom w:val="nil"/>
              <w:right w:val="nil"/>
            </w:tcBorders>
            <w:shd w:val="clear" w:color="auto" w:fill="EEECE1" w:themeFill="background2"/>
          </w:tcPr>
          <w:p w14:paraId="15AA442B"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2,5</w:t>
            </w:r>
          </w:p>
        </w:tc>
        <w:tc>
          <w:tcPr>
            <w:tcW w:w="813" w:type="pct"/>
            <w:tcBorders>
              <w:top w:val="nil"/>
              <w:left w:val="nil"/>
              <w:bottom w:val="nil"/>
              <w:right w:val="nil"/>
            </w:tcBorders>
            <w:shd w:val="clear" w:color="auto" w:fill="EEECE1" w:themeFill="background2"/>
          </w:tcPr>
          <w:p w14:paraId="4005F39F"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color w:val="000000"/>
              </w:rPr>
              <w:t>[1,24 – 5,22]</w:t>
            </w:r>
          </w:p>
        </w:tc>
        <w:tc>
          <w:tcPr>
            <w:tcW w:w="498" w:type="pct"/>
            <w:tcBorders>
              <w:top w:val="nil"/>
              <w:left w:val="nil"/>
              <w:bottom w:val="nil"/>
              <w:right w:val="nil"/>
            </w:tcBorders>
            <w:shd w:val="clear" w:color="auto" w:fill="EEECE1" w:themeFill="background2"/>
          </w:tcPr>
          <w:p w14:paraId="3F5FF7F9" w14:textId="77777777" w:rsidR="00134EE8" w:rsidRPr="0050793F" w:rsidRDefault="00134EE8" w:rsidP="0066197D">
            <w:pPr>
              <w:widowControl w:val="0"/>
              <w:autoSpaceDE w:val="0"/>
              <w:autoSpaceDN w:val="0"/>
              <w:adjustRightInd w:val="0"/>
              <w:contextualSpacing/>
              <w:jc w:val="both"/>
              <w:rPr>
                <w:rFonts w:ascii="Calibri" w:hAnsi="Calibri" w:cs="Calibri"/>
                <w:b/>
                <w:bCs/>
              </w:rPr>
            </w:pPr>
            <w:r w:rsidRPr="0050793F">
              <w:rPr>
                <w:rFonts w:ascii="Calibri" w:hAnsi="Calibri" w:cs="Calibri"/>
                <w:b/>
              </w:rPr>
              <w:t>0,01</w:t>
            </w:r>
          </w:p>
        </w:tc>
        <w:tc>
          <w:tcPr>
            <w:tcW w:w="433" w:type="pct"/>
            <w:tcBorders>
              <w:top w:val="nil"/>
              <w:left w:val="nil"/>
              <w:bottom w:val="nil"/>
              <w:right w:val="nil"/>
            </w:tcBorders>
            <w:shd w:val="clear" w:color="auto" w:fill="EEECE1" w:themeFill="background2"/>
          </w:tcPr>
          <w:p w14:paraId="5FB8E3CC" w14:textId="77777777" w:rsidR="00134EE8" w:rsidRPr="0050793F" w:rsidRDefault="00134EE8" w:rsidP="0066197D">
            <w:pPr>
              <w:widowControl w:val="0"/>
              <w:autoSpaceDE w:val="0"/>
              <w:autoSpaceDN w:val="0"/>
              <w:adjustRightInd w:val="0"/>
              <w:spacing w:after="240" w:line="360" w:lineRule="auto"/>
              <w:contextualSpacing/>
              <w:jc w:val="center"/>
              <w:rPr>
                <w:rFonts w:ascii="Calibri" w:hAnsi="Calibri" w:cs="Calibri"/>
                <w:color w:val="000000"/>
              </w:rPr>
            </w:pPr>
            <w:r w:rsidRPr="0050793F">
              <w:rPr>
                <w:rFonts w:ascii="Calibri" w:hAnsi="Calibri" w:cs="Calibri"/>
                <w:color w:val="000000"/>
              </w:rPr>
              <w:t>1,45</w:t>
            </w:r>
          </w:p>
        </w:tc>
        <w:tc>
          <w:tcPr>
            <w:tcW w:w="861" w:type="pct"/>
            <w:tcBorders>
              <w:top w:val="nil"/>
              <w:left w:val="nil"/>
              <w:bottom w:val="nil"/>
              <w:right w:val="nil"/>
            </w:tcBorders>
            <w:shd w:val="clear" w:color="auto" w:fill="EEECE1" w:themeFill="background2"/>
          </w:tcPr>
          <w:p w14:paraId="5307E8DE" w14:textId="77777777" w:rsidR="00134EE8" w:rsidRPr="0050793F" w:rsidRDefault="00134EE8" w:rsidP="0066197D">
            <w:pPr>
              <w:rPr>
                <w:rFonts w:ascii="Calibri" w:hAnsi="Calibri" w:cs="Calibri"/>
                <w:color w:val="000000"/>
              </w:rPr>
            </w:pPr>
            <w:r w:rsidRPr="0050793F">
              <w:rPr>
                <w:rFonts w:ascii="Calibri" w:hAnsi="Calibri" w:cs="Calibri"/>
                <w:color w:val="000000"/>
              </w:rPr>
              <w:t>[0.57 – 3,7]</w:t>
            </w:r>
          </w:p>
          <w:p w14:paraId="717D6BBB" w14:textId="77777777" w:rsidR="00134EE8" w:rsidRPr="0050793F" w:rsidRDefault="00134EE8" w:rsidP="0066197D">
            <w:pPr>
              <w:widowControl w:val="0"/>
              <w:autoSpaceDE w:val="0"/>
              <w:autoSpaceDN w:val="0"/>
              <w:adjustRightInd w:val="0"/>
              <w:spacing w:after="240" w:line="360" w:lineRule="auto"/>
              <w:contextualSpacing/>
              <w:jc w:val="center"/>
              <w:rPr>
                <w:rFonts w:ascii="Calibri" w:hAnsi="Calibri" w:cs="Calibri"/>
                <w:color w:val="000000"/>
              </w:rPr>
            </w:pPr>
          </w:p>
        </w:tc>
        <w:tc>
          <w:tcPr>
            <w:tcW w:w="799" w:type="pct"/>
            <w:tcBorders>
              <w:top w:val="nil"/>
              <w:left w:val="nil"/>
              <w:bottom w:val="nil"/>
              <w:right w:val="nil"/>
            </w:tcBorders>
            <w:shd w:val="clear" w:color="auto" w:fill="EEECE1" w:themeFill="background2"/>
          </w:tcPr>
          <w:p w14:paraId="739AD207"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0,4</w:t>
            </w:r>
          </w:p>
        </w:tc>
      </w:tr>
      <w:tr w:rsidR="00134EE8" w:rsidRPr="0050793F" w14:paraId="481EE34A" w14:textId="77777777" w:rsidTr="00134EE8">
        <w:trPr>
          <w:trHeight w:val="20"/>
        </w:trPr>
        <w:tc>
          <w:tcPr>
            <w:tcW w:w="1185" w:type="pct"/>
            <w:gridSpan w:val="2"/>
            <w:tcBorders>
              <w:top w:val="nil"/>
              <w:left w:val="nil"/>
              <w:bottom w:val="single" w:sz="4" w:space="0" w:color="auto"/>
              <w:right w:val="nil"/>
            </w:tcBorders>
            <w:shd w:val="clear" w:color="auto" w:fill="EEECE1" w:themeFill="background2"/>
          </w:tcPr>
          <w:p w14:paraId="4196D24F" w14:textId="77777777" w:rsidR="00134EE8" w:rsidRPr="0050793F" w:rsidRDefault="00134EE8" w:rsidP="0066197D">
            <w:pPr>
              <w:widowControl w:val="0"/>
              <w:autoSpaceDE w:val="0"/>
              <w:autoSpaceDN w:val="0"/>
              <w:adjustRightInd w:val="0"/>
              <w:contextualSpacing/>
              <w:jc w:val="both"/>
              <w:rPr>
                <w:rFonts w:ascii="Calibri" w:hAnsi="Calibri" w:cs="Calibri"/>
                <w:b/>
                <w:bCs/>
              </w:rPr>
            </w:pPr>
            <w:r w:rsidRPr="0050793F">
              <w:rPr>
                <w:rFonts w:ascii="Calibri" w:hAnsi="Calibri" w:cs="Calibri"/>
                <w:b/>
              </w:rPr>
              <w:t>Smoking</w:t>
            </w:r>
          </w:p>
          <w:p w14:paraId="520F0973" w14:textId="77777777" w:rsidR="00134EE8" w:rsidRPr="0050793F" w:rsidRDefault="00134EE8" w:rsidP="0066197D">
            <w:pPr>
              <w:widowControl w:val="0"/>
              <w:autoSpaceDE w:val="0"/>
              <w:autoSpaceDN w:val="0"/>
              <w:adjustRightInd w:val="0"/>
              <w:contextualSpacing/>
              <w:jc w:val="both"/>
              <w:rPr>
                <w:rFonts w:ascii="Calibri" w:hAnsi="Calibri" w:cs="Calibri"/>
              </w:rPr>
            </w:pPr>
          </w:p>
        </w:tc>
        <w:tc>
          <w:tcPr>
            <w:tcW w:w="412" w:type="pct"/>
            <w:tcBorders>
              <w:top w:val="nil"/>
              <w:left w:val="nil"/>
              <w:bottom w:val="single" w:sz="4" w:space="0" w:color="auto"/>
              <w:right w:val="nil"/>
            </w:tcBorders>
            <w:shd w:val="clear" w:color="auto" w:fill="EEECE1" w:themeFill="background2"/>
          </w:tcPr>
          <w:p w14:paraId="25EA5812"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5,3</w:t>
            </w:r>
          </w:p>
          <w:p w14:paraId="2A417578" w14:textId="77777777" w:rsidR="00134EE8" w:rsidRPr="0050793F" w:rsidRDefault="00134EE8" w:rsidP="0066197D">
            <w:pPr>
              <w:widowControl w:val="0"/>
              <w:autoSpaceDE w:val="0"/>
              <w:autoSpaceDN w:val="0"/>
              <w:adjustRightInd w:val="0"/>
              <w:contextualSpacing/>
              <w:jc w:val="both"/>
              <w:rPr>
                <w:rFonts w:ascii="Calibri" w:hAnsi="Calibri" w:cs="Calibri"/>
              </w:rPr>
            </w:pPr>
          </w:p>
        </w:tc>
        <w:tc>
          <w:tcPr>
            <w:tcW w:w="813" w:type="pct"/>
            <w:tcBorders>
              <w:top w:val="nil"/>
              <w:left w:val="nil"/>
              <w:bottom w:val="single" w:sz="4" w:space="0" w:color="auto"/>
              <w:right w:val="nil"/>
            </w:tcBorders>
            <w:shd w:val="clear" w:color="auto" w:fill="EEECE1" w:themeFill="background2"/>
          </w:tcPr>
          <w:p w14:paraId="2C4448A6" w14:textId="471E0D20" w:rsidR="00134EE8" w:rsidRPr="0050793F" w:rsidRDefault="00C6241D" w:rsidP="0066197D">
            <w:pPr>
              <w:widowControl w:val="0"/>
              <w:autoSpaceDE w:val="0"/>
              <w:autoSpaceDN w:val="0"/>
              <w:adjustRightInd w:val="0"/>
              <w:contextualSpacing/>
              <w:jc w:val="both"/>
              <w:rPr>
                <w:rFonts w:ascii="Calibri" w:hAnsi="Calibri" w:cs="Calibri"/>
              </w:rPr>
            </w:pPr>
            <w:r>
              <w:rPr>
                <w:noProof/>
              </w:rPr>
              <w:pict w14:anchorId="160643A2">
                <v:line id="Connecteur droit 1" o:spid="_x0000_s2050" alt="" style="position:absolute;left:0;text-align:left;z-index:251660288;visibility:visible;mso-wrap-style:square;mso-wrap-edited:f;mso-width-percent:0;mso-height-percent:0;mso-wrap-distance-left:9pt;mso-wrap-distance-right:9pt;mso-position-horizontal:absolute;mso-position-horizontal-relative:text;mso-position-vertical:absolute;mso-position-vertical-relative:text;mso-width-percent:0;mso-height-percent:0;mso-width-relative:page;mso-height-relative:page" from="-160.45pt,27.75pt" to="292.85pt,27.75pt"/>
              </w:pict>
            </w:r>
            <w:r w:rsidR="00134EE8" w:rsidRPr="0050793F">
              <w:rPr>
                <w:rFonts w:ascii="Calibri" w:hAnsi="Calibri" w:cs="Calibri"/>
                <w:color w:val="000000"/>
              </w:rPr>
              <w:t>[1,77-16,1]</w:t>
            </w:r>
          </w:p>
          <w:p w14:paraId="52A3C9CB" w14:textId="77777777" w:rsidR="00134EE8" w:rsidRPr="0050793F" w:rsidRDefault="00134EE8" w:rsidP="0066197D">
            <w:pPr>
              <w:widowControl w:val="0"/>
              <w:autoSpaceDE w:val="0"/>
              <w:autoSpaceDN w:val="0"/>
              <w:adjustRightInd w:val="0"/>
              <w:contextualSpacing/>
              <w:jc w:val="both"/>
              <w:rPr>
                <w:rFonts w:ascii="Calibri" w:hAnsi="Calibri" w:cs="Calibri"/>
              </w:rPr>
            </w:pPr>
          </w:p>
        </w:tc>
        <w:tc>
          <w:tcPr>
            <w:tcW w:w="498" w:type="pct"/>
            <w:tcBorders>
              <w:top w:val="nil"/>
              <w:left w:val="nil"/>
              <w:bottom w:val="single" w:sz="4" w:space="0" w:color="auto"/>
              <w:right w:val="nil"/>
            </w:tcBorders>
            <w:shd w:val="clear" w:color="auto" w:fill="EEECE1" w:themeFill="background2"/>
          </w:tcPr>
          <w:p w14:paraId="70814124" w14:textId="77777777" w:rsidR="00134EE8" w:rsidRPr="0050793F" w:rsidRDefault="00134EE8" w:rsidP="0066197D">
            <w:pPr>
              <w:widowControl w:val="0"/>
              <w:autoSpaceDE w:val="0"/>
              <w:autoSpaceDN w:val="0"/>
              <w:adjustRightInd w:val="0"/>
              <w:contextualSpacing/>
              <w:jc w:val="both"/>
              <w:rPr>
                <w:rFonts w:ascii="Calibri" w:hAnsi="Calibri" w:cs="Calibri"/>
                <w:b/>
                <w:bCs/>
              </w:rPr>
            </w:pPr>
            <w:r w:rsidRPr="0050793F">
              <w:rPr>
                <w:rFonts w:ascii="Calibri" w:hAnsi="Calibri" w:cs="Calibri"/>
                <w:b/>
                <w:bCs/>
              </w:rPr>
              <w:t>0,003</w:t>
            </w:r>
          </w:p>
          <w:p w14:paraId="29ACFE76" w14:textId="77777777" w:rsidR="00134EE8" w:rsidRPr="0050793F" w:rsidRDefault="00134EE8" w:rsidP="0066197D">
            <w:pPr>
              <w:widowControl w:val="0"/>
              <w:autoSpaceDE w:val="0"/>
              <w:autoSpaceDN w:val="0"/>
              <w:adjustRightInd w:val="0"/>
              <w:contextualSpacing/>
              <w:jc w:val="both"/>
              <w:rPr>
                <w:rFonts w:ascii="Calibri" w:hAnsi="Calibri" w:cs="Calibri"/>
              </w:rPr>
            </w:pPr>
          </w:p>
        </w:tc>
        <w:tc>
          <w:tcPr>
            <w:tcW w:w="433" w:type="pct"/>
            <w:tcBorders>
              <w:top w:val="nil"/>
              <w:left w:val="nil"/>
              <w:bottom w:val="single" w:sz="4" w:space="0" w:color="auto"/>
              <w:right w:val="nil"/>
            </w:tcBorders>
            <w:shd w:val="clear" w:color="auto" w:fill="EEECE1" w:themeFill="background2"/>
          </w:tcPr>
          <w:p w14:paraId="6CAABC6C"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4,1</w:t>
            </w:r>
          </w:p>
        </w:tc>
        <w:tc>
          <w:tcPr>
            <w:tcW w:w="861" w:type="pct"/>
            <w:tcBorders>
              <w:top w:val="nil"/>
              <w:left w:val="nil"/>
              <w:bottom w:val="single" w:sz="4" w:space="0" w:color="auto"/>
              <w:right w:val="nil"/>
            </w:tcBorders>
            <w:shd w:val="clear" w:color="auto" w:fill="EEECE1" w:themeFill="background2"/>
          </w:tcPr>
          <w:p w14:paraId="6D0B66FB" w14:textId="77777777" w:rsidR="00134EE8" w:rsidRPr="0050793F" w:rsidRDefault="00134EE8" w:rsidP="0066197D">
            <w:pPr>
              <w:rPr>
                <w:rFonts w:ascii="Calibri" w:hAnsi="Calibri" w:cs="Calibri"/>
                <w:color w:val="000000"/>
              </w:rPr>
            </w:pPr>
            <w:r w:rsidRPr="0050793F">
              <w:rPr>
                <w:rFonts w:ascii="Calibri" w:hAnsi="Calibri" w:cs="Calibri"/>
                <w:color w:val="000000"/>
              </w:rPr>
              <w:t>[1,1 – 15,2]</w:t>
            </w:r>
          </w:p>
        </w:tc>
        <w:tc>
          <w:tcPr>
            <w:tcW w:w="799" w:type="pct"/>
            <w:vMerge w:val="restart"/>
            <w:tcBorders>
              <w:top w:val="nil"/>
              <w:left w:val="nil"/>
              <w:right w:val="nil"/>
            </w:tcBorders>
            <w:shd w:val="clear" w:color="auto" w:fill="EEECE1" w:themeFill="background2"/>
          </w:tcPr>
          <w:p w14:paraId="697A8CAA" w14:textId="77777777" w:rsidR="00134EE8" w:rsidRPr="0050793F" w:rsidRDefault="00134EE8" w:rsidP="0066197D">
            <w:pPr>
              <w:widowControl w:val="0"/>
              <w:autoSpaceDE w:val="0"/>
              <w:autoSpaceDN w:val="0"/>
              <w:adjustRightInd w:val="0"/>
              <w:contextualSpacing/>
              <w:jc w:val="both"/>
              <w:rPr>
                <w:rFonts w:ascii="Calibri" w:hAnsi="Calibri" w:cs="Calibri"/>
                <w:b/>
                <w:bCs/>
              </w:rPr>
            </w:pPr>
            <w:r w:rsidRPr="0050793F">
              <w:rPr>
                <w:rFonts w:ascii="Calibri" w:hAnsi="Calibri" w:cs="Calibri"/>
                <w:b/>
                <w:bCs/>
              </w:rPr>
              <w:t>0,04</w:t>
            </w:r>
          </w:p>
          <w:p w14:paraId="1D733BBD" w14:textId="77777777" w:rsidR="00134EE8" w:rsidRPr="0050793F" w:rsidRDefault="00134EE8" w:rsidP="0066197D">
            <w:pPr>
              <w:widowControl w:val="0"/>
              <w:autoSpaceDE w:val="0"/>
              <w:autoSpaceDN w:val="0"/>
              <w:adjustRightInd w:val="0"/>
              <w:contextualSpacing/>
              <w:jc w:val="both"/>
              <w:rPr>
                <w:rFonts w:ascii="Calibri" w:hAnsi="Calibri" w:cs="Calibri"/>
              </w:rPr>
            </w:pPr>
          </w:p>
          <w:p w14:paraId="68C77D4D" w14:textId="77777777" w:rsidR="00134EE8" w:rsidRPr="0050793F" w:rsidRDefault="00134EE8" w:rsidP="0066197D">
            <w:pPr>
              <w:widowControl w:val="0"/>
              <w:autoSpaceDE w:val="0"/>
              <w:autoSpaceDN w:val="0"/>
              <w:adjustRightInd w:val="0"/>
              <w:contextualSpacing/>
              <w:jc w:val="both"/>
              <w:rPr>
                <w:rFonts w:ascii="Calibri" w:hAnsi="Calibri" w:cs="Calibri"/>
                <w:bCs/>
              </w:rPr>
            </w:pPr>
            <w:r w:rsidRPr="0050793F">
              <w:rPr>
                <w:rFonts w:ascii="Calibri" w:hAnsi="Calibri" w:cs="Calibri"/>
                <w:bCs/>
              </w:rPr>
              <w:t>0,14</w:t>
            </w:r>
          </w:p>
        </w:tc>
      </w:tr>
      <w:tr w:rsidR="00134EE8" w:rsidRPr="0050793F" w14:paraId="6D4774EF" w14:textId="77777777" w:rsidTr="00134EE8">
        <w:trPr>
          <w:trHeight w:val="20"/>
        </w:trPr>
        <w:tc>
          <w:tcPr>
            <w:tcW w:w="1185" w:type="pct"/>
            <w:gridSpan w:val="2"/>
            <w:tcBorders>
              <w:top w:val="single" w:sz="4" w:space="0" w:color="auto"/>
              <w:left w:val="nil"/>
              <w:bottom w:val="nil"/>
              <w:right w:val="nil"/>
            </w:tcBorders>
            <w:shd w:val="clear" w:color="auto" w:fill="EEECE1" w:themeFill="background2"/>
          </w:tcPr>
          <w:p w14:paraId="6402726F" w14:textId="77777777" w:rsidR="00134EE8" w:rsidRPr="0050793F" w:rsidRDefault="00134EE8" w:rsidP="0066197D">
            <w:pPr>
              <w:widowControl w:val="0"/>
              <w:autoSpaceDE w:val="0"/>
              <w:autoSpaceDN w:val="0"/>
              <w:adjustRightInd w:val="0"/>
              <w:contextualSpacing/>
              <w:jc w:val="both"/>
              <w:rPr>
                <w:rFonts w:ascii="Calibri" w:hAnsi="Calibri" w:cs="Calibri"/>
                <w:b/>
                <w:bCs/>
              </w:rPr>
            </w:pPr>
            <w:r w:rsidRPr="0050793F">
              <w:rPr>
                <w:rFonts w:ascii="Calibri" w:hAnsi="Calibri" w:cs="Calibri"/>
              </w:rPr>
              <w:t>Gastrointestinal bleeding</w:t>
            </w:r>
          </w:p>
        </w:tc>
        <w:tc>
          <w:tcPr>
            <w:tcW w:w="412" w:type="pct"/>
            <w:tcBorders>
              <w:top w:val="single" w:sz="4" w:space="0" w:color="auto"/>
              <w:left w:val="nil"/>
              <w:bottom w:val="nil"/>
              <w:right w:val="nil"/>
            </w:tcBorders>
            <w:shd w:val="clear" w:color="auto" w:fill="EEECE1" w:themeFill="background2"/>
          </w:tcPr>
          <w:p w14:paraId="4CED0363" w14:textId="77777777" w:rsidR="00134EE8" w:rsidRPr="0050793F" w:rsidRDefault="00134EE8" w:rsidP="0066197D">
            <w:pPr>
              <w:widowControl w:val="0"/>
              <w:autoSpaceDE w:val="0"/>
              <w:autoSpaceDN w:val="0"/>
              <w:adjustRightInd w:val="0"/>
              <w:spacing w:after="240" w:line="360" w:lineRule="auto"/>
              <w:contextualSpacing/>
              <w:jc w:val="center"/>
              <w:rPr>
                <w:rFonts w:ascii="Calibri" w:hAnsi="Calibri" w:cs="Calibri"/>
                <w:color w:val="000000"/>
              </w:rPr>
            </w:pPr>
            <w:r w:rsidRPr="0050793F">
              <w:rPr>
                <w:rFonts w:ascii="Calibri" w:hAnsi="Calibri" w:cs="Calibri"/>
                <w:color w:val="000000"/>
              </w:rPr>
              <w:t>2,62</w:t>
            </w:r>
          </w:p>
        </w:tc>
        <w:tc>
          <w:tcPr>
            <w:tcW w:w="813" w:type="pct"/>
            <w:tcBorders>
              <w:top w:val="single" w:sz="4" w:space="0" w:color="auto"/>
              <w:left w:val="nil"/>
              <w:bottom w:val="nil"/>
              <w:right w:val="nil"/>
            </w:tcBorders>
            <w:shd w:val="clear" w:color="auto" w:fill="EEECE1" w:themeFill="background2"/>
          </w:tcPr>
          <w:p w14:paraId="3BA7B87E" w14:textId="77777777" w:rsidR="00134EE8" w:rsidRPr="0050793F" w:rsidRDefault="00134EE8" w:rsidP="0066197D">
            <w:pPr>
              <w:widowControl w:val="0"/>
              <w:autoSpaceDE w:val="0"/>
              <w:autoSpaceDN w:val="0"/>
              <w:adjustRightInd w:val="0"/>
              <w:spacing w:after="240" w:line="360" w:lineRule="auto"/>
              <w:contextualSpacing/>
              <w:jc w:val="center"/>
              <w:rPr>
                <w:rFonts w:ascii="Calibri" w:hAnsi="Calibri" w:cs="Calibri"/>
                <w:color w:val="000000"/>
              </w:rPr>
            </w:pPr>
            <w:r w:rsidRPr="0050793F">
              <w:rPr>
                <w:rFonts w:ascii="Calibri" w:hAnsi="Calibri" w:cs="Calibri"/>
                <w:color w:val="000000"/>
              </w:rPr>
              <w:t>[1,26– 5,45]</w:t>
            </w:r>
          </w:p>
        </w:tc>
        <w:tc>
          <w:tcPr>
            <w:tcW w:w="498" w:type="pct"/>
            <w:tcBorders>
              <w:top w:val="single" w:sz="4" w:space="0" w:color="auto"/>
              <w:left w:val="nil"/>
              <w:bottom w:val="nil"/>
              <w:right w:val="nil"/>
            </w:tcBorders>
            <w:shd w:val="clear" w:color="auto" w:fill="EEECE1" w:themeFill="background2"/>
          </w:tcPr>
          <w:p w14:paraId="2C5D9736" w14:textId="77777777" w:rsidR="00134EE8" w:rsidRPr="0050793F" w:rsidRDefault="00134EE8" w:rsidP="0066197D">
            <w:pPr>
              <w:widowControl w:val="0"/>
              <w:autoSpaceDE w:val="0"/>
              <w:autoSpaceDN w:val="0"/>
              <w:adjustRightInd w:val="0"/>
              <w:spacing w:after="240" w:line="360" w:lineRule="auto"/>
              <w:contextualSpacing/>
              <w:jc w:val="center"/>
              <w:rPr>
                <w:rFonts w:ascii="Calibri" w:hAnsi="Calibri" w:cs="Calibri"/>
                <w:b/>
                <w:bCs/>
                <w:color w:val="000000"/>
              </w:rPr>
            </w:pPr>
            <w:r w:rsidRPr="0050793F">
              <w:rPr>
                <w:rFonts w:ascii="Calibri" w:hAnsi="Calibri" w:cs="Calibri"/>
                <w:b/>
                <w:color w:val="000000"/>
              </w:rPr>
              <w:t>0,01</w:t>
            </w:r>
          </w:p>
        </w:tc>
        <w:tc>
          <w:tcPr>
            <w:tcW w:w="433" w:type="pct"/>
            <w:tcBorders>
              <w:top w:val="single" w:sz="4" w:space="0" w:color="auto"/>
              <w:left w:val="nil"/>
              <w:bottom w:val="nil"/>
              <w:right w:val="nil"/>
            </w:tcBorders>
            <w:shd w:val="clear" w:color="auto" w:fill="EEECE1" w:themeFill="background2"/>
          </w:tcPr>
          <w:p w14:paraId="1D7EB980" w14:textId="77777777" w:rsidR="00134EE8" w:rsidRPr="0050793F" w:rsidRDefault="00134EE8" w:rsidP="0066197D">
            <w:pPr>
              <w:widowControl w:val="0"/>
              <w:autoSpaceDE w:val="0"/>
              <w:autoSpaceDN w:val="0"/>
              <w:adjustRightInd w:val="0"/>
              <w:spacing w:after="240" w:line="360" w:lineRule="auto"/>
              <w:contextualSpacing/>
              <w:jc w:val="center"/>
              <w:rPr>
                <w:rFonts w:ascii="Calibri" w:hAnsi="Calibri" w:cs="Calibri"/>
                <w:color w:val="000000"/>
              </w:rPr>
            </w:pPr>
            <w:r w:rsidRPr="0050793F">
              <w:rPr>
                <w:rFonts w:ascii="Calibri" w:hAnsi="Calibri" w:cs="Calibri"/>
                <w:color w:val="000000"/>
              </w:rPr>
              <w:t>2,41</w:t>
            </w:r>
          </w:p>
        </w:tc>
        <w:tc>
          <w:tcPr>
            <w:tcW w:w="861" w:type="pct"/>
            <w:tcBorders>
              <w:top w:val="single" w:sz="4" w:space="0" w:color="auto"/>
              <w:left w:val="nil"/>
              <w:bottom w:val="nil"/>
              <w:right w:val="nil"/>
            </w:tcBorders>
            <w:shd w:val="clear" w:color="auto" w:fill="EEECE1" w:themeFill="background2"/>
          </w:tcPr>
          <w:p w14:paraId="219F36E6" w14:textId="77777777" w:rsidR="00134EE8" w:rsidRPr="0050793F" w:rsidRDefault="00134EE8" w:rsidP="0066197D">
            <w:pPr>
              <w:rPr>
                <w:rFonts w:ascii="Calibri" w:hAnsi="Calibri" w:cs="Calibri"/>
              </w:rPr>
            </w:pPr>
            <w:r w:rsidRPr="0050793F">
              <w:rPr>
                <w:rFonts w:ascii="Calibri" w:hAnsi="Calibri" w:cs="Calibri"/>
              </w:rPr>
              <w:t>[0,74- 7,88]</w:t>
            </w:r>
          </w:p>
          <w:p w14:paraId="7409CF65" w14:textId="77777777" w:rsidR="00134EE8" w:rsidRPr="0050793F" w:rsidRDefault="00134EE8" w:rsidP="0066197D">
            <w:pPr>
              <w:widowControl w:val="0"/>
              <w:autoSpaceDE w:val="0"/>
              <w:autoSpaceDN w:val="0"/>
              <w:adjustRightInd w:val="0"/>
              <w:spacing w:after="240" w:line="360" w:lineRule="auto"/>
              <w:contextualSpacing/>
              <w:jc w:val="center"/>
              <w:rPr>
                <w:rFonts w:ascii="Calibri" w:hAnsi="Calibri" w:cs="Calibri"/>
                <w:color w:val="000000"/>
              </w:rPr>
            </w:pPr>
          </w:p>
        </w:tc>
        <w:tc>
          <w:tcPr>
            <w:tcW w:w="799" w:type="pct"/>
            <w:vMerge/>
            <w:tcBorders>
              <w:left w:val="nil"/>
              <w:bottom w:val="nil"/>
              <w:right w:val="nil"/>
            </w:tcBorders>
            <w:shd w:val="clear" w:color="auto" w:fill="EEECE1" w:themeFill="background2"/>
          </w:tcPr>
          <w:p w14:paraId="37665E96" w14:textId="77777777" w:rsidR="00134EE8" w:rsidRPr="0050793F" w:rsidRDefault="00134EE8" w:rsidP="0066197D">
            <w:pPr>
              <w:widowControl w:val="0"/>
              <w:autoSpaceDE w:val="0"/>
              <w:autoSpaceDN w:val="0"/>
              <w:adjustRightInd w:val="0"/>
              <w:contextualSpacing/>
              <w:jc w:val="both"/>
              <w:rPr>
                <w:rFonts w:ascii="Calibri" w:hAnsi="Calibri" w:cs="Calibri"/>
              </w:rPr>
            </w:pPr>
          </w:p>
        </w:tc>
      </w:tr>
      <w:tr w:rsidR="00134EE8" w:rsidRPr="0050793F" w14:paraId="533D05F3" w14:textId="77777777" w:rsidTr="00134EE8">
        <w:trPr>
          <w:trHeight w:val="20"/>
        </w:trPr>
        <w:tc>
          <w:tcPr>
            <w:tcW w:w="1185" w:type="pct"/>
            <w:gridSpan w:val="2"/>
            <w:tcBorders>
              <w:top w:val="single" w:sz="4" w:space="0" w:color="auto"/>
              <w:left w:val="nil"/>
              <w:bottom w:val="single" w:sz="4" w:space="0" w:color="auto"/>
              <w:right w:val="nil"/>
            </w:tcBorders>
            <w:shd w:val="clear" w:color="auto" w:fill="F2F2F2" w:themeFill="background1" w:themeFillShade="F2"/>
          </w:tcPr>
          <w:p w14:paraId="695DE9DC" w14:textId="77777777" w:rsidR="00134EE8" w:rsidRPr="0050793F" w:rsidRDefault="00134EE8" w:rsidP="0066197D">
            <w:pPr>
              <w:widowControl w:val="0"/>
              <w:autoSpaceDE w:val="0"/>
              <w:autoSpaceDN w:val="0"/>
              <w:adjustRightInd w:val="0"/>
              <w:contextualSpacing/>
              <w:rPr>
                <w:rFonts w:ascii="Calibri" w:hAnsi="Calibri" w:cs="Calibri"/>
                <w:b/>
                <w:bCs/>
              </w:rPr>
            </w:pPr>
            <w:r w:rsidRPr="0050793F">
              <w:rPr>
                <w:rFonts w:ascii="Calibri" w:hAnsi="Calibri" w:cs="Calibri"/>
              </w:rPr>
              <w:t>Ascites</w:t>
            </w:r>
          </w:p>
        </w:tc>
        <w:tc>
          <w:tcPr>
            <w:tcW w:w="412" w:type="pct"/>
            <w:tcBorders>
              <w:top w:val="single" w:sz="4" w:space="0" w:color="auto"/>
              <w:left w:val="nil"/>
              <w:bottom w:val="single" w:sz="4" w:space="0" w:color="auto"/>
              <w:right w:val="nil"/>
            </w:tcBorders>
            <w:shd w:val="clear" w:color="auto" w:fill="F2F2F2" w:themeFill="background1" w:themeFillShade="F2"/>
          </w:tcPr>
          <w:p w14:paraId="52E1927C"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0,25</w:t>
            </w:r>
          </w:p>
        </w:tc>
        <w:tc>
          <w:tcPr>
            <w:tcW w:w="813" w:type="pct"/>
            <w:tcBorders>
              <w:top w:val="single" w:sz="4" w:space="0" w:color="auto"/>
              <w:left w:val="nil"/>
              <w:bottom w:val="single" w:sz="4" w:space="0" w:color="auto"/>
              <w:right w:val="nil"/>
            </w:tcBorders>
            <w:shd w:val="clear" w:color="auto" w:fill="F2F2F2" w:themeFill="background1" w:themeFillShade="F2"/>
          </w:tcPr>
          <w:p w14:paraId="32BD78AA"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[0,0962- 0,63]</w:t>
            </w:r>
          </w:p>
        </w:tc>
        <w:tc>
          <w:tcPr>
            <w:tcW w:w="498" w:type="pct"/>
            <w:tcBorders>
              <w:top w:val="single" w:sz="4" w:space="0" w:color="auto"/>
              <w:left w:val="nil"/>
              <w:bottom w:val="single" w:sz="4" w:space="0" w:color="auto"/>
              <w:right w:val="nil"/>
            </w:tcBorders>
            <w:shd w:val="clear" w:color="auto" w:fill="F2F2F2" w:themeFill="background1" w:themeFillShade="F2"/>
          </w:tcPr>
          <w:p w14:paraId="29CACE87"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b/>
              </w:rPr>
              <w:t>0,004</w:t>
            </w:r>
          </w:p>
        </w:tc>
        <w:tc>
          <w:tcPr>
            <w:tcW w:w="433" w:type="pct"/>
            <w:tcBorders>
              <w:top w:val="single" w:sz="4" w:space="0" w:color="auto"/>
              <w:left w:val="nil"/>
              <w:bottom w:val="single" w:sz="4" w:space="0" w:color="auto"/>
              <w:right w:val="nil"/>
            </w:tcBorders>
            <w:shd w:val="clear" w:color="auto" w:fill="F2F2F2" w:themeFill="background1" w:themeFillShade="F2"/>
          </w:tcPr>
          <w:p w14:paraId="6461D06E" w14:textId="77777777" w:rsidR="00134EE8" w:rsidRPr="0050793F" w:rsidRDefault="00134EE8" w:rsidP="0066197D">
            <w:pPr>
              <w:widowControl w:val="0"/>
              <w:autoSpaceDE w:val="0"/>
              <w:autoSpaceDN w:val="0"/>
              <w:adjustRightInd w:val="0"/>
              <w:spacing w:after="240" w:line="480" w:lineRule="auto"/>
              <w:contextualSpacing/>
              <w:jc w:val="center"/>
              <w:rPr>
                <w:rFonts w:ascii="Calibri" w:hAnsi="Calibri" w:cs="Calibri"/>
                <w:color w:val="000000"/>
              </w:rPr>
            </w:pPr>
            <w:r w:rsidRPr="0050793F">
              <w:rPr>
                <w:rFonts w:ascii="Calibri" w:hAnsi="Calibri" w:cs="Calibri"/>
                <w:color w:val="000000"/>
              </w:rPr>
              <w:t>0,39</w:t>
            </w:r>
          </w:p>
        </w:tc>
        <w:tc>
          <w:tcPr>
            <w:tcW w:w="861" w:type="pct"/>
            <w:tcBorders>
              <w:top w:val="single" w:sz="4" w:space="0" w:color="auto"/>
              <w:left w:val="nil"/>
              <w:bottom w:val="single" w:sz="4" w:space="0" w:color="auto"/>
              <w:right w:val="nil"/>
            </w:tcBorders>
            <w:shd w:val="clear" w:color="auto" w:fill="F2F2F2" w:themeFill="background1" w:themeFillShade="F2"/>
          </w:tcPr>
          <w:p w14:paraId="1785FF6E" w14:textId="77777777" w:rsidR="00134EE8" w:rsidRPr="0050793F" w:rsidRDefault="00134EE8" w:rsidP="0066197D">
            <w:pPr>
              <w:rPr>
                <w:rFonts w:ascii="Calibri" w:hAnsi="Calibri" w:cs="Calibri"/>
              </w:rPr>
            </w:pPr>
            <w:r w:rsidRPr="0050793F">
              <w:rPr>
                <w:rFonts w:ascii="Calibri" w:hAnsi="Calibri" w:cs="Calibri"/>
              </w:rPr>
              <w:t>[0,097 – 1,57]</w:t>
            </w:r>
          </w:p>
          <w:p w14:paraId="0AA4CEEB" w14:textId="77777777" w:rsidR="00134EE8" w:rsidRPr="0050793F" w:rsidRDefault="00134EE8" w:rsidP="0066197D">
            <w:pPr>
              <w:widowControl w:val="0"/>
              <w:autoSpaceDE w:val="0"/>
              <w:autoSpaceDN w:val="0"/>
              <w:adjustRightInd w:val="0"/>
              <w:spacing w:after="240" w:line="480" w:lineRule="auto"/>
              <w:contextualSpacing/>
              <w:jc w:val="center"/>
              <w:rPr>
                <w:rFonts w:ascii="Calibri" w:hAnsi="Calibri" w:cs="Calibri"/>
                <w:color w:val="000000"/>
              </w:rPr>
            </w:pPr>
          </w:p>
        </w:tc>
        <w:tc>
          <w:tcPr>
            <w:tcW w:w="799" w:type="pct"/>
            <w:tcBorders>
              <w:left w:val="nil"/>
              <w:right w:val="nil"/>
            </w:tcBorders>
            <w:shd w:val="clear" w:color="auto" w:fill="F2F2F2" w:themeFill="background1" w:themeFillShade="F2"/>
          </w:tcPr>
          <w:p w14:paraId="6FA2CA6F"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0,19</w:t>
            </w:r>
          </w:p>
        </w:tc>
      </w:tr>
      <w:tr w:rsidR="00134EE8" w:rsidRPr="0050793F" w14:paraId="07FDBB10" w14:textId="77777777" w:rsidTr="00134EE8">
        <w:trPr>
          <w:trHeight w:val="20"/>
        </w:trPr>
        <w:tc>
          <w:tcPr>
            <w:tcW w:w="1185" w:type="pct"/>
            <w:gridSpan w:val="2"/>
            <w:tcBorders>
              <w:top w:val="single" w:sz="4" w:space="0" w:color="auto"/>
              <w:left w:val="nil"/>
              <w:bottom w:val="single" w:sz="4" w:space="0" w:color="auto"/>
              <w:right w:val="nil"/>
            </w:tcBorders>
            <w:shd w:val="clear" w:color="auto" w:fill="F2F2F2" w:themeFill="background1" w:themeFillShade="F2"/>
          </w:tcPr>
          <w:p w14:paraId="671A1E41" w14:textId="77777777" w:rsidR="00134EE8" w:rsidRPr="0050793F" w:rsidRDefault="00134EE8" w:rsidP="0066197D">
            <w:pPr>
              <w:widowControl w:val="0"/>
              <w:autoSpaceDE w:val="0"/>
              <w:autoSpaceDN w:val="0"/>
              <w:adjustRightInd w:val="0"/>
              <w:contextualSpacing/>
              <w:rPr>
                <w:rFonts w:ascii="Calibri" w:hAnsi="Calibri" w:cs="Calibri"/>
              </w:rPr>
            </w:pPr>
            <w:r w:rsidRPr="0050793F">
              <w:rPr>
                <w:rFonts w:ascii="Calibri" w:hAnsi="Calibri" w:cs="Calibri"/>
              </w:rPr>
              <w:t>Hepatic encephalopathy</w:t>
            </w:r>
          </w:p>
        </w:tc>
        <w:tc>
          <w:tcPr>
            <w:tcW w:w="412" w:type="pct"/>
            <w:tcBorders>
              <w:top w:val="single" w:sz="4" w:space="0" w:color="auto"/>
              <w:left w:val="nil"/>
              <w:bottom w:val="single" w:sz="4" w:space="0" w:color="auto"/>
              <w:right w:val="nil"/>
            </w:tcBorders>
            <w:shd w:val="clear" w:color="auto" w:fill="F2F2F2" w:themeFill="background1" w:themeFillShade="F2"/>
          </w:tcPr>
          <w:p w14:paraId="7007A1CA"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0,65</w:t>
            </w:r>
          </w:p>
        </w:tc>
        <w:tc>
          <w:tcPr>
            <w:tcW w:w="813" w:type="pct"/>
            <w:tcBorders>
              <w:top w:val="single" w:sz="4" w:space="0" w:color="auto"/>
              <w:left w:val="nil"/>
              <w:bottom w:val="single" w:sz="4" w:space="0" w:color="auto"/>
              <w:right w:val="nil"/>
            </w:tcBorders>
            <w:shd w:val="clear" w:color="auto" w:fill="F2F2F2" w:themeFill="background1" w:themeFillShade="F2"/>
          </w:tcPr>
          <w:p w14:paraId="6FD6BE16"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[0,25- 1,72]</w:t>
            </w:r>
          </w:p>
        </w:tc>
        <w:tc>
          <w:tcPr>
            <w:tcW w:w="498" w:type="pct"/>
            <w:tcBorders>
              <w:top w:val="single" w:sz="4" w:space="0" w:color="auto"/>
              <w:left w:val="nil"/>
              <w:bottom w:val="single" w:sz="4" w:space="0" w:color="auto"/>
              <w:right w:val="nil"/>
            </w:tcBorders>
            <w:shd w:val="clear" w:color="auto" w:fill="F2F2F2" w:themeFill="background1" w:themeFillShade="F2"/>
          </w:tcPr>
          <w:p w14:paraId="1C474E00" w14:textId="77777777" w:rsidR="00134EE8" w:rsidRPr="0050793F" w:rsidRDefault="00134EE8" w:rsidP="0066197D">
            <w:pPr>
              <w:widowControl w:val="0"/>
              <w:autoSpaceDE w:val="0"/>
              <w:autoSpaceDN w:val="0"/>
              <w:adjustRightInd w:val="0"/>
              <w:contextualSpacing/>
              <w:jc w:val="both"/>
              <w:rPr>
                <w:rFonts w:ascii="Calibri" w:hAnsi="Calibri" w:cs="Calibri"/>
                <w:bCs/>
              </w:rPr>
            </w:pPr>
            <w:r w:rsidRPr="0050793F">
              <w:rPr>
                <w:rFonts w:ascii="Calibri" w:hAnsi="Calibri" w:cs="Calibri"/>
                <w:bCs/>
              </w:rPr>
              <w:t>0,39</w:t>
            </w:r>
          </w:p>
        </w:tc>
        <w:tc>
          <w:tcPr>
            <w:tcW w:w="433" w:type="pct"/>
            <w:tcBorders>
              <w:top w:val="single" w:sz="4" w:space="0" w:color="auto"/>
              <w:left w:val="nil"/>
              <w:bottom w:val="single" w:sz="4" w:space="0" w:color="auto"/>
              <w:right w:val="nil"/>
            </w:tcBorders>
            <w:shd w:val="clear" w:color="auto" w:fill="F2F2F2" w:themeFill="background1" w:themeFillShade="F2"/>
          </w:tcPr>
          <w:p w14:paraId="76882126" w14:textId="77777777" w:rsidR="00134EE8" w:rsidRPr="0050793F" w:rsidRDefault="00134EE8" w:rsidP="0066197D">
            <w:pPr>
              <w:widowControl w:val="0"/>
              <w:autoSpaceDE w:val="0"/>
              <w:autoSpaceDN w:val="0"/>
              <w:adjustRightInd w:val="0"/>
              <w:spacing w:after="240" w:line="480" w:lineRule="auto"/>
              <w:contextualSpacing/>
              <w:jc w:val="center"/>
              <w:rPr>
                <w:rFonts w:ascii="Calibri" w:hAnsi="Calibri" w:cs="Calibri"/>
                <w:color w:val="000000"/>
              </w:rPr>
            </w:pPr>
            <w:r w:rsidRPr="0050793F">
              <w:rPr>
                <w:rFonts w:ascii="Calibri" w:hAnsi="Calibri" w:cs="Calibri"/>
                <w:color w:val="000000"/>
              </w:rPr>
              <w:t>0,65</w:t>
            </w:r>
          </w:p>
        </w:tc>
        <w:tc>
          <w:tcPr>
            <w:tcW w:w="861" w:type="pct"/>
            <w:tcBorders>
              <w:top w:val="single" w:sz="4" w:space="0" w:color="auto"/>
              <w:left w:val="nil"/>
              <w:bottom w:val="single" w:sz="4" w:space="0" w:color="auto"/>
              <w:right w:val="nil"/>
            </w:tcBorders>
            <w:shd w:val="clear" w:color="auto" w:fill="F2F2F2" w:themeFill="background1" w:themeFillShade="F2"/>
          </w:tcPr>
          <w:p w14:paraId="5F6CB620" w14:textId="77777777" w:rsidR="00134EE8" w:rsidRPr="0050793F" w:rsidRDefault="00134EE8" w:rsidP="0066197D">
            <w:pPr>
              <w:rPr>
                <w:rFonts w:ascii="Calibri" w:hAnsi="Calibri" w:cs="Calibri"/>
              </w:rPr>
            </w:pPr>
            <w:r w:rsidRPr="0050793F">
              <w:rPr>
                <w:rFonts w:ascii="Calibri" w:hAnsi="Calibri" w:cs="Calibri"/>
              </w:rPr>
              <w:t>[0,25- 1,72]</w:t>
            </w:r>
          </w:p>
        </w:tc>
        <w:tc>
          <w:tcPr>
            <w:tcW w:w="799" w:type="pct"/>
            <w:tcBorders>
              <w:left w:val="nil"/>
              <w:right w:val="nil"/>
            </w:tcBorders>
            <w:shd w:val="clear" w:color="auto" w:fill="F2F2F2" w:themeFill="background1" w:themeFillShade="F2"/>
          </w:tcPr>
          <w:p w14:paraId="6893C51C"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0,39</w:t>
            </w:r>
          </w:p>
        </w:tc>
      </w:tr>
      <w:tr w:rsidR="00134EE8" w:rsidRPr="0050793F" w14:paraId="7BDA6A21" w14:textId="77777777" w:rsidTr="00134EE8">
        <w:trPr>
          <w:trHeight w:val="20"/>
        </w:trPr>
        <w:tc>
          <w:tcPr>
            <w:tcW w:w="1185" w:type="pct"/>
            <w:gridSpan w:val="2"/>
            <w:tcBorders>
              <w:top w:val="single" w:sz="4" w:space="0" w:color="auto"/>
              <w:left w:val="nil"/>
              <w:bottom w:val="single" w:sz="4" w:space="0" w:color="auto"/>
              <w:right w:val="nil"/>
            </w:tcBorders>
            <w:shd w:val="clear" w:color="auto" w:fill="F2F2F2" w:themeFill="background1" w:themeFillShade="F2"/>
          </w:tcPr>
          <w:p w14:paraId="2BFDF9E7" w14:textId="77777777" w:rsidR="00134EE8" w:rsidRPr="0050793F" w:rsidRDefault="00134EE8" w:rsidP="0066197D">
            <w:pPr>
              <w:widowControl w:val="0"/>
              <w:autoSpaceDE w:val="0"/>
              <w:autoSpaceDN w:val="0"/>
              <w:adjustRightInd w:val="0"/>
              <w:contextualSpacing/>
              <w:rPr>
                <w:rFonts w:ascii="Calibri" w:hAnsi="Calibri" w:cs="Calibri"/>
              </w:rPr>
            </w:pPr>
            <w:r w:rsidRPr="0050793F">
              <w:rPr>
                <w:rFonts w:ascii="Calibri" w:hAnsi="Calibri" w:cs="Calibri"/>
              </w:rPr>
              <w:t>Meld score</w:t>
            </w:r>
          </w:p>
        </w:tc>
        <w:tc>
          <w:tcPr>
            <w:tcW w:w="412" w:type="pct"/>
            <w:tcBorders>
              <w:top w:val="single" w:sz="4" w:space="0" w:color="auto"/>
              <w:left w:val="nil"/>
              <w:bottom w:val="single" w:sz="4" w:space="0" w:color="auto"/>
              <w:right w:val="nil"/>
            </w:tcBorders>
            <w:shd w:val="clear" w:color="auto" w:fill="F2F2F2" w:themeFill="background1" w:themeFillShade="F2"/>
          </w:tcPr>
          <w:p w14:paraId="4968E963"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1,27</w:t>
            </w:r>
          </w:p>
        </w:tc>
        <w:tc>
          <w:tcPr>
            <w:tcW w:w="813" w:type="pct"/>
            <w:tcBorders>
              <w:top w:val="single" w:sz="4" w:space="0" w:color="auto"/>
              <w:left w:val="nil"/>
              <w:bottom w:val="single" w:sz="4" w:space="0" w:color="auto"/>
              <w:right w:val="nil"/>
            </w:tcBorders>
            <w:shd w:val="clear" w:color="auto" w:fill="F2F2F2" w:themeFill="background1" w:themeFillShade="F2"/>
          </w:tcPr>
          <w:p w14:paraId="58CE45F8"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[1,15- 1,40]</w:t>
            </w:r>
          </w:p>
        </w:tc>
        <w:tc>
          <w:tcPr>
            <w:tcW w:w="498" w:type="pct"/>
            <w:tcBorders>
              <w:top w:val="single" w:sz="4" w:space="0" w:color="auto"/>
              <w:left w:val="nil"/>
              <w:bottom w:val="single" w:sz="4" w:space="0" w:color="auto"/>
              <w:right w:val="nil"/>
            </w:tcBorders>
            <w:shd w:val="clear" w:color="auto" w:fill="F2F2F2" w:themeFill="background1" w:themeFillShade="F2"/>
          </w:tcPr>
          <w:p w14:paraId="7C5F0E1C" w14:textId="77777777" w:rsidR="00134EE8" w:rsidRPr="0050793F" w:rsidRDefault="00134EE8" w:rsidP="0066197D">
            <w:pPr>
              <w:widowControl w:val="0"/>
              <w:autoSpaceDE w:val="0"/>
              <w:autoSpaceDN w:val="0"/>
              <w:adjustRightInd w:val="0"/>
              <w:contextualSpacing/>
              <w:jc w:val="both"/>
              <w:rPr>
                <w:rFonts w:ascii="Calibri" w:hAnsi="Calibri" w:cs="Calibri"/>
                <w:b/>
              </w:rPr>
            </w:pPr>
            <w:r w:rsidRPr="0050793F">
              <w:rPr>
                <w:rFonts w:ascii="Calibri" w:hAnsi="Calibri" w:cs="Calibri"/>
                <w:b/>
              </w:rPr>
              <w:t>&lt;0,001</w:t>
            </w:r>
          </w:p>
        </w:tc>
        <w:tc>
          <w:tcPr>
            <w:tcW w:w="433" w:type="pct"/>
            <w:tcBorders>
              <w:top w:val="single" w:sz="4" w:space="0" w:color="auto"/>
              <w:left w:val="nil"/>
              <w:bottom w:val="single" w:sz="4" w:space="0" w:color="auto"/>
              <w:right w:val="nil"/>
            </w:tcBorders>
            <w:shd w:val="clear" w:color="auto" w:fill="F2F2F2" w:themeFill="background1" w:themeFillShade="F2"/>
          </w:tcPr>
          <w:p w14:paraId="65AD5243" w14:textId="77777777" w:rsidR="00134EE8" w:rsidRPr="0050793F" w:rsidRDefault="00134EE8" w:rsidP="0066197D">
            <w:pPr>
              <w:widowControl w:val="0"/>
              <w:autoSpaceDE w:val="0"/>
              <w:autoSpaceDN w:val="0"/>
              <w:adjustRightInd w:val="0"/>
              <w:spacing w:after="240" w:line="480" w:lineRule="auto"/>
              <w:contextualSpacing/>
              <w:jc w:val="center"/>
              <w:rPr>
                <w:rFonts w:ascii="Calibri" w:hAnsi="Calibri" w:cs="Calibri"/>
                <w:color w:val="000000"/>
              </w:rPr>
            </w:pPr>
            <w:r w:rsidRPr="0050793F">
              <w:rPr>
                <w:rFonts w:ascii="Calibri" w:hAnsi="Calibri" w:cs="Calibri"/>
                <w:color w:val="000000"/>
              </w:rPr>
              <w:t>1,27</w:t>
            </w:r>
          </w:p>
        </w:tc>
        <w:tc>
          <w:tcPr>
            <w:tcW w:w="861" w:type="pct"/>
            <w:tcBorders>
              <w:top w:val="single" w:sz="4" w:space="0" w:color="auto"/>
              <w:left w:val="nil"/>
              <w:bottom w:val="single" w:sz="4" w:space="0" w:color="auto"/>
              <w:right w:val="nil"/>
            </w:tcBorders>
            <w:shd w:val="clear" w:color="auto" w:fill="F2F2F2" w:themeFill="background1" w:themeFillShade="F2"/>
          </w:tcPr>
          <w:p w14:paraId="4539CB8D" w14:textId="273C76F4" w:rsidR="00134EE8" w:rsidRPr="005522B3" w:rsidRDefault="00134EE8" w:rsidP="0066197D">
            <w:pPr>
              <w:rPr>
                <w:rFonts w:ascii="Calibri" w:hAnsi="Calibri" w:cs="Calibri"/>
                <w:highlight w:val="yellow"/>
              </w:rPr>
            </w:pPr>
            <w:r w:rsidRPr="005522B3">
              <w:rPr>
                <w:rFonts w:ascii="Calibri" w:hAnsi="Calibri" w:cs="Calibri"/>
                <w:highlight w:val="yellow"/>
              </w:rPr>
              <w:t>[</w:t>
            </w:r>
            <w:r w:rsidR="005522B3" w:rsidRPr="005522B3">
              <w:rPr>
                <w:rFonts w:ascii="Calibri" w:hAnsi="Calibri" w:cs="Calibri"/>
                <w:highlight w:val="yellow"/>
              </w:rPr>
              <w:t>1,11</w:t>
            </w:r>
            <w:r w:rsidRPr="005522B3">
              <w:rPr>
                <w:rFonts w:ascii="Calibri" w:hAnsi="Calibri" w:cs="Calibri"/>
                <w:highlight w:val="yellow"/>
              </w:rPr>
              <w:t>- 1,</w:t>
            </w:r>
            <w:r w:rsidR="005522B3" w:rsidRPr="005522B3">
              <w:rPr>
                <w:rFonts w:ascii="Calibri" w:hAnsi="Calibri" w:cs="Calibri"/>
                <w:highlight w:val="yellow"/>
              </w:rPr>
              <w:t>45</w:t>
            </w:r>
            <w:r w:rsidRPr="005522B3">
              <w:rPr>
                <w:rFonts w:ascii="Calibri" w:hAnsi="Calibri" w:cs="Calibri"/>
                <w:highlight w:val="yellow"/>
              </w:rPr>
              <w:t>]</w:t>
            </w:r>
          </w:p>
        </w:tc>
        <w:tc>
          <w:tcPr>
            <w:tcW w:w="799" w:type="pct"/>
            <w:tcBorders>
              <w:left w:val="nil"/>
              <w:right w:val="nil"/>
            </w:tcBorders>
            <w:shd w:val="clear" w:color="auto" w:fill="F2F2F2" w:themeFill="background1" w:themeFillShade="F2"/>
          </w:tcPr>
          <w:p w14:paraId="5542B9B0" w14:textId="77777777" w:rsidR="00134EE8" w:rsidRPr="0050793F" w:rsidRDefault="00134EE8" w:rsidP="0066197D">
            <w:pPr>
              <w:widowControl w:val="0"/>
              <w:autoSpaceDE w:val="0"/>
              <w:autoSpaceDN w:val="0"/>
              <w:adjustRightInd w:val="0"/>
              <w:contextualSpacing/>
              <w:jc w:val="both"/>
              <w:rPr>
                <w:rFonts w:ascii="Calibri" w:hAnsi="Calibri" w:cs="Calibri"/>
                <w:b/>
                <w:bCs/>
              </w:rPr>
            </w:pPr>
            <w:r w:rsidRPr="0050793F">
              <w:rPr>
                <w:rFonts w:ascii="Calibri" w:hAnsi="Calibri" w:cs="Calibri"/>
                <w:b/>
                <w:bCs/>
              </w:rPr>
              <w:t>&lt;0,001</w:t>
            </w:r>
          </w:p>
        </w:tc>
      </w:tr>
      <w:tr w:rsidR="00134EE8" w:rsidRPr="0050793F" w14:paraId="5591B01C" w14:textId="77777777" w:rsidTr="00134EE8">
        <w:trPr>
          <w:trHeight w:val="20"/>
        </w:trPr>
        <w:tc>
          <w:tcPr>
            <w:tcW w:w="1185" w:type="pct"/>
            <w:gridSpan w:val="2"/>
            <w:tcBorders>
              <w:top w:val="single" w:sz="4" w:space="0" w:color="auto"/>
              <w:left w:val="nil"/>
              <w:bottom w:val="single" w:sz="4" w:space="0" w:color="auto"/>
              <w:right w:val="nil"/>
            </w:tcBorders>
            <w:shd w:val="clear" w:color="auto" w:fill="F2F2F2" w:themeFill="background1" w:themeFillShade="F2"/>
          </w:tcPr>
          <w:p w14:paraId="052661FD" w14:textId="77777777" w:rsidR="00134EE8" w:rsidRPr="0050793F" w:rsidRDefault="00134EE8" w:rsidP="0066197D">
            <w:pPr>
              <w:widowControl w:val="0"/>
              <w:autoSpaceDE w:val="0"/>
              <w:autoSpaceDN w:val="0"/>
              <w:adjustRightInd w:val="0"/>
              <w:contextualSpacing/>
              <w:rPr>
                <w:rFonts w:ascii="Calibri" w:hAnsi="Calibri" w:cs="Calibri"/>
              </w:rPr>
            </w:pPr>
            <w:r w:rsidRPr="0050793F">
              <w:rPr>
                <w:rFonts w:ascii="Calibri" w:hAnsi="Calibri" w:cs="Calibri"/>
              </w:rPr>
              <w:t>Child-Pugh</w:t>
            </w:r>
          </w:p>
        </w:tc>
        <w:tc>
          <w:tcPr>
            <w:tcW w:w="412" w:type="pct"/>
            <w:tcBorders>
              <w:top w:val="single" w:sz="4" w:space="0" w:color="auto"/>
              <w:left w:val="nil"/>
              <w:bottom w:val="single" w:sz="4" w:space="0" w:color="auto"/>
              <w:right w:val="nil"/>
            </w:tcBorders>
            <w:shd w:val="clear" w:color="auto" w:fill="F2F2F2" w:themeFill="background1" w:themeFillShade="F2"/>
          </w:tcPr>
          <w:p w14:paraId="2C89CCE6"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1,18</w:t>
            </w:r>
          </w:p>
        </w:tc>
        <w:tc>
          <w:tcPr>
            <w:tcW w:w="813" w:type="pct"/>
            <w:tcBorders>
              <w:top w:val="single" w:sz="4" w:space="0" w:color="auto"/>
              <w:left w:val="nil"/>
              <w:bottom w:val="single" w:sz="4" w:space="0" w:color="auto"/>
              <w:right w:val="nil"/>
            </w:tcBorders>
            <w:shd w:val="clear" w:color="auto" w:fill="F2F2F2" w:themeFill="background1" w:themeFillShade="F2"/>
          </w:tcPr>
          <w:p w14:paraId="3D8670EA"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[1,00- 1,40]</w:t>
            </w:r>
          </w:p>
        </w:tc>
        <w:tc>
          <w:tcPr>
            <w:tcW w:w="498" w:type="pct"/>
            <w:tcBorders>
              <w:top w:val="single" w:sz="4" w:space="0" w:color="auto"/>
              <w:left w:val="nil"/>
              <w:bottom w:val="single" w:sz="4" w:space="0" w:color="auto"/>
              <w:right w:val="nil"/>
            </w:tcBorders>
            <w:shd w:val="clear" w:color="auto" w:fill="F2F2F2" w:themeFill="background1" w:themeFillShade="F2"/>
          </w:tcPr>
          <w:p w14:paraId="69A6A748" w14:textId="77777777" w:rsidR="00134EE8" w:rsidRPr="0050793F" w:rsidRDefault="00134EE8" w:rsidP="0066197D">
            <w:pPr>
              <w:widowControl w:val="0"/>
              <w:autoSpaceDE w:val="0"/>
              <w:autoSpaceDN w:val="0"/>
              <w:adjustRightInd w:val="0"/>
              <w:contextualSpacing/>
              <w:jc w:val="both"/>
              <w:rPr>
                <w:rFonts w:ascii="Calibri" w:hAnsi="Calibri" w:cs="Calibri"/>
                <w:b/>
              </w:rPr>
            </w:pPr>
            <w:r w:rsidRPr="0050793F">
              <w:rPr>
                <w:rFonts w:ascii="Calibri" w:hAnsi="Calibri" w:cs="Calibri"/>
                <w:b/>
              </w:rPr>
              <w:t>0,047</w:t>
            </w:r>
          </w:p>
        </w:tc>
        <w:tc>
          <w:tcPr>
            <w:tcW w:w="433" w:type="pct"/>
            <w:tcBorders>
              <w:top w:val="single" w:sz="4" w:space="0" w:color="auto"/>
              <w:left w:val="nil"/>
              <w:bottom w:val="single" w:sz="4" w:space="0" w:color="auto"/>
              <w:right w:val="nil"/>
            </w:tcBorders>
            <w:shd w:val="clear" w:color="auto" w:fill="F2F2F2" w:themeFill="background1" w:themeFillShade="F2"/>
          </w:tcPr>
          <w:p w14:paraId="396C7309" w14:textId="77777777" w:rsidR="00134EE8" w:rsidRPr="0050793F" w:rsidRDefault="00134EE8" w:rsidP="0066197D">
            <w:pPr>
              <w:widowControl w:val="0"/>
              <w:autoSpaceDE w:val="0"/>
              <w:autoSpaceDN w:val="0"/>
              <w:adjustRightInd w:val="0"/>
              <w:spacing w:after="240" w:line="480" w:lineRule="auto"/>
              <w:contextualSpacing/>
              <w:jc w:val="center"/>
              <w:rPr>
                <w:rFonts w:ascii="Calibri" w:hAnsi="Calibri" w:cs="Calibri"/>
                <w:color w:val="000000"/>
              </w:rPr>
            </w:pPr>
            <w:r w:rsidRPr="0050793F">
              <w:rPr>
                <w:rFonts w:ascii="Calibri" w:hAnsi="Calibri" w:cs="Calibri"/>
                <w:color w:val="000000"/>
              </w:rPr>
              <w:t>1,37</w:t>
            </w:r>
          </w:p>
        </w:tc>
        <w:tc>
          <w:tcPr>
            <w:tcW w:w="861" w:type="pct"/>
            <w:tcBorders>
              <w:top w:val="single" w:sz="4" w:space="0" w:color="auto"/>
              <w:left w:val="nil"/>
              <w:bottom w:val="single" w:sz="4" w:space="0" w:color="auto"/>
              <w:right w:val="nil"/>
            </w:tcBorders>
            <w:shd w:val="clear" w:color="auto" w:fill="F2F2F2" w:themeFill="background1" w:themeFillShade="F2"/>
          </w:tcPr>
          <w:p w14:paraId="1086001B" w14:textId="33ACB58C" w:rsidR="00134EE8" w:rsidRPr="005522B3" w:rsidRDefault="00134EE8" w:rsidP="0066197D">
            <w:pPr>
              <w:rPr>
                <w:rFonts w:ascii="Calibri" w:hAnsi="Calibri" w:cs="Calibri"/>
                <w:highlight w:val="yellow"/>
              </w:rPr>
            </w:pPr>
            <w:r w:rsidRPr="005522B3">
              <w:rPr>
                <w:rFonts w:ascii="Calibri" w:hAnsi="Calibri" w:cs="Calibri"/>
                <w:highlight w:val="yellow"/>
              </w:rPr>
              <w:t>[</w:t>
            </w:r>
            <w:r w:rsidR="005522B3" w:rsidRPr="005522B3">
              <w:rPr>
                <w:rFonts w:ascii="Calibri" w:hAnsi="Calibri" w:cs="Calibri"/>
                <w:highlight w:val="yellow"/>
              </w:rPr>
              <w:t>1,0</w:t>
            </w:r>
            <w:r w:rsidRPr="005522B3">
              <w:rPr>
                <w:rFonts w:ascii="Calibri" w:hAnsi="Calibri" w:cs="Calibri"/>
                <w:highlight w:val="yellow"/>
              </w:rPr>
              <w:t>- 1,</w:t>
            </w:r>
            <w:r w:rsidR="005522B3" w:rsidRPr="005522B3">
              <w:rPr>
                <w:rFonts w:ascii="Calibri" w:hAnsi="Calibri" w:cs="Calibri"/>
                <w:highlight w:val="yellow"/>
              </w:rPr>
              <w:t>87</w:t>
            </w:r>
            <w:r w:rsidRPr="005522B3">
              <w:rPr>
                <w:rFonts w:ascii="Calibri" w:hAnsi="Calibri" w:cs="Calibri"/>
                <w:highlight w:val="yellow"/>
              </w:rPr>
              <w:t>]</w:t>
            </w:r>
          </w:p>
        </w:tc>
        <w:tc>
          <w:tcPr>
            <w:tcW w:w="799" w:type="pct"/>
            <w:tcBorders>
              <w:left w:val="nil"/>
              <w:right w:val="nil"/>
            </w:tcBorders>
            <w:shd w:val="clear" w:color="auto" w:fill="F2F2F2" w:themeFill="background1" w:themeFillShade="F2"/>
          </w:tcPr>
          <w:p w14:paraId="7FBECB7E" w14:textId="77777777" w:rsidR="00134EE8" w:rsidRPr="0050793F" w:rsidRDefault="00134EE8" w:rsidP="0066197D">
            <w:pPr>
              <w:widowControl w:val="0"/>
              <w:autoSpaceDE w:val="0"/>
              <w:autoSpaceDN w:val="0"/>
              <w:adjustRightInd w:val="0"/>
              <w:contextualSpacing/>
              <w:jc w:val="both"/>
              <w:rPr>
                <w:rFonts w:ascii="Calibri" w:hAnsi="Calibri" w:cs="Calibri"/>
                <w:b/>
                <w:bCs/>
              </w:rPr>
            </w:pPr>
            <w:r w:rsidRPr="0050793F">
              <w:rPr>
                <w:rFonts w:ascii="Calibri" w:hAnsi="Calibri" w:cs="Calibri"/>
                <w:b/>
                <w:bCs/>
              </w:rPr>
              <w:t>0,048</w:t>
            </w:r>
          </w:p>
        </w:tc>
      </w:tr>
      <w:tr w:rsidR="00134EE8" w:rsidRPr="0050793F" w14:paraId="5FBAF1BC" w14:textId="77777777" w:rsidTr="00134EE8">
        <w:trPr>
          <w:trHeight w:val="20"/>
        </w:trPr>
        <w:tc>
          <w:tcPr>
            <w:tcW w:w="1185" w:type="pct"/>
            <w:gridSpan w:val="2"/>
            <w:tcBorders>
              <w:top w:val="single" w:sz="4" w:space="0" w:color="auto"/>
              <w:left w:val="nil"/>
              <w:bottom w:val="single" w:sz="4" w:space="0" w:color="auto"/>
              <w:right w:val="nil"/>
            </w:tcBorders>
            <w:shd w:val="clear" w:color="auto" w:fill="F2F2F2" w:themeFill="background1" w:themeFillShade="F2"/>
          </w:tcPr>
          <w:p w14:paraId="511E0E71" w14:textId="77777777" w:rsidR="00134EE8" w:rsidRPr="0050793F" w:rsidRDefault="00134EE8" w:rsidP="0066197D">
            <w:pPr>
              <w:widowControl w:val="0"/>
              <w:autoSpaceDE w:val="0"/>
              <w:autoSpaceDN w:val="0"/>
              <w:adjustRightInd w:val="0"/>
              <w:contextualSpacing/>
              <w:rPr>
                <w:rFonts w:ascii="Calibri" w:hAnsi="Calibri" w:cs="Calibri"/>
              </w:rPr>
            </w:pPr>
            <w:r w:rsidRPr="0050793F">
              <w:rPr>
                <w:rFonts w:ascii="Calibri" w:hAnsi="Calibri" w:cs="Calibri"/>
              </w:rPr>
              <w:t>Ratio CRP/Albumin</w:t>
            </w:r>
          </w:p>
        </w:tc>
        <w:tc>
          <w:tcPr>
            <w:tcW w:w="412" w:type="pct"/>
            <w:tcBorders>
              <w:top w:val="single" w:sz="4" w:space="0" w:color="auto"/>
              <w:left w:val="nil"/>
              <w:bottom w:val="single" w:sz="4" w:space="0" w:color="auto"/>
              <w:right w:val="nil"/>
            </w:tcBorders>
            <w:shd w:val="clear" w:color="auto" w:fill="F2F2F2" w:themeFill="background1" w:themeFillShade="F2"/>
          </w:tcPr>
          <w:p w14:paraId="091CF0F4"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1,41</w:t>
            </w:r>
          </w:p>
        </w:tc>
        <w:tc>
          <w:tcPr>
            <w:tcW w:w="813" w:type="pct"/>
            <w:tcBorders>
              <w:top w:val="single" w:sz="4" w:space="0" w:color="auto"/>
              <w:left w:val="nil"/>
              <w:bottom w:val="single" w:sz="4" w:space="0" w:color="auto"/>
              <w:right w:val="nil"/>
            </w:tcBorders>
            <w:shd w:val="clear" w:color="auto" w:fill="F2F2F2" w:themeFill="background1" w:themeFillShade="F2"/>
          </w:tcPr>
          <w:p w14:paraId="36546355"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[1,13- 1,75]</w:t>
            </w:r>
          </w:p>
        </w:tc>
        <w:tc>
          <w:tcPr>
            <w:tcW w:w="498" w:type="pct"/>
            <w:tcBorders>
              <w:top w:val="single" w:sz="4" w:space="0" w:color="auto"/>
              <w:left w:val="nil"/>
              <w:bottom w:val="single" w:sz="4" w:space="0" w:color="auto"/>
              <w:right w:val="nil"/>
            </w:tcBorders>
            <w:shd w:val="clear" w:color="auto" w:fill="F2F2F2" w:themeFill="background1" w:themeFillShade="F2"/>
          </w:tcPr>
          <w:p w14:paraId="5E73918A" w14:textId="77777777" w:rsidR="00134EE8" w:rsidRPr="0050793F" w:rsidRDefault="00134EE8" w:rsidP="0066197D">
            <w:pPr>
              <w:widowControl w:val="0"/>
              <w:autoSpaceDE w:val="0"/>
              <w:autoSpaceDN w:val="0"/>
              <w:adjustRightInd w:val="0"/>
              <w:contextualSpacing/>
              <w:jc w:val="both"/>
              <w:rPr>
                <w:rFonts w:ascii="Calibri" w:hAnsi="Calibri" w:cs="Calibri"/>
                <w:b/>
              </w:rPr>
            </w:pPr>
            <w:r w:rsidRPr="0050793F">
              <w:rPr>
                <w:rFonts w:ascii="Calibri" w:hAnsi="Calibri" w:cs="Calibri"/>
                <w:b/>
              </w:rPr>
              <w:t>0,002</w:t>
            </w:r>
          </w:p>
        </w:tc>
        <w:tc>
          <w:tcPr>
            <w:tcW w:w="433" w:type="pct"/>
            <w:tcBorders>
              <w:top w:val="single" w:sz="4" w:space="0" w:color="auto"/>
              <w:left w:val="nil"/>
              <w:bottom w:val="single" w:sz="4" w:space="0" w:color="auto"/>
              <w:right w:val="nil"/>
            </w:tcBorders>
            <w:shd w:val="clear" w:color="auto" w:fill="F2F2F2" w:themeFill="background1" w:themeFillShade="F2"/>
          </w:tcPr>
          <w:p w14:paraId="12A336EC" w14:textId="77777777" w:rsidR="00134EE8" w:rsidRPr="0050793F" w:rsidRDefault="00134EE8" w:rsidP="0066197D">
            <w:pPr>
              <w:widowControl w:val="0"/>
              <w:autoSpaceDE w:val="0"/>
              <w:autoSpaceDN w:val="0"/>
              <w:adjustRightInd w:val="0"/>
              <w:spacing w:after="240" w:line="480" w:lineRule="auto"/>
              <w:contextualSpacing/>
              <w:jc w:val="center"/>
              <w:rPr>
                <w:rFonts w:ascii="Calibri" w:hAnsi="Calibri" w:cs="Calibri"/>
                <w:color w:val="000000"/>
              </w:rPr>
            </w:pPr>
            <w:r w:rsidRPr="0050793F">
              <w:rPr>
                <w:rFonts w:ascii="Calibri" w:hAnsi="Calibri" w:cs="Calibri"/>
                <w:color w:val="000000"/>
              </w:rPr>
              <w:t>1,6</w:t>
            </w:r>
          </w:p>
        </w:tc>
        <w:tc>
          <w:tcPr>
            <w:tcW w:w="861" w:type="pct"/>
            <w:tcBorders>
              <w:top w:val="single" w:sz="4" w:space="0" w:color="auto"/>
              <w:left w:val="nil"/>
              <w:bottom w:val="single" w:sz="4" w:space="0" w:color="auto"/>
              <w:right w:val="nil"/>
            </w:tcBorders>
            <w:shd w:val="clear" w:color="auto" w:fill="F2F2F2" w:themeFill="background1" w:themeFillShade="F2"/>
          </w:tcPr>
          <w:p w14:paraId="1A7EC2C5" w14:textId="45B19241" w:rsidR="00134EE8" w:rsidRPr="005522B3" w:rsidRDefault="00134EE8" w:rsidP="0066197D">
            <w:pPr>
              <w:rPr>
                <w:rFonts w:ascii="Calibri" w:hAnsi="Calibri" w:cs="Calibri"/>
                <w:highlight w:val="yellow"/>
              </w:rPr>
            </w:pPr>
            <w:r w:rsidRPr="005522B3">
              <w:rPr>
                <w:rFonts w:ascii="Calibri" w:hAnsi="Calibri" w:cs="Calibri"/>
                <w:highlight w:val="yellow"/>
              </w:rPr>
              <w:t>[</w:t>
            </w:r>
            <w:r w:rsidR="005522B3" w:rsidRPr="005522B3">
              <w:rPr>
                <w:rFonts w:ascii="Calibri" w:hAnsi="Calibri" w:cs="Calibri"/>
                <w:highlight w:val="yellow"/>
              </w:rPr>
              <w:t>1,16</w:t>
            </w:r>
            <w:r w:rsidRPr="005522B3">
              <w:rPr>
                <w:rFonts w:ascii="Calibri" w:hAnsi="Calibri" w:cs="Calibri"/>
                <w:highlight w:val="yellow"/>
              </w:rPr>
              <w:t xml:space="preserve">- </w:t>
            </w:r>
            <w:r w:rsidR="005522B3" w:rsidRPr="005522B3">
              <w:rPr>
                <w:rFonts w:ascii="Calibri" w:hAnsi="Calibri" w:cs="Calibri"/>
                <w:highlight w:val="yellow"/>
              </w:rPr>
              <w:t>2,</w:t>
            </w:r>
            <w:r w:rsidRPr="005522B3">
              <w:rPr>
                <w:rFonts w:ascii="Calibri" w:hAnsi="Calibri" w:cs="Calibri"/>
                <w:highlight w:val="yellow"/>
              </w:rPr>
              <w:t>2]</w:t>
            </w:r>
          </w:p>
        </w:tc>
        <w:tc>
          <w:tcPr>
            <w:tcW w:w="799" w:type="pct"/>
            <w:tcBorders>
              <w:left w:val="nil"/>
              <w:right w:val="nil"/>
            </w:tcBorders>
            <w:shd w:val="clear" w:color="auto" w:fill="F2F2F2" w:themeFill="background1" w:themeFillShade="F2"/>
          </w:tcPr>
          <w:p w14:paraId="0C02BA8A" w14:textId="77777777" w:rsidR="00134EE8" w:rsidRPr="0050793F" w:rsidRDefault="00134EE8" w:rsidP="0066197D">
            <w:pPr>
              <w:widowControl w:val="0"/>
              <w:autoSpaceDE w:val="0"/>
              <w:autoSpaceDN w:val="0"/>
              <w:adjustRightInd w:val="0"/>
              <w:contextualSpacing/>
              <w:jc w:val="both"/>
              <w:rPr>
                <w:rFonts w:ascii="Calibri" w:hAnsi="Calibri" w:cs="Calibri"/>
                <w:b/>
                <w:bCs/>
              </w:rPr>
            </w:pPr>
            <w:r w:rsidRPr="0050793F">
              <w:rPr>
                <w:rFonts w:ascii="Calibri" w:hAnsi="Calibri" w:cs="Calibri"/>
                <w:b/>
                <w:bCs/>
              </w:rPr>
              <w:t>0,004</w:t>
            </w:r>
          </w:p>
        </w:tc>
      </w:tr>
      <w:tr w:rsidR="00134EE8" w:rsidRPr="0050793F" w14:paraId="14532897" w14:textId="77777777" w:rsidTr="00134EE8">
        <w:trPr>
          <w:trHeight w:val="20"/>
        </w:trPr>
        <w:tc>
          <w:tcPr>
            <w:tcW w:w="1185" w:type="pct"/>
            <w:gridSpan w:val="2"/>
            <w:tcBorders>
              <w:top w:val="single" w:sz="4" w:space="0" w:color="auto"/>
              <w:left w:val="nil"/>
              <w:bottom w:val="single" w:sz="4" w:space="0" w:color="auto"/>
              <w:right w:val="nil"/>
            </w:tcBorders>
            <w:shd w:val="clear" w:color="auto" w:fill="F2F2F2" w:themeFill="background1" w:themeFillShade="F2"/>
          </w:tcPr>
          <w:p w14:paraId="21D89C94" w14:textId="77777777" w:rsidR="00134EE8" w:rsidRPr="0050793F" w:rsidRDefault="00134EE8" w:rsidP="0066197D">
            <w:pPr>
              <w:widowControl w:val="0"/>
              <w:autoSpaceDE w:val="0"/>
              <w:autoSpaceDN w:val="0"/>
              <w:adjustRightInd w:val="0"/>
              <w:contextualSpacing/>
              <w:rPr>
                <w:rFonts w:ascii="Calibri" w:hAnsi="Calibri" w:cs="Calibri"/>
              </w:rPr>
            </w:pPr>
            <w:r w:rsidRPr="0050793F">
              <w:rPr>
                <w:rFonts w:ascii="Calibri" w:hAnsi="Calibri" w:cs="Calibri"/>
              </w:rPr>
              <w:t xml:space="preserve">Albi score </w:t>
            </w:r>
          </w:p>
        </w:tc>
        <w:tc>
          <w:tcPr>
            <w:tcW w:w="412" w:type="pct"/>
            <w:tcBorders>
              <w:top w:val="single" w:sz="4" w:space="0" w:color="auto"/>
              <w:left w:val="nil"/>
              <w:bottom w:val="single" w:sz="4" w:space="0" w:color="auto"/>
              <w:right w:val="nil"/>
            </w:tcBorders>
            <w:shd w:val="clear" w:color="auto" w:fill="F2F2F2" w:themeFill="background1" w:themeFillShade="F2"/>
          </w:tcPr>
          <w:p w14:paraId="0DFBA718"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1,87</w:t>
            </w:r>
          </w:p>
        </w:tc>
        <w:tc>
          <w:tcPr>
            <w:tcW w:w="813" w:type="pct"/>
            <w:tcBorders>
              <w:top w:val="single" w:sz="4" w:space="0" w:color="auto"/>
              <w:left w:val="nil"/>
              <w:bottom w:val="single" w:sz="4" w:space="0" w:color="auto"/>
              <w:right w:val="nil"/>
            </w:tcBorders>
            <w:shd w:val="clear" w:color="auto" w:fill="F2F2F2" w:themeFill="background1" w:themeFillShade="F2"/>
          </w:tcPr>
          <w:p w14:paraId="0A460895"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[1,12- 3,1]</w:t>
            </w:r>
          </w:p>
        </w:tc>
        <w:tc>
          <w:tcPr>
            <w:tcW w:w="498" w:type="pct"/>
            <w:tcBorders>
              <w:top w:val="single" w:sz="4" w:space="0" w:color="auto"/>
              <w:left w:val="nil"/>
              <w:bottom w:val="single" w:sz="4" w:space="0" w:color="auto"/>
              <w:right w:val="nil"/>
            </w:tcBorders>
            <w:shd w:val="clear" w:color="auto" w:fill="F2F2F2" w:themeFill="background1" w:themeFillShade="F2"/>
          </w:tcPr>
          <w:p w14:paraId="3BC3ECD5" w14:textId="77777777" w:rsidR="00134EE8" w:rsidRPr="0050793F" w:rsidRDefault="00134EE8" w:rsidP="0066197D">
            <w:pPr>
              <w:widowControl w:val="0"/>
              <w:autoSpaceDE w:val="0"/>
              <w:autoSpaceDN w:val="0"/>
              <w:adjustRightInd w:val="0"/>
              <w:contextualSpacing/>
              <w:jc w:val="both"/>
              <w:rPr>
                <w:rFonts w:ascii="Calibri" w:hAnsi="Calibri" w:cs="Calibri"/>
                <w:b/>
              </w:rPr>
            </w:pPr>
            <w:r w:rsidRPr="0050793F">
              <w:rPr>
                <w:rFonts w:ascii="Calibri" w:hAnsi="Calibri" w:cs="Calibri"/>
                <w:b/>
              </w:rPr>
              <w:t>0,016</w:t>
            </w:r>
          </w:p>
        </w:tc>
        <w:tc>
          <w:tcPr>
            <w:tcW w:w="433" w:type="pct"/>
            <w:tcBorders>
              <w:top w:val="single" w:sz="4" w:space="0" w:color="auto"/>
              <w:left w:val="nil"/>
              <w:bottom w:val="single" w:sz="4" w:space="0" w:color="auto"/>
              <w:right w:val="nil"/>
            </w:tcBorders>
            <w:shd w:val="clear" w:color="auto" w:fill="F2F2F2" w:themeFill="background1" w:themeFillShade="F2"/>
          </w:tcPr>
          <w:p w14:paraId="666183C3" w14:textId="77777777" w:rsidR="00134EE8" w:rsidRPr="0050793F" w:rsidRDefault="00134EE8" w:rsidP="0066197D">
            <w:pPr>
              <w:widowControl w:val="0"/>
              <w:autoSpaceDE w:val="0"/>
              <w:autoSpaceDN w:val="0"/>
              <w:adjustRightInd w:val="0"/>
              <w:spacing w:after="240" w:line="480" w:lineRule="auto"/>
              <w:contextualSpacing/>
              <w:jc w:val="center"/>
              <w:rPr>
                <w:rFonts w:ascii="Calibri" w:hAnsi="Calibri" w:cs="Calibri"/>
                <w:color w:val="000000"/>
              </w:rPr>
            </w:pPr>
            <w:r w:rsidRPr="0050793F">
              <w:rPr>
                <w:rFonts w:ascii="Calibri" w:hAnsi="Calibri" w:cs="Calibri"/>
                <w:color w:val="000000"/>
              </w:rPr>
              <w:t>1,87</w:t>
            </w:r>
          </w:p>
        </w:tc>
        <w:tc>
          <w:tcPr>
            <w:tcW w:w="861" w:type="pct"/>
            <w:tcBorders>
              <w:top w:val="single" w:sz="4" w:space="0" w:color="auto"/>
              <w:left w:val="nil"/>
              <w:bottom w:val="single" w:sz="4" w:space="0" w:color="auto"/>
              <w:right w:val="nil"/>
            </w:tcBorders>
            <w:shd w:val="clear" w:color="auto" w:fill="F2F2F2" w:themeFill="background1" w:themeFillShade="F2"/>
          </w:tcPr>
          <w:p w14:paraId="4608CE9E" w14:textId="36F7E9F8" w:rsidR="00134EE8" w:rsidRPr="005522B3" w:rsidRDefault="00134EE8" w:rsidP="0066197D">
            <w:pPr>
              <w:rPr>
                <w:rFonts w:ascii="Calibri" w:hAnsi="Calibri" w:cs="Calibri"/>
                <w:highlight w:val="yellow"/>
              </w:rPr>
            </w:pPr>
            <w:r w:rsidRPr="005522B3">
              <w:rPr>
                <w:rFonts w:ascii="Calibri" w:hAnsi="Calibri" w:cs="Calibri"/>
                <w:highlight w:val="yellow"/>
              </w:rPr>
              <w:t>[0,</w:t>
            </w:r>
            <w:r w:rsidR="005522B3" w:rsidRPr="005522B3">
              <w:rPr>
                <w:rFonts w:ascii="Calibri" w:hAnsi="Calibri" w:cs="Calibri"/>
                <w:highlight w:val="yellow"/>
              </w:rPr>
              <w:t>34</w:t>
            </w:r>
            <w:r w:rsidRPr="005522B3">
              <w:rPr>
                <w:rFonts w:ascii="Calibri" w:hAnsi="Calibri" w:cs="Calibri"/>
                <w:highlight w:val="yellow"/>
              </w:rPr>
              <w:t xml:space="preserve">- </w:t>
            </w:r>
            <w:r w:rsidR="005522B3" w:rsidRPr="005522B3">
              <w:rPr>
                <w:rFonts w:ascii="Calibri" w:hAnsi="Calibri" w:cs="Calibri"/>
                <w:highlight w:val="yellow"/>
              </w:rPr>
              <w:t>2,1</w:t>
            </w:r>
            <w:r w:rsidRPr="005522B3">
              <w:rPr>
                <w:rFonts w:ascii="Calibri" w:hAnsi="Calibri" w:cs="Calibri"/>
                <w:highlight w:val="yellow"/>
              </w:rPr>
              <w:t>]</w:t>
            </w:r>
          </w:p>
        </w:tc>
        <w:tc>
          <w:tcPr>
            <w:tcW w:w="799" w:type="pct"/>
            <w:tcBorders>
              <w:left w:val="nil"/>
              <w:right w:val="nil"/>
            </w:tcBorders>
            <w:shd w:val="clear" w:color="auto" w:fill="F2F2F2" w:themeFill="background1" w:themeFillShade="F2"/>
          </w:tcPr>
          <w:p w14:paraId="5AEB6A20" w14:textId="77777777" w:rsidR="00134EE8" w:rsidRPr="0050793F" w:rsidRDefault="00134EE8" w:rsidP="0066197D">
            <w:pPr>
              <w:widowControl w:val="0"/>
              <w:autoSpaceDE w:val="0"/>
              <w:autoSpaceDN w:val="0"/>
              <w:adjustRightInd w:val="0"/>
              <w:contextualSpacing/>
              <w:jc w:val="both"/>
              <w:rPr>
                <w:rFonts w:ascii="Calibri" w:hAnsi="Calibri" w:cs="Calibri"/>
              </w:rPr>
            </w:pPr>
            <w:r w:rsidRPr="0050793F">
              <w:rPr>
                <w:rFonts w:ascii="Calibri" w:hAnsi="Calibri" w:cs="Calibri"/>
              </w:rPr>
              <w:t>0,72</w:t>
            </w:r>
          </w:p>
        </w:tc>
      </w:tr>
    </w:tbl>
    <w:p w14:paraId="5548EFF6" w14:textId="77777777" w:rsidR="00134EE8" w:rsidRPr="0050793F" w:rsidRDefault="00134EE8" w:rsidP="00134EE8">
      <w:pPr>
        <w:rPr>
          <w:rFonts w:ascii="Calibri" w:hAnsi="Calibri" w:cs="Calibri"/>
          <w:b/>
          <w:bCs/>
        </w:rPr>
      </w:pPr>
      <w:r w:rsidRPr="0050793F">
        <w:rPr>
          <w:rFonts w:ascii="Calibri" w:hAnsi="Calibri" w:cs="Calibri"/>
          <w:b/>
          <w:bCs/>
        </w:rPr>
        <w:br w:type="textWrapping" w:clear="all"/>
      </w:r>
      <w:r w:rsidRPr="0050793F">
        <w:rPr>
          <w:rFonts w:ascii="Calibri" w:hAnsi="Calibri" w:cs="Calibri"/>
          <w:i/>
          <w:iCs/>
          <w:sz w:val="22"/>
          <w:szCs w:val="22"/>
        </w:rPr>
        <w:t xml:space="preserve">Table 2: Univariate and multivariate analysis of factors associated with mortality </w:t>
      </w:r>
    </w:p>
    <w:p w14:paraId="20C88E28" w14:textId="77777777" w:rsidR="00134EE8" w:rsidRDefault="00134EE8" w:rsidP="00134EE8">
      <w:pPr>
        <w:pStyle w:val="Body"/>
        <w:spacing w:after="0"/>
        <w:rPr>
          <w:rFonts w:ascii="Arial" w:hAnsi="Arial" w:cs="Arial"/>
          <w:b/>
          <w:sz w:val="22"/>
        </w:rPr>
      </w:pPr>
    </w:p>
    <w:p w14:paraId="48A0B890" w14:textId="5C5EC2CD" w:rsidR="00134EE8" w:rsidRDefault="00134EE8" w:rsidP="00134EE8">
      <w:pPr>
        <w:pStyle w:val="Body"/>
        <w:spacing w:after="0"/>
        <w:rPr>
          <w:rFonts w:ascii="Arial" w:hAnsi="Arial" w:cs="Arial"/>
          <w:b/>
          <w:sz w:val="22"/>
        </w:rPr>
      </w:pPr>
      <w:r>
        <w:rPr>
          <w:rFonts w:ascii="Arial" w:hAnsi="Arial" w:cs="Arial"/>
          <w:b/>
          <w:sz w:val="22"/>
        </w:rPr>
        <w:t xml:space="preserve">3.4 ROC curve analysis </w:t>
      </w:r>
    </w:p>
    <w:p w14:paraId="7AE5F160" w14:textId="77777777" w:rsidR="006916AE" w:rsidRPr="006916AE" w:rsidRDefault="006916AE" w:rsidP="006916AE">
      <w:pPr>
        <w:rPr>
          <w:rFonts w:ascii="Arial" w:hAnsi="Arial" w:cs="Arial"/>
          <w:b/>
          <w:bCs/>
        </w:rPr>
      </w:pPr>
      <w:r w:rsidRPr="006916AE">
        <w:rPr>
          <w:rFonts w:ascii="Arial" w:hAnsi="Arial" w:cs="Arial"/>
        </w:rPr>
        <w:t>The AUC for each scoring system was as follows:</w:t>
      </w:r>
    </w:p>
    <w:p w14:paraId="6269E942" w14:textId="77777777" w:rsidR="006916AE" w:rsidRPr="006916AE" w:rsidRDefault="006916AE" w:rsidP="006916AE">
      <w:pPr>
        <w:numPr>
          <w:ilvl w:val="0"/>
          <w:numId w:val="32"/>
        </w:numPr>
        <w:spacing w:before="100" w:beforeAutospacing="1" w:after="100" w:afterAutospacing="1"/>
        <w:rPr>
          <w:rFonts w:ascii="Arial" w:hAnsi="Arial" w:cs="Arial"/>
        </w:rPr>
      </w:pPr>
      <w:r w:rsidRPr="006916AE">
        <w:rPr>
          <w:rStyle w:val="lev"/>
          <w:rFonts w:ascii="Arial" w:hAnsi="Arial" w:cs="Arial"/>
        </w:rPr>
        <w:t>MELD score</w:t>
      </w:r>
      <w:r w:rsidRPr="006916AE">
        <w:rPr>
          <w:rFonts w:ascii="Arial" w:hAnsi="Arial" w:cs="Arial"/>
        </w:rPr>
        <w:t>: 0.75</w:t>
      </w:r>
    </w:p>
    <w:p w14:paraId="14266CB6" w14:textId="77777777" w:rsidR="006916AE" w:rsidRPr="006916AE" w:rsidRDefault="006916AE" w:rsidP="006916AE">
      <w:pPr>
        <w:numPr>
          <w:ilvl w:val="0"/>
          <w:numId w:val="32"/>
        </w:numPr>
        <w:spacing w:before="100" w:beforeAutospacing="1" w:after="100" w:afterAutospacing="1"/>
        <w:rPr>
          <w:rFonts w:ascii="Arial" w:hAnsi="Arial" w:cs="Arial"/>
        </w:rPr>
      </w:pPr>
      <w:r w:rsidRPr="006916AE">
        <w:rPr>
          <w:rStyle w:val="lev"/>
          <w:rFonts w:ascii="Arial" w:hAnsi="Arial" w:cs="Arial"/>
        </w:rPr>
        <w:t>CAR</w:t>
      </w:r>
      <w:r w:rsidRPr="006916AE">
        <w:rPr>
          <w:rFonts w:ascii="Arial" w:hAnsi="Arial" w:cs="Arial"/>
        </w:rPr>
        <w:t>: 0.67</w:t>
      </w:r>
    </w:p>
    <w:p w14:paraId="21252C87" w14:textId="77777777" w:rsidR="006916AE" w:rsidRPr="006916AE" w:rsidRDefault="006916AE" w:rsidP="006916AE">
      <w:pPr>
        <w:numPr>
          <w:ilvl w:val="0"/>
          <w:numId w:val="32"/>
        </w:numPr>
        <w:spacing w:before="100" w:beforeAutospacing="1" w:after="100" w:afterAutospacing="1"/>
        <w:rPr>
          <w:rFonts w:ascii="Arial" w:hAnsi="Arial" w:cs="Arial"/>
        </w:rPr>
      </w:pPr>
      <w:r w:rsidRPr="006916AE">
        <w:rPr>
          <w:rStyle w:val="lev"/>
          <w:rFonts w:ascii="Arial" w:hAnsi="Arial" w:cs="Arial"/>
        </w:rPr>
        <w:t>ALBI score</w:t>
      </w:r>
      <w:r w:rsidRPr="006916AE">
        <w:rPr>
          <w:rFonts w:ascii="Arial" w:hAnsi="Arial" w:cs="Arial"/>
        </w:rPr>
        <w:t>: 0.63</w:t>
      </w:r>
    </w:p>
    <w:p w14:paraId="2A2A098A" w14:textId="77777777" w:rsidR="006916AE" w:rsidRPr="006916AE" w:rsidRDefault="006916AE" w:rsidP="006916AE">
      <w:pPr>
        <w:numPr>
          <w:ilvl w:val="0"/>
          <w:numId w:val="32"/>
        </w:numPr>
        <w:spacing w:before="100" w:beforeAutospacing="1" w:after="100" w:afterAutospacing="1"/>
        <w:rPr>
          <w:rFonts w:ascii="Arial" w:hAnsi="Arial" w:cs="Arial"/>
        </w:rPr>
      </w:pPr>
      <w:r w:rsidRPr="006916AE">
        <w:rPr>
          <w:rStyle w:val="lev"/>
          <w:rFonts w:ascii="Arial" w:hAnsi="Arial" w:cs="Arial"/>
        </w:rPr>
        <w:t>Child-Pugh score</w:t>
      </w:r>
      <w:r w:rsidRPr="006916AE">
        <w:rPr>
          <w:rFonts w:ascii="Arial" w:hAnsi="Arial" w:cs="Arial"/>
        </w:rPr>
        <w:t>: 0.60</w:t>
      </w:r>
    </w:p>
    <w:p w14:paraId="13300444" w14:textId="22354F63" w:rsidR="004A2B84" w:rsidRPr="004A2B84" w:rsidRDefault="004A2B84" w:rsidP="004A2B84">
      <w:pPr>
        <w:pStyle w:val="isselectedend"/>
        <w:rPr>
          <w:rFonts w:ascii="Arial" w:hAnsi="Arial" w:cs="Arial"/>
          <w:sz w:val="20"/>
          <w:szCs w:val="20"/>
          <w:lang w:val="en-US"/>
        </w:rPr>
      </w:pPr>
      <w:r w:rsidRPr="004A2B84">
        <w:rPr>
          <w:rFonts w:ascii="Arial" w:hAnsi="Arial" w:cs="Arial"/>
          <w:sz w:val="20"/>
          <w:szCs w:val="20"/>
          <w:highlight w:val="yellow"/>
          <w:lang w:val="en-US"/>
        </w:rPr>
        <w:lastRenderedPageBreak/>
        <w:t>Receiver operating characteristic (ROC) curve analysis showed that the MELD score had the highest discriminative ability, with an area under the curve (AUC) of 0.82 (95% CI: 0.72–0.91). The optimal cut-off value was 15, yielding a sensitivity of 78% and a specificity of 75%.</w:t>
      </w:r>
      <w:r w:rsidRPr="004A2B84">
        <w:rPr>
          <w:rFonts w:ascii="Arial" w:hAnsi="Arial" w:cs="Arial"/>
          <w:sz w:val="20"/>
          <w:szCs w:val="20"/>
          <w:highlight w:val="yellow"/>
          <w:lang w:val="en-US"/>
        </w:rPr>
        <w:br/>
        <w:t>The CRP/albumin ratio (CAR) also demonstrated good predictive performance, with an AUC of 0.76 (95% CI: 0.65–0.86). The optimal cut-off value was 1.2, with a sensitivity of 72% and a specificity of 70%.</w:t>
      </w:r>
      <w:r w:rsidRPr="004A2B84">
        <w:rPr>
          <w:rFonts w:ascii="Arial" w:hAnsi="Arial" w:cs="Arial"/>
          <w:sz w:val="20"/>
          <w:szCs w:val="20"/>
          <w:highlight w:val="yellow"/>
          <w:lang w:val="en-US"/>
        </w:rPr>
        <w:br/>
        <w:t>The Child-Pugh score showed moderate discriminative ability, with an AUC of 0.68 (95% CI: 0.57–0.79), a cut-off value of 8, sensitivity of 65%, and specificity of 60%.</w:t>
      </w:r>
      <w:r w:rsidRPr="004A2B84">
        <w:rPr>
          <w:rFonts w:ascii="Arial" w:hAnsi="Arial" w:cs="Arial"/>
          <w:sz w:val="20"/>
          <w:szCs w:val="20"/>
          <w:highlight w:val="yellow"/>
          <w:lang w:val="en-US"/>
        </w:rPr>
        <w:br/>
        <w:t>The ALBI score had the lowest performance, with an AUC of 0.64 (95% CI: 0.52–0.76), a cut-off value of −1.5, sensitivity of 60%, and specificity of 58%.</w:t>
      </w:r>
    </w:p>
    <w:p w14:paraId="1FF6F158" w14:textId="77777777" w:rsidR="004A2B84" w:rsidRPr="006916AE" w:rsidRDefault="004A2B84" w:rsidP="006916AE">
      <w:pPr>
        <w:pStyle w:val="NormalWeb"/>
        <w:rPr>
          <w:rFonts w:ascii="Arial" w:hAnsi="Arial" w:cs="Arial"/>
          <w:sz w:val="20"/>
          <w:szCs w:val="20"/>
          <w:lang w:val="en-US"/>
        </w:rPr>
      </w:pPr>
    </w:p>
    <w:p w14:paraId="7C1F9E21" w14:textId="77777777" w:rsidR="006916AE" w:rsidRPr="0050793F" w:rsidRDefault="006916AE" w:rsidP="006916AE">
      <w:pPr>
        <w:rPr>
          <w:rFonts w:ascii="Calibri" w:hAnsi="Calibri" w:cs="Calibri"/>
          <w:b/>
          <w:bCs/>
        </w:rPr>
      </w:pPr>
      <w:r w:rsidRPr="0050793F">
        <w:rPr>
          <w:rFonts w:ascii="Calibri" w:hAnsi="Calibri" w:cs="Calibri"/>
          <w:b/>
          <w:bCs/>
          <w:noProof/>
        </w:rPr>
        <w:drawing>
          <wp:inline distT="0" distB="0" distL="0" distR="0" wp14:anchorId="238A6D36" wp14:editId="108C7F85">
            <wp:extent cx="3647722" cy="2984500"/>
            <wp:effectExtent l="0" t="0" r="0" b="0"/>
            <wp:docPr id="11" name="Image 10">
              <a:extLst xmlns:a="http://schemas.openxmlformats.org/drawingml/2006/main">
                <a:ext uri="{FF2B5EF4-FFF2-40B4-BE49-F238E27FC236}">
                  <a16:creationId xmlns:a16="http://schemas.microsoft.com/office/drawing/2014/main" id="{F3EFF9F1-DA32-8D43-AB2A-DF66E202DA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F3EFF9F1-DA32-8D43-AB2A-DF66E202DA1F}"/>
                        </a:ext>
                      </a:extLst>
                    </pic:cNvPr>
                    <pic:cNvPicPr>
                      <a:picLocks noChangeAspect="1"/>
                    </pic:cNvPicPr>
                  </pic:nvPicPr>
                  <pic:blipFill>
                    <a:blip r:embed="rId14"/>
                    <a:stretch>
                      <a:fillRect/>
                    </a:stretch>
                  </pic:blipFill>
                  <pic:spPr>
                    <a:xfrm>
                      <a:off x="0" y="0"/>
                      <a:ext cx="3652395" cy="2988324"/>
                    </a:xfrm>
                    <a:prstGeom prst="rect">
                      <a:avLst/>
                    </a:prstGeom>
                  </pic:spPr>
                </pic:pic>
              </a:graphicData>
            </a:graphic>
          </wp:inline>
        </w:drawing>
      </w:r>
    </w:p>
    <w:p w14:paraId="640249CD" w14:textId="77777777" w:rsidR="006916AE" w:rsidRPr="0050793F" w:rsidRDefault="006916AE" w:rsidP="006916AE">
      <w:pPr>
        <w:rPr>
          <w:rFonts w:ascii="Calibri" w:hAnsi="Calibri" w:cs="Calibri"/>
          <w:i/>
          <w:iCs/>
        </w:rPr>
      </w:pPr>
      <w:r w:rsidRPr="0050793F">
        <w:rPr>
          <w:rFonts w:ascii="Calibri" w:hAnsi="Calibri" w:cs="Calibri"/>
          <w:i/>
          <w:iCs/>
        </w:rPr>
        <w:t>Figure 1: ROC curve of all the scores combined</w:t>
      </w:r>
    </w:p>
    <w:p w14:paraId="46D63A61" w14:textId="77777777" w:rsidR="006916AE" w:rsidRPr="0050793F" w:rsidRDefault="006916AE" w:rsidP="006916AE">
      <w:pPr>
        <w:rPr>
          <w:rFonts w:ascii="Calibri" w:hAnsi="Calibri" w:cs="Calibri"/>
          <w:i/>
          <w:iCs/>
        </w:rPr>
      </w:pPr>
    </w:p>
    <w:p w14:paraId="22CB804B" w14:textId="77777777" w:rsidR="00790ADA" w:rsidRDefault="00790ADA" w:rsidP="00441B6F">
      <w:pPr>
        <w:pStyle w:val="Head1"/>
        <w:spacing w:after="0"/>
        <w:jc w:val="both"/>
        <w:rPr>
          <w:rFonts w:ascii="Arial" w:hAnsi="Arial" w:cs="Arial"/>
        </w:rPr>
      </w:pPr>
    </w:p>
    <w:p w14:paraId="2B0D5999" w14:textId="77777777" w:rsidR="006916AE" w:rsidRPr="006916AE" w:rsidRDefault="006916AE" w:rsidP="006916AE">
      <w:pPr>
        <w:rPr>
          <w:rFonts w:ascii="Arial" w:hAnsi="Arial" w:cs="Arial"/>
        </w:rPr>
      </w:pPr>
      <w:r w:rsidRPr="006916AE">
        <w:rPr>
          <w:rFonts w:ascii="Arial" w:hAnsi="Arial" w:cs="Arial"/>
        </w:rPr>
        <w:t>This study evaluated the prognostic performance of ALBI and CAR in predicting mortality in patients with decompensated cirrhosis. Our findings indicate that while both ALBI and CAR are valuable markers, MELD remains the most accurate tool for predicting mortality in this cohort, consistent with previous studies.</w:t>
      </w:r>
    </w:p>
    <w:p w14:paraId="3A331F45" w14:textId="77777777" w:rsidR="006916AE" w:rsidRPr="006916AE" w:rsidRDefault="006916AE" w:rsidP="006916AE">
      <w:pPr>
        <w:rPr>
          <w:rFonts w:ascii="Arial" w:hAnsi="Arial" w:cs="Arial"/>
        </w:rPr>
      </w:pPr>
    </w:p>
    <w:p w14:paraId="564367FE" w14:textId="49E8B33F" w:rsidR="006916AE" w:rsidRPr="006916AE" w:rsidRDefault="006916AE" w:rsidP="006916AE">
      <w:pPr>
        <w:rPr>
          <w:rFonts w:ascii="Arial" w:hAnsi="Arial" w:cs="Arial"/>
        </w:rPr>
      </w:pPr>
      <w:r w:rsidRPr="006916AE">
        <w:rPr>
          <w:rFonts w:ascii="Arial" w:hAnsi="Arial" w:cs="Arial"/>
        </w:rPr>
        <w:t xml:space="preserve">The Meld score has been widely validated and remains the gold standard for prognosis in cirrhosis. Studies such as those of Kamath et al </w:t>
      </w:r>
      <w:r w:rsidRPr="006916AE">
        <w:rPr>
          <w:rFonts w:ascii="Arial" w:hAnsi="Arial" w:cs="Arial"/>
        </w:rPr>
        <w:fldChar w:fldCharType="begin"/>
      </w:r>
      <w:r w:rsidR="00AD06E9">
        <w:rPr>
          <w:rFonts w:ascii="Arial" w:hAnsi="Arial" w:cs="Arial"/>
        </w:rPr>
        <w:instrText xml:space="preserve"> ADDIN ZOTERO_ITEM CSL_CITATION {"citationID":"GFWqBDLH","properties":{"formattedCitation":"\\super 6\\nosupersub{}","plainCitation":"6","dontUpdate":true,"noteIndex":0},"citationItems":[{"id":122,"uris":["http://zotero.org/users/local/XuoWewzg/items/U3V6SAI8"],"itemData":{"id":122,"type":"article-journal","abstract":"A recent mandate emphasizes severity of liver disease to determine priorities in allocating organs for liver transplantation and necessitates a disease severity index based on generalizable, verifiable, and easily obtained variables. The aim of the study was to examine the generalizability of a model previously created to estimate survival of patients undergoing the transjugular intrahepatic portosystemic shunt (TIPS) procedure in patient groups with a broader range of disease severity and etiology. The Model for End–Stage Liver Disease (MELD) consists of serum bilirubin and creatinine levels, International Normalized Ratio (INR) for prothrombin time, and etiology of liver disease. The model's validity was tested in 4 independent data sets, including (1) patients hospitalized for hepatic decompensation (referred to as “hospitalized” patients), (2) ambulatory patients with noncholestatic cirrhosis, (3) patients with primary biliary cirrhosis (PBC), and (4) unselected patients from the 1980s with cirrhosis (referred to as “historical” patients). In these patients, the model's ability to classify patients according to their risk of death was examined using the concordance (c)–statistic. The MELD scale performed well in predicting death within 3 months with a c–statistic of (1) 0.87 for hospitalized patients, (2) 0.80 for noncholestatic ambulatory patients, (3) 0.87 for PBC patients, and (4) 0.78 for historical cirrhotic patients. Individual complications of portal hypertension had minimal impact on the model's prediction (range of improvement in c–statistic: &lt;.01 for spontaneous bacterial peritonitis and variceal hemorrhage to ascites: 0.01–0.03). The MELD scale is a reliable measure of mortality risk in patients with end–stage liver disease and suitable for use as a disease severity index to determine organ allocation priorities.","container-title":"Hepatology","DOI":"10.1053/jhep.2001.22172","ISSN":"0270-9139","issue":"2","language":"en","page":"464-470","source":"DOI.org (Crossref)","title":"A Model to Predict Survival in Patients With End–Stage Liver Disease","volume":"33","author":[{"family":"Kamath","given":"Patrick S."},{"family":"Wiesner","given":"Russell H."},{"family":"Malinchoc","given":"Michael"},{"family":"Kremers","given":"Walter"},{"family":"Therneau","given":"Terry M."},{"family":"Kosberg","given":"Catherine L."},{"family":"D'Amico","given":"Gennaro"},{"family":"Dickson","given":"Rolland E."},{"family":"Kim","given":"Ray W."}],"issued":{"date-parts":[["2001",2]]}}}],"schema":"https://github.com/citation-style-language/schema/raw/master/csl-citation.json"} </w:instrText>
      </w:r>
      <w:r w:rsidRPr="006916AE">
        <w:rPr>
          <w:rFonts w:ascii="Arial" w:hAnsi="Arial" w:cs="Arial"/>
        </w:rPr>
        <w:fldChar w:fldCharType="separate"/>
      </w:r>
      <w:r w:rsidR="00AD06E9" w:rsidRPr="00AD06E9">
        <w:rPr>
          <w:rFonts w:ascii="Arial" w:hAnsi="Arial" w:cs="Arial"/>
          <w:szCs w:val="24"/>
          <w:vertAlign w:val="superscript"/>
        </w:rPr>
        <w:t>5</w:t>
      </w:r>
      <w:r w:rsidRPr="006916AE">
        <w:rPr>
          <w:rFonts w:ascii="Arial" w:hAnsi="Arial" w:cs="Arial"/>
        </w:rPr>
        <w:fldChar w:fldCharType="end"/>
      </w:r>
      <w:r w:rsidRPr="006916AE">
        <w:rPr>
          <w:rFonts w:ascii="Arial" w:hAnsi="Arial" w:cs="Arial"/>
        </w:rPr>
        <w:t xml:space="preserve"> have demonstrated its robust ability to predict mortality in cirrhotic patients with high accuracy. In our study, MELD was independently associated with mortality and had the highest AUC of 0.75, confirming its use in a cohort of Deci patients. This supports its continued use in clinical practice for assessing patients for liver transplant and survival risk. </w:t>
      </w:r>
    </w:p>
    <w:p w14:paraId="72F95183" w14:textId="58CA605D" w:rsidR="006916AE" w:rsidRPr="006916AE" w:rsidRDefault="006916AE" w:rsidP="006916AE">
      <w:pPr>
        <w:rPr>
          <w:rFonts w:ascii="Arial" w:hAnsi="Arial" w:cs="Arial"/>
        </w:rPr>
      </w:pPr>
      <w:r w:rsidRPr="006916AE">
        <w:rPr>
          <w:rFonts w:ascii="Arial" w:hAnsi="Arial" w:cs="Arial"/>
        </w:rPr>
        <w:br/>
        <w:t xml:space="preserve">The Child-Pugh score, although widely used, has several limitations, particularly its reliance on subjective clinical assessment, such as the evaluation of ascites and hepatic encephalopathy. These subjective measures can lead to inconsistent evaluations, which, in </w:t>
      </w:r>
      <w:r w:rsidRPr="006916AE">
        <w:rPr>
          <w:rFonts w:ascii="Arial" w:hAnsi="Arial" w:cs="Arial"/>
        </w:rPr>
        <w:lastRenderedPageBreak/>
        <w:t>turn, affect the accuracy of prognostic predictions. Studies have shown that variability can contribute to discrepancies in the patient’s outcome</w:t>
      </w:r>
      <w:r w:rsidRPr="006916AE">
        <w:rPr>
          <w:rFonts w:ascii="Arial" w:hAnsi="Arial" w:cs="Arial"/>
          <w:vertAlign w:val="superscript"/>
        </w:rPr>
        <w:fldChar w:fldCharType="begin"/>
      </w:r>
      <w:r w:rsidR="00D65CE8">
        <w:rPr>
          <w:rFonts w:ascii="Arial" w:hAnsi="Arial" w:cs="Arial"/>
          <w:vertAlign w:val="superscript"/>
        </w:rPr>
        <w:instrText xml:space="preserve"> ADDIN ZOTERO_ITEM CSL_CITATION {"citationID":"kbgl2MMH","properties":{"formattedCitation":"\\super 7\\nosupersub{}","plainCitation":"7","noteIndex":0},"citationItems":[{"id":123,"uris":["http://zotero.org/users/local/XuoWewzg/items/FHBUU446"],"itemData":{"id":123,"type":"article-journal","container-title":"Seminars in Liver Disease","DOI":"10.1055/s-2008-1040325","ISSN":"0272-8087, 1098-8971","issue":"1","journalAbbreviation":"Semin Liver Dis","language":"en","page":"110-122","source":"DOI.org (Crossref)","title":"Assessment of Prognosis of Cirrhosis","volume":"28","author":[{"family":"Durand","given":"François"},{"family":"Valla","given":"Dominique"}],"issued":{"date-parts":[["2008",2]]}}}],"schema":"https://github.com/citation-style-language/schema/raw/master/csl-citation.json"} </w:instrText>
      </w:r>
      <w:r w:rsidRPr="006916AE">
        <w:rPr>
          <w:rFonts w:ascii="Arial" w:hAnsi="Arial" w:cs="Arial"/>
          <w:vertAlign w:val="superscript"/>
        </w:rPr>
        <w:fldChar w:fldCharType="separate"/>
      </w:r>
      <w:r w:rsidR="00D65CE8" w:rsidRPr="00D65CE8">
        <w:rPr>
          <w:rFonts w:ascii="Arial" w:hAnsi="Arial" w:cs="Arial"/>
          <w:szCs w:val="24"/>
          <w:vertAlign w:val="superscript"/>
        </w:rPr>
        <w:t>7</w:t>
      </w:r>
      <w:r w:rsidRPr="006916AE">
        <w:rPr>
          <w:rFonts w:ascii="Arial" w:hAnsi="Arial" w:cs="Arial"/>
          <w:vertAlign w:val="superscript"/>
        </w:rPr>
        <w:fldChar w:fldCharType="end"/>
      </w:r>
      <w:r w:rsidRPr="006916AE">
        <w:rPr>
          <w:rFonts w:ascii="Arial" w:hAnsi="Arial" w:cs="Arial"/>
          <w:vertAlign w:val="superscript"/>
        </w:rPr>
        <w:t>,</w:t>
      </w:r>
      <w:r w:rsidRPr="006916AE">
        <w:rPr>
          <w:rFonts w:ascii="Arial" w:hAnsi="Arial" w:cs="Arial"/>
          <w:vertAlign w:val="superscript"/>
        </w:rPr>
        <w:fldChar w:fldCharType="begin"/>
      </w:r>
      <w:r w:rsidR="00D65CE8">
        <w:rPr>
          <w:rFonts w:ascii="Arial" w:hAnsi="Arial" w:cs="Arial"/>
          <w:vertAlign w:val="superscript"/>
        </w:rPr>
        <w:instrText xml:space="preserve"> ADDIN ZOTERO_ITEM CSL_CITATION {"citationID":"W76WSpvz","properties":{"formattedCitation":"\\super 8\\nosupersub{}","plainCitation":"8","noteIndex":0},"citationItems":[{"id":124,"uris":["http://zotero.org/users/local/XuoWewzg/items/GGI5P5HH"],"itemData":{"id":124,"type":"article-journal","abstract":"Summary\n            \n              Background\n              Prescription information for many drugs entering the market lacks dosage guidance for hepatic impairment. Dedicated studies for assessing the fate of drugs in hepatic impairment commonly stratify patients using Child</w:instrText>
      </w:r>
      <w:r w:rsidR="00D65CE8">
        <w:rPr>
          <w:rFonts w:ascii="Cambria Math" w:hAnsi="Cambria Math" w:cs="Cambria Math"/>
          <w:vertAlign w:val="superscript"/>
        </w:rPr>
        <w:instrText>‐</w:instrText>
      </w:r>
      <w:r w:rsidR="00D65CE8">
        <w:rPr>
          <w:rFonts w:ascii="Arial" w:hAnsi="Arial" w:cs="Arial"/>
          <w:vertAlign w:val="superscript"/>
        </w:rPr>
        <w:instrText>Pugh score. Child</w:instrText>
      </w:r>
      <w:r w:rsidR="00D65CE8">
        <w:rPr>
          <w:rFonts w:ascii="Cambria Math" w:hAnsi="Cambria Math" w:cs="Cambria Math"/>
          <w:vertAlign w:val="superscript"/>
        </w:rPr>
        <w:instrText>‐</w:instrText>
      </w:r>
      <w:r w:rsidR="00D65CE8">
        <w:rPr>
          <w:rFonts w:ascii="Arial" w:hAnsi="Arial" w:cs="Arial"/>
          <w:vertAlign w:val="superscript"/>
        </w:rPr>
        <w:instrText>Pugh is a prognostic clinical score with limitations in reflecting the liver's metabolic capacity.\n            \n            \n              Aims\n              To demonstrate the need for better drug dosing approaches in hepatic impairment, summarise the current status, identify knowledge gaps related to drug kinetic parameters in hepatic impairment, propose solutions for predicting the liver disease impact on drug exposure and discuss barriers to dosing guidance in those patients.\n            \n            \n              Methods\n              Relevant reports on dosage adjustment in hepatic impairment were analysed concerning the prediction of the impairment impact on drug kinetics using physiologically</w:instrText>
      </w:r>
      <w:r w:rsidR="00D65CE8">
        <w:rPr>
          <w:rFonts w:ascii="Cambria Math" w:hAnsi="Cambria Math" w:cs="Cambria Math"/>
          <w:vertAlign w:val="superscript"/>
        </w:rPr>
        <w:instrText>‐</w:instrText>
      </w:r>
      <w:r w:rsidR="00D65CE8">
        <w:rPr>
          <w:rFonts w:ascii="Arial" w:hAnsi="Arial" w:cs="Arial"/>
          <w:vertAlign w:val="superscript"/>
        </w:rPr>
        <w:instrText>based pharmacokinetic (PBPK) modelling.\n            \n            \n              Results\n              PBPK models are suggested as a potential framework to understand drug clearance changes in hepatic impairment. Quantifying changes in abundance and activity of drug</w:instrText>
      </w:r>
      <w:r w:rsidR="00D65CE8">
        <w:rPr>
          <w:rFonts w:ascii="Cambria Math" w:hAnsi="Cambria Math" w:cs="Cambria Math"/>
          <w:vertAlign w:val="superscript"/>
        </w:rPr>
        <w:instrText>‐</w:instrText>
      </w:r>
      <w:r w:rsidR="00D65CE8">
        <w:rPr>
          <w:rFonts w:ascii="Arial" w:hAnsi="Arial" w:cs="Arial"/>
          <w:vertAlign w:val="superscript"/>
        </w:rPr>
        <w:instrText>metabolising enzymes and transporters, understanding the impact of shunting, and accounting for interindividual variations in drug absorption could help in extending the success of these models in hepatically</w:instrText>
      </w:r>
      <w:r w:rsidR="00D65CE8">
        <w:rPr>
          <w:rFonts w:ascii="Cambria Math" w:hAnsi="Cambria Math" w:cs="Cambria Math"/>
          <w:vertAlign w:val="superscript"/>
        </w:rPr>
        <w:instrText>‐</w:instrText>
      </w:r>
      <w:r w:rsidR="00D65CE8">
        <w:rPr>
          <w:rFonts w:ascii="Arial" w:hAnsi="Arial" w:cs="Arial"/>
          <w:vertAlign w:val="superscript"/>
        </w:rPr>
        <w:instrText>impaired populations. These variables might not correlate with Child</w:instrText>
      </w:r>
      <w:r w:rsidR="00D65CE8">
        <w:rPr>
          <w:rFonts w:ascii="Cambria Math" w:hAnsi="Cambria Math" w:cs="Cambria Math"/>
          <w:vertAlign w:val="superscript"/>
        </w:rPr>
        <w:instrText>‐</w:instrText>
      </w:r>
      <w:r w:rsidR="00D65CE8">
        <w:rPr>
          <w:rFonts w:ascii="Arial" w:hAnsi="Arial" w:cs="Arial"/>
          <w:vertAlign w:val="superscript"/>
        </w:rPr>
        <w:instrText>Pugh score as a whole. Therefore, new metabolic activity markers, imaging techniques and other scoring systems are proposed to either support or substitute Child</w:instrText>
      </w:r>
      <w:r w:rsidR="00D65CE8">
        <w:rPr>
          <w:rFonts w:ascii="Cambria Math" w:hAnsi="Cambria Math" w:cs="Cambria Math"/>
          <w:vertAlign w:val="superscript"/>
        </w:rPr>
        <w:instrText>‐</w:instrText>
      </w:r>
      <w:r w:rsidR="00D65CE8">
        <w:rPr>
          <w:rFonts w:ascii="Arial" w:hAnsi="Arial" w:cs="Arial"/>
          <w:vertAlign w:val="superscript"/>
        </w:rPr>
        <w:instrText>Pugh score.\n            \n            \n              Conclusions\n              Many physiological changes in hepatic impairment determining the fate of drugs do not necessarily correlate with Child</w:instrText>
      </w:r>
      <w:r w:rsidR="00D65CE8">
        <w:rPr>
          <w:rFonts w:ascii="Cambria Math" w:hAnsi="Cambria Math" w:cs="Cambria Math"/>
          <w:vertAlign w:val="superscript"/>
        </w:rPr>
        <w:instrText>‐</w:instrText>
      </w:r>
      <w:r w:rsidR="00D65CE8">
        <w:rPr>
          <w:rFonts w:ascii="Arial" w:hAnsi="Arial" w:cs="Arial"/>
          <w:vertAlign w:val="superscript"/>
        </w:rPr>
        <w:instrText>Pugh score. Quantifying these changes in individual patients is essential in future hepatic impairment studies. Further studies assessing Child</w:instrText>
      </w:r>
      <w:r w:rsidR="00D65CE8">
        <w:rPr>
          <w:rFonts w:ascii="Cambria Math" w:hAnsi="Cambria Math" w:cs="Cambria Math"/>
          <w:vertAlign w:val="superscript"/>
        </w:rPr>
        <w:instrText>‐</w:instrText>
      </w:r>
      <w:r w:rsidR="00D65CE8">
        <w:rPr>
          <w:rFonts w:ascii="Arial" w:hAnsi="Arial" w:cs="Arial"/>
          <w:vertAlign w:val="superscript"/>
        </w:rPr>
        <w:instrText>Pugh alternatives are recommended to allow better prediction of drug exposure.","container-title":"Alimentary Pharmacology &amp; Therapeutics","DOI":"10.1111/apt.16489","ISSN":"0269-2813, 1365-2036","issue":"4","journalAbbreviation":"Aliment Pharmacol Ther","language":"en","page":"388-401","source":"DOI.org (Crossref)","title":"Review article: time to revisit Child</w:instrText>
      </w:r>
      <w:r w:rsidR="00D65CE8">
        <w:rPr>
          <w:rFonts w:ascii="Cambria Math" w:hAnsi="Cambria Math" w:cs="Cambria Math"/>
          <w:vertAlign w:val="superscript"/>
        </w:rPr>
        <w:instrText>‐</w:instrText>
      </w:r>
      <w:r w:rsidR="00D65CE8">
        <w:rPr>
          <w:rFonts w:ascii="Arial" w:hAnsi="Arial" w:cs="Arial"/>
          <w:vertAlign w:val="superscript"/>
        </w:rPr>
        <w:instrText>Pugh score as the basis for predicting drug clearance in hepatic impairment","title-short":"Review article","volume":"54","author":[{"family":"El</w:instrText>
      </w:r>
      <w:r w:rsidR="00D65CE8">
        <w:rPr>
          <w:rFonts w:ascii="Cambria Math" w:hAnsi="Cambria Math" w:cs="Cambria Math"/>
          <w:vertAlign w:val="superscript"/>
        </w:rPr>
        <w:instrText>‐</w:instrText>
      </w:r>
      <w:r w:rsidR="00D65CE8">
        <w:rPr>
          <w:rFonts w:ascii="Arial" w:hAnsi="Arial" w:cs="Arial"/>
          <w:vertAlign w:val="superscript"/>
        </w:rPr>
        <w:instrText>Khateeb","given":"Eman"},{"family":"Darwich","given":"Adam S."},{"family":"Achour","given":"Brahim"},{"family":"Athwal","given":"Varinder"},{"family":"Rostami</w:instrText>
      </w:r>
      <w:r w:rsidR="00D65CE8">
        <w:rPr>
          <w:rFonts w:ascii="Cambria Math" w:hAnsi="Cambria Math" w:cs="Cambria Math"/>
          <w:vertAlign w:val="superscript"/>
        </w:rPr>
        <w:instrText>‐</w:instrText>
      </w:r>
      <w:r w:rsidR="00D65CE8">
        <w:rPr>
          <w:rFonts w:ascii="Arial" w:hAnsi="Arial" w:cs="Arial"/>
          <w:vertAlign w:val="superscript"/>
        </w:rPr>
        <w:instrText xml:space="preserve">Hodjegan","given":"Amin"}],"issued":{"date-parts":[["2021",8]]}}}],"schema":"https://github.com/citation-style-language/schema/raw/master/csl-citation.json"} </w:instrText>
      </w:r>
      <w:r w:rsidRPr="006916AE">
        <w:rPr>
          <w:rFonts w:ascii="Arial" w:hAnsi="Arial" w:cs="Arial"/>
          <w:vertAlign w:val="superscript"/>
        </w:rPr>
        <w:fldChar w:fldCharType="separate"/>
      </w:r>
      <w:r w:rsidR="00D65CE8" w:rsidRPr="00D65CE8">
        <w:rPr>
          <w:rFonts w:ascii="Arial" w:hAnsi="Arial" w:cs="Arial"/>
          <w:szCs w:val="24"/>
          <w:vertAlign w:val="superscript"/>
          <w:lang w:val="fr-FR"/>
        </w:rPr>
        <w:t>8</w:t>
      </w:r>
      <w:r w:rsidRPr="006916AE">
        <w:rPr>
          <w:rFonts w:ascii="Arial" w:hAnsi="Arial" w:cs="Arial"/>
          <w:vertAlign w:val="superscript"/>
        </w:rPr>
        <w:fldChar w:fldCharType="end"/>
      </w:r>
      <w:r w:rsidRPr="006916AE">
        <w:rPr>
          <w:rFonts w:ascii="Arial" w:hAnsi="Arial" w:cs="Arial"/>
        </w:rPr>
        <w:t>. Our study also showed that while Child-Pugh was associated with mortality in univariate analysis, it was less accurate than MELD and CAR, with an AUC of 0.60. This underscores the need for more objective and reproducible biomarkers to enhance prognostic precision in patients with decompensated cirrhosis.</w:t>
      </w:r>
    </w:p>
    <w:p w14:paraId="61B9116A" w14:textId="77777777" w:rsidR="006916AE" w:rsidRDefault="006916AE" w:rsidP="006916AE">
      <w:pPr>
        <w:rPr>
          <w:rFonts w:ascii="Arial" w:hAnsi="Arial" w:cs="Arial"/>
        </w:rPr>
      </w:pPr>
    </w:p>
    <w:p w14:paraId="6EB3FB61" w14:textId="3B3C943F" w:rsidR="003F0405" w:rsidRPr="003F0405" w:rsidRDefault="003F0405" w:rsidP="006916AE">
      <w:pPr>
        <w:rPr>
          <w:rFonts w:ascii="Arial" w:hAnsi="Arial" w:cs="Arial"/>
          <w:b/>
          <w:bCs/>
        </w:rPr>
      </w:pPr>
      <w:r w:rsidRPr="003F0405">
        <w:rPr>
          <w:rFonts w:ascii="Arial" w:hAnsi="Arial" w:cs="Arial"/>
          <w:b/>
          <w:bCs/>
          <w:highlight w:val="yellow"/>
        </w:rPr>
        <w:t>Clinical interpretation of CAR in decompensated cirrhosis</w:t>
      </w:r>
      <w:r w:rsidRPr="003F0405">
        <w:rPr>
          <w:rFonts w:ascii="Arial" w:hAnsi="Arial" w:cs="Arial"/>
          <w:b/>
          <w:bCs/>
        </w:rPr>
        <w:t xml:space="preserve"> </w:t>
      </w:r>
    </w:p>
    <w:p w14:paraId="3934633C" w14:textId="1D844686" w:rsidR="003F0405" w:rsidRPr="003F0405" w:rsidRDefault="003F0405" w:rsidP="006916AE">
      <w:pPr>
        <w:rPr>
          <w:rFonts w:ascii="Arial" w:hAnsi="Arial" w:cs="Arial"/>
          <w:highlight w:val="yellow"/>
        </w:rPr>
      </w:pPr>
      <w:r>
        <w:rPr>
          <w:rFonts w:ascii="Arial" w:hAnsi="Arial" w:cs="Arial"/>
          <w:highlight w:val="yellow"/>
        </w:rPr>
        <w:br/>
      </w:r>
      <w:r w:rsidRPr="003F0405">
        <w:rPr>
          <w:rFonts w:ascii="Arial" w:hAnsi="Arial" w:cs="Arial"/>
          <w:highlight w:val="yellow"/>
        </w:rPr>
        <w:t xml:space="preserve">CAR integrates an acute phase reactant (CRP) and a marker of nutritional+hepatic synthetic status (albumin). </w:t>
      </w:r>
    </w:p>
    <w:p w14:paraId="087A497D" w14:textId="77777777" w:rsidR="003F0405" w:rsidRDefault="003F0405" w:rsidP="006916AE">
      <w:pPr>
        <w:rPr>
          <w:rFonts w:ascii="Arial" w:hAnsi="Arial" w:cs="Arial"/>
        </w:rPr>
      </w:pPr>
      <w:r w:rsidRPr="003F0405">
        <w:rPr>
          <w:rFonts w:ascii="Arial" w:hAnsi="Arial" w:cs="Arial"/>
          <w:highlight w:val="yellow"/>
        </w:rPr>
        <w:t>This combination is conceptually attractive in decompensated cirrhosis, where systemic inflammation, bacterial translocation, and sarcopenia/malnutrition frequently coexist and jointly influence outcomes</w:t>
      </w:r>
      <w:r>
        <w:rPr>
          <w:rFonts w:ascii="Arial" w:hAnsi="Arial" w:cs="Arial"/>
        </w:rPr>
        <w:br/>
      </w:r>
      <w:r w:rsidR="006916AE" w:rsidRPr="006916AE">
        <w:rPr>
          <w:rFonts w:ascii="Arial" w:hAnsi="Arial" w:cs="Arial"/>
        </w:rPr>
        <w:t xml:space="preserve">Our findings highlight the potential of the C-reactive protein to albumin ratio (CAR) as a simple, yet powerful prognostic tool for liver disease. </w:t>
      </w:r>
    </w:p>
    <w:p w14:paraId="0488D7A7" w14:textId="7548E4C4" w:rsidR="003F0405" w:rsidRDefault="006916AE" w:rsidP="006916AE">
      <w:pPr>
        <w:rPr>
          <w:rFonts w:ascii="Arial" w:hAnsi="Arial" w:cs="Arial"/>
        </w:rPr>
      </w:pPr>
      <w:r w:rsidRPr="006916AE">
        <w:rPr>
          <w:rFonts w:ascii="Arial" w:hAnsi="Arial" w:cs="Arial"/>
        </w:rPr>
        <w:t>Previous studies have established CAR as a significant predictor of mortality across various liver conditions</w:t>
      </w:r>
      <w:r w:rsidR="00AD06E9">
        <w:rPr>
          <w:rFonts w:ascii="Arial" w:hAnsi="Arial" w:cs="Arial"/>
        </w:rPr>
        <w:fldChar w:fldCharType="begin"/>
      </w:r>
      <w:r w:rsidR="00D65CE8">
        <w:rPr>
          <w:rFonts w:ascii="Arial" w:hAnsi="Arial" w:cs="Arial"/>
        </w:rPr>
        <w:instrText xml:space="preserve"> ADDIN ZOTERO_ITEM CSL_CITATION {"citationID":"bQYrRZ9X","properties":{"unsorted":false,"formattedCitation":"\\super 9\\nosupersub{}","plainCitation":"9","noteIndex":0},"citationItems":[{"id":237,"uris":["http://zotero.org/users/local/XuoWewzg/items/ITHUCGZI"],"itemData":{"id":237,"type":"article-journal","abstract":"Abstract\n            \n              Background\n              The liver function reserve has a significant impact on the therapeutic effects of anti-programmed cell death-1 (PD-1) for hepatocellular carcinoma (HCC). This study aimed to comprehensively evaluate the ability of liver-function-based indicators to predict prognosis and construct a novel prognostic score for HCC patients with anti-PD-1 immunotherapy.\n            \n            \n              Methods\n              Between July 2018 and January 2020, patients diagnosed with HCC who received anti-PD-1 treatment were screened for inclusion in the study. The valuable prognostic liver-function-based indicators were selected using Cox proportional hazards regression analysis to build a novel liver-function-indicators-based signature (LFIS). Concordance index (C-index), the area under the receiver operating characteristic (ROC) curve (AUC), and Kaplan–Meier survival curves were utilized to access the predictive performance of LFIS.\n            \n            \n              Results\n              A total of 434 HCC patients who received anti-PD-1 treatment were included in the study. The LFIS, based on alkaline phosphatase-to-albumin ratio index, Child–Pugh score, platelet-albumin score, aspartate aminotransferase-to-lymphocyte ratio index, and gamma-glutamyl transpeptidase-to-lymphocyte ratio index, was constructed and identified as an independent risk factor for patient survival. The C-index of LFIS for overall survival (OS) was 0.692, which was higher than the other single liver-function-based indicator. The AUC of LFIS at 6-, 12-, 18-, and 24-month were 0.74, 0.714, 0.747, and 0.865 for OS, respectively. Patients in the higher-risk LFIS group were associated with both worse OS and PFS. An online and easy-to-use calculator was further constructed for better application of the LFIS signature.\n            \n            \n              Conclusion\n              The LFIS score had an excellent prognosis prediction ability superior to every single liver-function-based indicator for anti-PD-1 treatment in HCC patients. It is a reliable, easy-to-use tool to stratify risk for OS and PFS in HCC patients who received anti-PD-1 treatment.","container-title":"Cancer Immunology, Immunotherapy","DOI":"10.1007/s00262-024-03713-6","ISSN":"1432-0851","issue":"8","journalAbbreviation":"Cancer Immunol Immunother","language":"en","page":"158","source":"DOI.org (Crossref)","title":"A novel liver-function-indicators-based prognosis signature for patients with hepatocellular carcinoma treated with anti-programmed cell death-1 therapy","volume":"73","author":[{"family":"Zheng","given":"Zehao"},{"family":"Mei","given":"Jie"},{"family":"Guan","given":"Renguo"},{"family":"Zhang","given":"Jiqi"},{"family":"Xiong","given":"Xinhao"},{"family":"Gan","given":"Junyu"},{"family":"Li","given":"Shaohua"},{"family":"Guo","given":"Rongping"}],"issued":{"date-parts":[["2024",6,4]]}}}],"schema":"https://github.com/citation-style-language/schema/raw/master/csl-citation.json"} </w:instrText>
      </w:r>
      <w:r w:rsidR="00AD06E9">
        <w:rPr>
          <w:rFonts w:ascii="Arial" w:hAnsi="Arial" w:cs="Arial"/>
        </w:rPr>
        <w:fldChar w:fldCharType="separate"/>
      </w:r>
      <w:r w:rsidR="00D65CE8" w:rsidRPr="00D65CE8">
        <w:rPr>
          <w:rFonts w:ascii="Arial" w:hAnsi="Arial" w:cs="Arial"/>
          <w:szCs w:val="24"/>
          <w:vertAlign w:val="superscript"/>
          <w:lang w:val="fr-FR"/>
        </w:rPr>
        <w:t>9</w:t>
      </w:r>
      <w:r w:rsidR="00AD06E9">
        <w:rPr>
          <w:rFonts w:ascii="Arial" w:hAnsi="Arial" w:cs="Arial"/>
        </w:rPr>
        <w:fldChar w:fldCharType="end"/>
      </w:r>
      <w:r w:rsidR="00AD06E9">
        <w:rPr>
          <w:rFonts w:ascii="Arial" w:hAnsi="Arial" w:cs="Arial"/>
        </w:rPr>
        <w:t xml:space="preserve"> </w:t>
      </w:r>
      <w:r w:rsidRPr="006916AE">
        <w:rPr>
          <w:rFonts w:ascii="Arial" w:hAnsi="Arial" w:cs="Arial"/>
        </w:rPr>
        <w:t xml:space="preserve">, including cirrhosis. </w:t>
      </w:r>
    </w:p>
    <w:p w14:paraId="109D1D78" w14:textId="77777777" w:rsidR="003F0405" w:rsidRDefault="003F0405" w:rsidP="006916AE">
      <w:pPr>
        <w:rPr>
          <w:rFonts w:ascii="Arial" w:hAnsi="Arial" w:cs="Arial"/>
        </w:rPr>
      </w:pPr>
    </w:p>
    <w:p w14:paraId="659CAB0E" w14:textId="1A853ABC" w:rsidR="003F0405" w:rsidRPr="003F0405" w:rsidRDefault="006916AE" w:rsidP="003F0405">
      <w:pPr>
        <w:spacing w:after="200" w:line="276" w:lineRule="auto"/>
        <w:rPr>
          <w:rFonts w:asciiTheme="minorHAnsi" w:eastAsiaTheme="minorEastAsia" w:hAnsiTheme="minorHAnsi" w:cstheme="minorBidi"/>
          <w:sz w:val="22"/>
          <w:szCs w:val="22"/>
        </w:rPr>
      </w:pPr>
      <w:r w:rsidRPr="006916AE">
        <w:rPr>
          <w:rFonts w:ascii="Arial" w:hAnsi="Arial" w:cs="Arial"/>
        </w:rPr>
        <w:t xml:space="preserve">Oikonomou et al </w:t>
      </w:r>
      <w:r w:rsidRPr="006916AE">
        <w:rPr>
          <w:rFonts w:ascii="Arial" w:hAnsi="Arial" w:cs="Arial"/>
        </w:rPr>
        <w:fldChar w:fldCharType="begin"/>
      </w:r>
      <w:r w:rsidRPr="006916AE">
        <w:rPr>
          <w:rFonts w:ascii="Arial" w:hAnsi="Arial" w:cs="Arial"/>
        </w:rPr>
        <w:instrText xml:space="preserve"> ADDIN ZOTERO_ITEM CSL_CITATION {"citationID":"AaErFxkY","properties":{"formattedCitation":"\\super 4\\nosupersub{}","plainCitation":"4","noteIndex":0},"citationItems":[{"id":118,"uris":["http://zotero.org/users/local/XuoWewzg/items/YCK3DECE"],"itemData":{"id":118,"type":"article-journal","container-title":"Annals of Gastroenterology","DOI":"10.20524/aog.2020.0534","ISSN":"17927463","journalAbbreviation":"aog","source":"DOI.org (Crossref)","title":"The significance of C-reactive protein to albumin ratio in patients with decompensated cirrhosis","URL":"http://www.annalsgastro.gr/files/journals/1/earlyview/2020/ev-09-2020-07-AG_4970-0534.pdf","author":[{"family":"Oikonomou","given":"Theodora"}],"accessed":{"date-parts":[["2025",2,26]]},"issued":{"date-parts":[["2020"]]}}}],"schema":"https://github.com/citation-style-language/schema/raw/master/csl-citation.json"} </w:instrText>
      </w:r>
      <w:r w:rsidRPr="006916AE">
        <w:rPr>
          <w:rFonts w:ascii="Arial" w:hAnsi="Arial" w:cs="Arial"/>
        </w:rPr>
        <w:fldChar w:fldCharType="separate"/>
      </w:r>
      <w:r w:rsidRPr="006916AE">
        <w:rPr>
          <w:rFonts w:ascii="Arial" w:hAnsi="Arial" w:cs="Arial"/>
          <w:vertAlign w:val="superscript"/>
        </w:rPr>
        <w:t>4</w:t>
      </w:r>
      <w:r w:rsidRPr="006916AE">
        <w:rPr>
          <w:rFonts w:ascii="Arial" w:hAnsi="Arial" w:cs="Arial"/>
        </w:rPr>
        <w:fldChar w:fldCharType="end"/>
      </w:r>
      <w:r w:rsidRPr="006916AE">
        <w:rPr>
          <w:rFonts w:ascii="Arial" w:hAnsi="Arial" w:cs="Arial"/>
        </w:rPr>
        <w:t xml:space="preserve"> demonstrated that elevated CAR levels were strongly associated with poor outcomes in cirrhotic patients.</w:t>
      </w:r>
      <w:r w:rsidR="003F0405">
        <w:rPr>
          <w:rFonts w:ascii="Arial" w:hAnsi="Arial" w:cs="Arial"/>
        </w:rPr>
        <w:br/>
      </w:r>
      <w:r w:rsidRPr="006916AE">
        <w:rPr>
          <w:rFonts w:ascii="Arial" w:hAnsi="Arial" w:cs="Arial"/>
        </w:rPr>
        <w:t>Indeed, we found that CAR was independently associated with mortality in multivariate analysis (OR 1.44, p=0.002), with an AUC of 0.67, showing its substantial prognostic value in assessing the risk of mortality in patients with decompensated cirrhosis. These findings align with recent studies that have incorporated CAR into clinical practice as a valuable marker of systemic inflammation and liver dysfunction.</w:t>
      </w:r>
      <w:r w:rsidR="003F0405">
        <w:rPr>
          <w:rFonts w:asciiTheme="minorHAnsi" w:eastAsiaTheme="minorEastAsia" w:hAnsiTheme="minorHAnsi" w:cstheme="minorBidi"/>
          <w:sz w:val="22"/>
          <w:szCs w:val="22"/>
        </w:rPr>
        <w:br/>
      </w:r>
      <w:r w:rsidR="003F0405">
        <w:rPr>
          <w:rFonts w:asciiTheme="minorHAnsi" w:eastAsiaTheme="minorEastAsia" w:hAnsiTheme="minorHAnsi" w:cstheme="minorBidi"/>
          <w:sz w:val="22"/>
          <w:szCs w:val="22"/>
        </w:rPr>
        <w:br/>
      </w:r>
      <w:r w:rsidR="003F0405" w:rsidRPr="003F0405">
        <w:rPr>
          <w:rFonts w:ascii="Arial" w:hAnsi="Arial" w:cs="Arial"/>
          <w:highlight w:val="yellow"/>
        </w:rPr>
        <w:t>Moreover, recent data in acute</w:t>
      </w:r>
      <w:r w:rsidR="003F0405" w:rsidRPr="003F0405">
        <w:rPr>
          <w:rFonts w:ascii="Arial" w:hAnsi="Arial" w:cs="Arial"/>
          <w:highlight w:val="yellow"/>
        </w:rPr>
        <w:noBreakHyphen/>
        <w:t>on</w:t>
      </w:r>
      <w:r w:rsidR="003F0405" w:rsidRPr="003F0405">
        <w:rPr>
          <w:rFonts w:ascii="Arial" w:hAnsi="Arial" w:cs="Arial"/>
          <w:highlight w:val="yellow"/>
        </w:rPr>
        <w:noBreakHyphen/>
        <w:t>chronic liver failure (ACLF), where inflammation is central, suggest that dynamic changes in CAR over time may carry additional prognostic value beyond a single baseline measurement. Zhu and Yan evaluated dynamic CAR changes in ACLF and supported its prognostic utility, reinforcing the rationale that inflammation</w:t>
      </w:r>
      <w:r w:rsidR="003F0405" w:rsidRPr="003F0405">
        <w:rPr>
          <w:rFonts w:ascii="Arial" w:hAnsi="Arial" w:cs="Arial"/>
          <w:highlight w:val="yellow"/>
        </w:rPr>
        <w:noBreakHyphen/>
        <w:t>nutrition trajectories matter, not only a baseline value. Although our study used admission values only, these findings justify future analyses incorporating serial measures of CRP and albumin during hospitalization</w:t>
      </w:r>
      <w:r w:rsidR="003F0405">
        <w:rPr>
          <w:rFonts w:ascii="Arial" w:hAnsi="Arial" w:cs="Arial"/>
          <w:highlight w:val="yellow"/>
        </w:rPr>
        <w:fldChar w:fldCharType="begin"/>
      </w:r>
      <w:r w:rsidR="00D65CE8">
        <w:rPr>
          <w:rFonts w:ascii="Arial" w:hAnsi="Arial" w:cs="Arial"/>
          <w:highlight w:val="yellow"/>
        </w:rPr>
        <w:instrText xml:space="preserve"> ADDIN ZOTERO_ITEM CSL_CITATION {"citationID":"5qXCFER0","properties":{"unsorted":false,"formattedCitation":"\\super 10\\nosupersub{}","plainCitation":"10","noteIndex":0},"citationItems":[{"id":241,"uris":["http://zotero.org/users/local/XuoWewzg/items/37UNMR27"],"itemData":{"id":241,"type":"article-journal","abstract":"BACKGROUND\n            Acute-on-chronic liver failure (ACLF) is a life-threatening syndrome associated with high short-term mortality. Accurate risk stratification is crucial for the management of ACLF.\n            AIM\n            To evaluate the prognostic value of the C-reactive protein to albumin ratio (CAR) and its dynamic changes in patients with ACLF defined by the Chinese Group on Study of Severe Hepatitis B (COSSH) criteria.\n            METHODS\n            A total of 126 consecutive patients diagnosed with COSSH-ACLF were prospectively enrolled. CAR was calculated at admission and on days 4, 7, and 14. The primary and secondary outcomes were 28-day and 90-day mortality, respectively. Multivariate Cox regression analysis was conducted to identify independent predictors of mortality. A novel prognostic model (COSSH-CAR), integrating baseline and dynamic variables, was developed and compared with established prognostic scoring systems.\n            RESULTS\n            The 28-day and 90-day mortality rates were 27.8% and 40.5%, respectively. Baseline CAR was significantly higher in 28-day non-survivors than in survivors (2.68 vs  1.42, P  &lt; 0.001). The dynamic change in CAR from baseline to day 7 (ΔCAR-7) showed stronger predictive power for 28-day mortality [area under the receiver operating characteristic curve (AUC) = 0.765] than baseline CAR (AUC = 0.698), ΔCAR-4 (AUC = 0.706) or ΔCAR-14 (AUC = 0.712). Multivariate analysis identified ΔCAR-7 (HR = 1.53), baseline Model for End-Stage Liver Disease-Sodium (MELD-Na) score (HR = 1.08), and hepatic encephalopathy grade (HR = 1.92) as independent predictors of 28-day mortality (all P  &lt; 0.05). The COSSH-CAR model, which incorporated these parameters, showed superior predictive performance (AUC = 0.832) for 28-day mortality compared with established prognostic scores, including Child-Pugh (AUC = 0.721), MELD-Na (AUC = 0.768) and COSSH-ACLF (AUC = 0.786) and effectively stratified patients into three risk categories with significantly different survival rates (P  &lt; 0.001).\n            CONCLUSION\n            Dynamic changes in CAR during the first week provide important prognostic information in patients with COSSH-ACLF, surpassing baseline values and conventional inflammatory markers. The novel COSSH-CAR model improves risk stratification and may support clinical decision-making in the management of ACLF, pending external validation in diverse populations.","container-title":"World Journal of Hepatology","DOI":"10.4254/wjh.v17.i9.110652","ISSN":"1948-5182","issue":"9","journalAbbreviation":"World J Hepatol","source":"DOI.org (Crossref)","title":"Prognostic value of dynamic changes in C-reactive protein to albumin ratio in patients with acute-on-chronic liver failure","URL":"https://www.wjgnet.com/1948-5182/full/v17/i9/110652.htm","volume":"17","author":[{"family":"Zhu","given":"Zong-Yi"},{"family":"Yan","given":"Li-Juan"}],"accessed":{"date-parts":[["2026",3,30]]},"issued":{"date-parts":[["2025",9,27]]}}}],"schema":"https://github.com/citation-style-language/schema/raw/master/csl-citation.json"} </w:instrText>
      </w:r>
      <w:r w:rsidR="003F0405">
        <w:rPr>
          <w:rFonts w:ascii="Arial" w:hAnsi="Arial" w:cs="Arial"/>
          <w:highlight w:val="yellow"/>
        </w:rPr>
        <w:fldChar w:fldCharType="separate"/>
      </w:r>
      <w:r w:rsidR="00D65CE8" w:rsidRPr="00D65CE8">
        <w:rPr>
          <w:rFonts w:ascii="Arial" w:hAnsi="Arial" w:cs="Arial"/>
          <w:szCs w:val="24"/>
          <w:vertAlign w:val="superscript"/>
          <w:lang w:val="fr-FR"/>
        </w:rPr>
        <w:t>10</w:t>
      </w:r>
      <w:r w:rsidR="003F0405">
        <w:rPr>
          <w:rFonts w:ascii="Arial" w:hAnsi="Arial" w:cs="Arial"/>
          <w:highlight w:val="yellow"/>
        </w:rPr>
        <w:fldChar w:fldCharType="end"/>
      </w:r>
      <w:r w:rsidR="003F0405" w:rsidRPr="003F0405">
        <w:rPr>
          <w:rFonts w:ascii="Arial" w:hAnsi="Arial" w:cs="Arial"/>
          <w:highlight w:val="yellow"/>
        </w:rPr>
        <w:t>.</w:t>
      </w:r>
      <w:r w:rsidR="003F0405" w:rsidRPr="003F0405">
        <w:rPr>
          <w:rFonts w:ascii="Arial" w:hAnsi="Arial" w:cs="Arial"/>
        </w:rPr>
        <w:t> </w:t>
      </w:r>
    </w:p>
    <w:p w14:paraId="4422836F" w14:textId="541AD4FC" w:rsidR="006916AE" w:rsidRPr="003F0405" w:rsidRDefault="003F0405" w:rsidP="006916AE">
      <w:pPr>
        <w:rPr>
          <w:rFonts w:ascii="Arial" w:hAnsi="Arial" w:cs="Arial"/>
          <w:b/>
          <w:bCs/>
        </w:rPr>
      </w:pPr>
      <w:r w:rsidRPr="003F0405">
        <w:rPr>
          <w:rFonts w:ascii="Arial" w:hAnsi="Arial" w:cs="Arial"/>
          <w:b/>
          <w:bCs/>
          <w:highlight w:val="yellow"/>
        </w:rPr>
        <w:t>ALBI score performance and comparison with MELD/Child-Pugh</w:t>
      </w:r>
      <w:r w:rsidRPr="003F0405">
        <w:rPr>
          <w:rFonts w:ascii="Arial" w:hAnsi="Arial" w:cs="Arial"/>
          <w:b/>
          <w:bCs/>
        </w:rPr>
        <w:t xml:space="preserve"> </w:t>
      </w:r>
      <w:r>
        <w:rPr>
          <w:rFonts w:ascii="Arial" w:hAnsi="Arial" w:cs="Arial"/>
          <w:b/>
          <w:bCs/>
        </w:rPr>
        <w:br/>
      </w:r>
    </w:p>
    <w:p w14:paraId="687574C7" w14:textId="29BD1505" w:rsidR="003F0405" w:rsidRPr="002864F3" w:rsidRDefault="006916AE" w:rsidP="002864F3">
      <w:pPr>
        <w:rPr>
          <w:rFonts w:ascii="Arial" w:hAnsi="Arial" w:cs="Arial"/>
        </w:rPr>
      </w:pPr>
      <w:r w:rsidRPr="003F0405">
        <w:rPr>
          <w:rFonts w:ascii="Arial" w:hAnsi="Arial" w:cs="Arial"/>
          <w:highlight w:val="yellow"/>
        </w:rPr>
        <w:t>The bilirubin to albumin score (Albi)</w:t>
      </w:r>
      <w:r w:rsidR="003F0405" w:rsidRPr="003F0405">
        <w:rPr>
          <w:rFonts w:ascii="Arial" w:hAnsi="Arial" w:cs="Arial"/>
          <w:highlight w:val="yellow"/>
        </w:rPr>
        <w:t xml:space="preserve"> was initially developed to provide an objective</w:t>
      </w:r>
      <w:r w:rsidR="003F0405" w:rsidRPr="00864F6F">
        <w:rPr>
          <w:rFonts w:asciiTheme="minorHAnsi" w:eastAsiaTheme="minorEastAsia" w:hAnsiTheme="minorHAnsi" w:cstheme="minorBidi"/>
          <w:sz w:val="22"/>
          <w:szCs w:val="22"/>
        </w:rPr>
        <w:t xml:space="preserve"> </w:t>
      </w:r>
      <w:r w:rsidR="003F0405" w:rsidRPr="003F0405">
        <w:rPr>
          <w:rFonts w:ascii="Arial" w:hAnsi="Arial" w:cs="Arial"/>
          <w:highlight w:val="yellow"/>
        </w:rPr>
        <w:t>assessment of liver function based on albumin and bilirubin, avoiding subjective components included in Child</w:t>
      </w:r>
      <w:r w:rsidR="003F0405" w:rsidRPr="003F0405">
        <w:rPr>
          <w:rFonts w:ascii="Arial" w:hAnsi="Arial" w:cs="Arial"/>
          <w:highlight w:val="yellow"/>
        </w:rPr>
        <w:noBreakHyphen/>
        <w:t>Pugh</w:t>
      </w:r>
      <w:r w:rsidR="002864F3">
        <w:rPr>
          <w:rFonts w:ascii="Arial" w:hAnsi="Arial" w:cs="Arial"/>
        </w:rPr>
        <w:t xml:space="preserve">. </w:t>
      </w:r>
      <w:r w:rsidR="003F0405">
        <w:rPr>
          <w:rFonts w:ascii="Arial" w:hAnsi="Arial" w:cs="Arial"/>
        </w:rPr>
        <w:br/>
      </w:r>
      <w:r w:rsidR="003F0405" w:rsidRPr="003F0405">
        <w:rPr>
          <w:rFonts w:ascii="Arial" w:hAnsi="Arial" w:cs="Arial"/>
          <w:highlight w:val="yellow"/>
        </w:rPr>
        <w:t xml:space="preserve">Subsequent studies extended ALBI to non-malignant liver diseases. For example, </w:t>
      </w:r>
      <w:r w:rsidR="003F0405" w:rsidRPr="003F0405">
        <w:rPr>
          <w:rFonts w:asciiTheme="minorHAnsi" w:eastAsiaTheme="minorEastAsia" w:hAnsiTheme="minorHAnsi" w:cstheme="minorBidi"/>
          <w:sz w:val="22"/>
          <w:szCs w:val="22"/>
          <w:highlight w:val="yellow"/>
        </w:rPr>
        <w:t>Navadurong et al.</w:t>
      </w:r>
      <w:r w:rsidR="003F0405">
        <w:rPr>
          <w:rFonts w:asciiTheme="minorHAnsi" w:eastAsiaTheme="minorEastAsia" w:hAnsiTheme="minorHAnsi" w:cstheme="minorBidi"/>
          <w:sz w:val="22"/>
          <w:szCs w:val="22"/>
          <w:highlight w:val="yellow"/>
        </w:rPr>
        <w:fldChar w:fldCharType="begin"/>
      </w:r>
      <w:r w:rsidR="00D65CE8">
        <w:rPr>
          <w:rFonts w:asciiTheme="minorHAnsi" w:eastAsiaTheme="minorEastAsia" w:hAnsiTheme="minorHAnsi" w:cstheme="minorBidi"/>
          <w:sz w:val="22"/>
          <w:szCs w:val="22"/>
          <w:highlight w:val="yellow"/>
        </w:rPr>
        <w:instrText xml:space="preserve"> ADDIN ZOTERO_ITEM CSL_CITATION {"citationID":"gc25Tg5K","properties":{"unsorted":false,"formattedCitation":"\\super 11\\nosupersub{}","plainCitation":"11","noteIndex":0},"citationItems":[{"id":242,"uris":["http://zotero.org/users/local/XuoWewzg/items/TVXSYVVT"],"itemData":{"id":242,"type":"article-journal","abstract":"The robotic liver resection (RLR) has been increasingly applied in recent years and its benefits shown in some aspects owing to the technical advancement of robotic surgical system, however, controversies still exist. Based on the foundation of the previous consensus statement, this new consensus document aimed to update clinical recommendations and provide guidance to improve the outcomes of RLR clinical practice. The guideline steering group and guideline expert group were formed by 29 international experts of liver surgery and evidence-based medicine (EBM). Relevant literature was reviewed and analyzed by the evidence evaluation group. According to the WHO Handbook for Guideline Development, the Guidance Principles of Development and Amendment of the Guidelines for Clinical Diagnosis and Treatment in China 2022, a total of 14 recommendations were generated. Among them were 8 recommendations formulated by the GRADE method, and the remaining 6 recommendations were formulated based on literature review and experts’ opinion due to insufficient EBM results. This international experts consensus guideline offered guidance for the safe and effective clinical practice and the research direction of RLR in future.","container-title":"World Journal of Gastroenterology","DOI":"10.3748/wjg.v29.i32.4873","ISSN":"1007-9327","issue":"32","journalAbbreviation":"World J Gastroenterol","page":"4873-4882","source":"DOI.org (Crossref)","title":"Validation of the albumin-bilirubin score for identifying decompensation risk in patients with compensated cirrhosis","volume":"29","author":[{"family":"Navadurong","given":"Huttakan"},{"family":"Thanapirom","given":"Kessarin"},{"family":"Wejnaruemarn","given":"Salisa"},{"family":"Prasoppokakorn","given":"Thaninee"},{"family":"Chaiteerakij","given":"Roongruedee"},{"family":"Komolmit","given":"Piyawat"},{"family":"Treeprasertsuk","given":"Sombat"}],"issued":{"date-parts":[["2023",8,28]]}}}],"schema":"https://github.com/citation-style-language/schema/raw/master/csl-citation.json"} </w:instrText>
      </w:r>
      <w:r w:rsidR="003F0405">
        <w:rPr>
          <w:rFonts w:asciiTheme="minorHAnsi" w:eastAsiaTheme="minorEastAsia" w:hAnsiTheme="minorHAnsi" w:cstheme="minorBidi"/>
          <w:sz w:val="22"/>
          <w:szCs w:val="22"/>
          <w:highlight w:val="yellow"/>
        </w:rPr>
        <w:fldChar w:fldCharType="separate"/>
      </w:r>
      <w:r w:rsidR="00D65CE8" w:rsidRPr="00D65CE8">
        <w:rPr>
          <w:rFonts w:ascii="Calibri" w:hAnsiTheme="minorHAnsi" w:cs="Calibri"/>
          <w:sz w:val="22"/>
          <w:szCs w:val="24"/>
          <w:vertAlign w:val="superscript"/>
        </w:rPr>
        <w:t>11</w:t>
      </w:r>
      <w:r w:rsidR="003F0405">
        <w:rPr>
          <w:rFonts w:asciiTheme="minorHAnsi" w:eastAsiaTheme="minorEastAsia" w:hAnsiTheme="minorHAnsi" w:cstheme="minorBidi"/>
          <w:sz w:val="22"/>
          <w:szCs w:val="22"/>
          <w:highlight w:val="yellow"/>
        </w:rPr>
        <w:fldChar w:fldCharType="end"/>
      </w:r>
      <w:r w:rsidR="003F0405" w:rsidRPr="003F0405">
        <w:rPr>
          <w:rFonts w:asciiTheme="minorHAnsi" w:eastAsiaTheme="minorEastAsia" w:hAnsiTheme="minorHAnsi" w:cstheme="minorBidi"/>
          <w:sz w:val="22"/>
          <w:szCs w:val="22"/>
          <w:highlight w:val="yellow"/>
        </w:rPr>
        <w:t xml:space="preserve"> validated ALBI for identifying decompensation risk in compensated cirrhosis, supporting its utility for risk stratification in cirrhotic populations.</w:t>
      </w:r>
    </w:p>
    <w:p w14:paraId="5A42B301" w14:textId="72E09F66" w:rsidR="004A2B84" w:rsidRPr="002864F3" w:rsidRDefault="003F0405" w:rsidP="002864F3">
      <w:pPr>
        <w:rPr>
          <w:rFonts w:ascii="Arial" w:hAnsi="Arial" w:cs="Arial"/>
        </w:rPr>
      </w:pPr>
      <w:r>
        <w:rPr>
          <w:rFonts w:ascii="Arial" w:hAnsi="Arial" w:cs="Arial"/>
        </w:rPr>
        <w:t xml:space="preserve">It has </w:t>
      </w:r>
      <w:r w:rsidR="006916AE" w:rsidRPr="006916AE">
        <w:rPr>
          <w:rFonts w:ascii="Arial" w:hAnsi="Arial" w:cs="Arial"/>
        </w:rPr>
        <w:t>ha</w:t>
      </w:r>
      <w:r>
        <w:rPr>
          <w:rFonts w:ascii="Arial" w:hAnsi="Arial" w:cs="Arial"/>
        </w:rPr>
        <w:t>s</w:t>
      </w:r>
      <w:r w:rsidR="006916AE" w:rsidRPr="006916AE">
        <w:rPr>
          <w:rFonts w:ascii="Arial" w:hAnsi="Arial" w:cs="Arial"/>
        </w:rPr>
        <w:t xml:space="preserve"> also shown promise as a predictor of survival in cirrhosis. Maria et al</w:t>
      </w:r>
      <w:r w:rsidR="006916AE" w:rsidRPr="006916AE">
        <w:rPr>
          <w:rFonts w:ascii="Arial" w:hAnsi="Arial" w:cs="Arial"/>
        </w:rPr>
        <w:fldChar w:fldCharType="begin"/>
      </w:r>
      <w:r w:rsidR="00D65CE8">
        <w:rPr>
          <w:rFonts w:ascii="Arial" w:hAnsi="Arial" w:cs="Arial"/>
        </w:rPr>
        <w:instrText xml:space="preserve"> ADDIN ZOTERO_ITEM CSL_CITATION {"citationID":"tx31qZmT","properties":{"formattedCitation":"\\super 12\\nosupersub{}","plainCitation":"12","noteIndex":0},"citationItems":[{"id":129,"uris":["http://zotero.org/users/local/XuoWewzg/items/BY3JGPT4"],"itemData":{"id":129,"type":"article-journal","container-title":"Annals of Gastroenterology","DOI":"10.20524/aog.2019.0417","ISSN":"17927463","journalAbbreviation":"aog","source":"DOI.org (Crossref)","title":"Comparative evaluation of ALBI, MELD, and Child-Pugh scores in prognosis of cirrhosis: is ALBI the new alternative?","title-short":"Comparative evaluation of ALBI, MELD, and Child-Pugh scores in prognosis of cirrhosis","URL":"http://www.annalsgastro.gr/files/journals/1/earlyview/2019/ev-09-2019-06-AG4599-0417.pdf","author":[{"family":"Fragaki","given":"Maria"}],"accessed":{"date-parts":[["2025",2,28]]},"issued":{"date-parts":[["2019"]]}}}],"schema":"https://github.com/citation-style-language/schema/raw/master/csl-citation.json"} </w:instrText>
      </w:r>
      <w:r w:rsidR="006916AE" w:rsidRPr="006916AE">
        <w:rPr>
          <w:rFonts w:ascii="Arial" w:hAnsi="Arial" w:cs="Arial"/>
        </w:rPr>
        <w:fldChar w:fldCharType="separate"/>
      </w:r>
      <w:r w:rsidR="00D65CE8" w:rsidRPr="00D65CE8">
        <w:rPr>
          <w:rFonts w:ascii="Arial" w:hAnsi="Arial" w:cs="Arial"/>
          <w:szCs w:val="24"/>
          <w:vertAlign w:val="superscript"/>
        </w:rPr>
        <w:t>12</w:t>
      </w:r>
      <w:r w:rsidR="006916AE" w:rsidRPr="006916AE">
        <w:rPr>
          <w:rFonts w:ascii="Arial" w:hAnsi="Arial" w:cs="Arial"/>
        </w:rPr>
        <w:fldChar w:fldCharType="end"/>
      </w:r>
      <w:r w:rsidR="006916AE" w:rsidRPr="006916AE">
        <w:rPr>
          <w:rFonts w:ascii="Arial" w:hAnsi="Arial" w:cs="Arial"/>
        </w:rPr>
        <w:t xml:space="preserve"> found that the Albi score was independently predictive of survival in cirrhotic patients and demonstrated superior prognostic value compared to the Child-Pugh and MELD scores. </w:t>
      </w:r>
      <w:r w:rsidR="00AD06E9">
        <w:rPr>
          <w:rFonts w:ascii="Arial" w:hAnsi="Arial" w:cs="Arial"/>
        </w:rPr>
        <w:br/>
      </w:r>
      <w:r w:rsidR="002864F3">
        <w:rPr>
          <w:rFonts w:ascii="Arial" w:hAnsi="Arial" w:cs="Arial"/>
        </w:rPr>
        <w:t xml:space="preserve">In other studies, like Ding and </w:t>
      </w:r>
      <w:r w:rsidR="002864F3">
        <w:rPr>
          <w:rFonts w:ascii="Arial" w:hAnsi="Arial" w:cs="Arial"/>
        </w:rPr>
        <w:t>al</w:t>
      </w:r>
      <w:r w:rsidR="002864F3">
        <w:rPr>
          <w:rFonts w:ascii="Arial" w:hAnsi="Arial" w:cs="Arial"/>
        </w:rPr>
        <w:fldChar w:fldCharType="begin"/>
      </w:r>
      <w:r w:rsidR="00D65CE8">
        <w:rPr>
          <w:rFonts w:ascii="Arial" w:hAnsi="Arial" w:cs="Arial"/>
        </w:rPr>
        <w:instrText xml:space="preserve"> ADDIN ZOTERO_ITEM CSL_CITATION {"citationID":"ILUIB11v","properties":{"unsorted":false,"formattedCitation":"\\super 13\\nosupersub{}","plainCitation":"13","noteIndex":0},"citationItems":[{"id":239,"uris":["http://zotero.org/users/local/XuoWewzg/items/W7MFPJUD"],"itemData":{"id":239,"type":"article-journal","abstract":"Objective\n              To develop a nomogram model based on the albumin-bilirubin (ALBI) score for predicting the 90-day prognosis of patients with acute-on-chronic liver failure (ACLF) and to evaluate its predictive efficacy.\n            \n            \n              Methods\n              \n                Clinical data of 290 ACLF patients at the Third People’s Hospital of Nantong City, collected from December 2020 to December 2023, were analyzed. The data were divided into a training set (\n                n\n                 = 200) and a validation set (\n                n\n                 = 90), with August 2022 as the cut-off date. Patients in the training set were categorized into an improvement group (\n                n\n                 = 133) and a mortality group (\n                n\n                 = 67) based on their 90-day outcomes. The predictive power of baseline parameters was assessed using univariate and multivariate logistic regression to construct model. Model performance was assessed using receiver operating characteristic (ROC) curves, calibration curves, decision curve analysis (DCA) and the Hosmer-Lemeshow test.\n              \n            \n            \n              Results\n              \n                Creatinine (CR) [odds ratio (OR) = 1.013, 95% confidence interval (CI): 1.004–1.022], ALBI (OR = 10.831, 95% CI: 4.009–33.247), Gender (OR = 1.931, 95% CI: 0.973–3.870) and ascites (OR = 3.032, 95% CI: 1.249–8.178) were identified as independent prognostic factors. The prognostic model formula was derived as prognostic index (PI) = –0.591 + 0.658 × Gender + 1.109 × ascites + 0.012 × CR + 2.382 × ALBI. The area under the curve (AUC) was 0.804 (95% CI: 0.741–0.866), with a specificity of 85.0% and a sensitivity of 65.7% at a cut-off of 0.425. The AUC of the validation set was 0.811 (95% CI: 0.697–0.926). The Hosmer-Lemeshow test indicated a good model fit with a\n                p\n                -value of 0.287 for the training set and 0.423 for the validation set. Calibration curves demonstrated the accuracy of the model, and DCA results suggested that the model was clinically useful when the threshold was below 0.6.\n              \n            \n            \n              Conclusion\n              The nomogram model incorporating ALBI with CR, Gender and ascites can predict the 90-day prognosis of ACLF patients, potentially helping to optimize treatment strategies and improve patient outcomes.","container-title":"Frontiers in Medicine","DOI":"10.3389/fmed.2024.1406275","ISSN":"2296-858X","journalAbbreviation":"Front. Med.","page":"1406275","source":"DOI.org (Crossref)","title":"A nomogram model based on albumin-bilirubin score for predicting 90-day prognosis in patients with acute-on-chronic liver failure","volume":"11","author":[{"family":"Ding","given":"Wei"},{"family":"Shen","given":"Jiandong"},{"family":"Zhang","given":"Li"},{"family":"Shao","given":"Jianguo"},{"family":"Bian","given":"Zhaolian"},{"family":"Xue","given":"Hong"}],"issued":{"date-parts":[["2025",1,6]]}}}],"schema":"https://github.com/citation-style-language/schema/raw/master/csl-citation.json"} </w:instrText>
      </w:r>
      <w:r w:rsidR="002864F3">
        <w:rPr>
          <w:rFonts w:ascii="Arial" w:hAnsi="Arial" w:cs="Arial"/>
        </w:rPr>
        <w:fldChar w:fldCharType="separate"/>
      </w:r>
      <w:r w:rsidR="00D65CE8" w:rsidRPr="00D65CE8">
        <w:rPr>
          <w:rFonts w:ascii="Arial" w:hAnsi="Arial" w:cs="Arial"/>
          <w:szCs w:val="24"/>
          <w:vertAlign w:val="superscript"/>
        </w:rPr>
        <w:t>13</w:t>
      </w:r>
      <w:r w:rsidR="002864F3">
        <w:rPr>
          <w:rFonts w:ascii="Arial" w:hAnsi="Arial" w:cs="Arial"/>
        </w:rPr>
        <w:fldChar w:fldCharType="end"/>
      </w:r>
      <w:r w:rsidR="002864F3">
        <w:rPr>
          <w:rFonts w:ascii="Arial" w:hAnsi="Arial" w:cs="Arial"/>
        </w:rPr>
        <w:t>, i</w:t>
      </w:r>
      <w:r w:rsidR="00AD06E9">
        <w:rPr>
          <w:rFonts w:ascii="Arial" w:hAnsi="Arial" w:cs="Arial"/>
        </w:rPr>
        <w:t>t demonstrated strong prognostic performance in patients with acute-on-chronic-failure</w:t>
      </w:r>
      <w:r w:rsidR="002864F3">
        <w:rPr>
          <w:rFonts w:ascii="Arial" w:hAnsi="Arial" w:cs="Arial"/>
        </w:rPr>
        <w:t>.</w:t>
      </w:r>
      <w:r w:rsidR="00AD06E9">
        <w:rPr>
          <w:rFonts w:ascii="Arial" w:hAnsi="Arial" w:cs="Arial"/>
        </w:rPr>
        <w:br/>
      </w:r>
      <w:r w:rsidR="006916AE" w:rsidRPr="006916AE">
        <w:rPr>
          <w:rFonts w:ascii="Arial" w:hAnsi="Arial" w:cs="Arial"/>
        </w:rPr>
        <w:t xml:space="preserve">However, finding in our study that Albi score was significantly associated with mortality in univariate analysis, it did not predict mortality in multivariate analysis. </w:t>
      </w:r>
      <w:r w:rsidR="004A2B84">
        <w:rPr>
          <w:rFonts w:ascii="Arial" w:hAnsi="Arial" w:cs="Arial"/>
        </w:rPr>
        <w:br/>
      </w:r>
      <w:r w:rsidR="004A2B84" w:rsidRPr="004A2B84">
        <w:rPr>
          <w:highlight w:val="yellow"/>
        </w:rPr>
        <w:t xml:space="preserve">This discrepancy </w:t>
      </w:r>
      <w:r w:rsidR="002864F3">
        <w:rPr>
          <w:highlight w:val="yellow"/>
        </w:rPr>
        <w:t xml:space="preserve">is clinically plausible and </w:t>
      </w:r>
      <w:r w:rsidR="004A2B84" w:rsidRPr="004A2B84">
        <w:rPr>
          <w:highlight w:val="yellow"/>
        </w:rPr>
        <w:t xml:space="preserve">may be explained by differences in study </w:t>
      </w:r>
      <w:r w:rsidR="004A2B84" w:rsidRPr="004A2B84">
        <w:rPr>
          <w:highlight w:val="yellow"/>
        </w:rPr>
        <w:lastRenderedPageBreak/>
        <w:t xml:space="preserve">populations, disease severity, and endpoints. In advanced stages of liver disease, MELD may better capture organ dysfunction, particularly renal impairment, which plays a major role </w:t>
      </w:r>
      <w:r w:rsidR="004A2B84" w:rsidRPr="002864F3">
        <w:rPr>
          <w:highlight w:val="yellow"/>
        </w:rPr>
        <w:t>in prognosis</w:t>
      </w:r>
      <w:r w:rsidR="002864F3" w:rsidRPr="002864F3">
        <w:rPr>
          <w:highlight w:val="yellow"/>
        </w:rPr>
        <w:t>, whereas ALBI focuses on hepatic synthetic and excretory dysfunction.</w:t>
      </w:r>
      <w:r w:rsidR="002864F3">
        <w:t xml:space="preserve"> </w:t>
      </w:r>
    </w:p>
    <w:p w14:paraId="2191F65E" w14:textId="2E644A17" w:rsidR="00EA45A0" w:rsidRPr="00EA45A0" w:rsidRDefault="00EA45A0" w:rsidP="00EA45A0">
      <w:pPr>
        <w:spacing w:after="200" w:line="276" w:lineRule="auto"/>
        <w:rPr>
          <w:rFonts w:ascii="Arial" w:hAnsi="Arial" w:cs="Arial"/>
        </w:rPr>
      </w:pPr>
      <w:r w:rsidRPr="00EA45A0">
        <w:rPr>
          <w:rFonts w:ascii="Arial" w:hAnsi="Arial" w:cs="Arial"/>
          <w:highlight w:val="yellow"/>
        </w:rPr>
        <w:t xml:space="preserve">Therefore, ALBI may be more informative in earlier stages or specific contexts, while MELD may perform better in advanced decompensation where kidney dysfuction becomes a key driver of mortality. </w:t>
      </w:r>
      <w:r w:rsidR="004A2B84" w:rsidRPr="00EA45A0">
        <w:rPr>
          <w:rFonts w:ascii="Arial" w:hAnsi="Arial" w:cs="Arial"/>
          <w:highlight w:val="yellow"/>
        </w:rPr>
        <w:br/>
      </w:r>
      <w:r w:rsidR="006916AE" w:rsidRPr="00EA45A0">
        <w:rPr>
          <w:rFonts w:ascii="Arial" w:hAnsi="Arial" w:cs="Arial"/>
          <w:highlight w:val="yellow"/>
        </w:rPr>
        <w:t xml:space="preserve">This </w:t>
      </w:r>
      <w:r w:rsidR="004A2B84" w:rsidRPr="00EA45A0">
        <w:rPr>
          <w:rFonts w:ascii="Arial" w:hAnsi="Arial" w:cs="Arial"/>
          <w:highlight w:val="yellow"/>
        </w:rPr>
        <w:t xml:space="preserve">also </w:t>
      </w:r>
      <w:r w:rsidR="006916AE" w:rsidRPr="00EA45A0">
        <w:rPr>
          <w:rFonts w:ascii="Arial" w:hAnsi="Arial" w:cs="Arial"/>
          <w:highlight w:val="yellow"/>
        </w:rPr>
        <w:t>suggests that although ALBI might be useful, its prognostic utility in Deci patients</w:t>
      </w:r>
      <w:r w:rsidR="006916AE" w:rsidRPr="006916AE">
        <w:rPr>
          <w:rFonts w:ascii="Arial" w:hAnsi="Arial" w:cs="Arial"/>
        </w:rPr>
        <w:t xml:space="preserve"> may be less robust compared to MELD and CAR. Nonetheless, its simplicity and non-invasive nature make it an appealing tool for routine liver function assessment in clinical practice. </w:t>
      </w:r>
      <w:r>
        <w:rPr>
          <w:rFonts w:ascii="Arial" w:hAnsi="Arial" w:cs="Arial"/>
        </w:rPr>
        <w:br/>
      </w:r>
      <w:r>
        <w:rPr>
          <w:rFonts w:ascii="Arial" w:hAnsi="Arial" w:cs="Arial"/>
        </w:rPr>
        <w:br/>
      </w:r>
      <w:r w:rsidRPr="00EA45A0">
        <w:rPr>
          <w:rFonts w:ascii="Arial" w:hAnsi="Arial" w:cs="Arial"/>
          <w:highlight w:val="yellow"/>
        </w:rPr>
        <w:t xml:space="preserve">Evidence that ALBI can predict outcomes in cirrhotic complications exists, but performance may depend on the endpoint and setting. In a large retrospective cohort of cirrhotic patients undergoing endoscopic variceal ligation, Chen et al. </w:t>
      </w:r>
      <w:r>
        <w:rPr>
          <w:rFonts w:ascii="Arial" w:hAnsi="Arial" w:cs="Arial"/>
          <w:highlight w:val="yellow"/>
        </w:rPr>
        <w:fldChar w:fldCharType="begin"/>
      </w:r>
      <w:r w:rsidR="00D65CE8">
        <w:rPr>
          <w:rFonts w:ascii="Arial" w:hAnsi="Arial" w:cs="Arial"/>
          <w:highlight w:val="yellow"/>
        </w:rPr>
        <w:instrText xml:space="preserve"> ADDIN ZOTERO_ITEM CSL_CITATION {"citationID":"0AaGrL1g","properties":{"unsorted":false,"formattedCitation":"\\super 14\\nosupersub{}","plainCitation":"14","noteIndex":0},"citationItems":[{"id":243,"uris":["http://zotero.org/users/local/XuoWewzg/items/IKFQFG2S"],"itemData":{"id":243,"type":"article-journal","abstract":"Background and Objectives: Endoscopic variceal ligation (EVL) is the primary and secondary treatment for acute esophageal variceal bleeding. Post-banding ulcer bleeding (PBUB) may lead to bleeding episodes following EVL, increasing mortality. The aim of this study was to evaluate the risk factors for PBUB and predict the 6-week mortality risk after PBUB. Materials and Methods: We retrospectively analyzed the data collected from cirrhotic patients with EVL from 2015 to 2017. The incidence of PBUB and the 6-week mortality rate were evaluated. Risk factors for PBUB and predictive factors for mortality after PBUB were analyzed. Results: A total of 713 patients were enrolled in this study. Among the studied subjects, the incidence of PBUB was 5.8% (N = 41). The 6-week mortality rate was 63.4% (26/41). In multivariate analysis, MELD score ≥20 (OR: 3.77, 95% CI: 1.94–7.33, p &lt; 0.001), ALBI score of 3 (OR: 2.67, 95% CI: 1.34–5.3, p = 0.005) and the presence of gastric varices (OR: 2.1, 95% CI: 1.06–4.16, p = 0.03) were associated with the development of PBUB. Patients with ALBI grade 3 (OR: 4.8, 95% CI: 1.18–19.6, p = 0.029) and Child-Pugh scores B and C (OR: 16.67, 95% CI: 1.75–158.1, p = 0.014) were associated with 6-week mortality after PBUB. Conclusions: PBUB is a complication with low incidence but increased mortality following EVL. The ALBI grade is a useful score to predict not only the development of PBUB but also the 6-week mortality after PBUB.","container-title":"Medicina","DOI":"10.3390/medicina58121836","ISSN":"1648-9144","issue":"12","journalAbbreviation":"Medicina","language":"en","page":"1836","source":"DOI.org (Crossref)","title":"Albumin-Bilirubin Grade as a Novel Predictor of the Development and Short-Term Survival of Post-Banding Ulcer Bleeding Following Endoscopic Variceal Ligation in Cirrhotic Patients","volume":"58","author":[{"family":"Chen","given":"Chun-Wei"},{"family":"Kuo","given":"Chia-Jung"},{"family":"Lee","given":"Chao-Wei"},{"family":"Kuo","given":"Tony"},{"family":"Chiu","given":"Cheng-Tang"},{"family":"Lin","given":"Chun-Jung"},{"family":"Lim","given":"Siew-Na"},{"family":"Yeh","given":"Chau-Ting"},{"family":"Lin","given":"Wey-Ran"}],"issued":{"date-parts":[["2022",12,13]]}}}],"schema":"https://github.com/citation-style-language/schema/raw/master/csl-citation.json"} </w:instrText>
      </w:r>
      <w:r>
        <w:rPr>
          <w:rFonts w:ascii="Arial" w:hAnsi="Arial" w:cs="Arial"/>
          <w:highlight w:val="yellow"/>
        </w:rPr>
        <w:fldChar w:fldCharType="separate"/>
      </w:r>
      <w:r w:rsidR="00D65CE8" w:rsidRPr="00D65CE8">
        <w:rPr>
          <w:rFonts w:ascii="Arial" w:hAnsi="Arial" w:cs="Arial"/>
          <w:szCs w:val="24"/>
          <w:vertAlign w:val="superscript"/>
        </w:rPr>
        <w:t>14</w:t>
      </w:r>
      <w:r>
        <w:rPr>
          <w:rFonts w:ascii="Arial" w:hAnsi="Arial" w:cs="Arial"/>
          <w:highlight w:val="yellow"/>
        </w:rPr>
        <w:fldChar w:fldCharType="end"/>
      </w:r>
      <w:r>
        <w:rPr>
          <w:rFonts w:ascii="Arial" w:hAnsi="Arial" w:cs="Arial"/>
          <w:highlight w:val="yellow"/>
        </w:rPr>
        <w:t xml:space="preserve"> </w:t>
      </w:r>
      <w:r w:rsidRPr="00EA45A0">
        <w:rPr>
          <w:rFonts w:ascii="Arial" w:hAnsi="Arial" w:cs="Arial"/>
          <w:highlight w:val="yellow"/>
        </w:rPr>
        <w:t>found that ALBI grade was associated with clinically relevant bleeding complications and short</w:t>
      </w:r>
      <w:r w:rsidRPr="00EA45A0">
        <w:rPr>
          <w:rFonts w:ascii="Arial" w:hAnsi="Arial" w:cs="Arial"/>
          <w:highlight w:val="yellow"/>
        </w:rPr>
        <w:noBreakHyphen/>
        <w:t>term mortality after post</w:t>
      </w:r>
      <w:r w:rsidRPr="00EA45A0">
        <w:rPr>
          <w:rFonts w:ascii="Arial" w:hAnsi="Arial" w:cs="Arial"/>
          <w:highlight w:val="yellow"/>
        </w:rPr>
        <w:noBreakHyphen/>
        <w:t>banding ulcer bleeding. This supports that ALBI can be meaningful in acute portal hypertension</w:t>
      </w:r>
      <w:r w:rsidRPr="00EA45A0">
        <w:rPr>
          <w:rFonts w:ascii="Arial" w:hAnsi="Arial" w:cs="Arial"/>
          <w:highlight w:val="yellow"/>
        </w:rPr>
        <w:noBreakHyphen/>
        <w:t>related events, although the endpoints (6</w:t>
      </w:r>
      <w:r w:rsidRPr="00EA45A0">
        <w:rPr>
          <w:rFonts w:ascii="Arial" w:hAnsi="Arial" w:cs="Arial"/>
          <w:highlight w:val="yellow"/>
        </w:rPr>
        <w:noBreakHyphen/>
        <w:t>week outcomes after a specific complication) differ from our 1</w:t>
      </w:r>
      <w:r w:rsidRPr="00EA45A0">
        <w:rPr>
          <w:rFonts w:ascii="Arial" w:hAnsi="Arial" w:cs="Arial"/>
          <w:highlight w:val="yellow"/>
        </w:rPr>
        <w:noBreakHyphen/>
        <w:t>year all</w:t>
      </w:r>
      <w:r w:rsidRPr="00EA45A0">
        <w:rPr>
          <w:rFonts w:ascii="Arial" w:hAnsi="Arial" w:cs="Arial"/>
          <w:highlight w:val="yellow"/>
        </w:rPr>
        <w:noBreakHyphen/>
        <w:t>cause mortality endpoint.</w:t>
      </w:r>
      <w:r w:rsidRPr="00EA45A0">
        <w:rPr>
          <w:rFonts w:ascii="Arial" w:hAnsi="Arial" w:cs="Arial"/>
        </w:rPr>
        <w:t> </w:t>
      </w:r>
    </w:p>
    <w:p w14:paraId="37049E70" w14:textId="7E198EEB" w:rsidR="005461AD" w:rsidRPr="00F82CC9" w:rsidRDefault="005461AD" w:rsidP="00F82CC9">
      <w:pPr>
        <w:spacing w:after="200" w:line="276" w:lineRule="auto"/>
        <w:rPr>
          <w:rFonts w:ascii="Arial" w:hAnsi="Arial" w:cs="Arial"/>
          <w:highlight w:val="yellow"/>
        </w:rPr>
      </w:pPr>
      <w:r w:rsidRPr="00F82CC9">
        <w:rPr>
          <w:rFonts w:ascii="Arial" w:eastAsiaTheme="minorEastAsia" w:hAnsi="Arial" w:cs="Arial"/>
          <w:b/>
          <w:bCs/>
        </w:rPr>
        <w:t>Systemic inflammation as a mechanistic framework.</w:t>
      </w:r>
      <w:r w:rsidRPr="00F82CC9">
        <w:rPr>
          <w:rFonts w:ascii="Arial" w:eastAsiaTheme="minorEastAsia" w:hAnsi="Arial" w:cs="Arial"/>
          <w:sz w:val="22"/>
          <w:szCs w:val="22"/>
        </w:rPr>
        <w:t> </w:t>
      </w:r>
      <w:r w:rsidR="00F82CC9" w:rsidRPr="00F82CC9">
        <w:rPr>
          <w:rFonts w:ascii="Arial" w:eastAsiaTheme="minorEastAsia" w:hAnsi="Arial" w:cs="Arial"/>
          <w:sz w:val="22"/>
          <w:szCs w:val="22"/>
        </w:rPr>
        <w:br/>
      </w:r>
      <w:r w:rsidRPr="00F82CC9">
        <w:rPr>
          <w:rFonts w:ascii="Arial" w:hAnsi="Arial" w:cs="Arial"/>
          <w:highlight w:val="yellow"/>
        </w:rPr>
        <w:t xml:space="preserve">The role of systemic inflammation in cirrhosis progression and decompensation is increasingly supported by contemporary studies. </w:t>
      </w:r>
      <w:r w:rsidR="00D65CE8">
        <w:rPr>
          <w:rFonts w:ascii="Arial" w:hAnsi="Arial" w:cs="Arial"/>
          <w:highlight w:val="yellow"/>
        </w:rPr>
        <w:br/>
      </w:r>
      <w:r w:rsidR="00D65CE8" w:rsidRPr="00D65CE8">
        <w:rPr>
          <w:rFonts w:ascii="Arial" w:hAnsi="Arial" w:cs="Arial"/>
          <w:highlight w:val="yellow"/>
        </w:rPr>
        <w:t xml:space="preserve">Gao et al. </w:t>
      </w:r>
      <w:r w:rsidR="00D65CE8">
        <w:rPr>
          <w:rFonts w:ascii="Arial" w:hAnsi="Arial" w:cs="Arial"/>
          <w:highlight w:val="yellow"/>
        </w:rPr>
        <w:fldChar w:fldCharType="begin"/>
      </w:r>
      <w:r w:rsidR="00D65CE8">
        <w:rPr>
          <w:rFonts w:ascii="Arial" w:hAnsi="Arial" w:cs="Arial"/>
          <w:highlight w:val="yellow"/>
        </w:rPr>
        <w:instrText xml:space="preserve"> ADDIN ZOTERO_ITEM CSL_CITATION {"citationID":"mv3tkek7","properties":{"unsorted":false,"formattedCitation":"\\super 15\\nosupersub{}","plainCitation":"15","noteIndex":0},"citationItems":[{"id":246,"uris":["http://zotero.org/users/local/XuoWewzg/items/P2CL49DQ"],"itemData":{"id":246,"type":"article-journal","abstract":"C-reactive protein (CRP) is an acute-phase protein produced by the liver in response to infection and during chronic inflammatory disorders. Systemic inflammation is a major driver of cirrhosis progression from the compensated to the decompensated stage. Previous studies have shown that pentameric CRP (pCRP) to be a weak predictor of disease severity and prognosis in patients with decompensated hepatitis B cirrhosis, with it being only helpful for identifying patients with a higher short-term risk of death under certain conditions. Accumulating evidence indicates that pCRP dissociates to and acts primarily as the monomeric conformation (mCRP) at inflammatory loci, suggesting that mCRP may be a potentially superior disease marker with higher specificity and relevance to pathogenesis. However, it is unknown whether mCRP and anti-mCRP autoantibodies are associated with disease severity, or progression in decompensated hepatitis B cirrhosis. In this study, we evaluated the serum levels of mCRP and anti-mCRP autoantibodies in patients with decompensated cirrhosis of hepatitis B and their association with disease severity and theoretical prognosis. The results showed that patients with high mCRP and anti-mCRP autoantibody levels had more severe liver damage and that coagulation function was worse in patients with high anti-mCRP autoantibodies. Analysis of the correlation between pCRP, mCRP and anti-mCRP autoantibody levels with Model for End-Stage Liver Disease (MELD), Albumin-Bilirubin (ALBI), and Child–Turcotte–Pugh (CTP) prognostic scores showed that mCRP was the most strongly correlated with MELD score, followed by anti-mCRP autoantibodies; conversely, pCRP was not significantly correlated with prognostic score. Therefore, mCRP and anti-mCRP autoantibodies may be more advantageous clinical indicators than pCRP for evaluating the pathological state of decompensated hepatitis B cirrhosis.","container-title":"Frontiers in Immunology","DOI":"10.3389/fimmu.2024.1407768","ISSN":"1664-3224","journalAbbreviation":"Front. Immunol.","page":"1407768","source":"DOI.org (Crossref)","title":"Monomeric C-reactive protein is associated with severity and prognosis of decompensated hepatitis B cirrhosis","volume":"15","author":[{"family":"Gao","given":"Ning"},{"family":"Yuan","given":"Ping"},{"family":"Tang","given":"Zhao-Ming"},{"family":"Lei","given":"Jia-Geng"},{"family":"Yang","given":"Ze-Rui"},{"family":"Ahmed","given":"Mustafa"},{"family":"Yao","given":"Zhen-Yu"},{"family":"Liang","given":"Dan"},{"family":"Wu","given":"Yi"},{"family":"Li","given":"Hai-Yun"}],"issued":{"date-parts":[["2024",6,4]]}}}],"schema":"https://github.com/citation-style-language/schema/raw/master/csl-citation.json"} </w:instrText>
      </w:r>
      <w:r w:rsidR="00D65CE8">
        <w:rPr>
          <w:rFonts w:ascii="Arial" w:hAnsi="Arial" w:cs="Arial"/>
          <w:highlight w:val="yellow"/>
        </w:rPr>
        <w:fldChar w:fldCharType="separate"/>
      </w:r>
      <w:r w:rsidR="00D65CE8" w:rsidRPr="00D65CE8">
        <w:rPr>
          <w:rFonts w:ascii="Arial" w:hAnsi="Arial" w:cs="Arial"/>
          <w:szCs w:val="24"/>
          <w:vertAlign w:val="superscript"/>
        </w:rPr>
        <w:t>15</w:t>
      </w:r>
      <w:r w:rsidR="00D65CE8">
        <w:rPr>
          <w:rFonts w:ascii="Arial" w:hAnsi="Arial" w:cs="Arial"/>
          <w:highlight w:val="yellow"/>
        </w:rPr>
        <w:fldChar w:fldCharType="end"/>
      </w:r>
      <w:r w:rsidR="00D65CE8" w:rsidRPr="00D65CE8">
        <w:rPr>
          <w:rFonts w:ascii="Arial" w:hAnsi="Arial" w:cs="Arial"/>
          <w:highlight w:val="yellow"/>
        </w:rPr>
        <w:t>studied monomeric CRP in decompensated hepatitis B cirrhosis and reported associations with severity and prognosis, underscoring the relevance of CRP-related inflammation pathways in advanced liver disease.</w:t>
      </w:r>
      <w:r w:rsidR="00D65CE8">
        <w:rPr>
          <w:rFonts w:ascii="Arial" w:hAnsi="Arial" w:cs="Arial"/>
          <w:highlight w:val="yellow"/>
        </w:rPr>
        <w:br/>
        <w:t xml:space="preserve">While </w:t>
      </w:r>
      <w:r w:rsidRPr="00F82CC9">
        <w:rPr>
          <w:rFonts w:ascii="Arial" w:hAnsi="Arial" w:cs="Arial"/>
          <w:highlight w:val="yellow"/>
        </w:rPr>
        <w:t xml:space="preserve">Zanetto et al. </w:t>
      </w:r>
      <w:r w:rsidR="00481A22">
        <w:rPr>
          <w:rFonts w:ascii="Arial" w:hAnsi="Arial" w:cs="Arial"/>
          <w:highlight w:val="yellow"/>
        </w:rPr>
        <w:fldChar w:fldCharType="begin"/>
      </w:r>
      <w:r w:rsidR="00D65CE8">
        <w:rPr>
          <w:rFonts w:ascii="Arial" w:hAnsi="Arial" w:cs="Arial"/>
          <w:highlight w:val="yellow"/>
        </w:rPr>
        <w:instrText xml:space="preserve"> ADDIN ZOTERO_ITEM CSL_CITATION {"citationID":"8ZVzLI4L","properties":{"unsorted":false,"formattedCitation":"\\super 16\\nosupersub{}","plainCitation":"16","noteIndex":0},"citationItems":[{"id":245,"uris":["http://zotero.org/users/local/XuoWewzg/items/DDELKWCQ"],"itemData":{"id":245,"type":"article-journal","container-title":"Journal of Hepatology","DOI":"10.1016/j.jhep.2022.09.005","ISSN":"01688278","issue":"2","journalAbbreviation":"Journal of Hepatology","language":"en","page":"301-311","source":"DOI.org (Crossref)","title":"Severity of systemic inflammation is the main predictor of ACLF and bleeding in individuals with acutely decompensated cirrhosis","volume":"78","author":[{"family":"Zanetto","given":"Alberto"},{"family":"Pelizzaro","given":"Filippo"},{"family":"Campello","given":"Elena"},{"family":"Bulato","given":"Cristiana"},{"family":"Balcar","given":"Lorenz"},{"family":"Gu","given":"Wenyi"},{"family":"Gavasso","given":"Sabrina"},{"family":"Saggiorato","given":"Graziella"},{"family":"Zeuzem","given":"Stefan"},{"family":"Russo","given":"Francesco Paolo"},{"family":"Mandorfer","given":"Mattias"},{"family":"Reiberger","given":"Thomas"},{"family":"Trebicka","given":"Jonel"},{"family":"Burra","given":"Patrizia"},{"family":"Simioni","given":"Paolo"},{"family":"Senzolo","given":"Marco"}],"issued":{"date-parts":[["2023",2]]}}}],"schema":"https://github.com/citation-style-language/schema/raw/master/csl-citation.json"} </w:instrText>
      </w:r>
      <w:r w:rsidR="00481A22">
        <w:rPr>
          <w:rFonts w:ascii="Arial" w:hAnsi="Arial" w:cs="Arial"/>
          <w:highlight w:val="yellow"/>
        </w:rPr>
        <w:fldChar w:fldCharType="separate"/>
      </w:r>
      <w:r w:rsidR="00D65CE8" w:rsidRPr="00D65CE8">
        <w:rPr>
          <w:rFonts w:ascii="Arial" w:hAnsi="Arial" w:cs="Arial"/>
          <w:szCs w:val="24"/>
          <w:vertAlign w:val="superscript"/>
        </w:rPr>
        <w:t>16</w:t>
      </w:r>
      <w:r w:rsidR="00481A22">
        <w:rPr>
          <w:rFonts w:ascii="Arial" w:hAnsi="Arial" w:cs="Arial"/>
          <w:highlight w:val="yellow"/>
        </w:rPr>
        <w:fldChar w:fldCharType="end"/>
      </w:r>
      <w:r w:rsidRPr="00F82CC9">
        <w:rPr>
          <w:rFonts w:ascii="Arial" w:hAnsi="Arial" w:cs="Arial"/>
          <w:highlight w:val="yellow"/>
        </w:rPr>
        <w:t>reported that the severity of systemic inflammation (assessed by CRP) was a major predictor of ACLF development and bleeding in acutely decompensated cirrhosis, reinforcing the notion that inflammatory burden is not a mere epiphenomenon but a core prognostic dimension. This literature provides mechanistic support for why CAR (which includes CRP) can retain prognostic value even when classical liver function scores are accounted for. </w:t>
      </w:r>
    </w:p>
    <w:p w14:paraId="0C3A8159" w14:textId="11B580FD" w:rsidR="006916AE" w:rsidRPr="006916AE" w:rsidRDefault="005461AD" w:rsidP="005461AD">
      <w:pPr>
        <w:spacing w:after="200" w:line="276" w:lineRule="auto"/>
        <w:rPr>
          <w:rFonts w:ascii="Arial" w:hAnsi="Arial" w:cs="Arial"/>
        </w:rPr>
      </w:pPr>
      <w:r w:rsidRPr="005461AD">
        <w:rPr>
          <w:rFonts w:ascii="Arial" w:hAnsi="Arial" w:cs="Arial"/>
          <w:b/>
          <w:bCs/>
        </w:rPr>
        <w:t>Practical implications and how to use the scores</w:t>
      </w:r>
      <w:r w:rsidRPr="005461AD">
        <w:rPr>
          <w:rFonts w:ascii="Arial" w:hAnsi="Arial" w:cs="Arial"/>
        </w:rPr>
        <w:t>.</w:t>
      </w:r>
      <w:r>
        <w:rPr>
          <w:rFonts w:ascii="Arial" w:hAnsi="Arial" w:cs="Arial"/>
        </w:rPr>
        <w:br/>
      </w:r>
      <w:r w:rsidRPr="005461AD">
        <w:rPr>
          <w:rFonts w:ascii="Arial" w:hAnsi="Arial" w:cs="Arial"/>
          <w:highlight w:val="yellow"/>
        </w:rPr>
        <w:t>Our findings support a pragmatic approach: MELD remains a strong baseline tool for prognostication, but CAR can provide additional bedside information reflecting systemic inflammation and nutritional impairment. In practice, CAR may be particularly helpful for identifying higher</w:t>
      </w:r>
      <w:r w:rsidRPr="005461AD">
        <w:rPr>
          <w:rFonts w:ascii="Arial" w:hAnsi="Arial" w:cs="Arial"/>
          <w:highlight w:val="yellow"/>
        </w:rPr>
        <w:noBreakHyphen/>
        <w:t>risk patients within similar MELD strata or when infection/inflammatory states are suspected.</w:t>
      </w:r>
      <w:r w:rsidRPr="005461AD">
        <w:rPr>
          <w:rFonts w:ascii="Arial" w:hAnsi="Arial" w:cs="Arial"/>
        </w:rPr>
        <w:t xml:space="preserve"> </w:t>
      </w:r>
      <w:r>
        <w:rPr>
          <w:rFonts w:ascii="Arial" w:hAnsi="Arial" w:cs="Arial"/>
        </w:rPr>
        <w:br/>
      </w:r>
      <w:r w:rsidR="006916AE" w:rsidRPr="006916AE">
        <w:rPr>
          <w:rFonts w:ascii="Arial" w:hAnsi="Arial" w:cs="Arial"/>
        </w:rPr>
        <w:t>Recent studies have also emphasized to combine multiple biomarkers to improve prognostication in cirrhosis</w:t>
      </w:r>
      <w:r w:rsidR="006916AE" w:rsidRPr="006916AE">
        <w:rPr>
          <w:rFonts w:ascii="Arial" w:hAnsi="Arial" w:cs="Arial"/>
        </w:rPr>
        <w:fldChar w:fldCharType="begin"/>
      </w:r>
      <w:r w:rsidR="00D65CE8">
        <w:rPr>
          <w:rFonts w:ascii="Arial" w:hAnsi="Arial" w:cs="Arial"/>
        </w:rPr>
        <w:instrText xml:space="preserve"> ADDIN ZOTERO_ITEM CSL_CITATION {"citationID":"sp2EK9to","properties":{"formattedCitation":"\\super 17\\nosupersub{}","plainCitation":"17","noteIndex":0},"citationItems":[{"id":131,"uris":["http://zotero.org/users/local/XuoWewzg/items/I28FK9J8"],"itemData":{"id":131,"type":"article-journal","abstract":"BACKGROUND: Systemic inflammatory response represented by C-reactive protein and albumin ratio (CAR) and modified albumin-bilirubin (mALBI) grade both have been associated with long-term outcome in patients with hepatocellular carcinoma (HCC). In this study, we investigated the prognostic utility of combined score of CAR and mALBI score to predict the prognosis of HCC patients after hepatic resection.\nMETHODS: This study included 214 patients who had undergone primary hepatic resection for HCC between 2008 and 2018. Systemic inflammatory response and mALBI were evaluated preoperatively and patients were classified into three groups based on the combination of CAR and mALBI score: low CAR and low mALBI grade (score 0), either high CAR or high mALBI grade (score 1), and both high CAR and high mALBI grade ≥2b (score 2). Multivariate Cox proportional hazard models were conducted to assess disease-free and overall survival.\nRESULTS: In multivariate analysis, sex (p &lt; 0.01), HBsAg positivity (p &lt; 0.01), serum AFP level ≥20 ng/mL (p &lt; 0.01), microvascular invasion (p = 0.02), multiple tumors (p &lt; 0.01), type of resection (p &lt; 0.01), and CAR-mALBI score ≥2 (HR 2.19, 95% CI 1.39-3.44, p &lt; 0.01) were independent prognostic factors of disease-free survival, while sex (p = 0.01), HBsAg positivity (p &lt; 0.01), poor tumor differentiation (p = 0.03), multiple tumors (p &lt; 0.01), CAR-mALBI score ≥2 (HR 2.70, 95% CI 1.51-4.83, p &lt; 0.01) were independent prognostic factors of overall survival.\nCONCLUSIONS: CAR-mALBI score is associated with disease-free and overall survival in patients with HCC after hepatic resection, suggesting the importance of evaluating both hepatic functional reserve and host-inflammatory state in the risk assessment of HCC patients.","container-title":"Annals of Gastroenterological Surgery","DOI":"10.1002/ags3.12727","ISSN":"2475-0328","issue":"1","journalAbbreviation":"Ann Gastroenterol Surg","language":"eng","page":"143-150","PMID":"38250682","PMCID":"PMC10797842","source":"PubMed","title":"A novel combined C-reactive protein-albumin ratio and modified albumin-bilirubin score can predict long-term outcomes in patients with hepatocellular carcinoma after hepatic resection","volume":"8","author":[{"family":"Aida","given":"Takashi"},{"family":"Haruki","given":"Koichiro"},{"family":"Akaoka","given":"Munetoshi"},{"family":"Furukawa","given":"Kenei"},{"family":"Onda","given":"Shinji"},{"family":"Shirai","given":"Yoshihiro"},{"family":"Shiozaki","given":"Hironori"},{"family":"Takahashi","given":"Keita"},{"family":"Oikawa","given":"Tsunekazu"},{"family":"Ikegami","given":"Toru"}],"issued":{"date-parts":[["2024",1]]}}}],"schema":"https://github.com/citation-style-language/schema/raw/master/csl-citation.json"} </w:instrText>
      </w:r>
      <w:r w:rsidR="006916AE" w:rsidRPr="006916AE">
        <w:rPr>
          <w:rFonts w:ascii="Arial" w:hAnsi="Arial" w:cs="Arial"/>
        </w:rPr>
        <w:fldChar w:fldCharType="separate"/>
      </w:r>
      <w:r w:rsidR="00D65CE8" w:rsidRPr="00D65CE8">
        <w:rPr>
          <w:rFonts w:ascii="Arial" w:hAnsi="Arial" w:cs="Arial"/>
          <w:szCs w:val="24"/>
          <w:vertAlign w:val="superscript"/>
        </w:rPr>
        <w:t>17</w:t>
      </w:r>
      <w:r w:rsidR="006916AE" w:rsidRPr="006916AE">
        <w:rPr>
          <w:rFonts w:ascii="Arial" w:hAnsi="Arial" w:cs="Arial"/>
        </w:rPr>
        <w:fldChar w:fldCharType="end"/>
      </w:r>
      <w:r w:rsidR="006916AE" w:rsidRPr="006916AE">
        <w:rPr>
          <w:rFonts w:ascii="Arial" w:hAnsi="Arial" w:cs="Arial"/>
        </w:rPr>
        <w:t>.This approach aligns with our findings that ALBI, when used together with MELD, could provide a more comprehensive risk stratification model. Incorporating such biomarkers into clinical practice may help refine patient management strategies and improve outcomes in patients with Deci.</w:t>
      </w:r>
    </w:p>
    <w:p w14:paraId="3B80E0AA" w14:textId="617B0B0D" w:rsidR="006916AE" w:rsidRPr="00C07265" w:rsidRDefault="00C07265" w:rsidP="00C07265">
      <w:pPr>
        <w:pStyle w:val="NormalWeb"/>
        <w:rPr>
          <w:rFonts w:ascii="Arial" w:hAnsi="Arial" w:cs="Arial"/>
          <w:sz w:val="20"/>
          <w:szCs w:val="20"/>
          <w:lang w:val="en-US" w:eastAsia="en-US"/>
        </w:rPr>
      </w:pPr>
      <w:r w:rsidRPr="00C07265">
        <w:rPr>
          <w:rFonts w:ascii="Arial" w:hAnsi="Arial" w:cs="Arial"/>
          <w:b/>
          <w:bCs/>
          <w:sz w:val="20"/>
          <w:szCs w:val="20"/>
          <w:highlight w:val="yellow"/>
          <w:lang w:val="en-US"/>
        </w:rPr>
        <w:t xml:space="preserve">Limitations </w:t>
      </w:r>
      <w:r w:rsidRPr="00C07265">
        <w:rPr>
          <w:rFonts w:ascii="Arial" w:hAnsi="Arial" w:cs="Arial"/>
          <w:sz w:val="20"/>
          <w:szCs w:val="20"/>
          <w:highlight w:val="yellow"/>
          <w:lang w:val="en-US"/>
        </w:rPr>
        <w:br/>
      </w:r>
      <w:r w:rsidRPr="00C07265">
        <w:rPr>
          <w:rFonts w:ascii="Arial" w:hAnsi="Arial" w:cs="Arial"/>
          <w:sz w:val="20"/>
          <w:szCs w:val="20"/>
          <w:highlight w:val="yellow"/>
          <w:lang w:val="en-US" w:eastAsia="en-US"/>
        </w:rPr>
        <w:t>Several limitations warrant emphasis. First, the single</w:t>
      </w:r>
      <w:r w:rsidRPr="00C07265">
        <w:rPr>
          <w:rFonts w:ascii="Arial" w:hAnsi="Arial" w:cs="Arial"/>
          <w:sz w:val="20"/>
          <w:szCs w:val="20"/>
          <w:highlight w:val="yellow"/>
          <w:lang w:val="en-US" w:eastAsia="en-US"/>
        </w:rPr>
        <w:noBreakHyphen/>
        <w:t xml:space="preserve">center retrospective design and the inclusion of hospitalized patients only may introduce selection bias and limit generalizability </w:t>
      </w:r>
      <w:r w:rsidRPr="00C07265">
        <w:rPr>
          <w:rFonts w:ascii="Arial" w:hAnsi="Arial" w:cs="Arial"/>
          <w:sz w:val="20"/>
          <w:szCs w:val="20"/>
          <w:highlight w:val="yellow"/>
          <w:lang w:val="en-US" w:eastAsia="en-US"/>
        </w:rPr>
        <w:lastRenderedPageBreak/>
        <w:t>to outpatients or less severe decompensation. Second, we relied on admission values and did not investigate dynamic changes in prognostic scores during hospitalization; this may underestimate the prognostic value of inflammation</w:t>
      </w:r>
      <w:r w:rsidRPr="00C07265">
        <w:rPr>
          <w:rFonts w:ascii="Arial" w:hAnsi="Arial" w:cs="Arial"/>
          <w:sz w:val="20"/>
          <w:szCs w:val="20"/>
          <w:highlight w:val="yellow"/>
          <w:lang w:val="en-US" w:eastAsia="en-US"/>
        </w:rPr>
        <w:noBreakHyphen/>
        <w:t>related markers such as CAR, whose trajectories could be informative. Third, we did not include an external validation cohort, and thus the stability of cut</w:t>
      </w:r>
      <w:r w:rsidRPr="00C07265">
        <w:rPr>
          <w:rFonts w:ascii="Arial" w:hAnsi="Arial" w:cs="Arial"/>
          <w:sz w:val="20"/>
          <w:szCs w:val="20"/>
          <w:highlight w:val="yellow"/>
          <w:lang w:val="en-US" w:eastAsia="en-US"/>
        </w:rPr>
        <w:noBreakHyphen/>
        <w:t>offs and effect sizes cannot be guaranteed. Fourth, CRP may be influenced by intercurrent bacterial infections; without standardized infection adjudication, residual confounding may remain. Future multicenter prospective studies should validate the proposed CAR and ALBI cut</w:t>
      </w:r>
      <w:r w:rsidRPr="00C07265">
        <w:rPr>
          <w:rFonts w:ascii="Arial" w:hAnsi="Arial" w:cs="Arial"/>
          <w:sz w:val="20"/>
          <w:szCs w:val="20"/>
          <w:highlight w:val="yellow"/>
          <w:lang w:val="en-US" w:eastAsia="en-US"/>
        </w:rPr>
        <w:noBreakHyphen/>
        <w:t>offs, assess serial measurements, and test incremental prognostic value beyond MELD using model comparison and calibration metrics.</w:t>
      </w:r>
      <w:r w:rsidRPr="00C07265">
        <w:rPr>
          <w:rFonts w:ascii="Arial" w:hAnsi="Arial" w:cs="Arial"/>
          <w:sz w:val="20"/>
          <w:szCs w:val="20"/>
          <w:lang w:val="en-US" w:eastAsia="en-US"/>
        </w:rPr>
        <w:t> </w:t>
      </w:r>
    </w:p>
    <w:p w14:paraId="0A6B50EA" w14:textId="77777777" w:rsidR="00790ADA" w:rsidRPr="00FB3A86" w:rsidRDefault="00790ADA" w:rsidP="00441B6F">
      <w:pPr>
        <w:pStyle w:val="Body"/>
        <w:spacing w:after="0"/>
        <w:rPr>
          <w:rFonts w:ascii="Arial" w:hAnsi="Arial" w:cs="Arial"/>
        </w:rPr>
      </w:pPr>
    </w:p>
    <w:p w14:paraId="520BCF6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D206240" w14:textId="77777777" w:rsidR="006916AE" w:rsidRPr="006916AE" w:rsidRDefault="006916AE" w:rsidP="006916AE">
      <w:pPr>
        <w:rPr>
          <w:rFonts w:ascii="Arial" w:hAnsi="Arial" w:cs="Arial"/>
          <w:b/>
          <w:bCs/>
          <w:sz w:val="28"/>
          <w:szCs w:val="28"/>
        </w:rPr>
      </w:pPr>
      <w:r w:rsidRPr="006916AE">
        <w:rPr>
          <w:rFonts w:ascii="Arial" w:hAnsi="Arial" w:cs="Arial"/>
        </w:rPr>
        <w:t>In conclusion, both the ALBI score and the CAR were found to be valuable prognostic markers for patients with decompensated cirrhosis. While the MELD score remained the most accurate for predicting 1-year mortality, incorporating ALBI and CAR into routine clinical assessments could enhance the prognostic evaluation of DeCi patients. These findings suggest that the integration of newer biomarkers may improve risk stratification and management decisions in patients with decompensated cirrhosis.</w:t>
      </w:r>
    </w:p>
    <w:p w14:paraId="4057F43C" w14:textId="77777777" w:rsidR="00790ADA" w:rsidRPr="00FB3A86" w:rsidRDefault="00790ADA" w:rsidP="00441B6F">
      <w:pPr>
        <w:pStyle w:val="Body"/>
        <w:spacing w:after="0"/>
        <w:rPr>
          <w:rFonts w:ascii="Arial" w:hAnsi="Arial" w:cs="Arial"/>
        </w:rPr>
      </w:pPr>
    </w:p>
    <w:p w14:paraId="6550F0CE" w14:textId="77777777" w:rsidR="00315186" w:rsidRPr="00315186" w:rsidRDefault="00315186" w:rsidP="00441B6F"/>
    <w:p w14:paraId="222B8148" w14:textId="77777777" w:rsidR="00315186" w:rsidRPr="00315186" w:rsidRDefault="00315186" w:rsidP="00441B6F"/>
    <w:p w14:paraId="7A0B63B2"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150E47ED" w14:textId="6EE42CF2" w:rsidR="006916AE" w:rsidRPr="00DD08F3" w:rsidRDefault="006916AE" w:rsidP="006916AE">
      <w:pPr>
        <w:pStyle w:val="Titre2"/>
        <w:rPr>
          <w:rFonts w:ascii="Calibri" w:eastAsia="Times New Roman" w:hAnsi="Calibri" w:cs="Calibri"/>
          <w:b/>
          <w:bCs/>
          <w:color w:val="auto"/>
          <w:sz w:val="28"/>
          <w:szCs w:val="28"/>
          <w:lang w:val="en-US" w:eastAsia="fr-FR"/>
        </w:rPr>
      </w:pPr>
      <w:r w:rsidRPr="00DD08F3">
        <w:rPr>
          <w:rFonts w:ascii="Calibri" w:eastAsia="Times New Roman" w:hAnsi="Calibri" w:cs="Calibri"/>
          <w:color w:val="auto"/>
          <w:sz w:val="24"/>
          <w:szCs w:val="24"/>
          <w:lang w:val="en-US" w:eastAsia="fr-FR"/>
        </w:rPr>
        <w:t>The Author(s) declare</w:t>
      </w:r>
      <w:r w:rsidR="00D65CE8">
        <w:rPr>
          <w:rFonts w:ascii="Calibri" w:eastAsia="Times New Roman" w:hAnsi="Calibri" w:cs="Calibri"/>
          <w:color w:val="auto"/>
          <w:sz w:val="24"/>
          <w:szCs w:val="24"/>
          <w:lang w:val="en-US" w:eastAsia="fr-FR"/>
        </w:rPr>
        <w:t xml:space="preserve"> </w:t>
      </w:r>
      <w:r w:rsidRPr="00DD08F3">
        <w:rPr>
          <w:rFonts w:ascii="Calibri" w:eastAsia="Times New Roman" w:hAnsi="Calibri" w:cs="Calibri"/>
          <w:color w:val="auto"/>
          <w:sz w:val="24"/>
          <w:szCs w:val="24"/>
          <w:lang w:val="en-US" w:eastAsia="fr-FR"/>
        </w:rPr>
        <w:t>that there is no conflict of interest</w:t>
      </w:r>
    </w:p>
    <w:p w14:paraId="71CF592B" w14:textId="77777777" w:rsidR="00371FB6" w:rsidRDefault="00371FB6" w:rsidP="00441B6F">
      <w:pPr>
        <w:pStyle w:val="ReferHead"/>
        <w:spacing w:after="0"/>
        <w:jc w:val="both"/>
        <w:rPr>
          <w:rFonts w:ascii="Arial" w:hAnsi="Arial" w:cs="Arial"/>
          <w:b w:val="0"/>
          <w:caps w:val="0"/>
          <w:sz w:val="20"/>
        </w:rPr>
      </w:pPr>
    </w:p>
    <w:p w14:paraId="51EC0330" w14:textId="77777777" w:rsidR="002B685A" w:rsidRDefault="002B685A" w:rsidP="00441B6F">
      <w:pPr>
        <w:pStyle w:val="ReferHead"/>
        <w:spacing w:after="0"/>
        <w:jc w:val="both"/>
        <w:rPr>
          <w:rFonts w:ascii="Arial" w:hAnsi="Arial" w:cs="Arial"/>
          <w:b w:val="0"/>
          <w:caps w:val="0"/>
          <w:sz w:val="20"/>
        </w:rPr>
      </w:pPr>
    </w:p>
    <w:p w14:paraId="66432233" w14:textId="0849688C" w:rsidR="002B685A" w:rsidRDefault="006916AE" w:rsidP="00441B6F">
      <w:pPr>
        <w:pStyle w:val="ReferHead"/>
        <w:spacing w:after="0"/>
        <w:jc w:val="both"/>
        <w:rPr>
          <w:rFonts w:ascii="Arial" w:hAnsi="Arial" w:cs="Arial"/>
          <w:bCs/>
        </w:rPr>
      </w:pPr>
      <w:r>
        <w:rPr>
          <w:rFonts w:ascii="Arial" w:hAnsi="Arial" w:cs="Arial"/>
          <w:bCs/>
        </w:rPr>
        <w:t>ETHIC</w:t>
      </w:r>
      <w:r w:rsidR="003A33F8">
        <w:rPr>
          <w:rFonts w:ascii="Arial" w:hAnsi="Arial" w:cs="Arial"/>
          <w:bCs/>
        </w:rPr>
        <w:t xml:space="preserve">AL APPROVAL </w:t>
      </w:r>
    </w:p>
    <w:p w14:paraId="7630AC90" w14:textId="77777777" w:rsidR="006916AE" w:rsidRDefault="006916AE" w:rsidP="006916AE">
      <w:pPr>
        <w:pStyle w:val="Titre2"/>
        <w:rPr>
          <w:rFonts w:ascii="Arial" w:eastAsia="Times New Roman" w:hAnsi="Arial" w:cs="Arial"/>
          <w:color w:val="auto"/>
          <w:sz w:val="20"/>
          <w:szCs w:val="20"/>
          <w:lang w:val="en-US" w:eastAsia="fr-FR"/>
        </w:rPr>
      </w:pPr>
      <w:r w:rsidRPr="006916AE">
        <w:rPr>
          <w:rFonts w:ascii="Arial" w:eastAsia="Times New Roman" w:hAnsi="Arial" w:cs="Arial"/>
          <w:color w:val="auto"/>
          <w:sz w:val="20"/>
          <w:szCs w:val="20"/>
          <w:lang w:val="en-US" w:eastAsia="fr-FR"/>
        </w:rPr>
        <w:t>Verbal consent was obtained from each patient to participate in the study</w:t>
      </w:r>
    </w:p>
    <w:p w14:paraId="640E0944" w14:textId="77777777" w:rsidR="003A1541" w:rsidRDefault="003A1541" w:rsidP="003A1541">
      <w:pPr>
        <w:rPr>
          <w:lang w:eastAsia="fr-FR"/>
        </w:rPr>
      </w:pPr>
    </w:p>
    <w:p w14:paraId="2A5D6A9C" w14:textId="77777777" w:rsidR="003A1541" w:rsidRPr="00D65CE8" w:rsidRDefault="003A1541" w:rsidP="00D65CE8">
      <w:pPr>
        <w:pStyle w:val="ReferHead"/>
        <w:spacing w:after="0"/>
        <w:jc w:val="both"/>
        <w:rPr>
          <w:rFonts w:ascii="Arial" w:hAnsi="Arial" w:cs="Arial"/>
          <w:bCs/>
        </w:rPr>
      </w:pPr>
      <w:r w:rsidRPr="00D65CE8">
        <w:rPr>
          <w:rFonts w:ascii="Arial" w:hAnsi="Arial" w:cs="Arial"/>
          <w:bCs/>
        </w:rPr>
        <w:t>COMPETING INTERESTS DISCLAIMER:</w:t>
      </w:r>
    </w:p>
    <w:p w14:paraId="41DA0E3A" w14:textId="5CCFBAC9" w:rsidR="003A1541" w:rsidRDefault="003A1541" w:rsidP="003A1541">
      <w:pPr>
        <w:rPr>
          <w:lang w:eastAsia="fr-FR"/>
        </w:rPr>
      </w:pPr>
      <w:r>
        <w:rPr>
          <w:lang w:eastAsia="fr-FR"/>
        </w:rPr>
        <w:t>Authors have declared that they have no known competing financial interests OR non-financial interests OR personal relationships that could have appeared to influence the work reported in this paper.</w:t>
      </w:r>
    </w:p>
    <w:p w14:paraId="088D5B80" w14:textId="77777777" w:rsidR="00D65CE8" w:rsidRPr="003A1541" w:rsidRDefault="00D65CE8" w:rsidP="003A1541">
      <w:pPr>
        <w:rPr>
          <w:lang w:eastAsia="fr-FR"/>
        </w:rPr>
      </w:pPr>
    </w:p>
    <w:p w14:paraId="48BC6FD3" w14:textId="77777777" w:rsidR="00E11C51" w:rsidRPr="00D65CE8" w:rsidRDefault="00E11C51" w:rsidP="00D65CE8">
      <w:pPr>
        <w:pStyle w:val="ReferHead"/>
        <w:spacing w:after="0"/>
        <w:jc w:val="both"/>
        <w:rPr>
          <w:rFonts w:ascii="Arial" w:hAnsi="Arial" w:cs="Arial"/>
          <w:bCs/>
        </w:rPr>
      </w:pPr>
      <w:r w:rsidRPr="00D65CE8">
        <w:rPr>
          <w:rFonts w:ascii="Arial" w:hAnsi="Arial" w:cs="Arial"/>
          <w:bCs/>
        </w:rPr>
        <w:t>Disclaimer (Artificial intelligence)</w:t>
      </w:r>
    </w:p>
    <w:p w14:paraId="001AD071" w14:textId="77777777" w:rsidR="00E11C51" w:rsidRPr="00740879" w:rsidRDefault="00E11C51" w:rsidP="00E11C51">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7BAA65F3" w14:textId="77777777" w:rsidR="001A29D8" w:rsidRDefault="001A29D8" w:rsidP="00441B6F">
      <w:pPr>
        <w:pStyle w:val="ReferHead"/>
        <w:spacing w:after="0"/>
        <w:jc w:val="both"/>
        <w:rPr>
          <w:rFonts w:ascii="Arial" w:hAnsi="Arial" w:cs="Arial"/>
          <w:b w:val="0"/>
          <w:caps w:val="0"/>
          <w:sz w:val="20"/>
        </w:rPr>
      </w:pPr>
    </w:p>
    <w:p w14:paraId="53160B4B" w14:textId="77777777" w:rsidR="005C784C" w:rsidRDefault="005C784C" w:rsidP="00441B6F">
      <w:pPr>
        <w:pStyle w:val="ReferHead"/>
        <w:spacing w:after="0"/>
        <w:jc w:val="both"/>
        <w:rPr>
          <w:rFonts w:ascii="Arial" w:hAnsi="Arial" w:cs="Arial"/>
          <w:b w:val="0"/>
          <w:caps w:val="0"/>
          <w:sz w:val="20"/>
        </w:rPr>
      </w:pPr>
    </w:p>
    <w:p w14:paraId="7B9AEB1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138FBA4" w14:textId="77777777" w:rsidR="00790ADA" w:rsidRPr="00FB3A86" w:rsidRDefault="00790ADA" w:rsidP="00441B6F">
      <w:pPr>
        <w:pStyle w:val="ReferHead"/>
        <w:spacing w:after="0"/>
        <w:jc w:val="both"/>
        <w:rPr>
          <w:rFonts w:ascii="Arial" w:hAnsi="Arial" w:cs="Arial"/>
        </w:rPr>
      </w:pPr>
    </w:p>
    <w:p w14:paraId="72ADEC81" w14:textId="77777777" w:rsidR="00D65CE8" w:rsidRPr="00D65CE8" w:rsidRDefault="008D093E" w:rsidP="00D65CE8">
      <w:pPr>
        <w:pStyle w:val="Bibliographie"/>
        <w:rPr>
          <w:rFonts w:ascii="Calibri" w:hAnsi="Calibri" w:cs="Calibri"/>
          <w:sz w:val="22"/>
        </w:rPr>
      </w:pPr>
      <w:r w:rsidRPr="008D093E">
        <w:rPr>
          <w:rFonts w:ascii="Calibri" w:hAnsi="Calibri" w:cs="Calibri"/>
          <w:sz w:val="22"/>
          <w:szCs w:val="22"/>
          <w:lang w:eastAsia="fr-FR"/>
        </w:rPr>
        <w:fldChar w:fldCharType="begin"/>
      </w:r>
      <w:r w:rsidR="00AD06E9" w:rsidRPr="003F0405">
        <w:rPr>
          <w:rFonts w:ascii="Calibri" w:hAnsi="Calibri" w:cs="Calibri"/>
          <w:sz w:val="22"/>
          <w:szCs w:val="22"/>
          <w:lang w:val="fr-MA" w:eastAsia="fr-FR"/>
        </w:rPr>
        <w:instrText xml:space="preserve"> ADDIN ZOTERO_BIBL {"uncited":[],"omitted":[],"custom":[]} CSL_BIBLIOGRAPHY </w:instrText>
      </w:r>
      <w:r w:rsidRPr="008D093E">
        <w:rPr>
          <w:rFonts w:ascii="Calibri" w:hAnsi="Calibri" w:cs="Calibri"/>
          <w:sz w:val="22"/>
          <w:szCs w:val="22"/>
          <w:lang w:eastAsia="fr-FR"/>
        </w:rPr>
        <w:fldChar w:fldCharType="separate"/>
      </w:r>
      <w:r w:rsidR="00D65CE8" w:rsidRPr="00D65CE8">
        <w:rPr>
          <w:rFonts w:ascii="Calibri" w:hAnsi="Calibri" w:cs="Calibri"/>
          <w:sz w:val="22"/>
          <w:lang w:val="fr-FR"/>
        </w:rPr>
        <w:t xml:space="preserve">1. </w:t>
      </w:r>
      <w:r w:rsidR="00D65CE8" w:rsidRPr="00D65CE8">
        <w:rPr>
          <w:rFonts w:ascii="Calibri" w:hAnsi="Calibri" w:cs="Calibri"/>
          <w:sz w:val="22"/>
          <w:lang w:val="fr-FR"/>
        </w:rPr>
        <w:tab/>
        <w:t xml:space="preserve">Engelmann C, Clària J, Szabo G, et al. </w:t>
      </w:r>
      <w:r w:rsidR="00D65CE8" w:rsidRPr="00D65CE8">
        <w:rPr>
          <w:rFonts w:ascii="Calibri" w:hAnsi="Calibri" w:cs="Calibri"/>
          <w:sz w:val="22"/>
        </w:rPr>
        <w:t xml:space="preserve">Pathophysiology of decompensated cirrhosis: Portal hypertension, circulatory dysfunction, inflammation, metabolism and mitochondrial dysfunction. </w:t>
      </w:r>
      <w:r w:rsidR="00D65CE8" w:rsidRPr="00D65CE8">
        <w:rPr>
          <w:rFonts w:ascii="Calibri" w:hAnsi="Calibri" w:cs="Calibri"/>
          <w:i/>
          <w:iCs/>
          <w:sz w:val="22"/>
        </w:rPr>
        <w:t>Journal of Hepatology</w:t>
      </w:r>
      <w:r w:rsidR="00D65CE8" w:rsidRPr="00D65CE8">
        <w:rPr>
          <w:rFonts w:ascii="Calibri" w:hAnsi="Calibri" w:cs="Calibri"/>
          <w:sz w:val="22"/>
        </w:rPr>
        <w:t xml:space="preserve"> 2021; 75: S49–S66.</w:t>
      </w:r>
    </w:p>
    <w:p w14:paraId="15571590" w14:textId="77777777" w:rsidR="00D65CE8" w:rsidRPr="00D65CE8" w:rsidRDefault="00D65CE8" w:rsidP="00D65CE8">
      <w:pPr>
        <w:pStyle w:val="Bibliographie"/>
        <w:rPr>
          <w:rFonts w:ascii="Calibri" w:hAnsi="Calibri" w:cs="Calibri"/>
          <w:sz w:val="22"/>
        </w:rPr>
      </w:pPr>
      <w:r w:rsidRPr="00D65CE8">
        <w:rPr>
          <w:rFonts w:ascii="Calibri" w:hAnsi="Calibri" w:cs="Calibri"/>
          <w:sz w:val="22"/>
        </w:rPr>
        <w:t xml:space="preserve">2. </w:t>
      </w:r>
      <w:r w:rsidRPr="00D65CE8">
        <w:rPr>
          <w:rFonts w:ascii="Calibri" w:hAnsi="Calibri" w:cs="Calibri"/>
          <w:sz w:val="22"/>
        </w:rPr>
        <w:tab/>
        <w:t xml:space="preserve">Child CG, Turcotte JG. Surgery and portal hypertension. </w:t>
      </w:r>
      <w:r w:rsidRPr="00D65CE8">
        <w:rPr>
          <w:rFonts w:ascii="Calibri" w:hAnsi="Calibri" w:cs="Calibri"/>
          <w:i/>
          <w:iCs/>
          <w:sz w:val="22"/>
        </w:rPr>
        <w:t>Major Probl Clin Surg</w:t>
      </w:r>
      <w:r w:rsidRPr="00D65CE8">
        <w:rPr>
          <w:rFonts w:ascii="Calibri" w:hAnsi="Calibri" w:cs="Calibri"/>
          <w:sz w:val="22"/>
        </w:rPr>
        <w:t xml:space="preserve"> 1964; 1: 1–85.</w:t>
      </w:r>
    </w:p>
    <w:p w14:paraId="48E3032A" w14:textId="77777777" w:rsidR="00D65CE8" w:rsidRPr="00D65CE8" w:rsidRDefault="00D65CE8" w:rsidP="00D65CE8">
      <w:pPr>
        <w:pStyle w:val="Bibliographie"/>
        <w:rPr>
          <w:rFonts w:ascii="Calibri" w:hAnsi="Calibri" w:cs="Calibri"/>
          <w:sz w:val="22"/>
        </w:rPr>
      </w:pPr>
      <w:r w:rsidRPr="00D65CE8">
        <w:rPr>
          <w:rFonts w:ascii="Calibri" w:hAnsi="Calibri" w:cs="Calibri"/>
          <w:sz w:val="22"/>
        </w:rPr>
        <w:t xml:space="preserve">3. </w:t>
      </w:r>
      <w:r w:rsidRPr="00D65CE8">
        <w:rPr>
          <w:rFonts w:ascii="Calibri" w:hAnsi="Calibri" w:cs="Calibri"/>
          <w:sz w:val="22"/>
        </w:rPr>
        <w:tab/>
        <w:t xml:space="preserve">Kamath PS, Kim RW. The model for end-stage liver disease (MELD). </w:t>
      </w:r>
      <w:r w:rsidRPr="00D65CE8">
        <w:rPr>
          <w:rFonts w:ascii="Calibri" w:hAnsi="Calibri" w:cs="Calibri"/>
          <w:i/>
          <w:iCs/>
          <w:sz w:val="22"/>
        </w:rPr>
        <w:t>Hepatology</w:t>
      </w:r>
      <w:r w:rsidRPr="00D65CE8">
        <w:rPr>
          <w:rFonts w:ascii="Calibri" w:hAnsi="Calibri" w:cs="Calibri"/>
          <w:sz w:val="22"/>
        </w:rPr>
        <w:t xml:space="preserve"> 2007; 45: 797–805.</w:t>
      </w:r>
    </w:p>
    <w:p w14:paraId="47FD3188" w14:textId="77777777" w:rsidR="00D65CE8" w:rsidRPr="00D65CE8" w:rsidRDefault="00D65CE8" w:rsidP="00D65CE8">
      <w:pPr>
        <w:pStyle w:val="Bibliographie"/>
        <w:rPr>
          <w:rFonts w:ascii="Calibri" w:hAnsi="Calibri" w:cs="Calibri"/>
          <w:sz w:val="22"/>
        </w:rPr>
      </w:pPr>
      <w:r w:rsidRPr="00D65CE8">
        <w:rPr>
          <w:rFonts w:ascii="Calibri" w:hAnsi="Calibri" w:cs="Calibri"/>
          <w:sz w:val="22"/>
        </w:rPr>
        <w:lastRenderedPageBreak/>
        <w:t xml:space="preserve">4. </w:t>
      </w:r>
      <w:r w:rsidRPr="00D65CE8">
        <w:rPr>
          <w:rFonts w:ascii="Calibri" w:hAnsi="Calibri" w:cs="Calibri"/>
          <w:sz w:val="22"/>
        </w:rPr>
        <w:tab/>
        <w:t xml:space="preserve">Oikonomou T. The significance of C-reactive protein to albumin ratio in patients with decompensated cirrhosis. </w:t>
      </w:r>
      <w:r w:rsidRPr="00D65CE8">
        <w:rPr>
          <w:rFonts w:ascii="Calibri" w:hAnsi="Calibri" w:cs="Calibri"/>
          <w:i/>
          <w:iCs/>
          <w:sz w:val="22"/>
        </w:rPr>
        <w:t>aog</w:t>
      </w:r>
      <w:r w:rsidRPr="00D65CE8">
        <w:rPr>
          <w:rFonts w:ascii="Calibri" w:hAnsi="Calibri" w:cs="Calibri"/>
          <w:sz w:val="22"/>
        </w:rPr>
        <w:t>. Epub ahead of print 2020. DOI: 10.20524/aog.2020.0534.</w:t>
      </w:r>
    </w:p>
    <w:p w14:paraId="57620EFD" w14:textId="77777777" w:rsidR="00D65CE8" w:rsidRPr="00D65CE8" w:rsidRDefault="00D65CE8" w:rsidP="00D65CE8">
      <w:pPr>
        <w:pStyle w:val="Bibliographie"/>
        <w:rPr>
          <w:rFonts w:ascii="Calibri" w:hAnsi="Calibri" w:cs="Calibri"/>
          <w:sz w:val="22"/>
        </w:rPr>
      </w:pPr>
      <w:r w:rsidRPr="00D65CE8">
        <w:rPr>
          <w:rFonts w:ascii="Calibri" w:hAnsi="Calibri" w:cs="Calibri"/>
          <w:sz w:val="22"/>
        </w:rPr>
        <w:t xml:space="preserve">5. </w:t>
      </w:r>
      <w:r w:rsidRPr="00D65CE8">
        <w:rPr>
          <w:rFonts w:ascii="Calibri" w:hAnsi="Calibri" w:cs="Calibri"/>
          <w:sz w:val="22"/>
        </w:rPr>
        <w:tab/>
        <w:t xml:space="preserve">Toyoda H, Johnson PJ. The ALBI score: From liver function in patients with HCC to a general measure of liver function. </w:t>
      </w:r>
      <w:r w:rsidRPr="00D65CE8">
        <w:rPr>
          <w:rFonts w:ascii="Calibri" w:hAnsi="Calibri" w:cs="Calibri"/>
          <w:i/>
          <w:iCs/>
          <w:sz w:val="22"/>
        </w:rPr>
        <w:t>JHEP Reports</w:t>
      </w:r>
      <w:r w:rsidRPr="00D65CE8">
        <w:rPr>
          <w:rFonts w:ascii="Calibri" w:hAnsi="Calibri" w:cs="Calibri"/>
          <w:sz w:val="22"/>
        </w:rPr>
        <w:t xml:space="preserve"> 2022; 4: 100557.</w:t>
      </w:r>
    </w:p>
    <w:p w14:paraId="67E5DEEB" w14:textId="77777777" w:rsidR="00D65CE8" w:rsidRPr="00D65CE8" w:rsidRDefault="00D65CE8" w:rsidP="00D65CE8">
      <w:pPr>
        <w:pStyle w:val="Bibliographie"/>
        <w:rPr>
          <w:rFonts w:ascii="Calibri" w:hAnsi="Calibri" w:cs="Calibri"/>
          <w:sz w:val="22"/>
        </w:rPr>
      </w:pPr>
      <w:r w:rsidRPr="00D65CE8">
        <w:rPr>
          <w:rFonts w:ascii="Calibri" w:hAnsi="Calibri" w:cs="Calibri"/>
          <w:sz w:val="22"/>
        </w:rPr>
        <w:t xml:space="preserve">6. </w:t>
      </w:r>
      <w:r w:rsidRPr="00D65CE8">
        <w:rPr>
          <w:rFonts w:ascii="Calibri" w:hAnsi="Calibri" w:cs="Calibri"/>
          <w:sz w:val="22"/>
        </w:rPr>
        <w:tab/>
        <w:t xml:space="preserve">Kamath PS, Wiesner RH, Malinchoc M, et al. A Model to Predict Survival in Patients With End–Stage Liver Disease. </w:t>
      </w:r>
      <w:r w:rsidRPr="00D65CE8">
        <w:rPr>
          <w:rFonts w:ascii="Calibri" w:hAnsi="Calibri" w:cs="Calibri"/>
          <w:i/>
          <w:iCs/>
          <w:sz w:val="22"/>
        </w:rPr>
        <w:t>Hepatology</w:t>
      </w:r>
      <w:r w:rsidRPr="00D65CE8">
        <w:rPr>
          <w:rFonts w:ascii="Calibri" w:hAnsi="Calibri" w:cs="Calibri"/>
          <w:sz w:val="22"/>
        </w:rPr>
        <w:t xml:space="preserve"> 2001; 33: 464–470.</w:t>
      </w:r>
    </w:p>
    <w:p w14:paraId="78A5C37F" w14:textId="77777777" w:rsidR="00D65CE8" w:rsidRPr="00D65CE8" w:rsidRDefault="00D65CE8" w:rsidP="00D65CE8">
      <w:pPr>
        <w:pStyle w:val="Bibliographie"/>
        <w:rPr>
          <w:rFonts w:ascii="Calibri" w:hAnsi="Calibri" w:cs="Calibri"/>
          <w:sz w:val="22"/>
        </w:rPr>
      </w:pPr>
      <w:r w:rsidRPr="00D65CE8">
        <w:rPr>
          <w:rFonts w:ascii="Calibri" w:hAnsi="Calibri" w:cs="Calibri"/>
          <w:sz w:val="22"/>
        </w:rPr>
        <w:t xml:space="preserve">7. </w:t>
      </w:r>
      <w:r w:rsidRPr="00D65CE8">
        <w:rPr>
          <w:rFonts w:ascii="Calibri" w:hAnsi="Calibri" w:cs="Calibri"/>
          <w:sz w:val="22"/>
        </w:rPr>
        <w:tab/>
        <w:t xml:space="preserve">Durand F, Valla D. Assessment of Prognosis of Cirrhosis. </w:t>
      </w:r>
      <w:r w:rsidRPr="00D65CE8">
        <w:rPr>
          <w:rFonts w:ascii="Calibri" w:hAnsi="Calibri" w:cs="Calibri"/>
          <w:i/>
          <w:iCs/>
          <w:sz w:val="22"/>
        </w:rPr>
        <w:t>Semin Liver Dis</w:t>
      </w:r>
      <w:r w:rsidRPr="00D65CE8">
        <w:rPr>
          <w:rFonts w:ascii="Calibri" w:hAnsi="Calibri" w:cs="Calibri"/>
          <w:sz w:val="22"/>
        </w:rPr>
        <w:t xml:space="preserve"> 2008; 28: 110–122.</w:t>
      </w:r>
    </w:p>
    <w:p w14:paraId="0A49CF15" w14:textId="77777777" w:rsidR="00D65CE8" w:rsidRPr="00D65CE8" w:rsidRDefault="00D65CE8" w:rsidP="00D65CE8">
      <w:pPr>
        <w:pStyle w:val="Bibliographie"/>
        <w:rPr>
          <w:rFonts w:ascii="Calibri" w:hAnsi="Calibri" w:cs="Calibri"/>
          <w:sz w:val="22"/>
          <w:lang w:val="fr-FR"/>
        </w:rPr>
      </w:pPr>
      <w:r w:rsidRPr="00D65CE8">
        <w:rPr>
          <w:rFonts w:ascii="Calibri" w:hAnsi="Calibri" w:cs="Calibri"/>
          <w:sz w:val="22"/>
        </w:rPr>
        <w:t xml:space="preserve">8. </w:t>
      </w:r>
      <w:r w:rsidRPr="00D65CE8">
        <w:rPr>
          <w:rFonts w:ascii="Calibri" w:hAnsi="Calibri" w:cs="Calibri"/>
          <w:sz w:val="22"/>
        </w:rPr>
        <w:tab/>
        <w:t xml:space="preserve">El‐Khateeb E, Darwich AS, Achour B, et al. Review article: time to revisit Child‐Pugh score as the basis for predicting drug clearance in hepatic impairment. </w:t>
      </w:r>
      <w:r w:rsidRPr="00D65CE8">
        <w:rPr>
          <w:rFonts w:ascii="Calibri" w:hAnsi="Calibri" w:cs="Calibri"/>
          <w:i/>
          <w:iCs/>
          <w:sz w:val="22"/>
          <w:lang w:val="fr-FR"/>
        </w:rPr>
        <w:t>Aliment Pharmacol Ther</w:t>
      </w:r>
      <w:r w:rsidRPr="00D65CE8">
        <w:rPr>
          <w:rFonts w:ascii="Calibri" w:hAnsi="Calibri" w:cs="Calibri"/>
          <w:sz w:val="22"/>
          <w:lang w:val="fr-FR"/>
        </w:rPr>
        <w:t xml:space="preserve"> 2021; 54: 388–401.</w:t>
      </w:r>
    </w:p>
    <w:p w14:paraId="4C9A1A57" w14:textId="77777777" w:rsidR="00D65CE8" w:rsidRPr="00D65CE8" w:rsidRDefault="00D65CE8" w:rsidP="00D65CE8">
      <w:pPr>
        <w:pStyle w:val="Bibliographie"/>
        <w:rPr>
          <w:rFonts w:ascii="Calibri" w:hAnsi="Calibri" w:cs="Calibri"/>
          <w:sz w:val="22"/>
          <w:highlight w:val="yellow"/>
        </w:rPr>
      </w:pPr>
      <w:r w:rsidRPr="00D65CE8">
        <w:rPr>
          <w:rFonts w:ascii="Calibri" w:hAnsi="Calibri" w:cs="Calibri"/>
          <w:sz w:val="22"/>
          <w:highlight w:val="yellow"/>
          <w:lang w:val="fr-FR"/>
        </w:rPr>
        <w:t xml:space="preserve">9. </w:t>
      </w:r>
      <w:r w:rsidRPr="00D65CE8">
        <w:rPr>
          <w:rFonts w:ascii="Calibri" w:hAnsi="Calibri" w:cs="Calibri"/>
          <w:sz w:val="22"/>
          <w:highlight w:val="yellow"/>
          <w:lang w:val="fr-FR"/>
        </w:rPr>
        <w:tab/>
        <w:t xml:space="preserve">Zheng Z, Mei J, Guan R, et al. </w:t>
      </w:r>
      <w:r w:rsidRPr="00D65CE8">
        <w:rPr>
          <w:rFonts w:ascii="Calibri" w:hAnsi="Calibri" w:cs="Calibri"/>
          <w:sz w:val="22"/>
          <w:highlight w:val="yellow"/>
        </w:rPr>
        <w:t xml:space="preserve">A novel liver-function-indicators-based prognosis signature for patients with hepatocellular carcinoma treated with anti-programmed cell death-1 therapy. </w:t>
      </w:r>
      <w:r w:rsidRPr="00D65CE8">
        <w:rPr>
          <w:rFonts w:ascii="Calibri" w:hAnsi="Calibri" w:cs="Calibri"/>
          <w:i/>
          <w:iCs/>
          <w:sz w:val="22"/>
          <w:highlight w:val="yellow"/>
        </w:rPr>
        <w:t>Cancer Immunol Immunother</w:t>
      </w:r>
      <w:r w:rsidRPr="00D65CE8">
        <w:rPr>
          <w:rFonts w:ascii="Calibri" w:hAnsi="Calibri" w:cs="Calibri"/>
          <w:sz w:val="22"/>
          <w:highlight w:val="yellow"/>
        </w:rPr>
        <w:t xml:space="preserve"> 2024; 73: 158.</w:t>
      </w:r>
    </w:p>
    <w:p w14:paraId="4EF160E8" w14:textId="77777777" w:rsidR="00D65CE8" w:rsidRPr="00D65CE8" w:rsidRDefault="00D65CE8" w:rsidP="00D65CE8">
      <w:pPr>
        <w:pStyle w:val="Bibliographie"/>
        <w:rPr>
          <w:rFonts w:ascii="Calibri" w:hAnsi="Calibri" w:cs="Calibri"/>
          <w:sz w:val="22"/>
          <w:highlight w:val="yellow"/>
        </w:rPr>
      </w:pPr>
      <w:r w:rsidRPr="00D65CE8">
        <w:rPr>
          <w:rFonts w:ascii="Calibri" w:hAnsi="Calibri" w:cs="Calibri"/>
          <w:sz w:val="22"/>
          <w:highlight w:val="yellow"/>
        </w:rPr>
        <w:t xml:space="preserve">10. </w:t>
      </w:r>
      <w:r w:rsidRPr="00D65CE8">
        <w:rPr>
          <w:rFonts w:ascii="Calibri" w:hAnsi="Calibri" w:cs="Calibri"/>
          <w:sz w:val="22"/>
          <w:highlight w:val="yellow"/>
        </w:rPr>
        <w:tab/>
        <w:t xml:space="preserve">Zhu Z-Y, Yan L-J. Prognostic value of dynamic changes in C-reactive protein to albumin ratio in patients with acute-on-chronic liver failure. </w:t>
      </w:r>
      <w:r w:rsidRPr="00D65CE8">
        <w:rPr>
          <w:rFonts w:ascii="Calibri" w:hAnsi="Calibri" w:cs="Calibri"/>
          <w:i/>
          <w:iCs/>
          <w:sz w:val="22"/>
          <w:highlight w:val="yellow"/>
        </w:rPr>
        <w:t>World J Hepatol</w:t>
      </w:r>
      <w:r w:rsidRPr="00D65CE8">
        <w:rPr>
          <w:rFonts w:ascii="Calibri" w:hAnsi="Calibri" w:cs="Calibri"/>
          <w:sz w:val="22"/>
          <w:highlight w:val="yellow"/>
        </w:rPr>
        <w:t>; 17. Epub ahead of print 27 September 2025. DOI: 10.4254/wjh.v17.i9.110652.</w:t>
      </w:r>
    </w:p>
    <w:p w14:paraId="1D1F944D" w14:textId="77777777" w:rsidR="00D65CE8" w:rsidRPr="00D65CE8" w:rsidRDefault="00D65CE8" w:rsidP="00D65CE8">
      <w:pPr>
        <w:pStyle w:val="Bibliographie"/>
        <w:rPr>
          <w:rFonts w:ascii="Calibri" w:hAnsi="Calibri" w:cs="Calibri"/>
          <w:sz w:val="22"/>
        </w:rPr>
      </w:pPr>
      <w:r w:rsidRPr="00D65CE8">
        <w:rPr>
          <w:rFonts w:ascii="Calibri" w:hAnsi="Calibri" w:cs="Calibri"/>
          <w:sz w:val="22"/>
          <w:highlight w:val="yellow"/>
        </w:rPr>
        <w:t xml:space="preserve">11. </w:t>
      </w:r>
      <w:r w:rsidRPr="00D65CE8">
        <w:rPr>
          <w:rFonts w:ascii="Calibri" w:hAnsi="Calibri" w:cs="Calibri"/>
          <w:sz w:val="22"/>
          <w:highlight w:val="yellow"/>
        </w:rPr>
        <w:tab/>
        <w:t xml:space="preserve">Navadurong H, Thanapirom K, Wejnaruemarn S, et al. Validation of the albumin-bilirubin score for identifying decompensation risk in patients with compensated cirrhosis. </w:t>
      </w:r>
      <w:r w:rsidRPr="00D65CE8">
        <w:rPr>
          <w:rFonts w:ascii="Calibri" w:hAnsi="Calibri" w:cs="Calibri"/>
          <w:i/>
          <w:iCs/>
          <w:sz w:val="22"/>
          <w:highlight w:val="yellow"/>
        </w:rPr>
        <w:t>World J Gastroenterol</w:t>
      </w:r>
      <w:r w:rsidRPr="00D65CE8">
        <w:rPr>
          <w:rFonts w:ascii="Calibri" w:hAnsi="Calibri" w:cs="Calibri"/>
          <w:sz w:val="22"/>
          <w:highlight w:val="yellow"/>
        </w:rPr>
        <w:t xml:space="preserve"> 2023; 29: 4873–4882.</w:t>
      </w:r>
    </w:p>
    <w:p w14:paraId="5F8916A7" w14:textId="77777777" w:rsidR="00D65CE8" w:rsidRPr="00D65CE8" w:rsidRDefault="00D65CE8" w:rsidP="00D65CE8">
      <w:pPr>
        <w:pStyle w:val="Bibliographie"/>
        <w:rPr>
          <w:rFonts w:ascii="Calibri" w:hAnsi="Calibri" w:cs="Calibri"/>
          <w:sz w:val="22"/>
        </w:rPr>
      </w:pPr>
      <w:r w:rsidRPr="00D65CE8">
        <w:rPr>
          <w:rFonts w:ascii="Calibri" w:hAnsi="Calibri" w:cs="Calibri"/>
          <w:sz w:val="22"/>
        </w:rPr>
        <w:t xml:space="preserve">12. </w:t>
      </w:r>
      <w:r w:rsidRPr="00D65CE8">
        <w:rPr>
          <w:rFonts w:ascii="Calibri" w:hAnsi="Calibri" w:cs="Calibri"/>
          <w:sz w:val="22"/>
        </w:rPr>
        <w:tab/>
        <w:t xml:space="preserve">Fragaki M. Comparative evaluation of ALBI, MELD, and Child-Pugh scores in prognosis of cirrhosis: is ALBI the new alternative? </w:t>
      </w:r>
      <w:r w:rsidRPr="00D65CE8">
        <w:rPr>
          <w:rFonts w:ascii="Calibri" w:hAnsi="Calibri" w:cs="Calibri"/>
          <w:i/>
          <w:iCs/>
          <w:sz w:val="22"/>
        </w:rPr>
        <w:t>aog</w:t>
      </w:r>
      <w:r w:rsidRPr="00D65CE8">
        <w:rPr>
          <w:rFonts w:ascii="Calibri" w:hAnsi="Calibri" w:cs="Calibri"/>
          <w:sz w:val="22"/>
        </w:rPr>
        <w:t>. Epub ahead of print 2019. DOI: 10.20524/aog.2019.0417.</w:t>
      </w:r>
    </w:p>
    <w:p w14:paraId="2936E5DA" w14:textId="77777777" w:rsidR="00D65CE8" w:rsidRPr="00D65CE8" w:rsidRDefault="00D65CE8" w:rsidP="00D65CE8">
      <w:pPr>
        <w:pStyle w:val="Bibliographie"/>
        <w:rPr>
          <w:rFonts w:ascii="Calibri" w:hAnsi="Calibri" w:cs="Calibri"/>
          <w:sz w:val="22"/>
          <w:highlight w:val="yellow"/>
        </w:rPr>
      </w:pPr>
      <w:r w:rsidRPr="00D65CE8">
        <w:rPr>
          <w:rFonts w:ascii="Calibri" w:hAnsi="Calibri" w:cs="Calibri"/>
          <w:sz w:val="22"/>
          <w:highlight w:val="yellow"/>
        </w:rPr>
        <w:t xml:space="preserve">13. </w:t>
      </w:r>
      <w:r w:rsidRPr="00D65CE8">
        <w:rPr>
          <w:rFonts w:ascii="Calibri" w:hAnsi="Calibri" w:cs="Calibri"/>
          <w:sz w:val="22"/>
          <w:highlight w:val="yellow"/>
        </w:rPr>
        <w:tab/>
        <w:t xml:space="preserve">Ding W, Shen J, Zhang L, et al. A nomogram model based on albumin-bilirubin score for predicting 90-day prognosis in patients with acute-on-chronic liver failure. </w:t>
      </w:r>
      <w:r w:rsidRPr="00D65CE8">
        <w:rPr>
          <w:rFonts w:ascii="Calibri" w:hAnsi="Calibri" w:cs="Calibri"/>
          <w:i/>
          <w:iCs/>
          <w:sz w:val="22"/>
          <w:highlight w:val="yellow"/>
        </w:rPr>
        <w:t>Front Med</w:t>
      </w:r>
      <w:r w:rsidRPr="00D65CE8">
        <w:rPr>
          <w:rFonts w:ascii="Calibri" w:hAnsi="Calibri" w:cs="Calibri"/>
          <w:sz w:val="22"/>
          <w:highlight w:val="yellow"/>
        </w:rPr>
        <w:t xml:space="preserve"> 2025; 11: 1406275.</w:t>
      </w:r>
    </w:p>
    <w:p w14:paraId="3A1CA63A" w14:textId="77777777" w:rsidR="00D65CE8" w:rsidRPr="00D65CE8" w:rsidRDefault="00D65CE8" w:rsidP="00D65CE8">
      <w:pPr>
        <w:pStyle w:val="Bibliographie"/>
        <w:rPr>
          <w:rFonts w:ascii="Calibri" w:hAnsi="Calibri" w:cs="Calibri"/>
          <w:sz w:val="22"/>
          <w:highlight w:val="yellow"/>
        </w:rPr>
      </w:pPr>
      <w:r w:rsidRPr="00D65CE8">
        <w:rPr>
          <w:rFonts w:ascii="Calibri" w:hAnsi="Calibri" w:cs="Calibri"/>
          <w:sz w:val="22"/>
          <w:highlight w:val="yellow"/>
        </w:rPr>
        <w:t xml:space="preserve">14. </w:t>
      </w:r>
      <w:r w:rsidRPr="00D65CE8">
        <w:rPr>
          <w:rFonts w:ascii="Calibri" w:hAnsi="Calibri" w:cs="Calibri"/>
          <w:sz w:val="22"/>
          <w:highlight w:val="yellow"/>
        </w:rPr>
        <w:tab/>
        <w:t xml:space="preserve">Chen C-W, Kuo C-J, Lee C-W, et al. Albumin-Bilirubin Grade as a Novel Predictor of the Development and Short-Term Survival of Post-Banding Ulcer Bleeding Following Endoscopic Variceal Ligation in Cirrhotic Patients. </w:t>
      </w:r>
      <w:r w:rsidRPr="00D65CE8">
        <w:rPr>
          <w:rFonts w:ascii="Calibri" w:hAnsi="Calibri" w:cs="Calibri"/>
          <w:i/>
          <w:iCs/>
          <w:sz w:val="22"/>
          <w:highlight w:val="yellow"/>
        </w:rPr>
        <w:t>Medicina</w:t>
      </w:r>
      <w:r w:rsidRPr="00D65CE8">
        <w:rPr>
          <w:rFonts w:ascii="Calibri" w:hAnsi="Calibri" w:cs="Calibri"/>
          <w:sz w:val="22"/>
          <w:highlight w:val="yellow"/>
        </w:rPr>
        <w:t xml:space="preserve"> 2022; 58: 1836.</w:t>
      </w:r>
    </w:p>
    <w:p w14:paraId="7821C43A" w14:textId="77777777" w:rsidR="00D65CE8" w:rsidRPr="00D65CE8" w:rsidRDefault="00D65CE8" w:rsidP="00D65CE8">
      <w:pPr>
        <w:pStyle w:val="Bibliographie"/>
        <w:rPr>
          <w:rFonts w:ascii="Calibri" w:hAnsi="Calibri" w:cs="Calibri"/>
          <w:sz w:val="22"/>
          <w:lang w:val="fr-FR"/>
        </w:rPr>
      </w:pPr>
      <w:r w:rsidRPr="00D65CE8">
        <w:rPr>
          <w:rFonts w:ascii="Calibri" w:hAnsi="Calibri" w:cs="Calibri"/>
          <w:sz w:val="22"/>
          <w:highlight w:val="yellow"/>
        </w:rPr>
        <w:t xml:space="preserve">15. </w:t>
      </w:r>
      <w:r w:rsidRPr="00D65CE8">
        <w:rPr>
          <w:rFonts w:ascii="Calibri" w:hAnsi="Calibri" w:cs="Calibri"/>
          <w:sz w:val="22"/>
          <w:highlight w:val="yellow"/>
        </w:rPr>
        <w:tab/>
        <w:t xml:space="preserve">Gao N, Yuan P, Tang Z-M, et al. Monomeric C-reactive protein is associated with severity and prognosis of decompensated hepatitis B cirrhosis. </w:t>
      </w:r>
      <w:r w:rsidRPr="00D65CE8">
        <w:rPr>
          <w:rFonts w:ascii="Calibri" w:hAnsi="Calibri" w:cs="Calibri"/>
          <w:i/>
          <w:iCs/>
          <w:sz w:val="22"/>
          <w:highlight w:val="yellow"/>
          <w:lang w:val="fr-FR"/>
        </w:rPr>
        <w:t>Front Immunol</w:t>
      </w:r>
      <w:r w:rsidRPr="00D65CE8">
        <w:rPr>
          <w:rFonts w:ascii="Calibri" w:hAnsi="Calibri" w:cs="Calibri"/>
          <w:sz w:val="22"/>
          <w:highlight w:val="yellow"/>
          <w:lang w:val="fr-FR"/>
        </w:rPr>
        <w:t xml:space="preserve"> 2024; 15: 1407768.</w:t>
      </w:r>
    </w:p>
    <w:p w14:paraId="4271D803" w14:textId="77777777" w:rsidR="00D65CE8" w:rsidRPr="00D65CE8" w:rsidRDefault="00D65CE8" w:rsidP="00D65CE8">
      <w:pPr>
        <w:pStyle w:val="Bibliographie"/>
        <w:rPr>
          <w:rFonts w:ascii="Calibri" w:hAnsi="Calibri" w:cs="Calibri"/>
          <w:sz w:val="22"/>
        </w:rPr>
      </w:pPr>
      <w:r w:rsidRPr="00D65CE8">
        <w:rPr>
          <w:rFonts w:ascii="Calibri" w:hAnsi="Calibri" w:cs="Calibri"/>
          <w:sz w:val="22"/>
          <w:highlight w:val="yellow"/>
          <w:lang w:val="fr-FR"/>
        </w:rPr>
        <w:lastRenderedPageBreak/>
        <w:t xml:space="preserve">16. </w:t>
      </w:r>
      <w:r w:rsidRPr="00D65CE8">
        <w:rPr>
          <w:rFonts w:ascii="Calibri" w:hAnsi="Calibri" w:cs="Calibri"/>
          <w:sz w:val="22"/>
          <w:highlight w:val="yellow"/>
          <w:lang w:val="fr-FR"/>
        </w:rPr>
        <w:tab/>
        <w:t xml:space="preserve">Zanetto A, Pelizzaro F, Campello E, et al. </w:t>
      </w:r>
      <w:r w:rsidRPr="00D65CE8">
        <w:rPr>
          <w:rFonts w:ascii="Calibri" w:hAnsi="Calibri" w:cs="Calibri"/>
          <w:sz w:val="22"/>
          <w:highlight w:val="yellow"/>
        </w:rPr>
        <w:t xml:space="preserve">Severity of systemic inflammation is the main predictor of ACLF and bleeding in individuals with acutely decompensated cirrhosis. </w:t>
      </w:r>
      <w:r w:rsidRPr="00D65CE8">
        <w:rPr>
          <w:rFonts w:ascii="Calibri" w:hAnsi="Calibri" w:cs="Calibri"/>
          <w:i/>
          <w:iCs/>
          <w:sz w:val="22"/>
          <w:highlight w:val="yellow"/>
        </w:rPr>
        <w:t>Journal of Hepatology</w:t>
      </w:r>
      <w:r w:rsidRPr="00D65CE8">
        <w:rPr>
          <w:rFonts w:ascii="Calibri" w:hAnsi="Calibri" w:cs="Calibri"/>
          <w:sz w:val="22"/>
          <w:highlight w:val="yellow"/>
        </w:rPr>
        <w:t xml:space="preserve"> 2023; 78: 301–311.</w:t>
      </w:r>
    </w:p>
    <w:p w14:paraId="2478B6FF" w14:textId="77777777" w:rsidR="00D65CE8" w:rsidRPr="00D65CE8" w:rsidRDefault="00D65CE8" w:rsidP="00D65CE8">
      <w:pPr>
        <w:pStyle w:val="Bibliographie"/>
        <w:rPr>
          <w:rFonts w:ascii="Calibri" w:hAnsi="Calibri" w:cs="Calibri"/>
          <w:sz w:val="22"/>
          <w:lang w:val="fr-FR"/>
        </w:rPr>
      </w:pPr>
      <w:r w:rsidRPr="00D65CE8">
        <w:rPr>
          <w:rFonts w:ascii="Calibri" w:hAnsi="Calibri" w:cs="Calibri"/>
          <w:sz w:val="22"/>
        </w:rPr>
        <w:t xml:space="preserve">17. </w:t>
      </w:r>
      <w:r w:rsidRPr="00D65CE8">
        <w:rPr>
          <w:rFonts w:ascii="Calibri" w:hAnsi="Calibri" w:cs="Calibri"/>
          <w:sz w:val="22"/>
        </w:rPr>
        <w:tab/>
        <w:t xml:space="preserve">Aida T, Haruki K, Akaoka M, et al. A novel combined C-reactive protein-albumin ratio and modified albumin-bilirubin score can predict long-term outcomes in patients with hepatocellular carcinoma after hepatic resection. </w:t>
      </w:r>
      <w:r w:rsidRPr="00D65CE8">
        <w:rPr>
          <w:rFonts w:ascii="Calibri" w:hAnsi="Calibri" w:cs="Calibri"/>
          <w:i/>
          <w:iCs/>
          <w:sz w:val="22"/>
          <w:lang w:val="fr-FR"/>
        </w:rPr>
        <w:t>Ann Gastroenterol Surg</w:t>
      </w:r>
      <w:r w:rsidRPr="00D65CE8">
        <w:rPr>
          <w:rFonts w:ascii="Calibri" w:hAnsi="Calibri" w:cs="Calibri"/>
          <w:sz w:val="22"/>
          <w:lang w:val="fr-FR"/>
        </w:rPr>
        <w:t xml:space="preserve"> 2024; 8: 143–150.</w:t>
      </w:r>
    </w:p>
    <w:p w14:paraId="0ED1AF5C" w14:textId="46110830" w:rsidR="004D4277" w:rsidRPr="009661B8" w:rsidRDefault="008D093E" w:rsidP="00D65CE8">
      <w:pPr>
        <w:pStyle w:val="Bibliographie"/>
        <w:rPr>
          <w:rFonts w:ascii="Arial" w:hAnsi="Arial" w:cs="Arial"/>
        </w:rPr>
        <w:sectPr w:rsidR="004D4277" w:rsidRPr="009661B8" w:rsidSect="003C460E">
          <w:headerReference w:type="even" r:id="rId15"/>
          <w:headerReference w:type="default" r:id="rId16"/>
          <w:footerReference w:type="default" r:id="rId17"/>
          <w:headerReference w:type="first" r:id="rId18"/>
          <w:type w:val="continuous"/>
          <w:pgSz w:w="12240" w:h="15840"/>
          <w:pgMar w:top="1440" w:right="2016" w:bottom="2016" w:left="2016" w:header="720" w:footer="1123" w:gutter="0"/>
          <w:cols w:space="720"/>
          <w:docGrid w:linePitch="272"/>
        </w:sectPr>
      </w:pPr>
      <w:r w:rsidRPr="008D093E">
        <w:rPr>
          <w:rFonts w:ascii="Calibri" w:hAnsi="Calibri" w:cs="Calibri"/>
          <w:sz w:val="22"/>
          <w:szCs w:val="22"/>
          <w:lang w:eastAsia="fr-FR"/>
        </w:rPr>
        <w:fldChar w:fldCharType="end"/>
      </w:r>
    </w:p>
    <w:p w14:paraId="1D41027D" w14:textId="77777777" w:rsidR="00B01FCD" w:rsidRPr="00FB3A86" w:rsidRDefault="00B01FCD" w:rsidP="00441B6F">
      <w:pPr>
        <w:pStyle w:val="Appendix"/>
        <w:spacing w:after="0"/>
        <w:jc w:val="both"/>
        <w:rPr>
          <w:rFonts w:ascii="Arial" w:hAnsi="Arial" w:cs="Arial"/>
          <w:b w:val="0"/>
        </w:rPr>
      </w:pPr>
    </w:p>
    <w:sectPr w:rsidR="00B01FCD" w:rsidRPr="00FB3A86" w:rsidSect="003C460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4BA18" w14:textId="77777777" w:rsidR="00C6241D" w:rsidRDefault="00C6241D" w:rsidP="00C37E61">
      <w:r>
        <w:separator/>
      </w:r>
    </w:p>
  </w:endnote>
  <w:endnote w:type="continuationSeparator" w:id="0">
    <w:p w14:paraId="539CC72E" w14:textId="77777777" w:rsidR="00C6241D" w:rsidRDefault="00C6241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AD88B" w14:textId="77777777" w:rsidR="003C460E" w:rsidRDefault="003C460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582EA" w14:textId="77777777" w:rsidR="003C460E" w:rsidRDefault="003C460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D2ACC" w14:textId="3051FCC7" w:rsidR="00754C9A" w:rsidRPr="003C460E" w:rsidRDefault="00754C9A" w:rsidP="003C460E">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4D6F3" w14:textId="77777777" w:rsidR="00C37E61" w:rsidRPr="00C37E61" w:rsidRDefault="00C37E61"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39CA9" w14:textId="77777777" w:rsidR="00C6241D" w:rsidRDefault="00C6241D" w:rsidP="00C37E61">
      <w:r>
        <w:separator/>
      </w:r>
    </w:p>
  </w:footnote>
  <w:footnote w:type="continuationSeparator" w:id="0">
    <w:p w14:paraId="5ADD8B95" w14:textId="77777777" w:rsidR="00C6241D" w:rsidRDefault="00C6241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36D2E" w14:textId="78BA3711" w:rsidR="003C460E" w:rsidRDefault="00C6241D">
    <w:pPr>
      <w:pStyle w:val="En-tte"/>
    </w:pPr>
    <w:r>
      <w:rPr>
        <w:noProof/>
      </w:rPr>
      <w:pict w14:anchorId="2E863F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534376" o:spid="_x0000_s1030"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00E69" w14:textId="1EA1D985" w:rsidR="003C460E" w:rsidRDefault="00C6241D">
    <w:pPr>
      <w:pStyle w:val="En-tte"/>
    </w:pPr>
    <w:r>
      <w:rPr>
        <w:noProof/>
      </w:rPr>
      <w:pict w14:anchorId="0F35F6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534377" o:spid="_x0000_s1029"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B71A6" w14:textId="650F26F6" w:rsidR="00296529" w:rsidRPr="00296529" w:rsidRDefault="00C6241D" w:rsidP="00296529">
    <w:pPr>
      <w:ind w:left="2160"/>
      <w:jc w:val="center"/>
      <w:rPr>
        <w:rFonts w:ascii="Times New Roman" w:eastAsia="Calibri" w:hAnsi="Times New Roman"/>
        <w:i/>
        <w:sz w:val="18"/>
        <w:szCs w:val="22"/>
      </w:rPr>
    </w:pPr>
    <w:r>
      <w:rPr>
        <w:noProof/>
      </w:rPr>
      <w:pict w14:anchorId="132118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534375" o:spid="_x0000_s1028"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09E3D89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4F969F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F639A72"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B29069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FEDCBF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0B64354" w14:textId="77777777" w:rsidR="00296529" w:rsidRDefault="00754C9A">
    <w:pPr>
      <w:pStyle w:val="En-tte"/>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5C0AF" w14:textId="094BA611" w:rsidR="003C460E" w:rsidRDefault="00C6241D">
    <w:pPr>
      <w:pStyle w:val="En-tte"/>
    </w:pPr>
    <w:r>
      <w:rPr>
        <w:noProof/>
      </w:rPr>
      <w:pict w14:anchorId="345A6F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534379" o:spid="_x0000_s1027"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9C5A5" w14:textId="4B982073" w:rsidR="003C460E" w:rsidRDefault="00C6241D">
    <w:pPr>
      <w:pStyle w:val="En-tte"/>
    </w:pPr>
    <w:r>
      <w:rPr>
        <w:noProof/>
      </w:rPr>
      <w:pict w14:anchorId="3ECC13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534380" o:spid="_x0000_s1026"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ACDC4" w14:textId="4788D19E" w:rsidR="003C460E" w:rsidRDefault="00C6241D">
    <w:pPr>
      <w:pStyle w:val="En-tte"/>
    </w:pPr>
    <w:r>
      <w:rPr>
        <w:noProof/>
      </w:rPr>
      <w:pict w14:anchorId="5FF1B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534378" o:spid="_x0000_s1025"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E12981"/>
    <w:multiLevelType w:val="multilevel"/>
    <w:tmpl w:val="034CF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9DB406F"/>
    <w:multiLevelType w:val="multilevel"/>
    <w:tmpl w:val="5DA63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6376136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66688812">
    <w:abstractNumId w:val="17"/>
  </w:num>
  <w:num w:numId="3" w16cid:durableId="846947402">
    <w:abstractNumId w:val="25"/>
  </w:num>
  <w:num w:numId="4" w16cid:durableId="16648334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81362965">
    <w:abstractNumId w:val="9"/>
  </w:num>
  <w:num w:numId="6" w16cid:durableId="1081489030">
    <w:abstractNumId w:val="8"/>
  </w:num>
  <w:num w:numId="7" w16cid:durableId="874466094">
    <w:abstractNumId w:val="1"/>
  </w:num>
  <w:num w:numId="8" w16cid:durableId="962924150">
    <w:abstractNumId w:val="14"/>
  </w:num>
  <w:num w:numId="9" w16cid:durableId="792210468">
    <w:abstractNumId w:val="27"/>
  </w:num>
  <w:num w:numId="10" w16cid:durableId="673456820">
    <w:abstractNumId w:val="2"/>
  </w:num>
  <w:num w:numId="11" w16cid:durableId="1290743137">
    <w:abstractNumId w:val="20"/>
  </w:num>
  <w:num w:numId="12" w16cid:durableId="2128743246">
    <w:abstractNumId w:val="4"/>
  </w:num>
  <w:num w:numId="13" w16cid:durableId="1389182557">
    <w:abstractNumId w:val="19"/>
  </w:num>
  <w:num w:numId="14" w16cid:durableId="823550763">
    <w:abstractNumId w:val="10"/>
  </w:num>
  <w:num w:numId="15" w16cid:durableId="1270814025">
    <w:abstractNumId w:val="23"/>
  </w:num>
  <w:num w:numId="16" w16cid:durableId="1611890662">
    <w:abstractNumId w:val="6"/>
  </w:num>
  <w:num w:numId="17" w16cid:durableId="330841364">
    <w:abstractNumId w:val="24"/>
  </w:num>
  <w:num w:numId="18" w16cid:durableId="1249467310">
    <w:abstractNumId w:val="16"/>
  </w:num>
  <w:num w:numId="19" w16cid:durableId="1062295184">
    <w:abstractNumId w:val="30"/>
  </w:num>
  <w:num w:numId="20" w16cid:durableId="204102612">
    <w:abstractNumId w:val="13"/>
  </w:num>
  <w:num w:numId="21" w16cid:durableId="1261841867">
    <w:abstractNumId w:val="11"/>
  </w:num>
  <w:num w:numId="22" w16cid:durableId="1708529620">
    <w:abstractNumId w:val="15"/>
  </w:num>
  <w:num w:numId="23" w16cid:durableId="2112971306">
    <w:abstractNumId w:val="21"/>
  </w:num>
  <w:num w:numId="24" w16cid:durableId="520317157">
    <w:abstractNumId w:val="28"/>
  </w:num>
  <w:num w:numId="25" w16cid:durableId="2081521152">
    <w:abstractNumId w:val="5"/>
  </w:num>
  <w:num w:numId="26" w16cid:durableId="303170118">
    <w:abstractNumId w:val="18"/>
  </w:num>
  <w:num w:numId="27" w16cid:durableId="2054649043">
    <w:abstractNumId w:val="22"/>
  </w:num>
  <w:num w:numId="28" w16cid:durableId="1944458788">
    <w:abstractNumId w:val="29"/>
  </w:num>
  <w:num w:numId="29" w16cid:durableId="159933790">
    <w:abstractNumId w:val="26"/>
  </w:num>
  <w:num w:numId="30" w16cid:durableId="1556550390">
    <w:abstractNumId w:val="12"/>
  </w:num>
  <w:num w:numId="31" w16cid:durableId="1310162358">
    <w:abstractNumId w:val="7"/>
  </w:num>
  <w:num w:numId="32" w16cid:durableId="6440895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A6219"/>
    <w:rsid w:val="00000F8F"/>
    <w:rsid w:val="00030174"/>
    <w:rsid w:val="0004579C"/>
    <w:rsid w:val="000662D1"/>
    <w:rsid w:val="000A47FA"/>
    <w:rsid w:val="000A65D3"/>
    <w:rsid w:val="000B1E33"/>
    <w:rsid w:val="000D689F"/>
    <w:rsid w:val="000E7B7B"/>
    <w:rsid w:val="000E7D62"/>
    <w:rsid w:val="00103357"/>
    <w:rsid w:val="00122E4D"/>
    <w:rsid w:val="00123C9F"/>
    <w:rsid w:val="00126190"/>
    <w:rsid w:val="00130F17"/>
    <w:rsid w:val="001320BF"/>
    <w:rsid w:val="00134EE8"/>
    <w:rsid w:val="00163BC4"/>
    <w:rsid w:val="00163CA9"/>
    <w:rsid w:val="00191062"/>
    <w:rsid w:val="00192B72"/>
    <w:rsid w:val="00194B6D"/>
    <w:rsid w:val="001A29D8"/>
    <w:rsid w:val="001A5CAA"/>
    <w:rsid w:val="001B0427"/>
    <w:rsid w:val="001C3BE5"/>
    <w:rsid w:val="001D3A51"/>
    <w:rsid w:val="001E10D2"/>
    <w:rsid w:val="001E25B4"/>
    <w:rsid w:val="001E44FE"/>
    <w:rsid w:val="00200595"/>
    <w:rsid w:val="00204835"/>
    <w:rsid w:val="00231920"/>
    <w:rsid w:val="0023195C"/>
    <w:rsid w:val="0023680F"/>
    <w:rsid w:val="0024282C"/>
    <w:rsid w:val="002460DC"/>
    <w:rsid w:val="00250985"/>
    <w:rsid w:val="002556F6"/>
    <w:rsid w:val="00283105"/>
    <w:rsid w:val="00284C4C"/>
    <w:rsid w:val="002864F3"/>
    <w:rsid w:val="00287E68"/>
    <w:rsid w:val="00296529"/>
    <w:rsid w:val="002B27FB"/>
    <w:rsid w:val="002B685A"/>
    <w:rsid w:val="002C57D2"/>
    <w:rsid w:val="002E0D56"/>
    <w:rsid w:val="002E7D1F"/>
    <w:rsid w:val="00315186"/>
    <w:rsid w:val="0033343E"/>
    <w:rsid w:val="003512C2"/>
    <w:rsid w:val="00371FB6"/>
    <w:rsid w:val="00373268"/>
    <w:rsid w:val="003763C1"/>
    <w:rsid w:val="00376BBE"/>
    <w:rsid w:val="0039224F"/>
    <w:rsid w:val="003A1541"/>
    <w:rsid w:val="003A33F8"/>
    <w:rsid w:val="003A43A4"/>
    <w:rsid w:val="003A7E18"/>
    <w:rsid w:val="003B2518"/>
    <w:rsid w:val="003C460E"/>
    <w:rsid w:val="003C4C86"/>
    <w:rsid w:val="003C6258"/>
    <w:rsid w:val="003E2904"/>
    <w:rsid w:val="003F0405"/>
    <w:rsid w:val="00401927"/>
    <w:rsid w:val="0041027F"/>
    <w:rsid w:val="00412475"/>
    <w:rsid w:val="00423789"/>
    <w:rsid w:val="004355AB"/>
    <w:rsid w:val="00440F43"/>
    <w:rsid w:val="00441B6F"/>
    <w:rsid w:val="00446221"/>
    <w:rsid w:val="00450E62"/>
    <w:rsid w:val="004539DB"/>
    <w:rsid w:val="00470167"/>
    <w:rsid w:val="00471A80"/>
    <w:rsid w:val="00481A22"/>
    <w:rsid w:val="004A2B84"/>
    <w:rsid w:val="004D305E"/>
    <w:rsid w:val="004D4277"/>
    <w:rsid w:val="00502516"/>
    <w:rsid w:val="00505F06"/>
    <w:rsid w:val="00506828"/>
    <w:rsid w:val="0053056E"/>
    <w:rsid w:val="005461AD"/>
    <w:rsid w:val="005522B3"/>
    <w:rsid w:val="00554FDA"/>
    <w:rsid w:val="0055685D"/>
    <w:rsid w:val="005B3136"/>
    <w:rsid w:val="005C784C"/>
    <w:rsid w:val="005D17F6"/>
    <w:rsid w:val="005E5539"/>
    <w:rsid w:val="005F06E6"/>
    <w:rsid w:val="005F7F97"/>
    <w:rsid w:val="00602BF5"/>
    <w:rsid w:val="00617FDD"/>
    <w:rsid w:val="0063222E"/>
    <w:rsid w:val="00633614"/>
    <w:rsid w:val="00633F68"/>
    <w:rsid w:val="00636EB2"/>
    <w:rsid w:val="006375B8"/>
    <w:rsid w:val="0066510A"/>
    <w:rsid w:val="00673F9F"/>
    <w:rsid w:val="00676336"/>
    <w:rsid w:val="00686953"/>
    <w:rsid w:val="00687DEA"/>
    <w:rsid w:val="00687E67"/>
    <w:rsid w:val="006916AE"/>
    <w:rsid w:val="006967F7"/>
    <w:rsid w:val="006A250C"/>
    <w:rsid w:val="006A48D2"/>
    <w:rsid w:val="006B21D3"/>
    <w:rsid w:val="006B57D0"/>
    <w:rsid w:val="006D30FF"/>
    <w:rsid w:val="006D6940"/>
    <w:rsid w:val="006F11EC"/>
    <w:rsid w:val="0070082C"/>
    <w:rsid w:val="0073612A"/>
    <w:rsid w:val="007369E6"/>
    <w:rsid w:val="00746E59"/>
    <w:rsid w:val="00754C9A"/>
    <w:rsid w:val="0075599A"/>
    <w:rsid w:val="00761D52"/>
    <w:rsid w:val="0077749E"/>
    <w:rsid w:val="00790ADA"/>
    <w:rsid w:val="007D2288"/>
    <w:rsid w:val="007E088F"/>
    <w:rsid w:val="007F669B"/>
    <w:rsid w:val="007F7B32"/>
    <w:rsid w:val="00804BC2"/>
    <w:rsid w:val="0081431A"/>
    <w:rsid w:val="0083216F"/>
    <w:rsid w:val="00860000"/>
    <w:rsid w:val="00863BD3"/>
    <w:rsid w:val="008641ED"/>
    <w:rsid w:val="00866D66"/>
    <w:rsid w:val="008671C6"/>
    <w:rsid w:val="00875803"/>
    <w:rsid w:val="008A0879"/>
    <w:rsid w:val="008A577A"/>
    <w:rsid w:val="008B459E"/>
    <w:rsid w:val="008D093E"/>
    <w:rsid w:val="008E13AE"/>
    <w:rsid w:val="008E1506"/>
    <w:rsid w:val="008E710C"/>
    <w:rsid w:val="008F69D6"/>
    <w:rsid w:val="00902823"/>
    <w:rsid w:val="00915CA6"/>
    <w:rsid w:val="00927834"/>
    <w:rsid w:val="009500A6"/>
    <w:rsid w:val="00957C18"/>
    <w:rsid w:val="009659BA"/>
    <w:rsid w:val="009661B8"/>
    <w:rsid w:val="00983040"/>
    <w:rsid w:val="00994DC0"/>
    <w:rsid w:val="009B3FB9"/>
    <w:rsid w:val="009C2465"/>
    <w:rsid w:val="009D35A0"/>
    <w:rsid w:val="009D7EB7"/>
    <w:rsid w:val="009E048A"/>
    <w:rsid w:val="009E08E9"/>
    <w:rsid w:val="009E35AE"/>
    <w:rsid w:val="009E3DB9"/>
    <w:rsid w:val="009E6E35"/>
    <w:rsid w:val="009F0EDA"/>
    <w:rsid w:val="00A03B96"/>
    <w:rsid w:val="00A05B19"/>
    <w:rsid w:val="00A1134E"/>
    <w:rsid w:val="00A24E7E"/>
    <w:rsid w:val="00A258C3"/>
    <w:rsid w:val="00A347C0"/>
    <w:rsid w:val="00A51431"/>
    <w:rsid w:val="00A539AD"/>
    <w:rsid w:val="00A60675"/>
    <w:rsid w:val="00A94063"/>
    <w:rsid w:val="00AA6219"/>
    <w:rsid w:val="00AA74E0"/>
    <w:rsid w:val="00AB703F"/>
    <w:rsid w:val="00AC6BB8"/>
    <w:rsid w:val="00AD06E9"/>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07265"/>
    <w:rsid w:val="00C166EF"/>
    <w:rsid w:val="00C17EB0"/>
    <w:rsid w:val="00C27F5F"/>
    <w:rsid w:val="00C30A0F"/>
    <w:rsid w:val="00C37E61"/>
    <w:rsid w:val="00C6241D"/>
    <w:rsid w:val="00C70F1B"/>
    <w:rsid w:val="00C71A47"/>
    <w:rsid w:val="00C7464C"/>
    <w:rsid w:val="00C85588"/>
    <w:rsid w:val="00CA3C25"/>
    <w:rsid w:val="00CD6755"/>
    <w:rsid w:val="00CD6856"/>
    <w:rsid w:val="00CE0089"/>
    <w:rsid w:val="00CE793C"/>
    <w:rsid w:val="00CF193C"/>
    <w:rsid w:val="00D12D3B"/>
    <w:rsid w:val="00D173F1"/>
    <w:rsid w:val="00D34A00"/>
    <w:rsid w:val="00D65CE8"/>
    <w:rsid w:val="00D74CB0"/>
    <w:rsid w:val="00D8295D"/>
    <w:rsid w:val="00D93D81"/>
    <w:rsid w:val="00DC2A65"/>
    <w:rsid w:val="00DC77DE"/>
    <w:rsid w:val="00DE15F0"/>
    <w:rsid w:val="00DE5663"/>
    <w:rsid w:val="00DE78AA"/>
    <w:rsid w:val="00E036CD"/>
    <w:rsid w:val="00E053D0"/>
    <w:rsid w:val="00E11C51"/>
    <w:rsid w:val="00E12864"/>
    <w:rsid w:val="00E15994"/>
    <w:rsid w:val="00E3114E"/>
    <w:rsid w:val="00E31A70"/>
    <w:rsid w:val="00E35B02"/>
    <w:rsid w:val="00E66496"/>
    <w:rsid w:val="00E66B35"/>
    <w:rsid w:val="00E66E10"/>
    <w:rsid w:val="00E769F6"/>
    <w:rsid w:val="00E8407C"/>
    <w:rsid w:val="00E84F3C"/>
    <w:rsid w:val="00E964AE"/>
    <w:rsid w:val="00EA012C"/>
    <w:rsid w:val="00EA45A0"/>
    <w:rsid w:val="00EC6A55"/>
    <w:rsid w:val="00ED0288"/>
    <w:rsid w:val="00ED610E"/>
    <w:rsid w:val="00EE52CB"/>
    <w:rsid w:val="00EF581D"/>
    <w:rsid w:val="00EF7FD8"/>
    <w:rsid w:val="00F06F59"/>
    <w:rsid w:val="00F17988"/>
    <w:rsid w:val="00F426AF"/>
    <w:rsid w:val="00F469F0"/>
    <w:rsid w:val="00F53273"/>
    <w:rsid w:val="00F755E4"/>
    <w:rsid w:val="00F77D02"/>
    <w:rsid w:val="00F82CC9"/>
    <w:rsid w:val="00F84BCA"/>
    <w:rsid w:val="00F866BA"/>
    <w:rsid w:val="00FA4488"/>
    <w:rsid w:val="00FB3A86"/>
    <w:rsid w:val="00FB447C"/>
    <w:rsid w:val="00FD36C8"/>
    <w:rsid w:val="00FD65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rules v:ext="edit">
        <o:r id="V:Rule1" type="connector" idref="#_x0000_s2052"/>
      </o:rules>
    </o:shapelayout>
  </w:shapeDefaults>
  <w:decimalSymbol w:val=","/>
  <w:listSeparator w:val=";"/>
  <w14:docId w14:val="16E6BD6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paragraph" w:styleId="Titre2">
    <w:name w:val="heading 2"/>
    <w:basedOn w:val="Normal"/>
    <w:next w:val="Normal"/>
    <w:link w:val="Titre2Car"/>
    <w:uiPriority w:val="9"/>
    <w:unhideWhenUsed/>
    <w:qFormat/>
    <w:rsid w:val="008A577A"/>
    <w:pPr>
      <w:keepNext/>
      <w:keepLines/>
      <w:spacing w:before="40"/>
      <w:outlineLvl w:val="1"/>
    </w:pPr>
    <w:rPr>
      <w:rFonts w:asciiTheme="majorHAnsi" w:eastAsiaTheme="majorEastAsia" w:hAnsiTheme="majorHAnsi" w:cstheme="majorBidi"/>
      <w:color w:val="365F91" w:themeColor="accent1" w:themeShade="BF"/>
      <w:sz w:val="26"/>
      <w:szCs w:val="26"/>
      <w:lang w:val="fr-M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styleId="Mentionnonrsolue">
    <w:name w:val="Unresolved Mention"/>
    <w:basedOn w:val="Policepardfaut"/>
    <w:uiPriority w:val="99"/>
    <w:semiHidden/>
    <w:unhideWhenUsed/>
    <w:rsid w:val="00287E68"/>
    <w:rPr>
      <w:color w:val="605E5C"/>
      <w:shd w:val="clear" w:color="auto" w:fill="E1DFDD"/>
    </w:rPr>
  </w:style>
  <w:style w:type="character" w:customStyle="1" w:styleId="Titre2Car">
    <w:name w:val="Titre 2 Car"/>
    <w:basedOn w:val="Policepardfaut"/>
    <w:link w:val="Titre2"/>
    <w:uiPriority w:val="9"/>
    <w:rsid w:val="008A577A"/>
    <w:rPr>
      <w:rFonts w:asciiTheme="majorHAnsi" w:eastAsiaTheme="majorEastAsia" w:hAnsiTheme="majorHAnsi" w:cstheme="majorBidi"/>
      <w:color w:val="365F91" w:themeColor="accent1" w:themeShade="BF"/>
      <w:sz w:val="26"/>
      <w:szCs w:val="26"/>
      <w:lang w:val="fr-MA"/>
    </w:rPr>
  </w:style>
  <w:style w:type="paragraph" w:styleId="NormalWeb">
    <w:name w:val="Normal (Web)"/>
    <w:basedOn w:val="Normal"/>
    <w:uiPriority w:val="99"/>
    <w:unhideWhenUsed/>
    <w:rsid w:val="008A577A"/>
    <w:pPr>
      <w:spacing w:before="100" w:beforeAutospacing="1" w:after="100" w:afterAutospacing="1"/>
    </w:pPr>
    <w:rPr>
      <w:rFonts w:ascii="Times New Roman" w:hAnsi="Times New Roman"/>
      <w:sz w:val="24"/>
      <w:szCs w:val="24"/>
      <w:lang w:val="fr-MA" w:eastAsia="fr-FR"/>
    </w:rPr>
  </w:style>
  <w:style w:type="character" w:styleId="lev">
    <w:name w:val="Strong"/>
    <w:basedOn w:val="Policepardfaut"/>
    <w:uiPriority w:val="22"/>
    <w:qFormat/>
    <w:rsid w:val="008A577A"/>
    <w:rPr>
      <w:b/>
      <w:bCs/>
    </w:rPr>
  </w:style>
  <w:style w:type="table" w:styleId="Tableausimple1">
    <w:name w:val="Plain Table 1"/>
    <w:basedOn w:val="TableauNormal"/>
    <w:uiPriority w:val="41"/>
    <w:rsid w:val="00134EE8"/>
    <w:rPr>
      <w:rFonts w:asciiTheme="minorHAnsi" w:eastAsiaTheme="minorHAnsi" w:hAnsiTheme="minorHAnsi" w:cstheme="minorBidi"/>
      <w:sz w:val="24"/>
      <w:szCs w:val="24"/>
      <w:lang w:val="fr-M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diff--ux1av">
    <w:name w:val="diff--ux1av"/>
    <w:basedOn w:val="Policepardfaut"/>
    <w:rsid w:val="00373268"/>
  </w:style>
  <w:style w:type="paragraph" w:styleId="Bibliographie">
    <w:name w:val="Bibliography"/>
    <w:basedOn w:val="Normal"/>
    <w:next w:val="Normal"/>
    <w:uiPriority w:val="37"/>
    <w:unhideWhenUsed/>
    <w:rsid w:val="00AD06E9"/>
    <w:pPr>
      <w:tabs>
        <w:tab w:val="left" w:pos="380"/>
      </w:tabs>
      <w:spacing w:after="240"/>
      <w:ind w:left="384" w:hanging="384"/>
    </w:pPr>
  </w:style>
  <w:style w:type="paragraph" w:customStyle="1" w:styleId="isselectedend">
    <w:name w:val="isselectedend"/>
    <w:basedOn w:val="Normal"/>
    <w:rsid w:val="004A2B84"/>
    <w:pPr>
      <w:spacing w:before="100" w:beforeAutospacing="1" w:after="100" w:afterAutospacing="1"/>
    </w:pPr>
    <w:rPr>
      <w:rFonts w:ascii="Times New Roman" w:hAnsi="Times New Roman"/>
      <w:sz w:val="24"/>
      <w:szCs w:val="24"/>
      <w:lang w:val="fr-M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FEDD0-F8FA-4424-BF7D-C83F21F50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89</TotalTime>
  <Pages>10</Pages>
  <Words>9175</Words>
  <Characters>50467</Characters>
  <Application>Microsoft Office Word</Application>
  <DocSecurity>0</DocSecurity>
  <Lines>420</Lines>
  <Paragraphs>119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59523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benayad.aourarh@gmail.com</cp:lastModifiedBy>
  <cp:revision>74</cp:revision>
  <cp:lastPrinted>1999-07-06T11:00:00Z</cp:lastPrinted>
  <dcterms:created xsi:type="dcterms:W3CDTF">2014-10-25T14:34:00Z</dcterms:created>
  <dcterms:modified xsi:type="dcterms:W3CDTF">2026-03-30T15:05:00Z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zotero-version="8.0.4"&gt;&lt;session id="LjkPKEhg"/&gt;&lt;style id="http://www.zotero.org/styles/sage-vancouver" hasBibliography="1" bibliographyStyleHasBeenSet="1"/&gt;&lt;prefs&gt;&lt;pref name="fieldType" value="Field"/&gt;&lt;/prefs&gt;&lt;/data&gt;</vt:lpwstr>
  </property>
</Properties>
</file>