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5E63" w:rsidRDefault="00431E54" w:rsidP="003060DD">
      <w:pPr>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Original Research Article</w:t>
      </w:r>
    </w:p>
    <w:p w:rsidR="00F15E63" w:rsidRDefault="00431E54" w:rsidP="003060DD">
      <w:pPr>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KNOWLEDGE, ATTITUDE AND PRACTICE (KAP) REGARDING INSULIN USE AMONG PATIENTS WITH DIABETES MELLITUS</w:t>
      </w:r>
    </w:p>
    <w:p w:rsidR="00F15E63" w:rsidRDefault="00F15E63" w:rsidP="003060DD">
      <w:pPr>
        <w:jc w:val="both"/>
        <w:rPr>
          <w:rFonts w:ascii="Times New Roman" w:eastAsia="Times New Roman" w:hAnsi="Times New Roman" w:cs="Times New Roman"/>
          <w:b/>
          <w:bCs/>
          <w:sz w:val="32"/>
          <w:szCs w:val="32"/>
        </w:rPr>
      </w:pPr>
    </w:p>
    <w:p w:rsidR="00F15E63" w:rsidRDefault="00F15E63" w:rsidP="003060DD">
      <w:pPr>
        <w:jc w:val="both"/>
        <w:rPr>
          <w:rFonts w:ascii="Times New Roman" w:eastAsia="Times New Roman" w:hAnsi="Times New Roman" w:cs="Times New Roman"/>
          <w:color w:val="111111"/>
          <w:sz w:val="26"/>
          <w:szCs w:val="26"/>
        </w:rPr>
      </w:pPr>
    </w:p>
    <w:p w:rsidR="00F15E63" w:rsidRDefault="00F15E63" w:rsidP="003060DD">
      <w:pPr>
        <w:jc w:val="both"/>
        <w:rPr>
          <w:rFonts w:ascii="Times New Roman" w:eastAsia="Times New Roman" w:hAnsi="Times New Roman" w:cs="Times New Roman"/>
          <w:color w:val="111111"/>
          <w:sz w:val="26"/>
          <w:szCs w:val="26"/>
        </w:rPr>
      </w:pPr>
    </w:p>
    <w:p w:rsidR="00F15E63" w:rsidRDefault="00431E54" w:rsidP="003060DD">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ABSTRACT</w:t>
      </w:r>
    </w:p>
    <w:p w:rsidR="00F15E63" w:rsidRDefault="00B12D48" w:rsidP="003060DD">
      <w:pPr>
        <w:spacing w:before="240" w:after="240"/>
        <w:jc w:val="both"/>
        <w:rPr>
          <w:rFonts w:ascii="Times New Roman" w:eastAsia="Times New Roman" w:hAnsi="Times New Roman" w:cs="Times New Roman"/>
          <w:sz w:val="24"/>
          <w:szCs w:val="24"/>
        </w:rPr>
      </w:pPr>
      <w:r w:rsidRPr="00B12D48">
        <w:rPr>
          <w:rFonts w:ascii="Times New Roman" w:eastAsia="Times New Roman" w:hAnsi="Times New Roman" w:cs="Times New Roman"/>
          <w:sz w:val="24"/>
          <w:szCs w:val="24"/>
        </w:rPr>
        <w:t>Diabetes mellitus is a chronic metabolic disorder characterized by persistent hyperglycaemia due to defects in insulin secretion, insulin action, or both, and it remains a major global public health challenge, with India contributing a substantial share of the overall disease burden.</w:t>
      </w:r>
      <w:r>
        <w:rPr>
          <w:rFonts w:ascii="Times New Roman" w:eastAsia="Times New Roman" w:hAnsi="Times New Roman" w:cs="Times New Roman"/>
          <w:sz w:val="24"/>
          <w:szCs w:val="24"/>
        </w:rPr>
        <w:t xml:space="preserve"> </w:t>
      </w:r>
      <w:r w:rsidR="00431E54">
        <w:rPr>
          <w:rFonts w:ascii="Times New Roman" w:eastAsia="Times New Roman" w:hAnsi="Times New Roman" w:cs="Times New Roman"/>
          <w:sz w:val="24"/>
          <w:szCs w:val="24"/>
        </w:rPr>
        <w:t>This cross-sectional study assessed the knowledge, attitude, and practice (KAP) regarding insulin use among patients with diabetes mellitus at ESIC Medical College and Hospital, Bangalore (January 2025–January 2026). A structured questionnaire evaluating 4 knowledge, 2 attitude, and 3 practice items (maximum score: 9) was administered to 100 patients on insulin therapy. The mean duration of diabetes was 13.44 ± 6.88 years, and insulin use was 55.37 ± 33.84 months. The mean knowledge, attitude, practice, and total KAP scores were 1.45 ± 0.91, 1.01 ± 0.64, 1.35 ± 0.81, and 3.81 ± 1.45, respectively. Only 6% of participants knew correct insulin storage, while safe needle reuse and proper disposal were observed in 37% and 45% of patients, respectively. Significant gaps in knowledge and practices were identified despite moderate attitude scores. These findings highlight the need for structured, repeated, and demonstration-based patient education to improve safe insulin use.</w:t>
      </w:r>
    </w:p>
    <w:p w:rsidR="00F15E63" w:rsidRDefault="00F15E63" w:rsidP="003060DD">
      <w:pPr>
        <w:jc w:val="both"/>
        <w:rPr>
          <w:rFonts w:ascii="Times New Roman" w:eastAsia="Times New Roman" w:hAnsi="Times New Roman" w:cs="Times New Roman"/>
          <w:b/>
          <w:bCs/>
          <w:sz w:val="24"/>
          <w:szCs w:val="24"/>
        </w:rPr>
      </w:pPr>
    </w:p>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br/>
        <w:t>Diabetes mellitus, insulin, attitude, hypoglycaemia, injection technique</w:t>
      </w:r>
    </w:p>
    <w:p w:rsidR="00F15E63" w:rsidRDefault="00F15E63" w:rsidP="003060DD">
      <w:pPr>
        <w:jc w:val="both"/>
        <w:rPr>
          <w:rFonts w:ascii="Times New Roman" w:eastAsia="Times New Roman" w:hAnsi="Times New Roman" w:cs="Times New Roman"/>
          <w:sz w:val="24"/>
          <w:szCs w:val="24"/>
        </w:rPr>
      </w:pPr>
    </w:p>
    <w:p w:rsidR="00F15E63" w:rsidRDefault="00431E54" w:rsidP="003060DD">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INTRODUCTION</w:t>
      </w:r>
    </w:p>
    <w:p w:rsidR="00F15E63" w:rsidRDefault="00431E54" w:rsidP="003060DD">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Diabetes mellitus is a chronic metabolic disorder characterized by persistent hyperglycaemia resulting from defects in insulin secretion, insulin action, or both.</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It is a major public health challenge worldwide, and India contributes a substantial share of the global diabetes mellitus burden.</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Insulin therapy remains the cornerstone of treatment in type 1 diabetes mellitus and is frequently required in type 2 diabetes mellitus when oral agents fail to achieve adequate glycaemic control or when patients present with marked hyperglycaemia, catabolic symptoms, acute illness, pregnancy, or progressive beta-cell dysfunction.</w:t>
      </w:r>
      <w:r>
        <w:rPr>
          <w:rFonts w:ascii="Times New Roman" w:eastAsia="Times New Roman" w:hAnsi="Times New Roman" w:cs="Times New Roman"/>
          <w:sz w:val="24"/>
          <w:szCs w:val="24"/>
          <w:vertAlign w:val="superscript"/>
        </w:rPr>
        <w:t>1,3</w:t>
      </w:r>
    </w:p>
    <w:p w:rsidR="00F15E63" w:rsidRDefault="00431E54" w:rsidP="003060DD">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The effectiveness of insulin therapy depends not only on the prescription itself but also on the patient’s knowledge, attitude, and practice. Correct insulin use requires proper storage, correct injection technique, regular site rotation, awareness of hypoglycaemia, and safe disposal of </w:t>
      </w:r>
      <w:r>
        <w:rPr>
          <w:rFonts w:ascii="Times New Roman" w:eastAsia="Times New Roman" w:hAnsi="Times New Roman" w:cs="Times New Roman"/>
          <w:sz w:val="24"/>
          <w:szCs w:val="24"/>
        </w:rPr>
        <w:lastRenderedPageBreak/>
        <w:t xml:space="preserve">used needles. </w:t>
      </w:r>
      <w:r>
        <w:rPr>
          <w:rFonts w:ascii="Times New Roman" w:eastAsia="Times New Roman" w:hAnsi="Times New Roman" w:cs="Times New Roman"/>
          <w:sz w:val="24"/>
          <w:szCs w:val="24"/>
          <w:vertAlign w:val="superscript"/>
        </w:rPr>
        <w:t xml:space="preserve">4,5 </w:t>
      </w:r>
      <w:r>
        <w:rPr>
          <w:rFonts w:ascii="Times New Roman" w:eastAsia="Times New Roman" w:hAnsi="Times New Roman" w:cs="Times New Roman"/>
          <w:sz w:val="24"/>
          <w:szCs w:val="24"/>
        </w:rPr>
        <w:t xml:space="preserve">Deficiencies in any of these areas may result in poor glycaemic control, variable absorption, unnecessary dose escalation, </w:t>
      </w:r>
      <w:proofErr w:type="spellStart"/>
      <w:r>
        <w:rPr>
          <w:rFonts w:ascii="Times New Roman" w:eastAsia="Times New Roman" w:hAnsi="Times New Roman" w:cs="Times New Roman"/>
          <w:sz w:val="24"/>
          <w:szCs w:val="24"/>
        </w:rPr>
        <w:t>lipohypertrophy</w:t>
      </w:r>
      <w:proofErr w:type="spellEnd"/>
      <w:r>
        <w:rPr>
          <w:rFonts w:ascii="Times New Roman" w:eastAsia="Times New Roman" w:hAnsi="Times New Roman" w:cs="Times New Roman"/>
          <w:sz w:val="24"/>
          <w:szCs w:val="24"/>
        </w:rPr>
        <w:t>, hypoglycaemia, and sharps-related hazards.</w:t>
      </w:r>
      <w:r>
        <w:rPr>
          <w:rFonts w:ascii="Times New Roman" w:eastAsia="Times New Roman" w:hAnsi="Times New Roman" w:cs="Times New Roman"/>
          <w:sz w:val="24"/>
          <w:szCs w:val="24"/>
          <w:vertAlign w:val="superscript"/>
        </w:rPr>
        <w:t>4,6,7</w:t>
      </w:r>
    </w:p>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Attitude toward insulin is also highly relevant. Many patients perceive insulin as an indicator of disease worsening or personal failure, while others are hesitant to inject in public because of embarrassment, fear, pain, or stigma.</w:t>
      </w:r>
      <w:r>
        <w:rPr>
          <w:rFonts w:ascii="Times New Roman" w:eastAsia="Times New Roman" w:hAnsi="Times New Roman" w:cs="Times New Roman"/>
          <w:sz w:val="24"/>
          <w:szCs w:val="24"/>
          <w:vertAlign w:val="superscript"/>
        </w:rPr>
        <w:t>8,9</w:t>
      </w:r>
      <w:r>
        <w:rPr>
          <w:rFonts w:ascii="Times New Roman" w:eastAsia="Times New Roman" w:hAnsi="Times New Roman" w:cs="Times New Roman"/>
          <w:sz w:val="24"/>
          <w:szCs w:val="24"/>
        </w:rPr>
        <w:t xml:space="preserve"> Such attitudes may reduce adherence and delay optimal treatment.</w:t>
      </w:r>
    </w:p>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Practice is the most clinically relevant domain because it reflects what the patient actually does. Even when patients know that needles should not be reused repeatedly or that injection sites must be rotated, actual behaviour may remain poor because of habit, cost constraints, fear, or lack of reinforcement. Therefore, evaluation of all three domains—knowledge, attitude, and practice—is essential for identifying barriers to safe insulin use.</w:t>
      </w:r>
    </w:p>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present study was undertaken to assess the knowledge, attitude, and practice regarding insulin use among patients with diabetes mellitus receiving insulin therapy in a tertiary care teaching hospital.</w:t>
      </w:r>
    </w:p>
    <w:p w:rsidR="00F15E63" w:rsidRDefault="00F15E63" w:rsidP="003060DD">
      <w:pPr>
        <w:jc w:val="both"/>
        <w:rPr>
          <w:rFonts w:ascii="Times New Roman" w:eastAsia="Times New Roman" w:hAnsi="Times New Roman" w:cs="Times New Roman"/>
          <w:sz w:val="24"/>
          <w:szCs w:val="24"/>
        </w:rPr>
      </w:pPr>
    </w:p>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MATERIAL AND METHODS</w:t>
      </w:r>
    </w:p>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Study design</w:t>
      </w:r>
    </w:p>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was a hospital-based cross-sectional observational study.</w:t>
      </w:r>
    </w:p>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Study setting</w:t>
      </w:r>
    </w:p>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was conducted in the Department of General Medicine, ESIC Medical College and Hospital, Bangalore.</w:t>
      </w:r>
    </w:p>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Study population</w:t>
      </w:r>
    </w:p>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Patients with diabetes mellitus receiving insulin therapy were included in the study.</w:t>
      </w:r>
    </w:p>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Inclusion and Exclusion criteria</w:t>
      </w:r>
    </w:p>
    <w:p w:rsidR="00F15E63" w:rsidRDefault="00431E54" w:rsidP="003060DD">
      <w:pPr>
        <w:jc w:val="both"/>
        <w:rPr>
          <w:rFonts w:ascii="Times New Roman" w:eastAsia="Times New Roman" w:hAnsi="Times New Roman" w:cs="Times New Roman"/>
          <w:color w:val="111111"/>
          <w:sz w:val="24"/>
          <w:szCs w:val="24"/>
        </w:rPr>
      </w:pPr>
      <w:r>
        <w:rPr>
          <w:rFonts w:ascii="Times New Roman" w:eastAsia="Times New Roman" w:hAnsi="Times New Roman" w:cs="Times New Roman"/>
          <w:sz w:val="24"/>
          <w:szCs w:val="24"/>
        </w:rPr>
        <w:t xml:space="preserve">Patients aged more than 18 years, diagnosed with diabetes mellitus, and currently on insulin therapy were </w:t>
      </w:r>
      <w:proofErr w:type="spellStart"/>
      <w:proofErr w:type="gramStart"/>
      <w:r>
        <w:rPr>
          <w:rFonts w:ascii="Times New Roman" w:eastAsia="Times New Roman" w:hAnsi="Times New Roman" w:cs="Times New Roman"/>
          <w:sz w:val="24"/>
          <w:szCs w:val="24"/>
        </w:rPr>
        <w:t>included.</w:t>
      </w:r>
      <w:r>
        <w:rPr>
          <w:rFonts w:ascii="Times New Roman" w:eastAsia="Times New Roman" w:hAnsi="Times New Roman" w:cs="Times New Roman"/>
          <w:color w:val="111111"/>
          <w:sz w:val="24"/>
          <w:szCs w:val="24"/>
        </w:rPr>
        <w:t>Patients</w:t>
      </w:r>
      <w:proofErr w:type="spellEnd"/>
      <w:proofErr w:type="gramEnd"/>
      <w:r>
        <w:rPr>
          <w:rFonts w:ascii="Times New Roman" w:eastAsia="Times New Roman" w:hAnsi="Times New Roman" w:cs="Times New Roman"/>
          <w:color w:val="111111"/>
          <w:sz w:val="24"/>
          <w:szCs w:val="24"/>
        </w:rPr>
        <w:t xml:space="preserve"> not receiving insulin therapy, those with severe acute illness, cognitive impairment, or inability to respond to the questionnaire, critically ill patients, those who refused consent, and those with incomplete data were excluded from the study.</w:t>
      </w:r>
    </w:p>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5 Data collection </w:t>
      </w:r>
      <w:proofErr w:type="gramStart"/>
      <w:r>
        <w:rPr>
          <w:rFonts w:ascii="Times New Roman" w:eastAsia="Times New Roman" w:hAnsi="Times New Roman" w:cs="Times New Roman"/>
          <w:b/>
          <w:bCs/>
          <w:sz w:val="24"/>
          <w:szCs w:val="24"/>
        </w:rPr>
        <w:t>tool</w:t>
      </w:r>
      <w:proofErr w:type="gramEnd"/>
    </w:p>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were collected using a structured, predesigned questionnaire assessing knowledge, attitude, and practice (KAP) regarding insulin use. The questionnaire included demographic and clinical details, followed by knowledge (4 items), attitude (2 items), and practice (4 items) related to insulin storage, injection technique, needle reuse, site rotation, </w:t>
      </w:r>
      <w:proofErr w:type="spellStart"/>
      <w:r>
        <w:rPr>
          <w:rFonts w:ascii="Times New Roman" w:eastAsia="Times New Roman" w:hAnsi="Times New Roman" w:cs="Times New Roman"/>
          <w:sz w:val="24"/>
          <w:szCs w:val="24"/>
        </w:rPr>
        <w:t>hypoglycemia</w:t>
      </w:r>
      <w:proofErr w:type="spellEnd"/>
      <w:r>
        <w:rPr>
          <w:rFonts w:ascii="Times New Roman" w:eastAsia="Times New Roman" w:hAnsi="Times New Roman" w:cs="Times New Roman"/>
          <w:sz w:val="24"/>
          <w:szCs w:val="24"/>
        </w:rPr>
        <w:t xml:space="preserve"> awareness, and disposal practices. The questionnaire was developed based on a review of relevant literature and standard guidelines on insulin administration and was pretested before use.</w:t>
      </w:r>
    </w:p>
    <w:p w:rsidR="00F15E63" w:rsidRDefault="00F15E63" w:rsidP="003060DD">
      <w:pPr>
        <w:jc w:val="both"/>
        <w:rPr>
          <w:rFonts w:ascii="Times New Roman" w:eastAsia="Times New Roman" w:hAnsi="Times New Roman" w:cs="Times New Roman"/>
          <w:sz w:val="24"/>
          <w:szCs w:val="24"/>
        </w:rPr>
      </w:pPr>
    </w:p>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Each correct response was scored as 1 and each incorrect or unsure response as 0. Based on the </w:t>
      </w:r>
      <w:proofErr w:type="spellStart"/>
      <w:r>
        <w:rPr>
          <w:rFonts w:ascii="Times New Roman" w:eastAsia="Times New Roman" w:hAnsi="Times New Roman" w:cs="Times New Roman"/>
          <w:sz w:val="24"/>
          <w:szCs w:val="24"/>
        </w:rPr>
        <w:t>analyzable</w:t>
      </w:r>
      <w:proofErr w:type="spellEnd"/>
      <w:r>
        <w:rPr>
          <w:rFonts w:ascii="Times New Roman" w:eastAsia="Times New Roman" w:hAnsi="Times New Roman" w:cs="Times New Roman"/>
          <w:sz w:val="24"/>
          <w:szCs w:val="24"/>
        </w:rPr>
        <w:t xml:space="preserve"> dataset, the total KAP score ranged from 0 to 9, as three of the four practice items were included in the final analysis.</w:t>
      </w:r>
    </w:p>
    <w:p w:rsidR="00F15E63" w:rsidRDefault="00F15E63" w:rsidP="003060DD">
      <w:pPr>
        <w:jc w:val="both"/>
        <w:rPr>
          <w:rFonts w:ascii="Times New Roman" w:eastAsia="Times New Roman" w:hAnsi="Times New Roman" w:cs="Times New Roman"/>
          <w:sz w:val="24"/>
          <w:szCs w:val="24"/>
        </w:rPr>
      </w:pPr>
    </w:p>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questionnaire is provided as Appendix 1.</w:t>
      </w:r>
    </w:p>
    <w:p w:rsidR="00F15E63" w:rsidRDefault="00F15E63" w:rsidP="003060DD">
      <w:pPr>
        <w:jc w:val="both"/>
        <w:rPr>
          <w:rFonts w:ascii="Times New Roman" w:eastAsia="Times New Roman" w:hAnsi="Times New Roman" w:cs="Times New Roman"/>
          <w:sz w:val="24"/>
          <w:szCs w:val="24"/>
        </w:rPr>
      </w:pPr>
    </w:p>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Demographic variables, including education level and socioeconomic status, were recorded. Education level was categorized into five groups (illiterate, primary, secondary, higher secondary, and graduate/postgraduate). Socioeconomic status was assessed using the modified </w:t>
      </w:r>
      <w:proofErr w:type="spellStart"/>
      <w:r>
        <w:rPr>
          <w:rFonts w:ascii="Times New Roman" w:eastAsia="Times New Roman" w:hAnsi="Times New Roman" w:cs="Times New Roman"/>
          <w:sz w:val="24"/>
          <w:szCs w:val="24"/>
        </w:rPr>
        <w:t>Kuppuswamy</w:t>
      </w:r>
      <w:proofErr w:type="spellEnd"/>
      <w:r>
        <w:rPr>
          <w:rFonts w:ascii="Times New Roman" w:eastAsia="Times New Roman" w:hAnsi="Times New Roman" w:cs="Times New Roman"/>
          <w:sz w:val="24"/>
          <w:szCs w:val="24"/>
        </w:rPr>
        <w:t xml:space="preserve"> scale based on monthly family income (Appendices 2 and 3).</w:t>
      </w:r>
    </w:p>
    <w:p w:rsidR="00F15E63" w:rsidRDefault="00F15E63" w:rsidP="003060DD">
      <w:pPr>
        <w:jc w:val="both"/>
        <w:rPr>
          <w:rFonts w:ascii="Times New Roman" w:eastAsia="Times New Roman" w:hAnsi="Times New Roman" w:cs="Times New Roman"/>
          <w:color w:val="111111"/>
          <w:sz w:val="24"/>
          <w:szCs w:val="24"/>
        </w:rPr>
      </w:pPr>
    </w:p>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 Statistical analysis</w:t>
      </w:r>
    </w:p>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were recorded in a structured proforma and entered into Microsoft Excel 2016 (Microsoft Corporation, Redmond WA). All entries were double checked for correctness. Continuous variables with normal distribution are expressed as mean ± standard deviation and variables that were not normally distributed are presented </w:t>
      </w:r>
      <w:proofErr w:type="spellStart"/>
      <w:r>
        <w:rPr>
          <w:rFonts w:ascii="Times New Roman" w:eastAsia="Times New Roman" w:hAnsi="Times New Roman" w:cs="Times New Roman"/>
          <w:sz w:val="24"/>
          <w:szCs w:val="24"/>
        </w:rPr>
        <w:t>asmedian</w:t>
      </w:r>
      <w:proofErr w:type="spellEnd"/>
      <w:r>
        <w:rPr>
          <w:rFonts w:ascii="Times New Roman" w:eastAsia="Times New Roman" w:hAnsi="Times New Roman" w:cs="Times New Roman"/>
          <w:sz w:val="24"/>
          <w:szCs w:val="24"/>
        </w:rPr>
        <w:t xml:space="preserve"> [interquartile </w:t>
      </w:r>
      <w:proofErr w:type="gramStart"/>
      <w:r>
        <w:rPr>
          <w:rFonts w:ascii="Times New Roman" w:eastAsia="Times New Roman" w:hAnsi="Times New Roman" w:cs="Times New Roman"/>
          <w:sz w:val="24"/>
          <w:szCs w:val="24"/>
        </w:rPr>
        <w:t>range(</w:t>
      </w:r>
      <w:proofErr w:type="gramEnd"/>
      <w:r>
        <w:rPr>
          <w:rFonts w:ascii="Times New Roman" w:eastAsia="Times New Roman" w:hAnsi="Times New Roman" w:cs="Times New Roman"/>
          <w:sz w:val="24"/>
          <w:szCs w:val="24"/>
        </w:rPr>
        <w:t xml:space="preserve">IQR)]. Categorical variables were expressed as counts and percentage. </w:t>
      </w:r>
    </w:p>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Statistical analyses </w:t>
      </w:r>
      <w:proofErr w:type="gramStart"/>
      <w:r>
        <w:rPr>
          <w:rFonts w:ascii="Times New Roman" w:eastAsia="Times New Roman" w:hAnsi="Times New Roman" w:cs="Times New Roman"/>
          <w:sz w:val="24"/>
          <w:szCs w:val="24"/>
        </w:rPr>
        <w:t>was</w:t>
      </w:r>
      <w:proofErr w:type="gramEnd"/>
      <w:r>
        <w:rPr>
          <w:rFonts w:ascii="Times New Roman" w:eastAsia="Times New Roman" w:hAnsi="Times New Roman" w:cs="Times New Roman"/>
          <w:sz w:val="24"/>
          <w:szCs w:val="24"/>
        </w:rPr>
        <w:t xml:space="preserve"> carried out using the statistical software IBM (International Business Machines Corporation) SPSS (Statistical Package for the Social Sciences) version 25.0 (IBM Corp Somers NY, USA)</w:t>
      </w:r>
    </w:p>
    <w:p w:rsidR="00F15E63" w:rsidRDefault="00F15E63" w:rsidP="003060DD">
      <w:pPr>
        <w:jc w:val="both"/>
        <w:rPr>
          <w:rFonts w:ascii="Times New Roman" w:eastAsia="Times New Roman" w:hAnsi="Times New Roman" w:cs="Times New Roman"/>
          <w:sz w:val="24"/>
          <w:szCs w:val="24"/>
        </w:rPr>
      </w:pPr>
    </w:p>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RESULTS AND DISCUSSION</w:t>
      </w:r>
    </w:p>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Baseline clinical characteristics</w:t>
      </w:r>
    </w:p>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total of 100 patients receiving insulin therapy were included in the final analysis. The mean duration of diabetes was 13.44 ± 6.88 years and the mean duration of insulin use was 55.37 ± 33.84 months. Despite relatively long disease and treatment duration, knowledge and practice scores remained low, suggesting inadequate long-term reinforcement of insulin education.</w:t>
      </w:r>
    </w:p>
    <w:p w:rsidR="00F15E63" w:rsidRDefault="00F15E63" w:rsidP="003060DD">
      <w:pPr>
        <w:jc w:val="both"/>
        <w:rPr>
          <w:rFonts w:ascii="Times New Roman" w:eastAsia="Times New Roman" w:hAnsi="Times New Roman" w:cs="Times New Roman"/>
          <w:sz w:val="24"/>
          <w:szCs w:val="24"/>
        </w:rPr>
      </w:pPr>
    </w:p>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 Clinical characteristics of study participants</w:t>
      </w:r>
    </w:p>
    <w:tbl>
      <w:tblPr>
        <w:tblStyle w:val="a"/>
        <w:tblW w:w="5934" w:type="dxa"/>
        <w:tblInd w:w="0" w:type="dxa"/>
        <w:tblLayout w:type="fixed"/>
        <w:tblLook w:val="0400" w:firstRow="0" w:lastRow="0" w:firstColumn="0" w:lastColumn="0" w:noHBand="0" w:noVBand="1"/>
      </w:tblPr>
      <w:tblGrid>
        <w:gridCol w:w="4527"/>
        <w:gridCol w:w="1407"/>
      </w:tblGrid>
      <w:tr w:rsidR="00F15E63">
        <w:trPr>
          <w:tblHeader/>
        </w:trPr>
        <w:tc>
          <w:tcPr>
            <w:tcW w:w="4527" w:type="dxa"/>
            <w:vAlign w:val="center"/>
          </w:tcPr>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Parameter</w:t>
            </w:r>
          </w:p>
        </w:tc>
        <w:tc>
          <w:tcPr>
            <w:tcW w:w="1407" w:type="dxa"/>
            <w:vAlign w:val="center"/>
          </w:tcPr>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Value</w:t>
            </w:r>
          </w:p>
        </w:tc>
      </w:tr>
      <w:tr w:rsidR="00F15E63">
        <w:tc>
          <w:tcPr>
            <w:tcW w:w="4527"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Sample size</w:t>
            </w:r>
          </w:p>
        </w:tc>
        <w:tc>
          <w:tcPr>
            <w:tcW w:w="1407"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F15E63">
        <w:tc>
          <w:tcPr>
            <w:tcW w:w="4527"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Duration of diabetes (years)*</w:t>
            </w:r>
          </w:p>
        </w:tc>
        <w:tc>
          <w:tcPr>
            <w:tcW w:w="1407"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13.44 ± 6.88</w:t>
            </w:r>
          </w:p>
        </w:tc>
      </w:tr>
      <w:tr w:rsidR="00F15E63">
        <w:tc>
          <w:tcPr>
            <w:tcW w:w="4527"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Duration of insulin use (months)*</w:t>
            </w:r>
          </w:p>
        </w:tc>
        <w:tc>
          <w:tcPr>
            <w:tcW w:w="1407"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55.37 ± 33.84</w:t>
            </w:r>
          </w:p>
        </w:tc>
      </w:tr>
      <w:tr w:rsidR="00F15E63">
        <w:tc>
          <w:tcPr>
            <w:tcW w:w="4527"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Needle reuse frequency*</w:t>
            </w:r>
          </w:p>
        </w:tc>
        <w:tc>
          <w:tcPr>
            <w:tcW w:w="1407"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2.42 ± 1.75</w:t>
            </w:r>
          </w:p>
        </w:tc>
      </w:tr>
    </w:tbl>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are expressed as mean ± standard deviation</w:t>
      </w:r>
    </w:p>
    <w:p w:rsidR="00F15E63" w:rsidRDefault="00F15E63" w:rsidP="003060DD">
      <w:pPr>
        <w:jc w:val="both"/>
        <w:rPr>
          <w:rFonts w:ascii="Times New Roman" w:eastAsia="Times New Roman" w:hAnsi="Times New Roman" w:cs="Times New Roman"/>
          <w:sz w:val="24"/>
          <w:szCs w:val="24"/>
        </w:rPr>
      </w:pPr>
    </w:p>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Overall KAP scores</w:t>
      </w:r>
    </w:p>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mean knowledge score was 1.45 ± 0.91 out of 4, the mean attitude score was 1.01 ± 0.64 out of 2, and the mean practice score was 1.35 ± 0.81 out of 3. The mean total KAP score was 3.81 ± 1.45 out of 9, indicating overall moderate-to-poor performance.</w:t>
      </w:r>
    </w:p>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2. Domain-wise KAP scores</w:t>
      </w:r>
    </w:p>
    <w:tbl>
      <w:tblPr>
        <w:tblStyle w:val="a0"/>
        <w:tblW w:w="6207" w:type="dxa"/>
        <w:tblInd w:w="0" w:type="dxa"/>
        <w:tblLayout w:type="fixed"/>
        <w:tblLook w:val="0400" w:firstRow="0" w:lastRow="0" w:firstColumn="0" w:lastColumn="0" w:noHBand="0" w:noVBand="1"/>
      </w:tblPr>
      <w:tblGrid>
        <w:gridCol w:w="1182"/>
        <w:gridCol w:w="1774"/>
        <w:gridCol w:w="1520"/>
        <w:gridCol w:w="1731"/>
      </w:tblGrid>
      <w:tr w:rsidR="00F15E63">
        <w:trPr>
          <w:tblHeader/>
        </w:trPr>
        <w:tc>
          <w:tcPr>
            <w:tcW w:w="1182" w:type="dxa"/>
            <w:vAlign w:val="center"/>
          </w:tcPr>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Domain</w:t>
            </w:r>
          </w:p>
        </w:tc>
        <w:tc>
          <w:tcPr>
            <w:tcW w:w="1774" w:type="dxa"/>
            <w:vAlign w:val="center"/>
          </w:tcPr>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Score</w:t>
            </w:r>
          </w:p>
        </w:tc>
        <w:tc>
          <w:tcPr>
            <w:tcW w:w="1520" w:type="dxa"/>
            <w:vAlign w:val="center"/>
          </w:tcPr>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Median (IQR)</w:t>
            </w:r>
          </w:p>
        </w:tc>
        <w:tc>
          <w:tcPr>
            <w:tcW w:w="1731" w:type="dxa"/>
            <w:vAlign w:val="center"/>
          </w:tcPr>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Maximum score</w:t>
            </w:r>
          </w:p>
        </w:tc>
      </w:tr>
      <w:tr w:rsidR="00F15E63">
        <w:tc>
          <w:tcPr>
            <w:tcW w:w="1182"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w:t>
            </w:r>
          </w:p>
        </w:tc>
        <w:tc>
          <w:tcPr>
            <w:tcW w:w="1774"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1.45 ± 0.91</w:t>
            </w:r>
          </w:p>
        </w:tc>
        <w:tc>
          <w:tcPr>
            <w:tcW w:w="1520"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(1–2)</w:t>
            </w:r>
          </w:p>
        </w:tc>
        <w:tc>
          <w:tcPr>
            <w:tcW w:w="1731"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F15E63">
        <w:tc>
          <w:tcPr>
            <w:tcW w:w="1182"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Attitude</w:t>
            </w:r>
          </w:p>
        </w:tc>
        <w:tc>
          <w:tcPr>
            <w:tcW w:w="1774"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 ± 0.64</w:t>
            </w:r>
          </w:p>
        </w:tc>
        <w:tc>
          <w:tcPr>
            <w:tcW w:w="1520"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(1–1)</w:t>
            </w:r>
          </w:p>
        </w:tc>
        <w:tc>
          <w:tcPr>
            <w:tcW w:w="1731"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F15E63">
        <w:tc>
          <w:tcPr>
            <w:tcW w:w="1182"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Practice</w:t>
            </w:r>
          </w:p>
        </w:tc>
        <w:tc>
          <w:tcPr>
            <w:tcW w:w="1774"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1.35 ± 0.81</w:t>
            </w:r>
          </w:p>
        </w:tc>
        <w:tc>
          <w:tcPr>
            <w:tcW w:w="1520"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(1–2)</w:t>
            </w:r>
          </w:p>
        </w:tc>
        <w:tc>
          <w:tcPr>
            <w:tcW w:w="1731"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F15E63">
        <w:tc>
          <w:tcPr>
            <w:tcW w:w="1182"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Total KAP</w:t>
            </w:r>
          </w:p>
        </w:tc>
        <w:tc>
          <w:tcPr>
            <w:tcW w:w="1774"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3.81 ± 1.45</w:t>
            </w:r>
          </w:p>
        </w:tc>
        <w:tc>
          <w:tcPr>
            <w:tcW w:w="1520"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 (3–5)</w:t>
            </w:r>
          </w:p>
        </w:tc>
        <w:tc>
          <w:tcPr>
            <w:tcW w:w="1731" w:type="dxa"/>
            <w:vAlign w:val="center"/>
          </w:tcPr>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w:t>
            </w:r>
          </w:p>
        </w:tc>
      </w:tr>
    </w:tbl>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are express in median (</w:t>
      </w:r>
      <w:proofErr w:type="spellStart"/>
      <w:r>
        <w:rPr>
          <w:rFonts w:ascii="Times New Roman" w:eastAsia="Times New Roman" w:hAnsi="Times New Roman" w:cs="Times New Roman"/>
          <w:sz w:val="24"/>
          <w:szCs w:val="24"/>
        </w:rPr>
        <w:t>interquatile</w:t>
      </w:r>
      <w:proofErr w:type="spellEnd"/>
      <w:r>
        <w:rPr>
          <w:rFonts w:ascii="Times New Roman" w:eastAsia="Times New Roman" w:hAnsi="Times New Roman" w:cs="Times New Roman"/>
          <w:sz w:val="24"/>
          <w:szCs w:val="24"/>
        </w:rPr>
        <w:t xml:space="preserve"> range)</w:t>
      </w:r>
    </w:p>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Figure 1. </w:t>
      </w:r>
      <w:bookmarkStart w:id="0" w:name="_GoBack"/>
      <w:r w:rsidR="003060DD" w:rsidRPr="003060DD">
        <w:rPr>
          <w:rFonts w:ascii="Times New Roman" w:eastAsia="Times New Roman" w:hAnsi="Times New Roman" w:cs="Times New Roman"/>
          <w:bCs/>
          <w:sz w:val="24"/>
          <w:szCs w:val="24"/>
        </w:rPr>
        <w:t>Mean domain scores</w:t>
      </w:r>
      <w:r w:rsidR="003060DD" w:rsidRPr="003060DD">
        <w:rPr>
          <w:rFonts w:ascii="Times New Roman" w:eastAsia="Times New Roman" w:hAnsi="Times New Roman" w:cs="Times New Roman"/>
          <w:sz w:val="24"/>
          <w:szCs w:val="24"/>
        </w:rPr>
        <w:t xml:space="preserve"> </w:t>
      </w:r>
      <w:bookmarkEnd w:id="0"/>
      <w:r w:rsidR="003060DD">
        <w:rPr>
          <w:rFonts w:ascii="Times New Roman" w:eastAsia="Times New Roman" w:hAnsi="Times New Roman" w:cs="Times New Roman"/>
          <w:sz w:val="24"/>
          <w:szCs w:val="24"/>
        </w:rPr>
        <w:t>regarding site rotation and needle reuse</w:t>
      </w:r>
    </w:p>
    <w:p w:rsidR="00F15E63" w:rsidRDefault="00431E54" w:rsidP="003060DD">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finding that only 6% of participants knew correct insulin storage is particularly important because improper storage can reduce insulin potency, especially in hot climates, and can contribute to poor glycaemic control despite apparent adherence.</w:t>
      </w:r>
      <w:r>
        <w:rPr>
          <w:rFonts w:ascii="Times New Roman" w:eastAsia="Times New Roman" w:hAnsi="Times New Roman" w:cs="Times New Roman"/>
          <w:sz w:val="24"/>
          <w:szCs w:val="24"/>
          <w:vertAlign w:val="superscript"/>
        </w:rPr>
        <w:t>4,5</w:t>
      </w:r>
      <w:r>
        <w:rPr>
          <w:rFonts w:ascii="Times New Roman" w:eastAsia="Times New Roman" w:hAnsi="Times New Roman" w:cs="Times New Roman"/>
          <w:sz w:val="24"/>
          <w:szCs w:val="24"/>
        </w:rPr>
        <w:t xml:space="preserve"> Poor knowledge regarding site rotation and needle reuse increases the risk of </w:t>
      </w:r>
      <w:proofErr w:type="spellStart"/>
      <w:r>
        <w:rPr>
          <w:rFonts w:ascii="Times New Roman" w:eastAsia="Times New Roman" w:hAnsi="Times New Roman" w:cs="Times New Roman"/>
          <w:sz w:val="24"/>
          <w:szCs w:val="24"/>
        </w:rPr>
        <w:t>lipohypertrophy</w:t>
      </w:r>
      <w:proofErr w:type="spellEnd"/>
      <w:r>
        <w:rPr>
          <w:rFonts w:ascii="Times New Roman" w:eastAsia="Times New Roman" w:hAnsi="Times New Roman" w:cs="Times New Roman"/>
          <w:sz w:val="24"/>
          <w:szCs w:val="24"/>
        </w:rPr>
        <w:t xml:space="preserve"> and erratic insulin absorption.</w:t>
      </w:r>
      <w:r>
        <w:rPr>
          <w:rFonts w:ascii="Times New Roman" w:eastAsia="Times New Roman" w:hAnsi="Times New Roman" w:cs="Times New Roman"/>
          <w:sz w:val="24"/>
          <w:szCs w:val="24"/>
          <w:vertAlign w:val="superscript"/>
        </w:rPr>
        <w:t>6,7</w:t>
      </w:r>
    </w:p>
    <w:p w:rsidR="00F15E63" w:rsidRDefault="00F15E63" w:rsidP="003060DD">
      <w:pPr>
        <w:jc w:val="both"/>
        <w:rPr>
          <w:rFonts w:ascii="Times New Roman" w:eastAsia="Times New Roman" w:hAnsi="Times New Roman" w:cs="Times New Roman"/>
          <w:sz w:val="24"/>
          <w:szCs w:val="24"/>
        </w:rPr>
      </w:pPr>
    </w:p>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41318" cy="257794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641318" cy="2577948"/>
                    </a:xfrm>
                    <a:prstGeom prst="rect">
                      <a:avLst/>
                    </a:prstGeom>
                    <a:ln/>
                  </pic:spPr>
                </pic:pic>
              </a:graphicData>
            </a:graphic>
          </wp:inline>
        </w:drawing>
      </w:r>
    </w:p>
    <w:p w:rsidR="00F15E63" w:rsidRDefault="00F15E63" w:rsidP="003060DD">
      <w:pPr>
        <w:jc w:val="both"/>
        <w:rPr>
          <w:rFonts w:ascii="Times New Roman" w:eastAsia="Times New Roman" w:hAnsi="Times New Roman" w:cs="Times New Roman"/>
          <w:sz w:val="24"/>
          <w:szCs w:val="24"/>
        </w:rPr>
      </w:pPr>
    </w:p>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Knowledge domain</w:t>
      </w:r>
    </w:p>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Knowledge was the weakest domain. Only 6% of participants knew correct insulin storage. Awareness regarding the need to avoid unsafe needle reuse, rotate injection sites, and recognize/manage </w:t>
      </w:r>
      <w:proofErr w:type="spellStart"/>
      <w:r>
        <w:rPr>
          <w:rFonts w:ascii="Times New Roman" w:eastAsia="Times New Roman" w:hAnsi="Times New Roman" w:cs="Times New Roman"/>
          <w:sz w:val="24"/>
          <w:szCs w:val="24"/>
        </w:rPr>
        <w:t>hypoglycemia</w:t>
      </w:r>
      <w:proofErr w:type="spellEnd"/>
      <w:r>
        <w:rPr>
          <w:rFonts w:ascii="Times New Roman" w:eastAsia="Times New Roman" w:hAnsi="Times New Roman" w:cs="Times New Roman"/>
          <w:sz w:val="24"/>
          <w:szCs w:val="24"/>
        </w:rPr>
        <w:t xml:space="preserve"> was also suboptimal.</w:t>
      </w:r>
    </w:p>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3. Knowledge item-wise responses</w:t>
      </w:r>
    </w:p>
    <w:tbl>
      <w:tblPr>
        <w:tblStyle w:val="a1"/>
        <w:tblW w:w="9026" w:type="dxa"/>
        <w:tblInd w:w="0" w:type="dxa"/>
        <w:tblLayout w:type="fixed"/>
        <w:tblLook w:val="0400" w:firstRow="0" w:lastRow="0" w:firstColumn="0" w:lastColumn="0" w:noHBand="0" w:noVBand="1"/>
      </w:tblPr>
      <w:tblGrid>
        <w:gridCol w:w="6615"/>
        <w:gridCol w:w="2411"/>
      </w:tblGrid>
      <w:tr w:rsidR="00F15E63">
        <w:trPr>
          <w:tblHeader/>
        </w:trPr>
        <w:tc>
          <w:tcPr>
            <w:tcW w:w="6615" w:type="dxa"/>
            <w:vAlign w:val="center"/>
          </w:tcPr>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Knowledge item</w:t>
            </w:r>
          </w:p>
        </w:tc>
        <w:tc>
          <w:tcPr>
            <w:tcW w:w="2411" w:type="dxa"/>
            <w:vAlign w:val="center"/>
          </w:tcPr>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Correct response (%)</w:t>
            </w:r>
          </w:p>
        </w:tc>
      </w:tr>
      <w:tr w:rsidR="00F15E63">
        <w:tc>
          <w:tcPr>
            <w:tcW w:w="6615"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Proper insulin storage</w:t>
            </w:r>
          </w:p>
        </w:tc>
        <w:tc>
          <w:tcPr>
            <w:tcW w:w="2411"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(6)</w:t>
            </w:r>
          </w:p>
        </w:tc>
      </w:tr>
      <w:tr w:rsidR="00F15E63">
        <w:tc>
          <w:tcPr>
            <w:tcW w:w="6615"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 that needle reuse is unsafe</w:t>
            </w:r>
          </w:p>
        </w:tc>
        <w:tc>
          <w:tcPr>
            <w:tcW w:w="2411"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 (46)</w:t>
            </w:r>
          </w:p>
        </w:tc>
      </w:tr>
      <w:tr w:rsidR="00F15E63">
        <w:tc>
          <w:tcPr>
            <w:tcW w:w="6615"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 that injection site should be rotated</w:t>
            </w:r>
          </w:p>
        </w:tc>
        <w:tc>
          <w:tcPr>
            <w:tcW w:w="2411"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 (46)</w:t>
            </w:r>
          </w:p>
        </w:tc>
      </w:tr>
      <w:tr w:rsidR="00F15E63">
        <w:tc>
          <w:tcPr>
            <w:tcW w:w="6615"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 of hypoglycaemia recognition/management</w:t>
            </w:r>
          </w:p>
        </w:tc>
        <w:tc>
          <w:tcPr>
            <w:tcW w:w="2411"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 (47)</w:t>
            </w:r>
          </w:p>
        </w:tc>
      </w:tr>
    </w:tbl>
    <w:p w:rsidR="00F15E63" w:rsidRDefault="00F15E63" w:rsidP="003060DD">
      <w:pPr>
        <w:jc w:val="both"/>
        <w:rPr>
          <w:rFonts w:ascii="Times New Roman" w:eastAsia="Times New Roman" w:hAnsi="Times New Roman" w:cs="Times New Roman"/>
          <w:sz w:val="24"/>
          <w:szCs w:val="24"/>
        </w:rPr>
      </w:pPr>
    </w:p>
    <w:p w:rsidR="00F15E63" w:rsidRDefault="00F15E63" w:rsidP="003060DD">
      <w:pPr>
        <w:jc w:val="both"/>
        <w:rPr>
          <w:rFonts w:ascii="Times New Roman" w:eastAsia="Times New Roman" w:hAnsi="Times New Roman" w:cs="Times New Roman"/>
          <w:sz w:val="24"/>
          <w:szCs w:val="24"/>
        </w:rPr>
      </w:pPr>
    </w:p>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2. Correct responses for individual knowledge and practice-related items</w:t>
      </w:r>
    </w:p>
    <w:p w:rsidR="00F15E63" w:rsidRDefault="00431E54" w:rsidP="003060DD">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finding that only 6% of participants knew correct insulin storage is particularly important because improper storage can reduce insulin potency, especially in hot climates, and can contribute to poor glycaemic control despite apparent adherence.</w:t>
      </w:r>
      <w:r>
        <w:rPr>
          <w:rFonts w:ascii="Times New Roman" w:eastAsia="Times New Roman" w:hAnsi="Times New Roman" w:cs="Times New Roman"/>
          <w:sz w:val="24"/>
          <w:szCs w:val="24"/>
          <w:vertAlign w:val="superscript"/>
        </w:rPr>
        <w:t>4,5</w:t>
      </w:r>
      <w:r>
        <w:rPr>
          <w:rFonts w:ascii="Times New Roman" w:eastAsia="Times New Roman" w:hAnsi="Times New Roman" w:cs="Times New Roman"/>
          <w:sz w:val="24"/>
          <w:szCs w:val="24"/>
        </w:rPr>
        <w:t xml:space="preserve"> Poor knowledge regarding site rotation and needle reuse increases the risk of </w:t>
      </w:r>
      <w:proofErr w:type="spellStart"/>
      <w:r>
        <w:rPr>
          <w:rFonts w:ascii="Times New Roman" w:eastAsia="Times New Roman" w:hAnsi="Times New Roman" w:cs="Times New Roman"/>
          <w:sz w:val="24"/>
          <w:szCs w:val="24"/>
        </w:rPr>
        <w:t>lipohypertrophy</w:t>
      </w:r>
      <w:proofErr w:type="spellEnd"/>
      <w:r>
        <w:rPr>
          <w:rFonts w:ascii="Times New Roman" w:eastAsia="Times New Roman" w:hAnsi="Times New Roman" w:cs="Times New Roman"/>
          <w:sz w:val="24"/>
          <w:szCs w:val="24"/>
        </w:rPr>
        <w:t xml:space="preserve"> and erratic insulin absorption.</w:t>
      </w:r>
      <w:r>
        <w:rPr>
          <w:rFonts w:ascii="Times New Roman" w:eastAsia="Times New Roman" w:hAnsi="Times New Roman" w:cs="Times New Roman"/>
          <w:sz w:val="24"/>
          <w:szCs w:val="24"/>
          <w:vertAlign w:val="superscript"/>
        </w:rPr>
        <w:t>6,7</w:t>
      </w:r>
    </w:p>
    <w:p w:rsidR="00F15E63" w:rsidRDefault="00F15E63" w:rsidP="003060DD">
      <w:pPr>
        <w:jc w:val="both"/>
        <w:rPr>
          <w:rFonts w:ascii="Times New Roman" w:eastAsia="Times New Roman" w:hAnsi="Times New Roman" w:cs="Times New Roman"/>
          <w:sz w:val="24"/>
          <w:szCs w:val="24"/>
          <w:vertAlign w:val="superscript"/>
        </w:rPr>
      </w:pPr>
    </w:p>
    <w:p w:rsidR="00F15E63" w:rsidRDefault="00431E54" w:rsidP="003060DD">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noProof/>
          <w:sz w:val="24"/>
          <w:szCs w:val="24"/>
          <w:vertAlign w:val="superscript"/>
        </w:rPr>
        <w:drawing>
          <wp:inline distT="0" distB="0" distL="0" distR="0">
            <wp:extent cx="5074006" cy="3017739"/>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074006" cy="3017739"/>
                    </a:xfrm>
                    <a:prstGeom prst="rect">
                      <a:avLst/>
                    </a:prstGeom>
                    <a:ln/>
                  </pic:spPr>
                </pic:pic>
              </a:graphicData>
            </a:graphic>
          </wp:inline>
        </w:drawing>
      </w:r>
    </w:p>
    <w:p w:rsidR="00F15E63" w:rsidRDefault="00F15E63" w:rsidP="003060DD">
      <w:pPr>
        <w:jc w:val="both"/>
        <w:rPr>
          <w:rFonts w:ascii="Times New Roman" w:eastAsia="Times New Roman" w:hAnsi="Times New Roman" w:cs="Times New Roman"/>
          <w:sz w:val="24"/>
          <w:szCs w:val="24"/>
          <w:vertAlign w:val="superscript"/>
        </w:rPr>
      </w:pPr>
    </w:p>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Attitude domain</w:t>
      </w:r>
    </w:p>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Attitude scores were relatively better than knowledge scores but still far from satisfactory. Only 48% gave the favourable response that insulin does not indicate worsening diabetes, while 53% were not worried or embarrassed about taking insulin in public.</w:t>
      </w:r>
    </w:p>
    <w:p w:rsidR="00F15E63" w:rsidRDefault="00F15E63" w:rsidP="003060DD">
      <w:pPr>
        <w:jc w:val="both"/>
        <w:rPr>
          <w:rFonts w:ascii="Times New Roman" w:eastAsia="Times New Roman" w:hAnsi="Times New Roman" w:cs="Times New Roman"/>
          <w:sz w:val="24"/>
          <w:szCs w:val="24"/>
        </w:rPr>
      </w:pPr>
    </w:p>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4. Attitude item-wise responses</w:t>
      </w:r>
    </w:p>
    <w:tbl>
      <w:tblPr>
        <w:tblStyle w:val="a2"/>
        <w:tblW w:w="9026" w:type="dxa"/>
        <w:tblInd w:w="0" w:type="dxa"/>
        <w:tblLayout w:type="fixed"/>
        <w:tblLook w:val="0400" w:firstRow="0" w:lastRow="0" w:firstColumn="0" w:lastColumn="0" w:noHBand="0" w:noVBand="1"/>
      </w:tblPr>
      <w:tblGrid>
        <w:gridCol w:w="5216"/>
        <w:gridCol w:w="3810"/>
      </w:tblGrid>
      <w:tr w:rsidR="00F15E63">
        <w:trPr>
          <w:tblHeader/>
        </w:trPr>
        <w:tc>
          <w:tcPr>
            <w:tcW w:w="5216" w:type="dxa"/>
            <w:vAlign w:val="center"/>
          </w:tcPr>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Attitude item</w:t>
            </w:r>
          </w:p>
        </w:tc>
        <w:tc>
          <w:tcPr>
            <w:tcW w:w="3810" w:type="dxa"/>
            <w:vAlign w:val="center"/>
          </w:tcPr>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Favourable response n (%)</w:t>
            </w:r>
          </w:p>
        </w:tc>
      </w:tr>
      <w:tr w:rsidR="00F15E63">
        <w:tc>
          <w:tcPr>
            <w:tcW w:w="5216"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Does not believe insulin means diabetes has worsened</w:t>
            </w:r>
          </w:p>
        </w:tc>
        <w:tc>
          <w:tcPr>
            <w:tcW w:w="3810"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 (48)</w:t>
            </w:r>
          </w:p>
        </w:tc>
      </w:tr>
      <w:tr w:rsidR="00F15E63">
        <w:tc>
          <w:tcPr>
            <w:tcW w:w="5216"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 worried/embarrassed about taking insulin in public</w:t>
            </w:r>
          </w:p>
        </w:tc>
        <w:tc>
          <w:tcPr>
            <w:tcW w:w="3810"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 (53)</w:t>
            </w:r>
          </w:p>
        </w:tc>
      </w:tr>
    </w:tbl>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findings are consistent with psychological insulin resistance described in previous studies, where insulin is associated with disease severity, failure of self-care, or stigma.</w:t>
      </w:r>
      <w:r>
        <w:rPr>
          <w:rFonts w:ascii="Times New Roman" w:eastAsia="Times New Roman" w:hAnsi="Times New Roman" w:cs="Times New Roman"/>
          <w:sz w:val="24"/>
          <w:szCs w:val="24"/>
          <w:vertAlign w:val="superscript"/>
        </w:rPr>
        <w:t>8,9</w:t>
      </w:r>
      <w:r>
        <w:rPr>
          <w:rFonts w:ascii="Times New Roman" w:eastAsia="Times New Roman" w:hAnsi="Times New Roman" w:cs="Times New Roman"/>
          <w:sz w:val="24"/>
          <w:szCs w:val="24"/>
        </w:rPr>
        <w:t xml:space="preserve"> Such attitudes may reduce adherence and delay intensification of therapy</w:t>
      </w:r>
    </w:p>
    <w:p w:rsidR="00F15E63" w:rsidRDefault="00F15E63" w:rsidP="003060DD">
      <w:pPr>
        <w:jc w:val="both"/>
        <w:rPr>
          <w:rFonts w:ascii="Times New Roman" w:eastAsia="Times New Roman" w:hAnsi="Times New Roman" w:cs="Times New Roman"/>
          <w:sz w:val="24"/>
          <w:szCs w:val="24"/>
        </w:rPr>
      </w:pPr>
    </w:p>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Practice domain</w:t>
      </w:r>
    </w:p>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practice domain also showed significant deficiencies. Only 45% disposed of needles properly, and safe needle reuse practice was observed in only 37%. Correct injection-technique-related practice was reported by 53%.</w:t>
      </w:r>
    </w:p>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5. Practice item-wise responses</w:t>
      </w:r>
    </w:p>
    <w:tbl>
      <w:tblPr>
        <w:tblStyle w:val="a3"/>
        <w:tblW w:w="6858" w:type="dxa"/>
        <w:tblInd w:w="0" w:type="dxa"/>
        <w:tblLayout w:type="fixed"/>
        <w:tblLook w:val="0400" w:firstRow="0" w:lastRow="0" w:firstColumn="0" w:lastColumn="0" w:noHBand="0" w:noVBand="1"/>
      </w:tblPr>
      <w:tblGrid>
        <w:gridCol w:w="4385"/>
        <w:gridCol w:w="2473"/>
      </w:tblGrid>
      <w:tr w:rsidR="00F15E63">
        <w:trPr>
          <w:tblHeader/>
        </w:trPr>
        <w:tc>
          <w:tcPr>
            <w:tcW w:w="4385" w:type="dxa"/>
            <w:vAlign w:val="center"/>
          </w:tcPr>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Practice item</w:t>
            </w:r>
          </w:p>
        </w:tc>
        <w:tc>
          <w:tcPr>
            <w:tcW w:w="2473" w:type="dxa"/>
            <w:vAlign w:val="center"/>
          </w:tcPr>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Correct response n (%)</w:t>
            </w:r>
          </w:p>
        </w:tc>
      </w:tr>
      <w:tr w:rsidR="00F15E63">
        <w:tc>
          <w:tcPr>
            <w:tcW w:w="4385"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Proper disposal of used needles</w:t>
            </w:r>
          </w:p>
        </w:tc>
        <w:tc>
          <w:tcPr>
            <w:tcW w:w="2473"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 (45)</w:t>
            </w:r>
          </w:p>
        </w:tc>
      </w:tr>
      <w:tr w:rsidR="00F15E63">
        <w:tc>
          <w:tcPr>
            <w:tcW w:w="4385" w:type="dxa"/>
            <w:vAlign w:val="center"/>
          </w:tcPr>
          <w:p w:rsidR="00F15E63" w:rsidRDefault="003060DD" w:rsidP="003060DD">
            <w:pPr>
              <w:jc w:val="both"/>
              <w:rPr>
                <w:rFonts w:ascii="Times New Roman" w:eastAsia="Times New Roman" w:hAnsi="Times New Roman" w:cs="Times New Roman"/>
                <w:sz w:val="24"/>
                <w:szCs w:val="24"/>
              </w:rPr>
            </w:pPr>
            <w:sdt>
              <w:sdtPr>
                <w:tag w:val="goog_rdk_0"/>
                <w:id w:val="1763060253"/>
              </w:sdtPr>
              <w:sdtEndPr/>
              <w:sdtContent>
                <w:r w:rsidR="00431E54">
                  <w:rPr>
                    <w:rFonts w:ascii="Gungsuh" w:eastAsia="Gungsuh" w:hAnsi="Gungsuh" w:cs="Gungsuh"/>
                    <w:sz w:val="24"/>
                    <w:szCs w:val="24"/>
                  </w:rPr>
                  <w:t>Safe needle reuse practice (never or ≤1 time)</w:t>
                </w:r>
              </w:sdtContent>
            </w:sdt>
          </w:p>
        </w:tc>
        <w:tc>
          <w:tcPr>
            <w:tcW w:w="2473"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 (37)</w:t>
            </w:r>
          </w:p>
        </w:tc>
      </w:tr>
      <w:tr w:rsidR="00F15E63">
        <w:tc>
          <w:tcPr>
            <w:tcW w:w="4385"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Correct injection-technique-related practice</w:t>
            </w:r>
          </w:p>
        </w:tc>
        <w:tc>
          <w:tcPr>
            <w:tcW w:w="2473"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 (53)</w:t>
            </w:r>
          </w:p>
        </w:tc>
      </w:tr>
    </w:tbl>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findings show that actual day-to-day insulin-related behaviour remains poor even when some awareness is present. Practice is often shaped by cost constraints, habit, lack of demonstration, and absence of repeated counselling.</w:t>
      </w:r>
    </w:p>
    <w:p w:rsidR="00F15E63" w:rsidRDefault="00F15E63" w:rsidP="003060DD">
      <w:pPr>
        <w:jc w:val="both"/>
        <w:rPr>
          <w:rFonts w:ascii="Times New Roman" w:eastAsia="Times New Roman" w:hAnsi="Times New Roman" w:cs="Times New Roman"/>
          <w:sz w:val="24"/>
          <w:szCs w:val="24"/>
        </w:rPr>
      </w:pPr>
    </w:p>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Disposal methods</w:t>
      </w:r>
    </w:p>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Disposal practices were heterogeneous and often unsafe. Burning and vague “other” methods were common, while formal sharps-disposal practices were less frequent.</w:t>
      </w:r>
    </w:p>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6. Disposal methods used by study participants</w:t>
      </w:r>
    </w:p>
    <w:tbl>
      <w:tblPr>
        <w:tblStyle w:val="a4"/>
        <w:tblW w:w="3050" w:type="dxa"/>
        <w:tblInd w:w="0" w:type="dxa"/>
        <w:tblLayout w:type="fixed"/>
        <w:tblLook w:val="0400" w:firstRow="0" w:lastRow="0" w:firstColumn="0" w:lastColumn="0" w:noHBand="0" w:noVBand="1"/>
      </w:tblPr>
      <w:tblGrid>
        <w:gridCol w:w="1895"/>
        <w:gridCol w:w="1155"/>
      </w:tblGrid>
      <w:tr w:rsidR="00F15E63">
        <w:trPr>
          <w:tblHeader/>
        </w:trPr>
        <w:tc>
          <w:tcPr>
            <w:tcW w:w="1895" w:type="dxa"/>
            <w:vAlign w:val="center"/>
          </w:tcPr>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Disposal method</w:t>
            </w:r>
          </w:p>
        </w:tc>
        <w:tc>
          <w:tcPr>
            <w:tcW w:w="1155" w:type="dxa"/>
            <w:vAlign w:val="center"/>
          </w:tcPr>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 (%)</w:t>
            </w:r>
          </w:p>
        </w:tc>
      </w:tr>
      <w:tr w:rsidR="00F15E63">
        <w:tc>
          <w:tcPr>
            <w:tcW w:w="1895"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Burned</w:t>
            </w:r>
          </w:p>
        </w:tc>
        <w:tc>
          <w:tcPr>
            <w:tcW w:w="1155"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(23)</w:t>
            </w:r>
          </w:p>
        </w:tc>
      </w:tr>
      <w:tr w:rsidR="00F15E63">
        <w:tc>
          <w:tcPr>
            <w:tcW w:w="1895"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Others</w:t>
            </w:r>
          </w:p>
        </w:tc>
        <w:tc>
          <w:tcPr>
            <w:tcW w:w="1155"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(20)</w:t>
            </w:r>
          </w:p>
        </w:tc>
      </w:tr>
      <w:tr w:rsidR="00F15E63">
        <w:tc>
          <w:tcPr>
            <w:tcW w:w="1895"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Plastic bottle</w:t>
            </w:r>
          </w:p>
        </w:tc>
        <w:tc>
          <w:tcPr>
            <w:tcW w:w="1155"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(17)</w:t>
            </w:r>
          </w:p>
        </w:tc>
      </w:tr>
      <w:tr w:rsidR="00F15E63">
        <w:tc>
          <w:tcPr>
            <w:tcW w:w="1895"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Sharps container</w:t>
            </w:r>
          </w:p>
        </w:tc>
        <w:tc>
          <w:tcPr>
            <w:tcW w:w="1155"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(16.)</w:t>
            </w:r>
          </w:p>
        </w:tc>
      </w:tr>
      <w:tr w:rsidR="00F15E63">
        <w:tc>
          <w:tcPr>
            <w:tcW w:w="1895"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Improper disposal</w:t>
            </w:r>
          </w:p>
        </w:tc>
        <w:tc>
          <w:tcPr>
            <w:tcW w:w="1155"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(12)</w:t>
            </w:r>
          </w:p>
        </w:tc>
      </w:tr>
      <w:tr w:rsidR="00F15E63">
        <w:tc>
          <w:tcPr>
            <w:tcW w:w="1895"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Hospital collection</w:t>
            </w:r>
          </w:p>
        </w:tc>
        <w:tc>
          <w:tcPr>
            <w:tcW w:w="1155"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(12)</w:t>
            </w:r>
          </w:p>
        </w:tc>
      </w:tr>
    </w:tbl>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 3: Distribution of disposal methods among participants</w:t>
      </w:r>
    </w:p>
    <w:p w:rsidR="00F15E63" w:rsidRDefault="00431E54" w:rsidP="003060DD">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Although storage in puncture-proof containers such as rigid plastic bottles may be safer than open disposal, it is still not equivalent to a structured sharps-disposal system unless managed properly. Burning and non-standard disposal methods create avoidable hazards for households and the community.</w:t>
      </w:r>
      <w:r>
        <w:rPr>
          <w:rFonts w:ascii="Times New Roman" w:eastAsia="Times New Roman" w:hAnsi="Times New Roman" w:cs="Times New Roman"/>
          <w:sz w:val="24"/>
          <w:szCs w:val="24"/>
          <w:vertAlign w:val="superscript"/>
        </w:rPr>
        <w:t>4,6</w:t>
      </w:r>
    </w:p>
    <w:p w:rsidR="00F15E63" w:rsidRDefault="00F15E63" w:rsidP="003060DD">
      <w:pPr>
        <w:jc w:val="both"/>
        <w:rPr>
          <w:rFonts w:ascii="Times New Roman" w:eastAsia="Times New Roman" w:hAnsi="Times New Roman" w:cs="Times New Roman"/>
          <w:sz w:val="24"/>
          <w:szCs w:val="24"/>
          <w:vertAlign w:val="superscript"/>
        </w:rPr>
      </w:pPr>
    </w:p>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858731" cy="300441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858731" cy="3004418"/>
                    </a:xfrm>
                    <a:prstGeom prst="rect">
                      <a:avLst/>
                    </a:prstGeom>
                    <a:ln/>
                  </pic:spPr>
                </pic:pic>
              </a:graphicData>
            </a:graphic>
          </wp:inline>
        </w:drawing>
      </w:r>
    </w:p>
    <w:p w:rsidR="00F15E63" w:rsidRDefault="00F15E63" w:rsidP="003060DD">
      <w:pPr>
        <w:jc w:val="both"/>
        <w:rPr>
          <w:rFonts w:ascii="Times New Roman" w:eastAsia="Times New Roman" w:hAnsi="Times New Roman" w:cs="Times New Roman"/>
          <w:sz w:val="24"/>
          <w:szCs w:val="24"/>
        </w:rPr>
      </w:pPr>
    </w:p>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Domain comparison</w:t>
      </w:r>
    </w:p>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7. Comparative summary of KAP domains</w:t>
      </w:r>
    </w:p>
    <w:tbl>
      <w:tblPr>
        <w:tblStyle w:val="a5"/>
        <w:tblW w:w="4200" w:type="dxa"/>
        <w:tblInd w:w="0" w:type="dxa"/>
        <w:tblLayout w:type="fixed"/>
        <w:tblLook w:val="0400" w:firstRow="0" w:lastRow="0" w:firstColumn="0" w:lastColumn="0" w:noHBand="0" w:noVBand="1"/>
      </w:tblPr>
      <w:tblGrid>
        <w:gridCol w:w="1182"/>
        <w:gridCol w:w="1236"/>
        <w:gridCol w:w="1782"/>
      </w:tblGrid>
      <w:tr w:rsidR="00F15E63">
        <w:trPr>
          <w:tblHeader/>
        </w:trPr>
        <w:tc>
          <w:tcPr>
            <w:tcW w:w="1182" w:type="dxa"/>
            <w:vAlign w:val="center"/>
          </w:tcPr>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Domain</w:t>
            </w:r>
          </w:p>
        </w:tc>
        <w:tc>
          <w:tcPr>
            <w:tcW w:w="1236" w:type="dxa"/>
            <w:vAlign w:val="center"/>
          </w:tcPr>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Mean score</w:t>
            </w:r>
          </w:p>
        </w:tc>
        <w:tc>
          <w:tcPr>
            <w:tcW w:w="1782" w:type="dxa"/>
            <w:vAlign w:val="center"/>
          </w:tcPr>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Interpretation</w:t>
            </w:r>
          </w:p>
        </w:tc>
      </w:tr>
      <w:tr w:rsidR="00F15E63">
        <w:tc>
          <w:tcPr>
            <w:tcW w:w="1182"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w:t>
            </w:r>
          </w:p>
        </w:tc>
        <w:tc>
          <w:tcPr>
            <w:tcW w:w="1236"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1.45 / 4</w:t>
            </w:r>
          </w:p>
        </w:tc>
        <w:tc>
          <w:tcPr>
            <w:tcW w:w="1782"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Poor</w:t>
            </w:r>
          </w:p>
        </w:tc>
      </w:tr>
      <w:tr w:rsidR="00F15E63">
        <w:tc>
          <w:tcPr>
            <w:tcW w:w="1182"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Attitude</w:t>
            </w:r>
          </w:p>
        </w:tc>
        <w:tc>
          <w:tcPr>
            <w:tcW w:w="1236"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 / 2</w:t>
            </w:r>
          </w:p>
        </w:tc>
        <w:tc>
          <w:tcPr>
            <w:tcW w:w="1782"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r>
      <w:tr w:rsidR="00F15E63">
        <w:tc>
          <w:tcPr>
            <w:tcW w:w="1182"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Practice</w:t>
            </w:r>
          </w:p>
        </w:tc>
        <w:tc>
          <w:tcPr>
            <w:tcW w:w="1236"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1.35 / 3</w:t>
            </w:r>
          </w:p>
        </w:tc>
        <w:tc>
          <w:tcPr>
            <w:tcW w:w="1782"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Poor</w:t>
            </w:r>
          </w:p>
        </w:tc>
      </w:tr>
      <w:tr w:rsidR="00F15E63">
        <w:tc>
          <w:tcPr>
            <w:tcW w:w="1182"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 KAP</w:t>
            </w:r>
          </w:p>
        </w:tc>
        <w:tc>
          <w:tcPr>
            <w:tcW w:w="1236"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3.81 / 9</w:t>
            </w:r>
          </w:p>
        </w:tc>
        <w:tc>
          <w:tcPr>
            <w:tcW w:w="1782"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Moderate-to-poor</w:t>
            </w:r>
          </w:p>
        </w:tc>
      </w:tr>
    </w:tbl>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*KAP= knowledge, attitude and practice</w:t>
      </w:r>
    </w:p>
    <w:p w:rsidR="00F15E63" w:rsidRDefault="00F15E63" w:rsidP="003060DD">
      <w:pPr>
        <w:jc w:val="both"/>
        <w:rPr>
          <w:rFonts w:ascii="Times New Roman" w:eastAsia="Times New Roman" w:hAnsi="Times New Roman" w:cs="Times New Roman"/>
          <w:b/>
          <w:bCs/>
          <w:sz w:val="24"/>
          <w:szCs w:val="24"/>
        </w:rPr>
      </w:pPr>
    </w:p>
    <w:p w:rsidR="00F15E63" w:rsidRDefault="00F15E63" w:rsidP="003060DD">
      <w:pPr>
        <w:jc w:val="both"/>
        <w:rPr>
          <w:rFonts w:ascii="Times New Roman" w:eastAsia="Times New Roman" w:hAnsi="Times New Roman" w:cs="Times New Roman"/>
          <w:b/>
          <w:bCs/>
          <w:sz w:val="24"/>
          <w:szCs w:val="24"/>
        </w:rPr>
      </w:pPr>
    </w:p>
    <w:p w:rsidR="00F15E63" w:rsidRDefault="00F15E63" w:rsidP="003060DD">
      <w:pPr>
        <w:jc w:val="both"/>
        <w:rPr>
          <w:rFonts w:ascii="Times New Roman" w:eastAsia="Times New Roman" w:hAnsi="Times New Roman" w:cs="Times New Roman"/>
          <w:b/>
          <w:bCs/>
          <w:sz w:val="24"/>
          <w:szCs w:val="24"/>
        </w:rPr>
      </w:pPr>
    </w:p>
    <w:p w:rsidR="00F15E63" w:rsidRDefault="00F15E63" w:rsidP="003060DD">
      <w:pPr>
        <w:jc w:val="both"/>
        <w:rPr>
          <w:rFonts w:ascii="Times New Roman" w:eastAsia="Times New Roman" w:hAnsi="Times New Roman" w:cs="Times New Roman"/>
          <w:b/>
          <w:bCs/>
          <w:sz w:val="24"/>
          <w:szCs w:val="24"/>
        </w:rPr>
      </w:pPr>
    </w:p>
    <w:p w:rsidR="00F15E63" w:rsidRDefault="00F15E63" w:rsidP="003060DD">
      <w:pPr>
        <w:jc w:val="both"/>
        <w:rPr>
          <w:rFonts w:ascii="Times New Roman" w:eastAsia="Times New Roman" w:hAnsi="Times New Roman" w:cs="Times New Roman"/>
          <w:b/>
          <w:bCs/>
          <w:sz w:val="24"/>
          <w:szCs w:val="24"/>
        </w:rPr>
      </w:pPr>
    </w:p>
    <w:p w:rsidR="00F15E63" w:rsidRDefault="00F15E63" w:rsidP="003060DD">
      <w:pPr>
        <w:jc w:val="both"/>
        <w:rPr>
          <w:rFonts w:ascii="Times New Roman" w:eastAsia="Times New Roman" w:hAnsi="Times New Roman" w:cs="Times New Roman"/>
          <w:b/>
          <w:bCs/>
          <w:sz w:val="24"/>
          <w:szCs w:val="24"/>
        </w:rPr>
      </w:pPr>
    </w:p>
    <w:p w:rsidR="00F15E63" w:rsidRDefault="00F15E63" w:rsidP="003060DD">
      <w:pPr>
        <w:jc w:val="both"/>
        <w:rPr>
          <w:rFonts w:ascii="Times New Roman" w:eastAsia="Times New Roman" w:hAnsi="Times New Roman" w:cs="Times New Roman"/>
          <w:b/>
          <w:bCs/>
          <w:sz w:val="24"/>
          <w:szCs w:val="24"/>
        </w:rPr>
      </w:pPr>
    </w:p>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8. Mean domain scores as percentage of maximum possible score</w:t>
      </w:r>
    </w:p>
    <w:tbl>
      <w:tblPr>
        <w:tblStyle w:val="a6"/>
        <w:tblW w:w="6698" w:type="dxa"/>
        <w:tblInd w:w="0" w:type="dxa"/>
        <w:tblLayout w:type="fixed"/>
        <w:tblLook w:val="0400" w:firstRow="0" w:lastRow="0" w:firstColumn="0" w:lastColumn="0" w:noHBand="0" w:noVBand="1"/>
      </w:tblPr>
      <w:tblGrid>
        <w:gridCol w:w="1182"/>
        <w:gridCol w:w="1236"/>
        <w:gridCol w:w="1716"/>
        <w:gridCol w:w="2564"/>
      </w:tblGrid>
      <w:tr w:rsidR="00F15E63">
        <w:trPr>
          <w:tblHeader/>
        </w:trPr>
        <w:tc>
          <w:tcPr>
            <w:tcW w:w="1182" w:type="dxa"/>
            <w:vAlign w:val="center"/>
          </w:tcPr>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Domain</w:t>
            </w:r>
          </w:p>
        </w:tc>
        <w:tc>
          <w:tcPr>
            <w:tcW w:w="1236" w:type="dxa"/>
            <w:vAlign w:val="center"/>
          </w:tcPr>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Mean score</w:t>
            </w:r>
          </w:p>
        </w:tc>
        <w:tc>
          <w:tcPr>
            <w:tcW w:w="1716" w:type="dxa"/>
            <w:vAlign w:val="center"/>
          </w:tcPr>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Maximum score</w:t>
            </w:r>
          </w:p>
        </w:tc>
        <w:tc>
          <w:tcPr>
            <w:tcW w:w="2564" w:type="dxa"/>
            <w:vAlign w:val="center"/>
          </w:tcPr>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 of maximum</w:t>
            </w:r>
          </w:p>
        </w:tc>
      </w:tr>
      <w:tr w:rsidR="00F15E63">
        <w:tc>
          <w:tcPr>
            <w:tcW w:w="1182"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w:t>
            </w:r>
          </w:p>
        </w:tc>
        <w:tc>
          <w:tcPr>
            <w:tcW w:w="1236"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1.45</w:t>
            </w:r>
          </w:p>
        </w:tc>
        <w:tc>
          <w:tcPr>
            <w:tcW w:w="1716"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564"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F15E63">
        <w:tc>
          <w:tcPr>
            <w:tcW w:w="1182"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Attitude</w:t>
            </w:r>
          </w:p>
        </w:tc>
        <w:tc>
          <w:tcPr>
            <w:tcW w:w="1236"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c>
          <w:tcPr>
            <w:tcW w:w="1716"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64"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F15E63">
        <w:tc>
          <w:tcPr>
            <w:tcW w:w="1182"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Practice</w:t>
            </w:r>
          </w:p>
        </w:tc>
        <w:tc>
          <w:tcPr>
            <w:tcW w:w="1236"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1716"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564"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F15E63">
        <w:tc>
          <w:tcPr>
            <w:tcW w:w="1182"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 KAP</w:t>
            </w:r>
          </w:p>
        </w:tc>
        <w:tc>
          <w:tcPr>
            <w:tcW w:w="1236"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3.81</w:t>
            </w:r>
          </w:p>
        </w:tc>
        <w:tc>
          <w:tcPr>
            <w:tcW w:w="1716"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564" w:type="dxa"/>
            <w:vAlign w:val="center"/>
          </w:tcPr>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bl>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*KAP= knowledge, attitude and practice</w:t>
      </w:r>
    </w:p>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pattern demonstrates a clear KAP gap. Knowledge was the poorest domain, and practice also remained poor. Attitude was somewhat better, but still only around half of the maximum possible performance.</w:t>
      </w:r>
    </w:p>
    <w:p w:rsidR="00F15E63" w:rsidRDefault="00F15E63" w:rsidP="003060DD">
      <w:pPr>
        <w:jc w:val="both"/>
        <w:rPr>
          <w:rFonts w:ascii="Times New Roman" w:eastAsia="Times New Roman" w:hAnsi="Times New Roman" w:cs="Times New Roman"/>
          <w:sz w:val="24"/>
          <w:szCs w:val="24"/>
        </w:rPr>
      </w:pPr>
    </w:p>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KAP score distribution</w:t>
      </w:r>
    </w:p>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median total KAP score was 4, with an interquartile range of 3–5, indicating clustering in the lower-middle range.</w:t>
      </w:r>
    </w:p>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4. Distribution of total KAP scores among study participants</w:t>
      </w:r>
    </w:p>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inline distT="0" distB="0" distL="0" distR="0">
            <wp:extent cx="4519425" cy="2794607"/>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519425" cy="2794607"/>
                    </a:xfrm>
                    <a:prstGeom prst="rect">
                      <a:avLst/>
                    </a:prstGeom>
                    <a:ln/>
                  </pic:spPr>
                </pic:pic>
              </a:graphicData>
            </a:graphic>
          </wp:inline>
        </w:drawing>
      </w:r>
    </w:p>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This score distribution supports the conclusion that most participants did not demonstrate high levels of insulin-related knowledge and practice. </w:t>
      </w:r>
    </w:p>
    <w:p w:rsidR="00F15E63" w:rsidRDefault="00F15E63" w:rsidP="003060DD">
      <w:pPr>
        <w:jc w:val="both"/>
        <w:rPr>
          <w:rFonts w:ascii="Times New Roman" w:eastAsia="Times New Roman" w:hAnsi="Times New Roman" w:cs="Times New Roman"/>
          <w:sz w:val="24"/>
          <w:szCs w:val="24"/>
        </w:rPr>
      </w:pPr>
    </w:p>
    <w:p w:rsidR="00F15E63" w:rsidRDefault="00431E54" w:rsidP="003060DD">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This study demonstrates important deficiencies in insulin-related knowledge and practice among patients receiving insulin therapy, despite relatively long duration of diabetes mellitus and insulin use. The mean knowledge score was low, with correct understanding of insulin storage present in only 6% of participants. This is particularly relevant because storage errors can reduce insulin potency and may be misinterpreted clinically as treatment failure.</w:t>
      </w:r>
      <w:r>
        <w:rPr>
          <w:rFonts w:ascii="Times New Roman" w:eastAsia="Times New Roman" w:hAnsi="Times New Roman" w:cs="Times New Roman"/>
          <w:sz w:val="24"/>
          <w:szCs w:val="24"/>
          <w:vertAlign w:val="superscript"/>
        </w:rPr>
        <w:t>4,5</w:t>
      </w:r>
    </w:p>
    <w:p w:rsidR="00F15E63" w:rsidRDefault="00431E54" w:rsidP="003060DD">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Awareness regarding needle reuse, site rotation, and hypoglycaemia was also inadequate. Repeated needle reuse and poor rotation practices are known contributors to </w:t>
      </w:r>
      <w:proofErr w:type="spellStart"/>
      <w:r>
        <w:rPr>
          <w:rFonts w:ascii="Times New Roman" w:eastAsia="Times New Roman" w:hAnsi="Times New Roman" w:cs="Times New Roman"/>
          <w:sz w:val="24"/>
          <w:szCs w:val="24"/>
        </w:rPr>
        <w:t>lipohypertrophy</w:t>
      </w:r>
      <w:proofErr w:type="spellEnd"/>
      <w:r>
        <w:rPr>
          <w:rFonts w:ascii="Times New Roman" w:eastAsia="Times New Roman" w:hAnsi="Times New Roman" w:cs="Times New Roman"/>
          <w:sz w:val="24"/>
          <w:szCs w:val="24"/>
        </w:rPr>
        <w:t>, pain, tissue trauma, and erratic absorption.</w:t>
      </w:r>
      <w:r>
        <w:rPr>
          <w:rFonts w:ascii="Times New Roman" w:eastAsia="Times New Roman" w:hAnsi="Times New Roman" w:cs="Times New Roman"/>
          <w:sz w:val="24"/>
          <w:szCs w:val="24"/>
          <w:vertAlign w:val="superscript"/>
        </w:rPr>
        <w:t>6,7,10</w:t>
      </w:r>
      <w:r>
        <w:rPr>
          <w:rFonts w:ascii="Times New Roman" w:eastAsia="Times New Roman" w:hAnsi="Times New Roman" w:cs="Times New Roman"/>
          <w:sz w:val="24"/>
          <w:szCs w:val="24"/>
        </w:rPr>
        <w:t xml:space="preserve"> Similarly, poor awareness of hypoglycaemia is concerning because insulin-treated patients are inherently at risk of symptomatic and severe episodes.</w:t>
      </w:r>
      <w:r>
        <w:rPr>
          <w:rFonts w:ascii="Times New Roman" w:eastAsia="Times New Roman" w:hAnsi="Times New Roman" w:cs="Times New Roman"/>
          <w:sz w:val="24"/>
          <w:szCs w:val="24"/>
          <w:vertAlign w:val="superscript"/>
        </w:rPr>
        <w:t>11</w:t>
      </w:r>
    </w:p>
    <w:p w:rsidR="00F15E63" w:rsidRDefault="00431E54" w:rsidP="003060DD">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Attitude-related findings showed that many participants still perceived insulin as a sign of worsening disease or felt discomfort about taking insulin in public. These findings align with prior literature on psychological insulin resistance and social barriers to insulin therapy.</w:t>
      </w:r>
      <w:r>
        <w:rPr>
          <w:rFonts w:ascii="Times New Roman" w:eastAsia="Times New Roman" w:hAnsi="Times New Roman" w:cs="Times New Roman"/>
          <w:sz w:val="24"/>
          <w:szCs w:val="24"/>
          <w:vertAlign w:val="superscript"/>
        </w:rPr>
        <w:t>8,9,12</w:t>
      </w:r>
    </w:p>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Practice findings were particularly concerning. Only 37% demonstrated safe needle reuse practice and only 45% reported proper disposal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Unsafe disposal practices such as burning or undefined methods suggest lack of standardized education and poor access to safe disposal systems.</w:t>
      </w:r>
    </w:p>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Overall, the data suggest that an insulin prescription alone is not sufficient. Education must be repeated, practical, and demonstration-based. A one-time explanation at insulin initiation does not appear to produce durable behavioural improvement. Given that participants had diabetes mellitus for a mean duration of over 13 years and had been on insulin for over 4 years on average, the observed deficiencies point toward inadequate reinforcement rather than lack of opportunity to learn.</w:t>
      </w:r>
    </w:p>
    <w:p w:rsidR="00F15E63" w:rsidRDefault="00F15E63" w:rsidP="003060DD">
      <w:pPr>
        <w:jc w:val="both"/>
        <w:rPr>
          <w:rFonts w:ascii="Times New Roman" w:eastAsia="Times New Roman" w:hAnsi="Times New Roman" w:cs="Times New Roman"/>
          <w:sz w:val="24"/>
          <w:szCs w:val="24"/>
        </w:rPr>
      </w:pPr>
    </w:p>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Strengths and limitations</w:t>
      </w:r>
    </w:p>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strength of the study is that it evaluates knowledge, attitude, and practice together rather than focusing on a single dimension of insulin use. It also reflects real-world patient behaviour in a tertiary care setting.</w:t>
      </w:r>
    </w:p>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main limitation is that the uploaded dataset supported analysis of a 9-point KAP structure rather than the full theoretical score suggested by all questionnaire items. In addition, the present analysis is primarily descriptive. If the original dataset in spreadsheet format is available, further subgroup analysis by age, sex, education, socioeconomic status, and duration of diabetes could strengthen the manuscript.</w:t>
      </w:r>
    </w:p>
    <w:p w:rsidR="00F15E63" w:rsidRDefault="00F15E63" w:rsidP="003060DD">
      <w:pPr>
        <w:jc w:val="both"/>
        <w:rPr>
          <w:rFonts w:ascii="Times New Roman" w:eastAsia="Times New Roman" w:hAnsi="Times New Roman" w:cs="Times New Roman"/>
          <w:sz w:val="24"/>
          <w:szCs w:val="24"/>
        </w:rPr>
      </w:pPr>
    </w:p>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This study shows that patients receiving insulin therapy have significant deficiencies in insulin-related knowledge and practice, with only moderate performance in the attitude domain. The weakest area was knowledge, especially awareness of correct insulin storage. Needle reuse and disposal practices were also inadequate in a substantial proportion of participants.</w:t>
      </w:r>
    </w:p>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findings highlight the need for structured and repeated education covering insulin storage, site rotation, needle </w:t>
      </w:r>
      <w:proofErr w:type="gramStart"/>
      <w:r>
        <w:rPr>
          <w:rFonts w:ascii="Times New Roman" w:eastAsia="Times New Roman" w:hAnsi="Times New Roman" w:cs="Times New Roman"/>
          <w:sz w:val="24"/>
          <w:szCs w:val="24"/>
        </w:rPr>
        <w:t>reuse,  hypoglycaemia</w:t>
      </w:r>
      <w:proofErr w:type="gramEnd"/>
      <w:r>
        <w:rPr>
          <w:rFonts w:ascii="Times New Roman" w:eastAsia="Times New Roman" w:hAnsi="Times New Roman" w:cs="Times New Roman"/>
          <w:sz w:val="24"/>
          <w:szCs w:val="24"/>
        </w:rPr>
        <w:t xml:space="preserve"> recognition, and sharps disposal. Demonstration-based counselling by physicians, nurses, and diabetes educators should be integrated into routine follow-up. Improving patient knowledge and technique may improve glycaemic control, reduce complications, and decrease avoidable healthcare burden.</w:t>
      </w:r>
    </w:p>
    <w:p w:rsidR="00F15E63" w:rsidRDefault="00F15E63" w:rsidP="003060DD">
      <w:pPr>
        <w:jc w:val="both"/>
        <w:rPr>
          <w:rFonts w:ascii="Times New Roman" w:eastAsia="Times New Roman" w:hAnsi="Times New Roman" w:cs="Times New Roman"/>
          <w:sz w:val="24"/>
          <w:szCs w:val="24"/>
        </w:rPr>
      </w:pPr>
    </w:p>
    <w:p w:rsidR="00F15E63" w:rsidRDefault="003060DD" w:rsidP="003060DD">
      <w:pPr>
        <w:jc w:val="both"/>
        <w:rPr>
          <w:rFonts w:ascii="Times New Roman" w:eastAsia="Times New Roman" w:hAnsi="Times New Roman" w:cs="Times New Roman"/>
          <w:sz w:val="24"/>
          <w:szCs w:val="24"/>
        </w:rPr>
      </w:pPr>
      <w:r>
        <w:pict>
          <v:rect id="_x0000_i1025" style="width:0;height:1.5pt" o:hralign="center" o:hrstd="t" o:hr="t" fillcolor="#a0a0a0" stroked="f"/>
        </w:pict>
      </w:r>
    </w:p>
    <w:p w:rsidR="00F15E63" w:rsidRDefault="00F15E63" w:rsidP="003060DD">
      <w:pPr>
        <w:jc w:val="both"/>
        <w:rPr>
          <w:rFonts w:ascii="Times New Roman" w:eastAsia="Times New Roman" w:hAnsi="Times New Roman" w:cs="Times New Roman"/>
          <w:sz w:val="24"/>
          <w:szCs w:val="24"/>
        </w:rPr>
      </w:pPr>
    </w:p>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CONSENT</w:t>
      </w:r>
    </w:p>
    <w:p w:rsidR="00F15E63" w:rsidRDefault="00B12D48" w:rsidP="003060DD">
      <w:pPr>
        <w:jc w:val="both"/>
        <w:rPr>
          <w:rFonts w:ascii="Times New Roman" w:eastAsia="Times New Roman" w:hAnsi="Times New Roman" w:cs="Times New Roman"/>
          <w:sz w:val="24"/>
          <w:szCs w:val="24"/>
        </w:rPr>
      </w:pPr>
      <w:r w:rsidRPr="00B12D48">
        <w:rPr>
          <w:rFonts w:ascii="Times New Roman" w:eastAsia="Times New Roman" w:hAnsi="Times New Roman" w:cs="Times New Roman"/>
          <w:sz w:val="24"/>
          <w:szCs w:val="24"/>
        </w:rPr>
        <w:t>As per international standards or university standards, Participants’ written consent has been collected and preserved by the author(s).</w:t>
      </w:r>
      <w:r w:rsidR="003060DD">
        <w:pict>
          <v:rect id="_x0000_i1026" style="width:0;height:1.5pt" o:hralign="center" o:hrstd="t" o:hr="t" fillcolor="#a0a0a0" stroked="f"/>
        </w:pict>
      </w:r>
    </w:p>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ETHICAL APPROVAL</w:t>
      </w:r>
    </w:p>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was conducted after obtaining approval from the appropriate Institutional Ethics Committee and in accordance with accepted ethical standards.</w:t>
      </w:r>
    </w:p>
    <w:p w:rsidR="00F15E63" w:rsidRDefault="00F15E63" w:rsidP="003060DD">
      <w:pPr>
        <w:jc w:val="both"/>
        <w:rPr>
          <w:rFonts w:ascii="Times New Roman" w:eastAsia="Times New Roman" w:hAnsi="Times New Roman" w:cs="Times New Roman"/>
          <w:sz w:val="24"/>
          <w:szCs w:val="24"/>
        </w:rPr>
      </w:pPr>
    </w:p>
    <w:p w:rsidR="00F15E63" w:rsidRDefault="00431E54" w:rsidP="003060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rsidR="00F15E63" w:rsidRDefault="00431E54" w:rsidP="003060DD">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American Diabetes Association. Standards of care in diabetes—2024. Diabetes Care 2024;47:S1-S321. </w:t>
      </w:r>
    </w:p>
    <w:p w:rsidR="00F15E63" w:rsidRDefault="00431E54" w:rsidP="003060DD">
      <w:pPr>
        <w:numPr>
          <w:ilvl w:val="0"/>
          <w:numId w:val="1"/>
        </w:num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6"/>
          <w:szCs w:val="26"/>
        </w:rPr>
        <w:t xml:space="preserve">International Diabetes Federation. IDF Diabetes Atlas. 11th ed. Brussels, Belgium: International Diabetes Federation; 2025. Available from: https://diabetesatlas.org </w:t>
      </w:r>
    </w:p>
    <w:p w:rsidR="00F15E63" w:rsidRDefault="00F15E63" w:rsidP="003060DD">
      <w:pPr>
        <w:spacing w:after="0"/>
        <w:jc w:val="both"/>
        <w:rPr>
          <w:rFonts w:ascii="Times New Roman" w:eastAsia="Times New Roman" w:hAnsi="Times New Roman" w:cs="Times New Roman"/>
          <w:color w:val="111111"/>
          <w:sz w:val="26"/>
          <w:szCs w:val="26"/>
        </w:rPr>
      </w:pPr>
    </w:p>
    <w:p w:rsidR="00F15E63" w:rsidRDefault="00431E54" w:rsidP="003060DD">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International Diabetes Federation. IDF Diabetes Atlas. 10th ed. Brussels: International Diabetes Federation; 2021. </w:t>
      </w:r>
    </w:p>
    <w:p w:rsidR="00F15E63" w:rsidRDefault="00431E54" w:rsidP="003060DD">
      <w:pPr>
        <w:numPr>
          <w:ilvl w:val="0"/>
          <w:numId w:val="1"/>
        </w:num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Davies MJ, Aroda VR, Collins BS, et al. Management of hyperglycaemia in type 2 diabetes, 2022: a consensus report by the American Diabetes Association and the European Association for the Study of Diabetes. Diabetes Care. 2022;45:2753–2786.</w:t>
      </w:r>
    </w:p>
    <w:p w:rsidR="00F15E63" w:rsidRDefault="00431E54" w:rsidP="003060DD">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Frid AH, Kreugel G, Grassi G, et al. New insulin delivery recommendations. Mayo Clin Proc 2016;91:1231-55. </w:t>
      </w:r>
    </w:p>
    <w:p w:rsidR="00F15E63" w:rsidRDefault="00431E54" w:rsidP="003060DD">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Hirsch LJ, Byron K, Gibney M. Intramuscular risk at insulin injection sites and rationale for shorter-length needles. Diabetes Technol Ther 2014;16:867-73. </w:t>
      </w:r>
    </w:p>
    <w:p w:rsidR="00F15E63" w:rsidRDefault="00431E54" w:rsidP="003060DD">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Kalra S, Mithal A, Sahay R, et al. Indian injection technique study: population characteristics and injection practices. Indian J Endocrinol Metab2017;21:600-7. </w:t>
      </w:r>
    </w:p>
    <w:p w:rsidR="00F15E63" w:rsidRDefault="00431E54" w:rsidP="003060DD">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Blanco M, Hernández MT, Strauss KW, Amaya M. Prevalence and risk factors of lipohypertrophy in insulin-injecting patients with diabetes. Diabetes Metab </w:t>
      </w:r>
      <w:r>
        <w:t xml:space="preserve">     </w:t>
      </w:r>
      <w:r>
        <w:rPr>
          <w:rFonts w:ascii="Times New Roman" w:eastAsia="Times New Roman" w:hAnsi="Times New Roman" w:cs="Times New Roman"/>
          <w:sz w:val="24"/>
          <w:szCs w:val="24"/>
        </w:rPr>
        <w:t xml:space="preserve">2013;39:445-53. </w:t>
      </w:r>
    </w:p>
    <w:p w:rsidR="00F15E63" w:rsidRDefault="00431E54" w:rsidP="003060DD">
      <w:pPr>
        <w:numPr>
          <w:ilvl w:val="0"/>
          <w:numId w:val="1"/>
        </w:num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Lingvay I, Sumithran P, Cohen RV, le Roux CW. Obesity management as a primary treatment goal for type 2 diabetes: time to reframe the conversation.Lancet. 2022;399:394–405.</w:t>
      </w:r>
    </w:p>
    <w:p w:rsidR="00F15E63" w:rsidRDefault="00431E54" w:rsidP="003060DD">
      <w:pPr>
        <w:numPr>
          <w:ilvl w:val="0"/>
          <w:numId w:val="1"/>
        </w:num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Khunti K, Gomes MB, Pocock S, et al.Therapeutic inertia in the treatment of hyperglycaemia in patients with type 2 diabetes: a systematic review.Diabetes Obes Metab. 2018;20:427–437.</w:t>
      </w:r>
    </w:p>
    <w:p w:rsidR="00F15E63" w:rsidRDefault="00431E54" w:rsidP="003060DD">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Grassi G, Scuntero P, Trepiccioni R, Marubbi F, Strauss K. Optimizing insulin injection technique and its effect on blood glucose control. J Clin Transl Endocrinol. 2014;1:145-50. </w:t>
      </w:r>
    </w:p>
    <w:p w:rsidR="00F15E63" w:rsidRDefault="00431E54" w:rsidP="003060DD">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Davis SN, Duckworth W, Emanuele N, Hayward R, Wiitala W, VADT Investigators. Effects of severe hypoglycemia on cardiovascular outcomes and death in type 2 diabetes. Endocrinol Metab Clin North Am 2013;42:657-76. </w:t>
      </w:r>
    </w:p>
    <w:p w:rsidR="00F15E63" w:rsidRDefault="00431E54" w:rsidP="003060DD">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Berard L, Cameron B, Woo V. Monitoring impact of diabetes education on self-care and glycemic outcomes. Can J Diabetes 2015;39:146-53.</w:t>
      </w:r>
    </w:p>
    <w:p w:rsidR="00F15E63" w:rsidRDefault="00431E54" w:rsidP="003060DD">
      <w:pPr>
        <w:numPr>
          <w:ilvl w:val="0"/>
          <w:numId w:val="1"/>
        </w:numPr>
        <w:jc w:val="both"/>
        <w:rPr>
          <w:sz w:val="24"/>
          <w:szCs w:val="24"/>
          <w:highlight w:val="white"/>
        </w:rPr>
      </w:pPr>
      <w:r>
        <w:rPr>
          <w:sz w:val="24"/>
          <w:szCs w:val="24"/>
          <w:highlight w:val="white"/>
        </w:rPr>
        <w:t>The authors used ChatGPT only for minor language editing and improvement of readability. No AI tools were used for data analysis, interpretation, or generation of scientific content. All content has been critically reviewed and approved by the authors.</w:t>
      </w:r>
    </w:p>
    <w:p w:rsidR="00F15E63" w:rsidRDefault="00F15E63" w:rsidP="003060DD">
      <w:pPr>
        <w:jc w:val="both"/>
        <w:rPr>
          <w:rFonts w:ascii="Times New Roman" w:eastAsia="Times New Roman" w:hAnsi="Times New Roman" w:cs="Times New Roman"/>
          <w:sz w:val="24"/>
          <w:szCs w:val="24"/>
        </w:rPr>
      </w:pPr>
      <w:bookmarkStart w:id="1" w:name="_heading=h.lc5f7uoavn9g" w:colFirst="0" w:colLast="0"/>
      <w:bookmarkEnd w:id="1"/>
    </w:p>
    <w:p w:rsidR="00F15E63" w:rsidRDefault="00F15E63" w:rsidP="003060DD">
      <w:pPr>
        <w:jc w:val="both"/>
        <w:rPr>
          <w:rFonts w:ascii="Times New Roman" w:eastAsia="Times New Roman" w:hAnsi="Times New Roman" w:cs="Times New Roman"/>
          <w:sz w:val="24"/>
          <w:szCs w:val="24"/>
        </w:rPr>
      </w:pPr>
    </w:p>
    <w:p w:rsidR="00F15E63" w:rsidRDefault="00431E54" w:rsidP="003060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u w:val="single"/>
        </w:rPr>
        <w:t>APPENDIX</w:t>
      </w:r>
      <w:r>
        <w:rPr>
          <w:rFonts w:ascii="Times New Roman" w:eastAsia="Times New Roman" w:hAnsi="Times New Roman" w:cs="Times New Roman"/>
          <w:sz w:val="24"/>
          <w:szCs w:val="24"/>
        </w:rPr>
        <w:t xml:space="preserve"> </w:t>
      </w:r>
    </w:p>
    <w:p w:rsidR="00F15E63" w:rsidRDefault="00F15E63" w:rsidP="003060DD">
      <w:pPr>
        <w:jc w:val="both"/>
        <w:rPr>
          <w:rFonts w:ascii="Times New Roman" w:eastAsia="Times New Roman" w:hAnsi="Times New Roman" w:cs="Times New Roman"/>
          <w:sz w:val="24"/>
          <w:szCs w:val="24"/>
        </w:rPr>
      </w:pPr>
    </w:p>
    <w:p w:rsidR="00F15E63" w:rsidRDefault="00431E54" w:rsidP="003060DD">
      <w:pPr>
        <w:spacing w:after="0"/>
        <w:ind w:left="440"/>
        <w:jc w:val="both"/>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Appendix 1: Questionnaire used for assessment of knowledge, attitude, and practice regarding insulin use</w:t>
      </w:r>
    </w:p>
    <w:p w:rsidR="00F15E63" w:rsidRDefault="00F15E63" w:rsidP="003060DD">
      <w:pPr>
        <w:spacing w:after="0"/>
        <w:ind w:left="440"/>
        <w:jc w:val="both"/>
        <w:rPr>
          <w:rFonts w:ascii="Times New Roman" w:eastAsia="Times New Roman" w:hAnsi="Times New Roman" w:cs="Times New Roman"/>
          <w:color w:val="111111"/>
          <w:sz w:val="26"/>
          <w:szCs w:val="26"/>
        </w:rPr>
      </w:pPr>
    </w:p>
    <w:p w:rsidR="00F15E63" w:rsidRDefault="00431E54" w:rsidP="003060DD">
      <w:pPr>
        <w:spacing w:after="0"/>
        <w:ind w:left="440"/>
        <w:jc w:val="both"/>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A structured questionnaire was used to assess knowledge, attitude, and practice (KAP) regarding insulin use among patients with diabetes mellitus.</w:t>
      </w:r>
    </w:p>
    <w:p w:rsidR="00F15E63" w:rsidRDefault="00F15E63" w:rsidP="003060DD">
      <w:pPr>
        <w:spacing w:after="0"/>
        <w:ind w:left="440"/>
        <w:jc w:val="both"/>
        <w:rPr>
          <w:rFonts w:ascii="Times New Roman" w:eastAsia="Times New Roman" w:hAnsi="Times New Roman" w:cs="Times New Roman"/>
          <w:color w:val="111111"/>
          <w:sz w:val="26"/>
          <w:szCs w:val="26"/>
        </w:rPr>
      </w:pPr>
    </w:p>
    <w:p w:rsidR="00F15E63" w:rsidRDefault="00431E54" w:rsidP="003060DD">
      <w:pPr>
        <w:spacing w:after="0"/>
        <w:ind w:left="440"/>
        <w:jc w:val="both"/>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Section 1: Demographic and Clinical Data</w:t>
      </w:r>
    </w:p>
    <w:p w:rsidR="00F15E63" w:rsidRDefault="00F15E63" w:rsidP="003060DD">
      <w:pPr>
        <w:spacing w:after="0"/>
        <w:ind w:left="440"/>
        <w:jc w:val="both"/>
        <w:rPr>
          <w:rFonts w:ascii="Times New Roman" w:eastAsia="Times New Roman" w:hAnsi="Times New Roman" w:cs="Times New Roman"/>
          <w:color w:val="111111"/>
          <w:sz w:val="26"/>
          <w:szCs w:val="26"/>
        </w:rPr>
      </w:pPr>
    </w:p>
    <w:p w:rsidR="00F15E63" w:rsidRDefault="00431E54" w:rsidP="003060DD">
      <w:pPr>
        <w:spacing w:after="0"/>
        <w:ind w:left="440"/>
        <w:jc w:val="both"/>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1. Age (in years): ________</w:t>
      </w:r>
    </w:p>
    <w:p w:rsidR="00F15E63" w:rsidRDefault="00431E54" w:rsidP="003060DD">
      <w:pPr>
        <w:spacing w:after="0"/>
        <w:ind w:left="440"/>
        <w:jc w:val="both"/>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2. Sex: Male / Female</w:t>
      </w:r>
    </w:p>
    <w:p w:rsidR="00F15E63" w:rsidRDefault="00431E54" w:rsidP="003060DD">
      <w:pPr>
        <w:spacing w:after="0"/>
        <w:ind w:left="440"/>
        <w:jc w:val="both"/>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lastRenderedPageBreak/>
        <w:t>3. Education level: Illiterate / Primary / Secondary / Higher Secondary / Graduate / Postgraduate</w:t>
      </w:r>
    </w:p>
    <w:p w:rsidR="00F15E63" w:rsidRDefault="00431E54" w:rsidP="003060DD">
      <w:pPr>
        <w:spacing w:after="0"/>
        <w:ind w:left="440"/>
        <w:jc w:val="both"/>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4. Socioeconomic status: Upper / Upper-middle / Middle / Lower-middle / Lower</w:t>
      </w:r>
    </w:p>
    <w:p w:rsidR="00F15E63" w:rsidRDefault="00431E54" w:rsidP="003060DD">
      <w:pPr>
        <w:spacing w:after="0"/>
        <w:ind w:left="440"/>
        <w:jc w:val="both"/>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5. Duration of diabetes (years): ________</w:t>
      </w:r>
    </w:p>
    <w:p w:rsidR="00F15E63" w:rsidRDefault="00431E54" w:rsidP="003060DD">
      <w:pPr>
        <w:spacing w:after="0"/>
        <w:ind w:left="440"/>
        <w:jc w:val="both"/>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6. Duration of insulin use (months): ________</w:t>
      </w:r>
    </w:p>
    <w:p w:rsidR="00F15E63" w:rsidRDefault="00431E54" w:rsidP="003060DD">
      <w:pPr>
        <w:spacing w:after="0"/>
        <w:ind w:left="440"/>
        <w:jc w:val="both"/>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7. Type of insulin used: Human / Analog / Premix / Others</w:t>
      </w:r>
    </w:p>
    <w:p w:rsidR="00F15E63" w:rsidRDefault="00431E54" w:rsidP="003060DD">
      <w:pPr>
        <w:spacing w:after="0"/>
        <w:ind w:left="440"/>
        <w:jc w:val="both"/>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8. Who administers insulin? Self / Family / Nurse / Others</w:t>
      </w:r>
    </w:p>
    <w:p w:rsidR="00F15E63" w:rsidRDefault="00F15E63" w:rsidP="003060DD">
      <w:pPr>
        <w:spacing w:after="0"/>
        <w:ind w:left="440"/>
        <w:jc w:val="both"/>
        <w:rPr>
          <w:rFonts w:ascii="Times New Roman" w:eastAsia="Times New Roman" w:hAnsi="Times New Roman" w:cs="Times New Roman"/>
          <w:color w:val="111111"/>
          <w:sz w:val="26"/>
          <w:szCs w:val="26"/>
        </w:rPr>
      </w:pPr>
    </w:p>
    <w:p w:rsidR="00F15E63" w:rsidRDefault="00431E54" w:rsidP="003060DD">
      <w:pPr>
        <w:spacing w:after="0"/>
        <w:ind w:left="440"/>
        <w:jc w:val="both"/>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Section 2: Knowledge</w:t>
      </w:r>
    </w:p>
    <w:p w:rsidR="00F15E63" w:rsidRDefault="00F15E63" w:rsidP="003060DD">
      <w:pPr>
        <w:spacing w:after="0"/>
        <w:ind w:left="440"/>
        <w:jc w:val="both"/>
        <w:rPr>
          <w:rFonts w:ascii="Times New Roman" w:eastAsia="Times New Roman" w:hAnsi="Times New Roman" w:cs="Times New Roman"/>
          <w:color w:val="111111"/>
          <w:sz w:val="26"/>
          <w:szCs w:val="26"/>
        </w:rPr>
      </w:pPr>
    </w:p>
    <w:p w:rsidR="00F15E63" w:rsidRDefault="00431E54" w:rsidP="003060DD">
      <w:pPr>
        <w:spacing w:after="0"/>
        <w:ind w:left="440"/>
        <w:jc w:val="both"/>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KQ1. Do you know how insulin should be stored properly? (Refrigerated, not frozen)</w:t>
      </w:r>
    </w:p>
    <w:p w:rsidR="00F15E63" w:rsidRDefault="00431E54" w:rsidP="003060DD">
      <w:pPr>
        <w:spacing w:after="0"/>
        <w:ind w:left="440"/>
        <w:jc w:val="both"/>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KQ2. Is reusing insulin needles safe? (No)</w:t>
      </w:r>
    </w:p>
    <w:p w:rsidR="00F15E63" w:rsidRDefault="00431E54" w:rsidP="003060DD">
      <w:pPr>
        <w:spacing w:after="0"/>
        <w:ind w:left="440"/>
        <w:jc w:val="both"/>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KQ3. Should the injection site be rotated each time? (Yes)</w:t>
      </w:r>
    </w:p>
    <w:p w:rsidR="00F15E63" w:rsidRDefault="00431E54" w:rsidP="003060DD">
      <w:pPr>
        <w:spacing w:after="0"/>
        <w:ind w:left="440"/>
        <w:jc w:val="both"/>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KQ4. Do you know how to recognize and manage hypoglycemia? (Yes)</w:t>
      </w:r>
    </w:p>
    <w:p w:rsidR="00F15E63" w:rsidRDefault="00F15E63" w:rsidP="003060DD">
      <w:pPr>
        <w:spacing w:after="0"/>
        <w:ind w:left="440"/>
        <w:jc w:val="both"/>
        <w:rPr>
          <w:rFonts w:ascii="Times New Roman" w:eastAsia="Times New Roman" w:hAnsi="Times New Roman" w:cs="Times New Roman"/>
          <w:color w:val="111111"/>
          <w:sz w:val="26"/>
          <w:szCs w:val="26"/>
        </w:rPr>
      </w:pPr>
    </w:p>
    <w:p w:rsidR="00F15E63" w:rsidRDefault="00431E54" w:rsidP="003060DD">
      <w:pPr>
        <w:spacing w:after="0"/>
        <w:ind w:left="440"/>
        <w:jc w:val="both"/>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Section 3: Attitude</w:t>
      </w:r>
    </w:p>
    <w:p w:rsidR="00F15E63" w:rsidRDefault="00F15E63" w:rsidP="003060DD">
      <w:pPr>
        <w:spacing w:after="0"/>
        <w:ind w:left="440"/>
        <w:jc w:val="both"/>
        <w:rPr>
          <w:rFonts w:ascii="Times New Roman" w:eastAsia="Times New Roman" w:hAnsi="Times New Roman" w:cs="Times New Roman"/>
          <w:color w:val="111111"/>
          <w:sz w:val="26"/>
          <w:szCs w:val="26"/>
        </w:rPr>
      </w:pPr>
    </w:p>
    <w:p w:rsidR="00F15E63" w:rsidRDefault="00431E54" w:rsidP="003060DD">
      <w:pPr>
        <w:spacing w:after="0"/>
        <w:ind w:left="440"/>
        <w:jc w:val="both"/>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AQ1. Do you think insulin means your diabetes has worsened? (No)</w:t>
      </w:r>
    </w:p>
    <w:p w:rsidR="00F15E63" w:rsidRDefault="00431E54" w:rsidP="003060DD">
      <w:pPr>
        <w:spacing w:after="0"/>
        <w:ind w:left="440"/>
        <w:jc w:val="both"/>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AQ2. Are you worried or embarrassed about taking insulin in public? (No)</w:t>
      </w:r>
    </w:p>
    <w:p w:rsidR="00F15E63" w:rsidRDefault="00F15E63" w:rsidP="003060DD">
      <w:pPr>
        <w:spacing w:after="0"/>
        <w:ind w:left="440"/>
        <w:jc w:val="both"/>
        <w:rPr>
          <w:rFonts w:ascii="Times New Roman" w:eastAsia="Times New Roman" w:hAnsi="Times New Roman" w:cs="Times New Roman"/>
          <w:color w:val="111111"/>
          <w:sz w:val="26"/>
          <w:szCs w:val="26"/>
        </w:rPr>
      </w:pPr>
    </w:p>
    <w:p w:rsidR="00F15E63" w:rsidRDefault="00431E54" w:rsidP="003060DD">
      <w:pPr>
        <w:spacing w:after="0"/>
        <w:ind w:left="440"/>
        <w:jc w:val="both"/>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Section 4: Practice</w:t>
      </w:r>
    </w:p>
    <w:p w:rsidR="00F15E63" w:rsidRDefault="00F15E63" w:rsidP="003060DD">
      <w:pPr>
        <w:spacing w:after="0"/>
        <w:ind w:left="440"/>
        <w:jc w:val="both"/>
        <w:rPr>
          <w:rFonts w:ascii="Times New Roman" w:eastAsia="Times New Roman" w:hAnsi="Times New Roman" w:cs="Times New Roman"/>
          <w:color w:val="111111"/>
          <w:sz w:val="26"/>
          <w:szCs w:val="26"/>
        </w:rPr>
      </w:pPr>
    </w:p>
    <w:p w:rsidR="00F15E63" w:rsidRDefault="00431E54" w:rsidP="003060DD">
      <w:pPr>
        <w:spacing w:after="0"/>
        <w:ind w:left="440"/>
        <w:jc w:val="both"/>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PQ1. How do you dispose of used insulin needles? (Proper disposal in sharps container or puncture-proof container)</w:t>
      </w:r>
    </w:p>
    <w:p w:rsidR="00F15E63" w:rsidRDefault="003060DD" w:rsidP="003060DD">
      <w:pPr>
        <w:spacing w:after="0"/>
        <w:ind w:left="440"/>
        <w:jc w:val="both"/>
        <w:rPr>
          <w:rFonts w:ascii="Times New Roman" w:eastAsia="Times New Roman" w:hAnsi="Times New Roman" w:cs="Times New Roman"/>
          <w:color w:val="111111"/>
          <w:sz w:val="26"/>
          <w:szCs w:val="26"/>
        </w:rPr>
      </w:pPr>
      <w:sdt>
        <w:sdtPr>
          <w:tag w:val="goog_rdk_1"/>
          <w:id w:val="1795884568"/>
        </w:sdtPr>
        <w:sdtEndPr/>
        <w:sdtContent>
          <w:r w:rsidR="00431E54">
            <w:rPr>
              <w:rFonts w:ascii="Gungsuh" w:eastAsia="Gungsuh" w:hAnsi="Gungsuh" w:cs="Gungsuh"/>
              <w:color w:val="111111"/>
              <w:sz w:val="26"/>
              <w:szCs w:val="26"/>
            </w:rPr>
            <w:t>PQ2. How often do you reuse insulin needles? (Never or ≤1 time)</w:t>
          </w:r>
        </w:sdtContent>
      </w:sdt>
    </w:p>
    <w:p w:rsidR="00F15E63" w:rsidRDefault="00431E54" w:rsidP="003060DD">
      <w:pPr>
        <w:spacing w:after="0"/>
        <w:ind w:left="440"/>
        <w:jc w:val="both"/>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PQ3. Do you rotate the injection site regularly? (Yes)</w:t>
      </w:r>
    </w:p>
    <w:p w:rsidR="00F15E63" w:rsidRDefault="00431E54" w:rsidP="003060DD">
      <w:pPr>
        <w:spacing w:after="0"/>
        <w:ind w:left="440"/>
        <w:jc w:val="both"/>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PQ4. Do you clean the site and inject at the correct angle and depth? (Yes)</w:t>
      </w:r>
    </w:p>
    <w:p w:rsidR="00F15E63" w:rsidRDefault="00F15E63" w:rsidP="003060DD">
      <w:pPr>
        <w:spacing w:after="0"/>
        <w:ind w:left="440"/>
        <w:jc w:val="both"/>
        <w:rPr>
          <w:rFonts w:ascii="Times New Roman" w:eastAsia="Times New Roman" w:hAnsi="Times New Roman" w:cs="Times New Roman"/>
          <w:color w:val="111111"/>
          <w:sz w:val="26"/>
          <w:szCs w:val="26"/>
        </w:rPr>
      </w:pPr>
    </w:p>
    <w:p w:rsidR="00F15E63" w:rsidRDefault="00431E54" w:rsidP="003060DD">
      <w:pPr>
        <w:spacing w:after="0"/>
        <w:ind w:left="440"/>
        <w:jc w:val="both"/>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Section 5: Additional Information</w:t>
      </w:r>
    </w:p>
    <w:p w:rsidR="00F15E63" w:rsidRDefault="00F15E63" w:rsidP="003060DD">
      <w:pPr>
        <w:spacing w:after="0"/>
        <w:ind w:left="440"/>
        <w:jc w:val="both"/>
        <w:rPr>
          <w:rFonts w:ascii="Times New Roman" w:eastAsia="Times New Roman" w:hAnsi="Times New Roman" w:cs="Times New Roman"/>
          <w:color w:val="111111"/>
          <w:sz w:val="26"/>
          <w:szCs w:val="26"/>
        </w:rPr>
      </w:pPr>
    </w:p>
    <w:p w:rsidR="00F15E63" w:rsidRDefault="00431E54" w:rsidP="003060DD">
      <w:pPr>
        <w:spacing w:after="0"/>
        <w:ind w:left="440"/>
        <w:jc w:val="both"/>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1. Has the patient received prior training on insulin injection technique? (Yes/No)</w:t>
      </w:r>
    </w:p>
    <w:p w:rsidR="00F15E63" w:rsidRDefault="00431E54" w:rsidP="003060DD">
      <w:pPr>
        <w:spacing w:after="0"/>
        <w:ind w:left="440"/>
        <w:jc w:val="both"/>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2. Source of training: Doctor / Nurse / Educator / Others</w:t>
      </w:r>
    </w:p>
    <w:p w:rsidR="00F15E63" w:rsidRDefault="00431E54" w:rsidP="003060DD">
      <w:pPr>
        <w:spacing w:after="0"/>
        <w:ind w:left="440"/>
        <w:jc w:val="both"/>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3. Latest HbA1c (if available): ________ %</w:t>
      </w:r>
    </w:p>
    <w:p w:rsidR="00F15E63" w:rsidRDefault="00431E54" w:rsidP="003060DD">
      <w:pPr>
        <w:spacing w:after="0"/>
        <w:ind w:left="440"/>
        <w:jc w:val="both"/>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4. Remarks/Observations: _______________________________</w:t>
      </w:r>
    </w:p>
    <w:p w:rsidR="00F15E63" w:rsidRDefault="00F15E63" w:rsidP="003060DD">
      <w:pPr>
        <w:spacing w:after="0"/>
        <w:ind w:left="440"/>
        <w:jc w:val="both"/>
        <w:rPr>
          <w:rFonts w:ascii="Times New Roman" w:eastAsia="Times New Roman" w:hAnsi="Times New Roman" w:cs="Times New Roman"/>
          <w:color w:val="111111"/>
          <w:sz w:val="26"/>
          <w:szCs w:val="26"/>
        </w:rPr>
      </w:pPr>
    </w:p>
    <w:p w:rsidR="00F15E63" w:rsidRDefault="00431E54" w:rsidP="003060DD">
      <w:pPr>
        <w:spacing w:after="0"/>
        <w:ind w:left="440"/>
        <w:jc w:val="both"/>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Scoring System:</w:t>
      </w:r>
    </w:p>
    <w:p w:rsidR="00F15E63" w:rsidRDefault="00431E54" w:rsidP="003060DD">
      <w:pPr>
        <w:spacing w:after="0"/>
        <w:ind w:left="440"/>
        <w:jc w:val="both"/>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Each correct response = 1 point</w:t>
      </w:r>
    </w:p>
    <w:p w:rsidR="00F15E63" w:rsidRDefault="00431E54" w:rsidP="003060DD">
      <w:pPr>
        <w:spacing w:after="0"/>
        <w:ind w:left="440"/>
        <w:jc w:val="both"/>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Incorrect/unsure = 0 points</w:t>
      </w:r>
    </w:p>
    <w:p w:rsidR="00F15E63" w:rsidRDefault="00431E54" w:rsidP="003060DD">
      <w:pPr>
        <w:spacing w:after="0"/>
        <w:ind w:left="440"/>
        <w:jc w:val="both"/>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Attitude scored based on favorable response</w:t>
      </w:r>
    </w:p>
    <w:p w:rsidR="00F15E63" w:rsidRDefault="00431E54" w:rsidP="003060DD">
      <w:pPr>
        <w:spacing w:after="0"/>
        <w:ind w:left="440"/>
        <w:jc w:val="both"/>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Total KAP score calculated from analyzable items</w:t>
      </w:r>
    </w:p>
    <w:p w:rsidR="00F15E63" w:rsidRDefault="00F15E63" w:rsidP="003060DD">
      <w:pPr>
        <w:spacing w:after="0"/>
        <w:ind w:left="440"/>
        <w:jc w:val="both"/>
        <w:rPr>
          <w:rFonts w:ascii="Times New Roman" w:eastAsia="Times New Roman" w:hAnsi="Times New Roman" w:cs="Times New Roman"/>
          <w:color w:val="111111"/>
          <w:sz w:val="26"/>
          <w:szCs w:val="26"/>
        </w:rPr>
      </w:pPr>
    </w:p>
    <w:p w:rsidR="00F15E63" w:rsidRDefault="00431E54" w:rsidP="003060DD">
      <w:pPr>
        <w:spacing w:after="0"/>
        <w:ind w:left="440"/>
        <w:jc w:val="both"/>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lastRenderedPageBreak/>
        <w:t>Note: Of the four practice items, three were included in the final analysis based on data completeness.</w:t>
      </w:r>
    </w:p>
    <w:p w:rsidR="00F15E63" w:rsidRDefault="00F15E63" w:rsidP="003060DD">
      <w:pPr>
        <w:spacing w:after="0"/>
        <w:ind w:left="440"/>
        <w:jc w:val="both"/>
        <w:rPr>
          <w:rFonts w:ascii="Times New Roman" w:eastAsia="Times New Roman" w:hAnsi="Times New Roman" w:cs="Times New Roman"/>
          <w:color w:val="111111"/>
          <w:sz w:val="26"/>
          <w:szCs w:val="26"/>
        </w:rPr>
      </w:pPr>
    </w:p>
    <w:p w:rsidR="00F15E63" w:rsidRDefault="00F15E63" w:rsidP="003060DD">
      <w:pPr>
        <w:spacing w:after="0"/>
        <w:ind w:left="440"/>
        <w:jc w:val="both"/>
        <w:rPr>
          <w:rFonts w:ascii="Times New Roman" w:eastAsia="Times New Roman" w:hAnsi="Times New Roman" w:cs="Times New Roman"/>
          <w:color w:val="111111"/>
          <w:sz w:val="26"/>
          <w:szCs w:val="26"/>
        </w:rPr>
      </w:pPr>
    </w:p>
    <w:p w:rsidR="00F15E63" w:rsidRDefault="00431E54" w:rsidP="003060DD">
      <w:pPr>
        <w:pStyle w:val="Heading3"/>
        <w:keepNext w:val="0"/>
        <w:keepLines w:val="0"/>
        <w:spacing w:before="280"/>
        <w:jc w:val="both"/>
        <w:rPr>
          <w:rFonts w:ascii="Times New Roman" w:eastAsia="Times New Roman" w:hAnsi="Times New Roman" w:cs="Times New Roman"/>
          <w:b/>
          <w:bCs/>
          <w:color w:val="111111"/>
          <w:sz w:val="26"/>
          <w:szCs w:val="26"/>
        </w:rPr>
      </w:pPr>
      <w:bookmarkStart w:id="2" w:name="_heading=h.t17boj1a5nke" w:colFirst="0" w:colLast="0"/>
      <w:bookmarkEnd w:id="2"/>
      <w:r>
        <w:rPr>
          <w:rFonts w:ascii="Times New Roman" w:eastAsia="Times New Roman" w:hAnsi="Times New Roman" w:cs="Times New Roman"/>
          <w:b/>
          <w:bCs/>
          <w:color w:val="111111"/>
          <w:sz w:val="26"/>
          <w:szCs w:val="26"/>
        </w:rPr>
        <w:t>Appendix 2: Education Classification</w:t>
      </w:r>
    </w:p>
    <w:p w:rsidR="00F15E63" w:rsidRDefault="00431E54" w:rsidP="003060DD">
      <w:pPr>
        <w:spacing w:after="0"/>
        <w:ind w:left="440"/>
        <w:jc w:val="both"/>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Education level was categorized as:</w:t>
      </w:r>
    </w:p>
    <w:p w:rsidR="00F15E63" w:rsidRDefault="00431E54" w:rsidP="003060DD">
      <w:pPr>
        <w:numPr>
          <w:ilvl w:val="0"/>
          <w:numId w:val="2"/>
        </w:numPr>
        <w:spacing w:before="480" w:after="0"/>
        <w:jc w:val="both"/>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Illiterate – cannot read or write</w:t>
      </w:r>
      <w:r>
        <w:rPr>
          <w:rFonts w:ascii="Times New Roman" w:eastAsia="Times New Roman" w:hAnsi="Times New Roman" w:cs="Times New Roman"/>
          <w:color w:val="111111"/>
          <w:sz w:val="26"/>
          <w:szCs w:val="26"/>
        </w:rPr>
        <w:br/>
      </w:r>
    </w:p>
    <w:p w:rsidR="00F15E63" w:rsidRDefault="00431E54" w:rsidP="003060DD">
      <w:pPr>
        <w:numPr>
          <w:ilvl w:val="0"/>
          <w:numId w:val="2"/>
        </w:numPr>
        <w:spacing w:after="0"/>
        <w:jc w:val="both"/>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Primary – up to 5th standard</w:t>
      </w:r>
      <w:r>
        <w:rPr>
          <w:rFonts w:ascii="Times New Roman" w:eastAsia="Times New Roman" w:hAnsi="Times New Roman" w:cs="Times New Roman"/>
          <w:color w:val="111111"/>
          <w:sz w:val="26"/>
          <w:szCs w:val="26"/>
        </w:rPr>
        <w:br/>
      </w:r>
    </w:p>
    <w:p w:rsidR="00F15E63" w:rsidRDefault="00431E54" w:rsidP="003060DD">
      <w:pPr>
        <w:numPr>
          <w:ilvl w:val="0"/>
          <w:numId w:val="2"/>
        </w:numPr>
        <w:spacing w:after="0"/>
        <w:jc w:val="both"/>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Secondary – 6th to 10th standard</w:t>
      </w:r>
      <w:r>
        <w:rPr>
          <w:rFonts w:ascii="Times New Roman" w:eastAsia="Times New Roman" w:hAnsi="Times New Roman" w:cs="Times New Roman"/>
          <w:color w:val="111111"/>
          <w:sz w:val="26"/>
          <w:szCs w:val="26"/>
        </w:rPr>
        <w:br/>
      </w:r>
    </w:p>
    <w:p w:rsidR="00F15E63" w:rsidRDefault="00431E54" w:rsidP="003060DD">
      <w:pPr>
        <w:numPr>
          <w:ilvl w:val="0"/>
          <w:numId w:val="2"/>
        </w:numPr>
        <w:spacing w:after="0"/>
        <w:jc w:val="both"/>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Higher secondary – 11th–12th / PUC</w:t>
      </w:r>
      <w:r>
        <w:rPr>
          <w:rFonts w:ascii="Times New Roman" w:eastAsia="Times New Roman" w:hAnsi="Times New Roman" w:cs="Times New Roman"/>
          <w:color w:val="111111"/>
          <w:sz w:val="26"/>
          <w:szCs w:val="26"/>
        </w:rPr>
        <w:br/>
      </w:r>
    </w:p>
    <w:p w:rsidR="00F15E63" w:rsidRDefault="00431E54" w:rsidP="003060DD">
      <w:pPr>
        <w:numPr>
          <w:ilvl w:val="0"/>
          <w:numId w:val="2"/>
        </w:numPr>
        <w:spacing w:after="480"/>
        <w:jc w:val="both"/>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Graduate/Postgraduate – college degree or higher</w:t>
      </w:r>
      <w:r>
        <w:rPr>
          <w:rFonts w:ascii="Times New Roman" w:eastAsia="Times New Roman" w:hAnsi="Times New Roman" w:cs="Times New Roman"/>
          <w:color w:val="111111"/>
          <w:sz w:val="26"/>
          <w:szCs w:val="26"/>
        </w:rPr>
        <w:br/>
      </w:r>
    </w:p>
    <w:p w:rsidR="00F15E63" w:rsidRDefault="00431E54" w:rsidP="003060DD">
      <w:pPr>
        <w:pStyle w:val="Heading3"/>
        <w:keepNext w:val="0"/>
        <w:keepLines w:val="0"/>
        <w:spacing w:before="280"/>
        <w:jc w:val="both"/>
        <w:rPr>
          <w:rFonts w:ascii="Times New Roman" w:eastAsia="Times New Roman" w:hAnsi="Times New Roman" w:cs="Times New Roman"/>
          <w:b/>
          <w:bCs/>
          <w:color w:val="111111"/>
          <w:sz w:val="26"/>
          <w:szCs w:val="26"/>
        </w:rPr>
      </w:pPr>
      <w:bookmarkStart w:id="3" w:name="_heading=h.iazvi6r9z9cr" w:colFirst="0" w:colLast="0"/>
      <w:bookmarkEnd w:id="3"/>
      <w:r>
        <w:rPr>
          <w:rFonts w:ascii="Times New Roman" w:eastAsia="Times New Roman" w:hAnsi="Times New Roman" w:cs="Times New Roman"/>
          <w:b/>
          <w:bCs/>
          <w:color w:val="111111"/>
          <w:sz w:val="26"/>
          <w:szCs w:val="26"/>
        </w:rPr>
        <w:t>Appendix 3: Socioeconomic Status Classification (Modified Kuppuswamy Scale)</w:t>
      </w:r>
    </w:p>
    <w:p w:rsidR="00F15E63" w:rsidRDefault="00431E54" w:rsidP="003060DD">
      <w:pPr>
        <w:spacing w:after="0"/>
        <w:ind w:left="440"/>
        <w:jc w:val="both"/>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Socioeconomic status was classified based on monthly family income:</w:t>
      </w:r>
    </w:p>
    <w:p w:rsidR="00F15E63" w:rsidRDefault="00431E54" w:rsidP="003060DD">
      <w:pPr>
        <w:numPr>
          <w:ilvl w:val="0"/>
          <w:numId w:val="3"/>
        </w:numPr>
        <w:spacing w:before="480" w:after="0"/>
        <w:jc w:val="both"/>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Lower: &lt; ₹15,000</w:t>
      </w:r>
      <w:r>
        <w:rPr>
          <w:rFonts w:ascii="Times New Roman" w:eastAsia="Times New Roman" w:hAnsi="Times New Roman" w:cs="Times New Roman"/>
          <w:color w:val="111111"/>
          <w:sz w:val="26"/>
          <w:szCs w:val="26"/>
        </w:rPr>
        <w:br/>
      </w:r>
    </w:p>
    <w:p w:rsidR="00F15E63" w:rsidRDefault="00431E54" w:rsidP="003060DD">
      <w:pPr>
        <w:numPr>
          <w:ilvl w:val="0"/>
          <w:numId w:val="3"/>
        </w:numPr>
        <w:spacing w:after="0"/>
        <w:jc w:val="both"/>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Lower-middle: ₹15,001–₹30,000</w:t>
      </w:r>
      <w:r>
        <w:rPr>
          <w:rFonts w:ascii="Times New Roman" w:eastAsia="Times New Roman" w:hAnsi="Times New Roman" w:cs="Times New Roman"/>
          <w:color w:val="111111"/>
          <w:sz w:val="26"/>
          <w:szCs w:val="26"/>
        </w:rPr>
        <w:br/>
      </w:r>
    </w:p>
    <w:p w:rsidR="00F15E63" w:rsidRDefault="00431E54" w:rsidP="003060DD">
      <w:pPr>
        <w:numPr>
          <w:ilvl w:val="0"/>
          <w:numId w:val="3"/>
        </w:numPr>
        <w:spacing w:after="0"/>
        <w:jc w:val="both"/>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Middle: ₹30,001–₹60,000</w:t>
      </w:r>
      <w:r>
        <w:rPr>
          <w:rFonts w:ascii="Times New Roman" w:eastAsia="Times New Roman" w:hAnsi="Times New Roman" w:cs="Times New Roman"/>
          <w:color w:val="111111"/>
          <w:sz w:val="26"/>
          <w:szCs w:val="26"/>
        </w:rPr>
        <w:br/>
      </w:r>
    </w:p>
    <w:p w:rsidR="00F15E63" w:rsidRDefault="00431E54" w:rsidP="003060DD">
      <w:pPr>
        <w:numPr>
          <w:ilvl w:val="0"/>
          <w:numId w:val="3"/>
        </w:numPr>
        <w:spacing w:after="0"/>
        <w:jc w:val="both"/>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Upper-middle: ₹60,001–₹1,00,000</w:t>
      </w:r>
      <w:r>
        <w:rPr>
          <w:rFonts w:ascii="Times New Roman" w:eastAsia="Times New Roman" w:hAnsi="Times New Roman" w:cs="Times New Roman"/>
          <w:color w:val="111111"/>
          <w:sz w:val="26"/>
          <w:szCs w:val="26"/>
        </w:rPr>
        <w:br/>
      </w:r>
    </w:p>
    <w:p w:rsidR="00F15E63" w:rsidRDefault="00431E54" w:rsidP="003060DD">
      <w:pPr>
        <w:numPr>
          <w:ilvl w:val="0"/>
          <w:numId w:val="3"/>
        </w:numPr>
        <w:spacing w:after="480"/>
        <w:jc w:val="both"/>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Upper: &gt; ₹1,00,000</w:t>
      </w:r>
      <w:r>
        <w:rPr>
          <w:rFonts w:ascii="Times New Roman" w:eastAsia="Times New Roman" w:hAnsi="Times New Roman" w:cs="Times New Roman"/>
          <w:color w:val="111111"/>
          <w:sz w:val="26"/>
          <w:szCs w:val="26"/>
        </w:rPr>
        <w:br/>
      </w:r>
    </w:p>
    <w:p w:rsidR="00F15E63" w:rsidRDefault="00F15E63" w:rsidP="003060DD">
      <w:pPr>
        <w:spacing w:after="0"/>
        <w:ind w:left="440"/>
        <w:jc w:val="both"/>
        <w:rPr>
          <w:rFonts w:ascii="Times New Roman" w:eastAsia="Times New Roman" w:hAnsi="Times New Roman" w:cs="Times New Roman"/>
          <w:color w:val="111111"/>
          <w:sz w:val="26"/>
          <w:szCs w:val="26"/>
        </w:rPr>
      </w:pPr>
    </w:p>
    <w:p w:rsidR="00F15E63" w:rsidRDefault="00F15E63" w:rsidP="003060DD">
      <w:pPr>
        <w:spacing w:after="0"/>
        <w:ind w:left="440"/>
        <w:jc w:val="both"/>
        <w:rPr>
          <w:rFonts w:ascii="Times New Roman" w:eastAsia="Times New Roman" w:hAnsi="Times New Roman" w:cs="Times New Roman"/>
          <w:color w:val="111111"/>
          <w:sz w:val="26"/>
          <w:szCs w:val="26"/>
        </w:rPr>
      </w:pPr>
    </w:p>
    <w:p w:rsidR="00F15E63" w:rsidRDefault="00F15E63" w:rsidP="003060DD">
      <w:pPr>
        <w:jc w:val="both"/>
        <w:rPr>
          <w:rFonts w:ascii="Times New Roman" w:eastAsia="Times New Roman" w:hAnsi="Times New Roman" w:cs="Times New Roman"/>
          <w:sz w:val="24"/>
          <w:szCs w:val="24"/>
        </w:rPr>
      </w:pPr>
    </w:p>
    <w:p w:rsidR="00F15E63" w:rsidRDefault="00F15E63" w:rsidP="003060DD">
      <w:pPr>
        <w:jc w:val="both"/>
        <w:rPr>
          <w:rFonts w:ascii="Times New Roman" w:eastAsia="Times New Roman" w:hAnsi="Times New Roman" w:cs="Times New Roman"/>
          <w:sz w:val="24"/>
          <w:szCs w:val="24"/>
        </w:rPr>
      </w:pPr>
    </w:p>
    <w:p w:rsidR="00F15E63" w:rsidRDefault="00F15E63" w:rsidP="003060DD">
      <w:pPr>
        <w:jc w:val="both"/>
        <w:rPr>
          <w:rFonts w:ascii="Times New Roman" w:eastAsia="Times New Roman" w:hAnsi="Times New Roman" w:cs="Times New Roman"/>
          <w:sz w:val="24"/>
          <w:szCs w:val="24"/>
        </w:rPr>
      </w:pPr>
    </w:p>
    <w:p w:rsidR="00F15E63" w:rsidRDefault="00F15E63" w:rsidP="003060DD">
      <w:pPr>
        <w:jc w:val="both"/>
        <w:rPr>
          <w:rFonts w:ascii="Times New Roman" w:eastAsia="Times New Roman" w:hAnsi="Times New Roman" w:cs="Times New Roman"/>
          <w:sz w:val="24"/>
          <w:szCs w:val="24"/>
        </w:rPr>
      </w:pPr>
    </w:p>
    <w:p w:rsidR="00F15E63" w:rsidRDefault="00F15E63" w:rsidP="003060DD">
      <w:pPr>
        <w:jc w:val="both"/>
        <w:rPr>
          <w:rFonts w:ascii="Times New Roman" w:eastAsia="Times New Roman" w:hAnsi="Times New Roman" w:cs="Times New Roman"/>
          <w:sz w:val="24"/>
          <w:szCs w:val="24"/>
        </w:rPr>
      </w:pPr>
    </w:p>
    <w:p w:rsidR="00F15E63" w:rsidRDefault="00F15E63" w:rsidP="003060DD">
      <w:pPr>
        <w:jc w:val="both"/>
        <w:rPr>
          <w:rFonts w:ascii="Times New Roman" w:eastAsia="Times New Roman" w:hAnsi="Times New Roman" w:cs="Times New Roman"/>
          <w:sz w:val="24"/>
          <w:szCs w:val="24"/>
          <w:vertAlign w:val="superscript"/>
        </w:rPr>
      </w:pPr>
    </w:p>
    <w:p w:rsidR="00F15E63" w:rsidRDefault="00F15E63" w:rsidP="003060DD">
      <w:pPr>
        <w:jc w:val="both"/>
        <w:rPr>
          <w:rFonts w:ascii="Times New Roman" w:eastAsia="Times New Roman" w:hAnsi="Times New Roman" w:cs="Times New Roman"/>
          <w:sz w:val="24"/>
          <w:szCs w:val="24"/>
        </w:rPr>
      </w:pPr>
    </w:p>
    <w:sectPr w:rsidR="00F15E63">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1E54" w:rsidRDefault="00431E54">
      <w:pPr>
        <w:spacing w:after="0" w:line="240" w:lineRule="auto"/>
      </w:pPr>
      <w:r>
        <w:separator/>
      </w:r>
    </w:p>
  </w:endnote>
  <w:endnote w:type="continuationSeparator" w:id="0">
    <w:p w:rsidR="00431E54" w:rsidRDefault="00431E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9814F09-CC72-4580-830E-AC8C3C41FB59}"/>
    <w:embedItalic r:id="rId2" w:fontKey="{05943757-1B74-4DAE-84A7-12CEA3F3DF25}"/>
  </w:font>
  <w:font w:name="Gungsuh">
    <w:charset w:val="81"/>
    <w:family w:val="roman"/>
    <w:pitch w:val="variable"/>
    <w:sig w:usb0="B00002AF" w:usb1="69D77CFB" w:usb2="00000030" w:usb3="00000000" w:csb0="0008009F" w:csb1="00000000"/>
    <w:embedRegular r:id="rId3" w:subsetted="1" w:fontKey="{6D878973-7EDD-432D-9F20-EFE29A0C5BBC}"/>
  </w:font>
  <w:font w:name="Cambria">
    <w:panose1 w:val="02040503050406030204"/>
    <w:charset w:val="00"/>
    <w:family w:val="roman"/>
    <w:pitch w:val="variable"/>
    <w:sig w:usb0="E00006FF" w:usb1="420024FF" w:usb2="02000000" w:usb3="00000000" w:csb0="0000019F" w:csb1="00000000"/>
    <w:embedRegular r:id="rId4" w:fontKey="{6CBE47D2-8FB6-4069-B3A5-23096F8F2F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E63" w:rsidRDefault="00F15E63">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E63" w:rsidRDefault="00F15E63">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E63" w:rsidRDefault="00F15E6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1E54" w:rsidRDefault="00431E54">
      <w:pPr>
        <w:spacing w:after="0" w:line="240" w:lineRule="auto"/>
      </w:pPr>
      <w:r>
        <w:separator/>
      </w:r>
    </w:p>
  </w:footnote>
  <w:footnote w:type="continuationSeparator" w:id="0">
    <w:p w:rsidR="00431E54" w:rsidRDefault="00431E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E63" w:rsidRDefault="003060DD">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35.3pt;height:100.9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E63" w:rsidRDefault="003060DD">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35.3pt;height:100.9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E63" w:rsidRDefault="003060DD">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35.3pt;height:100.9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7C54C0"/>
    <w:multiLevelType w:val="multilevel"/>
    <w:tmpl w:val="05D881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60852788"/>
    <w:multiLevelType w:val="multilevel"/>
    <w:tmpl w:val="B2EC9D9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75D67480"/>
    <w:multiLevelType w:val="multilevel"/>
    <w:tmpl w:val="4BBCE1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E63"/>
    <w:rsid w:val="003060DD"/>
    <w:rsid w:val="00431E54"/>
    <w:rsid w:val="00B12D48"/>
    <w:rsid w:val="00F15E6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373AE4"/>
  <w15:docId w15:val="{C081E601-AA1F-454A-929E-B1904F0A5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unhideWhenUsed/>
    <w:qFormat/>
    <w:pPr>
      <w:keepNext/>
      <w:keepLines/>
      <w:spacing w:before="160" w:after="80"/>
      <w:outlineLvl w:val="1"/>
    </w:pPr>
    <w:rPr>
      <w:color w:val="2F5496"/>
      <w:sz w:val="32"/>
      <w:szCs w:val="32"/>
    </w:rPr>
  </w:style>
  <w:style w:type="paragraph" w:styleId="Heading3">
    <w:name w:val="heading 3"/>
    <w:basedOn w:val="Normal"/>
    <w:next w:val="Normal"/>
    <w:uiPriority w:val="9"/>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table" w:customStyle="1" w:styleId="a5">
    <w:basedOn w:val="TableNormal0"/>
    <w:tblPr>
      <w:tblStyleRowBandSize w:val="1"/>
      <w:tblStyleColBandSize w:val="1"/>
      <w:tblCellMar>
        <w:top w:w="15" w:type="dxa"/>
        <w:left w:w="15" w:type="dxa"/>
        <w:bottom w:w="15" w:type="dxa"/>
        <w:right w:w="15" w:type="dxa"/>
      </w:tblCellMar>
    </w:tblPr>
  </w:style>
  <w:style w:type="table" w:customStyle="1" w:styleId="a6">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oF4IF602C6gNbl4DC54l3O4XBA==">CgMxLjAaJQoBMBIgCh4IB0IaCg9UaW1lcyBOZXcgUm9tYW4SB0d1bmdzdWgaJQoBMRIgCh4IB0IaCg9UaW1lcyBOZXcgUm9tYW4SB0d1bmdzdWgyDmgubGM1Zjd1b2F2bjlnMg5oLnQxN2JvajFhNW5rZTIOaC5pYXp2aTZyOXo5Y3I4AHIhMUtnZ3c1OVpmTDBnVHE4WkdFbTBDSnlCS1RhbHE1dXN4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3102</Words>
  <Characters>17687</Characters>
  <Application>Microsoft Office Word</Application>
  <DocSecurity>0</DocSecurity>
  <Lines>147</Lines>
  <Paragraphs>41</Paragraphs>
  <ScaleCrop>false</ScaleCrop>
  <Company/>
  <LinksUpToDate>false</LinksUpToDate>
  <CharactersWithSpaces>20748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New 16</cp:lastModifiedBy>
  <cp:revision>3</cp:revision>
  <dcterms:created xsi:type="dcterms:W3CDTF">2026-04-13T08:51:00Z</dcterms:created>
  <dcterms:modified xsi:type="dcterms:W3CDTF">2026-04-13T12:44:00Z</dcterms:modified>
</cp:coreProperties>
</file>