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E673E" w14:textId="246CFB73" w:rsidR="00754C9A" w:rsidRPr="00871260" w:rsidRDefault="008E11F8" w:rsidP="00441B6F">
      <w:pPr>
        <w:pStyle w:val="Title"/>
        <w:spacing w:after="0"/>
        <w:jc w:val="both"/>
        <w:rPr>
          <w:rFonts w:ascii="Arial" w:hAnsi="Arial" w:cs="Arial"/>
        </w:rPr>
      </w:pPr>
      <w:r w:rsidRPr="00871260">
        <w:rPr>
          <w:rFonts w:ascii="Arial" w:hAnsi="Arial" w:cs="Arial"/>
        </w:rPr>
        <w:t>Original Research Article</w:t>
      </w:r>
    </w:p>
    <w:p w14:paraId="68108F1D" w14:textId="77777777" w:rsidR="008E11F8" w:rsidRPr="00871260" w:rsidRDefault="008E11F8" w:rsidP="00441B6F">
      <w:pPr>
        <w:pStyle w:val="Title"/>
        <w:spacing w:after="0"/>
        <w:jc w:val="both"/>
        <w:rPr>
          <w:rFonts w:ascii="Arial" w:hAnsi="Arial" w:cs="Arial"/>
        </w:rPr>
      </w:pPr>
    </w:p>
    <w:p w14:paraId="3C52B8CA" w14:textId="77777777" w:rsidR="008E11F8" w:rsidRPr="00871260" w:rsidRDefault="008E11F8" w:rsidP="00441B6F">
      <w:pPr>
        <w:pStyle w:val="Title"/>
        <w:spacing w:after="0"/>
        <w:jc w:val="both"/>
        <w:rPr>
          <w:rFonts w:ascii="Arial" w:hAnsi="Arial" w:cs="Arial"/>
        </w:rPr>
      </w:pPr>
    </w:p>
    <w:p w14:paraId="6F2B616E" w14:textId="03733E16" w:rsidR="00163BC4" w:rsidRPr="00871260" w:rsidRDefault="00B85F86" w:rsidP="00441B6F">
      <w:pPr>
        <w:pStyle w:val="Author"/>
        <w:spacing w:line="240" w:lineRule="auto"/>
        <w:rPr>
          <w:rFonts w:ascii="Arial" w:hAnsi="Arial" w:cs="Arial"/>
          <w:bCs/>
          <w:iCs/>
          <w:kern w:val="28"/>
          <w:sz w:val="36"/>
        </w:rPr>
      </w:pPr>
      <w:bookmarkStart w:id="0" w:name="_Hlk225940577"/>
      <w:r w:rsidRPr="003230C5">
        <w:rPr>
          <w:rFonts w:ascii="Arial" w:hAnsi="Arial" w:cs="Arial"/>
          <w:bCs/>
          <w:iCs/>
          <w:kern w:val="28"/>
          <w:sz w:val="36"/>
          <w:highlight w:val="yellow"/>
        </w:rPr>
        <w:t>Clinicians’ Perspectives on Fixed-Dose Combinations and Triple Therapy in Type 2 Diabetes Mellitus</w:t>
      </w:r>
      <w:r w:rsidR="003230C5" w:rsidRPr="003230C5">
        <w:rPr>
          <w:rFonts w:ascii="Arial" w:hAnsi="Arial" w:cs="Arial"/>
          <w:bCs/>
          <w:iCs/>
          <w:kern w:val="28"/>
          <w:sz w:val="36"/>
          <w:highlight w:val="yellow"/>
        </w:rPr>
        <w:t>: A Cross-Sectional Survey in India</w:t>
      </w:r>
      <w:r w:rsidR="00231920" w:rsidRPr="00871260">
        <w:rPr>
          <w:rFonts w:ascii="Arial" w:hAnsi="Arial" w:cs="Arial"/>
          <w:bCs/>
          <w:iCs/>
          <w:kern w:val="28"/>
          <w:sz w:val="36"/>
        </w:rPr>
        <w:t xml:space="preserve"> </w:t>
      </w:r>
    </w:p>
    <w:bookmarkEnd w:id="0"/>
    <w:p w14:paraId="6E45A3BC" w14:textId="77777777" w:rsidR="00A258C3" w:rsidRPr="00871260" w:rsidRDefault="00A258C3" w:rsidP="00441B6F">
      <w:pPr>
        <w:pStyle w:val="Author"/>
        <w:spacing w:line="240" w:lineRule="auto"/>
        <w:jc w:val="both"/>
        <w:rPr>
          <w:rFonts w:ascii="Arial" w:hAnsi="Arial" w:cs="Arial"/>
          <w:sz w:val="36"/>
        </w:rPr>
      </w:pPr>
    </w:p>
    <w:p w14:paraId="52986C31" w14:textId="77777777" w:rsidR="006A00B8" w:rsidRPr="00871260" w:rsidRDefault="006A00B8" w:rsidP="006A00B8">
      <w:pPr>
        <w:pStyle w:val="Affiliation"/>
        <w:spacing w:after="0" w:line="240" w:lineRule="auto"/>
        <w:jc w:val="both"/>
        <w:rPr>
          <w:rFonts w:ascii="Arial" w:hAnsi="Arial" w:cs="Arial"/>
        </w:rPr>
      </w:pPr>
    </w:p>
    <w:p w14:paraId="3C7B6938" w14:textId="77777777" w:rsidR="002C57D2" w:rsidRPr="00871260" w:rsidRDefault="002C57D2" w:rsidP="00441B6F">
      <w:pPr>
        <w:pStyle w:val="Affiliation"/>
        <w:spacing w:after="0" w:line="240" w:lineRule="auto"/>
        <w:jc w:val="both"/>
        <w:rPr>
          <w:rFonts w:ascii="Arial" w:hAnsi="Arial" w:cs="Arial"/>
        </w:rPr>
      </w:pPr>
    </w:p>
    <w:p w14:paraId="658065E1" w14:textId="77777777" w:rsidR="00B01FCD" w:rsidRPr="00871260" w:rsidRDefault="00831828" w:rsidP="00441B6F">
      <w:pPr>
        <w:pStyle w:val="Copyright"/>
        <w:spacing w:after="0" w:line="240" w:lineRule="auto"/>
        <w:jc w:val="both"/>
        <w:rPr>
          <w:rFonts w:ascii="Arial" w:hAnsi="Arial" w:cs="Arial"/>
        </w:rPr>
        <w:sectPr w:rsidR="00B01FCD" w:rsidRPr="00871260" w:rsidSect="00AF271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B7FE39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871260">
        <w:rPr>
          <w:rFonts w:ascii="Arial" w:hAnsi="Arial" w:cs="Arial"/>
        </w:rPr>
        <w:t>.</w:t>
      </w:r>
    </w:p>
    <w:p w14:paraId="09D14F18" w14:textId="77777777" w:rsidR="00B01FCD" w:rsidRPr="00871260" w:rsidRDefault="00B01FCD" w:rsidP="00441B6F">
      <w:pPr>
        <w:pStyle w:val="AbstHead"/>
        <w:spacing w:after="0"/>
        <w:jc w:val="both"/>
        <w:rPr>
          <w:rFonts w:ascii="Arial" w:hAnsi="Arial" w:cs="Arial"/>
        </w:rPr>
      </w:pPr>
      <w:r w:rsidRPr="00871260">
        <w:rPr>
          <w:rFonts w:ascii="Arial" w:hAnsi="Arial" w:cs="Arial"/>
        </w:rPr>
        <w:t>ABSTRACT</w:t>
      </w:r>
    </w:p>
    <w:p w14:paraId="3DD403D7" w14:textId="77777777" w:rsidR="00790ADA" w:rsidRPr="0087126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871260" w14:paraId="78CDE23B" w14:textId="77777777" w:rsidTr="001E44FE">
        <w:tc>
          <w:tcPr>
            <w:tcW w:w="9576" w:type="dxa"/>
            <w:shd w:val="clear" w:color="auto" w:fill="F2F2F2"/>
          </w:tcPr>
          <w:p w14:paraId="6F229C1F" w14:textId="0DFD6146" w:rsidR="00D40A23" w:rsidRPr="00871260" w:rsidRDefault="00D40A23" w:rsidP="00D40A23">
            <w:pPr>
              <w:pStyle w:val="Body"/>
              <w:rPr>
                <w:rFonts w:ascii="Arial" w:eastAsia="Calibri" w:hAnsi="Arial" w:cs="Arial"/>
                <w:szCs w:val="22"/>
                <w:lang w:val="en-IN"/>
              </w:rPr>
            </w:pPr>
            <w:r w:rsidRPr="00871260">
              <w:rPr>
                <w:rFonts w:ascii="Arial" w:eastAsia="Calibri" w:hAnsi="Arial" w:cs="Arial"/>
                <w:b/>
                <w:bCs/>
                <w:szCs w:val="22"/>
                <w:lang w:val="en-IN"/>
              </w:rPr>
              <w:t>Objective</w:t>
            </w:r>
            <w:r w:rsidRPr="00871260">
              <w:rPr>
                <w:rFonts w:ascii="Arial" w:eastAsia="Calibri" w:hAnsi="Arial" w:cs="Arial"/>
                <w:szCs w:val="22"/>
                <w:lang w:val="en-IN"/>
              </w:rPr>
              <w:t xml:space="preserve">:  </w:t>
            </w:r>
            <w:r w:rsidR="00EF0095" w:rsidRPr="00EF0095">
              <w:rPr>
                <w:rFonts w:ascii="Arial" w:eastAsia="Calibri" w:hAnsi="Arial" w:cs="Arial"/>
                <w:szCs w:val="22"/>
                <w:highlight w:val="yellow"/>
                <w:lang w:val="en-IN"/>
              </w:rPr>
              <w:t>To assess clinicians’ perspectives on the use of fixed-dose combinations (FDCs) and triple therapy in type 2 diabetes mellitus (T2DM) in Indian settings, with a focus on therapeutic preferences and perceived clinical benefits</w:t>
            </w:r>
            <w:r w:rsidRPr="00EF0095">
              <w:rPr>
                <w:rFonts w:ascii="Arial" w:eastAsia="Calibri" w:hAnsi="Arial" w:cs="Arial"/>
                <w:szCs w:val="22"/>
                <w:highlight w:val="yellow"/>
                <w:lang w:val="en-IN"/>
              </w:rPr>
              <w:t>.</w:t>
            </w:r>
          </w:p>
          <w:p w14:paraId="1DCC4A0C" w14:textId="67D459D9" w:rsidR="00D40A23" w:rsidRPr="00871260" w:rsidRDefault="00D40A23" w:rsidP="00D40A23">
            <w:pPr>
              <w:pStyle w:val="Body"/>
              <w:rPr>
                <w:rFonts w:ascii="Arial" w:eastAsia="Calibri" w:hAnsi="Arial" w:cs="Arial"/>
                <w:szCs w:val="22"/>
                <w:lang w:val="en-IN"/>
              </w:rPr>
            </w:pPr>
            <w:r w:rsidRPr="00EF0095">
              <w:rPr>
                <w:rFonts w:ascii="Arial" w:eastAsia="Calibri" w:hAnsi="Arial" w:cs="Arial"/>
                <w:b/>
                <w:bCs/>
                <w:szCs w:val="22"/>
                <w:highlight w:val="yellow"/>
                <w:lang w:val="en-IN"/>
              </w:rPr>
              <w:t>Methods</w:t>
            </w:r>
            <w:r w:rsidRPr="00EF0095">
              <w:rPr>
                <w:rFonts w:ascii="Arial" w:eastAsia="Calibri" w:hAnsi="Arial" w:cs="Arial"/>
                <w:szCs w:val="22"/>
                <w:highlight w:val="yellow"/>
                <w:lang w:val="en-IN"/>
              </w:rPr>
              <w:t xml:space="preserve">: </w:t>
            </w:r>
            <w:r w:rsidR="00B85F86" w:rsidRPr="00EF0095">
              <w:rPr>
                <w:rFonts w:ascii="Arial" w:eastAsia="Calibri" w:hAnsi="Arial" w:cs="Arial"/>
                <w:szCs w:val="22"/>
                <w:highlight w:val="yellow"/>
              </w:rPr>
              <w:t>The cross-sectional s</w:t>
            </w:r>
            <w:r w:rsidR="00E91E96">
              <w:rPr>
                <w:rFonts w:ascii="Arial" w:eastAsia="Calibri" w:hAnsi="Arial" w:cs="Arial"/>
                <w:szCs w:val="22"/>
                <w:highlight w:val="yellow"/>
              </w:rPr>
              <w:t>urve</w:t>
            </w:r>
            <w:r w:rsidR="00B85F86" w:rsidRPr="00EF0095">
              <w:rPr>
                <w:rFonts w:ascii="Arial" w:eastAsia="Calibri" w:hAnsi="Arial" w:cs="Arial"/>
                <w:szCs w:val="22"/>
                <w:highlight w:val="yellow"/>
              </w:rPr>
              <w:t xml:space="preserve">y was conducted </w:t>
            </w:r>
            <w:r w:rsidR="00EF0095" w:rsidRPr="00EF0095">
              <w:rPr>
                <w:rFonts w:ascii="Arial" w:eastAsia="Calibri" w:hAnsi="Arial" w:cs="Arial"/>
                <w:szCs w:val="22"/>
                <w:highlight w:val="yellow"/>
              </w:rPr>
              <w:t>between June 2024 and December 2024 among clinicians involved in T2DM management across India. Participants were recruited using a convenience sampling approach based on clinical experience. A 22-item structured questionnaire was used to collect data on treatment practices, preferences, and perceptions regarding FDCs and triple therapy. Descriptive statistical analysis was performed, and results are presented as frequencies (n) and percentages (%)</w:t>
            </w:r>
            <w:r w:rsidRPr="00EF0095">
              <w:rPr>
                <w:rFonts w:ascii="Arial" w:eastAsia="Calibri" w:hAnsi="Arial" w:cs="Arial"/>
                <w:szCs w:val="22"/>
                <w:highlight w:val="yellow"/>
                <w:lang w:val="en-IN"/>
              </w:rPr>
              <w:t>.</w:t>
            </w:r>
          </w:p>
          <w:p w14:paraId="414180B5" w14:textId="7B6C5F6B" w:rsidR="00D40A23" w:rsidRPr="00871260" w:rsidRDefault="00D40A23" w:rsidP="00D40A23">
            <w:pPr>
              <w:pStyle w:val="Body"/>
              <w:rPr>
                <w:rFonts w:ascii="Arial" w:eastAsia="Calibri" w:hAnsi="Arial" w:cs="Arial"/>
                <w:szCs w:val="22"/>
                <w:lang w:val="en-IN"/>
              </w:rPr>
            </w:pPr>
            <w:r w:rsidRPr="00871260">
              <w:rPr>
                <w:rFonts w:ascii="Arial" w:eastAsia="Calibri" w:hAnsi="Arial" w:cs="Arial"/>
                <w:b/>
                <w:bCs/>
                <w:szCs w:val="22"/>
                <w:lang w:val="en-IN"/>
              </w:rPr>
              <w:t>Results</w:t>
            </w:r>
            <w:r w:rsidRPr="00871260">
              <w:rPr>
                <w:rFonts w:ascii="Arial" w:eastAsia="Calibri" w:hAnsi="Arial" w:cs="Arial"/>
                <w:szCs w:val="22"/>
                <w:lang w:val="en-IN"/>
              </w:rPr>
              <w:t xml:space="preserve">: </w:t>
            </w:r>
            <w:r w:rsidR="00EF0095" w:rsidRPr="00EF0095">
              <w:rPr>
                <w:rFonts w:ascii="Arial" w:eastAsia="Calibri" w:hAnsi="Arial" w:cs="Arial"/>
                <w:szCs w:val="22"/>
                <w:highlight w:val="yellow"/>
              </w:rPr>
              <w:t>A total of 1,817 clinicians participated in the survey. Among them, 1,130 (62.19%) reported that FDCs play an important role in achieving glycemic control, while 1,410 (77.6%) believed that combination therapies improve affordability, adherence, and outcomes. Approximately 1,526 (84.0%) preferred adding a sodium glucose co-transporter 2 inhibitor (SGLT2i) to a dipeptidyl peptidase-4 inhibitor (DPP4i) and metformin regimen. The most commonly used triple therapy was metformin + DPP4i + SGLT2i, as reported by 1,254 (69.0%) respondents. Linagliptin was the preferred DPP4i for 1,315 (72.32%) clinicians. Additionally, 1,393 (76.66%) perceived that the dapagliflozin + linagliptin combination offers advantages over dapagliflozin + vildagliptin in terms of glycemic control and organ protection. However, responses reflect clinician perceptions and may be influenced by practice patterns and experience.</w:t>
            </w:r>
            <w:r w:rsidR="00B85F86" w:rsidRPr="00871260">
              <w:rPr>
                <w:rFonts w:ascii="Arial" w:eastAsia="Calibri" w:hAnsi="Arial" w:cs="Arial"/>
                <w:szCs w:val="22"/>
              </w:rPr>
              <w:t xml:space="preserve"> </w:t>
            </w:r>
          </w:p>
          <w:p w14:paraId="3048ED8C" w14:textId="4CE3F4A4" w:rsidR="00505F06" w:rsidRPr="00871260" w:rsidRDefault="00D40A23" w:rsidP="00D40A23">
            <w:pPr>
              <w:pStyle w:val="Body"/>
              <w:spacing w:after="0"/>
              <w:rPr>
                <w:rFonts w:ascii="Arial" w:eastAsia="Calibri" w:hAnsi="Arial" w:cs="Arial"/>
                <w:szCs w:val="22"/>
                <w:lang w:val="en-IN"/>
              </w:rPr>
            </w:pPr>
            <w:r w:rsidRPr="00871260">
              <w:rPr>
                <w:rFonts w:ascii="Arial" w:eastAsia="Calibri" w:hAnsi="Arial" w:cs="Arial"/>
                <w:b/>
                <w:bCs/>
                <w:szCs w:val="22"/>
                <w:lang w:val="en-IN"/>
              </w:rPr>
              <w:t>Conclusion</w:t>
            </w:r>
            <w:r w:rsidRPr="00871260">
              <w:rPr>
                <w:rFonts w:ascii="Arial" w:eastAsia="Calibri" w:hAnsi="Arial" w:cs="Arial"/>
                <w:szCs w:val="22"/>
                <w:lang w:val="en-IN"/>
              </w:rPr>
              <w:t xml:space="preserve">: </w:t>
            </w:r>
            <w:r w:rsidR="00EF0095" w:rsidRPr="00EF0095">
              <w:rPr>
                <w:rFonts w:ascii="Arial" w:eastAsia="Calibri" w:hAnsi="Arial" w:cs="Arial"/>
                <w:szCs w:val="22"/>
                <w:highlight w:val="yellow"/>
              </w:rPr>
              <w:t>The findings indicate a strong clinician preference for FDCs and triple therapy in T2DM management, particularly combinations involving metformin, DPP4i, and SGLT2i. While these therapies are perceived to improve glycemic control, adherence, and organ protection, the results are based on self-reported data and should be interpreted with consideration of potential biases and the observational nature of the study</w:t>
            </w:r>
            <w:r w:rsidRPr="00EF0095">
              <w:rPr>
                <w:rFonts w:ascii="Arial" w:eastAsia="Calibri" w:hAnsi="Arial" w:cs="Arial"/>
                <w:szCs w:val="22"/>
                <w:highlight w:val="yellow"/>
                <w:lang w:val="en-IN"/>
              </w:rPr>
              <w:t>.</w:t>
            </w:r>
          </w:p>
        </w:tc>
      </w:tr>
    </w:tbl>
    <w:p w14:paraId="0D6CF17D" w14:textId="77777777" w:rsidR="00636EB2" w:rsidRPr="00871260" w:rsidRDefault="00636EB2" w:rsidP="00441B6F">
      <w:pPr>
        <w:pStyle w:val="Body"/>
        <w:spacing w:after="0"/>
        <w:rPr>
          <w:rFonts w:ascii="Arial" w:hAnsi="Arial" w:cs="Arial"/>
          <w:i/>
        </w:rPr>
      </w:pPr>
    </w:p>
    <w:p w14:paraId="27790C39" w14:textId="11B1F10B" w:rsidR="00A24E7E" w:rsidRPr="00871260" w:rsidRDefault="00A24E7E" w:rsidP="00441B6F">
      <w:pPr>
        <w:pStyle w:val="Body"/>
        <w:spacing w:after="0"/>
        <w:rPr>
          <w:rFonts w:ascii="Arial" w:hAnsi="Arial" w:cs="Arial"/>
          <w:i/>
        </w:rPr>
      </w:pPr>
      <w:r w:rsidRPr="00871260">
        <w:rPr>
          <w:rFonts w:ascii="Arial" w:hAnsi="Arial" w:cs="Arial"/>
          <w:b/>
          <w:bCs/>
          <w:i/>
        </w:rPr>
        <w:t>Keywords</w:t>
      </w:r>
      <w:r w:rsidRPr="00871260">
        <w:rPr>
          <w:rFonts w:ascii="Arial" w:hAnsi="Arial" w:cs="Arial"/>
          <w:i/>
        </w:rPr>
        <w:t xml:space="preserve">: </w:t>
      </w:r>
      <w:r w:rsidR="00B85F86" w:rsidRPr="00871260">
        <w:rPr>
          <w:rFonts w:ascii="Arial" w:hAnsi="Arial" w:cs="Arial"/>
          <w:i/>
        </w:rPr>
        <w:t>Fixed-dose combinations, Glycemic control, SGLT2i, DPP4i, Linagliptin, Dapagliflozin</w:t>
      </w:r>
    </w:p>
    <w:p w14:paraId="69D6A8F1" w14:textId="77777777" w:rsidR="00505F06" w:rsidRPr="00871260" w:rsidRDefault="00505F06" w:rsidP="00441B6F">
      <w:pPr>
        <w:pStyle w:val="Body"/>
        <w:spacing w:after="0"/>
        <w:rPr>
          <w:rFonts w:ascii="Arial" w:hAnsi="Arial" w:cs="Arial"/>
          <w:i/>
        </w:rPr>
      </w:pPr>
    </w:p>
    <w:p w14:paraId="6B1C1544" w14:textId="77777777" w:rsidR="007F7B32" w:rsidRPr="00871260" w:rsidRDefault="00902823" w:rsidP="00441B6F">
      <w:pPr>
        <w:pStyle w:val="AbstHead"/>
        <w:spacing w:after="0"/>
        <w:jc w:val="both"/>
        <w:rPr>
          <w:rFonts w:ascii="Arial" w:hAnsi="Arial" w:cs="Arial"/>
        </w:rPr>
      </w:pPr>
      <w:r w:rsidRPr="00871260">
        <w:rPr>
          <w:rFonts w:ascii="Arial" w:hAnsi="Arial" w:cs="Arial"/>
        </w:rPr>
        <w:lastRenderedPageBreak/>
        <w:t xml:space="preserve">1. </w:t>
      </w:r>
      <w:r w:rsidR="00B01FCD" w:rsidRPr="00871260">
        <w:rPr>
          <w:rFonts w:ascii="Arial" w:hAnsi="Arial" w:cs="Arial"/>
        </w:rPr>
        <w:t>INTRODUCTION</w:t>
      </w:r>
    </w:p>
    <w:p w14:paraId="2F68CB3D" w14:textId="77777777" w:rsidR="00790ADA" w:rsidRPr="00871260" w:rsidRDefault="00790ADA" w:rsidP="00441B6F">
      <w:pPr>
        <w:pStyle w:val="AbstHead"/>
        <w:spacing w:after="0"/>
        <w:jc w:val="both"/>
        <w:rPr>
          <w:rFonts w:ascii="Arial" w:hAnsi="Arial" w:cs="Arial"/>
        </w:rPr>
      </w:pPr>
    </w:p>
    <w:p w14:paraId="5190E4C7" w14:textId="733EA165" w:rsidR="00B85F86" w:rsidRPr="00871260" w:rsidRDefault="00B85F86" w:rsidP="00B85F86">
      <w:pPr>
        <w:pStyle w:val="Body"/>
        <w:rPr>
          <w:rFonts w:ascii="Arial" w:hAnsi="Arial" w:cs="Arial"/>
        </w:rPr>
      </w:pPr>
      <w:r w:rsidRPr="00871260">
        <w:rPr>
          <w:rFonts w:ascii="Arial" w:hAnsi="Arial" w:cs="Arial"/>
        </w:rPr>
        <w:t xml:space="preserve">Diabetes mellitus is a chronic metabolic condition that continues to rise globally. </w:t>
      </w:r>
      <w:r w:rsidR="00143360" w:rsidRPr="00143360">
        <w:rPr>
          <w:rFonts w:ascii="Arial" w:hAnsi="Arial" w:cs="Arial"/>
          <w:highlight w:val="yellow"/>
        </w:rPr>
        <w:t>As of 2022, 14% of adults aged 18 years and older were living with diabetes, compared to only 7% in 1990 [1]. This global rise in diabetes prevalence has placed a significant burden on healthcare systems, particularly in low- and middle-income countries. India, in this context, represents a major contributor to the global diabetes burden, ranking second worldwide with an estimated 74.9 million individuals aged 20–79 affected in 2021, a figure projected to reach 124.9 million by 2045 [2].</w:t>
      </w:r>
      <w:r w:rsidRPr="00871260">
        <w:rPr>
          <w:rFonts w:ascii="Arial" w:hAnsi="Arial" w:cs="Arial"/>
        </w:rPr>
        <w:t xml:space="preserve"> </w:t>
      </w:r>
    </w:p>
    <w:p w14:paraId="3EA59872" w14:textId="4E054CAA" w:rsidR="00B85F86" w:rsidRPr="00871260" w:rsidRDefault="00B85F86" w:rsidP="00B85F86">
      <w:pPr>
        <w:pStyle w:val="Body"/>
        <w:rPr>
          <w:rFonts w:ascii="Arial" w:hAnsi="Arial" w:cs="Arial"/>
        </w:rPr>
      </w:pPr>
      <w:bookmarkStart w:id="1" w:name="_GoBack"/>
      <w:r w:rsidRPr="00871260">
        <w:rPr>
          <w:rFonts w:ascii="Arial" w:hAnsi="Arial" w:cs="Arial"/>
        </w:rPr>
        <w:t>In the management of type 2 diabetes mellitus (T2DM), fixed-dose combinations (FDCs) have become increasingly popular, offering multiple advantages, including reduced pill burden, lower risk of side effects</w:t>
      </w:r>
      <w:bookmarkEnd w:id="1"/>
      <w:r w:rsidRPr="00871260">
        <w:rPr>
          <w:rFonts w:ascii="Arial" w:hAnsi="Arial" w:cs="Arial"/>
        </w:rPr>
        <w:t xml:space="preserve">, improved patient adherence, cost-effectiveness, and enhanced therapeutic efficacy. However, concerns persist over the </w:t>
      </w:r>
      <w:r w:rsidR="00143360" w:rsidRPr="00143360">
        <w:rPr>
          <w:rFonts w:ascii="Arial" w:hAnsi="Arial" w:cs="Arial"/>
          <w:highlight w:val="yellow"/>
        </w:rPr>
        <w:t>inappropriate</w:t>
      </w:r>
      <w:r w:rsidR="00143360">
        <w:rPr>
          <w:rFonts w:ascii="Arial" w:hAnsi="Arial" w:cs="Arial"/>
        </w:rPr>
        <w:t xml:space="preserve"> </w:t>
      </w:r>
      <w:r w:rsidRPr="00871260">
        <w:rPr>
          <w:rFonts w:ascii="Arial" w:hAnsi="Arial" w:cs="Arial"/>
        </w:rPr>
        <w:t>use of certain combinations [3,4]. Among oral antidiabetic therapies, the combination of metformin and DPP4i has shown both efficacy and a favorable safety profile compared to traditional options. Furthermore, triple therapy involving metformin, a dipeptidyl peptidase 4 inhibitor (DPP4i), and a sodium glucose co-transporter 2 inhibitor (SGLT2i) is widely regarded as a preferred strategy in routine clinical practice for its complementary mechanisms and enhanced glycemic outcomes [5].</w:t>
      </w:r>
    </w:p>
    <w:p w14:paraId="71D63004" w14:textId="59EAE5B5" w:rsidR="00B85F86" w:rsidRPr="00871260" w:rsidRDefault="00143360" w:rsidP="00143360">
      <w:pPr>
        <w:pStyle w:val="Body"/>
        <w:rPr>
          <w:rFonts w:ascii="Arial" w:hAnsi="Arial" w:cs="Arial"/>
        </w:rPr>
      </w:pPr>
      <w:r w:rsidRPr="00143360">
        <w:rPr>
          <w:rFonts w:ascii="Arial" w:hAnsi="Arial" w:cs="Arial"/>
          <w:highlight w:val="yellow"/>
        </w:rPr>
        <w:t>Metformin, a biguanide antihyperglycemic agent, is considered the cornerstone of T2DM therapy and primarily reduces hepatic glucose production while improving insulin sensitivity [6]. Linagliptin, a DPP-4 inhibitor, enhances incretin hormone activity, leading to glucose-dependent insulin secretion and suppression of glucagon release [7]. Dapagliflozin, an SGLT2 inhibitor, lowers blood glucose by promoting urinary glucose excretion through inhibition of renal glucose reabsorption [8]. The combination of these agents provides a complementary and multi-targeted approach to T2DM management, as they act on distinct yet interrelated pathophysiological pathways. While metformin addresses insulin resistance and hepatic glucose output, linagliptin improves pancreatic islet function in a glucose-dependent manner, and dapagliflozin reduces circulating glucose independently of insulin action. This integrated mechanism enables additive glycemic control with a low risk of hypoglycemia, along with additional benefits such as weight neutrality or reduction and potential cardio-renal protection. Such complementary effects form the rationale for the increasing clinical preference for triple therapy in patients with inadequate control on dual regimens [6-8]</w:t>
      </w:r>
      <w:r w:rsidR="00B85F86" w:rsidRPr="00143360">
        <w:rPr>
          <w:rFonts w:ascii="Arial" w:hAnsi="Arial" w:cs="Arial"/>
          <w:highlight w:val="yellow"/>
        </w:rPr>
        <w:t>.</w:t>
      </w:r>
    </w:p>
    <w:p w14:paraId="3414D463" w14:textId="1EE4F777" w:rsidR="000A51B7" w:rsidRPr="00871260" w:rsidRDefault="00143360" w:rsidP="00B85F86">
      <w:pPr>
        <w:pStyle w:val="Body"/>
        <w:rPr>
          <w:rFonts w:ascii="Arial" w:hAnsi="Arial" w:cs="Arial"/>
          <w:lang w:val="en-IN"/>
        </w:rPr>
      </w:pPr>
      <w:r w:rsidRPr="00143360">
        <w:rPr>
          <w:rFonts w:ascii="Arial" w:hAnsi="Arial" w:cs="Arial"/>
          <w:highlight w:val="yellow"/>
        </w:rPr>
        <w:t>Despite the availability of clinical studies, there is a dearth of studies from Indian settings capturing clinicians’ preferences, particularly regarding the use of fixed-dose combinations and triple therapy.</w:t>
      </w:r>
      <w:r w:rsidRPr="00143360">
        <w:rPr>
          <w:rFonts w:ascii="Arial" w:hAnsi="Arial" w:cs="Arial"/>
        </w:rPr>
        <w:t xml:space="preserve"> So, this</w:t>
      </w:r>
      <w:r w:rsidR="00B85F86" w:rsidRPr="00871260">
        <w:rPr>
          <w:rFonts w:ascii="Arial" w:hAnsi="Arial" w:cs="Arial"/>
        </w:rPr>
        <w:t xml:space="preserve"> study aimed to assess clinicians' perspectives on glycemic control, treatment affordability, patient adherence, and organ protection in the context of FDCs and triple therapy for T2DM in Indian settings. It specifically focused on preferred therapeutic options, including DPP4i, SGLT2i, and their various combinations</w:t>
      </w:r>
      <w:r w:rsidR="000A51B7" w:rsidRPr="00871260">
        <w:rPr>
          <w:rFonts w:ascii="Arial" w:hAnsi="Arial" w:cs="Arial"/>
          <w:lang w:val="en-IN"/>
        </w:rPr>
        <w:t>.</w:t>
      </w:r>
    </w:p>
    <w:p w14:paraId="30F114DA" w14:textId="77777777" w:rsidR="007F7B32" w:rsidRPr="00871260" w:rsidRDefault="00902823" w:rsidP="00441B6F">
      <w:pPr>
        <w:pStyle w:val="AbstHead"/>
        <w:spacing w:after="0"/>
        <w:jc w:val="both"/>
        <w:rPr>
          <w:rFonts w:ascii="Arial" w:hAnsi="Arial" w:cs="Arial"/>
        </w:rPr>
      </w:pPr>
      <w:r w:rsidRPr="00871260">
        <w:rPr>
          <w:rFonts w:ascii="Arial" w:hAnsi="Arial" w:cs="Arial"/>
        </w:rPr>
        <w:t>2. material</w:t>
      </w:r>
      <w:r w:rsidR="00192216" w:rsidRPr="00871260">
        <w:rPr>
          <w:rFonts w:ascii="Arial" w:hAnsi="Arial" w:cs="Arial"/>
        </w:rPr>
        <w:t>S</w:t>
      </w:r>
      <w:r w:rsidRPr="00871260">
        <w:rPr>
          <w:rFonts w:ascii="Arial" w:hAnsi="Arial" w:cs="Arial"/>
        </w:rPr>
        <w:t xml:space="preserve"> and method</w:t>
      </w:r>
      <w:r w:rsidR="00000F8F" w:rsidRPr="00871260">
        <w:rPr>
          <w:rFonts w:ascii="Arial" w:hAnsi="Arial" w:cs="Arial"/>
        </w:rPr>
        <w:t xml:space="preserve">s </w:t>
      </w:r>
    </w:p>
    <w:p w14:paraId="2BB9BFF8" w14:textId="77777777" w:rsidR="00790ADA" w:rsidRPr="00871260" w:rsidRDefault="00790ADA" w:rsidP="00441B6F">
      <w:pPr>
        <w:pStyle w:val="AbstHead"/>
        <w:spacing w:after="0"/>
        <w:jc w:val="both"/>
        <w:rPr>
          <w:rFonts w:ascii="Arial" w:hAnsi="Arial" w:cs="Arial"/>
        </w:rPr>
      </w:pPr>
    </w:p>
    <w:p w14:paraId="0325E5DF" w14:textId="596F10B2" w:rsidR="00B85F86" w:rsidRPr="00871260" w:rsidRDefault="00E91E96" w:rsidP="00B85F86">
      <w:pPr>
        <w:jc w:val="both"/>
        <w:rPr>
          <w:rFonts w:ascii="Arial" w:hAnsi="Arial" w:cs="Arial"/>
        </w:rPr>
      </w:pPr>
      <w:r w:rsidRPr="00E91E96">
        <w:rPr>
          <w:rFonts w:ascii="Arial" w:hAnsi="Arial" w:cs="Arial"/>
          <w:highlight w:val="yellow"/>
        </w:rPr>
        <w:t>A cross-sectional survey was conducted between June 2024 and December 2024 among clinicians involved in T2DM management across India. Participant recruitment was initiated in March 2024, during which invitations were circulated to eligible clinicians based on their expertise and experience. Clinicians who consented were enrolled, and data collection was carried out during the study period (June–December 2024).</w:t>
      </w:r>
      <w:r w:rsidRPr="00E91E96">
        <w:rPr>
          <w:rFonts w:ascii="Arial" w:hAnsi="Arial" w:cs="Arial"/>
        </w:rPr>
        <w:t xml:space="preserve"> </w:t>
      </w:r>
      <w:r w:rsidR="00B85F86" w:rsidRPr="00871260">
        <w:rPr>
          <w:rFonts w:ascii="Arial" w:hAnsi="Arial" w:cs="Arial"/>
        </w:rPr>
        <w:t xml:space="preserve">The study was performed after obtaining approval from Bangalore Ethics, an Independent Ethics Committee, which was </w:t>
      </w:r>
      <w:r w:rsidR="00B85F86" w:rsidRPr="00871260">
        <w:rPr>
          <w:rFonts w:ascii="Arial" w:hAnsi="Arial" w:cs="Arial"/>
        </w:rPr>
        <w:lastRenderedPageBreak/>
        <w:t>recognized by the Indian Regulatory Authority, the Drug Controller General of India</w:t>
      </w:r>
      <w:r w:rsidR="003E5668">
        <w:rPr>
          <w:rFonts w:ascii="Arial" w:hAnsi="Arial" w:cs="Arial"/>
        </w:rPr>
        <w:t xml:space="preserve"> </w:t>
      </w:r>
      <w:r w:rsidR="003E5668" w:rsidRPr="001A3F6A">
        <w:rPr>
          <w:rFonts w:ascii="Arial" w:hAnsi="Arial" w:cs="Arial"/>
          <w:highlight w:val="yellow"/>
        </w:rPr>
        <w:t>(ECR/355/</w:t>
      </w:r>
      <w:proofErr w:type="spellStart"/>
      <w:r w:rsidR="003E5668" w:rsidRPr="001A3F6A">
        <w:rPr>
          <w:rFonts w:ascii="Arial" w:hAnsi="Arial" w:cs="Arial"/>
          <w:highlight w:val="yellow"/>
        </w:rPr>
        <w:t>Indt</w:t>
      </w:r>
      <w:proofErr w:type="spellEnd"/>
      <w:r w:rsidR="003E5668" w:rsidRPr="001A3F6A">
        <w:rPr>
          <w:rFonts w:ascii="Arial" w:hAnsi="Arial" w:cs="Arial"/>
          <w:highlight w:val="yellow"/>
        </w:rPr>
        <w:t>/KA/2022)</w:t>
      </w:r>
      <w:r w:rsidR="00B85F86" w:rsidRPr="001A3F6A">
        <w:rPr>
          <w:rFonts w:ascii="Arial" w:hAnsi="Arial" w:cs="Arial"/>
          <w:highlight w:val="yellow"/>
        </w:rPr>
        <w:t>.</w:t>
      </w:r>
    </w:p>
    <w:p w14:paraId="29DF65F4" w14:textId="77777777" w:rsidR="00B85F86" w:rsidRPr="00871260" w:rsidRDefault="00B85F86" w:rsidP="00B85F86">
      <w:pPr>
        <w:jc w:val="both"/>
        <w:rPr>
          <w:rFonts w:ascii="Arial" w:hAnsi="Arial" w:cs="Arial"/>
        </w:rPr>
      </w:pPr>
    </w:p>
    <w:p w14:paraId="107EF4C1" w14:textId="1409575B" w:rsidR="00B85F86" w:rsidRPr="00871260" w:rsidRDefault="00E91E96" w:rsidP="00B85F86">
      <w:pPr>
        <w:jc w:val="both"/>
        <w:rPr>
          <w:rFonts w:ascii="Arial" w:hAnsi="Arial" w:cs="Arial"/>
        </w:rPr>
      </w:pPr>
      <w:r w:rsidRPr="00E91E96">
        <w:rPr>
          <w:rFonts w:ascii="Arial" w:hAnsi="Arial" w:cs="Arial"/>
          <w:color w:val="000000" w:themeColor="text1"/>
          <w:highlight w:val="yellow"/>
          <w:lang w:val="en-IN"/>
        </w:rPr>
        <w:t>A convenience sampling approach was used to recruit participants based on accessibility and willingness to participate. While this approach facilitated the inclusion of a large and geographically diverse sample of clinicians across India, it may limit the generalizability of the findings. Therefore, results should be interpreted as indicative of prevailing clinical perspectives rather than nationally representative estimates</w:t>
      </w:r>
      <w:r w:rsidR="00B85F86" w:rsidRPr="00E91E96">
        <w:rPr>
          <w:rFonts w:ascii="Arial" w:hAnsi="Arial" w:cs="Arial"/>
          <w:highlight w:val="yellow"/>
        </w:rPr>
        <w:t>.</w:t>
      </w:r>
      <w:r w:rsidR="00B85F86" w:rsidRPr="00871260">
        <w:rPr>
          <w:rFonts w:ascii="Arial" w:hAnsi="Arial" w:cs="Arial"/>
        </w:rPr>
        <w:t xml:space="preserve"> About 1,817 clinicians from major cities of all Indian states, representing the geographical distribution, shared their willingness to participate and provide necessary data. Clinicians had the discretion to skip questions they did not wish to answer. Written informed consent was obtained from all participants, who were required to independently complete the questionnaire without consulting peers. Unanswered questions were treated as non-attempts.</w:t>
      </w:r>
    </w:p>
    <w:p w14:paraId="2251DC33" w14:textId="77777777" w:rsidR="00B85F86" w:rsidRPr="00871260" w:rsidRDefault="00B85F86" w:rsidP="00B85F86">
      <w:pPr>
        <w:jc w:val="both"/>
        <w:rPr>
          <w:rFonts w:ascii="Arial" w:hAnsi="Arial" w:cs="Arial"/>
        </w:rPr>
      </w:pPr>
    </w:p>
    <w:p w14:paraId="5D0F923F" w14:textId="39C18ACC" w:rsidR="00B85F86" w:rsidRPr="00871260" w:rsidRDefault="00B85F86" w:rsidP="00B85F86">
      <w:pPr>
        <w:jc w:val="both"/>
        <w:rPr>
          <w:rFonts w:ascii="Arial" w:hAnsi="Arial" w:cs="Arial"/>
        </w:rPr>
      </w:pPr>
      <w:r w:rsidRPr="00871260">
        <w:rPr>
          <w:rFonts w:ascii="Arial" w:hAnsi="Arial" w:cs="Arial"/>
        </w:rPr>
        <w:t xml:space="preserve">The questionnaire booklet titled </w:t>
      </w:r>
      <w:r w:rsidR="00283A48" w:rsidRPr="00871260">
        <w:rPr>
          <w:rFonts w:ascii="Arial" w:hAnsi="Arial" w:cs="Arial"/>
        </w:rPr>
        <w:t>ZUCALINA</w:t>
      </w:r>
      <w:r w:rsidRPr="00871260">
        <w:rPr>
          <w:rFonts w:ascii="Arial" w:hAnsi="Arial" w:cs="Arial"/>
        </w:rPr>
        <w:t xml:space="preserve"> was sent to the doctors who were interested in participating in this study. The </w:t>
      </w:r>
      <w:r w:rsidR="00283A48" w:rsidRPr="00871260">
        <w:rPr>
          <w:rFonts w:ascii="Arial" w:hAnsi="Arial" w:cs="Arial"/>
        </w:rPr>
        <w:t xml:space="preserve">ZUCALINA </w:t>
      </w:r>
      <w:r w:rsidRPr="00871260">
        <w:rPr>
          <w:rFonts w:ascii="Arial" w:hAnsi="Arial" w:cs="Arial"/>
        </w:rPr>
        <w:t>study questionnaire comprised 22-questions to gather current clinical practices, treatment patterns, and preferences related to the use of FDCs and triple therapy in T2DM</w:t>
      </w:r>
      <w:r w:rsidR="00283A48" w:rsidRPr="00871260">
        <w:rPr>
          <w:rFonts w:ascii="Arial" w:hAnsi="Arial" w:cs="Arial"/>
        </w:rPr>
        <w:t>,</w:t>
      </w:r>
      <w:r w:rsidRPr="00871260">
        <w:rPr>
          <w:rFonts w:ascii="Arial" w:hAnsi="Arial" w:cs="Arial"/>
        </w:rPr>
        <w:t xml:space="preserve"> with a special focus on DPP4i, SGLT2i, and their combinations in routine clinical care. </w:t>
      </w:r>
      <w:r w:rsidR="004C11E3" w:rsidRPr="004C11E3">
        <w:rPr>
          <w:rFonts w:ascii="Arial" w:hAnsi="Arial" w:cs="Arial"/>
          <w:highlight w:val="yellow"/>
        </w:rPr>
        <w:t>Reliability as determined by a split-half test (coefficient alpha) was adequate but should be improved in future versions of the questionnaire. A study of criterion validity was undertaken to test the questionnaire and to develop methods of testing the validity of measures of Physicians' Perspectives. However, the extraneous variable in this includes the clinician's experience, usage of the newer drugs, etc. The two criteria used were the doctors' perspectives from the clinical practice and the assessment of an external assessor and statistician.</w:t>
      </w:r>
      <w:r w:rsidR="004C11E3" w:rsidRPr="004C11E3">
        <w:rPr>
          <w:rFonts w:ascii="Arial" w:hAnsi="Arial" w:cs="Arial"/>
        </w:rPr>
        <w:t xml:space="preserve"> </w:t>
      </w:r>
    </w:p>
    <w:p w14:paraId="15BC45FF" w14:textId="77777777" w:rsidR="00B85F86" w:rsidRPr="00871260" w:rsidRDefault="00B85F86" w:rsidP="00B85F86">
      <w:pPr>
        <w:jc w:val="both"/>
        <w:rPr>
          <w:rFonts w:ascii="Arial" w:hAnsi="Arial" w:cs="Arial"/>
        </w:rPr>
      </w:pPr>
    </w:p>
    <w:p w14:paraId="5ADA3224" w14:textId="2FD72FAB" w:rsidR="000A51B7" w:rsidRPr="00D30175" w:rsidRDefault="00D30175" w:rsidP="00B85F86">
      <w:pPr>
        <w:jc w:val="both"/>
        <w:rPr>
          <w:rFonts w:ascii="Arial" w:hAnsi="Arial" w:cs="Arial"/>
          <w:lang w:val="en-IN"/>
        </w:rPr>
      </w:pPr>
      <w:r w:rsidRPr="00D30175">
        <w:rPr>
          <w:rFonts w:ascii="Arial" w:hAnsi="Arial" w:cs="Arial"/>
          <w:highlight w:val="yellow"/>
          <w:lang w:val="en-IN"/>
        </w:rPr>
        <w:t xml:space="preserve">Data collected from the questionnaire were compiled and </w:t>
      </w:r>
      <w:proofErr w:type="spellStart"/>
      <w:r w:rsidRPr="00D30175">
        <w:rPr>
          <w:rFonts w:ascii="Arial" w:hAnsi="Arial" w:cs="Arial"/>
          <w:highlight w:val="yellow"/>
          <w:lang w:val="en-IN"/>
        </w:rPr>
        <w:t>analyzed</w:t>
      </w:r>
      <w:proofErr w:type="spellEnd"/>
      <w:r w:rsidRPr="00D30175">
        <w:rPr>
          <w:rFonts w:ascii="Arial" w:hAnsi="Arial" w:cs="Arial"/>
          <w:highlight w:val="yellow"/>
          <w:lang w:val="en-IN"/>
        </w:rPr>
        <w:t xml:space="preserve"> using Microsoft Excel 2013 (version 16.0.13901.20400). Descriptive statistical methods were applied, and categorical variables were summarized as frequencies (n) and percentages (%). No inferential statistical tests were performed, as the study was exploratory in nature and aimed to assess clinicians’ perspectives. Missing responses were excluded from analysis and reported as non-attempts</w:t>
      </w:r>
      <w:r w:rsidR="000A51B7" w:rsidRPr="00D30175">
        <w:rPr>
          <w:rFonts w:ascii="Arial" w:hAnsi="Arial" w:cs="Arial"/>
          <w:highlight w:val="yellow"/>
        </w:rPr>
        <w:t>.</w:t>
      </w:r>
    </w:p>
    <w:p w14:paraId="15037750" w14:textId="77777777" w:rsidR="003F71EF" w:rsidRPr="00871260" w:rsidRDefault="003F71EF" w:rsidP="003F71EF">
      <w:pPr>
        <w:pStyle w:val="Body"/>
        <w:spacing w:after="0"/>
        <w:rPr>
          <w:rFonts w:ascii="Arial" w:hAnsi="Arial" w:cs="Arial"/>
        </w:rPr>
      </w:pPr>
    </w:p>
    <w:p w14:paraId="4104EAA4" w14:textId="77777777" w:rsidR="003F71EF" w:rsidRPr="00871260" w:rsidRDefault="003F71EF" w:rsidP="003F71EF">
      <w:pPr>
        <w:pStyle w:val="Head1"/>
        <w:spacing w:after="0"/>
        <w:jc w:val="both"/>
        <w:rPr>
          <w:rFonts w:ascii="Arial" w:hAnsi="Arial" w:cs="Arial"/>
        </w:rPr>
      </w:pPr>
      <w:r w:rsidRPr="00871260">
        <w:rPr>
          <w:rFonts w:ascii="Arial" w:hAnsi="Arial" w:cs="Arial"/>
        </w:rPr>
        <w:t>3. results</w:t>
      </w:r>
    </w:p>
    <w:p w14:paraId="74AA605B" w14:textId="77777777" w:rsidR="003F71EF" w:rsidRPr="00871260" w:rsidRDefault="003F71EF" w:rsidP="003F71EF">
      <w:pPr>
        <w:pStyle w:val="Head1"/>
        <w:spacing w:after="0"/>
        <w:jc w:val="both"/>
        <w:rPr>
          <w:rFonts w:ascii="Arial" w:hAnsi="Arial" w:cs="Arial"/>
        </w:rPr>
      </w:pPr>
    </w:p>
    <w:p w14:paraId="391D2CBA" w14:textId="617E8A2F" w:rsidR="00AF4634" w:rsidRPr="00871260" w:rsidRDefault="00D30175" w:rsidP="007C70B7">
      <w:pPr>
        <w:pStyle w:val="Body"/>
        <w:spacing w:after="0"/>
        <w:rPr>
          <w:rFonts w:ascii="Arial" w:hAnsi="Arial" w:cs="Arial"/>
        </w:rPr>
      </w:pPr>
      <w:r w:rsidRPr="00D30175">
        <w:rPr>
          <w:rFonts w:ascii="Arial" w:hAnsi="Arial" w:cs="Arial"/>
          <w:highlight w:val="yellow"/>
        </w:rPr>
        <w:t>The survey responses were analyzed using descriptive statistics and are presented as frequencies and percentages.</w:t>
      </w:r>
      <w:r>
        <w:rPr>
          <w:rFonts w:ascii="Arial" w:hAnsi="Arial" w:cs="Arial"/>
        </w:rPr>
        <w:t xml:space="preserve"> </w:t>
      </w:r>
      <w:r w:rsidR="005E3A42" w:rsidRPr="00871260">
        <w:rPr>
          <w:rFonts w:ascii="Arial" w:hAnsi="Arial" w:cs="Arial"/>
        </w:rPr>
        <w:t>Out of 1,817 survey participants, more than half (62.19%) of the clinicians reported that FDCs are important for achieving optimal glycemic control. Approximately 42% of respondents stated that 26–50% of their patients are currently on dual FDC therapies, while another 42% reported that 11–25% of patients are on triple drug FDC regimens. A significant majority (77.6%) believed that combination therapies improve treatment affordability, patient compliance, and result in better glycemic outcomes (Table 1).</w:t>
      </w:r>
    </w:p>
    <w:p w14:paraId="7A24075B" w14:textId="77777777" w:rsidR="005E3A42" w:rsidRPr="00871260" w:rsidRDefault="005E3A42" w:rsidP="007C70B7">
      <w:pPr>
        <w:pStyle w:val="Body"/>
        <w:spacing w:after="0"/>
        <w:rPr>
          <w:rFonts w:ascii="Arial" w:hAnsi="Arial" w:cs="Arial"/>
        </w:rPr>
      </w:pPr>
    </w:p>
    <w:p w14:paraId="6082D09A" w14:textId="15B0E158" w:rsidR="005E3A42" w:rsidRPr="00871260" w:rsidRDefault="005E3A42" w:rsidP="007C70B7">
      <w:pPr>
        <w:pStyle w:val="Body"/>
        <w:spacing w:after="0"/>
        <w:rPr>
          <w:rFonts w:ascii="Arial" w:hAnsi="Arial" w:cs="Arial"/>
          <w:b/>
          <w:bCs/>
        </w:rPr>
      </w:pPr>
      <w:r w:rsidRPr="00871260">
        <w:rPr>
          <w:rFonts w:ascii="Arial" w:hAnsi="Arial" w:cs="Arial"/>
          <w:b/>
          <w:bCs/>
        </w:rPr>
        <w:t>Table 1: Distribution of responses on the perceived major advantages of using combination therapy</w:t>
      </w:r>
    </w:p>
    <w:p w14:paraId="652949A2" w14:textId="77777777" w:rsidR="005E3A42" w:rsidRPr="00871260" w:rsidRDefault="005E3A42" w:rsidP="007C70B7">
      <w:pPr>
        <w:pStyle w:val="Body"/>
        <w:spacing w:after="0"/>
        <w:rPr>
          <w:rFonts w:ascii="Arial" w:hAnsi="Arial" w:cs="Arial"/>
        </w:rPr>
      </w:pPr>
    </w:p>
    <w:tbl>
      <w:tblPr>
        <w:tblW w:w="7467" w:type="dxa"/>
        <w:tblInd w:w="471" w:type="dxa"/>
        <w:tblCellMar>
          <w:left w:w="0" w:type="dxa"/>
          <w:right w:w="0" w:type="dxa"/>
        </w:tblCellMar>
        <w:tblLook w:val="04A0" w:firstRow="1" w:lastRow="0" w:firstColumn="1" w:lastColumn="0" w:noHBand="0" w:noVBand="1"/>
      </w:tblPr>
      <w:tblGrid>
        <w:gridCol w:w="4632"/>
        <w:gridCol w:w="2835"/>
      </w:tblGrid>
      <w:tr w:rsidR="005E3A42" w:rsidRPr="00871260" w14:paraId="72DC5A59" w14:textId="77777777" w:rsidTr="005E3A42">
        <w:trPr>
          <w:trHeight w:val="300"/>
        </w:trPr>
        <w:tc>
          <w:tcPr>
            <w:tcW w:w="4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0" w:type="dxa"/>
              <w:left w:w="45" w:type="dxa"/>
              <w:bottom w:w="0" w:type="dxa"/>
              <w:right w:w="45" w:type="dxa"/>
            </w:tcMar>
            <w:vAlign w:val="center"/>
            <w:hideMark/>
          </w:tcPr>
          <w:p w14:paraId="3D7230EA" w14:textId="77777777" w:rsidR="005E3A42" w:rsidRPr="00871260" w:rsidRDefault="005E3A42" w:rsidP="00331606">
            <w:pPr>
              <w:jc w:val="both"/>
              <w:rPr>
                <w:rFonts w:ascii="Arial" w:hAnsi="Arial" w:cs="Arial"/>
                <w:b/>
                <w:bCs/>
              </w:rPr>
            </w:pPr>
            <w:r w:rsidRPr="00871260">
              <w:rPr>
                <w:rFonts w:ascii="Arial" w:hAnsi="Arial" w:cs="Arial"/>
                <w:b/>
                <w:bCs/>
              </w:rPr>
              <w:t>Major advantages of combination therapy</w:t>
            </w:r>
          </w:p>
        </w:tc>
        <w:tc>
          <w:tcPr>
            <w:tcW w:w="2835"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999999"/>
            <w:tcMar>
              <w:top w:w="0" w:type="dxa"/>
              <w:left w:w="45" w:type="dxa"/>
              <w:bottom w:w="0" w:type="dxa"/>
              <w:right w:w="45" w:type="dxa"/>
            </w:tcMar>
            <w:vAlign w:val="center"/>
            <w:hideMark/>
          </w:tcPr>
          <w:p w14:paraId="60CB5081" w14:textId="77777777" w:rsidR="005E3A42" w:rsidRPr="00871260" w:rsidRDefault="005E3A42" w:rsidP="00331606">
            <w:pPr>
              <w:jc w:val="both"/>
              <w:rPr>
                <w:rFonts w:ascii="Arial" w:hAnsi="Arial" w:cs="Arial"/>
                <w:b/>
                <w:bCs/>
              </w:rPr>
            </w:pPr>
            <w:r w:rsidRPr="00871260">
              <w:rPr>
                <w:rFonts w:ascii="Arial" w:hAnsi="Arial" w:cs="Arial"/>
                <w:b/>
                <w:bCs/>
              </w:rPr>
              <w:t>Response rate (n = 1817)</w:t>
            </w:r>
          </w:p>
        </w:tc>
      </w:tr>
      <w:tr w:rsidR="005E3A42" w:rsidRPr="00871260" w14:paraId="04D58FD0" w14:textId="77777777" w:rsidTr="005E3A42">
        <w:trPr>
          <w:trHeight w:val="300"/>
        </w:trPr>
        <w:tc>
          <w:tcPr>
            <w:tcW w:w="463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A830158" w14:textId="77777777" w:rsidR="005E3A42" w:rsidRPr="00871260" w:rsidRDefault="005E3A42" w:rsidP="00331606">
            <w:pPr>
              <w:jc w:val="both"/>
              <w:rPr>
                <w:rFonts w:ascii="Arial" w:hAnsi="Arial" w:cs="Arial"/>
              </w:rPr>
            </w:pPr>
            <w:r w:rsidRPr="00871260">
              <w:rPr>
                <w:rFonts w:ascii="Arial" w:hAnsi="Arial" w:cs="Arial"/>
              </w:rPr>
              <w:t>Affordability</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5ED74DEE" w14:textId="77777777" w:rsidR="005E3A42" w:rsidRPr="00871260" w:rsidRDefault="005E3A42" w:rsidP="00331606">
            <w:pPr>
              <w:jc w:val="both"/>
              <w:rPr>
                <w:rFonts w:ascii="Arial" w:hAnsi="Arial" w:cs="Arial"/>
              </w:rPr>
            </w:pPr>
            <w:r w:rsidRPr="00871260">
              <w:rPr>
                <w:rFonts w:ascii="Arial" w:hAnsi="Arial" w:cs="Arial"/>
              </w:rPr>
              <w:t>5.94%</w:t>
            </w:r>
          </w:p>
        </w:tc>
      </w:tr>
      <w:tr w:rsidR="005E3A42" w:rsidRPr="00871260" w14:paraId="49553830" w14:textId="77777777" w:rsidTr="005E3A42">
        <w:trPr>
          <w:trHeight w:val="300"/>
        </w:trPr>
        <w:tc>
          <w:tcPr>
            <w:tcW w:w="463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FFAC4B4" w14:textId="77777777" w:rsidR="005E3A42" w:rsidRPr="00871260" w:rsidRDefault="005E3A42" w:rsidP="00331606">
            <w:pPr>
              <w:jc w:val="both"/>
              <w:rPr>
                <w:rFonts w:ascii="Arial" w:hAnsi="Arial" w:cs="Arial"/>
              </w:rPr>
            </w:pPr>
            <w:r w:rsidRPr="00871260">
              <w:rPr>
                <w:rFonts w:ascii="Arial" w:hAnsi="Arial" w:cs="Arial"/>
              </w:rPr>
              <w:t>Improved patient compliance</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2258F254" w14:textId="77777777" w:rsidR="005E3A42" w:rsidRPr="00871260" w:rsidRDefault="005E3A42" w:rsidP="00331606">
            <w:pPr>
              <w:jc w:val="both"/>
              <w:rPr>
                <w:rFonts w:ascii="Arial" w:hAnsi="Arial" w:cs="Arial"/>
              </w:rPr>
            </w:pPr>
            <w:r w:rsidRPr="00871260">
              <w:rPr>
                <w:rFonts w:ascii="Arial" w:hAnsi="Arial" w:cs="Arial"/>
              </w:rPr>
              <w:t>10.79%</w:t>
            </w:r>
          </w:p>
        </w:tc>
      </w:tr>
      <w:tr w:rsidR="005E3A42" w:rsidRPr="00871260" w14:paraId="50813AEA" w14:textId="77777777" w:rsidTr="005E3A42">
        <w:trPr>
          <w:trHeight w:val="300"/>
        </w:trPr>
        <w:tc>
          <w:tcPr>
            <w:tcW w:w="463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655961B3" w14:textId="77777777" w:rsidR="005E3A42" w:rsidRPr="00871260" w:rsidRDefault="005E3A42" w:rsidP="00331606">
            <w:pPr>
              <w:jc w:val="both"/>
              <w:rPr>
                <w:rFonts w:ascii="Arial" w:hAnsi="Arial" w:cs="Arial"/>
              </w:rPr>
            </w:pPr>
            <w:r w:rsidRPr="00871260">
              <w:rPr>
                <w:rFonts w:ascii="Arial" w:hAnsi="Arial" w:cs="Arial"/>
              </w:rPr>
              <w:t>Better glycemic control</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31060F2F" w14:textId="77777777" w:rsidR="005E3A42" w:rsidRPr="00871260" w:rsidRDefault="005E3A42" w:rsidP="00331606">
            <w:pPr>
              <w:jc w:val="both"/>
              <w:rPr>
                <w:rFonts w:ascii="Arial" w:hAnsi="Arial" w:cs="Arial"/>
              </w:rPr>
            </w:pPr>
            <w:r w:rsidRPr="00871260">
              <w:rPr>
                <w:rFonts w:ascii="Arial" w:hAnsi="Arial" w:cs="Arial"/>
              </w:rPr>
              <w:t>5.67%</w:t>
            </w:r>
          </w:p>
        </w:tc>
      </w:tr>
      <w:tr w:rsidR="005E3A42" w:rsidRPr="00871260" w14:paraId="66E384B3" w14:textId="77777777" w:rsidTr="005E3A42">
        <w:trPr>
          <w:trHeight w:val="300"/>
        </w:trPr>
        <w:tc>
          <w:tcPr>
            <w:tcW w:w="463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8BE0FBC" w14:textId="77777777" w:rsidR="005E3A42" w:rsidRPr="00871260" w:rsidRDefault="005E3A42" w:rsidP="00331606">
            <w:pPr>
              <w:jc w:val="both"/>
              <w:rPr>
                <w:rFonts w:ascii="Arial" w:hAnsi="Arial" w:cs="Arial"/>
              </w:rPr>
            </w:pPr>
            <w:r w:rsidRPr="00871260">
              <w:rPr>
                <w:rFonts w:ascii="Arial" w:hAnsi="Arial" w:cs="Arial"/>
              </w:rPr>
              <w:t>All the above</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7E6E41E9" w14:textId="77777777" w:rsidR="005E3A42" w:rsidRPr="00871260" w:rsidRDefault="005E3A42" w:rsidP="00331606">
            <w:pPr>
              <w:jc w:val="both"/>
              <w:rPr>
                <w:rFonts w:ascii="Arial" w:hAnsi="Arial" w:cs="Arial"/>
              </w:rPr>
            </w:pPr>
            <w:r w:rsidRPr="00871260">
              <w:rPr>
                <w:rFonts w:ascii="Arial" w:hAnsi="Arial" w:cs="Arial"/>
              </w:rPr>
              <w:t>77.6%</w:t>
            </w:r>
          </w:p>
        </w:tc>
      </w:tr>
    </w:tbl>
    <w:p w14:paraId="582F2984" w14:textId="77777777" w:rsidR="005E3A42" w:rsidRPr="00871260" w:rsidRDefault="005E3A42" w:rsidP="007C70B7">
      <w:pPr>
        <w:pStyle w:val="Body"/>
        <w:spacing w:after="0"/>
        <w:rPr>
          <w:rFonts w:ascii="Arial" w:hAnsi="Arial" w:cs="Arial"/>
        </w:rPr>
      </w:pPr>
    </w:p>
    <w:p w14:paraId="1B27AF0D" w14:textId="77777777" w:rsidR="005E3A42" w:rsidRPr="00871260" w:rsidRDefault="005E3A42" w:rsidP="007C70B7">
      <w:pPr>
        <w:pStyle w:val="Body"/>
        <w:spacing w:after="0"/>
        <w:rPr>
          <w:rFonts w:ascii="Arial" w:hAnsi="Arial" w:cs="Arial"/>
        </w:rPr>
      </w:pPr>
    </w:p>
    <w:p w14:paraId="020E7B99" w14:textId="545BA6F7" w:rsidR="00AF4634" w:rsidRPr="00143360" w:rsidRDefault="005E3A42" w:rsidP="00143360">
      <w:pPr>
        <w:pStyle w:val="Body"/>
        <w:rPr>
          <w:rFonts w:ascii="Arial" w:hAnsi="Arial" w:cs="Arial"/>
          <w:highlight w:val="yellow"/>
          <w:lang w:val="en-IN"/>
        </w:rPr>
      </w:pPr>
      <w:r w:rsidRPr="00B512C2">
        <w:rPr>
          <w:rFonts w:ascii="Arial" w:hAnsi="Arial" w:cs="Arial"/>
          <w:highlight w:val="yellow"/>
        </w:rPr>
        <w:t xml:space="preserve">Regarding dual therapy, around 40% of participants indicated that metformin combined with a DPP-4i is the most frequently recommended regimen. When considering a third add-on agent, approximately </w:t>
      </w:r>
      <w:r w:rsidR="00B512C2" w:rsidRPr="00B512C2">
        <w:rPr>
          <w:rFonts w:ascii="Arial" w:hAnsi="Arial" w:cs="Arial"/>
          <w:highlight w:val="yellow"/>
        </w:rPr>
        <w:t>1,526 (84%)</w:t>
      </w:r>
      <w:r w:rsidRPr="00B512C2">
        <w:rPr>
          <w:rFonts w:ascii="Arial" w:hAnsi="Arial" w:cs="Arial"/>
          <w:highlight w:val="yellow"/>
        </w:rPr>
        <w:t xml:space="preserve"> of participants preferred adding an SGLT2i to the FDC of metformin and a DPP-4i (Figure 1). Additionally, 69% reported that metformin + DPP-4i + SGLT2i is the most commonly used triple therapy in clinical practice (Figure 2). Among the DPP-4i, 72% of respondents identified linagliptin as their preferred choice (Figure 3). Around 32.47% reported having used linagliptin in clinical practice for 1–2 years. </w:t>
      </w:r>
      <w:r w:rsidR="00143360" w:rsidRPr="00143360">
        <w:rPr>
          <w:rFonts w:ascii="Arial" w:hAnsi="Arial" w:cs="Arial"/>
          <w:highlight w:val="yellow"/>
          <w:lang w:val="en-IN"/>
        </w:rPr>
        <w:t xml:space="preserve">About 67% of participants </w:t>
      </w:r>
      <w:r w:rsidR="00143360" w:rsidRPr="00143360">
        <w:rPr>
          <w:rFonts w:ascii="Arial" w:hAnsi="Arial" w:cs="Arial"/>
          <w:bCs/>
          <w:highlight w:val="yellow"/>
          <w:lang w:val="en-IN"/>
        </w:rPr>
        <w:t>reported the perception that linagliptin contributes to an improvement in estimated glomerular filtration rate (eGFR)</w:t>
      </w:r>
      <w:r w:rsidR="00143360">
        <w:rPr>
          <w:rFonts w:ascii="Arial" w:hAnsi="Arial" w:cs="Arial"/>
          <w:highlight w:val="yellow"/>
          <w:lang w:val="en-IN"/>
        </w:rPr>
        <w:t xml:space="preserve"> </w:t>
      </w:r>
      <w:r w:rsidRPr="00B512C2">
        <w:rPr>
          <w:rFonts w:ascii="Arial" w:hAnsi="Arial" w:cs="Arial"/>
          <w:highlight w:val="yellow"/>
        </w:rPr>
        <w:t>(Figure 4).</w:t>
      </w:r>
    </w:p>
    <w:p w14:paraId="191345E5" w14:textId="77777777" w:rsidR="005E3A42" w:rsidRPr="00871260" w:rsidRDefault="005E3A42" w:rsidP="007C70B7">
      <w:pPr>
        <w:pStyle w:val="Body"/>
        <w:spacing w:after="0"/>
        <w:rPr>
          <w:rFonts w:ascii="Arial" w:hAnsi="Arial" w:cs="Arial"/>
        </w:rPr>
      </w:pPr>
    </w:p>
    <w:p w14:paraId="4A8B720C" w14:textId="75939B1E" w:rsidR="005E3A42" w:rsidRPr="00871260" w:rsidRDefault="005E3A42" w:rsidP="005E3A42">
      <w:pPr>
        <w:pStyle w:val="Body"/>
        <w:spacing w:after="0"/>
        <w:jc w:val="center"/>
        <w:rPr>
          <w:rFonts w:ascii="Arial" w:hAnsi="Arial" w:cs="Arial"/>
        </w:rPr>
      </w:pPr>
      <w:r w:rsidRPr="00871260">
        <w:rPr>
          <w:rFonts w:ascii="Calibri" w:hAnsi="Calibri" w:cs="Calibri"/>
          <w:noProof/>
        </w:rPr>
        <w:drawing>
          <wp:inline distT="0" distB="0" distL="0" distR="0" wp14:anchorId="3AB2D0E0" wp14:editId="7903E854">
            <wp:extent cx="4474852" cy="2737341"/>
            <wp:effectExtent l="0" t="0" r="0" b="0"/>
            <wp:docPr id="16276774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77426" name=""/>
                    <pic:cNvPicPr/>
                  </pic:nvPicPr>
                  <pic:blipFill>
                    <a:blip r:embed="rId14">
                      <a:extLst>
                        <a:ext uri="{28A0092B-C50C-407E-A947-70E740481C1C}">
                          <a14:useLocalDpi xmlns:a14="http://schemas.microsoft.com/office/drawing/2010/main" val="0"/>
                        </a:ext>
                      </a:extLst>
                    </a:blip>
                    <a:stretch>
                      <a:fillRect/>
                    </a:stretch>
                  </pic:blipFill>
                  <pic:spPr>
                    <a:xfrm>
                      <a:off x="0" y="0"/>
                      <a:ext cx="4474852" cy="2737341"/>
                    </a:xfrm>
                    <a:prstGeom prst="rect">
                      <a:avLst/>
                    </a:prstGeom>
                  </pic:spPr>
                </pic:pic>
              </a:graphicData>
            </a:graphic>
          </wp:inline>
        </w:drawing>
      </w:r>
    </w:p>
    <w:p w14:paraId="010D11DB" w14:textId="77777777" w:rsidR="005E3A42" w:rsidRPr="00871260" w:rsidRDefault="005E3A42" w:rsidP="007C70B7">
      <w:pPr>
        <w:pStyle w:val="Body"/>
        <w:spacing w:after="0"/>
        <w:rPr>
          <w:rFonts w:ascii="Arial" w:hAnsi="Arial" w:cs="Arial"/>
          <w:b/>
          <w:bCs/>
        </w:rPr>
      </w:pPr>
    </w:p>
    <w:p w14:paraId="649ACEF9" w14:textId="3BB099E7" w:rsidR="005E3A42" w:rsidRPr="00871260" w:rsidRDefault="005E3A42" w:rsidP="007C70B7">
      <w:pPr>
        <w:pStyle w:val="Body"/>
        <w:spacing w:after="0"/>
        <w:rPr>
          <w:rFonts w:ascii="Arial" w:hAnsi="Arial" w:cs="Arial"/>
          <w:b/>
          <w:bCs/>
        </w:rPr>
      </w:pPr>
      <w:r w:rsidRPr="00871260">
        <w:rPr>
          <w:rFonts w:ascii="Arial" w:hAnsi="Arial" w:cs="Arial"/>
          <w:b/>
          <w:bCs/>
        </w:rPr>
        <w:t>Figure 1: Distribution of responses on the preferred add-on medication to a DPP4i + metformin FDCs</w:t>
      </w:r>
    </w:p>
    <w:p w14:paraId="560D072F" w14:textId="77777777" w:rsidR="005E3A42" w:rsidRPr="00871260" w:rsidRDefault="005E3A42" w:rsidP="007C70B7">
      <w:pPr>
        <w:pStyle w:val="Body"/>
        <w:spacing w:after="0"/>
        <w:rPr>
          <w:rFonts w:ascii="Arial" w:hAnsi="Arial" w:cs="Arial"/>
          <w:b/>
          <w:bCs/>
        </w:rPr>
      </w:pPr>
    </w:p>
    <w:p w14:paraId="1488A5CF" w14:textId="54BBFF36" w:rsidR="005E3A42" w:rsidRPr="00871260" w:rsidRDefault="005E3A42" w:rsidP="005E3A42">
      <w:pPr>
        <w:pStyle w:val="Body"/>
        <w:spacing w:after="0"/>
        <w:rPr>
          <w:rFonts w:ascii="Arial" w:hAnsi="Arial" w:cs="Arial"/>
          <w:b/>
          <w:bCs/>
        </w:rPr>
      </w:pPr>
      <w:r w:rsidRPr="00871260">
        <w:rPr>
          <w:rFonts w:ascii="Calibri" w:hAnsi="Calibri" w:cs="Calibri"/>
          <w:noProof/>
        </w:rPr>
        <w:lastRenderedPageBreak/>
        <w:drawing>
          <wp:inline distT="0" distB="0" distL="0" distR="0" wp14:anchorId="4B3A8FBC" wp14:editId="7A61C90A">
            <wp:extent cx="5212080" cy="2695796"/>
            <wp:effectExtent l="0" t="0" r="0" b="0"/>
            <wp:docPr id="10387887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788788" name=""/>
                    <pic:cNvPicPr/>
                  </pic:nvPicPr>
                  <pic:blipFill>
                    <a:blip r:embed="rId15">
                      <a:extLst>
                        <a:ext uri="{28A0092B-C50C-407E-A947-70E740481C1C}">
                          <a14:useLocalDpi xmlns:a14="http://schemas.microsoft.com/office/drawing/2010/main" val="0"/>
                        </a:ext>
                      </a:extLst>
                    </a:blip>
                    <a:stretch>
                      <a:fillRect/>
                    </a:stretch>
                  </pic:blipFill>
                  <pic:spPr>
                    <a:xfrm>
                      <a:off x="0" y="0"/>
                      <a:ext cx="5212080" cy="2695796"/>
                    </a:xfrm>
                    <a:prstGeom prst="rect">
                      <a:avLst/>
                    </a:prstGeom>
                  </pic:spPr>
                </pic:pic>
              </a:graphicData>
            </a:graphic>
          </wp:inline>
        </w:drawing>
      </w:r>
    </w:p>
    <w:p w14:paraId="233A7B8A" w14:textId="77777777" w:rsidR="005E3A42" w:rsidRPr="00871260" w:rsidRDefault="005E3A42" w:rsidP="007C70B7">
      <w:pPr>
        <w:pStyle w:val="Body"/>
        <w:spacing w:after="0"/>
        <w:rPr>
          <w:rFonts w:ascii="Arial" w:hAnsi="Arial" w:cs="Arial"/>
          <w:b/>
          <w:bCs/>
        </w:rPr>
      </w:pPr>
    </w:p>
    <w:p w14:paraId="46966CD5" w14:textId="25C31801" w:rsidR="005E3A42" w:rsidRPr="00871260" w:rsidRDefault="005E3A42" w:rsidP="007C70B7">
      <w:pPr>
        <w:pStyle w:val="Body"/>
        <w:spacing w:after="0"/>
        <w:rPr>
          <w:rFonts w:ascii="Arial" w:hAnsi="Arial" w:cs="Arial"/>
          <w:b/>
          <w:bCs/>
        </w:rPr>
      </w:pPr>
      <w:r w:rsidRPr="00871260">
        <w:rPr>
          <w:rFonts w:ascii="Arial" w:hAnsi="Arial" w:cs="Arial"/>
          <w:b/>
          <w:bCs/>
        </w:rPr>
        <w:t>Figure 2: Distribution of responses to the most commonly used triple therapy in clinical practice</w:t>
      </w:r>
    </w:p>
    <w:p w14:paraId="2FF5151C" w14:textId="77777777" w:rsidR="005E3A42" w:rsidRPr="00871260" w:rsidRDefault="005E3A42" w:rsidP="007C70B7">
      <w:pPr>
        <w:pStyle w:val="Body"/>
        <w:spacing w:after="0"/>
        <w:rPr>
          <w:rFonts w:ascii="Arial" w:hAnsi="Arial" w:cs="Arial"/>
          <w:b/>
          <w:bCs/>
        </w:rPr>
      </w:pPr>
    </w:p>
    <w:p w14:paraId="3BCA27E7" w14:textId="404AF8B0" w:rsidR="005E3A42" w:rsidRPr="00871260" w:rsidRDefault="005E3A42" w:rsidP="005E3A42">
      <w:pPr>
        <w:pStyle w:val="Body"/>
        <w:spacing w:after="0"/>
        <w:jc w:val="center"/>
        <w:rPr>
          <w:rFonts w:ascii="Arial" w:hAnsi="Arial" w:cs="Arial"/>
          <w:b/>
          <w:bCs/>
        </w:rPr>
      </w:pPr>
      <w:r w:rsidRPr="00871260">
        <w:rPr>
          <w:rFonts w:ascii="Calibri" w:hAnsi="Calibri" w:cs="Calibri"/>
          <w:noProof/>
        </w:rPr>
        <w:drawing>
          <wp:inline distT="0" distB="0" distL="0" distR="0" wp14:anchorId="17335587" wp14:editId="2764CA80">
            <wp:extent cx="4463415" cy="2726055"/>
            <wp:effectExtent l="0" t="0" r="13335" b="17145"/>
            <wp:docPr id="1105617651" name="Chart 1">
              <a:extLst xmlns:a="http://schemas.openxmlformats.org/drawingml/2006/main">
                <a:ext uri="{FF2B5EF4-FFF2-40B4-BE49-F238E27FC236}">
                  <a16:creationId xmlns:a16="http://schemas.microsoft.com/office/drawing/2014/main" id="{601AEE84-BCD1-2D89-A656-EA2BB0147D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EFA44E2" w14:textId="77777777" w:rsidR="005E3A42" w:rsidRPr="00871260" w:rsidRDefault="005E3A42" w:rsidP="007C70B7">
      <w:pPr>
        <w:pStyle w:val="Body"/>
        <w:spacing w:after="0"/>
        <w:rPr>
          <w:rFonts w:ascii="Arial" w:hAnsi="Arial" w:cs="Arial"/>
          <w:b/>
          <w:bCs/>
        </w:rPr>
      </w:pPr>
    </w:p>
    <w:p w14:paraId="3BDD5ABD" w14:textId="71BA5793" w:rsidR="005E3A42" w:rsidRPr="00871260" w:rsidRDefault="005E3A42" w:rsidP="007C70B7">
      <w:pPr>
        <w:pStyle w:val="Body"/>
        <w:spacing w:after="0"/>
        <w:rPr>
          <w:rFonts w:ascii="Arial" w:hAnsi="Arial" w:cs="Arial"/>
          <w:b/>
          <w:bCs/>
        </w:rPr>
      </w:pPr>
      <w:r w:rsidRPr="00871260">
        <w:rPr>
          <w:rFonts w:ascii="Arial" w:hAnsi="Arial" w:cs="Arial"/>
          <w:b/>
          <w:bCs/>
        </w:rPr>
        <w:t>Figure 3: Distribution of responses on preferred choice among DPP4i in clinical practice</w:t>
      </w:r>
    </w:p>
    <w:p w14:paraId="5F975D21" w14:textId="77777777" w:rsidR="005E3A42" w:rsidRPr="00871260" w:rsidRDefault="005E3A42" w:rsidP="007C70B7">
      <w:pPr>
        <w:pStyle w:val="Body"/>
        <w:spacing w:after="0"/>
        <w:rPr>
          <w:rFonts w:ascii="Arial" w:hAnsi="Arial" w:cs="Arial"/>
          <w:b/>
          <w:bCs/>
        </w:rPr>
      </w:pPr>
    </w:p>
    <w:p w14:paraId="651409C1" w14:textId="6FA94939" w:rsidR="001D02C2" w:rsidRPr="00871260" w:rsidRDefault="001D02C2" w:rsidP="001D02C2">
      <w:pPr>
        <w:pStyle w:val="Body"/>
        <w:spacing w:after="0"/>
        <w:jc w:val="center"/>
        <w:rPr>
          <w:rFonts w:ascii="Arial" w:hAnsi="Arial" w:cs="Arial"/>
          <w:b/>
          <w:bCs/>
        </w:rPr>
      </w:pPr>
      <w:r w:rsidRPr="00871260">
        <w:rPr>
          <w:rFonts w:ascii="Calibri" w:hAnsi="Calibri" w:cs="Calibri"/>
          <w:noProof/>
        </w:rPr>
        <w:lastRenderedPageBreak/>
        <w:drawing>
          <wp:inline distT="0" distB="0" distL="0" distR="0" wp14:anchorId="4C6B0DD0" wp14:editId="41FDB303">
            <wp:extent cx="4463415" cy="2727960"/>
            <wp:effectExtent l="0" t="0" r="13335" b="15240"/>
            <wp:docPr id="776873588" name="Chart 1">
              <a:extLst xmlns:a="http://schemas.openxmlformats.org/drawingml/2006/main">
                <a:ext uri="{FF2B5EF4-FFF2-40B4-BE49-F238E27FC236}">
                  <a16:creationId xmlns:a16="http://schemas.microsoft.com/office/drawing/2014/main" id="{AEACC361-3146-CFA8-9F50-BA30583593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8136594" w14:textId="77777777" w:rsidR="001D02C2" w:rsidRPr="00871260" w:rsidRDefault="001D02C2" w:rsidP="007C70B7">
      <w:pPr>
        <w:pStyle w:val="Body"/>
        <w:spacing w:after="0"/>
        <w:rPr>
          <w:rFonts w:ascii="Arial" w:hAnsi="Arial" w:cs="Arial"/>
          <w:b/>
          <w:bCs/>
        </w:rPr>
      </w:pPr>
    </w:p>
    <w:p w14:paraId="58A24BE7" w14:textId="7E6623E4" w:rsidR="001D02C2" w:rsidRPr="00871260" w:rsidRDefault="001D02C2" w:rsidP="007C70B7">
      <w:pPr>
        <w:pStyle w:val="Body"/>
        <w:spacing w:after="0"/>
        <w:rPr>
          <w:rFonts w:ascii="Arial" w:hAnsi="Arial" w:cs="Arial"/>
          <w:b/>
          <w:bCs/>
        </w:rPr>
      </w:pPr>
      <w:r w:rsidRPr="00871260">
        <w:rPr>
          <w:rFonts w:ascii="Arial" w:hAnsi="Arial" w:cs="Arial"/>
          <w:b/>
          <w:bCs/>
        </w:rPr>
        <w:t>Figure 4: Distribution of responses on average HbA1c reduction found with linagliptin + dapagliflozin combination after 3 months of treatment in clinical practice</w:t>
      </w:r>
    </w:p>
    <w:p w14:paraId="1F23C549" w14:textId="77777777" w:rsidR="005E3A42" w:rsidRPr="00871260" w:rsidRDefault="005E3A42" w:rsidP="007C70B7">
      <w:pPr>
        <w:pStyle w:val="Body"/>
        <w:spacing w:after="0"/>
        <w:rPr>
          <w:rFonts w:ascii="Arial" w:hAnsi="Arial" w:cs="Arial"/>
        </w:rPr>
      </w:pPr>
    </w:p>
    <w:p w14:paraId="01D1F04A" w14:textId="09A6F81E" w:rsidR="001D02C2" w:rsidRPr="00871260" w:rsidRDefault="001D02C2" w:rsidP="007C70B7">
      <w:pPr>
        <w:pStyle w:val="Body"/>
        <w:spacing w:after="0"/>
        <w:rPr>
          <w:rFonts w:ascii="Arial" w:hAnsi="Arial" w:cs="Arial"/>
        </w:rPr>
      </w:pPr>
      <w:r w:rsidRPr="00871260">
        <w:rPr>
          <w:rFonts w:ascii="Arial" w:hAnsi="Arial" w:cs="Arial"/>
        </w:rPr>
        <w:t>Nearly half (48.76%) of the experts observed an average HbA1c reduction of 0.5–1% after three months of treatment with the linagliptin + dapagliflozin combination. Around 52% reported using DPP4i + SGLT2i combinations in clinical practice for 1–3 years. Ease of achieving glycemic targets was cited by 52.94% as the most common reason for initiating linagliptin + dapagliflozin combination therapy. A large proportion (78.7%) favored the dapagliflozin + linagliptin FDC in patients with uncontrolled diabetes, cardiac comorbidities, and renal complications. About 60% of participants preferred the linagliptin + dapagliflozin + metformin combination in patients with HbA1c levels ranging from 8% to 11%, reflecting its suitability across varying degrees of poor glycemic control. A significant portion (76.66%) of respondents identified multiple advantages of the dapagliflozin + linagliptin combination over dapagliflozin + vildagliptin, including improved glycemic profile, renal and cardiovascular protection, and a reduced risk of UTIs (Table 2).</w:t>
      </w:r>
    </w:p>
    <w:p w14:paraId="3E3C8491" w14:textId="77777777" w:rsidR="001D02C2" w:rsidRPr="00871260" w:rsidRDefault="001D02C2" w:rsidP="007C70B7">
      <w:pPr>
        <w:pStyle w:val="Body"/>
        <w:spacing w:after="0"/>
        <w:rPr>
          <w:rFonts w:ascii="Arial" w:hAnsi="Arial" w:cs="Arial"/>
        </w:rPr>
      </w:pPr>
    </w:p>
    <w:p w14:paraId="10636908" w14:textId="31D77E4A" w:rsidR="001D02C2" w:rsidRPr="00871260" w:rsidRDefault="001D02C2" w:rsidP="007C70B7">
      <w:pPr>
        <w:pStyle w:val="Body"/>
        <w:spacing w:after="0"/>
        <w:rPr>
          <w:rFonts w:ascii="Arial" w:hAnsi="Arial" w:cs="Arial"/>
          <w:b/>
          <w:bCs/>
        </w:rPr>
      </w:pPr>
      <w:r w:rsidRPr="00871260">
        <w:rPr>
          <w:rFonts w:ascii="Arial" w:hAnsi="Arial" w:cs="Arial"/>
          <w:b/>
          <w:bCs/>
        </w:rPr>
        <w:t>Table 2: Distribution of responses on the advantage of using the dapagliflozin + linagliptin combination over the dapagliflozin + vildagliptin combination</w:t>
      </w:r>
    </w:p>
    <w:p w14:paraId="39903F05" w14:textId="77777777" w:rsidR="001D02C2" w:rsidRPr="00871260" w:rsidRDefault="001D02C2" w:rsidP="007C70B7">
      <w:pPr>
        <w:pStyle w:val="Body"/>
        <w:spacing w:after="0"/>
        <w:rPr>
          <w:rFonts w:ascii="Arial" w:hAnsi="Arial" w:cs="Arial"/>
        </w:rPr>
      </w:pPr>
    </w:p>
    <w:tbl>
      <w:tblPr>
        <w:tblW w:w="6849" w:type="dxa"/>
        <w:tblInd w:w="679" w:type="dxa"/>
        <w:tblCellMar>
          <w:left w:w="0" w:type="dxa"/>
          <w:right w:w="0" w:type="dxa"/>
        </w:tblCellMar>
        <w:tblLook w:val="04A0" w:firstRow="1" w:lastRow="0" w:firstColumn="1" w:lastColumn="0" w:noHBand="0" w:noVBand="1"/>
      </w:tblPr>
      <w:tblGrid>
        <w:gridCol w:w="3873"/>
        <w:gridCol w:w="2976"/>
      </w:tblGrid>
      <w:tr w:rsidR="001D02C2" w:rsidRPr="00871260" w14:paraId="5470A925" w14:textId="77777777" w:rsidTr="001D02C2">
        <w:trPr>
          <w:trHeight w:val="300"/>
        </w:trPr>
        <w:tc>
          <w:tcPr>
            <w:tcW w:w="38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0" w:type="dxa"/>
              <w:left w:w="45" w:type="dxa"/>
              <w:bottom w:w="0" w:type="dxa"/>
              <w:right w:w="45" w:type="dxa"/>
            </w:tcMar>
            <w:vAlign w:val="center"/>
            <w:hideMark/>
          </w:tcPr>
          <w:p w14:paraId="108451AF" w14:textId="77777777" w:rsidR="001D02C2" w:rsidRPr="00871260" w:rsidRDefault="001D02C2" w:rsidP="001D02C2">
            <w:pPr>
              <w:jc w:val="center"/>
              <w:rPr>
                <w:rFonts w:ascii="Arial" w:hAnsi="Arial" w:cs="Arial"/>
                <w:b/>
                <w:bCs/>
              </w:rPr>
            </w:pPr>
            <w:r w:rsidRPr="00871260">
              <w:rPr>
                <w:rFonts w:ascii="Arial" w:hAnsi="Arial" w:cs="Arial"/>
                <w:b/>
                <w:bCs/>
              </w:rPr>
              <w:t>Advantages</w:t>
            </w:r>
          </w:p>
        </w:tc>
        <w:tc>
          <w:tcPr>
            <w:tcW w:w="2976"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999999"/>
            <w:tcMar>
              <w:top w:w="0" w:type="dxa"/>
              <w:left w:w="45" w:type="dxa"/>
              <w:bottom w:w="0" w:type="dxa"/>
              <w:right w:w="45" w:type="dxa"/>
            </w:tcMar>
            <w:vAlign w:val="center"/>
            <w:hideMark/>
          </w:tcPr>
          <w:p w14:paraId="3F3E4F30" w14:textId="77777777" w:rsidR="001D02C2" w:rsidRPr="00871260" w:rsidRDefault="001D02C2" w:rsidP="001D02C2">
            <w:pPr>
              <w:jc w:val="center"/>
              <w:rPr>
                <w:rFonts w:ascii="Arial" w:hAnsi="Arial" w:cs="Arial"/>
                <w:b/>
                <w:bCs/>
              </w:rPr>
            </w:pPr>
            <w:r w:rsidRPr="00871260">
              <w:rPr>
                <w:rFonts w:ascii="Arial" w:hAnsi="Arial" w:cs="Arial"/>
                <w:b/>
                <w:bCs/>
              </w:rPr>
              <w:t>Response rate (n = 1817)</w:t>
            </w:r>
          </w:p>
        </w:tc>
      </w:tr>
      <w:tr w:rsidR="001D02C2" w:rsidRPr="00871260" w14:paraId="177D11D0" w14:textId="77777777" w:rsidTr="001D02C2">
        <w:trPr>
          <w:trHeight w:val="300"/>
        </w:trPr>
        <w:tc>
          <w:tcPr>
            <w:tcW w:w="3873"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115DFF0" w14:textId="77777777" w:rsidR="001D02C2" w:rsidRPr="00871260" w:rsidRDefault="001D02C2" w:rsidP="001D02C2">
            <w:pPr>
              <w:jc w:val="center"/>
              <w:rPr>
                <w:rFonts w:ascii="Arial" w:hAnsi="Arial" w:cs="Arial"/>
              </w:rPr>
            </w:pPr>
            <w:r w:rsidRPr="00871260">
              <w:rPr>
                <w:rFonts w:ascii="Arial" w:hAnsi="Arial" w:cs="Arial"/>
              </w:rPr>
              <w:t>Better glycemic profile</w:t>
            </w:r>
          </w:p>
        </w:tc>
        <w:tc>
          <w:tcPr>
            <w:tcW w:w="2976"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3F3CB874" w14:textId="77777777" w:rsidR="001D02C2" w:rsidRPr="00871260" w:rsidRDefault="001D02C2" w:rsidP="001D02C2">
            <w:pPr>
              <w:jc w:val="center"/>
              <w:rPr>
                <w:rFonts w:ascii="Arial" w:hAnsi="Arial" w:cs="Arial"/>
              </w:rPr>
            </w:pPr>
            <w:r w:rsidRPr="00871260">
              <w:rPr>
                <w:rFonts w:ascii="Arial" w:hAnsi="Arial" w:cs="Arial"/>
              </w:rPr>
              <w:t>4.07%</w:t>
            </w:r>
          </w:p>
        </w:tc>
      </w:tr>
      <w:tr w:rsidR="001D02C2" w:rsidRPr="00871260" w14:paraId="478BEAE5" w14:textId="77777777" w:rsidTr="001D02C2">
        <w:trPr>
          <w:trHeight w:val="300"/>
        </w:trPr>
        <w:tc>
          <w:tcPr>
            <w:tcW w:w="3873"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34210512" w14:textId="77777777" w:rsidR="001D02C2" w:rsidRPr="00871260" w:rsidRDefault="001D02C2" w:rsidP="001D02C2">
            <w:pPr>
              <w:jc w:val="center"/>
              <w:rPr>
                <w:rFonts w:ascii="Arial" w:hAnsi="Arial" w:cs="Arial"/>
              </w:rPr>
            </w:pPr>
            <w:r w:rsidRPr="00871260">
              <w:rPr>
                <w:rFonts w:ascii="Arial" w:hAnsi="Arial" w:cs="Arial"/>
              </w:rPr>
              <w:t>Better renal protection</w:t>
            </w:r>
          </w:p>
        </w:tc>
        <w:tc>
          <w:tcPr>
            <w:tcW w:w="2976"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71CC5954" w14:textId="77777777" w:rsidR="001D02C2" w:rsidRPr="00871260" w:rsidRDefault="001D02C2" w:rsidP="001D02C2">
            <w:pPr>
              <w:jc w:val="center"/>
              <w:rPr>
                <w:rFonts w:ascii="Arial" w:hAnsi="Arial" w:cs="Arial"/>
              </w:rPr>
            </w:pPr>
            <w:r w:rsidRPr="00871260">
              <w:rPr>
                <w:rFonts w:ascii="Arial" w:hAnsi="Arial" w:cs="Arial"/>
              </w:rPr>
              <w:t>15.8%</w:t>
            </w:r>
          </w:p>
        </w:tc>
      </w:tr>
      <w:tr w:rsidR="001D02C2" w:rsidRPr="00871260" w14:paraId="507123F6" w14:textId="77777777" w:rsidTr="001D02C2">
        <w:trPr>
          <w:trHeight w:val="300"/>
        </w:trPr>
        <w:tc>
          <w:tcPr>
            <w:tcW w:w="3873"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5DBF24F0" w14:textId="77777777" w:rsidR="001D02C2" w:rsidRPr="00871260" w:rsidRDefault="001D02C2" w:rsidP="001D02C2">
            <w:pPr>
              <w:jc w:val="center"/>
              <w:rPr>
                <w:rFonts w:ascii="Arial" w:hAnsi="Arial" w:cs="Arial"/>
              </w:rPr>
            </w:pPr>
            <w:r w:rsidRPr="00871260">
              <w:rPr>
                <w:rFonts w:ascii="Arial" w:hAnsi="Arial" w:cs="Arial"/>
              </w:rPr>
              <w:t xml:space="preserve">Better </w:t>
            </w:r>
            <w:proofErr w:type="spellStart"/>
            <w:r w:rsidRPr="00871260">
              <w:rPr>
                <w:rFonts w:ascii="Arial" w:hAnsi="Arial" w:cs="Arial"/>
              </w:rPr>
              <w:t>cardioprotection</w:t>
            </w:r>
            <w:proofErr w:type="spellEnd"/>
          </w:p>
        </w:tc>
        <w:tc>
          <w:tcPr>
            <w:tcW w:w="2976"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08F8EB8D" w14:textId="77777777" w:rsidR="001D02C2" w:rsidRPr="00871260" w:rsidRDefault="001D02C2" w:rsidP="001D02C2">
            <w:pPr>
              <w:jc w:val="center"/>
              <w:rPr>
                <w:rFonts w:ascii="Arial" w:hAnsi="Arial" w:cs="Arial"/>
              </w:rPr>
            </w:pPr>
            <w:r w:rsidRPr="00871260">
              <w:rPr>
                <w:rFonts w:ascii="Arial" w:hAnsi="Arial" w:cs="Arial"/>
              </w:rPr>
              <w:t>3.03%</w:t>
            </w:r>
          </w:p>
        </w:tc>
      </w:tr>
      <w:tr w:rsidR="001D02C2" w:rsidRPr="00871260" w14:paraId="24B64B84" w14:textId="77777777" w:rsidTr="001D02C2">
        <w:trPr>
          <w:trHeight w:val="300"/>
        </w:trPr>
        <w:tc>
          <w:tcPr>
            <w:tcW w:w="3873"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1F7D86DC" w14:textId="77777777" w:rsidR="001D02C2" w:rsidRPr="00871260" w:rsidRDefault="001D02C2" w:rsidP="001D02C2">
            <w:pPr>
              <w:jc w:val="center"/>
              <w:rPr>
                <w:rFonts w:ascii="Arial" w:hAnsi="Arial" w:cs="Arial"/>
              </w:rPr>
            </w:pPr>
            <w:r w:rsidRPr="00871260">
              <w:rPr>
                <w:rFonts w:ascii="Arial" w:hAnsi="Arial" w:cs="Arial"/>
              </w:rPr>
              <w:t>Better reduction of UTIs</w:t>
            </w:r>
          </w:p>
        </w:tc>
        <w:tc>
          <w:tcPr>
            <w:tcW w:w="2976"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2DAB6E61" w14:textId="77777777" w:rsidR="001D02C2" w:rsidRPr="00871260" w:rsidRDefault="001D02C2" w:rsidP="001D02C2">
            <w:pPr>
              <w:jc w:val="center"/>
              <w:rPr>
                <w:rFonts w:ascii="Arial" w:hAnsi="Arial" w:cs="Arial"/>
              </w:rPr>
            </w:pPr>
            <w:r w:rsidRPr="00871260">
              <w:rPr>
                <w:rFonts w:ascii="Arial" w:hAnsi="Arial" w:cs="Arial"/>
              </w:rPr>
              <w:t>0.44%</w:t>
            </w:r>
          </w:p>
        </w:tc>
      </w:tr>
      <w:tr w:rsidR="001D02C2" w:rsidRPr="00871260" w14:paraId="09DBE44B" w14:textId="77777777" w:rsidTr="001D02C2">
        <w:trPr>
          <w:trHeight w:val="300"/>
        </w:trPr>
        <w:tc>
          <w:tcPr>
            <w:tcW w:w="3873"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07BDD5A" w14:textId="77777777" w:rsidR="001D02C2" w:rsidRPr="00871260" w:rsidRDefault="001D02C2" w:rsidP="001D02C2">
            <w:pPr>
              <w:jc w:val="center"/>
              <w:rPr>
                <w:rFonts w:ascii="Arial" w:hAnsi="Arial" w:cs="Arial"/>
              </w:rPr>
            </w:pPr>
            <w:r w:rsidRPr="00871260">
              <w:rPr>
                <w:rFonts w:ascii="Arial" w:hAnsi="Arial" w:cs="Arial"/>
              </w:rPr>
              <w:t>All of the above</w:t>
            </w:r>
          </w:p>
        </w:tc>
        <w:tc>
          <w:tcPr>
            <w:tcW w:w="2976"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2AE7635E" w14:textId="77777777" w:rsidR="001D02C2" w:rsidRPr="00871260" w:rsidRDefault="001D02C2" w:rsidP="001D02C2">
            <w:pPr>
              <w:jc w:val="center"/>
              <w:rPr>
                <w:rFonts w:ascii="Arial" w:hAnsi="Arial" w:cs="Arial"/>
              </w:rPr>
            </w:pPr>
            <w:r w:rsidRPr="00871260">
              <w:rPr>
                <w:rFonts w:ascii="Arial" w:hAnsi="Arial" w:cs="Arial"/>
              </w:rPr>
              <w:t>76.66%</w:t>
            </w:r>
          </w:p>
        </w:tc>
      </w:tr>
    </w:tbl>
    <w:p w14:paraId="64FC00F6" w14:textId="77777777" w:rsidR="001D02C2" w:rsidRPr="00871260" w:rsidRDefault="001D02C2" w:rsidP="007C70B7">
      <w:pPr>
        <w:pStyle w:val="Body"/>
        <w:spacing w:after="0"/>
        <w:rPr>
          <w:rFonts w:ascii="Arial" w:hAnsi="Arial" w:cs="Arial"/>
        </w:rPr>
      </w:pPr>
    </w:p>
    <w:p w14:paraId="0863FDA9" w14:textId="2D78C025" w:rsidR="001D02C2" w:rsidRPr="00871260" w:rsidRDefault="001D02C2" w:rsidP="007C70B7">
      <w:pPr>
        <w:pStyle w:val="Body"/>
        <w:spacing w:after="0"/>
        <w:rPr>
          <w:rFonts w:ascii="Arial" w:hAnsi="Arial" w:cs="Arial"/>
        </w:rPr>
      </w:pPr>
      <w:r w:rsidRPr="00871260">
        <w:rPr>
          <w:rFonts w:ascii="Arial" w:hAnsi="Arial" w:cs="Arial"/>
        </w:rPr>
        <w:t xml:space="preserve">Approximately 85% of respondents agreed that appropriate pharmacotherapy plays a vital role in protecting organs in patients with diabetes and hypertension. About 41% highlighted that the FDC of dapagliflozin and linagliptin offers synergistic benefits, including better glycemic control, targeting multiple pathophysiological defects of diabetes, cardio-renal protection, reduced incidence of UTIs, and improved patient compliance. Most of the </w:t>
      </w:r>
      <w:r w:rsidRPr="00871260">
        <w:rPr>
          <w:rFonts w:ascii="Arial" w:hAnsi="Arial" w:cs="Arial"/>
        </w:rPr>
        <w:lastRenderedPageBreak/>
        <w:t>clinicians (90.09%) indicated that dapagliflozin is the preferred SGLT2i for achieving organ protection in addition to glycemic control (Table 3).</w:t>
      </w:r>
    </w:p>
    <w:p w14:paraId="73A8D976" w14:textId="77777777" w:rsidR="001D02C2" w:rsidRPr="00871260" w:rsidRDefault="001D02C2" w:rsidP="007C70B7">
      <w:pPr>
        <w:pStyle w:val="Body"/>
        <w:spacing w:after="0"/>
        <w:rPr>
          <w:rFonts w:ascii="Arial" w:hAnsi="Arial" w:cs="Arial"/>
        </w:rPr>
      </w:pPr>
    </w:p>
    <w:p w14:paraId="11EBA66C" w14:textId="75961D34" w:rsidR="001D02C2" w:rsidRPr="00871260" w:rsidRDefault="001D02C2" w:rsidP="007C70B7">
      <w:pPr>
        <w:pStyle w:val="Body"/>
        <w:spacing w:after="0"/>
        <w:rPr>
          <w:rFonts w:ascii="Arial" w:hAnsi="Arial" w:cs="Arial"/>
          <w:b/>
          <w:bCs/>
        </w:rPr>
      </w:pPr>
      <w:r w:rsidRPr="00871260">
        <w:rPr>
          <w:rFonts w:ascii="Arial" w:hAnsi="Arial" w:cs="Arial"/>
          <w:b/>
          <w:bCs/>
        </w:rPr>
        <w:t>Table 3: Distribution of responses on preferred SGLT2i for organ protection with glycemic control</w:t>
      </w:r>
    </w:p>
    <w:p w14:paraId="76E08AD4" w14:textId="77777777" w:rsidR="001D02C2" w:rsidRPr="00871260" w:rsidRDefault="001D02C2" w:rsidP="007C70B7">
      <w:pPr>
        <w:pStyle w:val="Body"/>
        <w:spacing w:after="0"/>
        <w:rPr>
          <w:rFonts w:ascii="Arial" w:hAnsi="Arial" w:cs="Arial"/>
          <w:b/>
          <w:bCs/>
        </w:rPr>
      </w:pPr>
    </w:p>
    <w:tbl>
      <w:tblPr>
        <w:tblW w:w="6290" w:type="dxa"/>
        <w:tblInd w:w="985" w:type="dxa"/>
        <w:tblCellMar>
          <w:left w:w="0" w:type="dxa"/>
          <w:right w:w="0" w:type="dxa"/>
        </w:tblCellMar>
        <w:tblLook w:val="04A0" w:firstRow="1" w:lastRow="0" w:firstColumn="1" w:lastColumn="0" w:noHBand="0" w:noVBand="1"/>
      </w:tblPr>
      <w:tblGrid>
        <w:gridCol w:w="3455"/>
        <w:gridCol w:w="2835"/>
      </w:tblGrid>
      <w:tr w:rsidR="001D02C2" w:rsidRPr="00871260" w14:paraId="2E1A7A12" w14:textId="77777777" w:rsidTr="001D02C2">
        <w:trPr>
          <w:trHeight w:val="300"/>
        </w:trPr>
        <w:tc>
          <w:tcPr>
            <w:tcW w:w="3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0" w:type="dxa"/>
              <w:left w:w="45" w:type="dxa"/>
              <w:bottom w:w="0" w:type="dxa"/>
              <w:right w:w="45" w:type="dxa"/>
            </w:tcMar>
            <w:vAlign w:val="center"/>
            <w:hideMark/>
          </w:tcPr>
          <w:p w14:paraId="1076A37A" w14:textId="77777777" w:rsidR="001D02C2" w:rsidRPr="00871260" w:rsidRDefault="001D02C2" w:rsidP="00331606">
            <w:pPr>
              <w:jc w:val="both"/>
              <w:rPr>
                <w:rFonts w:ascii="Arial" w:hAnsi="Arial" w:cs="Arial"/>
                <w:b/>
                <w:bCs/>
              </w:rPr>
            </w:pPr>
            <w:r w:rsidRPr="00871260">
              <w:rPr>
                <w:rFonts w:ascii="Arial" w:hAnsi="Arial" w:cs="Arial"/>
                <w:b/>
                <w:bCs/>
              </w:rPr>
              <w:t>Preference</w:t>
            </w:r>
          </w:p>
        </w:tc>
        <w:tc>
          <w:tcPr>
            <w:tcW w:w="2835"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999999"/>
            <w:tcMar>
              <w:top w:w="0" w:type="dxa"/>
              <w:left w:w="45" w:type="dxa"/>
              <w:bottom w:w="0" w:type="dxa"/>
              <w:right w:w="45" w:type="dxa"/>
            </w:tcMar>
            <w:vAlign w:val="center"/>
            <w:hideMark/>
          </w:tcPr>
          <w:p w14:paraId="326A2BAE" w14:textId="77777777" w:rsidR="001D02C2" w:rsidRPr="00871260" w:rsidRDefault="001D02C2" w:rsidP="00331606">
            <w:pPr>
              <w:jc w:val="both"/>
              <w:rPr>
                <w:rFonts w:ascii="Arial" w:hAnsi="Arial" w:cs="Arial"/>
                <w:b/>
                <w:bCs/>
              </w:rPr>
            </w:pPr>
            <w:r w:rsidRPr="00871260">
              <w:rPr>
                <w:rFonts w:ascii="Arial" w:hAnsi="Arial" w:cs="Arial"/>
                <w:b/>
                <w:bCs/>
              </w:rPr>
              <w:t>Response rate (n = 1817)</w:t>
            </w:r>
          </w:p>
        </w:tc>
      </w:tr>
      <w:tr w:rsidR="001D02C2" w:rsidRPr="00871260" w14:paraId="6D47EF30" w14:textId="77777777" w:rsidTr="001D02C2">
        <w:trPr>
          <w:trHeight w:val="300"/>
        </w:trPr>
        <w:tc>
          <w:tcPr>
            <w:tcW w:w="3455"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48C9BF6F" w14:textId="77777777" w:rsidR="001D02C2" w:rsidRPr="00871260" w:rsidRDefault="001D02C2" w:rsidP="00331606">
            <w:pPr>
              <w:jc w:val="both"/>
              <w:rPr>
                <w:rFonts w:ascii="Arial" w:hAnsi="Arial" w:cs="Arial"/>
              </w:rPr>
            </w:pPr>
            <w:r w:rsidRPr="00871260">
              <w:rPr>
                <w:rFonts w:ascii="Arial" w:hAnsi="Arial" w:cs="Arial"/>
              </w:rPr>
              <w:t>Dapagliflozin</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7EC1D651" w14:textId="77777777" w:rsidR="001D02C2" w:rsidRPr="00871260" w:rsidRDefault="001D02C2" w:rsidP="00331606">
            <w:pPr>
              <w:jc w:val="both"/>
              <w:rPr>
                <w:rFonts w:ascii="Arial" w:hAnsi="Arial" w:cs="Arial"/>
              </w:rPr>
            </w:pPr>
            <w:r w:rsidRPr="00871260">
              <w:rPr>
                <w:rFonts w:ascii="Arial" w:hAnsi="Arial" w:cs="Arial"/>
              </w:rPr>
              <w:t>90.09%</w:t>
            </w:r>
          </w:p>
        </w:tc>
      </w:tr>
      <w:tr w:rsidR="001D02C2" w:rsidRPr="00871260" w14:paraId="79850063" w14:textId="77777777" w:rsidTr="001D02C2">
        <w:trPr>
          <w:trHeight w:val="300"/>
        </w:trPr>
        <w:tc>
          <w:tcPr>
            <w:tcW w:w="3455"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7BAFF7C0" w14:textId="77777777" w:rsidR="001D02C2" w:rsidRPr="00871260" w:rsidRDefault="001D02C2" w:rsidP="00331606">
            <w:pPr>
              <w:jc w:val="both"/>
              <w:rPr>
                <w:rFonts w:ascii="Arial" w:hAnsi="Arial" w:cs="Arial"/>
              </w:rPr>
            </w:pPr>
            <w:r w:rsidRPr="00871260">
              <w:rPr>
                <w:rFonts w:ascii="Arial" w:hAnsi="Arial" w:cs="Arial"/>
              </w:rPr>
              <w:t>Empagliflozin</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28C06F92" w14:textId="77777777" w:rsidR="001D02C2" w:rsidRPr="00871260" w:rsidRDefault="001D02C2" w:rsidP="00331606">
            <w:pPr>
              <w:jc w:val="both"/>
              <w:rPr>
                <w:rFonts w:ascii="Arial" w:hAnsi="Arial" w:cs="Arial"/>
              </w:rPr>
            </w:pPr>
            <w:r w:rsidRPr="00871260">
              <w:rPr>
                <w:rFonts w:ascii="Arial" w:hAnsi="Arial" w:cs="Arial"/>
              </w:rPr>
              <w:t>8.48%</w:t>
            </w:r>
          </w:p>
        </w:tc>
      </w:tr>
      <w:tr w:rsidR="001D02C2" w:rsidRPr="00871260" w14:paraId="536EA450" w14:textId="77777777" w:rsidTr="001D02C2">
        <w:trPr>
          <w:trHeight w:val="300"/>
        </w:trPr>
        <w:tc>
          <w:tcPr>
            <w:tcW w:w="3455"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7E6CD9AF" w14:textId="77777777" w:rsidR="001D02C2" w:rsidRPr="00871260" w:rsidRDefault="001D02C2" w:rsidP="00331606">
            <w:pPr>
              <w:jc w:val="both"/>
              <w:rPr>
                <w:rFonts w:ascii="Arial" w:hAnsi="Arial" w:cs="Arial"/>
              </w:rPr>
            </w:pPr>
            <w:r w:rsidRPr="00871260">
              <w:rPr>
                <w:rFonts w:ascii="Arial" w:hAnsi="Arial" w:cs="Arial"/>
              </w:rPr>
              <w:t>Canagliflozin</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30E81B5E" w14:textId="77777777" w:rsidR="001D02C2" w:rsidRPr="00871260" w:rsidRDefault="001D02C2" w:rsidP="00331606">
            <w:pPr>
              <w:jc w:val="both"/>
              <w:rPr>
                <w:rFonts w:ascii="Arial" w:hAnsi="Arial" w:cs="Arial"/>
              </w:rPr>
            </w:pPr>
            <w:r w:rsidRPr="00871260">
              <w:rPr>
                <w:rFonts w:ascii="Arial" w:hAnsi="Arial" w:cs="Arial"/>
              </w:rPr>
              <w:t>0.88%</w:t>
            </w:r>
          </w:p>
        </w:tc>
      </w:tr>
      <w:tr w:rsidR="001D02C2" w:rsidRPr="00871260" w14:paraId="2CF4165C" w14:textId="77777777" w:rsidTr="001D02C2">
        <w:trPr>
          <w:trHeight w:val="300"/>
        </w:trPr>
        <w:tc>
          <w:tcPr>
            <w:tcW w:w="3455"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56A26F9F" w14:textId="77777777" w:rsidR="001D02C2" w:rsidRPr="00871260" w:rsidRDefault="001D02C2" w:rsidP="00331606">
            <w:pPr>
              <w:jc w:val="both"/>
              <w:rPr>
                <w:rFonts w:ascii="Arial" w:hAnsi="Arial" w:cs="Arial"/>
              </w:rPr>
            </w:pPr>
            <w:r w:rsidRPr="00871260">
              <w:rPr>
                <w:rFonts w:ascii="Arial" w:hAnsi="Arial" w:cs="Arial"/>
              </w:rPr>
              <w:t>Remogliflozin</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30A10972" w14:textId="77777777" w:rsidR="001D02C2" w:rsidRPr="00871260" w:rsidRDefault="001D02C2" w:rsidP="00331606">
            <w:pPr>
              <w:jc w:val="both"/>
              <w:rPr>
                <w:rFonts w:ascii="Arial" w:hAnsi="Arial" w:cs="Arial"/>
              </w:rPr>
            </w:pPr>
            <w:r w:rsidRPr="00871260">
              <w:rPr>
                <w:rFonts w:ascii="Arial" w:hAnsi="Arial" w:cs="Arial"/>
              </w:rPr>
              <w:t>0.44%</w:t>
            </w:r>
          </w:p>
        </w:tc>
      </w:tr>
      <w:tr w:rsidR="001D02C2" w:rsidRPr="00871260" w14:paraId="796707F6" w14:textId="77777777" w:rsidTr="001D02C2">
        <w:trPr>
          <w:trHeight w:val="300"/>
        </w:trPr>
        <w:tc>
          <w:tcPr>
            <w:tcW w:w="3455"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2B0A86E3" w14:textId="77777777" w:rsidR="001D02C2" w:rsidRPr="00871260" w:rsidRDefault="001D02C2" w:rsidP="00331606">
            <w:pPr>
              <w:jc w:val="both"/>
              <w:rPr>
                <w:rFonts w:ascii="Arial" w:hAnsi="Arial" w:cs="Arial"/>
              </w:rPr>
            </w:pPr>
            <w:r w:rsidRPr="00871260">
              <w:rPr>
                <w:rFonts w:ascii="Arial" w:hAnsi="Arial" w:cs="Arial"/>
              </w:rPr>
              <w:t>All of the above</w:t>
            </w:r>
          </w:p>
        </w:tc>
        <w:tc>
          <w:tcPr>
            <w:tcW w:w="28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4DE58689" w14:textId="77777777" w:rsidR="001D02C2" w:rsidRPr="00871260" w:rsidRDefault="001D02C2" w:rsidP="00331606">
            <w:pPr>
              <w:jc w:val="both"/>
              <w:rPr>
                <w:rFonts w:ascii="Arial" w:hAnsi="Arial" w:cs="Arial"/>
              </w:rPr>
            </w:pPr>
            <w:r w:rsidRPr="00871260">
              <w:rPr>
                <w:rFonts w:ascii="Arial" w:hAnsi="Arial" w:cs="Arial"/>
              </w:rPr>
              <w:t>0.11%</w:t>
            </w:r>
          </w:p>
        </w:tc>
      </w:tr>
    </w:tbl>
    <w:p w14:paraId="38BDD7DF" w14:textId="77777777" w:rsidR="001D02C2" w:rsidRPr="00871260" w:rsidRDefault="001D02C2" w:rsidP="007C70B7">
      <w:pPr>
        <w:pStyle w:val="Body"/>
        <w:spacing w:after="0"/>
        <w:rPr>
          <w:rFonts w:ascii="Arial" w:hAnsi="Arial" w:cs="Arial"/>
        </w:rPr>
      </w:pPr>
    </w:p>
    <w:p w14:paraId="32BE4B60" w14:textId="63F5E5CD" w:rsidR="001D02C2" w:rsidRPr="00871260" w:rsidRDefault="001D02C2" w:rsidP="007C70B7">
      <w:pPr>
        <w:pStyle w:val="Body"/>
        <w:spacing w:after="0"/>
        <w:rPr>
          <w:rFonts w:ascii="Arial" w:hAnsi="Arial" w:cs="Arial"/>
        </w:rPr>
      </w:pPr>
      <w:r w:rsidRPr="00871260">
        <w:rPr>
          <w:rFonts w:ascii="Arial" w:hAnsi="Arial" w:cs="Arial"/>
        </w:rPr>
        <w:t>Around 82% of participants preferred the linagliptin + dapagliflozin combination for glycemic control with cardiovascular protection, while 95% selected the same combination for glycemic control with renal protection. Nearly 55% of clinicians identified social media as the preferred platform for patient education.</w:t>
      </w:r>
    </w:p>
    <w:p w14:paraId="660BFFFA" w14:textId="77777777" w:rsidR="00AF4634" w:rsidRPr="00871260" w:rsidRDefault="00AF4634" w:rsidP="007C70B7">
      <w:pPr>
        <w:pStyle w:val="Body"/>
        <w:spacing w:after="0"/>
        <w:rPr>
          <w:rFonts w:ascii="Arial" w:hAnsi="Arial" w:cs="Arial"/>
          <w:b/>
          <w:bCs/>
          <w:lang w:val="en-IN"/>
        </w:rPr>
      </w:pPr>
    </w:p>
    <w:p w14:paraId="15D0882F" w14:textId="77777777" w:rsidR="00902823" w:rsidRPr="00871260" w:rsidRDefault="00C4190C" w:rsidP="00441B6F">
      <w:pPr>
        <w:pStyle w:val="Head1"/>
        <w:spacing w:after="0"/>
        <w:jc w:val="both"/>
        <w:rPr>
          <w:rFonts w:ascii="Arial" w:hAnsi="Arial" w:cs="Arial"/>
        </w:rPr>
      </w:pPr>
      <w:r w:rsidRPr="00871260">
        <w:rPr>
          <w:rFonts w:ascii="Arial" w:hAnsi="Arial" w:cs="Arial"/>
        </w:rPr>
        <w:t>4</w:t>
      </w:r>
      <w:r w:rsidR="00902823" w:rsidRPr="00871260">
        <w:rPr>
          <w:rFonts w:ascii="Arial" w:hAnsi="Arial" w:cs="Arial"/>
        </w:rPr>
        <w:t xml:space="preserve">. </w:t>
      </w:r>
      <w:r w:rsidR="00000F8F" w:rsidRPr="00871260">
        <w:rPr>
          <w:rFonts w:ascii="Arial" w:hAnsi="Arial" w:cs="Arial"/>
        </w:rPr>
        <w:t>discussion</w:t>
      </w:r>
    </w:p>
    <w:p w14:paraId="7C053FCC" w14:textId="77777777" w:rsidR="00790ADA" w:rsidRPr="00871260" w:rsidRDefault="00790ADA" w:rsidP="00441B6F">
      <w:pPr>
        <w:pStyle w:val="Head1"/>
        <w:spacing w:after="0"/>
        <w:jc w:val="both"/>
        <w:rPr>
          <w:rFonts w:ascii="Arial" w:hAnsi="Arial" w:cs="Arial"/>
        </w:rPr>
      </w:pPr>
    </w:p>
    <w:p w14:paraId="4A8260C5" w14:textId="77777777" w:rsidR="001D02C2" w:rsidRPr="00871260" w:rsidRDefault="001D02C2" w:rsidP="001D02C2">
      <w:pPr>
        <w:pStyle w:val="Body"/>
        <w:rPr>
          <w:rFonts w:ascii="Arial" w:hAnsi="Arial" w:cs="Arial"/>
        </w:rPr>
      </w:pPr>
      <w:r w:rsidRPr="00871260">
        <w:rPr>
          <w:rFonts w:ascii="Arial" w:hAnsi="Arial" w:cs="Arial"/>
        </w:rPr>
        <w:t>The findings of this study highlight a strong consensus among clinicians regarding the role of FDCs in optimizing glycemic control and improving treatment adherence in T2DM. More than 60% of survey respondents recognized the importance of FDCs, with around 78% emphasizing their potential to enhance affordability, compliance, and overall glycemic outcomes. These perceptions are consistent with previous evidence showing that FDCs reduce pill burden, simplify treatment regimens, and may contribute to better long-term control in T2DM. A previous study reported that FDCs improve patient adherence and enhance glycemic outcomes in individuals with T2DM [9].</w:t>
      </w:r>
      <w:r w:rsidRPr="00871260">
        <w:rPr>
          <w:rFonts w:ascii="Arial" w:hAnsi="Arial" w:cs="Arial"/>
          <w:vertAlign w:val="superscript"/>
        </w:rPr>
        <w:t xml:space="preserve"> </w:t>
      </w:r>
      <w:r w:rsidRPr="00871260">
        <w:rPr>
          <w:rFonts w:ascii="Arial" w:hAnsi="Arial" w:cs="Arial"/>
        </w:rPr>
        <w:t xml:space="preserve"> </w:t>
      </w:r>
    </w:p>
    <w:p w14:paraId="06C73704" w14:textId="785CE01B" w:rsidR="001D02C2" w:rsidRPr="00871260" w:rsidRDefault="001D02C2" w:rsidP="00E57DF2">
      <w:pPr>
        <w:pStyle w:val="Body"/>
        <w:rPr>
          <w:rFonts w:ascii="Arial" w:hAnsi="Arial" w:cs="Arial"/>
        </w:rPr>
      </w:pPr>
      <w:r w:rsidRPr="00871260">
        <w:rPr>
          <w:rFonts w:ascii="Arial" w:hAnsi="Arial" w:cs="Arial"/>
        </w:rPr>
        <w:t xml:space="preserve">The majority of participants indicated that combination therapies enhance affordability, improve patient compliance, and provide better glycemic control. In line with these findings, </w:t>
      </w:r>
      <w:r w:rsidR="00E57DF2" w:rsidRPr="00E57DF2">
        <w:rPr>
          <w:rFonts w:ascii="Arial" w:hAnsi="Arial" w:cs="Arial"/>
        </w:rPr>
        <w:t>Bohm et al. reported that FDCs help lower treatment costs by reducing pill burden and combining multiple medications into a single tablet, thereby improving adherence and simplifying treatment regimens. Improved adherence contributes to more consistent use of antidiabetic medications and, consequently, better glycemic outcomes</w:t>
      </w:r>
      <w:r w:rsidR="00E57DF2">
        <w:rPr>
          <w:rFonts w:ascii="Arial" w:hAnsi="Arial" w:cs="Arial"/>
        </w:rPr>
        <w:t xml:space="preserve"> [10]</w:t>
      </w:r>
      <w:r w:rsidR="00E57DF2" w:rsidRPr="00E57DF2">
        <w:rPr>
          <w:rFonts w:ascii="Arial" w:hAnsi="Arial" w:cs="Arial"/>
        </w:rPr>
        <w:t>.</w:t>
      </w:r>
      <w:r w:rsidR="00E57DF2">
        <w:rPr>
          <w:rFonts w:ascii="Arial" w:hAnsi="Arial" w:cs="Arial"/>
        </w:rPr>
        <w:t xml:space="preserve"> </w:t>
      </w:r>
      <w:r w:rsidR="00E57DF2" w:rsidRPr="00E57DF2">
        <w:rPr>
          <w:rFonts w:ascii="Arial" w:hAnsi="Arial" w:cs="Arial"/>
        </w:rPr>
        <w:t>However, in the Indian context, affordability should be interpreted cautiously, as the acquisition cost of newer combinations (e.g., DPP4i and SGLT2i-based FDCs) may be higher than that of traditional low-cost therapies such as metformin with sulfonylureas. Therefore, affordability in this study reflects not only the cost per tablet but also the perceived long-term value, including improved adherence, reduced treatment complexity, and the potential to minimize diabetes-related complications and associated healthcare costs</w:t>
      </w:r>
      <w:r w:rsidRPr="00871260">
        <w:rPr>
          <w:rFonts w:ascii="Arial" w:hAnsi="Arial" w:cs="Arial"/>
        </w:rPr>
        <w:t xml:space="preserve">. Supporting this, Phung et al. found that FDCs are often more cost-effective than individual drugs taken separately without compromising efficacy [11]. </w:t>
      </w:r>
    </w:p>
    <w:p w14:paraId="239658F1" w14:textId="77777777" w:rsidR="001D02C2" w:rsidRPr="00871260" w:rsidRDefault="001D02C2" w:rsidP="001D02C2">
      <w:pPr>
        <w:pStyle w:val="Body"/>
        <w:rPr>
          <w:rFonts w:ascii="Arial" w:hAnsi="Arial" w:cs="Arial"/>
        </w:rPr>
      </w:pPr>
      <w:r w:rsidRPr="00871260">
        <w:rPr>
          <w:rFonts w:ascii="Arial" w:hAnsi="Arial" w:cs="Arial"/>
        </w:rPr>
        <w:t xml:space="preserve">This study indicated a strong preference for SGLT2i as the third agent when used alongside a DPP4i + metformin FDC, reflecting a treatment approach that aligns well with current clinical recommendations. Baar et al. reported that the combination of metformin, DPP4i, and SGLT2i is widely used due to its additive glucose-lowering effects and additional metabolic advantages [12]. Similarly, Tsushima et al. highlighted that while treatment should be individualized, current guidelines often favor SGLT2i as the additional agent in triple </w:t>
      </w:r>
      <w:r w:rsidRPr="00871260">
        <w:rPr>
          <w:rFonts w:ascii="Arial" w:hAnsi="Arial" w:cs="Arial"/>
        </w:rPr>
        <w:lastRenderedPageBreak/>
        <w:t xml:space="preserve">therapy because of its superior </w:t>
      </w:r>
      <w:proofErr w:type="spellStart"/>
      <w:r w:rsidRPr="00871260">
        <w:rPr>
          <w:rFonts w:ascii="Arial" w:hAnsi="Arial" w:cs="Arial"/>
        </w:rPr>
        <w:t>glycaemic</w:t>
      </w:r>
      <w:proofErr w:type="spellEnd"/>
      <w:r w:rsidRPr="00871260">
        <w:rPr>
          <w:rFonts w:ascii="Arial" w:hAnsi="Arial" w:cs="Arial"/>
        </w:rPr>
        <w:t xml:space="preserve"> control and added cardiovascular and renal benefits [13]. </w:t>
      </w:r>
    </w:p>
    <w:p w14:paraId="59DEC9C6" w14:textId="77777777" w:rsidR="001D02C2" w:rsidRPr="00871260" w:rsidRDefault="001D02C2" w:rsidP="001D02C2">
      <w:pPr>
        <w:pStyle w:val="Body"/>
        <w:rPr>
          <w:rFonts w:ascii="Arial" w:hAnsi="Arial" w:cs="Arial"/>
        </w:rPr>
      </w:pPr>
      <w:r w:rsidRPr="00871260">
        <w:rPr>
          <w:rFonts w:ascii="Arial" w:hAnsi="Arial" w:cs="Arial"/>
        </w:rPr>
        <w:t xml:space="preserve">In this study, most of the clinicians reported that the combination of metformin, DPP4i, and SGLT2i was the most commonly used triple therapy. Li et al. found that adding an SGLT2i to a dual regimen of metformin and a DPP4i leads to significant improvements in glycemic control, weight reduction, and blood pressure compared to dual therapy alone [14].  Similarly, Barnett et al. recommended that triple oral therapy, including a </w:t>
      </w:r>
      <w:proofErr w:type="spellStart"/>
      <w:r w:rsidRPr="00871260">
        <w:rPr>
          <w:rFonts w:ascii="Arial" w:hAnsi="Arial" w:cs="Arial"/>
        </w:rPr>
        <w:t>DPPi</w:t>
      </w:r>
      <w:proofErr w:type="spellEnd"/>
      <w:r w:rsidRPr="00871260">
        <w:rPr>
          <w:rFonts w:ascii="Arial" w:hAnsi="Arial" w:cs="Arial"/>
        </w:rPr>
        <w:t xml:space="preserve">, metformin, and either a TZD or SGLT2i, should be considered, especially when minimizing the risk of hypoglycemia is a key treatment objective [15]. </w:t>
      </w:r>
    </w:p>
    <w:p w14:paraId="52EFA1EC" w14:textId="207470F4" w:rsidR="001D02C2" w:rsidRPr="00E57DF2" w:rsidRDefault="001D02C2" w:rsidP="001D02C2">
      <w:pPr>
        <w:pStyle w:val="Body"/>
        <w:rPr>
          <w:rFonts w:ascii="Arial" w:hAnsi="Arial" w:cs="Arial"/>
          <w:lang w:val="en-IN"/>
        </w:rPr>
      </w:pPr>
      <w:r w:rsidRPr="00871260">
        <w:rPr>
          <w:rFonts w:ascii="Arial" w:hAnsi="Arial" w:cs="Arial"/>
        </w:rPr>
        <w:t xml:space="preserve">The survey findings also support the benefits of linagliptin, highlighting its preference as a DPP4i in clinical practice and its potential to improve eGFR. </w:t>
      </w:r>
      <w:proofErr w:type="spellStart"/>
      <w:r w:rsidRPr="00871260">
        <w:rPr>
          <w:rFonts w:ascii="Arial" w:hAnsi="Arial" w:cs="Arial"/>
        </w:rPr>
        <w:t>Gallwitz</w:t>
      </w:r>
      <w:proofErr w:type="spellEnd"/>
      <w:r w:rsidRPr="00871260">
        <w:rPr>
          <w:rFonts w:ascii="Arial" w:hAnsi="Arial" w:cs="Arial"/>
        </w:rPr>
        <w:t xml:space="preserve"> et al. highlighted that, unlike most other DPP4i, linagliptin is primarily eliminated via a non-renal (biliary/hepatic) pathway. This unique pharmacokinetic profile allows its use without dose adjustment in patients with renal impairment, a common concern in T2DM [16].  Similarly, Saini et al. reported that linagliptin’s long half-life and strong, selective binding to DPP4 help maintain effective glycemic control even with occasional missed doses, thereby enhancing patient convenience and adherence [17]. </w:t>
      </w:r>
      <w:r w:rsidR="00E57DF2" w:rsidRPr="00E57DF2">
        <w:rPr>
          <w:rFonts w:ascii="Arial" w:hAnsi="Arial" w:cs="Arial"/>
          <w:highlight w:val="yellow"/>
          <w:lang w:val="en-IN"/>
        </w:rPr>
        <w:t xml:space="preserve">In another study involving 164 patients, </w:t>
      </w:r>
      <w:proofErr w:type="spellStart"/>
      <w:r w:rsidR="00E57DF2" w:rsidRPr="00E57DF2">
        <w:rPr>
          <w:rFonts w:ascii="Arial" w:hAnsi="Arial" w:cs="Arial"/>
          <w:highlight w:val="yellow"/>
          <w:lang w:val="en-IN"/>
        </w:rPr>
        <w:t>Yagoglu</w:t>
      </w:r>
      <w:proofErr w:type="spellEnd"/>
      <w:r w:rsidR="00E57DF2" w:rsidRPr="00E57DF2">
        <w:rPr>
          <w:rFonts w:ascii="Arial" w:hAnsi="Arial" w:cs="Arial"/>
          <w:highlight w:val="yellow"/>
          <w:lang w:val="en-IN"/>
        </w:rPr>
        <w:t xml:space="preserve"> et al. observed a significant improvement in eGFR in the linagliptin group compared with controls, suggesting a potential role in kidney function preservation [18]. </w:t>
      </w:r>
      <w:r w:rsidR="00E57DF2" w:rsidRPr="00E57DF2">
        <w:rPr>
          <w:rFonts w:ascii="Arial" w:hAnsi="Arial" w:cs="Arial"/>
          <w:bCs/>
          <w:highlight w:val="yellow"/>
          <w:lang w:val="en-IN"/>
        </w:rPr>
        <w:t>Similar findings have been reported in other studies, where linagliptin demonstrated renal safety and stabilization of kidney function, particularly in patients with type 2 diabetes and chronic kidney disease</w:t>
      </w:r>
      <w:r w:rsidR="00E57DF2" w:rsidRPr="00E57DF2">
        <w:rPr>
          <w:rFonts w:ascii="Arial" w:hAnsi="Arial" w:cs="Arial"/>
          <w:highlight w:val="yellow"/>
          <w:lang w:val="en-IN"/>
        </w:rPr>
        <w:t xml:space="preserve"> [16,19].</w:t>
      </w:r>
    </w:p>
    <w:p w14:paraId="4E23B147" w14:textId="2729A0D8" w:rsidR="001D02C2" w:rsidRPr="00871260" w:rsidRDefault="001D02C2" w:rsidP="001D02C2">
      <w:pPr>
        <w:pStyle w:val="Body"/>
        <w:rPr>
          <w:rFonts w:ascii="Arial" w:hAnsi="Arial" w:cs="Arial"/>
        </w:rPr>
      </w:pPr>
      <w:r w:rsidRPr="00871260">
        <w:rPr>
          <w:rFonts w:ascii="Arial" w:hAnsi="Arial" w:cs="Arial"/>
        </w:rPr>
        <w:t xml:space="preserve">The majority of clinicians highlighted dapagliflozin as the preferred SGLT2i for achieving both organ protection and glycemic control. In a multicenter randomized trial, Tavares et al. reported that dapagliflozin demonstrated promising trends in kidney protection among patients with acute organ dysfunction, further supporting its role beyond glycemic management [20]. </w:t>
      </w:r>
      <w:r w:rsidR="00AF513F" w:rsidRPr="00927186">
        <w:rPr>
          <w:rFonts w:ascii="Arial" w:hAnsi="Arial" w:cs="Arial"/>
          <w:highlight w:val="yellow"/>
        </w:rPr>
        <w:t xml:space="preserve">Most clinicians indicated that the combination of dapagliflozin and linagliptin was perceived to offer clinical advantages, including improved glycemic control and potential cardio-renal benefits, compared with other combinations such as dapagliflozin and vildagliptin. Supporting this perception, </w:t>
      </w:r>
      <w:proofErr w:type="spellStart"/>
      <w:r w:rsidR="00AF513F" w:rsidRPr="00927186">
        <w:rPr>
          <w:rFonts w:ascii="Arial" w:hAnsi="Arial" w:cs="Arial"/>
          <w:highlight w:val="yellow"/>
        </w:rPr>
        <w:t>Dharmalingam</w:t>
      </w:r>
      <w:proofErr w:type="spellEnd"/>
      <w:r w:rsidR="00AF513F" w:rsidRPr="00927186">
        <w:rPr>
          <w:rFonts w:ascii="Arial" w:hAnsi="Arial" w:cs="Arial"/>
          <w:highlight w:val="yellow"/>
        </w:rPr>
        <w:t xml:space="preserve"> M et al. reported greater improvements in glycemic parameters with the dapagliflozin and linagliptin combination in patients inadequately controlled on metformin.</w:t>
      </w:r>
      <w:r w:rsidR="00AF513F">
        <w:rPr>
          <w:rFonts w:ascii="Arial" w:hAnsi="Arial" w:cs="Arial"/>
        </w:rPr>
        <w:t xml:space="preserve"> </w:t>
      </w:r>
      <w:r w:rsidRPr="00871260">
        <w:rPr>
          <w:rFonts w:ascii="Arial" w:hAnsi="Arial" w:cs="Arial"/>
        </w:rPr>
        <w:t xml:space="preserve"> </w:t>
      </w:r>
      <w:r w:rsidR="00927186" w:rsidRPr="00927186">
        <w:rPr>
          <w:rFonts w:ascii="Arial" w:hAnsi="Arial" w:cs="Arial"/>
        </w:rPr>
        <w:t>In addition, evidence from clinical studies evaluating DPP4 inhibitor and SGLT2 inhibitor combinations suggests additive glycemic reduction, with HbA1c lowering of approximately 1–1.5%</w:t>
      </w:r>
      <w:r w:rsidR="00927186">
        <w:rPr>
          <w:rFonts w:ascii="Arial" w:hAnsi="Arial" w:cs="Arial"/>
        </w:rPr>
        <w:t xml:space="preserve"> [21</w:t>
      </w:r>
      <w:r w:rsidR="00927186" w:rsidRPr="00927186">
        <w:rPr>
          <w:rFonts w:ascii="Arial" w:hAnsi="Arial" w:cs="Arial"/>
        </w:rPr>
        <w:t>]. SGLT2 inhibitors, including dapagliflozin, have consistently demonstrated cardiovascular and renal benefits, such as reduction in heart failure hospitalization and slowing of chronic kidney disease progression [</w:t>
      </w:r>
      <w:r w:rsidR="004F54EA">
        <w:rPr>
          <w:rFonts w:ascii="Arial" w:hAnsi="Arial" w:cs="Arial"/>
        </w:rPr>
        <w:t>22</w:t>
      </w:r>
      <w:r w:rsidR="00927186" w:rsidRPr="00927186">
        <w:rPr>
          <w:rFonts w:ascii="Arial" w:hAnsi="Arial" w:cs="Arial"/>
        </w:rPr>
        <w:t>]. Meanwhile, DPP4 inhibitors like linagliptin are recognized for their renal safety and low risk of hypoglycemia [</w:t>
      </w:r>
      <w:r w:rsidR="004F54EA">
        <w:rPr>
          <w:rFonts w:ascii="Arial" w:hAnsi="Arial" w:cs="Arial"/>
        </w:rPr>
        <w:t>23</w:t>
      </w:r>
      <w:r w:rsidR="00927186" w:rsidRPr="00927186">
        <w:rPr>
          <w:rFonts w:ascii="Arial" w:hAnsi="Arial" w:cs="Arial"/>
        </w:rPr>
        <w:t>].</w:t>
      </w:r>
    </w:p>
    <w:p w14:paraId="4A54C2C4" w14:textId="06A590EE" w:rsidR="001D02C2" w:rsidRPr="00871260" w:rsidRDefault="001D02C2" w:rsidP="001D02C2">
      <w:pPr>
        <w:pStyle w:val="Body"/>
        <w:rPr>
          <w:rFonts w:ascii="Arial" w:hAnsi="Arial" w:cs="Arial"/>
        </w:rPr>
      </w:pPr>
      <w:r w:rsidRPr="00871260">
        <w:rPr>
          <w:rFonts w:ascii="Arial" w:hAnsi="Arial" w:cs="Arial"/>
        </w:rPr>
        <w:t xml:space="preserve">These findings align with current guideline recommendations advocating these FDCs in routine practice. </w:t>
      </w:r>
      <w:r w:rsidRPr="00B512C2">
        <w:rPr>
          <w:rFonts w:ascii="Arial" w:hAnsi="Arial" w:cs="Arial"/>
          <w:highlight w:val="yellow"/>
        </w:rPr>
        <w:t>The American Diabetes Association – European Association for the Study of Diabetes (ADA–EASD) Consensus recognizes metformin as the first-line therapy for T2DM and strongly recommends the addition of SGLT-2i in patients with atherosclerotic cardiovascular disease, heart failure, or chronic kidney disease to reduce cardio-renal risk. While the guidelines do not explicitly outline triple oral therapy, they support the combination of metformin and SGLT-2i for relevant comorbidities, thereby providing an evidence-based framework that aligns with the use of FDCs containing metformin and an SGLT-2 inhibitor in appropriate clinical scenarios [2</w:t>
      </w:r>
      <w:r w:rsidR="004F54EA">
        <w:rPr>
          <w:rFonts w:ascii="Arial" w:hAnsi="Arial" w:cs="Arial"/>
          <w:highlight w:val="yellow"/>
        </w:rPr>
        <w:t>4</w:t>
      </w:r>
      <w:r w:rsidRPr="00B512C2">
        <w:rPr>
          <w:rFonts w:ascii="Arial" w:hAnsi="Arial" w:cs="Arial"/>
          <w:highlight w:val="yellow"/>
        </w:rPr>
        <w:t>].</w:t>
      </w:r>
      <w:r w:rsidRPr="00871260">
        <w:rPr>
          <w:rFonts w:ascii="Arial" w:hAnsi="Arial" w:cs="Arial"/>
        </w:rPr>
        <w:t xml:space="preserve">   </w:t>
      </w:r>
    </w:p>
    <w:p w14:paraId="315B66CE" w14:textId="6D0D6BDD" w:rsidR="00790ADA" w:rsidRPr="00871260" w:rsidRDefault="004E218F" w:rsidP="001D02C2">
      <w:pPr>
        <w:pStyle w:val="Body"/>
        <w:rPr>
          <w:rFonts w:ascii="Arial" w:hAnsi="Arial" w:cs="Arial"/>
        </w:rPr>
      </w:pPr>
      <w:r w:rsidRPr="004E218F">
        <w:rPr>
          <w:rFonts w:ascii="Arial" w:hAnsi="Arial" w:cs="Arial"/>
          <w:highlight w:val="yellow"/>
        </w:rPr>
        <w:lastRenderedPageBreak/>
        <w:t>This study includes a large and geographically diverse sample, providing useful insights into clinicians’ perspectives in real-world settings. However, the use of convenience sampling may limit generalizability. The self-reported, cross-sectional design introduces potential response and recall bias and precludes causal or longitudinal assessment</w:t>
      </w:r>
      <w:r w:rsidR="001D02C2" w:rsidRPr="004E218F">
        <w:rPr>
          <w:rFonts w:ascii="Arial" w:hAnsi="Arial" w:cs="Arial"/>
          <w:highlight w:val="yellow"/>
        </w:rPr>
        <w:t xml:space="preserve">. </w:t>
      </w:r>
      <w:r w:rsidR="00D30175" w:rsidRPr="00F77D76">
        <w:rPr>
          <w:rFonts w:ascii="Arial" w:hAnsi="Arial" w:cs="Arial"/>
          <w:highlight w:val="cyan"/>
        </w:rPr>
        <w:t xml:space="preserve">As the analysis was limited to descriptive statistics, the findings should be interpreted as indicative of clinician perceptions rather than statistically inferred associations. </w:t>
      </w:r>
      <w:r w:rsidR="001D02C2" w:rsidRPr="004E218F">
        <w:rPr>
          <w:rFonts w:ascii="Arial" w:hAnsi="Arial" w:cs="Arial"/>
          <w:highlight w:val="yellow"/>
        </w:rPr>
        <w:t>Real-world outcome data and cost-effectiveness analyses are warranted to validate and optimize the clinical use of these FDCs in routine practice.</w:t>
      </w:r>
      <w:r w:rsidR="00C30A0F" w:rsidRPr="00871260">
        <w:rPr>
          <w:rFonts w:ascii="Arial" w:hAnsi="Arial" w:cs="Arial"/>
        </w:rPr>
        <w:t xml:space="preserve"> </w:t>
      </w:r>
    </w:p>
    <w:p w14:paraId="1A83C986" w14:textId="77777777" w:rsidR="00B01FCD" w:rsidRPr="00871260" w:rsidRDefault="00000F8F" w:rsidP="00441B6F">
      <w:pPr>
        <w:pStyle w:val="ConcHead"/>
        <w:spacing w:after="0"/>
        <w:jc w:val="both"/>
        <w:rPr>
          <w:rFonts w:ascii="Arial" w:hAnsi="Arial" w:cs="Arial"/>
        </w:rPr>
      </w:pPr>
      <w:r w:rsidRPr="00871260">
        <w:rPr>
          <w:rFonts w:ascii="Arial" w:hAnsi="Arial" w:cs="Arial"/>
        </w:rPr>
        <w:t xml:space="preserve">4. </w:t>
      </w:r>
      <w:r w:rsidR="00B01FCD" w:rsidRPr="00871260">
        <w:rPr>
          <w:rFonts w:ascii="Arial" w:hAnsi="Arial" w:cs="Arial"/>
        </w:rPr>
        <w:t>Conclusion</w:t>
      </w:r>
    </w:p>
    <w:p w14:paraId="4220EC6E" w14:textId="77777777" w:rsidR="0086003A" w:rsidRPr="00871260" w:rsidRDefault="0086003A" w:rsidP="00441B6F">
      <w:pPr>
        <w:pStyle w:val="Body"/>
        <w:spacing w:after="0"/>
        <w:rPr>
          <w:lang w:val="en-IN"/>
        </w:rPr>
      </w:pPr>
    </w:p>
    <w:p w14:paraId="6B7FFB8C" w14:textId="0015E146" w:rsidR="00B01FCD" w:rsidRDefault="001D02C2" w:rsidP="00441B6F">
      <w:pPr>
        <w:pStyle w:val="Body"/>
        <w:spacing w:after="0"/>
        <w:rPr>
          <w:lang w:val="en-IN"/>
        </w:rPr>
      </w:pPr>
      <w:r w:rsidRPr="00871260">
        <w:t>The study highlights a strong clinical preference for FDCs in T2DM, with over 60% recognizing their role in optimal glycemic control. The metformin + DPP4i + SGLT2i regimen, particularly linagliptin and dapagliflozin, is most favored for efficacy and organ protection. Linagliptin is valued for improving eGFR, while dapagliflozin is recognized for cardiovascular and renal benefits. Appropriate use of these combinations improves adherence, addresses glycemic gaps, and reduces cardio-renal risks in Indian patients</w:t>
      </w:r>
      <w:r w:rsidR="0086003A" w:rsidRPr="00871260">
        <w:rPr>
          <w:lang w:val="en-IN"/>
        </w:rPr>
        <w:t>.</w:t>
      </w:r>
    </w:p>
    <w:p w14:paraId="626FEFDA" w14:textId="7B516B97" w:rsidR="00382284" w:rsidRDefault="00382284" w:rsidP="00441B6F">
      <w:pPr>
        <w:pStyle w:val="Body"/>
        <w:spacing w:after="0"/>
      </w:pPr>
    </w:p>
    <w:p w14:paraId="49196C43" w14:textId="77777777" w:rsidR="00382284" w:rsidRDefault="00382284" w:rsidP="00382284">
      <w:pPr>
        <w:pStyle w:val="Body"/>
      </w:pPr>
      <w:r>
        <w:t xml:space="preserve">Consent </w:t>
      </w:r>
    </w:p>
    <w:p w14:paraId="7D996ED2" w14:textId="18585A95" w:rsidR="00382284" w:rsidRDefault="00382284" w:rsidP="00382284">
      <w:pPr>
        <w:pStyle w:val="Body"/>
        <w:spacing w:after="0"/>
      </w:pPr>
      <w:r>
        <w:t>As per international standards or university standards, Participants’ written consent has been collected and preserved by the author(s).</w:t>
      </w:r>
    </w:p>
    <w:p w14:paraId="1097B590" w14:textId="271D07F7" w:rsidR="00382284" w:rsidRDefault="00382284" w:rsidP="00382284">
      <w:pPr>
        <w:pStyle w:val="Body"/>
        <w:spacing w:after="0"/>
      </w:pPr>
    </w:p>
    <w:p w14:paraId="17162A3F" w14:textId="77777777" w:rsidR="00382284" w:rsidRDefault="00382284" w:rsidP="00382284">
      <w:pPr>
        <w:pStyle w:val="Body"/>
      </w:pPr>
      <w:r>
        <w:t>Ethical Approval:</w:t>
      </w:r>
    </w:p>
    <w:p w14:paraId="485F6F5B" w14:textId="77777777" w:rsidR="00382284" w:rsidRDefault="00382284" w:rsidP="00382284">
      <w:pPr>
        <w:pStyle w:val="Body"/>
      </w:pPr>
    </w:p>
    <w:p w14:paraId="1FC7607B" w14:textId="103FBFF1" w:rsidR="00382284" w:rsidRPr="00871260" w:rsidRDefault="00382284" w:rsidP="00382284">
      <w:pPr>
        <w:pStyle w:val="Body"/>
        <w:spacing w:after="0"/>
      </w:pPr>
      <w:r>
        <w:t>As per international standards or university standards written ethical approval has been collected and preserved by the author(s).</w:t>
      </w:r>
    </w:p>
    <w:p w14:paraId="27E22CB0" w14:textId="77777777" w:rsidR="00790ADA" w:rsidRPr="00871260" w:rsidRDefault="00790ADA" w:rsidP="00441B6F">
      <w:pPr>
        <w:pStyle w:val="Body"/>
        <w:spacing w:after="0"/>
        <w:rPr>
          <w:rFonts w:ascii="Arial" w:hAnsi="Arial" w:cs="Arial"/>
        </w:rPr>
      </w:pPr>
    </w:p>
    <w:p w14:paraId="7F3D9CE2" w14:textId="77777777" w:rsidR="00CB14A2" w:rsidRPr="00272ED6" w:rsidRDefault="00CB14A2" w:rsidP="00CB14A2">
      <w:pPr>
        <w:pStyle w:val="ReferHead"/>
        <w:jc w:val="both"/>
        <w:rPr>
          <w:rFonts w:ascii="Arial" w:hAnsi="Arial" w:cs="Arial"/>
          <w:bCs/>
          <w:caps w:val="0"/>
          <w:sz w:val="20"/>
        </w:rPr>
      </w:pPr>
      <w:r w:rsidRPr="00272ED6">
        <w:rPr>
          <w:rFonts w:ascii="Arial" w:hAnsi="Arial" w:cs="Arial"/>
          <w:bCs/>
          <w:caps w:val="0"/>
          <w:sz w:val="20"/>
        </w:rPr>
        <w:t>COMPETING INTERESTS DISCLAIMER:</w:t>
      </w:r>
    </w:p>
    <w:p w14:paraId="79B88E46" w14:textId="77777777" w:rsidR="00CB14A2" w:rsidRPr="00CB14A2" w:rsidRDefault="00CB14A2" w:rsidP="00CB14A2">
      <w:pPr>
        <w:pStyle w:val="ReferHead"/>
        <w:jc w:val="both"/>
        <w:rPr>
          <w:rFonts w:ascii="Arial" w:hAnsi="Arial" w:cs="Arial"/>
          <w:b w:val="0"/>
          <w:caps w:val="0"/>
          <w:sz w:val="20"/>
        </w:rPr>
      </w:pPr>
      <w:r w:rsidRPr="00CB14A2">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14624DC" w14:textId="77777777" w:rsidR="00A33837" w:rsidRPr="00272ED6" w:rsidRDefault="00A33837" w:rsidP="00A33837">
      <w:pPr>
        <w:rPr>
          <w:b/>
        </w:rPr>
      </w:pPr>
      <w:r w:rsidRPr="00272ED6">
        <w:rPr>
          <w:b/>
        </w:rPr>
        <w:t>Disclaimer (Artificial intelligence)</w:t>
      </w:r>
    </w:p>
    <w:p w14:paraId="4B00CA30" w14:textId="77777777" w:rsidR="00A33837" w:rsidRPr="00272ED6" w:rsidRDefault="00A33837" w:rsidP="00A33837">
      <w:r w:rsidRPr="00272ED6">
        <w:t xml:space="preserve">Author(s) hereby declare that NO generative AI technologies such as Large Language Models (ChatGPT, COPILOT, etc.) and text-to-image generators have been used during the writing or editing of this manuscript. </w:t>
      </w:r>
    </w:p>
    <w:p w14:paraId="3836FD28" w14:textId="77777777" w:rsidR="00CB14A2" w:rsidRPr="00CB14A2" w:rsidRDefault="00CB14A2" w:rsidP="00CB14A2">
      <w:pPr>
        <w:pStyle w:val="ReferHead"/>
        <w:jc w:val="both"/>
        <w:rPr>
          <w:rFonts w:ascii="Arial" w:hAnsi="Arial" w:cs="Arial"/>
          <w:b w:val="0"/>
          <w:caps w:val="0"/>
          <w:sz w:val="20"/>
        </w:rPr>
      </w:pPr>
    </w:p>
    <w:p w14:paraId="113247A2" w14:textId="77777777" w:rsidR="00CB14A2" w:rsidRPr="00871260" w:rsidRDefault="00CB14A2" w:rsidP="00592C36">
      <w:pPr>
        <w:pStyle w:val="ReferHead"/>
        <w:spacing w:after="0"/>
        <w:jc w:val="both"/>
        <w:rPr>
          <w:rFonts w:ascii="Arial" w:hAnsi="Arial" w:cs="Arial"/>
          <w:b w:val="0"/>
          <w:caps w:val="0"/>
          <w:sz w:val="20"/>
        </w:rPr>
      </w:pPr>
    </w:p>
    <w:p w14:paraId="524FF5AC" w14:textId="77777777" w:rsidR="00592C36" w:rsidRPr="00871260" w:rsidRDefault="00592C36" w:rsidP="00592C36">
      <w:pPr>
        <w:pStyle w:val="ReferHead"/>
        <w:spacing w:after="0"/>
        <w:jc w:val="both"/>
        <w:rPr>
          <w:rFonts w:ascii="Arial" w:hAnsi="Arial" w:cs="Arial"/>
        </w:rPr>
      </w:pPr>
    </w:p>
    <w:p w14:paraId="60909AA7" w14:textId="77777777" w:rsidR="00592C36" w:rsidRPr="00871260" w:rsidRDefault="00592C36" w:rsidP="00592C36">
      <w:pPr>
        <w:pStyle w:val="ReferHead"/>
        <w:spacing w:after="0"/>
        <w:jc w:val="both"/>
        <w:rPr>
          <w:rFonts w:ascii="Arial" w:hAnsi="Arial" w:cs="Arial"/>
        </w:rPr>
      </w:pPr>
      <w:r w:rsidRPr="00871260">
        <w:rPr>
          <w:rFonts w:ascii="Arial" w:hAnsi="Arial" w:cs="Arial"/>
        </w:rPr>
        <w:t>References</w:t>
      </w:r>
    </w:p>
    <w:p w14:paraId="2689EA56" w14:textId="77777777" w:rsidR="00592C36" w:rsidRPr="00871260" w:rsidRDefault="00592C36" w:rsidP="00592C36">
      <w:pPr>
        <w:pStyle w:val="ReferHead"/>
        <w:spacing w:after="0"/>
        <w:jc w:val="both"/>
        <w:rPr>
          <w:rFonts w:ascii="Arial" w:hAnsi="Arial" w:cs="Arial"/>
        </w:rPr>
      </w:pPr>
    </w:p>
    <w:p w14:paraId="3FAD9060" w14:textId="000ACEE0" w:rsidR="00100B94" w:rsidRPr="00CF1FA5" w:rsidRDefault="00100B94" w:rsidP="00100B94">
      <w:pPr>
        <w:numPr>
          <w:ilvl w:val="0"/>
          <w:numId w:val="31"/>
        </w:numPr>
        <w:tabs>
          <w:tab w:val="left" w:pos="4035"/>
        </w:tabs>
        <w:spacing w:line="324" w:lineRule="auto"/>
        <w:ind w:right="80"/>
        <w:jc w:val="both"/>
        <w:rPr>
          <w:rFonts w:ascii="Arial" w:hAnsi="Arial" w:cs="Arial"/>
          <w:highlight w:val="yellow"/>
          <w:lang w:val="en-IN"/>
        </w:rPr>
      </w:pPr>
      <w:r w:rsidRPr="00CF1FA5">
        <w:rPr>
          <w:rFonts w:ascii="Arial" w:hAnsi="Arial" w:cs="Arial"/>
          <w:highlight w:val="yellow"/>
          <w:lang w:val="en-IN"/>
        </w:rPr>
        <w:t>World Health Organization. Diabetes [Internet]. Geneva: WHO; [cited 202</w:t>
      </w:r>
      <w:r w:rsidR="004C11E3" w:rsidRPr="00CF1FA5">
        <w:rPr>
          <w:rFonts w:ascii="Arial" w:hAnsi="Arial" w:cs="Arial"/>
          <w:highlight w:val="yellow"/>
          <w:lang w:val="en-IN"/>
        </w:rPr>
        <w:t>6</w:t>
      </w:r>
      <w:r w:rsidRPr="00CF1FA5">
        <w:rPr>
          <w:rFonts w:ascii="Arial" w:hAnsi="Arial" w:cs="Arial"/>
          <w:highlight w:val="yellow"/>
          <w:lang w:val="en-IN"/>
        </w:rPr>
        <w:t xml:space="preserve"> </w:t>
      </w:r>
      <w:r w:rsidR="004C11E3" w:rsidRPr="00CF1FA5">
        <w:rPr>
          <w:rFonts w:ascii="Arial" w:hAnsi="Arial" w:cs="Arial"/>
          <w:highlight w:val="yellow"/>
          <w:lang w:val="en-IN"/>
        </w:rPr>
        <w:t>Jan</w:t>
      </w:r>
      <w:r w:rsidRPr="00CF1FA5">
        <w:rPr>
          <w:rFonts w:ascii="Arial" w:hAnsi="Arial" w:cs="Arial"/>
          <w:highlight w:val="yellow"/>
          <w:lang w:val="en-IN"/>
        </w:rPr>
        <w:t xml:space="preserve"> 9]. Available from: </w:t>
      </w:r>
      <w:hyperlink r:id="rId18" w:tgtFrame="_new" w:history="1">
        <w:r w:rsidRPr="00CF1FA5">
          <w:rPr>
            <w:rStyle w:val="Hyperlink"/>
            <w:rFonts w:ascii="Arial" w:hAnsi="Arial" w:cs="Arial"/>
            <w:highlight w:val="yellow"/>
            <w:lang w:val="en-IN"/>
          </w:rPr>
          <w:t>https://www.who.int/news-room/fact-sheets/detail/diabetes</w:t>
        </w:r>
      </w:hyperlink>
      <w:r w:rsidRPr="00CF1FA5">
        <w:rPr>
          <w:rFonts w:ascii="Arial" w:hAnsi="Arial" w:cs="Arial"/>
          <w:highlight w:val="yellow"/>
          <w:lang w:val="en-IN"/>
        </w:rPr>
        <w:t xml:space="preserve"> </w:t>
      </w:r>
    </w:p>
    <w:p w14:paraId="008885E6"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Magliano DJ, Boyko EJ; IDF Diabetes Atlas 10th edition scientific committee. IDF Diabetes Atlas [Internet]. 10th ed. Brussels: International Diabetes Federation; </w:t>
      </w:r>
      <w:r w:rsidRPr="00871260">
        <w:rPr>
          <w:rFonts w:ascii="Arial" w:hAnsi="Arial" w:cs="Arial"/>
          <w:lang w:val="en-IN"/>
        </w:rPr>
        <w:lastRenderedPageBreak/>
        <w:t xml:space="preserve">2021 [cited 2025 Aug 9]. Available from: </w:t>
      </w:r>
      <w:hyperlink r:id="rId19" w:tgtFrame="_new" w:history="1">
        <w:r w:rsidRPr="00871260">
          <w:rPr>
            <w:rStyle w:val="Hyperlink"/>
            <w:rFonts w:ascii="Arial" w:hAnsi="Arial" w:cs="Arial"/>
            <w:lang w:val="en-IN"/>
          </w:rPr>
          <w:t>http://www.ncbi.nlm.nih.gov/books/NBK581934/</w:t>
        </w:r>
      </w:hyperlink>
      <w:r w:rsidRPr="00871260">
        <w:rPr>
          <w:rFonts w:ascii="Arial" w:hAnsi="Arial" w:cs="Arial"/>
          <w:lang w:val="en-IN"/>
        </w:rPr>
        <w:t xml:space="preserve"> </w:t>
      </w:r>
    </w:p>
    <w:p w14:paraId="108585ED"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Kalra S, Das AK, Priya G, Ghosh S, Mehrotra RN, Das S, et al. Fixed-dose combination in management of type 2 diabetes mellitus: Expert opinion from an international panel. J Family Med Prim Care. 2020;9(11):5450-5457.  </w:t>
      </w:r>
    </w:p>
    <w:p w14:paraId="6D6F7F81"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Chen R, Li J, Chen D, Wen W, Zhang S, Li J, et al. Efficacy and safety of DPP-4 inhibitors and metformin combinations in type 2 diabetes: A systematic literature review and network meta-analysis. Diabetes </w:t>
      </w:r>
      <w:proofErr w:type="spellStart"/>
      <w:r w:rsidRPr="00871260">
        <w:rPr>
          <w:rFonts w:ascii="Arial" w:hAnsi="Arial" w:cs="Arial"/>
          <w:lang w:val="en-IN"/>
        </w:rPr>
        <w:t>Metab</w:t>
      </w:r>
      <w:proofErr w:type="spellEnd"/>
      <w:r w:rsidRPr="00871260">
        <w:rPr>
          <w:rFonts w:ascii="Arial" w:hAnsi="Arial" w:cs="Arial"/>
          <w:lang w:val="en-IN"/>
        </w:rPr>
        <w:t xml:space="preserve"> </w:t>
      </w:r>
      <w:proofErr w:type="spellStart"/>
      <w:r w:rsidRPr="00871260">
        <w:rPr>
          <w:rFonts w:ascii="Arial" w:hAnsi="Arial" w:cs="Arial"/>
          <w:lang w:val="en-IN"/>
        </w:rPr>
        <w:t>Syndr</w:t>
      </w:r>
      <w:proofErr w:type="spellEnd"/>
      <w:r w:rsidRPr="00871260">
        <w:rPr>
          <w:rFonts w:ascii="Arial" w:hAnsi="Arial" w:cs="Arial"/>
          <w:lang w:val="en-IN"/>
        </w:rPr>
        <w:t xml:space="preserve"> </w:t>
      </w:r>
      <w:proofErr w:type="spellStart"/>
      <w:r w:rsidRPr="00871260">
        <w:rPr>
          <w:rFonts w:ascii="Arial" w:hAnsi="Arial" w:cs="Arial"/>
          <w:lang w:val="en-IN"/>
        </w:rPr>
        <w:t>Obes</w:t>
      </w:r>
      <w:proofErr w:type="spellEnd"/>
      <w:r w:rsidRPr="00871260">
        <w:rPr>
          <w:rFonts w:ascii="Arial" w:hAnsi="Arial" w:cs="Arial"/>
          <w:lang w:val="en-IN"/>
        </w:rPr>
        <w:t xml:space="preserve">. 2024;17:2471-2493. </w:t>
      </w:r>
    </w:p>
    <w:p w14:paraId="697B7C39"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Ovalle F, Bell DSH. Triple oral antidiabetic therapy in type 2 diabetes mellitus. </w:t>
      </w:r>
      <w:proofErr w:type="spellStart"/>
      <w:r w:rsidRPr="00871260">
        <w:rPr>
          <w:rFonts w:ascii="Arial" w:hAnsi="Arial" w:cs="Arial"/>
          <w:lang w:val="en-IN"/>
        </w:rPr>
        <w:t>Endocr</w:t>
      </w:r>
      <w:proofErr w:type="spellEnd"/>
      <w:r w:rsidRPr="00871260">
        <w:rPr>
          <w:rFonts w:ascii="Arial" w:hAnsi="Arial" w:cs="Arial"/>
          <w:lang w:val="en-IN"/>
        </w:rPr>
        <w:t xml:space="preserve"> </w:t>
      </w:r>
      <w:proofErr w:type="spellStart"/>
      <w:r w:rsidRPr="00871260">
        <w:rPr>
          <w:rFonts w:ascii="Arial" w:hAnsi="Arial" w:cs="Arial"/>
          <w:lang w:val="en-IN"/>
        </w:rPr>
        <w:t>Pract</w:t>
      </w:r>
      <w:proofErr w:type="spellEnd"/>
      <w:r w:rsidRPr="00871260">
        <w:rPr>
          <w:rFonts w:ascii="Arial" w:hAnsi="Arial" w:cs="Arial"/>
          <w:lang w:val="en-IN"/>
        </w:rPr>
        <w:t xml:space="preserve">. 1998;4(3):146-147. </w:t>
      </w:r>
    </w:p>
    <w:p w14:paraId="41597EC8"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Dutta S, Shah RB, Singhal S, Dutta SB, Bansal S, Sinha S, et al. Metformin: A review of potential mechanism and therapeutic utility beyond diabetes. Drug Des Devel Ther. 2023;17:1907-1932. </w:t>
      </w:r>
    </w:p>
    <w:p w14:paraId="2161A3F6"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Freeman MK. Efficacy and safety of linagliptin in adults with type 2 diabetes mellitus. P T. 2011;36(12):807-842. </w:t>
      </w:r>
    </w:p>
    <w:p w14:paraId="39DBDE06"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proofErr w:type="spellStart"/>
      <w:r w:rsidRPr="00871260">
        <w:rPr>
          <w:rFonts w:ascii="Arial" w:hAnsi="Arial" w:cs="Arial"/>
          <w:lang w:val="en-IN"/>
        </w:rPr>
        <w:t>Albarrán</w:t>
      </w:r>
      <w:proofErr w:type="spellEnd"/>
      <w:r w:rsidRPr="00871260">
        <w:rPr>
          <w:rFonts w:ascii="Arial" w:hAnsi="Arial" w:cs="Arial"/>
          <w:lang w:val="en-IN"/>
        </w:rPr>
        <w:t xml:space="preserve"> OG, </w:t>
      </w:r>
      <w:proofErr w:type="spellStart"/>
      <w:r w:rsidRPr="00871260">
        <w:rPr>
          <w:rFonts w:ascii="Arial" w:hAnsi="Arial" w:cs="Arial"/>
          <w:lang w:val="en-IN"/>
        </w:rPr>
        <w:t>Ampudia-Blasco</w:t>
      </w:r>
      <w:proofErr w:type="spellEnd"/>
      <w:r w:rsidRPr="00871260">
        <w:rPr>
          <w:rFonts w:ascii="Arial" w:hAnsi="Arial" w:cs="Arial"/>
          <w:lang w:val="en-IN"/>
        </w:rPr>
        <w:t xml:space="preserve"> FJ. Dapagliflozin, the first SGLT-2 inhibitor in the treatment of type 2 diabetes. Med Clin (</w:t>
      </w:r>
      <w:proofErr w:type="spellStart"/>
      <w:r w:rsidRPr="00871260">
        <w:rPr>
          <w:rFonts w:ascii="Arial" w:hAnsi="Arial" w:cs="Arial"/>
          <w:lang w:val="en-IN"/>
        </w:rPr>
        <w:t>Barc</w:t>
      </w:r>
      <w:proofErr w:type="spellEnd"/>
      <w:r w:rsidRPr="00871260">
        <w:rPr>
          <w:rFonts w:ascii="Arial" w:hAnsi="Arial" w:cs="Arial"/>
          <w:lang w:val="en-IN"/>
        </w:rPr>
        <w:t xml:space="preserve">). 2013;141 </w:t>
      </w:r>
      <w:proofErr w:type="spellStart"/>
      <w:r w:rsidRPr="00871260">
        <w:rPr>
          <w:rFonts w:ascii="Arial" w:hAnsi="Arial" w:cs="Arial"/>
          <w:lang w:val="en-IN"/>
        </w:rPr>
        <w:t>Suppl</w:t>
      </w:r>
      <w:proofErr w:type="spellEnd"/>
      <w:r w:rsidRPr="00871260">
        <w:rPr>
          <w:rFonts w:ascii="Arial" w:hAnsi="Arial" w:cs="Arial"/>
          <w:lang w:val="en-IN"/>
        </w:rPr>
        <w:t xml:space="preserve"> 2:36-43.  </w:t>
      </w:r>
    </w:p>
    <w:p w14:paraId="42E154DC"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Moses RG, Kalra S, Brook D, </w:t>
      </w:r>
      <w:proofErr w:type="spellStart"/>
      <w:r w:rsidRPr="00871260">
        <w:rPr>
          <w:rFonts w:ascii="Arial" w:hAnsi="Arial" w:cs="Arial"/>
          <w:lang w:val="en-IN"/>
        </w:rPr>
        <w:t>Sockler</w:t>
      </w:r>
      <w:proofErr w:type="spellEnd"/>
      <w:r w:rsidRPr="00871260">
        <w:rPr>
          <w:rFonts w:ascii="Arial" w:hAnsi="Arial" w:cs="Arial"/>
          <w:lang w:val="en-IN"/>
        </w:rPr>
        <w:t xml:space="preserve"> J, </w:t>
      </w:r>
      <w:proofErr w:type="spellStart"/>
      <w:r w:rsidRPr="00871260">
        <w:rPr>
          <w:rFonts w:ascii="Arial" w:hAnsi="Arial" w:cs="Arial"/>
          <w:lang w:val="en-IN"/>
        </w:rPr>
        <w:t>Monyak</w:t>
      </w:r>
      <w:proofErr w:type="spellEnd"/>
      <w:r w:rsidRPr="00871260">
        <w:rPr>
          <w:rFonts w:ascii="Arial" w:hAnsi="Arial" w:cs="Arial"/>
          <w:lang w:val="en-IN"/>
        </w:rPr>
        <w:t xml:space="preserve"> J, Visvanathan J, et al. A randomized controlled trial of saxagliptin as add-on therapy in patients with type 2 diabetes and inadequate glycaemic control on metformin plus a </w:t>
      </w:r>
      <w:proofErr w:type="spellStart"/>
      <w:r w:rsidRPr="00871260">
        <w:rPr>
          <w:rFonts w:ascii="Arial" w:hAnsi="Arial" w:cs="Arial"/>
          <w:lang w:val="en-IN"/>
        </w:rPr>
        <w:t>sulphonylurea</w:t>
      </w:r>
      <w:proofErr w:type="spellEnd"/>
      <w:r w:rsidRPr="00871260">
        <w:rPr>
          <w:rFonts w:ascii="Arial" w:hAnsi="Arial" w:cs="Arial"/>
          <w:lang w:val="en-IN"/>
        </w:rPr>
        <w:t xml:space="preserve">. Diabetes </w:t>
      </w:r>
      <w:proofErr w:type="spellStart"/>
      <w:r w:rsidRPr="00871260">
        <w:rPr>
          <w:rFonts w:ascii="Arial" w:hAnsi="Arial" w:cs="Arial"/>
          <w:lang w:val="en-IN"/>
        </w:rPr>
        <w:t>Obes</w:t>
      </w:r>
      <w:proofErr w:type="spellEnd"/>
      <w:r w:rsidRPr="00871260">
        <w:rPr>
          <w:rFonts w:ascii="Arial" w:hAnsi="Arial" w:cs="Arial"/>
          <w:lang w:val="en-IN"/>
        </w:rPr>
        <w:t xml:space="preserve"> </w:t>
      </w:r>
      <w:proofErr w:type="spellStart"/>
      <w:r w:rsidRPr="00871260">
        <w:rPr>
          <w:rFonts w:ascii="Arial" w:hAnsi="Arial" w:cs="Arial"/>
          <w:lang w:val="en-IN"/>
        </w:rPr>
        <w:t>Metab</w:t>
      </w:r>
      <w:proofErr w:type="spellEnd"/>
      <w:r w:rsidRPr="00871260">
        <w:rPr>
          <w:rFonts w:ascii="Arial" w:hAnsi="Arial" w:cs="Arial"/>
          <w:lang w:val="en-IN"/>
        </w:rPr>
        <w:t xml:space="preserve">. 2014;16(5):443-450.  </w:t>
      </w:r>
    </w:p>
    <w:p w14:paraId="59815D1A"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Böhm AK, Schneider U, Stargardt T. Economic effects of fixed-dose versus loose-dose combination therapy for type 2 diabetes patients. Appl Health Econ Health Policy. 2023;21(1):109-118.  </w:t>
      </w:r>
    </w:p>
    <w:p w14:paraId="52DD9ED6"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Phung TL, Ong DT, Ngo NTN, Pham TT, Nguyen HT, Duong KNC, et al. Economic evaluation of fixed-dose drug combinations: A systematic review. J Appl Pharm Sci. 2024;14(12):1-26. </w:t>
      </w:r>
    </w:p>
    <w:p w14:paraId="1B236344"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van </w:t>
      </w:r>
      <w:proofErr w:type="spellStart"/>
      <w:r w:rsidRPr="00871260">
        <w:rPr>
          <w:rFonts w:ascii="Arial" w:hAnsi="Arial" w:cs="Arial"/>
          <w:lang w:val="en-IN"/>
        </w:rPr>
        <w:t>Baar</w:t>
      </w:r>
      <w:proofErr w:type="spellEnd"/>
      <w:r w:rsidRPr="00871260">
        <w:rPr>
          <w:rFonts w:ascii="Arial" w:hAnsi="Arial" w:cs="Arial"/>
          <w:lang w:val="en-IN"/>
        </w:rPr>
        <w:t xml:space="preserve"> MJB, van </w:t>
      </w:r>
      <w:proofErr w:type="spellStart"/>
      <w:r w:rsidRPr="00871260">
        <w:rPr>
          <w:rFonts w:ascii="Arial" w:hAnsi="Arial" w:cs="Arial"/>
          <w:lang w:val="en-IN"/>
        </w:rPr>
        <w:t>Ruiten</w:t>
      </w:r>
      <w:proofErr w:type="spellEnd"/>
      <w:r w:rsidRPr="00871260">
        <w:rPr>
          <w:rFonts w:ascii="Arial" w:hAnsi="Arial" w:cs="Arial"/>
          <w:lang w:val="en-IN"/>
        </w:rPr>
        <w:t xml:space="preserve"> CC, </w:t>
      </w:r>
      <w:proofErr w:type="spellStart"/>
      <w:r w:rsidRPr="00871260">
        <w:rPr>
          <w:rFonts w:ascii="Arial" w:hAnsi="Arial" w:cs="Arial"/>
          <w:lang w:val="en-IN"/>
        </w:rPr>
        <w:t>Muskiet</w:t>
      </w:r>
      <w:proofErr w:type="spellEnd"/>
      <w:r w:rsidRPr="00871260">
        <w:rPr>
          <w:rFonts w:ascii="Arial" w:hAnsi="Arial" w:cs="Arial"/>
          <w:lang w:val="en-IN"/>
        </w:rPr>
        <w:t xml:space="preserve"> MHA, van </w:t>
      </w:r>
      <w:proofErr w:type="spellStart"/>
      <w:r w:rsidRPr="00871260">
        <w:rPr>
          <w:rFonts w:ascii="Arial" w:hAnsi="Arial" w:cs="Arial"/>
          <w:lang w:val="en-IN"/>
        </w:rPr>
        <w:t>Bloemendaal</w:t>
      </w:r>
      <w:proofErr w:type="spellEnd"/>
      <w:r w:rsidRPr="00871260">
        <w:rPr>
          <w:rFonts w:ascii="Arial" w:hAnsi="Arial" w:cs="Arial"/>
          <w:lang w:val="en-IN"/>
        </w:rPr>
        <w:t xml:space="preserve"> L, </w:t>
      </w:r>
      <w:proofErr w:type="spellStart"/>
      <w:r w:rsidRPr="00871260">
        <w:rPr>
          <w:rFonts w:ascii="Arial" w:hAnsi="Arial" w:cs="Arial"/>
          <w:lang w:val="en-IN"/>
        </w:rPr>
        <w:t>IJzerman</w:t>
      </w:r>
      <w:proofErr w:type="spellEnd"/>
      <w:r w:rsidRPr="00871260">
        <w:rPr>
          <w:rFonts w:ascii="Arial" w:hAnsi="Arial" w:cs="Arial"/>
          <w:lang w:val="en-IN"/>
        </w:rPr>
        <w:t xml:space="preserve"> RG, van </w:t>
      </w:r>
      <w:proofErr w:type="spellStart"/>
      <w:r w:rsidRPr="00871260">
        <w:rPr>
          <w:rFonts w:ascii="Arial" w:hAnsi="Arial" w:cs="Arial"/>
          <w:lang w:val="en-IN"/>
        </w:rPr>
        <w:t>Raalte</w:t>
      </w:r>
      <w:proofErr w:type="spellEnd"/>
      <w:r w:rsidRPr="00871260">
        <w:rPr>
          <w:rFonts w:ascii="Arial" w:hAnsi="Arial" w:cs="Arial"/>
          <w:lang w:val="en-IN"/>
        </w:rPr>
        <w:t xml:space="preserve"> DH. SGLT2 inhibitors in combination therapy: From mechanisms to clinical considerations in type 2 diabetes management. Diabetes Care. 2018;41(8):1543-1556. </w:t>
      </w:r>
    </w:p>
    <w:p w14:paraId="37A3F448"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Tsushima Y, Lansang MC, Makin V. The role of SGLT-2 inhibitors in managing type 2 diabetes. Cleve Clin J Med. 2021;88(1):47-58. </w:t>
      </w:r>
    </w:p>
    <w:p w14:paraId="27DF3A0F"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Li M, Wang S, Wang X. Efficacy and safety of triple therapy with SGLT-2 inhibitor, DPP-4 inhibitor, and metformin in type 2 diabetes: A meta-analysis. Altern Ther Health Med. 2023;29(5):320-326. </w:t>
      </w:r>
    </w:p>
    <w:p w14:paraId="39C32B5D"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Barnett AH, Charbonnel B, Moses RG, Kalra S. Dipeptidyl peptidase-4 inhibitors in triple oral therapy regimens in patients with type 2 diabetes mellitus. </w:t>
      </w:r>
      <w:proofErr w:type="spellStart"/>
      <w:r w:rsidRPr="00871260">
        <w:rPr>
          <w:rFonts w:ascii="Arial" w:hAnsi="Arial" w:cs="Arial"/>
          <w:lang w:val="en-IN"/>
        </w:rPr>
        <w:t>Curr</w:t>
      </w:r>
      <w:proofErr w:type="spellEnd"/>
      <w:r w:rsidRPr="00871260">
        <w:rPr>
          <w:rFonts w:ascii="Arial" w:hAnsi="Arial" w:cs="Arial"/>
          <w:lang w:val="en-IN"/>
        </w:rPr>
        <w:t xml:space="preserve"> Med Res </w:t>
      </w:r>
      <w:proofErr w:type="spellStart"/>
      <w:r w:rsidRPr="00871260">
        <w:rPr>
          <w:rFonts w:ascii="Arial" w:hAnsi="Arial" w:cs="Arial"/>
          <w:lang w:val="en-IN"/>
        </w:rPr>
        <w:t>Opin</w:t>
      </w:r>
      <w:proofErr w:type="spellEnd"/>
      <w:r w:rsidRPr="00871260">
        <w:rPr>
          <w:rFonts w:ascii="Arial" w:hAnsi="Arial" w:cs="Arial"/>
          <w:lang w:val="en-IN"/>
        </w:rPr>
        <w:t xml:space="preserve">. 2015;31(10):1919-1931. </w:t>
      </w:r>
    </w:p>
    <w:p w14:paraId="0F63676E"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proofErr w:type="spellStart"/>
      <w:r w:rsidRPr="00871260">
        <w:rPr>
          <w:rFonts w:ascii="Arial" w:hAnsi="Arial" w:cs="Arial"/>
          <w:lang w:val="en-IN"/>
        </w:rPr>
        <w:lastRenderedPageBreak/>
        <w:t>Gallwitz</w:t>
      </w:r>
      <w:proofErr w:type="spellEnd"/>
      <w:r w:rsidRPr="00871260">
        <w:rPr>
          <w:rFonts w:ascii="Arial" w:hAnsi="Arial" w:cs="Arial"/>
          <w:lang w:val="en-IN"/>
        </w:rPr>
        <w:t xml:space="preserve"> B. Emerging DPP-4 inhibitors: Focus on linagliptin for type 2 diabetes. Diabetes </w:t>
      </w:r>
      <w:proofErr w:type="spellStart"/>
      <w:r w:rsidRPr="00871260">
        <w:rPr>
          <w:rFonts w:ascii="Arial" w:hAnsi="Arial" w:cs="Arial"/>
          <w:lang w:val="en-IN"/>
        </w:rPr>
        <w:t>Metab</w:t>
      </w:r>
      <w:proofErr w:type="spellEnd"/>
      <w:r w:rsidRPr="00871260">
        <w:rPr>
          <w:rFonts w:ascii="Arial" w:hAnsi="Arial" w:cs="Arial"/>
          <w:lang w:val="en-IN"/>
        </w:rPr>
        <w:t xml:space="preserve"> </w:t>
      </w:r>
      <w:proofErr w:type="spellStart"/>
      <w:r w:rsidRPr="00871260">
        <w:rPr>
          <w:rFonts w:ascii="Arial" w:hAnsi="Arial" w:cs="Arial"/>
          <w:lang w:val="en-IN"/>
        </w:rPr>
        <w:t>Syndr</w:t>
      </w:r>
      <w:proofErr w:type="spellEnd"/>
      <w:r w:rsidRPr="00871260">
        <w:rPr>
          <w:rFonts w:ascii="Arial" w:hAnsi="Arial" w:cs="Arial"/>
          <w:lang w:val="en-IN"/>
        </w:rPr>
        <w:t xml:space="preserve"> </w:t>
      </w:r>
      <w:proofErr w:type="spellStart"/>
      <w:r w:rsidRPr="00871260">
        <w:rPr>
          <w:rFonts w:ascii="Arial" w:hAnsi="Arial" w:cs="Arial"/>
          <w:lang w:val="en-IN"/>
        </w:rPr>
        <w:t>Obes</w:t>
      </w:r>
      <w:proofErr w:type="spellEnd"/>
      <w:r w:rsidRPr="00871260">
        <w:rPr>
          <w:rFonts w:ascii="Arial" w:hAnsi="Arial" w:cs="Arial"/>
          <w:lang w:val="en-IN"/>
        </w:rPr>
        <w:t xml:space="preserve">. 2013;6:1-9. </w:t>
      </w:r>
    </w:p>
    <w:p w14:paraId="738395DD"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Saini K, Sharma S, Khan Y. DPP-4 inhibitors for treating T2DM - hype or hope? An analysis based on the current literature. Front Mol </w:t>
      </w:r>
      <w:proofErr w:type="spellStart"/>
      <w:r w:rsidRPr="00871260">
        <w:rPr>
          <w:rFonts w:ascii="Arial" w:hAnsi="Arial" w:cs="Arial"/>
          <w:lang w:val="en-IN"/>
        </w:rPr>
        <w:t>Biosci</w:t>
      </w:r>
      <w:proofErr w:type="spellEnd"/>
      <w:r w:rsidRPr="00871260">
        <w:rPr>
          <w:rFonts w:ascii="Arial" w:hAnsi="Arial" w:cs="Arial"/>
          <w:lang w:val="en-IN"/>
        </w:rPr>
        <w:t xml:space="preserve">. 2023;10:1130625. </w:t>
      </w:r>
    </w:p>
    <w:p w14:paraId="1A193440"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proofErr w:type="spellStart"/>
      <w:r w:rsidRPr="00871260">
        <w:rPr>
          <w:rFonts w:ascii="Arial" w:hAnsi="Arial" w:cs="Arial"/>
          <w:lang w:val="en-IN"/>
        </w:rPr>
        <w:t>Yagoglu</w:t>
      </w:r>
      <w:proofErr w:type="spellEnd"/>
      <w:r w:rsidRPr="00871260">
        <w:rPr>
          <w:rFonts w:ascii="Arial" w:hAnsi="Arial" w:cs="Arial"/>
          <w:lang w:val="en-IN"/>
        </w:rPr>
        <w:t xml:space="preserve"> AI, </w:t>
      </w:r>
      <w:proofErr w:type="spellStart"/>
      <w:r w:rsidRPr="00871260">
        <w:rPr>
          <w:rFonts w:ascii="Arial" w:hAnsi="Arial" w:cs="Arial"/>
          <w:lang w:val="en-IN"/>
        </w:rPr>
        <w:t>Dizdar</w:t>
      </w:r>
      <w:proofErr w:type="spellEnd"/>
      <w:r w:rsidRPr="00871260">
        <w:rPr>
          <w:rFonts w:ascii="Arial" w:hAnsi="Arial" w:cs="Arial"/>
          <w:lang w:val="en-IN"/>
        </w:rPr>
        <w:t xml:space="preserve"> OS, </w:t>
      </w:r>
      <w:proofErr w:type="spellStart"/>
      <w:r w:rsidRPr="00871260">
        <w:rPr>
          <w:rFonts w:ascii="Arial" w:hAnsi="Arial" w:cs="Arial"/>
          <w:lang w:val="en-IN"/>
        </w:rPr>
        <w:t>Erdem</w:t>
      </w:r>
      <w:proofErr w:type="spellEnd"/>
      <w:r w:rsidRPr="00871260">
        <w:rPr>
          <w:rFonts w:ascii="Arial" w:hAnsi="Arial" w:cs="Arial"/>
          <w:lang w:val="en-IN"/>
        </w:rPr>
        <w:t xml:space="preserve"> S, </w:t>
      </w:r>
      <w:proofErr w:type="spellStart"/>
      <w:r w:rsidRPr="00871260">
        <w:rPr>
          <w:rFonts w:ascii="Arial" w:hAnsi="Arial" w:cs="Arial"/>
          <w:lang w:val="en-IN"/>
        </w:rPr>
        <w:t>Akcakaya</w:t>
      </w:r>
      <w:proofErr w:type="spellEnd"/>
      <w:r w:rsidRPr="00871260">
        <w:rPr>
          <w:rFonts w:ascii="Arial" w:hAnsi="Arial" w:cs="Arial"/>
          <w:lang w:val="en-IN"/>
        </w:rPr>
        <w:t xml:space="preserve"> B, </w:t>
      </w:r>
      <w:proofErr w:type="spellStart"/>
      <w:r w:rsidRPr="00871260">
        <w:rPr>
          <w:rFonts w:ascii="Arial" w:hAnsi="Arial" w:cs="Arial"/>
          <w:lang w:val="en-IN"/>
        </w:rPr>
        <w:t>Gunal</w:t>
      </w:r>
      <w:proofErr w:type="spellEnd"/>
      <w:r w:rsidRPr="00871260">
        <w:rPr>
          <w:rFonts w:ascii="Arial" w:hAnsi="Arial" w:cs="Arial"/>
          <w:lang w:val="en-IN"/>
        </w:rPr>
        <w:t xml:space="preserve"> AI. The effect of linagliptin on renal progression in type 2 diabetes mellitus patients with chronic kidney disease: A prospective randomized controlled study. </w:t>
      </w:r>
      <w:proofErr w:type="spellStart"/>
      <w:r w:rsidRPr="00871260">
        <w:rPr>
          <w:rFonts w:ascii="Arial" w:hAnsi="Arial" w:cs="Arial"/>
          <w:lang w:val="en-IN"/>
        </w:rPr>
        <w:t>Nefrologia</w:t>
      </w:r>
      <w:proofErr w:type="spellEnd"/>
      <w:r w:rsidRPr="00871260">
        <w:rPr>
          <w:rFonts w:ascii="Arial" w:hAnsi="Arial" w:cs="Arial"/>
          <w:lang w:val="en-IN"/>
        </w:rPr>
        <w:t xml:space="preserve">. 2020;40(6):664-671. </w:t>
      </w:r>
    </w:p>
    <w:p w14:paraId="53F6438E"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Yamamoto F, Ikeda R, </w:t>
      </w:r>
      <w:proofErr w:type="spellStart"/>
      <w:r w:rsidRPr="00871260">
        <w:rPr>
          <w:rFonts w:ascii="Arial" w:hAnsi="Arial" w:cs="Arial"/>
          <w:lang w:val="en-IN"/>
        </w:rPr>
        <w:t>Ochiai</w:t>
      </w:r>
      <w:proofErr w:type="spellEnd"/>
      <w:r w:rsidRPr="00871260">
        <w:rPr>
          <w:rFonts w:ascii="Arial" w:hAnsi="Arial" w:cs="Arial"/>
          <w:lang w:val="en-IN"/>
        </w:rPr>
        <w:t xml:space="preserve"> K, </w:t>
      </w:r>
      <w:proofErr w:type="spellStart"/>
      <w:r w:rsidRPr="00871260">
        <w:rPr>
          <w:rFonts w:ascii="Arial" w:hAnsi="Arial" w:cs="Arial"/>
        </w:rPr>
        <w:t>Hirase</w:t>
      </w:r>
      <w:proofErr w:type="spellEnd"/>
      <w:r w:rsidRPr="00871260">
        <w:rPr>
          <w:rFonts w:ascii="Arial" w:hAnsi="Arial" w:cs="Arial"/>
        </w:rPr>
        <w:t xml:space="preserve"> T, Hayashi N, Okamura T</w:t>
      </w:r>
      <w:r w:rsidRPr="00871260">
        <w:rPr>
          <w:rFonts w:ascii="Arial" w:hAnsi="Arial" w:cs="Arial"/>
          <w:lang w:val="en-IN"/>
        </w:rPr>
        <w:t xml:space="preserve">. Long-term safety and effectiveness of linagliptin in Japanese patients with type 2 diabetes and renal dysfunction: A post-marketing surveillance study. Diabetes Ther. 2020;11:523-533. </w:t>
      </w:r>
    </w:p>
    <w:p w14:paraId="298A834B"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r w:rsidRPr="00871260">
        <w:rPr>
          <w:rFonts w:ascii="Arial" w:hAnsi="Arial" w:cs="Arial"/>
          <w:lang w:val="en-IN"/>
        </w:rPr>
        <w:t xml:space="preserve">Tavares CAM, Azevedo LCP, Rea-Neto Á, Campos NS, Amendola CP, </w:t>
      </w:r>
      <w:proofErr w:type="spellStart"/>
      <w:r w:rsidRPr="00871260">
        <w:rPr>
          <w:rFonts w:ascii="Arial" w:hAnsi="Arial" w:cs="Arial"/>
          <w:lang w:val="en-IN"/>
        </w:rPr>
        <w:t>Kozesinski</w:t>
      </w:r>
      <w:proofErr w:type="spellEnd"/>
      <w:r w:rsidRPr="00871260">
        <w:rPr>
          <w:rFonts w:ascii="Arial" w:hAnsi="Arial" w:cs="Arial"/>
          <w:lang w:val="en-IN"/>
        </w:rPr>
        <w:t xml:space="preserve">-Nakatani AC, et al.; DEFENDER Investigators. Dapagliflozin for critically ill patients with acute organ dysfunction: The DEFENDER randomized clinical trial. JAMA. 2024;332(5):401-411. </w:t>
      </w:r>
    </w:p>
    <w:p w14:paraId="41DB8C84" w14:textId="77777777" w:rsidR="00100B94" w:rsidRPr="00871260" w:rsidRDefault="00100B94" w:rsidP="00100B94">
      <w:pPr>
        <w:numPr>
          <w:ilvl w:val="0"/>
          <w:numId w:val="31"/>
        </w:numPr>
        <w:tabs>
          <w:tab w:val="left" w:pos="4035"/>
        </w:tabs>
        <w:spacing w:line="324" w:lineRule="auto"/>
        <w:ind w:right="80"/>
        <w:jc w:val="both"/>
        <w:rPr>
          <w:rFonts w:ascii="Arial" w:hAnsi="Arial" w:cs="Arial"/>
          <w:lang w:val="en-IN"/>
        </w:rPr>
      </w:pPr>
      <w:proofErr w:type="spellStart"/>
      <w:r w:rsidRPr="00871260">
        <w:rPr>
          <w:rFonts w:ascii="Arial" w:hAnsi="Arial" w:cs="Arial"/>
          <w:lang w:val="en-IN"/>
        </w:rPr>
        <w:t>Dharmalingam</w:t>
      </w:r>
      <w:proofErr w:type="spellEnd"/>
      <w:r w:rsidRPr="00871260">
        <w:rPr>
          <w:rFonts w:ascii="Arial" w:hAnsi="Arial" w:cs="Arial"/>
          <w:lang w:val="en-IN"/>
        </w:rPr>
        <w:t xml:space="preserve"> M, Sharma SK, Prakash V, Maiti A, Kumar R, Murthy LSS, et al. Evaluating the efficacy, safety, and tolerability of combination therapy of dapagliflozin and linagliptin over dapagliflozin and vildagliptin in patients with type 2 diabetes mellitus inadequately controlled with metformin. Cureus. 2024;16(4):e58115. </w:t>
      </w:r>
    </w:p>
    <w:p w14:paraId="2E497631" w14:textId="477A82BA" w:rsidR="00927186" w:rsidRPr="00927186" w:rsidRDefault="00927186" w:rsidP="00100B94">
      <w:pPr>
        <w:numPr>
          <w:ilvl w:val="0"/>
          <w:numId w:val="31"/>
        </w:numPr>
        <w:tabs>
          <w:tab w:val="left" w:pos="4035"/>
        </w:tabs>
        <w:spacing w:line="324" w:lineRule="auto"/>
        <w:ind w:right="80"/>
        <w:jc w:val="both"/>
        <w:rPr>
          <w:rFonts w:ascii="Arial" w:hAnsi="Arial" w:cs="Arial"/>
        </w:rPr>
      </w:pPr>
      <w:proofErr w:type="spellStart"/>
      <w:r w:rsidRPr="00927186">
        <w:rPr>
          <w:rFonts w:ascii="Arial" w:hAnsi="Arial" w:cs="Arial"/>
        </w:rPr>
        <w:t>Wiviott</w:t>
      </w:r>
      <w:proofErr w:type="spellEnd"/>
      <w:r w:rsidRPr="00927186">
        <w:rPr>
          <w:rFonts w:ascii="Arial" w:hAnsi="Arial" w:cs="Arial"/>
        </w:rPr>
        <w:t xml:space="preserve"> SD, Raz I, </w:t>
      </w:r>
      <w:proofErr w:type="spellStart"/>
      <w:r w:rsidRPr="00927186">
        <w:rPr>
          <w:rFonts w:ascii="Arial" w:hAnsi="Arial" w:cs="Arial"/>
        </w:rPr>
        <w:t>Bonaca</w:t>
      </w:r>
      <w:proofErr w:type="spellEnd"/>
      <w:r w:rsidRPr="00927186">
        <w:rPr>
          <w:rFonts w:ascii="Arial" w:hAnsi="Arial" w:cs="Arial"/>
        </w:rPr>
        <w:t xml:space="preserve"> MP, </w:t>
      </w:r>
      <w:proofErr w:type="spellStart"/>
      <w:r w:rsidRPr="00927186">
        <w:rPr>
          <w:rFonts w:ascii="Arial" w:hAnsi="Arial" w:cs="Arial"/>
        </w:rPr>
        <w:t>Mosenzon</w:t>
      </w:r>
      <w:proofErr w:type="spellEnd"/>
      <w:r w:rsidRPr="00927186">
        <w:rPr>
          <w:rFonts w:ascii="Arial" w:hAnsi="Arial" w:cs="Arial"/>
        </w:rPr>
        <w:t xml:space="preserve"> O, Kato ET, Cahn A, </w:t>
      </w:r>
      <w:r>
        <w:rPr>
          <w:rFonts w:ascii="Arial" w:hAnsi="Arial" w:cs="Arial"/>
        </w:rPr>
        <w:t>et al.</w:t>
      </w:r>
      <w:r w:rsidRPr="00927186">
        <w:rPr>
          <w:rFonts w:ascii="Arial" w:hAnsi="Arial" w:cs="Arial"/>
        </w:rPr>
        <w:t xml:space="preserve">; DECLARE–TIMI 58 Investigators. Dapagliflozin and Cardiovascular Outcomes in Type 2 Diabetes. N Engl J Med. 2019;380(4):347-357. </w:t>
      </w:r>
    </w:p>
    <w:p w14:paraId="1345B7CB" w14:textId="35E5946E" w:rsidR="00927186" w:rsidRPr="00927186" w:rsidRDefault="00927186" w:rsidP="00100B94">
      <w:pPr>
        <w:numPr>
          <w:ilvl w:val="0"/>
          <w:numId w:val="31"/>
        </w:numPr>
        <w:tabs>
          <w:tab w:val="left" w:pos="4035"/>
        </w:tabs>
        <w:spacing w:line="324" w:lineRule="auto"/>
        <w:ind w:right="80"/>
        <w:jc w:val="both"/>
        <w:rPr>
          <w:rFonts w:ascii="Arial" w:hAnsi="Arial" w:cs="Arial"/>
        </w:rPr>
      </w:pPr>
      <w:r w:rsidRPr="00927186">
        <w:rPr>
          <w:rFonts w:ascii="Arial" w:hAnsi="Arial" w:cs="Arial"/>
        </w:rPr>
        <w:t xml:space="preserve">Rosenstock J, Perkovic V, Johansen OE, Cooper ME, Kahn SE, Marx N, </w:t>
      </w:r>
      <w:r>
        <w:rPr>
          <w:rFonts w:ascii="Arial" w:hAnsi="Arial" w:cs="Arial"/>
        </w:rPr>
        <w:t>et al.</w:t>
      </w:r>
      <w:r w:rsidRPr="00927186">
        <w:rPr>
          <w:rFonts w:ascii="Arial" w:hAnsi="Arial" w:cs="Arial"/>
        </w:rPr>
        <w:t>; CARMELINA Investigators. Effect of Linagliptin vs Placebo on Major Cardiovascular Events in Adults With Type 2 Diabetes and High Cardiovascular and Renal Risk: The CARMELINA Randomized Clinical Trial. JAMA. 2019;321(1):69-79.</w:t>
      </w:r>
    </w:p>
    <w:p w14:paraId="0E03B95B" w14:textId="6D1C3EFA" w:rsidR="00CF4008" w:rsidRPr="00871260" w:rsidRDefault="004F54EA" w:rsidP="00100B94">
      <w:pPr>
        <w:numPr>
          <w:ilvl w:val="0"/>
          <w:numId w:val="31"/>
        </w:numPr>
        <w:tabs>
          <w:tab w:val="left" w:pos="4035"/>
        </w:tabs>
        <w:spacing w:line="324" w:lineRule="auto"/>
        <w:ind w:right="80"/>
        <w:jc w:val="both"/>
        <w:rPr>
          <w:rFonts w:ascii="Arial" w:hAnsi="Arial" w:cs="Arial"/>
        </w:rPr>
      </w:pPr>
      <w:r w:rsidRPr="004F54EA">
        <w:rPr>
          <w:rFonts w:ascii="Arial" w:hAnsi="Arial" w:cs="Arial"/>
        </w:rPr>
        <w:t xml:space="preserve">Bhattacharya S, Kalra S. ADA-EASD Consensus Report on the Management of </w:t>
      </w:r>
      <w:proofErr w:type="spellStart"/>
      <w:r w:rsidRPr="004F54EA">
        <w:rPr>
          <w:rFonts w:ascii="Arial" w:hAnsi="Arial" w:cs="Arial"/>
        </w:rPr>
        <w:t>Hyperglycaemia</w:t>
      </w:r>
      <w:proofErr w:type="spellEnd"/>
      <w:r w:rsidRPr="004F54EA">
        <w:rPr>
          <w:rFonts w:ascii="Arial" w:hAnsi="Arial" w:cs="Arial"/>
        </w:rPr>
        <w:t xml:space="preserve"> in Type 2 Diabetes in an Afro-Asian Context: Broadening the Perspective. </w:t>
      </w:r>
      <w:proofErr w:type="spellStart"/>
      <w:r w:rsidRPr="004F54EA">
        <w:rPr>
          <w:rFonts w:ascii="Arial" w:hAnsi="Arial" w:cs="Arial"/>
        </w:rPr>
        <w:t>touchREV</w:t>
      </w:r>
      <w:proofErr w:type="spellEnd"/>
      <w:r w:rsidRPr="004F54EA">
        <w:rPr>
          <w:rFonts w:ascii="Arial" w:hAnsi="Arial" w:cs="Arial"/>
        </w:rPr>
        <w:t xml:space="preserve"> Endocrinol. 2023;19(2):4-6</w:t>
      </w:r>
      <w:r w:rsidR="00100B94" w:rsidRPr="00871260">
        <w:rPr>
          <w:rFonts w:ascii="Arial" w:hAnsi="Arial" w:cs="Arial"/>
          <w:lang w:val="en-IN"/>
        </w:rPr>
        <w:t>.</w:t>
      </w:r>
    </w:p>
    <w:sectPr w:rsidR="00CF4008" w:rsidRPr="00871260" w:rsidSect="00AF271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204C6" w14:textId="77777777" w:rsidR="00831828" w:rsidRDefault="00831828" w:rsidP="00C37E61">
      <w:r>
        <w:separator/>
      </w:r>
    </w:p>
  </w:endnote>
  <w:endnote w:type="continuationSeparator" w:id="0">
    <w:p w14:paraId="0AB1A4D0" w14:textId="77777777" w:rsidR="00831828" w:rsidRDefault="0083182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4219A" w14:textId="77777777" w:rsidR="00AF271A" w:rsidRDefault="00AF2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B48E" w14:textId="77777777" w:rsidR="00AF271A" w:rsidRDefault="00AF2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C1EEA" w14:textId="77777777" w:rsidR="009E048A" w:rsidRDefault="009E048A">
    <w:pPr>
      <w:pStyle w:val="Footer"/>
      <w:rPr>
        <w:rFonts w:ascii="Arial" w:hAnsi="Arial" w:cs="Arial"/>
        <w:sz w:val="16"/>
      </w:rPr>
    </w:pPr>
  </w:p>
  <w:p w14:paraId="1B6AD50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C7BDF42" w14:textId="77777777" w:rsidR="009E048A" w:rsidRDefault="009E048A">
    <w:pPr>
      <w:pStyle w:val="Footer"/>
      <w:rPr>
        <w:rFonts w:ascii="Arial" w:hAnsi="Arial" w:cs="Arial"/>
        <w:sz w:val="16"/>
      </w:rPr>
    </w:pPr>
  </w:p>
  <w:p w14:paraId="6730E62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AE503" w14:textId="77777777" w:rsidR="00831828" w:rsidRDefault="00831828" w:rsidP="00C37E61">
      <w:r>
        <w:separator/>
      </w:r>
    </w:p>
  </w:footnote>
  <w:footnote w:type="continuationSeparator" w:id="0">
    <w:p w14:paraId="61B55C8B" w14:textId="77777777" w:rsidR="00831828" w:rsidRDefault="0083182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D099D" w14:textId="6DAA53E3" w:rsidR="00AF271A" w:rsidRDefault="00831828">
    <w:pPr>
      <w:pStyle w:val="Header"/>
    </w:pPr>
    <w:r>
      <w:rPr>
        <w:noProof/>
      </w:rPr>
      <w:pict w14:anchorId="288AB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1581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53A2E" w14:textId="15E7080B" w:rsidR="00AF271A" w:rsidRDefault="00831828">
    <w:pPr>
      <w:pStyle w:val="Header"/>
    </w:pPr>
    <w:r>
      <w:rPr>
        <w:noProof/>
      </w:rPr>
      <w:pict w14:anchorId="2C88C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1581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D354" w14:textId="6986EBE6" w:rsidR="00296529" w:rsidRPr="00296529" w:rsidRDefault="00831828" w:rsidP="00296529">
    <w:pPr>
      <w:ind w:left="2160"/>
      <w:jc w:val="center"/>
      <w:rPr>
        <w:rFonts w:ascii="Times New Roman" w:eastAsia="Calibri" w:hAnsi="Times New Roman"/>
        <w:i/>
        <w:sz w:val="18"/>
        <w:szCs w:val="22"/>
      </w:rPr>
    </w:pPr>
    <w:r>
      <w:rPr>
        <w:noProof/>
      </w:rPr>
      <w:pict w14:anchorId="276BB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1581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82208E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CBC08B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A63D6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8F513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D2C9ED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D6D72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F270B2"/>
    <w:multiLevelType w:val="hybridMultilevel"/>
    <w:tmpl w:val="76D8BDEA"/>
    <w:lvl w:ilvl="0" w:tplc="35BE1A22">
      <w:start w:val="1"/>
      <w:numFmt w:val="decimal"/>
      <w:lvlText w:val="%1."/>
      <w:lvlJc w:val="left"/>
      <w:pPr>
        <w:ind w:left="720" w:hanging="360"/>
      </w:pPr>
    </w:lvl>
    <w:lvl w:ilvl="1" w:tplc="E68AFE8E">
      <w:start w:val="1"/>
      <w:numFmt w:val="lowerLetter"/>
      <w:lvlText w:val="%2."/>
      <w:lvlJc w:val="left"/>
      <w:pPr>
        <w:ind w:left="1440" w:hanging="360"/>
      </w:pPr>
    </w:lvl>
    <w:lvl w:ilvl="2" w:tplc="3EBE6E20">
      <w:start w:val="1"/>
      <w:numFmt w:val="lowerRoman"/>
      <w:lvlText w:val="%3."/>
      <w:lvlJc w:val="right"/>
      <w:pPr>
        <w:ind w:left="2160" w:hanging="180"/>
      </w:pPr>
    </w:lvl>
    <w:lvl w:ilvl="3" w:tplc="5224C28A">
      <w:start w:val="1"/>
      <w:numFmt w:val="decimal"/>
      <w:lvlText w:val="%4."/>
      <w:lvlJc w:val="left"/>
      <w:pPr>
        <w:ind w:left="2880" w:hanging="360"/>
      </w:pPr>
    </w:lvl>
    <w:lvl w:ilvl="4" w:tplc="E02C917C">
      <w:start w:val="1"/>
      <w:numFmt w:val="lowerLetter"/>
      <w:lvlText w:val="%5."/>
      <w:lvlJc w:val="left"/>
      <w:pPr>
        <w:ind w:left="3600" w:hanging="360"/>
      </w:pPr>
    </w:lvl>
    <w:lvl w:ilvl="5" w:tplc="EB0A700A">
      <w:start w:val="1"/>
      <w:numFmt w:val="lowerRoman"/>
      <w:lvlText w:val="%6."/>
      <w:lvlJc w:val="right"/>
      <w:pPr>
        <w:ind w:left="4320" w:hanging="180"/>
      </w:pPr>
    </w:lvl>
    <w:lvl w:ilvl="6" w:tplc="9198FA72">
      <w:start w:val="1"/>
      <w:numFmt w:val="decimal"/>
      <w:lvlText w:val="%7."/>
      <w:lvlJc w:val="left"/>
      <w:pPr>
        <w:ind w:left="5040" w:hanging="360"/>
      </w:pPr>
    </w:lvl>
    <w:lvl w:ilvl="7" w:tplc="6FCE9454">
      <w:start w:val="1"/>
      <w:numFmt w:val="lowerLetter"/>
      <w:lvlText w:val="%8."/>
      <w:lvlJc w:val="left"/>
      <w:pPr>
        <w:ind w:left="5760" w:hanging="360"/>
      </w:pPr>
    </w:lvl>
    <w:lvl w:ilvl="8" w:tplc="004EF93A">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EE282F"/>
    <w:multiLevelType w:val="multilevel"/>
    <w:tmpl w:val="A2C263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98D365"/>
    <w:multiLevelType w:val="hybridMultilevel"/>
    <w:tmpl w:val="0986DE18"/>
    <w:lvl w:ilvl="0" w:tplc="F5AECED8">
      <w:start w:val="1"/>
      <w:numFmt w:val="decimal"/>
      <w:lvlText w:val="%1."/>
      <w:lvlJc w:val="left"/>
      <w:pPr>
        <w:ind w:left="720" w:hanging="360"/>
      </w:pPr>
    </w:lvl>
    <w:lvl w:ilvl="1" w:tplc="B8AC4D26">
      <w:start w:val="1"/>
      <w:numFmt w:val="lowerLetter"/>
      <w:lvlText w:val="%2."/>
      <w:lvlJc w:val="left"/>
      <w:pPr>
        <w:ind w:left="1440" w:hanging="360"/>
      </w:pPr>
    </w:lvl>
    <w:lvl w:ilvl="2" w:tplc="374000CC">
      <w:start w:val="1"/>
      <w:numFmt w:val="lowerRoman"/>
      <w:lvlText w:val="%3."/>
      <w:lvlJc w:val="right"/>
      <w:pPr>
        <w:ind w:left="2160" w:hanging="180"/>
      </w:pPr>
    </w:lvl>
    <w:lvl w:ilvl="3" w:tplc="E658404E">
      <w:start w:val="1"/>
      <w:numFmt w:val="decimal"/>
      <w:lvlText w:val="%4."/>
      <w:lvlJc w:val="left"/>
      <w:pPr>
        <w:ind w:left="2880" w:hanging="360"/>
      </w:pPr>
    </w:lvl>
    <w:lvl w:ilvl="4" w:tplc="85188B66">
      <w:start w:val="1"/>
      <w:numFmt w:val="lowerLetter"/>
      <w:lvlText w:val="%5."/>
      <w:lvlJc w:val="left"/>
      <w:pPr>
        <w:ind w:left="3600" w:hanging="360"/>
      </w:pPr>
    </w:lvl>
    <w:lvl w:ilvl="5" w:tplc="609E2890">
      <w:start w:val="1"/>
      <w:numFmt w:val="lowerRoman"/>
      <w:lvlText w:val="%6."/>
      <w:lvlJc w:val="right"/>
      <w:pPr>
        <w:ind w:left="4320" w:hanging="180"/>
      </w:pPr>
    </w:lvl>
    <w:lvl w:ilvl="6" w:tplc="8202F1E4">
      <w:start w:val="1"/>
      <w:numFmt w:val="decimal"/>
      <w:lvlText w:val="%7."/>
      <w:lvlJc w:val="left"/>
      <w:pPr>
        <w:ind w:left="5040" w:hanging="360"/>
      </w:pPr>
    </w:lvl>
    <w:lvl w:ilvl="7" w:tplc="59C4187A">
      <w:start w:val="1"/>
      <w:numFmt w:val="lowerLetter"/>
      <w:lvlText w:val="%8."/>
      <w:lvlJc w:val="left"/>
      <w:pPr>
        <w:ind w:left="5760" w:hanging="360"/>
      </w:pPr>
    </w:lvl>
    <w:lvl w:ilvl="8" w:tplc="42C85EA6">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7"/>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3C9"/>
    <w:rsid w:val="00013C2C"/>
    <w:rsid w:val="00030174"/>
    <w:rsid w:val="00036DDF"/>
    <w:rsid w:val="0004579C"/>
    <w:rsid w:val="0004645B"/>
    <w:rsid w:val="000505D0"/>
    <w:rsid w:val="00050660"/>
    <w:rsid w:val="00076C57"/>
    <w:rsid w:val="000772CA"/>
    <w:rsid w:val="000825BB"/>
    <w:rsid w:val="000A117B"/>
    <w:rsid w:val="000A47FA"/>
    <w:rsid w:val="000A51B7"/>
    <w:rsid w:val="000A65D3"/>
    <w:rsid w:val="000B1E33"/>
    <w:rsid w:val="000D470D"/>
    <w:rsid w:val="000D689F"/>
    <w:rsid w:val="000E7B7B"/>
    <w:rsid w:val="000E7D62"/>
    <w:rsid w:val="000F1414"/>
    <w:rsid w:val="000F509C"/>
    <w:rsid w:val="00100B94"/>
    <w:rsid w:val="00103357"/>
    <w:rsid w:val="001139E2"/>
    <w:rsid w:val="00123C9F"/>
    <w:rsid w:val="00126190"/>
    <w:rsid w:val="00130F17"/>
    <w:rsid w:val="001320BF"/>
    <w:rsid w:val="00133B03"/>
    <w:rsid w:val="00143360"/>
    <w:rsid w:val="00163BC4"/>
    <w:rsid w:val="00191062"/>
    <w:rsid w:val="00192216"/>
    <w:rsid w:val="00192B72"/>
    <w:rsid w:val="00193629"/>
    <w:rsid w:val="0019756E"/>
    <w:rsid w:val="001A29D8"/>
    <w:rsid w:val="001A3CF6"/>
    <w:rsid w:val="001A3F6A"/>
    <w:rsid w:val="001A5CAA"/>
    <w:rsid w:val="001B0427"/>
    <w:rsid w:val="001D02C2"/>
    <w:rsid w:val="001D2EA1"/>
    <w:rsid w:val="001D3A51"/>
    <w:rsid w:val="001D6987"/>
    <w:rsid w:val="001E10D2"/>
    <w:rsid w:val="001E25B4"/>
    <w:rsid w:val="001E44FE"/>
    <w:rsid w:val="001F332D"/>
    <w:rsid w:val="001F4214"/>
    <w:rsid w:val="001F6421"/>
    <w:rsid w:val="001F64CE"/>
    <w:rsid w:val="00200595"/>
    <w:rsid w:val="00204489"/>
    <w:rsid w:val="00204835"/>
    <w:rsid w:val="00204BA6"/>
    <w:rsid w:val="0021513F"/>
    <w:rsid w:val="002206C8"/>
    <w:rsid w:val="00231920"/>
    <w:rsid w:val="0023195C"/>
    <w:rsid w:val="002326E6"/>
    <w:rsid w:val="002400EB"/>
    <w:rsid w:val="0024282C"/>
    <w:rsid w:val="002460DC"/>
    <w:rsid w:val="00250985"/>
    <w:rsid w:val="002556F6"/>
    <w:rsid w:val="00257A90"/>
    <w:rsid w:val="00272ED6"/>
    <w:rsid w:val="00283105"/>
    <w:rsid w:val="00283A48"/>
    <w:rsid w:val="00284C4C"/>
    <w:rsid w:val="0028742F"/>
    <w:rsid w:val="00296529"/>
    <w:rsid w:val="002B27FB"/>
    <w:rsid w:val="002B685A"/>
    <w:rsid w:val="002C57D2"/>
    <w:rsid w:val="002D6518"/>
    <w:rsid w:val="002E0D56"/>
    <w:rsid w:val="002F1568"/>
    <w:rsid w:val="002F4609"/>
    <w:rsid w:val="00315186"/>
    <w:rsid w:val="003230C5"/>
    <w:rsid w:val="003235AC"/>
    <w:rsid w:val="00326C02"/>
    <w:rsid w:val="0033343E"/>
    <w:rsid w:val="003512C2"/>
    <w:rsid w:val="00360A0E"/>
    <w:rsid w:val="003612DF"/>
    <w:rsid w:val="00371FB6"/>
    <w:rsid w:val="003763C1"/>
    <w:rsid w:val="00376BBE"/>
    <w:rsid w:val="00382284"/>
    <w:rsid w:val="00392004"/>
    <w:rsid w:val="0039224F"/>
    <w:rsid w:val="003A43A4"/>
    <w:rsid w:val="003A7E18"/>
    <w:rsid w:val="003C4C86"/>
    <w:rsid w:val="003C6258"/>
    <w:rsid w:val="003D0363"/>
    <w:rsid w:val="003E0542"/>
    <w:rsid w:val="003E2904"/>
    <w:rsid w:val="003E5668"/>
    <w:rsid w:val="003E5CED"/>
    <w:rsid w:val="003F71EF"/>
    <w:rsid w:val="00401927"/>
    <w:rsid w:val="0041027F"/>
    <w:rsid w:val="00410F32"/>
    <w:rsid w:val="00412475"/>
    <w:rsid w:val="00413694"/>
    <w:rsid w:val="004142CF"/>
    <w:rsid w:val="00415BF1"/>
    <w:rsid w:val="00423789"/>
    <w:rsid w:val="00436A0C"/>
    <w:rsid w:val="004408A6"/>
    <w:rsid w:val="00440F43"/>
    <w:rsid w:val="00441B6F"/>
    <w:rsid w:val="00446221"/>
    <w:rsid w:val="00450E62"/>
    <w:rsid w:val="004539DB"/>
    <w:rsid w:val="00455C18"/>
    <w:rsid w:val="00471A80"/>
    <w:rsid w:val="0048284A"/>
    <w:rsid w:val="004B0365"/>
    <w:rsid w:val="004B4BBD"/>
    <w:rsid w:val="004C11E3"/>
    <w:rsid w:val="004C3B8D"/>
    <w:rsid w:val="004D305E"/>
    <w:rsid w:val="004D4277"/>
    <w:rsid w:val="004E218F"/>
    <w:rsid w:val="004E6B2D"/>
    <w:rsid w:val="004F2613"/>
    <w:rsid w:val="004F54EA"/>
    <w:rsid w:val="00502516"/>
    <w:rsid w:val="00505F06"/>
    <w:rsid w:val="00506828"/>
    <w:rsid w:val="005208D2"/>
    <w:rsid w:val="0053056E"/>
    <w:rsid w:val="005321B2"/>
    <w:rsid w:val="00535DFF"/>
    <w:rsid w:val="00554FDA"/>
    <w:rsid w:val="00592C36"/>
    <w:rsid w:val="005C1A67"/>
    <w:rsid w:val="005C784C"/>
    <w:rsid w:val="005D17F6"/>
    <w:rsid w:val="005E3A42"/>
    <w:rsid w:val="005E5539"/>
    <w:rsid w:val="00602BF5"/>
    <w:rsid w:val="00617892"/>
    <w:rsid w:val="00617FDD"/>
    <w:rsid w:val="00633614"/>
    <w:rsid w:val="00633F68"/>
    <w:rsid w:val="00636EB2"/>
    <w:rsid w:val="006375B8"/>
    <w:rsid w:val="0066510A"/>
    <w:rsid w:val="00673F9F"/>
    <w:rsid w:val="00686953"/>
    <w:rsid w:val="00687DEA"/>
    <w:rsid w:val="00687E67"/>
    <w:rsid w:val="00692461"/>
    <w:rsid w:val="006967F7"/>
    <w:rsid w:val="006A00B8"/>
    <w:rsid w:val="006A250C"/>
    <w:rsid w:val="006B21D3"/>
    <w:rsid w:val="006B57D0"/>
    <w:rsid w:val="006C395A"/>
    <w:rsid w:val="006D30FF"/>
    <w:rsid w:val="006D6940"/>
    <w:rsid w:val="006F11EC"/>
    <w:rsid w:val="0070082C"/>
    <w:rsid w:val="00702FE1"/>
    <w:rsid w:val="0070534B"/>
    <w:rsid w:val="0072429A"/>
    <w:rsid w:val="007307FA"/>
    <w:rsid w:val="00733B63"/>
    <w:rsid w:val="007369E6"/>
    <w:rsid w:val="00746E59"/>
    <w:rsid w:val="00747AC9"/>
    <w:rsid w:val="00754C9A"/>
    <w:rsid w:val="0075599A"/>
    <w:rsid w:val="00761D52"/>
    <w:rsid w:val="0077749E"/>
    <w:rsid w:val="00790ADA"/>
    <w:rsid w:val="00795DCE"/>
    <w:rsid w:val="007C70B7"/>
    <w:rsid w:val="007D2288"/>
    <w:rsid w:val="007D2CD2"/>
    <w:rsid w:val="007E088F"/>
    <w:rsid w:val="007F7B32"/>
    <w:rsid w:val="008025B4"/>
    <w:rsid w:val="00804BC2"/>
    <w:rsid w:val="0081431A"/>
    <w:rsid w:val="00817F59"/>
    <w:rsid w:val="00831828"/>
    <w:rsid w:val="0083216F"/>
    <w:rsid w:val="0083766E"/>
    <w:rsid w:val="00844BC9"/>
    <w:rsid w:val="008457ED"/>
    <w:rsid w:val="00860000"/>
    <w:rsid w:val="0086003A"/>
    <w:rsid w:val="0086061F"/>
    <w:rsid w:val="00863BD3"/>
    <w:rsid w:val="00866D66"/>
    <w:rsid w:val="008671C6"/>
    <w:rsid w:val="008707BB"/>
    <w:rsid w:val="00871260"/>
    <w:rsid w:val="00871B4D"/>
    <w:rsid w:val="00875803"/>
    <w:rsid w:val="008B459E"/>
    <w:rsid w:val="008E056C"/>
    <w:rsid w:val="008E11F8"/>
    <w:rsid w:val="008E13AE"/>
    <w:rsid w:val="008E1506"/>
    <w:rsid w:val="008E710C"/>
    <w:rsid w:val="008F4CB0"/>
    <w:rsid w:val="008F69D6"/>
    <w:rsid w:val="00902823"/>
    <w:rsid w:val="009068E0"/>
    <w:rsid w:val="00915CA6"/>
    <w:rsid w:val="00927186"/>
    <w:rsid w:val="00927834"/>
    <w:rsid w:val="009340FE"/>
    <w:rsid w:val="00945077"/>
    <w:rsid w:val="009500A6"/>
    <w:rsid w:val="00957C18"/>
    <w:rsid w:val="009659BA"/>
    <w:rsid w:val="00983040"/>
    <w:rsid w:val="00986CE5"/>
    <w:rsid w:val="009A1C50"/>
    <w:rsid w:val="009B0180"/>
    <w:rsid w:val="009B3FB9"/>
    <w:rsid w:val="009C2465"/>
    <w:rsid w:val="009C69DD"/>
    <w:rsid w:val="009D35A0"/>
    <w:rsid w:val="009D7EB7"/>
    <w:rsid w:val="009E048A"/>
    <w:rsid w:val="009E08E9"/>
    <w:rsid w:val="009E2D40"/>
    <w:rsid w:val="009E3DB9"/>
    <w:rsid w:val="009E450B"/>
    <w:rsid w:val="009E6E35"/>
    <w:rsid w:val="009F0EDA"/>
    <w:rsid w:val="00A02962"/>
    <w:rsid w:val="00A03B96"/>
    <w:rsid w:val="00A05B19"/>
    <w:rsid w:val="00A1134E"/>
    <w:rsid w:val="00A14FDC"/>
    <w:rsid w:val="00A242B0"/>
    <w:rsid w:val="00A24E7E"/>
    <w:rsid w:val="00A258C3"/>
    <w:rsid w:val="00A33837"/>
    <w:rsid w:val="00A347C0"/>
    <w:rsid w:val="00A41B41"/>
    <w:rsid w:val="00A51431"/>
    <w:rsid w:val="00A539AD"/>
    <w:rsid w:val="00A5519B"/>
    <w:rsid w:val="00A660AD"/>
    <w:rsid w:val="00A81B1D"/>
    <w:rsid w:val="00A94063"/>
    <w:rsid w:val="00A968EF"/>
    <w:rsid w:val="00AA6219"/>
    <w:rsid w:val="00AA74E0"/>
    <w:rsid w:val="00AB04ED"/>
    <w:rsid w:val="00AB703F"/>
    <w:rsid w:val="00AC496C"/>
    <w:rsid w:val="00AC6BB8"/>
    <w:rsid w:val="00AD3CBE"/>
    <w:rsid w:val="00AE008F"/>
    <w:rsid w:val="00AF271A"/>
    <w:rsid w:val="00AF4634"/>
    <w:rsid w:val="00AF513F"/>
    <w:rsid w:val="00B01FCD"/>
    <w:rsid w:val="00B1776C"/>
    <w:rsid w:val="00B512C2"/>
    <w:rsid w:val="00B52896"/>
    <w:rsid w:val="00B64311"/>
    <w:rsid w:val="00B85F86"/>
    <w:rsid w:val="00B85FB1"/>
    <w:rsid w:val="00B92D56"/>
    <w:rsid w:val="00B95236"/>
    <w:rsid w:val="00B96BD9"/>
    <w:rsid w:val="00BA1B01"/>
    <w:rsid w:val="00BA2641"/>
    <w:rsid w:val="00BA4224"/>
    <w:rsid w:val="00BA7620"/>
    <w:rsid w:val="00BB115E"/>
    <w:rsid w:val="00BB37AA"/>
    <w:rsid w:val="00BC53A0"/>
    <w:rsid w:val="00BC6555"/>
    <w:rsid w:val="00BE37B9"/>
    <w:rsid w:val="00BE62AD"/>
    <w:rsid w:val="00BF121F"/>
    <w:rsid w:val="00BF1F80"/>
    <w:rsid w:val="00C03762"/>
    <w:rsid w:val="00C166EF"/>
    <w:rsid w:val="00C17EB0"/>
    <w:rsid w:val="00C26F39"/>
    <w:rsid w:val="00C27F5F"/>
    <w:rsid w:val="00C30A0F"/>
    <w:rsid w:val="00C37E61"/>
    <w:rsid w:val="00C4190C"/>
    <w:rsid w:val="00C70F1B"/>
    <w:rsid w:val="00C71A47"/>
    <w:rsid w:val="00C7464C"/>
    <w:rsid w:val="00C85588"/>
    <w:rsid w:val="00C87634"/>
    <w:rsid w:val="00CB14A2"/>
    <w:rsid w:val="00CC3D82"/>
    <w:rsid w:val="00CC3E6C"/>
    <w:rsid w:val="00CD6755"/>
    <w:rsid w:val="00CD6856"/>
    <w:rsid w:val="00CE0089"/>
    <w:rsid w:val="00CE793C"/>
    <w:rsid w:val="00CF1FA5"/>
    <w:rsid w:val="00CF4008"/>
    <w:rsid w:val="00CF729C"/>
    <w:rsid w:val="00D16ADB"/>
    <w:rsid w:val="00D173F1"/>
    <w:rsid w:val="00D24B34"/>
    <w:rsid w:val="00D30175"/>
    <w:rsid w:val="00D40A23"/>
    <w:rsid w:val="00D510B7"/>
    <w:rsid w:val="00D71B1E"/>
    <w:rsid w:val="00D8295D"/>
    <w:rsid w:val="00DC2A65"/>
    <w:rsid w:val="00DC6C93"/>
    <w:rsid w:val="00DE15F0"/>
    <w:rsid w:val="00DE5663"/>
    <w:rsid w:val="00DE78AA"/>
    <w:rsid w:val="00DF47A0"/>
    <w:rsid w:val="00E053D0"/>
    <w:rsid w:val="00E0709F"/>
    <w:rsid w:val="00E15994"/>
    <w:rsid w:val="00E3114E"/>
    <w:rsid w:val="00E31A70"/>
    <w:rsid w:val="00E35B02"/>
    <w:rsid w:val="00E43745"/>
    <w:rsid w:val="00E45A22"/>
    <w:rsid w:val="00E57DF2"/>
    <w:rsid w:val="00E66496"/>
    <w:rsid w:val="00E66B35"/>
    <w:rsid w:val="00E66E10"/>
    <w:rsid w:val="00E7044B"/>
    <w:rsid w:val="00E769F6"/>
    <w:rsid w:val="00E8407C"/>
    <w:rsid w:val="00E84F3C"/>
    <w:rsid w:val="00E91E96"/>
    <w:rsid w:val="00EA012C"/>
    <w:rsid w:val="00EB32BA"/>
    <w:rsid w:val="00ED0288"/>
    <w:rsid w:val="00ED40B8"/>
    <w:rsid w:val="00EE0B12"/>
    <w:rsid w:val="00EE2419"/>
    <w:rsid w:val="00EE52CB"/>
    <w:rsid w:val="00EF0095"/>
    <w:rsid w:val="00EF581D"/>
    <w:rsid w:val="00EF7FD8"/>
    <w:rsid w:val="00F00621"/>
    <w:rsid w:val="00F06F59"/>
    <w:rsid w:val="00F17988"/>
    <w:rsid w:val="00F23729"/>
    <w:rsid w:val="00F469F0"/>
    <w:rsid w:val="00F53273"/>
    <w:rsid w:val="00F6009B"/>
    <w:rsid w:val="00F632D6"/>
    <w:rsid w:val="00F755E4"/>
    <w:rsid w:val="00F77D02"/>
    <w:rsid w:val="00F77D76"/>
    <w:rsid w:val="00FA14E7"/>
    <w:rsid w:val="00FB3A86"/>
    <w:rsid w:val="00FB499C"/>
    <w:rsid w:val="00FD36C8"/>
    <w:rsid w:val="00FD7BC7"/>
    <w:rsid w:val="00FE73B0"/>
    <w:rsid w:val="00F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F851649"/>
  <w15:docId w15:val="{98020198-C8F3-44D2-8351-E5F269AE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14F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592C36"/>
    <w:pPr>
      <w:spacing w:after="160" w:line="256" w:lineRule="auto"/>
      <w:ind w:left="720"/>
      <w:contextualSpacing/>
    </w:pPr>
    <w:rPr>
      <w:rFonts w:ascii="Calibri" w:eastAsia="Calibri" w:hAnsi="Calibri" w:cs="Calibri"/>
      <w:sz w:val="22"/>
      <w:szCs w:val="22"/>
      <w:lang w:val="en-IN" w:eastAsia="en-IN"/>
    </w:rPr>
  </w:style>
  <w:style w:type="character" w:customStyle="1" w:styleId="FooterChar">
    <w:name w:val="Footer Char"/>
    <w:basedOn w:val="DefaultParagraphFont"/>
    <w:link w:val="Footer"/>
    <w:rsid w:val="00617892"/>
    <w:rPr>
      <w:rFonts w:ascii="Helvetica" w:hAnsi="Helvetica"/>
    </w:rPr>
  </w:style>
  <w:style w:type="character" w:customStyle="1" w:styleId="Heading3Char">
    <w:name w:val="Heading 3 Char"/>
    <w:basedOn w:val="DefaultParagraphFont"/>
    <w:link w:val="Heading3"/>
    <w:uiPriority w:val="9"/>
    <w:semiHidden/>
    <w:rsid w:val="00A14FD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100B94"/>
    <w:rPr>
      <w:color w:val="605E5C"/>
      <w:shd w:val="clear" w:color="auto" w:fill="E1DFDD"/>
    </w:rPr>
  </w:style>
  <w:style w:type="paragraph" w:styleId="NormalWeb">
    <w:name w:val="Normal (Web)"/>
    <w:basedOn w:val="Normal"/>
    <w:semiHidden/>
    <w:unhideWhenUsed/>
    <w:rsid w:val="00EF009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who.int/news-room/fact-sheets/detail/diabet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www.ncbi.nlm.nih.gov/books/NBK58193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anRe\Downloads\Studay%20Raw%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hanRe\Downloads\Studay%20Raw%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Graphs!$K$2</c:f>
              <c:strCache>
                <c:ptCount val="1"/>
                <c:pt idx="0">
                  <c:v>Response rate (n = 1817)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Graphs!$J$3:$J$6</c:f>
              <c:strCache>
                <c:ptCount val="4"/>
                <c:pt idx="0">
                  <c:v>Linagliptin</c:v>
                </c:pt>
                <c:pt idx="1">
                  <c:v>Sitagliptin</c:v>
                </c:pt>
                <c:pt idx="2">
                  <c:v>Vildagliptin</c:v>
                </c:pt>
                <c:pt idx="3">
                  <c:v>Teneligliptin</c:v>
                </c:pt>
              </c:strCache>
            </c:strRef>
          </c:cat>
          <c:val>
            <c:numRef>
              <c:f>Graphs!$K$3:$K$6</c:f>
              <c:numCache>
                <c:formatCode>0.00%</c:formatCode>
                <c:ptCount val="4"/>
                <c:pt idx="0">
                  <c:v>0.72319999999999995</c:v>
                </c:pt>
                <c:pt idx="1">
                  <c:v>0.18990000000000001</c:v>
                </c:pt>
                <c:pt idx="2">
                  <c:v>4.6800000000000001E-2</c:v>
                </c:pt>
                <c:pt idx="3">
                  <c:v>3.9100000000000003E-2</c:v>
                </c:pt>
              </c:numCache>
            </c:numRef>
          </c:val>
          <c:extLst>
            <c:ext xmlns:c16="http://schemas.microsoft.com/office/drawing/2014/chart" uri="{C3380CC4-5D6E-409C-BE32-E72D297353CC}">
              <c16:uniqueId val="{00000000-FEA5-4309-8CDA-C062289B324F}"/>
            </c:ext>
          </c:extLst>
        </c:ser>
        <c:dLbls>
          <c:dLblPos val="outEnd"/>
          <c:showLegendKey val="0"/>
          <c:showVal val="1"/>
          <c:showCatName val="0"/>
          <c:showSerName val="0"/>
          <c:showPercent val="0"/>
          <c:showBubbleSize val="0"/>
        </c:dLbls>
        <c:gapWidth val="219"/>
        <c:overlap val="-27"/>
        <c:axId val="247615008"/>
        <c:axId val="247609248"/>
      </c:barChart>
      <c:catAx>
        <c:axId val="247615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47609248"/>
        <c:crosses val="autoZero"/>
        <c:auto val="1"/>
        <c:lblAlgn val="ctr"/>
        <c:lblOffset val="100"/>
        <c:noMultiLvlLbl val="0"/>
      </c:catAx>
      <c:valAx>
        <c:axId val="247609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IN" sz="900" b="1" i="0" u="none" strike="noStrike" baseline="0">
                    <a:solidFill>
                      <a:sysClr val="windowText" lastClr="000000"/>
                    </a:solidFill>
                    <a:effectLst/>
                  </a:rPr>
                  <a:t>Response rate (n = 1817)</a:t>
                </a:r>
                <a:r>
                  <a:rPr lang="en-IN" sz="900" b="1" i="0" u="none" strike="noStrike" baseline="0">
                    <a:solidFill>
                      <a:sysClr val="windowText" lastClr="000000"/>
                    </a:solidFill>
                  </a:rPr>
                  <a:t> </a:t>
                </a:r>
                <a:endParaRPr lang="en-IN" sz="900"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47615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Graphs!$O$2</c:f>
              <c:strCache>
                <c:ptCount val="1"/>
                <c:pt idx="0">
                  <c:v>Response rate (n = 1817)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Graphs!$N$3:$N$6</c:f>
              <c:strCache>
                <c:ptCount val="4"/>
                <c:pt idx="0">
                  <c:v>Definite improvement</c:v>
                </c:pt>
                <c:pt idx="1">
                  <c:v>Marginal improvement</c:v>
                </c:pt>
                <c:pt idx="2">
                  <c:v>Does not worsen</c:v>
                </c:pt>
                <c:pt idx="3">
                  <c:v>No improvement</c:v>
                </c:pt>
              </c:strCache>
            </c:strRef>
          </c:cat>
          <c:val>
            <c:numRef>
              <c:f>Graphs!$O$3:$O$6</c:f>
              <c:numCache>
                <c:formatCode>0.00%</c:formatCode>
                <c:ptCount val="4"/>
                <c:pt idx="0">
                  <c:v>0.67359999999999998</c:v>
                </c:pt>
                <c:pt idx="1">
                  <c:v>0.21190000000000001</c:v>
                </c:pt>
                <c:pt idx="2">
                  <c:v>9.8500000000000004E-2</c:v>
                </c:pt>
                <c:pt idx="3">
                  <c:v>1.1599999999999999E-2</c:v>
                </c:pt>
              </c:numCache>
            </c:numRef>
          </c:val>
          <c:extLst>
            <c:ext xmlns:c16="http://schemas.microsoft.com/office/drawing/2014/chart" uri="{C3380CC4-5D6E-409C-BE32-E72D297353CC}">
              <c16:uniqueId val="{00000000-AF9F-40CE-A73A-84AF4C1D2298}"/>
            </c:ext>
          </c:extLst>
        </c:ser>
        <c:dLbls>
          <c:dLblPos val="outEnd"/>
          <c:showLegendKey val="0"/>
          <c:showVal val="1"/>
          <c:showCatName val="0"/>
          <c:showSerName val="0"/>
          <c:showPercent val="0"/>
          <c:showBubbleSize val="0"/>
        </c:dLbls>
        <c:gapWidth val="219"/>
        <c:overlap val="-27"/>
        <c:axId val="247648128"/>
        <c:axId val="247649088"/>
      </c:barChart>
      <c:catAx>
        <c:axId val="247648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47649088"/>
        <c:crosses val="autoZero"/>
        <c:auto val="1"/>
        <c:lblAlgn val="ctr"/>
        <c:lblOffset val="100"/>
        <c:noMultiLvlLbl val="0"/>
      </c:catAx>
      <c:valAx>
        <c:axId val="247649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IN" sz="900" b="1">
                    <a:solidFill>
                      <a:sysClr val="windowText" lastClr="000000"/>
                    </a:solidFill>
                  </a:rPr>
                  <a:t>Response rate (n = 1817)</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476481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AF084-96E6-4B57-B34D-938C9FA1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254</TotalTime>
  <Pages>11</Pages>
  <Words>3977</Words>
  <Characters>22673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26597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284</cp:revision>
  <cp:lastPrinted>1999-07-06T11:00:00Z</cp:lastPrinted>
  <dcterms:created xsi:type="dcterms:W3CDTF">2014-10-25T14:34:00Z</dcterms:created>
  <dcterms:modified xsi:type="dcterms:W3CDTF">2026-04-21T11:35:00Z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63ecd104-4fe8-4675-84ea-c680aebb7f32</vt:lpwstr>
  </property>
</Properties>
</file>