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24C90" w14:textId="77777777" w:rsidR="00275909" w:rsidRDefault="00A768EA">
      <w:pPr>
        <w:jc w:val="right"/>
        <w:rPr>
          <w:rFonts w:ascii="Arial" w:eastAsia="Arial" w:hAnsi="Arial" w:cs="Arial"/>
          <w:b/>
          <w:bCs/>
          <w:color w:val="000000"/>
          <w:sz w:val="36"/>
          <w:szCs w:val="36"/>
        </w:rPr>
      </w:pPr>
      <w:r>
        <w:rPr>
          <w:rFonts w:ascii="Arial" w:eastAsia="Arial" w:hAnsi="Arial" w:cs="Arial"/>
          <w:b/>
          <w:bCs/>
          <w:color w:val="000000"/>
          <w:sz w:val="36"/>
          <w:szCs w:val="36"/>
        </w:rPr>
        <w:t>Original Research Article</w:t>
      </w:r>
    </w:p>
    <w:p w14:paraId="5E501850" w14:textId="77777777" w:rsidR="00275909" w:rsidRDefault="00275909">
      <w:pPr>
        <w:jc w:val="right"/>
        <w:rPr>
          <w:rFonts w:ascii="Arial" w:eastAsia="Arial" w:hAnsi="Arial" w:cs="Arial"/>
          <w:b/>
          <w:bCs/>
          <w:color w:val="000000"/>
          <w:sz w:val="36"/>
          <w:szCs w:val="36"/>
        </w:rPr>
      </w:pPr>
    </w:p>
    <w:p w14:paraId="41C19366" w14:textId="77777777" w:rsidR="00275909" w:rsidRDefault="00A768EA">
      <w:pPr>
        <w:jc w:val="right"/>
        <w:rPr>
          <w:rFonts w:ascii="Arial" w:eastAsia="Arial" w:hAnsi="Arial" w:cs="Arial"/>
          <w:b/>
          <w:bCs/>
          <w:color w:val="000000"/>
          <w:sz w:val="36"/>
          <w:szCs w:val="36"/>
        </w:rPr>
      </w:pPr>
      <w:r>
        <w:rPr>
          <w:rFonts w:ascii="Arial" w:eastAsia="Arial" w:hAnsi="Arial" w:cs="Arial"/>
          <w:b/>
          <w:bCs/>
          <w:color w:val="000000"/>
          <w:sz w:val="36"/>
          <w:szCs w:val="36"/>
        </w:rPr>
        <w:t xml:space="preserve">Knowledge and Attitude of Third-Year and Fourth-Year Nursing Students Toward Caring for Patients with Alzheimer’s Disease </w:t>
      </w:r>
    </w:p>
    <w:p w14:paraId="3A407DD5" w14:textId="77777777" w:rsidR="00275909" w:rsidRDefault="00275909">
      <w:pPr>
        <w:jc w:val="both"/>
        <w:rPr>
          <w:rFonts w:ascii="Arial" w:eastAsia="Arial" w:hAnsi="Arial" w:cs="Arial"/>
          <w:b/>
          <w:bCs/>
          <w:color w:val="000000"/>
          <w:sz w:val="36"/>
          <w:szCs w:val="36"/>
        </w:rPr>
      </w:pPr>
    </w:p>
    <w:p w14:paraId="57281CAF" w14:textId="77777777" w:rsidR="00275909" w:rsidRDefault="00275909">
      <w:pPr>
        <w:jc w:val="right"/>
        <w:rPr>
          <w:rFonts w:ascii="Arial" w:eastAsia="Arial" w:hAnsi="Arial" w:cs="Arial"/>
          <w:color w:val="000000"/>
        </w:rPr>
      </w:pPr>
    </w:p>
    <w:p w14:paraId="38E14A47" w14:textId="77777777" w:rsidR="00275909" w:rsidRDefault="00275909">
      <w:pPr>
        <w:jc w:val="right"/>
        <w:rPr>
          <w:rFonts w:ascii="Arial" w:eastAsia="Arial" w:hAnsi="Arial" w:cs="Arial"/>
          <w:color w:val="000000"/>
        </w:rPr>
      </w:pPr>
    </w:p>
    <w:p w14:paraId="35EB646E" w14:textId="77777777" w:rsidR="00275909" w:rsidRDefault="00A768EA">
      <w:pPr>
        <w:jc w:val="both"/>
        <w:rPr>
          <w:rFonts w:ascii="Arial" w:eastAsia="Arial" w:hAnsi="Arial" w:cs="Arial"/>
          <w:color w:val="000000"/>
          <w:sz w:val="16"/>
          <w:szCs w:val="16"/>
        </w:rPr>
        <w:sectPr w:rsidR="0027590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56BDC2DA" wp14:editId="48E8F6DE">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psCustomData="http://www.wps.cn/officeDocument/2013/wpsCustomData">
            <w:pict>
              <v:shape id="_x0000_s1026" o:spid="_x0000_s1026" o:spt="32" type="#_x0000_t32" style="height:1.5pt;width:417.6pt;" filled="f" stroked="t" coordsize="21600,21600" o:gfxdata="UEsDBAoAAAAAAIdO4kAAAAAAAAAAAAAAAAAEAAAAZHJzL1BLAwQUAAAACACHTuJA9t7qutUAAAAD&#10;AQAADwAAAGRycy9kb3ducmV2LnhtbE2PS2vDMBCE74H8B7GBXkIjJaF1cC0H+rqVQpJC6G1tbW1j&#10;a2Us5fXvq+TSXhaGGWa+zdZn24kjDb5xrGE+UyCIS2carjR87d7vVyB8QDbYOSYNF/KwzsejDFPj&#10;Tryh4zZUIpawT1FDHUKfSunLmiz6meuJo/fjBoshyqGSZsBTLLedXCj1KC02HBdq7OmlprLdHqwG&#10;2Xx8F5e+fd3tk32RJO3mbfr5rPXdZK6eQAQ6h78wXPEjOuSRqXAHNl50GuIj4Xajt1o+LEAUGpYK&#10;ZJ7J/+z5L1BLAwQUAAAACACHTuJAciU/yj0CAACZBAAADgAAAGRycy9lMm9Eb2MueG1srVTbjtow&#10;EH2v1H+w/N5NuG0XRFitoFSVVi3Sth9gHIdY8q0zhsDfd+xQoNuH7kPzEGbweOacMzOZPx6tYQcF&#10;qL2r+OCu5Ew56WvtdhX/8X394YEzjMLVwninKn5SyB8X79/NuzBTQ996UytglMThrAsVb2MMs6JA&#10;2Sor8M4H5eiw8WBFJBd2RQ2io+zWFMOyvC86D3UALxUi/bvqD/k5I7wloW8aLdXKy71VLvZZQRkR&#10;iRK2OiBfZLRNo2T81jSoIjMVJ6Yxv6kI2dv0LhZzMduBCK2WZwjiLRBecbJCOyp6SbUSUbA96L9S&#10;WS3Bo2/infS26IlkRYjFoHylzUsrgspcSGoMF9Hx/6WVXw8bYLqmSeDMCUsNf4kg9K6N7AnAd2zp&#10;nSMZPbBBUqsLOKNLS7eBs4dhA4n6sQGbfokUO1Z8eD8dD8ek86nio48PJT292uoYmaSAyagcTYYU&#10;ICkinxXXJAEwflbesmRUHM+YLmAGWW1xeMZIMOji7wsJgfNrbUxurXGsI27TcpIKCZrXhuaETBuI&#10;M7pdzoPe6DrdSbcRdtulAXYQaWbyk4BTjT/CUsGVwLaPy0c9P/B7V+firRL1J1ezeAqkq6N14gkN&#10;Ws6MouUjI8dFoc2/4wiAcYQjdaDXPFlbX5+ogxjkWhOiZ4FxI4BmmPrZ0VxTlZ97AVTZfHE0ONPB&#10;eDihRbh14NbZ3jrCydbTusgInPXOMub16XV+2kff6NyCK5gzRprYrNp5u9JK3Po56vpFW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t7qutUAAAADAQAADwAAAAAAAAABACAAAAAiAAAAZHJzL2Rv&#10;d25yZXYueG1sUEsBAhQAFAAAAAgAh07iQHIlP8o9AgAAmQQAAA4AAAAAAAAAAQAgAAAAJAEAAGRy&#10;cy9lMm9Eb2MueG1sUEsFBgAAAAAGAAYAWQEAANMFAAAAAA==&#10;">
                <v:fill on="f" focussize="0,0"/>
                <v:stroke weight="1.5pt" color="#000000" joinstyle="round" startarrowwidth="narrow" startarrowlength="short" endarrowwidth="narrow" endarrowlength="short"/>
                <v:imagedata o:title=""/>
                <o:lock v:ext="edit" aspectratio="f"/>
                <w10:wrap type="none"/>
                <w10:anchorlock/>
              </v:shape>
            </w:pict>
          </mc:Fallback>
        </mc:AlternateContent>
      </w:r>
      <w:r>
        <w:rPr>
          <w:rFonts w:ascii="Arial" w:eastAsia="Arial" w:hAnsi="Arial" w:cs="Arial"/>
          <w:color w:val="000000"/>
          <w:sz w:val="16"/>
          <w:szCs w:val="16"/>
        </w:rPr>
        <w:t>.</w:t>
      </w:r>
    </w:p>
    <w:p w14:paraId="22789340" w14:textId="77777777" w:rsidR="00275909" w:rsidRDefault="00A768E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06B5B613" w14:textId="77777777" w:rsidR="00275909" w:rsidRDefault="00275909">
      <w:pPr>
        <w:keepNext/>
        <w:jc w:val="both"/>
        <w:rPr>
          <w:rFonts w:ascii="Arial" w:eastAsia="Arial" w:hAnsi="Arial" w:cs="Arial"/>
          <w:b/>
          <w:bCs/>
          <w:smallCaps/>
          <w:color w:val="000000"/>
          <w:sz w:val="22"/>
          <w:szCs w:val="22"/>
        </w:rPr>
      </w:pPr>
    </w:p>
    <w:tbl>
      <w:tblPr>
        <w:tblStyle w:val="Style1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4"/>
      </w:tblGrid>
      <w:tr w:rsidR="00275909" w14:paraId="4C214E4C" w14:textId="77777777">
        <w:tc>
          <w:tcPr>
            <w:tcW w:w="8424" w:type="dxa"/>
            <w:shd w:val="clear" w:color="auto" w:fill="F2F2F2"/>
          </w:tcPr>
          <w:p w14:paraId="1B919104" w14:textId="6263ABA8" w:rsidR="00CB1BEB" w:rsidRDefault="00CB1BEB">
            <w:pPr>
              <w:rPr>
                <w:rFonts w:ascii="Arial" w:eastAsia="Arial" w:hAnsi="Arial" w:cs="Arial"/>
                <w:color w:val="000000"/>
                <w:sz w:val="22"/>
                <w:szCs w:val="22"/>
              </w:rPr>
            </w:pPr>
            <w:r>
              <w:rPr>
                <w:rFonts w:ascii="Arial" w:eastAsia="Arial" w:hAnsi="Arial" w:cs="Arial"/>
                <w:b/>
                <w:bCs/>
                <w:color w:val="000000"/>
                <w:sz w:val="22"/>
                <w:szCs w:val="22"/>
              </w:rPr>
              <w:t xml:space="preserve">Background: </w:t>
            </w:r>
            <w:r w:rsidRPr="00CB1BEB">
              <w:rPr>
                <w:rFonts w:ascii="Arial" w:eastAsia="Arial" w:hAnsi="Arial" w:cs="Arial"/>
                <w:color w:val="000000"/>
                <w:sz w:val="22"/>
                <w:szCs w:val="22"/>
              </w:rPr>
              <w:t>Alzheimer’s disease poses significant challenges to patient care, requiring skilled and compassionate nursing support. Assessing the knowledge and attitudes of senior nursing students is essential to ensure preparedness for quality dementia care.</w:t>
            </w:r>
          </w:p>
          <w:p w14:paraId="088AC05E" w14:textId="77777777" w:rsidR="00CB1BEB" w:rsidRDefault="00CB1BEB">
            <w:pPr>
              <w:rPr>
                <w:rFonts w:ascii="Arial" w:eastAsia="Arial" w:hAnsi="Arial" w:cs="Arial"/>
                <w:b/>
                <w:bCs/>
                <w:color w:val="000000"/>
                <w:sz w:val="22"/>
                <w:szCs w:val="22"/>
              </w:rPr>
            </w:pPr>
          </w:p>
          <w:p w14:paraId="0416B6BF" w14:textId="1E78CE5D" w:rsidR="00275909" w:rsidRDefault="00A768EA">
            <w:pPr>
              <w:rPr>
                <w:rFonts w:ascii="Arial" w:eastAsia="Arial" w:hAnsi="Arial" w:cs="Arial"/>
                <w:color w:val="000000"/>
                <w:sz w:val="22"/>
                <w:szCs w:val="22"/>
              </w:rPr>
            </w:pPr>
            <w:r>
              <w:rPr>
                <w:rFonts w:ascii="Arial" w:eastAsia="Arial" w:hAnsi="Arial" w:cs="Arial"/>
                <w:b/>
                <w:bCs/>
                <w:color w:val="000000"/>
                <w:sz w:val="22"/>
                <w:szCs w:val="22"/>
              </w:rPr>
              <w:t xml:space="preserve">Aims: </w:t>
            </w:r>
            <w:r>
              <w:rPr>
                <w:rFonts w:ascii="Arial" w:eastAsia="Arial" w:hAnsi="Arial" w:cs="Arial"/>
                <w:color w:val="000000"/>
                <w:sz w:val="22"/>
                <w:szCs w:val="22"/>
              </w:rPr>
              <w:t>To determine the knowledge and attitude of third-year and fourth-year nursing students toward caring for patients with Alzheimer’s Disease.</w:t>
            </w:r>
          </w:p>
          <w:p w14:paraId="766D6791" w14:textId="77777777" w:rsidR="00275909" w:rsidRDefault="00275909">
            <w:pPr>
              <w:rPr>
                <w:rFonts w:ascii="Arial" w:eastAsia="Arial" w:hAnsi="Arial" w:cs="Arial"/>
                <w:b/>
                <w:bCs/>
                <w:sz w:val="22"/>
                <w:szCs w:val="22"/>
              </w:rPr>
            </w:pPr>
          </w:p>
          <w:p w14:paraId="5E2B2FFE" w14:textId="77777777" w:rsidR="00275909" w:rsidRDefault="00A768EA">
            <w:pPr>
              <w:rPr>
                <w:rFonts w:ascii="Arial" w:eastAsia="Arial" w:hAnsi="Arial" w:cs="Arial"/>
                <w:color w:val="000000"/>
                <w:sz w:val="22"/>
                <w:szCs w:val="22"/>
              </w:rPr>
            </w:pPr>
            <w:r>
              <w:rPr>
                <w:rFonts w:ascii="Arial" w:eastAsia="Arial" w:hAnsi="Arial" w:cs="Arial"/>
                <w:b/>
                <w:bCs/>
                <w:color w:val="000000"/>
                <w:sz w:val="22"/>
                <w:szCs w:val="22"/>
              </w:rPr>
              <w:t>Study design:</w:t>
            </w:r>
            <w:r>
              <w:rPr>
                <w:rFonts w:ascii="Arial" w:eastAsia="Arial" w:hAnsi="Arial" w:cs="Arial"/>
                <w:color w:val="000000"/>
                <w:sz w:val="22"/>
                <w:szCs w:val="22"/>
              </w:rPr>
              <w:t xml:space="preserve"> A quantitative descriptive-correlational design</w:t>
            </w:r>
          </w:p>
          <w:p w14:paraId="39DD091A" w14:textId="77777777" w:rsidR="00275909" w:rsidRDefault="00275909">
            <w:pPr>
              <w:rPr>
                <w:rFonts w:ascii="Arial" w:eastAsia="Arial" w:hAnsi="Arial" w:cs="Arial"/>
                <w:b/>
                <w:bCs/>
                <w:sz w:val="22"/>
                <w:szCs w:val="22"/>
              </w:rPr>
            </w:pPr>
          </w:p>
          <w:p w14:paraId="6FB2FE83" w14:textId="77777777" w:rsidR="00275909" w:rsidRDefault="00A768EA">
            <w:pPr>
              <w:rPr>
                <w:rFonts w:ascii="Arial" w:eastAsia="Arial" w:hAnsi="Arial" w:cs="Arial"/>
                <w:color w:val="000000"/>
                <w:sz w:val="22"/>
                <w:szCs w:val="22"/>
              </w:rPr>
            </w:pPr>
            <w:r>
              <w:rPr>
                <w:rFonts w:ascii="Arial" w:eastAsia="Arial" w:hAnsi="Arial" w:cs="Arial"/>
                <w:b/>
                <w:bCs/>
                <w:color w:val="000000"/>
                <w:sz w:val="22"/>
                <w:szCs w:val="22"/>
              </w:rPr>
              <w:t>Place and Duration of Study:</w:t>
            </w:r>
            <w:r>
              <w:rPr>
                <w:rFonts w:ascii="Arial" w:eastAsia="Arial" w:hAnsi="Arial" w:cs="Arial"/>
                <w:color w:val="000000"/>
                <w:sz w:val="22"/>
                <w:szCs w:val="22"/>
              </w:rPr>
              <w:t xml:space="preserve"> Iloilo Doctors’ College, Iloilo City, Philippines, during the second semester of Academic Year 2025–2026, completed within three months.</w:t>
            </w:r>
          </w:p>
          <w:p w14:paraId="40DAE026" w14:textId="77777777" w:rsidR="00275909" w:rsidRDefault="00275909">
            <w:pPr>
              <w:rPr>
                <w:rFonts w:ascii="Arial" w:eastAsia="Arial" w:hAnsi="Arial" w:cs="Arial"/>
                <w:b/>
                <w:bCs/>
                <w:sz w:val="22"/>
                <w:szCs w:val="22"/>
              </w:rPr>
            </w:pPr>
          </w:p>
          <w:p w14:paraId="27D5F5B0" w14:textId="77777777" w:rsidR="00275909" w:rsidRDefault="00A768EA">
            <w:pPr>
              <w:rPr>
                <w:rFonts w:ascii="Arial" w:eastAsia="Arial" w:hAnsi="Arial" w:cs="Arial"/>
                <w:color w:val="000000"/>
                <w:sz w:val="22"/>
                <w:szCs w:val="22"/>
              </w:rPr>
            </w:pPr>
            <w:r>
              <w:rPr>
                <w:rFonts w:ascii="Arial" w:eastAsia="Arial" w:hAnsi="Arial" w:cs="Arial"/>
                <w:b/>
                <w:bCs/>
                <w:color w:val="000000"/>
                <w:sz w:val="22"/>
                <w:szCs w:val="22"/>
              </w:rPr>
              <w:t>Methodology:</w:t>
            </w:r>
            <w:r>
              <w:rPr>
                <w:rFonts w:ascii="Arial" w:eastAsia="Arial" w:hAnsi="Arial" w:cs="Arial"/>
                <w:color w:val="000000"/>
                <w:sz w:val="22"/>
                <w:szCs w:val="22"/>
              </w:rPr>
              <w:t xml:space="preserve"> The study included 275 third-year and fourth-year nursing students selected from a total population of 960 using stratified random sampling. Data were collected using self-administered questionnaires, specifically the Alzheimer’s Disease Knowledge Scale (ADKS) and the Dementia Attitude Scale (DAS). Ethical clearance was secured, and informed consent was obtained prior to data collection. Data were analyzed using descriptive statistics (frequency, percentage, and mean) and inferential statistics, including the Kolmogorov–Smirnov test for normality and Spearman’s Rho to determine the strength and direction of the relationship between knowledge and attitude.</w:t>
            </w:r>
          </w:p>
          <w:p w14:paraId="563F1948" w14:textId="77777777" w:rsidR="00275909" w:rsidRDefault="00275909">
            <w:pPr>
              <w:rPr>
                <w:rFonts w:ascii="Arial" w:eastAsia="Arial" w:hAnsi="Arial" w:cs="Arial"/>
                <w:b/>
                <w:bCs/>
                <w:sz w:val="22"/>
                <w:szCs w:val="22"/>
              </w:rPr>
            </w:pPr>
          </w:p>
          <w:p w14:paraId="4DB9CFC6" w14:textId="77777777" w:rsidR="00275909" w:rsidRDefault="00A768EA">
            <w:pPr>
              <w:rPr>
                <w:rFonts w:ascii="Arial" w:eastAsia="Arial" w:hAnsi="Arial" w:cs="Arial"/>
                <w:color w:val="000000"/>
                <w:sz w:val="22"/>
                <w:szCs w:val="22"/>
              </w:rPr>
            </w:pPr>
            <w:r>
              <w:rPr>
                <w:rFonts w:ascii="Arial" w:eastAsia="Arial" w:hAnsi="Arial" w:cs="Arial"/>
                <w:b/>
                <w:bCs/>
                <w:color w:val="000000"/>
                <w:sz w:val="22"/>
                <w:szCs w:val="22"/>
              </w:rPr>
              <w:t>Results:</w:t>
            </w:r>
            <w:r>
              <w:rPr>
                <w:rFonts w:ascii="Arial" w:eastAsia="Arial" w:hAnsi="Arial" w:cs="Arial"/>
                <w:color w:val="000000"/>
                <w:sz w:val="22"/>
                <w:szCs w:val="22"/>
              </w:rPr>
              <w:t xml:space="preserve"> Out of 275 respondents, 45.8% were third-year and 54.2% were fourth-year nursing students. The overall mean knowledge score was 18 out of 30, indicating a moderate level of knowledge, with 48% moderate, 32% low, and 20% high knowledge levels. The overall attitude mean score was 4.77 out of 7, reflecting a generally neutral attitude toward Alzheimer’s care. Statistical analysis revealed no significant relationship between overall knowledge and attitude (p = 0.864 &gt; 0.05). However, some domains showed weak positive correlations, with correlation coefficients ranging from </w:t>
            </w:r>
            <w:proofErr w:type="spellStart"/>
            <w:r>
              <w:rPr>
                <w:rFonts w:ascii="Arial" w:eastAsia="Arial" w:hAnsi="Arial" w:cs="Arial"/>
                <w:color w:val="000000"/>
                <w:sz w:val="22"/>
                <w:szCs w:val="22"/>
              </w:rPr>
              <w:t>r</w:t>
            </w:r>
            <w:r>
              <w:rPr>
                <w:rFonts w:ascii="Arial" w:eastAsia="Arial" w:hAnsi="Arial" w:cs="Arial"/>
                <w:color w:val="000000"/>
                <w:sz w:val="22"/>
                <w:szCs w:val="22"/>
                <w:vertAlign w:val="subscript"/>
              </w:rPr>
              <w:t>s</w:t>
            </w:r>
            <w:proofErr w:type="spellEnd"/>
            <w:r>
              <w:rPr>
                <w:rFonts w:ascii="Arial" w:eastAsia="Arial" w:hAnsi="Arial" w:cs="Arial"/>
                <w:color w:val="000000"/>
                <w:sz w:val="22"/>
                <w:szCs w:val="22"/>
                <w:vertAlign w:val="subscript"/>
              </w:rPr>
              <w:t xml:space="preserve"> </w:t>
            </w:r>
            <w:r>
              <w:rPr>
                <w:rFonts w:ascii="Arial" w:eastAsia="Arial" w:hAnsi="Arial" w:cs="Arial"/>
                <w:color w:val="000000"/>
                <w:sz w:val="22"/>
                <w:szCs w:val="22"/>
              </w:rPr>
              <w:t>= 0.131 to 0.208 (p &lt; 0.05).</w:t>
            </w:r>
          </w:p>
          <w:p w14:paraId="6C64B8FE" w14:textId="77777777" w:rsidR="00275909" w:rsidRDefault="00275909">
            <w:pPr>
              <w:rPr>
                <w:rFonts w:ascii="Arial" w:eastAsia="Arial" w:hAnsi="Arial" w:cs="Arial"/>
                <w:b/>
                <w:bCs/>
                <w:color w:val="000000"/>
                <w:sz w:val="22"/>
                <w:szCs w:val="22"/>
              </w:rPr>
            </w:pPr>
          </w:p>
          <w:p w14:paraId="6F19CED9" w14:textId="77777777" w:rsidR="00275909" w:rsidRDefault="00A768EA">
            <w:pPr>
              <w:rPr>
                <w:rFonts w:ascii="Arial" w:eastAsia="Arial" w:hAnsi="Arial" w:cs="Arial"/>
              </w:rPr>
            </w:pPr>
            <w:r>
              <w:rPr>
                <w:rFonts w:ascii="Arial" w:eastAsia="Arial" w:hAnsi="Arial" w:cs="Arial"/>
                <w:b/>
                <w:bCs/>
                <w:color w:val="000000"/>
                <w:sz w:val="22"/>
                <w:szCs w:val="22"/>
              </w:rPr>
              <w:lastRenderedPageBreak/>
              <w:t>Conclusion:</w:t>
            </w:r>
            <w:r>
              <w:rPr>
                <w:rFonts w:ascii="Arial" w:eastAsia="Arial" w:hAnsi="Arial" w:cs="Arial"/>
                <w:color w:val="000000"/>
                <w:sz w:val="22"/>
                <w:szCs w:val="22"/>
              </w:rPr>
              <w:t xml:space="preserve"> The study concludes that strengthening Alzheimer’s Disease–focused education and clinical exposure may enhance both the knowledge and attitude of nursing students. These findings emphasize the need for curriculum improvement and focused training programs to better prepare future nurses to deliver quality and compassionate Alzheimer’s care.</w:t>
            </w:r>
          </w:p>
        </w:tc>
      </w:tr>
    </w:tbl>
    <w:p w14:paraId="34C59001" w14:textId="77777777" w:rsidR="00275909" w:rsidRDefault="00275909">
      <w:pPr>
        <w:jc w:val="both"/>
        <w:rPr>
          <w:rFonts w:ascii="Arial" w:eastAsia="Arial" w:hAnsi="Arial" w:cs="Arial"/>
          <w:i/>
          <w:iCs/>
          <w:color w:val="000000"/>
        </w:rPr>
      </w:pPr>
    </w:p>
    <w:p w14:paraId="1A323A67" w14:textId="77777777" w:rsidR="00275909" w:rsidRDefault="00A768EA">
      <w:pPr>
        <w:rPr>
          <w:rFonts w:ascii="Arial" w:eastAsia="Arial" w:hAnsi="Arial" w:cs="Arial"/>
          <w:i/>
          <w:iCs/>
          <w:color w:val="000000"/>
        </w:rPr>
      </w:pPr>
      <w:r>
        <w:rPr>
          <w:rFonts w:ascii="Arial" w:eastAsia="Arial" w:hAnsi="Arial" w:cs="Arial"/>
          <w:i/>
          <w:iCs/>
          <w:color w:val="000000"/>
        </w:rPr>
        <w:t xml:space="preserve">Keywords: Alzheimer’s Disease, nursing students, knowledge, attitude, dementia </w:t>
      </w:r>
    </w:p>
    <w:p w14:paraId="13F73233" w14:textId="77777777" w:rsidR="00275909" w:rsidRDefault="00A768E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D4D8B86" w14:textId="77777777" w:rsidR="00275909" w:rsidRDefault="00275909">
      <w:pPr>
        <w:keepNext/>
        <w:jc w:val="both"/>
        <w:rPr>
          <w:rFonts w:ascii="Arial" w:eastAsia="Arial" w:hAnsi="Arial" w:cs="Arial"/>
          <w:b/>
          <w:bCs/>
          <w:smallCaps/>
          <w:color w:val="000000"/>
          <w:sz w:val="22"/>
          <w:szCs w:val="22"/>
        </w:rPr>
      </w:pPr>
    </w:p>
    <w:p w14:paraId="72EE419C" w14:textId="77777777" w:rsidR="00275909" w:rsidRDefault="00A768EA">
      <w:pPr>
        <w:jc w:val="both"/>
        <w:rPr>
          <w:rFonts w:ascii="Arial" w:eastAsia="Arial" w:hAnsi="Arial" w:cs="Arial"/>
        </w:rPr>
      </w:pPr>
      <w:r>
        <w:rPr>
          <w:rFonts w:ascii="Arial" w:eastAsia="Arial" w:hAnsi="Arial" w:cs="Arial"/>
        </w:rPr>
        <w:t xml:space="preserve">Alzheimer’s Disease (AD) is a progressive neurodegenerative disorder that gradually impairs memory, behavior, and thinking (Cleveland Clinic, 2025). Along with this, the aging of the world population has contributed to a rapid rise in the number of dementia cases, thus putting healthcare systems and caregivers under more stress. </w:t>
      </w:r>
    </w:p>
    <w:p w14:paraId="3957E4C6" w14:textId="77777777" w:rsidR="00275909" w:rsidRDefault="00275909">
      <w:pPr>
        <w:jc w:val="both"/>
        <w:rPr>
          <w:rFonts w:ascii="Arial" w:eastAsia="Arial" w:hAnsi="Arial" w:cs="Arial"/>
        </w:rPr>
      </w:pPr>
    </w:p>
    <w:p w14:paraId="7BF0575E" w14:textId="77777777" w:rsidR="00275909" w:rsidRDefault="00A768EA">
      <w:pPr>
        <w:jc w:val="both"/>
        <w:rPr>
          <w:rFonts w:ascii="Arial" w:eastAsia="Arial" w:hAnsi="Arial" w:cs="Arial"/>
        </w:rPr>
      </w:pPr>
      <w:r>
        <w:rPr>
          <w:rFonts w:ascii="Arial" w:eastAsia="Arial" w:hAnsi="Arial" w:cs="Arial"/>
        </w:rPr>
        <w:t>Comparisons have shown that knowledge levels of geriatric healthcare students, nursing students, and practicing nurses are all low and similar, which points to the urgent need for educational reform (Ozpulat et al., 2023). Caring for patients with AD requires patience, as managing their condition can often be challenging. Therefore, sufficient knowledge and positive attitudes among nurses, especially nursing students, are crucial in delivering effective, compassionate, and person-centered care (</w:t>
      </w:r>
      <w:proofErr w:type="spellStart"/>
      <w:r>
        <w:rPr>
          <w:rFonts w:ascii="Arial" w:eastAsia="Arial" w:hAnsi="Arial" w:cs="Arial"/>
        </w:rPr>
        <w:t>Aljezawi</w:t>
      </w:r>
      <w:proofErr w:type="spellEnd"/>
      <w:r>
        <w:rPr>
          <w:rFonts w:ascii="Arial" w:eastAsia="Arial" w:hAnsi="Arial" w:cs="Arial"/>
        </w:rPr>
        <w:t xml:space="preserve"> et al., 2022).</w:t>
      </w:r>
    </w:p>
    <w:p w14:paraId="4E54B060" w14:textId="77777777" w:rsidR="00275909" w:rsidRDefault="00275909">
      <w:pPr>
        <w:jc w:val="both"/>
        <w:rPr>
          <w:rFonts w:ascii="Arial" w:eastAsia="Arial" w:hAnsi="Arial" w:cs="Arial"/>
        </w:rPr>
      </w:pPr>
    </w:p>
    <w:p w14:paraId="21FF3D33" w14:textId="77777777" w:rsidR="00275909" w:rsidRDefault="00A768EA">
      <w:pPr>
        <w:jc w:val="both"/>
        <w:rPr>
          <w:rFonts w:ascii="Arial" w:eastAsia="Arial" w:hAnsi="Arial" w:cs="Arial"/>
        </w:rPr>
      </w:pPr>
      <w:r>
        <w:rPr>
          <w:rFonts w:ascii="Arial" w:eastAsia="Arial" w:hAnsi="Arial" w:cs="Arial"/>
        </w:rPr>
        <w:t>A survey in Jordan among 275 nursing students in undergraduate nursing courses indicated less than satisfactory knowledge but generally good attitudes toward patients suffering from AD. The attitudes were similar across all academic levels; nevertheless, an overwhelming 90.5% of students showed a keen interest in formal instruction on the subject. The authors noted that providing training to improve knowledge of dementia would not only positively influence attitudes but also be conducive to the learning process (</w:t>
      </w:r>
      <w:proofErr w:type="spellStart"/>
      <w:r>
        <w:rPr>
          <w:rFonts w:ascii="Arial" w:eastAsia="Arial" w:hAnsi="Arial" w:cs="Arial"/>
        </w:rPr>
        <w:t>Aljezawi</w:t>
      </w:r>
      <w:proofErr w:type="spellEnd"/>
      <w:r>
        <w:rPr>
          <w:rFonts w:ascii="Arial" w:eastAsia="Arial" w:hAnsi="Arial" w:cs="Arial"/>
        </w:rPr>
        <w:t xml:space="preserve"> et al., 2022).</w:t>
      </w:r>
    </w:p>
    <w:p w14:paraId="57DB9DB3" w14:textId="77777777" w:rsidR="00275909" w:rsidRDefault="00275909">
      <w:pPr>
        <w:jc w:val="both"/>
        <w:rPr>
          <w:rFonts w:ascii="Arial" w:eastAsia="Arial" w:hAnsi="Arial" w:cs="Arial"/>
        </w:rPr>
      </w:pPr>
    </w:p>
    <w:p w14:paraId="1F3DC381" w14:textId="77777777" w:rsidR="00275909" w:rsidRDefault="00A768EA">
      <w:pPr>
        <w:jc w:val="both"/>
        <w:rPr>
          <w:rFonts w:ascii="Arial" w:eastAsia="Arial" w:hAnsi="Arial" w:cs="Arial"/>
        </w:rPr>
      </w:pPr>
      <w:r>
        <w:rPr>
          <w:rFonts w:ascii="Arial" w:eastAsia="Arial" w:hAnsi="Arial" w:cs="Arial"/>
        </w:rPr>
        <w:t>In the Philippines, support for people with dementia mostly comes from relatives; at the same time, many of whom lack proper training or support. Filipino caregivers of dementia patients who are admitted for other health reasons demonstrate inconsistencies in knowledge and a mix of feelings, including empathy and doubt, similar to findings in other contexts. These findings highlight the need for improved caregiver education and support within hospital settings to ensure quality dementia care (Tan &amp; Orteza, 2024).</w:t>
      </w:r>
    </w:p>
    <w:p w14:paraId="1F81FFC9" w14:textId="77777777" w:rsidR="00275909" w:rsidRDefault="00275909">
      <w:pPr>
        <w:jc w:val="both"/>
        <w:rPr>
          <w:rFonts w:ascii="Arial" w:eastAsia="Arial" w:hAnsi="Arial" w:cs="Arial"/>
        </w:rPr>
      </w:pPr>
    </w:p>
    <w:p w14:paraId="593E8647" w14:textId="77777777" w:rsidR="00275909" w:rsidRDefault="00A768EA">
      <w:pPr>
        <w:jc w:val="both"/>
        <w:rPr>
          <w:rFonts w:ascii="Arial" w:eastAsia="Arial" w:hAnsi="Arial" w:cs="Arial"/>
        </w:rPr>
      </w:pPr>
      <w:r>
        <w:rPr>
          <w:rFonts w:ascii="Arial" w:eastAsia="Arial" w:hAnsi="Arial" w:cs="Arial"/>
        </w:rPr>
        <w:t>While international studies have explored the understanding of AD, there is still limited research specifically in the Philippines, particularly in regional nursing schools such as those in the Visayas and Mindanao. The understanding and cultural context of Filipino nursing students affect how AD is understood and approached (Tan &amp; Orteza, 2024). With this, nursing students’ understanding of AD remains under-researched and warrants further study.</w:t>
      </w:r>
    </w:p>
    <w:p w14:paraId="4EB23DD7" w14:textId="77777777" w:rsidR="00275909" w:rsidRDefault="00275909">
      <w:pPr>
        <w:jc w:val="both"/>
        <w:rPr>
          <w:rFonts w:ascii="Arial" w:eastAsia="Arial" w:hAnsi="Arial" w:cs="Arial"/>
        </w:rPr>
      </w:pPr>
    </w:p>
    <w:p w14:paraId="26FB3819" w14:textId="77777777" w:rsidR="00275909" w:rsidRDefault="00A768EA">
      <w:pPr>
        <w:jc w:val="both"/>
        <w:rPr>
          <w:rFonts w:ascii="Arial" w:eastAsia="Arial" w:hAnsi="Arial" w:cs="Arial"/>
        </w:rPr>
      </w:pPr>
      <w:r>
        <w:rPr>
          <w:rFonts w:ascii="Arial" w:eastAsia="Arial" w:hAnsi="Arial" w:cs="Arial"/>
        </w:rPr>
        <w:t>Given these concerns, it is necessary to examine the existing level of knowledge and attitudes of nursing students to determine areas that require improvement. By identifying these gaps, this study provides evidence that can guide curriculum enhancement, strengthen clinical training, and develop targeted programs that better prepare future nurses to deliver safe and compassionate care to patients with AD.</w:t>
      </w:r>
    </w:p>
    <w:p w14:paraId="0EA3EC81" w14:textId="77777777" w:rsidR="00275909" w:rsidRDefault="00275909">
      <w:pPr>
        <w:jc w:val="both"/>
        <w:rPr>
          <w:rFonts w:ascii="Arial" w:eastAsia="Arial" w:hAnsi="Arial" w:cs="Arial"/>
        </w:rPr>
      </w:pPr>
    </w:p>
    <w:p w14:paraId="41B4C709" w14:textId="77777777" w:rsidR="00275909" w:rsidRDefault="00A768EA">
      <w:pPr>
        <w:jc w:val="both"/>
        <w:rPr>
          <w:rFonts w:ascii="Arial" w:eastAsia="Arial" w:hAnsi="Arial" w:cs="Arial"/>
        </w:rPr>
      </w:pPr>
      <w:r>
        <w:rPr>
          <w:rFonts w:ascii="Arial" w:eastAsia="Arial" w:hAnsi="Arial" w:cs="Arial"/>
        </w:rPr>
        <w:t xml:space="preserve">Thus, this study aims to examine the knowledge and attitude of third-year and fourth-year nursing students toward caring for patients with AD. Furthermore, this research is aligned with United Nations Sustainable Development Goals (SDG) 3, which focuses on Good Health and Well-Being, because nursing students’ knowledge and attitudes directly affect the quality of care given to patients with AD. As future nurses, their competence and compassionate attitudes help promote patient well-being, ensure safe care, and support outcomes for </w:t>
      </w:r>
      <w:r>
        <w:rPr>
          <w:rFonts w:ascii="Arial" w:eastAsia="Arial" w:hAnsi="Arial" w:cs="Arial"/>
        </w:rPr>
        <w:lastRenderedPageBreak/>
        <w:t>vulnerable populations. This study highlights how knowledge and attitudes contribute to the standard of care that student nurses provide to patients with AD, offering locally grounded insights.</w:t>
      </w:r>
    </w:p>
    <w:p w14:paraId="4F448A9F" w14:textId="77777777" w:rsidR="00275909" w:rsidRDefault="00275909">
      <w:pPr>
        <w:jc w:val="both"/>
        <w:rPr>
          <w:rFonts w:ascii="Arial" w:eastAsia="Arial" w:hAnsi="Arial" w:cs="Arial"/>
        </w:rPr>
      </w:pPr>
    </w:p>
    <w:p w14:paraId="1386D440" w14:textId="77777777" w:rsidR="00275909" w:rsidRDefault="00275909">
      <w:pPr>
        <w:jc w:val="both"/>
        <w:rPr>
          <w:rFonts w:ascii="Arial" w:eastAsia="Arial" w:hAnsi="Arial" w:cs="Arial"/>
        </w:rPr>
      </w:pPr>
    </w:p>
    <w:p w14:paraId="3689509A" w14:textId="77777777" w:rsidR="00275909" w:rsidRDefault="00275909">
      <w:pPr>
        <w:jc w:val="both"/>
        <w:rPr>
          <w:rFonts w:ascii="Arial" w:eastAsia="Arial" w:hAnsi="Arial" w:cs="Arial"/>
        </w:rPr>
      </w:pPr>
    </w:p>
    <w:p w14:paraId="4CE5E402" w14:textId="77777777" w:rsidR="00275909" w:rsidRDefault="00A768EA">
      <w:pPr>
        <w:keepNext/>
        <w:numPr>
          <w:ilvl w:val="0"/>
          <w:numId w:val="1"/>
        </w:numPr>
        <w:jc w:val="both"/>
        <w:rPr>
          <w:rFonts w:ascii="Arial" w:eastAsia="Arial" w:hAnsi="Arial" w:cs="Arial"/>
          <w:b/>
          <w:bCs/>
          <w:smallCaps/>
          <w:sz w:val="22"/>
          <w:szCs w:val="22"/>
        </w:rPr>
      </w:pPr>
      <w:r>
        <w:rPr>
          <w:rFonts w:ascii="Arial" w:eastAsia="Arial" w:hAnsi="Arial" w:cs="Arial"/>
          <w:b/>
          <w:bCs/>
          <w:smallCaps/>
          <w:sz w:val="22"/>
          <w:szCs w:val="22"/>
        </w:rPr>
        <w:t>LITERATURE REVIEW</w:t>
      </w:r>
    </w:p>
    <w:p w14:paraId="2A69062E" w14:textId="77777777" w:rsidR="00275909" w:rsidRDefault="00275909">
      <w:pPr>
        <w:keepNext/>
        <w:jc w:val="both"/>
        <w:rPr>
          <w:rFonts w:ascii="Arial" w:eastAsia="Arial" w:hAnsi="Arial" w:cs="Arial"/>
          <w:b/>
          <w:bCs/>
          <w:smallCaps/>
          <w:sz w:val="22"/>
          <w:szCs w:val="22"/>
        </w:rPr>
      </w:pPr>
    </w:p>
    <w:p w14:paraId="1A1EEA4E" w14:textId="77777777" w:rsidR="00275909" w:rsidRDefault="00A768EA">
      <w:pPr>
        <w:keepNext/>
        <w:jc w:val="both"/>
        <w:rPr>
          <w:rFonts w:ascii="Arial" w:eastAsia="Arial" w:hAnsi="Arial" w:cs="Arial"/>
          <w:color w:val="131413"/>
          <w:lang w:val="en-US"/>
        </w:rPr>
      </w:pPr>
      <w:r>
        <w:rPr>
          <w:rFonts w:ascii="Arial" w:eastAsia="Arial" w:hAnsi="Arial" w:cs="Arial"/>
          <w:color w:val="131413"/>
          <w:lang w:val="en-US"/>
        </w:rPr>
        <w:t>AD</w:t>
      </w:r>
      <w:r>
        <w:rPr>
          <w:rFonts w:ascii="Arial" w:eastAsia="Arial" w:hAnsi="Arial" w:cs="Arial"/>
          <w:color w:val="131413"/>
        </w:rPr>
        <w:t xml:space="preserve"> is a progressive neurodegenerative disorder and the most common cause of dementia, contributing to approximately 60–70% of global dementia cases. It is characterized by progressive cognitive decline, memory impairment, and deterioration in functional abilities, ultimately leading to complete dependence on caregivers. </w:t>
      </w:r>
      <w:r>
        <w:rPr>
          <w:rFonts w:ascii="Arial" w:eastAsia="Arial" w:hAnsi="Arial" w:cs="Arial"/>
          <w:color w:val="131413"/>
          <w:lang w:val="en-US"/>
        </w:rPr>
        <w:t>Additionally, AD is associated with significant neurological changes, including the accumulation of amyloid-beta plaques and neurofibrillary tangles, which contribute to neuronal damage and brain atrophy (National Institute on Aging, 2025). The increasing prevalence of AD, largely driven by population aging, presents substantial challenges to healthcare systems worldwide. This growing burden underscores the need for a well-prepared healthcare workforce to effectively respond to the complex care demands associated with the disease</w:t>
      </w:r>
      <w:r>
        <w:rPr>
          <w:rFonts w:ascii="Arial" w:eastAsia="Arial" w:hAnsi="Arial" w:cs="Arial"/>
          <w:color w:val="131413"/>
        </w:rPr>
        <w:t xml:space="preserve"> (World Health Organization, 2023)</w:t>
      </w:r>
      <w:r>
        <w:rPr>
          <w:rFonts w:ascii="Arial" w:eastAsia="Arial" w:hAnsi="Arial" w:cs="Arial"/>
          <w:color w:val="131413"/>
          <w:lang w:val="en-US"/>
        </w:rPr>
        <w:t>.</w:t>
      </w:r>
    </w:p>
    <w:p w14:paraId="2F0F72C7" w14:textId="77777777" w:rsidR="00275909" w:rsidRDefault="00275909">
      <w:pPr>
        <w:keepNext/>
        <w:jc w:val="both"/>
        <w:rPr>
          <w:rFonts w:ascii="Arial" w:eastAsia="Arial" w:hAnsi="Arial" w:cs="Arial"/>
          <w:color w:val="131413"/>
        </w:rPr>
      </w:pPr>
    </w:p>
    <w:p w14:paraId="7EB2F7DC" w14:textId="77777777" w:rsidR="00275909" w:rsidRDefault="00A768EA">
      <w:pPr>
        <w:keepNext/>
        <w:jc w:val="both"/>
        <w:rPr>
          <w:rFonts w:ascii="Arial" w:eastAsia="Arial" w:hAnsi="Arial" w:cs="Arial"/>
          <w:color w:val="131413"/>
        </w:rPr>
      </w:pPr>
      <w:r>
        <w:rPr>
          <w:rFonts w:ascii="Arial" w:eastAsia="Arial" w:hAnsi="Arial" w:cs="Arial"/>
          <w:color w:val="131413"/>
        </w:rPr>
        <w:t>Nurses play a central role in the management and care of individuals with AD, particularly in providing long-term support, patient education, and family guidance. Consequently, nursing students must be equipped with adequate knowledge and foster positive attitudes toward dementia care. However, previous studies indicate variability in both knowledge and attitudes across different populations and educational settings.</w:t>
      </w:r>
    </w:p>
    <w:p w14:paraId="32DB9C46" w14:textId="77777777" w:rsidR="00275909" w:rsidRDefault="00275909">
      <w:pPr>
        <w:keepNext/>
        <w:jc w:val="both"/>
        <w:rPr>
          <w:rFonts w:ascii="Arial" w:eastAsia="Arial" w:hAnsi="Arial" w:cs="Arial"/>
          <w:color w:val="131413"/>
        </w:rPr>
      </w:pPr>
    </w:p>
    <w:p w14:paraId="2E06EBE4" w14:textId="77777777" w:rsidR="00275909" w:rsidRDefault="00A768EA">
      <w:pPr>
        <w:keepNext/>
        <w:jc w:val="both"/>
        <w:rPr>
          <w:rFonts w:ascii="Arial" w:eastAsia="Arial" w:hAnsi="Arial" w:cs="Arial"/>
          <w:color w:val="131413"/>
        </w:rPr>
      </w:pPr>
      <w:r>
        <w:rPr>
          <w:rFonts w:ascii="Arial" w:eastAsia="Arial" w:hAnsi="Arial" w:cs="Arial"/>
          <w:color w:val="131413"/>
        </w:rPr>
        <w:t>Existing literature consistently reports insufficient knowledge of A</w:t>
      </w:r>
      <w:r>
        <w:rPr>
          <w:rFonts w:ascii="Arial" w:eastAsia="Arial" w:hAnsi="Arial" w:cs="Arial"/>
          <w:color w:val="131413"/>
          <w:lang w:val="en-US"/>
        </w:rPr>
        <w:t>D</w:t>
      </w:r>
      <w:r>
        <w:rPr>
          <w:rFonts w:ascii="Arial" w:eastAsia="Arial" w:hAnsi="Arial" w:cs="Arial"/>
          <w:color w:val="131413"/>
        </w:rPr>
        <w:t xml:space="preserve"> among both general populations and healthcare-related groups. Community-based studies demonstrate particularly low awareness in critical domains such as symptom recognition and caregiving practices. For instance, a study conducted in China revealed low levels of knowledge in symptom recognition and caregiving, indicating gaps that may delay diagnosis and intervention (Wang et al., 2021).</w:t>
      </w:r>
    </w:p>
    <w:p w14:paraId="5A946816" w14:textId="77777777" w:rsidR="00275909" w:rsidRDefault="00275909">
      <w:pPr>
        <w:keepNext/>
        <w:jc w:val="both"/>
        <w:rPr>
          <w:rFonts w:ascii="Arial" w:eastAsia="Arial" w:hAnsi="Arial" w:cs="Arial"/>
          <w:color w:val="131413"/>
        </w:rPr>
      </w:pPr>
    </w:p>
    <w:p w14:paraId="0A6A012B" w14:textId="77777777" w:rsidR="00275909" w:rsidRDefault="00A768EA">
      <w:pPr>
        <w:keepNext/>
        <w:jc w:val="both"/>
        <w:rPr>
          <w:rFonts w:ascii="Arial" w:eastAsia="Arial" w:hAnsi="Arial" w:cs="Arial"/>
          <w:color w:val="131413"/>
        </w:rPr>
      </w:pPr>
      <w:r>
        <w:rPr>
          <w:rFonts w:ascii="Arial" w:eastAsia="Arial" w:hAnsi="Arial" w:cs="Arial"/>
          <w:color w:val="131413"/>
        </w:rPr>
        <w:t>Similarly, research in Saudi Arabia found that only 18.9% of participants demonstrated adequate knowledge, with notable deficiencies in understanding risk factors and disease progression (Alzahrani et al., 2020). These findings highlight the need for improved public health education on dementia.</w:t>
      </w:r>
    </w:p>
    <w:p w14:paraId="1FBB74B0" w14:textId="77777777" w:rsidR="00275909" w:rsidRDefault="00275909">
      <w:pPr>
        <w:keepNext/>
        <w:jc w:val="both"/>
        <w:rPr>
          <w:rFonts w:ascii="Arial" w:eastAsia="Arial" w:hAnsi="Arial" w:cs="Arial"/>
          <w:color w:val="131413"/>
        </w:rPr>
      </w:pPr>
    </w:p>
    <w:p w14:paraId="757841E6" w14:textId="77777777" w:rsidR="00275909" w:rsidRDefault="00A768EA">
      <w:pPr>
        <w:keepNext/>
        <w:jc w:val="both"/>
        <w:rPr>
          <w:rFonts w:ascii="Arial" w:eastAsia="Arial" w:hAnsi="Arial" w:cs="Arial"/>
          <w:color w:val="131413"/>
        </w:rPr>
      </w:pPr>
      <w:r>
        <w:rPr>
          <w:rFonts w:ascii="Arial" w:eastAsia="Arial" w:hAnsi="Arial" w:cs="Arial"/>
          <w:color w:val="131413"/>
        </w:rPr>
        <w:t>In contrast, studies among healthcare students show relatively higher knowledge levels. Research conducted among Egyptian medical students reported that 70.8% demonstrated good knowledge, particularly in treatment and management; however, caregiving knowledge remained limited (Samir et al., 2025). This suggests that formal education may emphasize theoretical concepts over practical caregiving skills.</w:t>
      </w:r>
    </w:p>
    <w:p w14:paraId="21851D14" w14:textId="77777777" w:rsidR="00275909" w:rsidRDefault="00275909">
      <w:pPr>
        <w:keepNext/>
        <w:jc w:val="both"/>
        <w:rPr>
          <w:rFonts w:ascii="Arial" w:eastAsia="Arial" w:hAnsi="Arial" w:cs="Arial"/>
          <w:color w:val="131413"/>
        </w:rPr>
      </w:pPr>
    </w:p>
    <w:p w14:paraId="0AB939F2" w14:textId="77777777" w:rsidR="00275909" w:rsidRDefault="00A768EA">
      <w:pPr>
        <w:keepNext/>
        <w:jc w:val="both"/>
        <w:rPr>
          <w:rFonts w:ascii="Arial" w:eastAsia="Arial" w:hAnsi="Arial" w:cs="Arial"/>
          <w:color w:val="131413"/>
        </w:rPr>
      </w:pPr>
      <w:r>
        <w:rPr>
          <w:rFonts w:ascii="Arial" w:eastAsia="Arial" w:hAnsi="Arial" w:cs="Arial"/>
          <w:color w:val="131413"/>
        </w:rPr>
        <w:t xml:space="preserve">Despite gaps in knowledge, attitudes toward individuals with </w:t>
      </w:r>
      <w:r>
        <w:rPr>
          <w:rFonts w:ascii="Arial" w:eastAsia="Arial" w:hAnsi="Arial" w:cs="Arial"/>
          <w:color w:val="131413"/>
          <w:lang w:val="en-US"/>
        </w:rPr>
        <w:t>AD</w:t>
      </w:r>
      <w:r>
        <w:rPr>
          <w:rFonts w:ascii="Arial" w:eastAsia="Arial" w:hAnsi="Arial" w:cs="Arial"/>
          <w:color w:val="131413"/>
        </w:rPr>
        <w:t xml:space="preserve"> are generally positive. Nursing students often demonstrate empathy, willingness to care, and recognition of the importance of supporting individuals with dementia.</w:t>
      </w:r>
    </w:p>
    <w:p w14:paraId="7EF0BCCC" w14:textId="77777777" w:rsidR="00275909" w:rsidRDefault="00275909">
      <w:pPr>
        <w:keepNext/>
        <w:jc w:val="both"/>
        <w:rPr>
          <w:rFonts w:ascii="Arial" w:eastAsia="Arial" w:hAnsi="Arial" w:cs="Arial"/>
          <w:color w:val="131413"/>
        </w:rPr>
      </w:pPr>
    </w:p>
    <w:p w14:paraId="7487CDAD" w14:textId="77777777" w:rsidR="00275909" w:rsidRDefault="00A768EA">
      <w:pPr>
        <w:keepNext/>
        <w:jc w:val="both"/>
        <w:rPr>
          <w:rFonts w:ascii="Arial" w:eastAsia="Arial" w:hAnsi="Arial" w:cs="Arial"/>
          <w:color w:val="131413"/>
        </w:rPr>
      </w:pPr>
      <w:r>
        <w:rPr>
          <w:rFonts w:ascii="Arial" w:eastAsia="Arial" w:hAnsi="Arial" w:cs="Arial"/>
          <w:color w:val="131413"/>
        </w:rPr>
        <w:t xml:space="preserve">A study among nursing students in Jordan reported favorable attitudes despite limited knowledge, suggesting that attitudes may be influenced by ethical values and personal beliefs rather than knowledge alone (Alzheimer’s Association, 2022; </w:t>
      </w:r>
      <w:proofErr w:type="spellStart"/>
      <w:r>
        <w:rPr>
          <w:rFonts w:ascii="Arial" w:eastAsia="Arial" w:hAnsi="Arial" w:cs="Arial"/>
          <w:color w:val="131413"/>
        </w:rPr>
        <w:t>Aljezawi</w:t>
      </w:r>
      <w:proofErr w:type="spellEnd"/>
      <w:r>
        <w:rPr>
          <w:rFonts w:ascii="Arial" w:eastAsia="Arial" w:hAnsi="Arial" w:cs="Arial"/>
          <w:color w:val="131413"/>
        </w:rPr>
        <w:t xml:space="preserve"> et al., 2022). Similar findings were observed in studies conducted in Saudi Arabia and Indonesia, where students </w:t>
      </w:r>
      <w:r>
        <w:rPr>
          <w:rFonts w:ascii="Arial" w:eastAsia="Arial" w:hAnsi="Arial" w:cs="Arial"/>
          <w:color w:val="131413"/>
        </w:rPr>
        <w:lastRenderedPageBreak/>
        <w:t xml:space="preserve">maintained positive attitudes even with insufficient knowledge (Alotaibi et al., 2024; </w:t>
      </w:r>
      <w:proofErr w:type="spellStart"/>
      <w:r>
        <w:rPr>
          <w:rFonts w:ascii="Arial" w:eastAsia="Arial" w:hAnsi="Arial" w:cs="Arial"/>
          <w:color w:val="131413"/>
        </w:rPr>
        <w:t>Aljezawi</w:t>
      </w:r>
      <w:proofErr w:type="spellEnd"/>
      <w:r>
        <w:rPr>
          <w:rFonts w:ascii="Arial" w:eastAsia="Arial" w:hAnsi="Arial" w:cs="Arial"/>
          <w:color w:val="131413"/>
        </w:rPr>
        <w:t xml:space="preserve"> et al., 2020).</w:t>
      </w:r>
    </w:p>
    <w:p w14:paraId="18EA5186" w14:textId="77777777" w:rsidR="00275909" w:rsidRDefault="00275909">
      <w:pPr>
        <w:keepNext/>
        <w:jc w:val="both"/>
        <w:rPr>
          <w:rFonts w:ascii="Arial" w:eastAsia="Arial" w:hAnsi="Arial" w:cs="Arial"/>
          <w:color w:val="131413"/>
        </w:rPr>
      </w:pPr>
    </w:p>
    <w:p w14:paraId="704635E7" w14:textId="77777777" w:rsidR="00275909" w:rsidRDefault="00A768EA">
      <w:pPr>
        <w:keepNext/>
        <w:jc w:val="both"/>
        <w:rPr>
          <w:rFonts w:ascii="Arial" w:eastAsia="Arial" w:hAnsi="Arial" w:cs="Arial"/>
          <w:color w:val="131413"/>
        </w:rPr>
      </w:pPr>
      <w:r>
        <w:rPr>
          <w:rFonts w:ascii="Arial" w:eastAsia="Arial" w:hAnsi="Arial" w:cs="Arial"/>
          <w:color w:val="131413"/>
        </w:rPr>
        <w:t xml:space="preserve">However, some studies report uncertainty and lack of confidence in managing behavioral symptoms of AD, indicating that positive attitudes do not necessarily equate to clinical preparedness. The relationship between knowledge and attitudes toward </w:t>
      </w:r>
      <w:r>
        <w:rPr>
          <w:rFonts w:ascii="Arial" w:eastAsia="Arial" w:hAnsi="Arial" w:cs="Arial"/>
          <w:color w:val="131413"/>
          <w:lang w:val="en-US"/>
        </w:rPr>
        <w:t>AD</w:t>
      </w:r>
      <w:r>
        <w:rPr>
          <w:rFonts w:ascii="Arial" w:eastAsia="Arial" w:hAnsi="Arial" w:cs="Arial"/>
          <w:color w:val="131413"/>
        </w:rPr>
        <w:t xml:space="preserve"> remains inconsistent. Several studies report no significant association between the two variables. For example, nursing students may demonstrate positive attitudes despite limited knowledge, suggesting that cultural and experiential factors play a role (</w:t>
      </w:r>
      <w:proofErr w:type="spellStart"/>
      <w:r>
        <w:rPr>
          <w:rFonts w:ascii="Arial" w:eastAsia="Arial" w:hAnsi="Arial" w:cs="Arial"/>
          <w:color w:val="131413"/>
        </w:rPr>
        <w:t>Aljezawi</w:t>
      </w:r>
      <w:proofErr w:type="spellEnd"/>
      <w:r>
        <w:rPr>
          <w:rFonts w:ascii="Arial" w:eastAsia="Arial" w:hAnsi="Arial" w:cs="Arial"/>
          <w:color w:val="131413"/>
        </w:rPr>
        <w:t xml:space="preserve"> et al., 2022).</w:t>
      </w:r>
    </w:p>
    <w:p w14:paraId="508ECFE9" w14:textId="77777777" w:rsidR="00275909" w:rsidRDefault="00275909">
      <w:pPr>
        <w:keepNext/>
        <w:jc w:val="both"/>
        <w:rPr>
          <w:rFonts w:ascii="Arial" w:eastAsia="Arial" w:hAnsi="Arial" w:cs="Arial"/>
          <w:color w:val="131413"/>
        </w:rPr>
      </w:pPr>
    </w:p>
    <w:p w14:paraId="11CAF431" w14:textId="77777777" w:rsidR="00275909" w:rsidRDefault="00A768EA">
      <w:pPr>
        <w:keepNext/>
        <w:jc w:val="both"/>
        <w:rPr>
          <w:rFonts w:ascii="Arial" w:eastAsia="Arial" w:hAnsi="Arial" w:cs="Arial"/>
          <w:color w:val="131413"/>
        </w:rPr>
      </w:pPr>
      <w:r>
        <w:rPr>
          <w:rFonts w:ascii="Arial" w:eastAsia="Arial" w:hAnsi="Arial" w:cs="Arial"/>
          <w:color w:val="131413"/>
        </w:rPr>
        <w:t>Similarly, studies conducted in Lebanon and Saudi Arabia indicate that individuals can maintain supportive attitudes despite inadequate knowledge (Alzahrani et al., 2021). Conversely, other studies report a positive correlation. Research conducted in the Philippines among caregivers and nurses found that higher knowledge levels were associated with more favorable attitudes and improved caregiving practices (Tan &amp; Orteza, 2024)</w:t>
      </w:r>
    </w:p>
    <w:p w14:paraId="3206A769" w14:textId="77777777" w:rsidR="00275909" w:rsidRDefault="00275909">
      <w:pPr>
        <w:keepNext/>
        <w:jc w:val="both"/>
        <w:rPr>
          <w:rFonts w:ascii="Arial" w:eastAsia="Arial" w:hAnsi="Arial" w:cs="Arial"/>
          <w:color w:val="131413"/>
        </w:rPr>
      </w:pPr>
    </w:p>
    <w:p w14:paraId="4451360B" w14:textId="77777777" w:rsidR="00275909" w:rsidRDefault="00A768EA">
      <w:pPr>
        <w:keepNext/>
        <w:jc w:val="both"/>
        <w:rPr>
          <w:rFonts w:ascii="Arial" w:eastAsia="Arial" w:hAnsi="Arial" w:cs="Arial"/>
          <w:color w:val="131413"/>
        </w:rPr>
      </w:pPr>
      <w:r>
        <w:rPr>
          <w:rFonts w:ascii="Arial" w:eastAsia="Arial" w:hAnsi="Arial" w:cs="Arial"/>
          <w:color w:val="131413"/>
        </w:rPr>
        <w:t>Additionally, demographic factors such as age, education, and caregiving experience were found to influence both knowledge and attitudes. These inconsistencies suggest that the relationship between knowledge and attitude is complex and influenced by multiple contextual factors.</w:t>
      </w:r>
    </w:p>
    <w:p w14:paraId="7A932819" w14:textId="77777777" w:rsidR="00275909" w:rsidRDefault="00275909">
      <w:pPr>
        <w:keepNext/>
        <w:jc w:val="both"/>
        <w:rPr>
          <w:rFonts w:ascii="Arial" w:eastAsia="Arial" w:hAnsi="Arial" w:cs="Arial"/>
          <w:color w:val="131413"/>
        </w:rPr>
      </w:pPr>
    </w:p>
    <w:p w14:paraId="7A763AB1" w14:textId="77777777" w:rsidR="00275909" w:rsidRDefault="00A768EA">
      <w:pPr>
        <w:keepNext/>
        <w:jc w:val="both"/>
        <w:rPr>
          <w:rFonts w:ascii="Arial" w:eastAsia="Arial" w:hAnsi="Arial" w:cs="Arial"/>
          <w:color w:val="131413"/>
        </w:rPr>
      </w:pPr>
      <w:r>
        <w:rPr>
          <w:rFonts w:ascii="Arial" w:eastAsia="Arial" w:hAnsi="Arial" w:cs="Arial"/>
          <w:color w:val="131413"/>
          <w:lang w:val="en-US"/>
        </w:rPr>
        <w:t>L</w:t>
      </w:r>
      <w:proofErr w:type="spellStart"/>
      <w:r>
        <w:rPr>
          <w:rFonts w:ascii="Arial" w:eastAsia="Arial" w:hAnsi="Arial" w:cs="Arial"/>
          <w:color w:val="131413"/>
        </w:rPr>
        <w:t>iterature</w:t>
      </w:r>
      <w:proofErr w:type="spellEnd"/>
      <w:r>
        <w:rPr>
          <w:rFonts w:ascii="Arial" w:eastAsia="Arial" w:hAnsi="Arial" w:cs="Arial"/>
          <w:color w:val="131413"/>
        </w:rPr>
        <w:t xml:space="preserve"> reveals three key patterns. First, knowledge of A</w:t>
      </w:r>
      <w:r>
        <w:rPr>
          <w:rFonts w:ascii="Arial" w:eastAsia="Arial" w:hAnsi="Arial" w:cs="Arial"/>
          <w:color w:val="131413"/>
          <w:lang w:val="en-US"/>
        </w:rPr>
        <w:t>D</w:t>
      </w:r>
      <w:r>
        <w:rPr>
          <w:rFonts w:ascii="Arial" w:eastAsia="Arial" w:hAnsi="Arial" w:cs="Arial"/>
          <w:color w:val="131413"/>
        </w:rPr>
        <w:t xml:space="preserve"> remains insufficient, particularly in caregiving domains. Second, attitudes toward individuals with AD are generally positive, especially among nursing students. Third, the relationship between knowledge and attitudes is inconsistent and influenced by various external factors. Several studies emphasize the importance of integrating dementia-specific education and clinical exposure into nursing curricula. Structured training and experiential learning have been shown to improve both knowledge and attitudes, enhancing readiness for dementia care (Sun et al., 2024). </w:t>
      </w:r>
    </w:p>
    <w:p w14:paraId="24B6A2FF" w14:textId="77777777" w:rsidR="00275909" w:rsidRDefault="00275909">
      <w:pPr>
        <w:keepNext/>
        <w:jc w:val="both"/>
        <w:rPr>
          <w:rFonts w:ascii="Arial" w:eastAsia="Arial" w:hAnsi="Arial" w:cs="Arial"/>
          <w:color w:val="131413"/>
        </w:rPr>
      </w:pPr>
    </w:p>
    <w:p w14:paraId="0D97CC82" w14:textId="77777777" w:rsidR="00275909" w:rsidRDefault="00A768EA">
      <w:pPr>
        <w:keepNext/>
        <w:jc w:val="both"/>
        <w:rPr>
          <w:rFonts w:ascii="Arial" w:eastAsia="Arial" w:hAnsi="Arial" w:cs="Arial"/>
          <w:color w:val="131413"/>
        </w:rPr>
      </w:pPr>
      <w:r>
        <w:rPr>
          <w:rFonts w:ascii="Arial" w:eastAsia="Arial" w:hAnsi="Arial" w:cs="Arial"/>
          <w:color w:val="131413"/>
        </w:rPr>
        <w:t>Despite these findings, there remains a lack of localized studies examining both knowledge and attitudes simultaneously among nursing students, particularly within specific institutional contexts. This gap highlights the need for further research to inform targeted educational interventions.</w:t>
      </w:r>
    </w:p>
    <w:p w14:paraId="138D4FBA" w14:textId="77777777" w:rsidR="00275909" w:rsidRDefault="00275909">
      <w:pPr>
        <w:keepNext/>
        <w:jc w:val="both"/>
        <w:rPr>
          <w:rFonts w:ascii="Arial" w:eastAsia="Arial" w:hAnsi="Arial" w:cs="Arial"/>
          <w:b/>
          <w:bCs/>
          <w:smallCaps/>
          <w:sz w:val="22"/>
          <w:szCs w:val="22"/>
        </w:rPr>
      </w:pPr>
    </w:p>
    <w:p w14:paraId="2F384466" w14:textId="77777777" w:rsidR="00275909" w:rsidRDefault="00275909">
      <w:pPr>
        <w:keepNext/>
        <w:jc w:val="both"/>
        <w:rPr>
          <w:rFonts w:ascii="Arial" w:eastAsia="Arial" w:hAnsi="Arial" w:cs="Arial"/>
          <w:b/>
          <w:bCs/>
          <w:smallCaps/>
          <w:sz w:val="22"/>
          <w:szCs w:val="22"/>
        </w:rPr>
      </w:pPr>
    </w:p>
    <w:p w14:paraId="1CA4CEE1"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2.1 THEORETICAL UNDERPINNING</w:t>
      </w:r>
    </w:p>
    <w:p w14:paraId="79A14EB3" w14:textId="77777777" w:rsidR="00275909" w:rsidRDefault="00275909">
      <w:pPr>
        <w:jc w:val="both"/>
        <w:rPr>
          <w:rFonts w:ascii="Arial" w:eastAsia="Arial" w:hAnsi="Arial" w:cs="Arial"/>
          <w:color w:val="131413"/>
        </w:rPr>
      </w:pPr>
    </w:p>
    <w:p w14:paraId="3C551560" w14:textId="77777777" w:rsidR="00275909" w:rsidRDefault="00A768EA">
      <w:pPr>
        <w:jc w:val="both"/>
        <w:rPr>
          <w:rFonts w:ascii="Arial" w:eastAsia="Arial" w:hAnsi="Arial" w:cs="Arial"/>
          <w:color w:val="131413"/>
          <w:lang w:val="en-US"/>
        </w:rPr>
      </w:pPr>
      <w:r>
        <w:rPr>
          <w:rFonts w:ascii="Arial" w:eastAsia="Arial" w:hAnsi="Arial" w:cs="Arial"/>
          <w:color w:val="131413"/>
        </w:rPr>
        <w:t xml:space="preserve">This study was anchored in the Expectancy-Value Theory (EVT) developed by John William Atkinson in 1964, which explained that a person’s motivation to </w:t>
      </w:r>
      <w:r>
        <w:rPr>
          <w:rFonts w:ascii="Arial" w:eastAsia="Arial" w:hAnsi="Arial" w:cs="Arial"/>
          <w:color w:val="131413"/>
          <w:lang w:val="en-US"/>
        </w:rPr>
        <w:t>perform</w:t>
      </w:r>
      <w:r>
        <w:rPr>
          <w:rFonts w:ascii="Arial" w:eastAsia="Arial" w:hAnsi="Arial" w:cs="Arial"/>
          <w:color w:val="131413"/>
        </w:rPr>
        <w:t xml:space="preserve"> a task </w:t>
      </w:r>
      <w:r>
        <w:rPr>
          <w:rFonts w:ascii="Arial" w:eastAsia="Arial" w:hAnsi="Arial" w:cs="Arial"/>
          <w:color w:val="131413"/>
          <w:lang w:val="en-US"/>
        </w:rPr>
        <w:t>is influenced by their</w:t>
      </w:r>
      <w:r>
        <w:rPr>
          <w:rFonts w:ascii="Arial" w:eastAsia="Arial" w:hAnsi="Arial" w:cs="Arial"/>
          <w:color w:val="131413"/>
        </w:rPr>
        <w:t xml:space="preserve"> expectancy</w:t>
      </w:r>
      <w:r>
        <w:rPr>
          <w:rFonts w:ascii="Arial" w:eastAsia="Arial" w:hAnsi="Arial" w:cs="Arial"/>
          <w:color w:val="131413"/>
          <w:lang w:val="en-US"/>
        </w:rPr>
        <w:t xml:space="preserve"> for success and the value they place on the task</w:t>
      </w:r>
      <w:r>
        <w:rPr>
          <w:rFonts w:ascii="Arial" w:eastAsia="Arial" w:hAnsi="Arial" w:cs="Arial"/>
          <w:color w:val="131413"/>
        </w:rPr>
        <w:t xml:space="preserve"> </w:t>
      </w:r>
      <w:r>
        <w:rPr>
          <w:rFonts w:ascii="Arial" w:eastAsia="Arial" w:hAnsi="Arial" w:cs="Arial"/>
          <w:color w:val="131413"/>
          <w:lang w:val="en-US"/>
        </w:rPr>
        <w:t>(Spott, 2022)</w:t>
      </w:r>
      <w:r>
        <w:rPr>
          <w:rFonts w:ascii="Arial" w:eastAsia="Arial" w:hAnsi="Arial" w:cs="Arial"/>
          <w:color w:val="131413"/>
        </w:rPr>
        <w:t xml:space="preserve">. </w:t>
      </w:r>
      <w:r>
        <w:rPr>
          <w:rFonts w:ascii="Arial" w:eastAsia="Arial" w:hAnsi="Arial" w:cs="Arial"/>
          <w:color w:val="131413"/>
          <w:lang w:val="en-US"/>
        </w:rPr>
        <w:t xml:space="preserve">Guided by this framework, the study conceptualized that increased knowledge among nursing students would be associated with more positive attitudes toward caring for patients with AD, as greater understanding may enhance both confidence and perceived importance of caregiving roles. However, </w:t>
      </w:r>
      <w:r>
        <w:rPr>
          <w:rFonts w:ascii="Arial" w:eastAsia="Arial" w:hAnsi="Arial" w:cs="Arial"/>
          <w:color w:val="131413"/>
        </w:rPr>
        <w:t xml:space="preserve">the findings did not demonstrate a </w:t>
      </w:r>
      <w:r>
        <w:rPr>
          <w:rFonts w:ascii="Arial" w:eastAsia="Arial" w:hAnsi="Arial" w:cs="Arial"/>
          <w:color w:val="131413"/>
          <w:lang w:val="en-US"/>
        </w:rPr>
        <w:t xml:space="preserve">statistically </w:t>
      </w:r>
      <w:r>
        <w:rPr>
          <w:rFonts w:ascii="Arial" w:eastAsia="Arial" w:hAnsi="Arial" w:cs="Arial"/>
          <w:color w:val="131413"/>
        </w:rPr>
        <w:t xml:space="preserve">significant relationship between knowledge and attitudes among nursing students. This suggests that </w:t>
      </w:r>
      <w:r>
        <w:rPr>
          <w:rFonts w:ascii="Arial" w:eastAsia="Arial" w:hAnsi="Arial" w:cs="Arial"/>
          <w:color w:val="131413"/>
          <w:lang w:val="en-US"/>
        </w:rPr>
        <w:t xml:space="preserve">while </w:t>
      </w:r>
      <w:r>
        <w:rPr>
          <w:rFonts w:ascii="Arial" w:eastAsia="Arial" w:hAnsi="Arial" w:cs="Arial"/>
          <w:color w:val="131413"/>
        </w:rPr>
        <w:t xml:space="preserve">EVT </w:t>
      </w:r>
      <w:r>
        <w:rPr>
          <w:rFonts w:ascii="Arial" w:eastAsia="Arial" w:hAnsi="Arial" w:cs="Arial"/>
          <w:color w:val="131413"/>
          <w:lang w:val="en-US"/>
        </w:rPr>
        <w:t>provides a useful theoretical lens, its applicability in this context may be limited, and other factors beyond knowledge and perceived value likely influence students’ attitudes toward caring for patients with AD.</w:t>
      </w:r>
    </w:p>
    <w:p w14:paraId="2721D087" w14:textId="77777777" w:rsidR="00275909" w:rsidRDefault="00275909">
      <w:pPr>
        <w:jc w:val="both"/>
        <w:rPr>
          <w:rFonts w:ascii="Arial" w:eastAsia="Arial" w:hAnsi="Arial" w:cs="Arial"/>
          <w:color w:val="131413"/>
        </w:rPr>
      </w:pPr>
    </w:p>
    <w:p w14:paraId="57499DEA" w14:textId="77777777" w:rsidR="00275909" w:rsidRDefault="00275909">
      <w:pPr>
        <w:keepNext/>
        <w:jc w:val="both"/>
        <w:rPr>
          <w:rFonts w:ascii="Arial" w:eastAsia="Arial" w:hAnsi="Arial" w:cs="Arial"/>
          <w:b/>
          <w:bCs/>
          <w:smallCaps/>
          <w:sz w:val="22"/>
          <w:szCs w:val="22"/>
        </w:rPr>
      </w:pPr>
    </w:p>
    <w:p w14:paraId="3E3BEFCD" w14:textId="77777777" w:rsidR="00275909" w:rsidRDefault="00275909">
      <w:pPr>
        <w:keepNext/>
        <w:jc w:val="both"/>
        <w:rPr>
          <w:rFonts w:ascii="Arial" w:eastAsia="Arial" w:hAnsi="Arial" w:cs="Arial"/>
          <w:b/>
          <w:bCs/>
          <w:smallCaps/>
          <w:sz w:val="22"/>
          <w:szCs w:val="22"/>
        </w:rPr>
      </w:pPr>
    </w:p>
    <w:p w14:paraId="1C6B647D"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2.1 OBJECTIVES OF THE STUDY</w:t>
      </w:r>
    </w:p>
    <w:p w14:paraId="5EFAE128" w14:textId="77777777" w:rsidR="00275909" w:rsidRDefault="00275909">
      <w:pPr>
        <w:keepNext/>
        <w:jc w:val="both"/>
        <w:rPr>
          <w:rFonts w:ascii="Arial" w:eastAsia="Arial" w:hAnsi="Arial" w:cs="Arial"/>
          <w:b/>
          <w:bCs/>
          <w:smallCaps/>
          <w:sz w:val="22"/>
          <w:szCs w:val="22"/>
        </w:rPr>
      </w:pPr>
    </w:p>
    <w:p w14:paraId="599C9BE3" w14:textId="77777777" w:rsidR="00275909" w:rsidRDefault="00A768EA">
      <w:pPr>
        <w:jc w:val="both"/>
        <w:rPr>
          <w:rFonts w:ascii="Times New Roman" w:eastAsia="Times New Roman" w:hAnsi="Times New Roman" w:cs="Times New Roman"/>
          <w:b/>
          <w:bCs/>
          <w:smallCaps/>
          <w:sz w:val="24"/>
          <w:szCs w:val="24"/>
        </w:rPr>
      </w:pPr>
      <w:r>
        <w:rPr>
          <w:rFonts w:ascii="Arial" w:eastAsia="Arial" w:hAnsi="Arial" w:cs="Arial"/>
          <w:color w:val="131413"/>
        </w:rPr>
        <w:t>This study was conducted to determine the knowledge and attitude of third-year and fourth-year nursing students toward caring for patients with AD.</w:t>
      </w:r>
    </w:p>
    <w:p w14:paraId="681543EE" w14:textId="77777777" w:rsidR="00275909" w:rsidRDefault="00275909">
      <w:pPr>
        <w:keepNext/>
        <w:spacing w:line="480" w:lineRule="auto"/>
        <w:ind w:firstLine="720"/>
        <w:jc w:val="both"/>
        <w:rPr>
          <w:rFonts w:ascii="Times New Roman" w:eastAsia="Times New Roman" w:hAnsi="Times New Roman" w:cs="Times New Roman"/>
          <w:b/>
          <w:bCs/>
          <w:smallCaps/>
          <w:sz w:val="24"/>
          <w:szCs w:val="24"/>
        </w:rPr>
      </w:pPr>
    </w:p>
    <w:p w14:paraId="12DBF3F4"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2.2 HYPOTHESIS OF THE STUDY</w:t>
      </w:r>
    </w:p>
    <w:p w14:paraId="1B2AA019" w14:textId="77777777" w:rsidR="00275909" w:rsidRDefault="00275909">
      <w:pPr>
        <w:jc w:val="both"/>
        <w:rPr>
          <w:rFonts w:ascii="Arial" w:eastAsia="Arial" w:hAnsi="Arial" w:cs="Arial"/>
          <w:color w:val="131413"/>
        </w:rPr>
      </w:pPr>
    </w:p>
    <w:p w14:paraId="4D4CAB5C" w14:textId="77777777" w:rsidR="00275909" w:rsidRDefault="00A768EA">
      <w:pPr>
        <w:jc w:val="both"/>
        <w:rPr>
          <w:rFonts w:ascii="Arial" w:eastAsia="Arial" w:hAnsi="Arial" w:cs="Arial"/>
          <w:b/>
          <w:bCs/>
          <w:smallCaps/>
          <w:sz w:val="22"/>
          <w:szCs w:val="22"/>
        </w:rPr>
      </w:pPr>
      <w:r>
        <w:rPr>
          <w:rFonts w:ascii="Arial" w:eastAsia="Arial" w:hAnsi="Arial" w:cs="Arial"/>
          <w:color w:val="131413"/>
        </w:rPr>
        <w:t>This study concluded that there was no significant relationship between the knowledge and attitude of third-year and fourth-year nursing students toward caring for patients with AD.</w:t>
      </w:r>
    </w:p>
    <w:p w14:paraId="1156BED1"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2.3 LIMITATIONS OF THE STUDY</w:t>
      </w:r>
    </w:p>
    <w:p w14:paraId="47E31BF6" w14:textId="77777777" w:rsidR="00275909" w:rsidRDefault="00275909">
      <w:pPr>
        <w:jc w:val="both"/>
        <w:rPr>
          <w:rFonts w:ascii="Arial" w:eastAsia="Arial" w:hAnsi="Arial" w:cs="Arial"/>
          <w:color w:val="131413"/>
        </w:rPr>
      </w:pPr>
    </w:p>
    <w:p w14:paraId="6EB48382" w14:textId="77777777" w:rsidR="00275909" w:rsidRDefault="00A768EA">
      <w:pPr>
        <w:jc w:val="both"/>
        <w:rPr>
          <w:rFonts w:ascii="Arial" w:eastAsia="Arial" w:hAnsi="Arial" w:cs="Arial"/>
          <w:b/>
          <w:bCs/>
          <w:smallCaps/>
        </w:rPr>
      </w:pPr>
      <w:r>
        <w:rPr>
          <w:rFonts w:ascii="Arial" w:eastAsia="Arial" w:hAnsi="Arial" w:cs="Arial"/>
          <w:color w:val="131413"/>
        </w:rPr>
        <w:t xml:space="preserve">This study was limited to third-year and fourth year nursing students who were currently enrolled during the second semester of Academic Year 2025-2026. It excluded lower-year students, those who did not provide consent, and participants involved in pilot testing. The research was conducted in a single institution and completed within three-months, which may limit the generalizability and depth of the findings. </w:t>
      </w:r>
    </w:p>
    <w:p w14:paraId="1E25F595" w14:textId="77777777" w:rsidR="00275909" w:rsidRDefault="00275909">
      <w:pPr>
        <w:jc w:val="both"/>
        <w:rPr>
          <w:rFonts w:ascii="Arial" w:eastAsia="Arial" w:hAnsi="Arial" w:cs="Arial"/>
          <w:color w:val="000000"/>
        </w:rPr>
      </w:pPr>
    </w:p>
    <w:p w14:paraId="314B2993" w14:textId="77777777" w:rsidR="00275909" w:rsidRDefault="00275909">
      <w:pPr>
        <w:keepNext/>
        <w:jc w:val="both"/>
        <w:rPr>
          <w:rFonts w:ascii="Arial" w:eastAsia="Arial" w:hAnsi="Arial" w:cs="Arial"/>
          <w:b/>
          <w:bCs/>
          <w:smallCaps/>
          <w:sz w:val="22"/>
          <w:szCs w:val="22"/>
        </w:rPr>
      </w:pPr>
    </w:p>
    <w:p w14:paraId="2B86BB14" w14:textId="77777777" w:rsidR="00275909" w:rsidRDefault="00275909">
      <w:pPr>
        <w:keepNext/>
        <w:jc w:val="both"/>
        <w:rPr>
          <w:rFonts w:ascii="Arial" w:eastAsia="Arial" w:hAnsi="Arial" w:cs="Arial"/>
          <w:b/>
          <w:bCs/>
          <w:smallCaps/>
          <w:sz w:val="22"/>
          <w:szCs w:val="22"/>
        </w:rPr>
      </w:pPr>
    </w:p>
    <w:p w14:paraId="6AC3BD76"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 xml:space="preserve">3. METHODOLOGY </w:t>
      </w:r>
    </w:p>
    <w:p w14:paraId="724857D8" w14:textId="77777777" w:rsidR="00275909" w:rsidRDefault="00275909">
      <w:pPr>
        <w:keepNext/>
        <w:jc w:val="both"/>
        <w:rPr>
          <w:rFonts w:ascii="Arial" w:eastAsia="Arial" w:hAnsi="Arial" w:cs="Arial"/>
          <w:b/>
          <w:bCs/>
          <w:smallCaps/>
          <w:sz w:val="22"/>
          <w:szCs w:val="22"/>
        </w:rPr>
      </w:pPr>
    </w:p>
    <w:p w14:paraId="5C5EDC99" w14:textId="77777777" w:rsidR="00275909" w:rsidRDefault="00A768EA">
      <w:pPr>
        <w:keepNext/>
        <w:jc w:val="both"/>
        <w:rPr>
          <w:rFonts w:ascii="Arial" w:eastAsia="Arial" w:hAnsi="Arial" w:cs="Arial"/>
          <w:b/>
          <w:bCs/>
          <w:smallCaps/>
          <w:color w:val="000000"/>
          <w:sz w:val="22"/>
          <w:szCs w:val="22"/>
        </w:rPr>
      </w:pPr>
      <w:r>
        <w:rPr>
          <w:rFonts w:ascii="Arial" w:eastAsia="Arial" w:hAnsi="Arial" w:cs="Arial"/>
          <w:b/>
          <w:bCs/>
          <w:smallCaps/>
          <w:sz w:val="22"/>
          <w:szCs w:val="22"/>
        </w:rPr>
        <w:t>3.1 RESEARCH DESIGN</w:t>
      </w:r>
    </w:p>
    <w:p w14:paraId="3E41BF69" w14:textId="77777777" w:rsidR="00275909" w:rsidRDefault="00275909">
      <w:pPr>
        <w:jc w:val="both"/>
        <w:rPr>
          <w:rFonts w:ascii="Arial" w:eastAsia="Arial" w:hAnsi="Arial" w:cs="Arial"/>
          <w:color w:val="131413"/>
        </w:rPr>
      </w:pPr>
    </w:p>
    <w:p w14:paraId="7B58F336" w14:textId="77777777" w:rsidR="00275909" w:rsidRDefault="00A768EA">
      <w:pPr>
        <w:jc w:val="both"/>
        <w:rPr>
          <w:rFonts w:ascii="Arial" w:eastAsia="Arial" w:hAnsi="Arial" w:cs="Arial"/>
          <w:color w:val="000000"/>
        </w:rPr>
      </w:pPr>
      <w:r>
        <w:rPr>
          <w:rFonts w:ascii="Arial" w:eastAsia="Arial" w:hAnsi="Arial" w:cs="Arial"/>
          <w:color w:val="131413"/>
        </w:rPr>
        <w:t>The study utilized a quantitative descriptive-correlational research design to evaluate the nursing students’ knowledge and attitudes regarding AD. A descriptive design was used to examine a broader range of research methods to examine one or more variables (</w:t>
      </w:r>
      <w:proofErr w:type="spellStart"/>
      <w:r>
        <w:rPr>
          <w:rFonts w:ascii="Arial" w:eastAsia="Arial" w:hAnsi="Arial" w:cs="Arial"/>
          <w:color w:val="131413"/>
        </w:rPr>
        <w:t>McCombes</w:t>
      </w:r>
      <w:proofErr w:type="spellEnd"/>
      <w:r>
        <w:rPr>
          <w:rFonts w:ascii="Arial" w:eastAsia="Arial" w:hAnsi="Arial" w:cs="Arial"/>
          <w:color w:val="131413"/>
        </w:rPr>
        <w:t xml:space="preserve">, 2023). Moreover, a correlational design was also employed to identify the relationships between variables without any influence or alteration by the researcher (Bhandari, 2023). </w:t>
      </w:r>
      <w:r>
        <w:rPr>
          <w:rFonts w:ascii="Arial" w:eastAsia="Arial" w:hAnsi="Arial" w:cs="Arial"/>
          <w:color w:val="000000"/>
        </w:rPr>
        <w:t>As a result, it methodically examined the relationship between these measured variables, particularly knowledge and attitude, without the intervention of control or manipulation. Importantly, the correlation addressed the final research objective by not only identifying the presence of an association but also describing the type (positive or negative) and magnitude (strength) of that relationship, which was essential for providing an empirical basis for suggesting targeted educational interventions.</w:t>
      </w:r>
    </w:p>
    <w:p w14:paraId="1E77572E" w14:textId="77777777" w:rsidR="00275909" w:rsidRDefault="00275909">
      <w:pPr>
        <w:jc w:val="both"/>
        <w:rPr>
          <w:rFonts w:ascii="Arial" w:eastAsia="Arial" w:hAnsi="Arial" w:cs="Arial"/>
          <w:color w:val="000000"/>
        </w:rPr>
      </w:pPr>
    </w:p>
    <w:p w14:paraId="63583D3A" w14:textId="77777777" w:rsidR="00275909" w:rsidRDefault="00275909">
      <w:pPr>
        <w:keepNext/>
        <w:jc w:val="both"/>
        <w:rPr>
          <w:rFonts w:ascii="Arial" w:eastAsia="Arial" w:hAnsi="Arial" w:cs="Arial"/>
          <w:b/>
          <w:bCs/>
          <w:smallCaps/>
          <w:sz w:val="22"/>
          <w:szCs w:val="22"/>
        </w:rPr>
      </w:pPr>
    </w:p>
    <w:p w14:paraId="4B31B8C8" w14:textId="77777777" w:rsidR="00275909" w:rsidRDefault="00A768EA">
      <w:pPr>
        <w:keepNext/>
        <w:jc w:val="both"/>
        <w:rPr>
          <w:rFonts w:ascii="Arial" w:eastAsia="Arial" w:hAnsi="Arial" w:cs="Arial"/>
          <w:b/>
          <w:bCs/>
        </w:rPr>
      </w:pPr>
      <w:r>
        <w:rPr>
          <w:rFonts w:ascii="Arial" w:eastAsia="Arial" w:hAnsi="Arial" w:cs="Arial"/>
          <w:b/>
          <w:bCs/>
          <w:smallCaps/>
          <w:sz w:val="22"/>
          <w:szCs w:val="22"/>
        </w:rPr>
        <w:t xml:space="preserve">3.2 PARTICIPANTS </w:t>
      </w:r>
    </w:p>
    <w:p w14:paraId="4D8A9AE9" w14:textId="77777777" w:rsidR="00275909" w:rsidRDefault="00275909">
      <w:pPr>
        <w:jc w:val="both"/>
        <w:rPr>
          <w:rFonts w:ascii="Arial" w:eastAsia="Arial" w:hAnsi="Arial" w:cs="Arial"/>
          <w:b/>
          <w:bCs/>
        </w:rPr>
      </w:pPr>
    </w:p>
    <w:p w14:paraId="5965B6B5" w14:textId="77777777" w:rsidR="00275909" w:rsidRDefault="00A768EA">
      <w:pPr>
        <w:jc w:val="both"/>
        <w:rPr>
          <w:rFonts w:ascii="Arial" w:eastAsia="Arial" w:hAnsi="Arial" w:cs="Arial"/>
        </w:rPr>
      </w:pPr>
      <w:r>
        <w:rPr>
          <w:rFonts w:ascii="Arial" w:eastAsia="Arial" w:hAnsi="Arial" w:cs="Arial"/>
        </w:rPr>
        <w:t xml:space="preserve">The study was conducted in a private higher education institution situated in Iloilo City. This university served as an ideal setting because it was where the target participants were currently studying and could be easily accessed. The participants of the study were third-year and fourth-year nursing students enrolled in this institution who had already been assigned to geriatric areas during their Related Learning Experience (RLE) duties. The total population of third-year and fourth-year nursing students was nine hundred sixty (960). Using the </w:t>
      </w:r>
      <w:proofErr w:type="spellStart"/>
      <w:r>
        <w:rPr>
          <w:rFonts w:ascii="Arial" w:eastAsia="Arial" w:hAnsi="Arial" w:cs="Arial"/>
        </w:rPr>
        <w:t>Raosoft</w:t>
      </w:r>
      <w:proofErr w:type="spellEnd"/>
      <w:r>
        <w:rPr>
          <w:rFonts w:ascii="Arial" w:eastAsia="Arial" w:hAnsi="Arial" w:cs="Arial"/>
        </w:rPr>
        <w:t xml:space="preserve"> sample size calculator with a 95% confidence level and a 5% margin of error, a sample size of two hundred seventy-five (275) respondents was determined. To ensure the reliability of respondent selection and to avoid bias, the researchers used stratified random sampling. The study included one hundred twenty-six (126) third-year and one hundred forty-nine (149) fourth-year student nurses. The participants were selected using the following criteria: (1)  </w:t>
      </w:r>
      <w:r>
        <w:rPr>
          <w:rFonts w:ascii="Arial" w:eastAsia="Arial" w:hAnsi="Arial" w:cs="Arial"/>
        </w:rPr>
        <w:lastRenderedPageBreak/>
        <w:t>currently enrolled as third-year or fourth-year nursing students for the academic year 2025–2026, and (2) third-year or fourth-year nursing students who had provided consent to be involved in the study.</w:t>
      </w:r>
    </w:p>
    <w:p w14:paraId="2E1F2455" w14:textId="77777777" w:rsidR="00275909" w:rsidRDefault="00275909">
      <w:pPr>
        <w:jc w:val="both"/>
        <w:rPr>
          <w:rFonts w:ascii="Arial" w:eastAsia="Arial" w:hAnsi="Arial" w:cs="Arial"/>
        </w:rPr>
      </w:pPr>
    </w:p>
    <w:p w14:paraId="7BC19DE7" w14:textId="77777777" w:rsidR="00275909" w:rsidRDefault="00275909">
      <w:pPr>
        <w:jc w:val="both"/>
        <w:rPr>
          <w:rFonts w:ascii="Arial" w:eastAsia="Arial" w:hAnsi="Arial" w:cs="Arial"/>
          <w:b/>
          <w:bCs/>
          <w:smallCaps/>
          <w:sz w:val="22"/>
          <w:szCs w:val="22"/>
        </w:rPr>
      </w:pPr>
    </w:p>
    <w:p w14:paraId="4DD39CA1" w14:textId="77777777" w:rsidR="00275909" w:rsidRDefault="00A768EA">
      <w:pPr>
        <w:jc w:val="both"/>
        <w:rPr>
          <w:rFonts w:ascii="Arial" w:eastAsia="Arial" w:hAnsi="Arial" w:cs="Arial"/>
          <w:b/>
          <w:bCs/>
          <w:smallCaps/>
          <w:sz w:val="22"/>
          <w:szCs w:val="22"/>
        </w:rPr>
      </w:pPr>
      <w:r>
        <w:rPr>
          <w:rFonts w:ascii="Arial" w:eastAsia="Arial" w:hAnsi="Arial" w:cs="Arial"/>
          <w:b/>
          <w:bCs/>
          <w:smallCaps/>
          <w:sz w:val="22"/>
          <w:szCs w:val="22"/>
        </w:rPr>
        <w:t>3.3 INSTRUMENTS</w:t>
      </w:r>
    </w:p>
    <w:p w14:paraId="4A2CB41D" w14:textId="77777777" w:rsidR="00275909" w:rsidRDefault="00275909">
      <w:pPr>
        <w:jc w:val="both"/>
        <w:rPr>
          <w:rFonts w:ascii="Arial" w:eastAsia="Arial" w:hAnsi="Arial" w:cs="Arial"/>
          <w:b/>
          <w:bCs/>
        </w:rPr>
      </w:pPr>
    </w:p>
    <w:p w14:paraId="30069E65" w14:textId="77777777" w:rsidR="00275909" w:rsidRDefault="00A768EA">
      <w:pPr>
        <w:jc w:val="both"/>
        <w:rPr>
          <w:rFonts w:ascii="Arial" w:eastAsia="Arial" w:hAnsi="Arial" w:cs="Arial"/>
        </w:rPr>
      </w:pPr>
      <w:r>
        <w:rPr>
          <w:rFonts w:ascii="Arial" w:eastAsia="Arial" w:hAnsi="Arial" w:cs="Arial"/>
        </w:rPr>
        <w:t>The data were collected using adopted questionnaires. The instrument was divided into three (3) parts: (1) Demographic profile of the respondents, (2) Alzheimer’s Disease Knowledge Scale (ADKS) (Carpenter et al., 2009), which is composed of thirty (30) true-or-false questions, and (3) Dementia Attitude Scale (DAS) (O’Connor and McFadden, 2010), the scale consisted of twenty (20) items measured using a seven-point Likert scale ranging from Strongly Disagree (1) to Strongly Agree (7).</w:t>
      </w:r>
    </w:p>
    <w:p w14:paraId="08F744B6" w14:textId="77777777" w:rsidR="00275909" w:rsidRDefault="00275909">
      <w:pPr>
        <w:jc w:val="both"/>
        <w:rPr>
          <w:rFonts w:ascii="Arial" w:eastAsia="Arial" w:hAnsi="Arial" w:cs="Arial"/>
        </w:rPr>
      </w:pPr>
    </w:p>
    <w:p w14:paraId="1113C08E" w14:textId="77777777" w:rsidR="00275909" w:rsidRDefault="00A768EA">
      <w:pPr>
        <w:jc w:val="both"/>
        <w:rPr>
          <w:rFonts w:ascii="Arial" w:eastAsia="Arial" w:hAnsi="Arial" w:cs="Arial"/>
          <w:lang w:val="en-US"/>
        </w:rPr>
      </w:pPr>
      <w:proofErr w:type="spellStart"/>
      <w:r>
        <w:rPr>
          <w:rFonts w:ascii="Arial" w:eastAsia="Arial Unicode MS" w:hAnsi="Arial" w:cs="Arial"/>
          <w:lang w:val="en-US"/>
        </w:rPr>
        <w:t>T</w:t>
      </w:r>
      <w:r>
        <w:rPr>
          <w:rFonts w:ascii="Arial" w:eastAsia="Arial Unicode MS" w:hAnsi="Arial" w:cs="Arial"/>
        </w:rPr>
        <w:t>o</w:t>
      </w:r>
      <w:proofErr w:type="spellEnd"/>
      <w:r>
        <w:rPr>
          <w:rFonts w:ascii="Arial" w:eastAsia="Arial Unicode MS" w:hAnsi="Arial" w:cs="Arial"/>
        </w:rPr>
        <w:t xml:space="preserve"> ensure the credibility and applicability of the results, validation of the instrument was conducted. Three faculty members with a master’s degree in nursing were requested to validate the instrument. The validation process followed the 5-point Likert scale proposed by Good and Scates (1972). Pilot testing was conducted with a maximum of thirty (30) nursing students who were not part of the primary respondents after the questionnaires had been validated to ensure the questionnaires’ reliability. This was evaluated using the Cronbach’s alpha, where a score of ≥ .70 signified acceptable reliability (George and Mallery, 20</w:t>
      </w:r>
      <w:r>
        <w:rPr>
          <w:rFonts w:ascii="Arial" w:eastAsia="Arial Unicode MS" w:hAnsi="Arial" w:cs="Arial"/>
          <w:lang w:val="en-US"/>
        </w:rPr>
        <w:t>19).</w:t>
      </w:r>
    </w:p>
    <w:p w14:paraId="3DCEB12C" w14:textId="77777777" w:rsidR="00275909" w:rsidRDefault="00275909">
      <w:pPr>
        <w:jc w:val="both"/>
        <w:rPr>
          <w:rFonts w:ascii="Arial" w:eastAsia="Arial" w:hAnsi="Arial" w:cs="Arial"/>
        </w:rPr>
      </w:pPr>
    </w:p>
    <w:p w14:paraId="3D6FB78E" w14:textId="77777777" w:rsidR="00275909" w:rsidRDefault="00275909">
      <w:pPr>
        <w:jc w:val="both"/>
        <w:rPr>
          <w:rFonts w:ascii="Arial" w:eastAsia="Arial" w:hAnsi="Arial" w:cs="Arial"/>
          <w:b/>
          <w:bCs/>
          <w:smallCaps/>
          <w:sz w:val="22"/>
          <w:szCs w:val="22"/>
        </w:rPr>
      </w:pPr>
    </w:p>
    <w:p w14:paraId="01E1A2DF" w14:textId="77777777" w:rsidR="00275909" w:rsidRDefault="00A768EA">
      <w:pPr>
        <w:jc w:val="both"/>
        <w:rPr>
          <w:rFonts w:ascii="Arial" w:eastAsia="Arial" w:hAnsi="Arial" w:cs="Arial"/>
          <w:b/>
          <w:bCs/>
        </w:rPr>
      </w:pPr>
      <w:r>
        <w:rPr>
          <w:rFonts w:ascii="Arial" w:eastAsia="Arial" w:hAnsi="Arial" w:cs="Arial"/>
          <w:b/>
          <w:bCs/>
          <w:smallCaps/>
          <w:sz w:val="22"/>
          <w:szCs w:val="22"/>
        </w:rPr>
        <w:t xml:space="preserve">3.4 DATA COLLECTION </w:t>
      </w:r>
    </w:p>
    <w:p w14:paraId="48320826" w14:textId="77777777" w:rsidR="00275909" w:rsidRDefault="00275909">
      <w:pPr>
        <w:jc w:val="both"/>
        <w:rPr>
          <w:rFonts w:ascii="Arial" w:eastAsia="Arial" w:hAnsi="Arial" w:cs="Arial"/>
        </w:rPr>
      </w:pPr>
    </w:p>
    <w:p w14:paraId="426F6A0E" w14:textId="77777777" w:rsidR="00275909" w:rsidRDefault="00A768EA">
      <w:pPr>
        <w:jc w:val="both"/>
        <w:rPr>
          <w:rFonts w:ascii="Arial" w:eastAsia="Arial" w:hAnsi="Arial" w:cs="Arial"/>
        </w:rPr>
      </w:pPr>
      <w:r>
        <w:rPr>
          <w:rFonts w:ascii="Arial" w:eastAsia="Arial" w:hAnsi="Arial" w:cs="Arial"/>
        </w:rPr>
        <w:t>Quantitative data were gathered through Google Forms. Prior to data collection, permission was obtained from the appropriate authorities. A Google form was distributed, containing an overview of the study, the informed consent, and the survey questionnaire. Data collection took place during the participants’ vacant periods; some of the participants answered the survey at home to avoid disruption of classes. Each participant was given approximately 10-15 minutes to complete the survey.</w:t>
      </w:r>
    </w:p>
    <w:p w14:paraId="47447A2B" w14:textId="77777777" w:rsidR="00275909" w:rsidRDefault="00275909">
      <w:pPr>
        <w:jc w:val="both"/>
        <w:rPr>
          <w:rFonts w:ascii="Arial" w:eastAsia="Arial" w:hAnsi="Arial" w:cs="Arial"/>
        </w:rPr>
      </w:pPr>
    </w:p>
    <w:p w14:paraId="290FB0B8" w14:textId="77777777" w:rsidR="00275909" w:rsidRDefault="00275909">
      <w:pPr>
        <w:jc w:val="both"/>
        <w:rPr>
          <w:rFonts w:ascii="Arial" w:eastAsia="Arial" w:hAnsi="Arial" w:cs="Arial"/>
          <w:b/>
          <w:bCs/>
          <w:smallCaps/>
          <w:sz w:val="22"/>
          <w:szCs w:val="22"/>
        </w:rPr>
      </w:pPr>
    </w:p>
    <w:p w14:paraId="59FB484D" w14:textId="77777777" w:rsidR="00275909" w:rsidRDefault="00A768EA">
      <w:pPr>
        <w:jc w:val="both"/>
        <w:rPr>
          <w:rFonts w:ascii="Arial" w:eastAsia="Arial" w:hAnsi="Arial" w:cs="Arial"/>
          <w:b/>
          <w:bCs/>
        </w:rPr>
      </w:pPr>
      <w:r>
        <w:rPr>
          <w:rFonts w:ascii="Arial" w:eastAsia="Arial" w:hAnsi="Arial" w:cs="Arial"/>
          <w:b/>
          <w:bCs/>
          <w:smallCaps/>
          <w:sz w:val="22"/>
          <w:szCs w:val="22"/>
        </w:rPr>
        <w:t xml:space="preserve">3.5 DATA ANALYSIS </w:t>
      </w:r>
    </w:p>
    <w:p w14:paraId="18119A6D" w14:textId="77777777" w:rsidR="00275909" w:rsidRDefault="00275909">
      <w:pPr>
        <w:jc w:val="both"/>
        <w:rPr>
          <w:rFonts w:ascii="Arial" w:eastAsia="Arial" w:hAnsi="Arial" w:cs="Arial"/>
          <w:b/>
          <w:bCs/>
        </w:rPr>
      </w:pPr>
    </w:p>
    <w:p w14:paraId="765E0303" w14:textId="77777777" w:rsidR="00275909" w:rsidRDefault="00A768EA">
      <w:pPr>
        <w:jc w:val="both"/>
        <w:rPr>
          <w:rFonts w:ascii="Arial" w:eastAsia="Arial" w:hAnsi="Arial" w:cs="Arial"/>
        </w:rPr>
      </w:pPr>
      <w:r>
        <w:rPr>
          <w:rFonts w:ascii="Arial" w:eastAsia="Arial" w:hAnsi="Arial" w:cs="Arial"/>
        </w:rPr>
        <w:t>Survey responses were analyzed using descriptive statistics and Spearman’s rho correlation to evaluate the significance of the relationship between nursing students' knowledge and attitudes in providing care for individuals with AD.</w:t>
      </w:r>
    </w:p>
    <w:p w14:paraId="0FA68BDE" w14:textId="77777777" w:rsidR="00275909" w:rsidRDefault="00275909">
      <w:pPr>
        <w:jc w:val="both"/>
        <w:rPr>
          <w:rFonts w:ascii="Arial" w:eastAsia="Arial" w:hAnsi="Arial" w:cs="Arial"/>
        </w:rPr>
      </w:pPr>
    </w:p>
    <w:p w14:paraId="03508E35" w14:textId="77777777" w:rsidR="00275909" w:rsidRDefault="00275909">
      <w:pPr>
        <w:jc w:val="both"/>
        <w:rPr>
          <w:rFonts w:ascii="Arial" w:eastAsia="Arial" w:hAnsi="Arial" w:cs="Arial"/>
        </w:rPr>
      </w:pPr>
    </w:p>
    <w:p w14:paraId="446C3077" w14:textId="77777777" w:rsidR="00275909" w:rsidRDefault="00275909">
      <w:pPr>
        <w:keepNext/>
        <w:jc w:val="both"/>
        <w:rPr>
          <w:rFonts w:ascii="Arial" w:eastAsia="Arial" w:hAnsi="Arial" w:cs="Arial"/>
          <w:b/>
          <w:bCs/>
          <w:smallCaps/>
          <w:sz w:val="22"/>
          <w:szCs w:val="22"/>
        </w:rPr>
      </w:pPr>
    </w:p>
    <w:p w14:paraId="058C1B54"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4. RESULTS AND DISCUSSION</w:t>
      </w:r>
    </w:p>
    <w:p w14:paraId="6B0124AE" w14:textId="77777777" w:rsidR="00275909" w:rsidRDefault="00275909">
      <w:pPr>
        <w:keepNext/>
        <w:jc w:val="both"/>
        <w:rPr>
          <w:rFonts w:ascii="Arial" w:eastAsia="Arial" w:hAnsi="Arial" w:cs="Arial"/>
          <w:b/>
          <w:bCs/>
          <w:smallCaps/>
          <w:sz w:val="22"/>
          <w:szCs w:val="22"/>
        </w:rPr>
      </w:pPr>
    </w:p>
    <w:p w14:paraId="25E905C6"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4.1 DESCRIPTIVE ANALYSIS</w:t>
      </w:r>
    </w:p>
    <w:p w14:paraId="778F3965" w14:textId="77777777" w:rsidR="00275909" w:rsidRDefault="00275909">
      <w:pPr>
        <w:widowControl w:val="0"/>
        <w:spacing w:line="242" w:lineRule="auto"/>
        <w:jc w:val="both"/>
        <w:rPr>
          <w:rFonts w:ascii="Arial" w:eastAsia="Arial" w:hAnsi="Arial" w:cs="Arial"/>
          <w:b/>
          <w:bCs/>
          <w:color w:val="131413"/>
        </w:rPr>
      </w:pPr>
    </w:p>
    <w:p w14:paraId="4C99C7EF" w14:textId="77777777" w:rsidR="00275909" w:rsidRDefault="00275909">
      <w:pPr>
        <w:widowControl w:val="0"/>
        <w:spacing w:line="242" w:lineRule="auto"/>
        <w:jc w:val="both"/>
        <w:rPr>
          <w:rFonts w:ascii="Arial" w:eastAsia="Arial" w:hAnsi="Arial" w:cs="Arial"/>
          <w:b/>
          <w:bCs/>
          <w:smallCaps/>
          <w:sz w:val="22"/>
          <w:szCs w:val="22"/>
        </w:rPr>
      </w:pPr>
    </w:p>
    <w:p w14:paraId="4297F98F" w14:textId="77777777" w:rsidR="00275909" w:rsidRDefault="00A768EA">
      <w:pPr>
        <w:widowControl w:val="0"/>
        <w:spacing w:line="242" w:lineRule="auto"/>
        <w:jc w:val="both"/>
        <w:rPr>
          <w:rFonts w:ascii="Arial" w:eastAsia="Arial" w:hAnsi="Arial" w:cs="Arial"/>
          <w:color w:val="131413"/>
        </w:rPr>
      </w:pPr>
      <w:r>
        <w:rPr>
          <w:rFonts w:ascii="Arial" w:eastAsia="Arial" w:hAnsi="Arial" w:cs="Arial"/>
          <w:b/>
          <w:bCs/>
          <w:smallCaps/>
          <w:sz w:val="22"/>
          <w:szCs w:val="22"/>
        </w:rPr>
        <w:t xml:space="preserve">4.1.1 PROFILE OF THE RESPONDENTS </w:t>
      </w:r>
    </w:p>
    <w:p w14:paraId="5B4DC5B4" w14:textId="77777777" w:rsidR="00275909" w:rsidRDefault="00275909">
      <w:pPr>
        <w:widowControl w:val="0"/>
        <w:jc w:val="both"/>
        <w:rPr>
          <w:rFonts w:ascii="Arial" w:eastAsia="Arial" w:hAnsi="Arial" w:cs="Arial"/>
        </w:rPr>
      </w:pPr>
    </w:p>
    <w:p w14:paraId="51A673AA" w14:textId="77777777" w:rsidR="00275909" w:rsidRDefault="00A768EA">
      <w:pPr>
        <w:widowControl w:val="0"/>
        <w:jc w:val="both"/>
        <w:rPr>
          <w:rFonts w:ascii="Arial" w:eastAsia="Arial" w:hAnsi="Arial" w:cs="Arial"/>
        </w:rPr>
      </w:pPr>
      <w:r>
        <w:rPr>
          <w:rFonts w:ascii="Arial" w:eastAsia="Arial" w:hAnsi="Arial" w:cs="Arial"/>
        </w:rPr>
        <w:t xml:space="preserve">The demographic distribution of the respondents according to year level is presented in Table 1. Out of the total number of respondents, more than four out of ten (45.8%) were third-year nursing students, while a slight majority (54.2%) were fourth-year nursing students. This indicates that most of the participants in the study were in their final year of the Bachelor of </w:t>
      </w:r>
      <w:r>
        <w:rPr>
          <w:rFonts w:ascii="Arial" w:eastAsia="Arial" w:hAnsi="Arial" w:cs="Arial"/>
        </w:rPr>
        <w:lastRenderedPageBreak/>
        <w:t>Science in Nursing program.</w:t>
      </w:r>
    </w:p>
    <w:p w14:paraId="79B02276" w14:textId="77777777" w:rsidR="00275909" w:rsidRDefault="00275909">
      <w:pPr>
        <w:keepNext/>
        <w:jc w:val="both"/>
        <w:rPr>
          <w:rFonts w:ascii="Arial" w:eastAsia="Arial" w:hAnsi="Arial" w:cs="Arial"/>
          <w:smallCaps/>
        </w:rPr>
      </w:pPr>
    </w:p>
    <w:p w14:paraId="752703AC" w14:textId="77777777" w:rsidR="00275909" w:rsidRDefault="00A768EA">
      <w:pPr>
        <w:tabs>
          <w:tab w:val="left" w:pos="1080"/>
        </w:tabs>
        <w:jc w:val="both"/>
        <w:rPr>
          <w:rFonts w:ascii="Arial" w:eastAsia="Arial" w:hAnsi="Arial" w:cs="Arial"/>
          <w:b/>
          <w:bCs/>
        </w:rPr>
      </w:pPr>
      <w:r>
        <w:rPr>
          <w:rFonts w:ascii="Arial" w:eastAsia="Arial" w:hAnsi="Arial" w:cs="Arial"/>
          <w:b/>
          <w:bCs/>
        </w:rPr>
        <w:t>Table 1. Demographic Profile of Respondents</w:t>
      </w:r>
    </w:p>
    <w:tbl>
      <w:tblPr>
        <w:tblStyle w:val="Style11"/>
        <w:tblW w:w="8630" w:type="dxa"/>
        <w:tblInd w:w="-10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76"/>
        <w:gridCol w:w="2877"/>
        <w:gridCol w:w="2877"/>
      </w:tblGrid>
      <w:tr w:rsidR="00275909" w14:paraId="6971FBCA" w14:textId="77777777">
        <w:tc>
          <w:tcPr>
            <w:tcW w:w="2876" w:type="dxa"/>
            <w:tcBorders>
              <w:top w:val="single" w:sz="4" w:space="0" w:color="000000"/>
              <w:left w:val="nil"/>
              <w:bottom w:val="single" w:sz="4" w:space="0" w:color="000000"/>
              <w:right w:val="nil"/>
            </w:tcBorders>
            <w:tcMar>
              <w:top w:w="0" w:type="dxa"/>
              <w:left w:w="108" w:type="dxa"/>
              <w:bottom w:w="0" w:type="dxa"/>
              <w:right w:w="108" w:type="dxa"/>
            </w:tcMar>
          </w:tcPr>
          <w:p w14:paraId="74C4D298" w14:textId="77777777" w:rsidR="00275909" w:rsidRDefault="00A768EA">
            <w:pPr>
              <w:tabs>
                <w:tab w:val="left" w:pos="851"/>
              </w:tabs>
              <w:jc w:val="center"/>
              <w:rPr>
                <w:rFonts w:ascii="Arial" w:eastAsia="Garamond" w:hAnsi="Arial" w:cs="Arial"/>
                <w:b/>
                <w:bCs/>
              </w:rPr>
            </w:pPr>
            <w:r>
              <w:rPr>
                <w:rFonts w:ascii="Arial" w:eastAsia="Garamond" w:hAnsi="Arial" w:cs="Arial"/>
                <w:b/>
                <w:bCs/>
              </w:rPr>
              <w:t>Year Level</w:t>
            </w:r>
          </w:p>
        </w:tc>
        <w:tc>
          <w:tcPr>
            <w:tcW w:w="2877" w:type="dxa"/>
            <w:tcBorders>
              <w:top w:val="single" w:sz="4" w:space="0" w:color="000000"/>
              <w:left w:val="nil"/>
              <w:bottom w:val="single" w:sz="4" w:space="0" w:color="000000"/>
              <w:right w:val="nil"/>
            </w:tcBorders>
            <w:tcMar>
              <w:top w:w="0" w:type="dxa"/>
              <w:left w:w="108" w:type="dxa"/>
              <w:bottom w:w="0" w:type="dxa"/>
              <w:right w:w="108" w:type="dxa"/>
            </w:tcMar>
          </w:tcPr>
          <w:p w14:paraId="3DD00DD3" w14:textId="77777777" w:rsidR="00275909" w:rsidRDefault="00A768EA">
            <w:pPr>
              <w:tabs>
                <w:tab w:val="left" w:pos="851"/>
              </w:tabs>
              <w:jc w:val="center"/>
              <w:rPr>
                <w:rFonts w:ascii="Arial" w:eastAsia="Garamond" w:hAnsi="Arial" w:cs="Arial"/>
                <w:b/>
                <w:bCs/>
              </w:rPr>
            </w:pPr>
            <w:r>
              <w:rPr>
                <w:rFonts w:ascii="Arial" w:eastAsia="Garamond" w:hAnsi="Arial" w:cs="Arial"/>
                <w:b/>
                <w:bCs/>
              </w:rPr>
              <w:t>Frequency (</w:t>
            </w:r>
            <w:r>
              <w:rPr>
                <w:rFonts w:ascii="Arial" w:eastAsia="Garamond" w:hAnsi="Arial" w:cs="Arial"/>
                <w:b/>
                <w:bCs/>
                <w:i/>
                <w:iCs/>
                <w:color w:val="000000"/>
              </w:rPr>
              <w:t>f)</w:t>
            </w:r>
          </w:p>
        </w:tc>
        <w:tc>
          <w:tcPr>
            <w:tcW w:w="2877" w:type="dxa"/>
            <w:tcBorders>
              <w:top w:val="single" w:sz="4" w:space="0" w:color="000000"/>
              <w:left w:val="nil"/>
              <w:bottom w:val="single" w:sz="4" w:space="0" w:color="000000"/>
              <w:right w:val="nil"/>
            </w:tcBorders>
            <w:tcMar>
              <w:top w:w="0" w:type="dxa"/>
              <w:left w:w="108" w:type="dxa"/>
              <w:bottom w:w="0" w:type="dxa"/>
              <w:right w:w="108" w:type="dxa"/>
            </w:tcMar>
          </w:tcPr>
          <w:p w14:paraId="71AF3430" w14:textId="77777777" w:rsidR="00275909" w:rsidRDefault="00A768EA">
            <w:pPr>
              <w:tabs>
                <w:tab w:val="left" w:pos="851"/>
              </w:tabs>
              <w:jc w:val="center"/>
              <w:rPr>
                <w:rFonts w:ascii="Arial" w:eastAsia="Garamond" w:hAnsi="Arial" w:cs="Arial"/>
                <w:b/>
                <w:bCs/>
              </w:rPr>
            </w:pPr>
            <w:r>
              <w:rPr>
                <w:rFonts w:ascii="Arial" w:eastAsia="Garamond" w:hAnsi="Arial" w:cs="Arial"/>
                <w:b/>
                <w:bCs/>
              </w:rPr>
              <w:t>Percentage (</w:t>
            </w:r>
            <w:r>
              <w:rPr>
                <w:rFonts w:ascii="Arial" w:eastAsia="Garamond" w:hAnsi="Arial" w:cs="Arial"/>
                <w:b/>
                <w:bCs/>
                <w:i/>
                <w:iCs/>
              </w:rPr>
              <w:t>%</w:t>
            </w:r>
            <w:r>
              <w:rPr>
                <w:rFonts w:ascii="Arial" w:eastAsia="Garamond" w:hAnsi="Arial" w:cs="Arial"/>
                <w:b/>
                <w:bCs/>
              </w:rPr>
              <w:t>)</w:t>
            </w:r>
          </w:p>
        </w:tc>
      </w:tr>
      <w:tr w:rsidR="00275909" w14:paraId="1B8357B1" w14:textId="77777777">
        <w:tc>
          <w:tcPr>
            <w:tcW w:w="2876" w:type="dxa"/>
            <w:tcBorders>
              <w:top w:val="single" w:sz="4" w:space="0" w:color="000000"/>
              <w:left w:val="nil"/>
              <w:bottom w:val="nil"/>
              <w:right w:val="nil"/>
            </w:tcBorders>
            <w:tcMar>
              <w:top w:w="0" w:type="dxa"/>
              <w:left w:w="108" w:type="dxa"/>
              <w:bottom w:w="0" w:type="dxa"/>
              <w:right w:w="108" w:type="dxa"/>
            </w:tcMar>
          </w:tcPr>
          <w:p w14:paraId="54D55304" w14:textId="77777777" w:rsidR="00275909" w:rsidRDefault="00A768EA">
            <w:pPr>
              <w:tabs>
                <w:tab w:val="left" w:pos="851"/>
              </w:tabs>
              <w:jc w:val="center"/>
              <w:rPr>
                <w:rFonts w:ascii="Arial" w:eastAsia="Garamond" w:hAnsi="Arial" w:cs="Arial"/>
              </w:rPr>
            </w:pPr>
            <w:r>
              <w:rPr>
                <w:rFonts w:ascii="Arial" w:eastAsia="Garamond" w:hAnsi="Arial" w:cs="Arial"/>
              </w:rPr>
              <w:t>Level 3</w:t>
            </w:r>
          </w:p>
        </w:tc>
        <w:tc>
          <w:tcPr>
            <w:tcW w:w="2877" w:type="dxa"/>
            <w:tcBorders>
              <w:top w:val="single" w:sz="4" w:space="0" w:color="000000"/>
              <w:left w:val="nil"/>
              <w:bottom w:val="nil"/>
              <w:right w:val="nil"/>
            </w:tcBorders>
            <w:tcMar>
              <w:top w:w="0" w:type="dxa"/>
              <w:left w:w="108" w:type="dxa"/>
              <w:bottom w:w="0" w:type="dxa"/>
              <w:right w:w="108" w:type="dxa"/>
            </w:tcMar>
          </w:tcPr>
          <w:p w14:paraId="16DEAA1B" w14:textId="77777777" w:rsidR="00275909" w:rsidRDefault="00A768EA">
            <w:pPr>
              <w:tabs>
                <w:tab w:val="left" w:pos="851"/>
              </w:tabs>
              <w:jc w:val="center"/>
              <w:rPr>
                <w:rFonts w:ascii="Arial" w:eastAsia="Garamond" w:hAnsi="Arial" w:cs="Arial"/>
              </w:rPr>
            </w:pPr>
            <w:r>
              <w:rPr>
                <w:rFonts w:ascii="Arial" w:eastAsia="Garamond" w:hAnsi="Arial" w:cs="Arial"/>
              </w:rPr>
              <w:t>126</w:t>
            </w:r>
          </w:p>
        </w:tc>
        <w:tc>
          <w:tcPr>
            <w:tcW w:w="2877" w:type="dxa"/>
            <w:tcBorders>
              <w:top w:val="single" w:sz="4" w:space="0" w:color="000000"/>
              <w:left w:val="nil"/>
              <w:bottom w:val="nil"/>
              <w:right w:val="nil"/>
            </w:tcBorders>
            <w:tcMar>
              <w:top w:w="0" w:type="dxa"/>
              <w:left w:w="108" w:type="dxa"/>
              <w:bottom w:w="0" w:type="dxa"/>
              <w:right w:w="108" w:type="dxa"/>
            </w:tcMar>
          </w:tcPr>
          <w:p w14:paraId="773085A1" w14:textId="77777777" w:rsidR="00275909" w:rsidRDefault="00A768EA">
            <w:pPr>
              <w:tabs>
                <w:tab w:val="left" w:pos="851"/>
              </w:tabs>
              <w:jc w:val="center"/>
              <w:rPr>
                <w:rFonts w:ascii="Arial" w:eastAsia="Garamond" w:hAnsi="Arial" w:cs="Arial"/>
              </w:rPr>
            </w:pPr>
            <w:r>
              <w:rPr>
                <w:rFonts w:ascii="Arial" w:eastAsia="Garamond" w:hAnsi="Arial" w:cs="Arial"/>
              </w:rPr>
              <w:t>45.8%</w:t>
            </w:r>
          </w:p>
        </w:tc>
      </w:tr>
      <w:tr w:rsidR="00275909" w14:paraId="23FE6A2A" w14:textId="77777777">
        <w:tc>
          <w:tcPr>
            <w:tcW w:w="2876" w:type="dxa"/>
            <w:tcBorders>
              <w:top w:val="nil"/>
              <w:left w:val="nil"/>
              <w:bottom w:val="nil"/>
              <w:right w:val="nil"/>
            </w:tcBorders>
            <w:tcMar>
              <w:top w:w="0" w:type="dxa"/>
              <w:left w:w="108" w:type="dxa"/>
              <w:bottom w:w="0" w:type="dxa"/>
              <w:right w:w="108" w:type="dxa"/>
            </w:tcMar>
          </w:tcPr>
          <w:p w14:paraId="18C7F1DA" w14:textId="77777777" w:rsidR="00275909" w:rsidRDefault="00A768EA">
            <w:pPr>
              <w:tabs>
                <w:tab w:val="left" w:pos="851"/>
              </w:tabs>
              <w:jc w:val="center"/>
              <w:rPr>
                <w:rFonts w:ascii="Arial" w:eastAsia="Garamond" w:hAnsi="Arial" w:cs="Arial"/>
              </w:rPr>
            </w:pPr>
            <w:r>
              <w:rPr>
                <w:rFonts w:ascii="Arial" w:eastAsia="Garamond" w:hAnsi="Arial" w:cs="Arial"/>
              </w:rPr>
              <w:t>Level 4</w:t>
            </w:r>
          </w:p>
        </w:tc>
        <w:tc>
          <w:tcPr>
            <w:tcW w:w="2877" w:type="dxa"/>
            <w:tcBorders>
              <w:top w:val="nil"/>
              <w:left w:val="nil"/>
              <w:bottom w:val="nil"/>
              <w:right w:val="nil"/>
            </w:tcBorders>
            <w:tcMar>
              <w:top w:w="0" w:type="dxa"/>
              <w:left w:w="108" w:type="dxa"/>
              <w:bottom w:w="0" w:type="dxa"/>
              <w:right w:w="108" w:type="dxa"/>
            </w:tcMar>
          </w:tcPr>
          <w:p w14:paraId="4995F5C9" w14:textId="77777777" w:rsidR="00275909" w:rsidRDefault="00A768EA">
            <w:pPr>
              <w:tabs>
                <w:tab w:val="left" w:pos="851"/>
              </w:tabs>
              <w:jc w:val="center"/>
              <w:rPr>
                <w:rFonts w:ascii="Arial" w:eastAsia="Garamond" w:hAnsi="Arial" w:cs="Arial"/>
              </w:rPr>
            </w:pPr>
            <w:r>
              <w:rPr>
                <w:rFonts w:ascii="Arial" w:eastAsia="Garamond" w:hAnsi="Arial" w:cs="Arial"/>
              </w:rPr>
              <w:t>149</w:t>
            </w:r>
          </w:p>
        </w:tc>
        <w:tc>
          <w:tcPr>
            <w:tcW w:w="2877" w:type="dxa"/>
            <w:tcBorders>
              <w:top w:val="nil"/>
              <w:left w:val="nil"/>
              <w:bottom w:val="nil"/>
              <w:right w:val="nil"/>
            </w:tcBorders>
            <w:tcMar>
              <w:top w:w="0" w:type="dxa"/>
              <w:left w:w="108" w:type="dxa"/>
              <w:bottom w:w="0" w:type="dxa"/>
              <w:right w:w="108" w:type="dxa"/>
            </w:tcMar>
          </w:tcPr>
          <w:p w14:paraId="190305B3" w14:textId="77777777" w:rsidR="00275909" w:rsidRDefault="00A768EA">
            <w:pPr>
              <w:tabs>
                <w:tab w:val="left" w:pos="851"/>
              </w:tabs>
              <w:jc w:val="center"/>
              <w:rPr>
                <w:rFonts w:ascii="Arial" w:eastAsia="Garamond" w:hAnsi="Arial" w:cs="Arial"/>
              </w:rPr>
            </w:pPr>
            <w:r>
              <w:rPr>
                <w:rFonts w:ascii="Arial" w:eastAsia="Garamond" w:hAnsi="Arial" w:cs="Arial"/>
              </w:rPr>
              <w:t>54.2%</w:t>
            </w:r>
          </w:p>
        </w:tc>
      </w:tr>
      <w:tr w:rsidR="00275909" w14:paraId="1345E0B7" w14:textId="77777777">
        <w:tc>
          <w:tcPr>
            <w:tcW w:w="2876" w:type="dxa"/>
            <w:tcBorders>
              <w:top w:val="nil"/>
              <w:left w:val="nil"/>
              <w:bottom w:val="single" w:sz="4" w:space="0" w:color="000000"/>
              <w:right w:val="nil"/>
            </w:tcBorders>
            <w:tcMar>
              <w:top w:w="0" w:type="dxa"/>
              <w:left w:w="108" w:type="dxa"/>
              <w:bottom w:w="0" w:type="dxa"/>
              <w:right w:w="108" w:type="dxa"/>
            </w:tcMar>
          </w:tcPr>
          <w:p w14:paraId="723B8155" w14:textId="77777777" w:rsidR="00275909" w:rsidRDefault="00A768EA">
            <w:pPr>
              <w:tabs>
                <w:tab w:val="left" w:pos="851"/>
              </w:tabs>
              <w:rPr>
                <w:rFonts w:ascii="Arial" w:eastAsia="Garamond" w:hAnsi="Arial" w:cs="Arial"/>
                <w:b/>
                <w:bCs/>
              </w:rPr>
            </w:pPr>
            <w:r>
              <w:rPr>
                <w:rFonts w:ascii="Arial" w:eastAsia="Garamond" w:hAnsi="Arial" w:cs="Arial"/>
                <w:b/>
                <w:bCs/>
              </w:rPr>
              <w:t>Total</w:t>
            </w:r>
          </w:p>
        </w:tc>
        <w:tc>
          <w:tcPr>
            <w:tcW w:w="2877" w:type="dxa"/>
            <w:tcBorders>
              <w:top w:val="nil"/>
              <w:left w:val="nil"/>
              <w:bottom w:val="single" w:sz="4" w:space="0" w:color="000000"/>
              <w:right w:val="nil"/>
            </w:tcBorders>
            <w:tcMar>
              <w:top w:w="0" w:type="dxa"/>
              <w:left w:w="108" w:type="dxa"/>
              <w:bottom w:w="0" w:type="dxa"/>
              <w:right w:w="108" w:type="dxa"/>
            </w:tcMar>
          </w:tcPr>
          <w:p w14:paraId="6FDD7CEE" w14:textId="77777777" w:rsidR="00275909" w:rsidRDefault="00A768EA">
            <w:pPr>
              <w:tabs>
                <w:tab w:val="left" w:pos="851"/>
              </w:tabs>
              <w:jc w:val="center"/>
              <w:rPr>
                <w:rFonts w:ascii="Arial" w:eastAsia="Garamond" w:hAnsi="Arial" w:cs="Arial"/>
              </w:rPr>
            </w:pPr>
            <w:r>
              <w:rPr>
                <w:rFonts w:ascii="Arial" w:eastAsia="Garamond" w:hAnsi="Arial" w:cs="Arial"/>
              </w:rPr>
              <w:t>275</w:t>
            </w:r>
          </w:p>
        </w:tc>
        <w:tc>
          <w:tcPr>
            <w:tcW w:w="2877" w:type="dxa"/>
            <w:tcBorders>
              <w:top w:val="nil"/>
              <w:left w:val="nil"/>
              <w:bottom w:val="single" w:sz="4" w:space="0" w:color="000000"/>
              <w:right w:val="nil"/>
            </w:tcBorders>
            <w:tcMar>
              <w:top w:w="0" w:type="dxa"/>
              <w:left w:w="108" w:type="dxa"/>
              <w:bottom w:w="0" w:type="dxa"/>
              <w:right w:w="108" w:type="dxa"/>
            </w:tcMar>
          </w:tcPr>
          <w:p w14:paraId="1F0EBBC3" w14:textId="77777777" w:rsidR="00275909" w:rsidRDefault="00A768EA">
            <w:pPr>
              <w:tabs>
                <w:tab w:val="left" w:pos="851"/>
              </w:tabs>
              <w:jc w:val="center"/>
              <w:rPr>
                <w:rFonts w:ascii="Arial" w:eastAsia="Garamond" w:hAnsi="Arial" w:cs="Arial"/>
              </w:rPr>
            </w:pPr>
            <w:r>
              <w:rPr>
                <w:rFonts w:ascii="Arial" w:eastAsia="Garamond" w:hAnsi="Arial" w:cs="Arial"/>
              </w:rPr>
              <w:t>100</w:t>
            </w:r>
          </w:p>
        </w:tc>
      </w:tr>
    </w:tbl>
    <w:p w14:paraId="7ACA7AC8" w14:textId="77777777" w:rsidR="00275909" w:rsidRDefault="00275909">
      <w:pPr>
        <w:tabs>
          <w:tab w:val="left" w:pos="1080"/>
        </w:tabs>
        <w:jc w:val="both"/>
        <w:rPr>
          <w:rFonts w:ascii="Arial" w:eastAsia="Arial" w:hAnsi="Arial" w:cs="Arial"/>
          <w:b/>
          <w:bCs/>
          <w:color w:val="000000"/>
        </w:rPr>
      </w:pPr>
    </w:p>
    <w:p w14:paraId="44D55499" w14:textId="77777777" w:rsidR="00275909" w:rsidRDefault="00275909">
      <w:pPr>
        <w:tabs>
          <w:tab w:val="left" w:pos="1080"/>
        </w:tabs>
        <w:jc w:val="both"/>
        <w:rPr>
          <w:rFonts w:ascii="Arial" w:eastAsia="Arial" w:hAnsi="Arial" w:cs="Arial"/>
          <w:b/>
          <w:bCs/>
          <w:color w:val="000000"/>
        </w:rPr>
      </w:pPr>
    </w:p>
    <w:p w14:paraId="471B5ADB" w14:textId="77777777" w:rsidR="00275909" w:rsidRDefault="00275909">
      <w:pPr>
        <w:jc w:val="both"/>
        <w:rPr>
          <w:rFonts w:ascii="Arial" w:eastAsia="Arial" w:hAnsi="Arial" w:cs="Arial"/>
          <w:b/>
          <w:bCs/>
          <w:smallCaps/>
          <w:sz w:val="22"/>
          <w:szCs w:val="22"/>
        </w:rPr>
      </w:pPr>
    </w:p>
    <w:p w14:paraId="7F796543" w14:textId="77777777" w:rsidR="00275909" w:rsidRDefault="00275909">
      <w:pPr>
        <w:jc w:val="both"/>
        <w:rPr>
          <w:rFonts w:ascii="Arial" w:eastAsia="Arial" w:hAnsi="Arial" w:cs="Arial"/>
          <w:b/>
          <w:bCs/>
          <w:smallCaps/>
          <w:sz w:val="22"/>
          <w:szCs w:val="22"/>
        </w:rPr>
      </w:pPr>
    </w:p>
    <w:p w14:paraId="6F2EB625" w14:textId="77777777" w:rsidR="00275909" w:rsidRDefault="00A768EA">
      <w:pPr>
        <w:jc w:val="both"/>
        <w:rPr>
          <w:rFonts w:ascii="Arial" w:eastAsia="Arial" w:hAnsi="Arial" w:cs="Arial"/>
          <w:b/>
          <w:bCs/>
          <w:smallCaps/>
          <w:sz w:val="22"/>
          <w:szCs w:val="22"/>
        </w:rPr>
      </w:pPr>
      <w:r>
        <w:rPr>
          <w:rFonts w:ascii="Arial" w:eastAsia="Arial" w:hAnsi="Arial" w:cs="Arial"/>
          <w:b/>
          <w:bCs/>
          <w:smallCaps/>
          <w:sz w:val="22"/>
          <w:szCs w:val="22"/>
        </w:rPr>
        <w:t>4.1.2 LEVEL OF KNOWLEDGE</w:t>
      </w:r>
    </w:p>
    <w:p w14:paraId="6E0E9E8D" w14:textId="77777777" w:rsidR="00275909" w:rsidRDefault="00275909">
      <w:pPr>
        <w:jc w:val="both"/>
        <w:rPr>
          <w:rFonts w:ascii="Arial" w:eastAsia="Arial" w:hAnsi="Arial" w:cs="Arial"/>
        </w:rPr>
      </w:pPr>
    </w:p>
    <w:p w14:paraId="41E583D4" w14:textId="77777777" w:rsidR="00275909" w:rsidRDefault="00A768EA">
      <w:pPr>
        <w:jc w:val="both"/>
        <w:rPr>
          <w:rFonts w:ascii="Arial" w:eastAsia="Arial" w:hAnsi="Arial" w:cs="Arial"/>
        </w:rPr>
      </w:pPr>
      <w:r>
        <w:rPr>
          <w:rFonts w:ascii="Arial" w:eastAsia="Arial" w:hAnsi="Arial" w:cs="Arial"/>
        </w:rPr>
        <w:t>The level of knowledge regarding the care of patients with AD was assessed based on the respondents’ answers to each questionnaire item. Each indicator was assigned a numerical value representing the respondents’ level of knowledge, with higher scores indicating greater knowledge. Overall, the findings revealed that the respondents demonstrated a moderate level of knowledge, as reflected by the overall mean score of 18 out of 30.</w:t>
      </w:r>
    </w:p>
    <w:p w14:paraId="1CFF388E" w14:textId="77777777" w:rsidR="00275909" w:rsidRDefault="00275909">
      <w:pPr>
        <w:jc w:val="both"/>
        <w:rPr>
          <w:rFonts w:ascii="Arial" w:eastAsia="Arial" w:hAnsi="Arial" w:cs="Arial"/>
        </w:rPr>
      </w:pPr>
    </w:p>
    <w:p w14:paraId="06295F94" w14:textId="77777777" w:rsidR="00275909" w:rsidRDefault="00A768EA">
      <w:pPr>
        <w:jc w:val="both"/>
        <w:rPr>
          <w:rFonts w:ascii="Arial" w:eastAsia="Arial" w:hAnsi="Arial" w:cs="Arial"/>
        </w:rPr>
      </w:pPr>
      <w:r>
        <w:rPr>
          <w:rFonts w:ascii="Arial" w:eastAsia="Arial" w:hAnsi="Arial" w:cs="Arial"/>
        </w:rPr>
        <w:t>Knowledge was further analyzed across several subdomains:</w:t>
      </w:r>
    </w:p>
    <w:p w14:paraId="7C4468E2" w14:textId="77777777" w:rsidR="00275909" w:rsidRDefault="00275909">
      <w:pPr>
        <w:jc w:val="both"/>
        <w:rPr>
          <w:rFonts w:ascii="Arial" w:eastAsia="Arial" w:hAnsi="Arial" w:cs="Arial"/>
        </w:rPr>
      </w:pPr>
    </w:p>
    <w:p w14:paraId="6778A82D" w14:textId="77777777" w:rsidR="00275909" w:rsidRDefault="00A768EA">
      <w:pPr>
        <w:jc w:val="both"/>
        <w:rPr>
          <w:rFonts w:ascii="Arial" w:eastAsia="Arial" w:hAnsi="Arial" w:cs="Arial"/>
        </w:rPr>
      </w:pPr>
      <w:r>
        <w:rPr>
          <w:rFonts w:ascii="Arial" w:eastAsia="Arial" w:hAnsi="Arial" w:cs="Arial"/>
        </w:rPr>
        <w:t>Under the Symptoms domain, the overall mean score was 2.75 out of 4, indicating a relatively high level of knowledge. The highest indicator showed that 88% of the respondents correctly identified difficulty managing finances or paying bills as a common early symptom of AD. In contrast, the lowest score (48.4%) indicated that fewer respondents correctly recognized that tremors or hand shaking are not symptoms of AD.</w:t>
      </w:r>
    </w:p>
    <w:p w14:paraId="1AD8ACC7" w14:textId="77777777" w:rsidR="00275909" w:rsidRDefault="00275909">
      <w:pPr>
        <w:jc w:val="both"/>
        <w:rPr>
          <w:rFonts w:ascii="Arial" w:eastAsia="Arial" w:hAnsi="Arial" w:cs="Arial"/>
        </w:rPr>
      </w:pPr>
    </w:p>
    <w:p w14:paraId="05690D63" w14:textId="77777777" w:rsidR="00275909" w:rsidRDefault="00A768EA">
      <w:pPr>
        <w:jc w:val="both"/>
        <w:rPr>
          <w:rFonts w:ascii="Arial" w:eastAsia="Arial" w:hAnsi="Arial" w:cs="Arial"/>
        </w:rPr>
      </w:pPr>
      <w:r>
        <w:rPr>
          <w:rFonts w:ascii="Arial" w:eastAsia="Arial" w:hAnsi="Arial" w:cs="Arial"/>
        </w:rPr>
        <w:t>Under the Risk Factors domain, the overall mean score was 3.92 out of 6, reflecting a moderate level of knowledge. The highest indicator (76.7%) showed that respondents correctly identified high blood pressure as a risk factor for developing AD. However, only 35.6% correctly recognized that the statement claiming exercise has been scientifically proven to prevent AD is inaccurate.</w:t>
      </w:r>
    </w:p>
    <w:p w14:paraId="2A334032" w14:textId="77777777" w:rsidR="00275909" w:rsidRDefault="00275909">
      <w:pPr>
        <w:jc w:val="both"/>
        <w:rPr>
          <w:rFonts w:ascii="Arial" w:eastAsia="Arial" w:hAnsi="Arial" w:cs="Arial"/>
        </w:rPr>
      </w:pPr>
    </w:p>
    <w:p w14:paraId="0B327E9B" w14:textId="77777777" w:rsidR="00275909" w:rsidRDefault="00A768EA">
      <w:pPr>
        <w:jc w:val="both"/>
        <w:rPr>
          <w:rFonts w:ascii="Arial" w:eastAsia="Arial" w:hAnsi="Arial" w:cs="Arial"/>
        </w:rPr>
      </w:pPr>
      <w:r>
        <w:rPr>
          <w:rFonts w:ascii="Arial" w:eastAsia="Arial" w:hAnsi="Arial" w:cs="Arial"/>
        </w:rPr>
        <w:t>In the Assessment and Diagnosis domain, the overall mean score was 3.20 out of 4, indicating an adequate level of knowledge. A high percentage of respondents (94.2%) correctly identified AD as a type of dementia. Conversely, only 42.9% correctly recognized that the sudden onset of memory loss and confusion is unlikely to be caused by AD.</w:t>
      </w:r>
    </w:p>
    <w:p w14:paraId="2B2FBBE1" w14:textId="77777777" w:rsidR="00275909" w:rsidRDefault="00A768EA">
      <w:pPr>
        <w:jc w:val="both"/>
        <w:rPr>
          <w:rFonts w:ascii="Arial" w:eastAsia="Arial" w:hAnsi="Arial" w:cs="Arial"/>
        </w:rPr>
      </w:pPr>
      <w:r>
        <w:rPr>
          <w:rFonts w:ascii="Arial" w:eastAsia="Arial" w:hAnsi="Arial" w:cs="Arial"/>
        </w:rPr>
        <w:tab/>
      </w:r>
    </w:p>
    <w:p w14:paraId="614769B9" w14:textId="77777777" w:rsidR="00275909" w:rsidRDefault="00A768EA">
      <w:pPr>
        <w:jc w:val="both"/>
        <w:rPr>
          <w:rFonts w:ascii="Arial" w:eastAsia="Arial" w:hAnsi="Arial" w:cs="Arial"/>
        </w:rPr>
      </w:pPr>
      <w:r>
        <w:rPr>
          <w:rFonts w:ascii="Arial" w:eastAsia="Arial" w:hAnsi="Arial" w:cs="Arial"/>
        </w:rPr>
        <w:t>Under the Course of the Disease domain, the overall mean score was 3.23 out of 4, indicating a strong level of knowledge. The majority of respondents (93.8%) correctly answered that the risk of falling increases as AD progresses. However, 62.5% correctly identified that the statement claiming people with AD recover in rare cases is a misconception.</w:t>
      </w:r>
    </w:p>
    <w:p w14:paraId="0BAFC6E3" w14:textId="77777777" w:rsidR="00275909" w:rsidRDefault="00275909">
      <w:pPr>
        <w:jc w:val="both"/>
        <w:rPr>
          <w:rFonts w:ascii="Arial" w:eastAsia="Arial" w:hAnsi="Arial" w:cs="Arial"/>
        </w:rPr>
      </w:pPr>
    </w:p>
    <w:p w14:paraId="716D9C6C" w14:textId="77777777" w:rsidR="00275909" w:rsidRDefault="00A768EA">
      <w:pPr>
        <w:jc w:val="both"/>
        <w:rPr>
          <w:rFonts w:ascii="Arial" w:eastAsia="Arial" w:hAnsi="Arial" w:cs="Arial"/>
        </w:rPr>
      </w:pPr>
      <w:r>
        <w:rPr>
          <w:rFonts w:ascii="Arial" w:eastAsia="Arial" w:hAnsi="Arial" w:cs="Arial"/>
        </w:rPr>
        <w:t>For the Life Impact domain, the overall mean score was 2.01 out of 3, indicating an adequate level of knowledge. A high proportion of respondents (96%) correctly identified depression as common among individuals with AD. However, a lower percentage (75%) correctly recognized that the statement claiming most people with AD live in nursing homes is untrue.</w:t>
      </w:r>
    </w:p>
    <w:p w14:paraId="1516D0A6" w14:textId="77777777" w:rsidR="00275909" w:rsidRDefault="00275909">
      <w:pPr>
        <w:jc w:val="both"/>
        <w:rPr>
          <w:rFonts w:ascii="Arial" w:eastAsia="Arial" w:hAnsi="Arial" w:cs="Arial"/>
        </w:rPr>
      </w:pPr>
    </w:p>
    <w:p w14:paraId="274F3C0F" w14:textId="77777777" w:rsidR="00275909" w:rsidRDefault="00A768EA">
      <w:pPr>
        <w:jc w:val="both"/>
        <w:rPr>
          <w:rFonts w:ascii="Arial" w:eastAsia="Arial" w:hAnsi="Arial" w:cs="Arial"/>
        </w:rPr>
      </w:pPr>
      <w:r>
        <w:rPr>
          <w:rFonts w:ascii="Arial" w:eastAsia="Arial" w:hAnsi="Arial" w:cs="Arial"/>
        </w:rPr>
        <w:t xml:space="preserve">Under the Caregiving domain, the overall mean score was 2.57 out of 5, indicating the lowest level of knowledge among the domains and suggesting that further knowledge enhancement is needed in this area. The highest indicator (85.5%) reflected the correct identification of ensuring adequate daytime physical activity as an effective strategy for managing nighttime agitation. In contrast, the lowest indicator (25.5%) showed that only a small proportion of </w:t>
      </w:r>
      <w:r>
        <w:rPr>
          <w:rFonts w:ascii="Arial" w:eastAsia="Arial" w:hAnsi="Arial" w:cs="Arial"/>
        </w:rPr>
        <w:lastRenderedPageBreak/>
        <w:t>respondents correctly recognized the misconception that caregivers should immediately take over when individuals with AD begin to have difficulty caring for themselves.</w:t>
      </w:r>
    </w:p>
    <w:p w14:paraId="25BFD76E" w14:textId="77777777" w:rsidR="00275909" w:rsidRDefault="00275909">
      <w:pPr>
        <w:jc w:val="both"/>
        <w:rPr>
          <w:rFonts w:ascii="Arial" w:eastAsia="Arial" w:hAnsi="Arial" w:cs="Arial"/>
        </w:rPr>
      </w:pPr>
    </w:p>
    <w:p w14:paraId="4BB8517B" w14:textId="77777777" w:rsidR="00275909" w:rsidRDefault="00A768EA">
      <w:pPr>
        <w:jc w:val="both"/>
        <w:rPr>
          <w:rFonts w:ascii="Arial" w:eastAsia="Arial" w:hAnsi="Arial" w:cs="Arial"/>
        </w:rPr>
      </w:pPr>
      <w:r>
        <w:rPr>
          <w:rFonts w:ascii="Arial" w:eastAsia="Arial" w:hAnsi="Arial" w:cs="Arial"/>
        </w:rPr>
        <w:t>In the Treatment and Management domain, the overall mean score was 3.23 out of 4, indicating a strong level of knowledge. The item stating that poor nutrition can worsen AD symptoms received the highest correct response rate (96%). Meanwhile, the statement that using reminder notes serves as a crutch that may contribute to decline was correctly identified as untrue by fewer respondents, yielding a score of 46.9%.</w:t>
      </w:r>
    </w:p>
    <w:p w14:paraId="791AB033" w14:textId="77777777" w:rsidR="00275909" w:rsidRDefault="00275909">
      <w:pPr>
        <w:jc w:val="both"/>
        <w:rPr>
          <w:rFonts w:ascii="Arial" w:eastAsia="Arial" w:hAnsi="Arial" w:cs="Arial"/>
        </w:rPr>
      </w:pPr>
    </w:p>
    <w:p w14:paraId="0FE69089" w14:textId="77777777" w:rsidR="00275909" w:rsidRDefault="00A768EA">
      <w:pPr>
        <w:jc w:val="both"/>
        <w:rPr>
          <w:rFonts w:ascii="Arial" w:eastAsia="Arial" w:hAnsi="Arial" w:cs="Arial"/>
        </w:rPr>
      </w:pPr>
      <w:r>
        <w:rPr>
          <w:rFonts w:ascii="Arial" w:eastAsia="Arial" w:hAnsi="Arial" w:cs="Arial"/>
        </w:rPr>
        <w:t>These findings support the results of a study conducted among Egyptian medical students, in which the highest percentage of correct responses was observed in the treatment and management domain, while the lowest percentage was found in the caregiving domain (Samir et al., 2025). Table 2a presents the detailed data.</w:t>
      </w:r>
    </w:p>
    <w:p w14:paraId="1B43A2ED" w14:textId="77777777" w:rsidR="00275909" w:rsidRDefault="00275909">
      <w:pPr>
        <w:jc w:val="both"/>
        <w:rPr>
          <w:rFonts w:ascii="Arial" w:eastAsia="Arial" w:hAnsi="Arial" w:cs="Arial"/>
        </w:rPr>
      </w:pPr>
    </w:p>
    <w:p w14:paraId="0CCE18B2" w14:textId="77777777" w:rsidR="00275909" w:rsidRDefault="00275909">
      <w:pPr>
        <w:widowControl w:val="0"/>
        <w:jc w:val="both"/>
        <w:rPr>
          <w:rFonts w:ascii="Arial" w:eastAsia="Arial" w:hAnsi="Arial" w:cs="Arial"/>
          <w:b/>
          <w:bCs/>
        </w:rPr>
      </w:pPr>
    </w:p>
    <w:p w14:paraId="599619C9" w14:textId="77777777" w:rsidR="00275909" w:rsidRDefault="00A768EA">
      <w:pPr>
        <w:widowControl w:val="0"/>
        <w:jc w:val="both"/>
        <w:rPr>
          <w:rFonts w:ascii="Arial" w:eastAsia="Arial" w:hAnsi="Arial" w:cs="Arial"/>
          <w:b/>
          <w:bCs/>
        </w:rPr>
      </w:pPr>
      <w:r>
        <w:rPr>
          <w:rFonts w:ascii="Arial" w:eastAsia="Arial" w:hAnsi="Arial" w:cs="Arial"/>
          <w:b/>
          <w:bCs/>
        </w:rPr>
        <w:t xml:space="preserve">Table 2a. Distribution of </w:t>
      </w:r>
      <w:proofErr w:type="spellStart"/>
      <w:r>
        <w:rPr>
          <w:rFonts w:ascii="Arial" w:eastAsia="Arial" w:hAnsi="Arial" w:cs="Arial"/>
          <w:b/>
          <w:bCs/>
        </w:rPr>
        <w:t>respondes</w:t>
      </w:r>
      <w:proofErr w:type="spellEnd"/>
      <w:r>
        <w:rPr>
          <w:rFonts w:ascii="Arial" w:eastAsia="Arial" w:hAnsi="Arial" w:cs="Arial"/>
          <w:b/>
          <w:bCs/>
        </w:rPr>
        <w:t xml:space="preserve"> on Alzheimer’s Disease Knowledge Scale (n=275)</w:t>
      </w:r>
    </w:p>
    <w:tbl>
      <w:tblPr>
        <w:tblStyle w:val="Style12"/>
        <w:tblW w:w="10843" w:type="dxa"/>
        <w:jc w:val="center"/>
        <w:tblInd w:w="0" w:type="dxa"/>
        <w:tblLayout w:type="fixed"/>
        <w:tblLook w:val="04A0" w:firstRow="1" w:lastRow="0" w:firstColumn="1" w:lastColumn="0" w:noHBand="0" w:noVBand="1"/>
      </w:tblPr>
      <w:tblGrid>
        <w:gridCol w:w="8293"/>
        <w:gridCol w:w="1453"/>
        <w:gridCol w:w="1097"/>
      </w:tblGrid>
      <w:tr w:rsidR="00275909" w14:paraId="3A92E82A" w14:textId="77777777">
        <w:trPr>
          <w:trHeight w:val="227"/>
          <w:jc w:val="center"/>
        </w:trPr>
        <w:tc>
          <w:tcPr>
            <w:tcW w:w="8293" w:type="dxa"/>
            <w:tcBorders>
              <w:top w:val="single" w:sz="8" w:space="0" w:color="000000"/>
              <w:left w:val="nil"/>
              <w:bottom w:val="single" w:sz="8" w:space="0" w:color="000000"/>
              <w:right w:val="nil"/>
            </w:tcBorders>
            <w:tcMar>
              <w:top w:w="0" w:type="dxa"/>
              <w:left w:w="0" w:type="dxa"/>
              <w:bottom w:w="0" w:type="dxa"/>
              <w:right w:w="0" w:type="dxa"/>
            </w:tcMar>
          </w:tcPr>
          <w:p w14:paraId="6E682BE7" w14:textId="77777777" w:rsidR="00275909" w:rsidRDefault="00275909">
            <w:pPr>
              <w:widowControl w:val="0"/>
              <w:ind w:left="555" w:hanging="555"/>
              <w:rPr>
                <w:rFonts w:ascii="Arial" w:eastAsia="Garamond" w:hAnsi="Arial" w:cs="Arial"/>
              </w:rPr>
            </w:pPr>
          </w:p>
        </w:tc>
        <w:tc>
          <w:tcPr>
            <w:tcW w:w="1453" w:type="dxa"/>
            <w:tcBorders>
              <w:top w:val="single" w:sz="8" w:space="0" w:color="000000"/>
              <w:left w:val="nil"/>
              <w:bottom w:val="single" w:sz="8" w:space="0" w:color="000000"/>
              <w:right w:val="nil"/>
            </w:tcBorders>
            <w:tcMar>
              <w:top w:w="0" w:type="dxa"/>
              <w:left w:w="0" w:type="dxa"/>
              <w:bottom w:w="0" w:type="dxa"/>
              <w:right w:w="0" w:type="dxa"/>
            </w:tcMar>
          </w:tcPr>
          <w:p w14:paraId="2D692EBC" w14:textId="77777777" w:rsidR="00275909" w:rsidRDefault="00A768EA">
            <w:pPr>
              <w:widowControl w:val="0"/>
              <w:jc w:val="center"/>
              <w:rPr>
                <w:rFonts w:ascii="Arial" w:eastAsia="Garamond" w:hAnsi="Arial" w:cs="Arial"/>
              </w:rPr>
            </w:pPr>
            <w:r>
              <w:rPr>
                <w:rFonts w:ascii="Arial" w:eastAsia="Garamond" w:hAnsi="Arial" w:cs="Arial"/>
              </w:rPr>
              <w:t>Correct Response</w:t>
            </w:r>
          </w:p>
          <w:p w14:paraId="3732B8D7" w14:textId="77777777" w:rsidR="00275909" w:rsidRDefault="00A768EA">
            <w:pPr>
              <w:widowControl w:val="0"/>
              <w:jc w:val="center"/>
              <w:rPr>
                <w:rFonts w:ascii="Arial" w:eastAsia="Garamond" w:hAnsi="Arial" w:cs="Arial"/>
              </w:rPr>
            </w:pPr>
            <w:r>
              <w:rPr>
                <w:rFonts w:ascii="Arial" w:eastAsia="Garamond" w:hAnsi="Arial" w:cs="Arial"/>
              </w:rPr>
              <w:t>f (%)</w:t>
            </w:r>
          </w:p>
        </w:tc>
        <w:tc>
          <w:tcPr>
            <w:tcW w:w="1097" w:type="dxa"/>
            <w:tcBorders>
              <w:top w:val="single" w:sz="8" w:space="0" w:color="000000"/>
              <w:left w:val="nil"/>
              <w:bottom w:val="single" w:sz="8" w:space="0" w:color="000000"/>
              <w:right w:val="nil"/>
            </w:tcBorders>
            <w:tcMar>
              <w:top w:w="0" w:type="dxa"/>
              <w:left w:w="0" w:type="dxa"/>
              <w:bottom w:w="0" w:type="dxa"/>
              <w:right w:w="0" w:type="dxa"/>
            </w:tcMar>
          </w:tcPr>
          <w:p w14:paraId="2FE9E214" w14:textId="77777777" w:rsidR="00275909" w:rsidRDefault="00A768EA">
            <w:pPr>
              <w:widowControl w:val="0"/>
              <w:jc w:val="center"/>
              <w:rPr>
                <w:rFonts w:ascii="Arial" w:eastAsia="Garamond" w:hAnsi="Arial" w:cs="Arial"/>
              </w:rPr>
            </w:pPr>
            <w:r>
              <w:rPr>
                <w:rFonts w:ascii="Arial" w:eastAsia="Garamond" w:hAnsi="Arial" w:cs="Arial"/>
              </w:rPr>
              <w:t>Correct Answer</w:t>
            </w:r>
          </w:p>
        </w:tc>
      </w:tr>
      <w:tr w:rsidR="00275909" w14:paraId="4341D0DE" w14:textId="77777777">
        <w:trPr>
          <w:trHeight w:val="115"/>
          <w:jc w:val="center"/>
        </w:trPr>
        <w:tc>
          <w:tcPr>
            <w:tcW w:w="8293" w:type="dxa"/>
            <w:tcBorders>
              <w:top w:val="nil"/>
              <w:left w:val="nil"/>
              <w:bottom w:val="nil"/>
              <w:right w:val="nil"/>
            </w:tcBorders>
            <w:tcMar>
              <w:top w:w="0" w:type="dxa"/>
              <w:left w:w="0" w:type="dxa"/>
              <w:bottom w:w="0" w:type="dxa"/>
              <w:right w:w="0" w:type="dxa"/>
            </w:tcMar>
          </w:tcPr>
          <w:p w14:paraId="30E1775D" w14:textId="77777777" w:rsidR="00275909" w:rsidRDefault="00A768EA">
            <w:pPr>
              <w:widowControl w:val="0"/>
              <w:ind w:left="555" w:hanging="555"/>
              <w:rPr>
                <w:rFonts w:ascii="Arial" w:eastAsia="Garamond" w:hAnsi="Arial" w:cs="Arial"/>
                <w:b/>
                <w:bCs/>
              </w:rPr>
            </w:pPr>
            <w:r>
              <w:rPr>
                <w:rFonts w:ascii="Arial" w:eastAsia="Garamond" w:hAnsi="Arial" w:cs="Arial"/>
                <w:b/>
                <w:bCs/>
              </w:rPr>
              <w:t>Symptom</w:t>
            </w:r>
          </w:p>
        </w:tc>
        <w:tc>
          <w:tcPr>
            <w:tcW w:w="1453" w:type="dxa"/>
            <w:tcBorders>
              <w:top w:val="nil"/>
              <w:left w:val="nil"/>
              <w:bottom w:val="nil"/>
              <w:right w:val="nil"/>
            </w:tcBorders>
            <w:tcMar>
              <w:top w:w="0" w:type="dxa"/>
              <w:left w:w="0" w:type="dxa"/>
              <w:bottom w:w="0" w:type="dxa"/>
              <w:right w:w="0" w:type="dxa"/>
            </w:tcMar>
          </w:tcPr>
          <w:p w14:paraId="54ACF809"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c>
          <w:tcPr>
            <w:tcW w:w="1097" w:type="dxa"/>
            <w:tcBorders>
              <w:top w:val="nil"/>
              <w:left w:val="nil"/>
              <w:bottom w:val="nil"/>
              <w:right w:val="nil"/>
            </w:tcBorders>
            <w:tcMar>
              <w:top w:w="0" w:type="dxa"/>
              <w:left w:w="0" w:type="dxa"/>
              <w:bottom w:w="0" w:type="dxa"/>
              <w:right w:w="0" w:type="dxa"/>
            </w:tcMar>
          </w:tcPr>
          <w:p w14:paraId="0AB45587"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r>
      <w:tr w:rsidR="00275909" w14:paraId="25FC61EC"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4EF6B0A9" w14:textId="77777777" w:rsidR="00275909" w:rsidRDefault="00A768EA">
            <w:pPr>
              <w:widowControl w:val="0"/>
              <w:ind w:left="555" w:hanging="285"/>
              <w:rPr>
                <w:rFonts w:ascii="Arial" w:eastAsia="Garamond" w:hAnsi="Arial" w:cs="Arial"/>
              </w:rPr>
            </w:pPr>
            <w:r>
              <w:rPr>
                <w:rFonts w:ascii="Arial" w:eastAsia="Garamond" w:hAnsi="Arial" w:cs="Arial"/>
              </w:rPr>
              <w:t>Trouble handling money or paying bills is a common early symptom of AD.</w:t>
            </w:r>
          </w:p>
        </w:tc>
        <w:tc>
          <w:tcPr>
            <w:tcW w:w="1453" w:type="dxa"/>
            <w:tcBorders>
              <w:top w:val="nil"/>
              <w:left w:val="nil"/>
              <w:bottom w:val="nil"/>
              <w:right w:val="nil"/>
            </w:tcBorders>
            <w:tcMar>
              <w:top w:w="0" w:type="dxa"/>
              <w:left w:w="0" w:type="dxa"/>
              <w:bottom w:w="0" w:type="dxa"/>
              <w:right w:w="0" w:type="dxa"/>
            </w:tcMar>
          </w:tcPr>
          <w:p w14:paraId="68E41F54"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1292D4DA" w14:textId="77777777" w:rsidR="00275909" w:rsidRDefault="00A768EA">
            <w:pPr>
              <w:widowControl w:val="0"/>
              <w:ind w:left="555" w:hanging="555"/>
              <w:jc w:val="center"/>
              <w:rPr>
                <w:rFonts w:ascii="Arial" w:eastAsia="Garamond" w:hAnsi="Arial" w:cs="Arial"/>
              </w:rPr>
            </w:pPr>
            <w:r>
              <w:rPr>
                <w:rFonts w:ascii="Arial" w:eastAsia="Garamond" w:hAnsi="Arial" w:cs="Arial"/>
              </w:rPr>
              <w:t>242 (88%)</w:t>
            </w:r>
          </w:p>
        </w:tc>
      </w:tr>
      <w:tr w:rsidR="00275909" w14:paraId="384BA76E"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5E457373" w14:textId="77777777" w:rsidR="00275909" w:rsidRDefault="00A768EA">
            <w:pPr>
              <w:widowControl w:val="0"/>
              <w:ind w:left="555" w:hanging="285"/>
              <w:rPr>
                <w:rFonts w:ascii="Arial" w:eastAsia="Garamond" w:hAnsi="Arial" w:cs="Arial"/>
              </w:rPr>
            </w:pPr>
            <w:r>
              <w:rPr>
                <w:rFonts w:ascii="Arial" w:eastAsia="Garamond" w:hAnsi="Arial" w:cs="Arial"/>
              </w:rPr>
              <w:t>One symptom that can occur with AD believes that other people are stealing one's things.</w:t>
            </w:r>
          </w:p>
        </w:tc>
        <w:tc>
          <w:tcPr>
            <w:tcW w:w="1453" w:type="dxa"/>
            <w:tcBorders>
              <w:top w:val="nil"/>
              <w:left w:val="nil"/>
              <w:bottom w:val="nil"/>
              <w:right w:val="nil"/>
            </w:tcBorders>
            <w:tcMar>
              <w:top w:w="0" w:type="dxa"/>
              <w:left w:w="0" w:type="dxa"/>
              <w:bottom w:w="0" w:type="dxa"/>
              <w:right w:w="0" w:type="dxa"/>
            </w:tcMar>
          </w:tcPr>
          <w:p w14:paraId="296ADF04"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03FA66F0" w14:textId="77777777" w:rsidR="00275909" w:rsidRDefault="00A768EA">
            <w:pPr>
              <w:widowControl w:val="0"/>
              <w:ind w:left="555" w:hanging="555"/>
              <w:jc w:val="center"/>
              <w:rPr>
                <w:rFonts w:ascii="Arial" w:eastAsia="Garamond" w:hAnsi="Arial" w:cs="Arial"/>
              </w:rPr>
            </w:pPr>
            <w:r>
              <w:rPr>
                <w:rFonts w:ascii="Arial" w:eastAsia="Garamond" w:hAnsi="Arial" w:cs="Arial"/>
              </w:rPr>
              <w:t>211(76.7%)</w:t>
            </w:r>
          </w:p>
        </w:tc>
      </w:tr>
      <w:tr w:rsidR="00275909" w14:paraId="7330F8C4"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4963012D" w14:textId="77777777" w:rsidR="00275909" w:rsidRDefault="00A768EA">
            <w:pPr>
              <w:widowControl w:val="0"/>
              <w:ind w:left="555" w:hanging="285"/>
              <w:rPr>
                <w:rFonts w:ascii="Arial" w:eastAsia="Garamond" w:hAnsi="Arial" w:cs="Arial"/>
              </w:rPr>
            </w:pPr>
            <w:r>
              <w:rPr>
                <w:rFonts w:ascii="Arial" w:eastAsia="Garamond" w:hAnsi="Arial" w:cs="Arial"/>
              </w:rPr>
              <w:t>Most people with AD remember recent events better than things that happened in the past.</w:t>
            </w:r>
          </w:p>
        </w:tc>
        <w:tc>
          <w:tcPr>
            <w:tcW w:w="1453" w:type="dxa"/>
            <w:tcBorders>
              <w:top w:val="nil"/>
              <w:left w:val="nil"/>
              <w:bottom w:val="nil"/>
              <w:right w:val="nil"/>
            </w:tcBorders>
            <w:tcMar>
              <w:top w:w="0" w:type="dxa"/>
              <w:left w:w="0" w:type="dxa"/>
              <w:bottom w:w="0" w:type="dxa"/>
              <w:right w:w="0" w:type="dxa"/>
            </w:tcMar>
          </w:tcPr>
          <w:p w14:paraId="7630E97F"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4D7A9849" w14:textId="77777777" w:rsidR="00275909" w:rsidRDefault="00A768EA">
            <w:pPr>
              <w:widowControl w:val="0"/>
              <w:ind w:left="555" w:hanging="555"/>
              <w:jc w:val="center"/>
              <w:rPr>
                <w:rFonts w:ascii="Arial" w:eastAsia="Garamond" w:hAnsi="Arial" w:cs="Arial"/>
              </w:rPr>
            </w:pPr>
            <w:r>
              <w:rPr>
                <w:rFonts w:ascii="Arial" w:eastAsia="Garamond" w:hAnsi="Arial" w:cs="Arial"/>
              </w:rPr>
              <w:t>174(63.3%)</w:t>
            </w:r>
          </w:p>
        </w:tc>
      </w:tr>
      <w:tr w:rsidR="00275909" w14:paraId="08EB645C" w14:textId="77777777">
        <w:trPr>
          <w:trHeight w:val="209"/>
          <w:jc w:val="center"/>
        </w:trPr>
        <w:tc>
          <w:tcPr>
            <w:tcW w:w="8293" w:type="dxa"/>
            <w:tcBorders>
              <w:top w:val="nil"/>
              <w:left w:val="nil"/>
              <w:bottom w:val="nil"/>
              <w:right w:val="nil"/>
            </w:tcBorders>
            <w:tcMar>
              <w:top w:w="0" w:type="dxa"/>
              <w:left w:w="0" w:type="dxa"/>
              <w:bottom w:w="0" w:type="dxa"/>
              <w:right w:w="0" w:type="dxa"/>
            </w:tcMar>
          </w:tcPr>
          <w:p w14:paraId="38C465A6" w14:textId="77777777" w:rsidR="00275909" w:rsidRDefault="00A768EA">
            <w:pPr>
              <w:widowControl w:val="0"/>
              <w:ind w:left="555" w:hanging="285"/>
              <w:rPr>
                <w:rFonts w:ascii="Arial" w:eastAsia="Garamond" w:hAnsi="Arial" w:cs="Arial"/>
              </w:rPr>
            </w:pPr>
            <w:r>
              <w:rPr>
                <w:rFonts w:ascii="Arial" w:eastAsia="Garamond" w:hAnsi="Arial" w:cs="Arial"/>
              </w:rPr>
              <w:t>Tremor or shaking of the hands or arms is a common symptom in people with Alzheimer’s Disease (AD).</w:t>
            </w:r>
          </w:p>
        </w:tc>
        <w:tc>
          <w:tcPr>
            <w:tcW w:w="1453" w:type="dxa"/>
            <w:tcBorders>
              <w:top w:val="nil"/>
              <w:left w:val="nil"/>
              <w:bottom w:val="nil"/>
              <w:right w:val="nil"/>
            </w:tcBorders>
            <w:tcMar>
              <w:top w:w="0" w:type="dxa"/>
              <w:left w:w="0" w:type="dxa"/>
              <w:bottom w:w="0" w:type="dxa"/>
              <w:right w:w="0" w:type="dxa"/>
            </w:tcMar>
          </w:tcPr>
          <w:p w14:paraId="617C6140"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7BABCD2E" w14:textId="77777777" w:rsidR="00275909" w:rsidRDefault="00A768EA">
            <w:pPr>
              <w:widowControl w:val="0"/>
              <w:ind w:left="555" w:hanging="555"/>
              <w:jc w:val="center"/>
              <w:rPr>
                <w:rFonts w:ascii="Arial" w:eastAsia="Garamond" w:hAnsi="Arial" w:cs="Arial"/>
              </w:rPr>
            </w:pPr>
            <w:r>
              <w:rPr>
                <w:rFonts w:ascii="Arial" w:eastAsia="Garamond" w:hAnsi="Arial" w:cs="Arial"/>
              </w:rPr>
              <w:t>133(48.4%)</w:t>
            </w:r>
          </w:p>
        </w:tc>
      </w:tr>
      <w:tr w:rsidR="00275909" w14:paraId="7AD9CAAC" w14:textId="77777777">
        <w:trPr>
          <w:trHeight w:val="209"/>
          <w:jc w:val="center"/>
        </w:trPr>
        <w:tc>
          <w:tcPr>
            <w:tcW w:w="8293" w:type="dxa"/>
            <w:tcBorders>
              <w:top w:val="nil"/>
              <w:left w:val="nil"/>
              <w:bottom w:val="single" w:sz="8" w:space="0" w:color="000000"/>
              <w:right w:val="nil"/>
            </w:tcBorders>
            <w:tcMar>
              <w:top w:w="0" w:type="dxa"/>
              <w:left w:w="0" w:type="dxa"/>
              <w:bottom w:w="0" w:type="dxa"/>
              <w:right w:w="0" w:type="dxa"/>
            </w:tcMar>
          </w:tcPr>
          <w:p w14:paraId="4975E0A2" w14:textId="77777777" w:rsidR="00275909" w:rsidRDefault="00A768EA">
            <w:pPr>
              <w:widowControl w:val="0"/>
              <w:ind w:left="555" w:hanging="285"/>
              <w:jc w:val="center"/>
              <w:rPr>
                <w:rFonts w:ascii="Arial" w:eastAsia="Garamond" w:hAnsi="Arial" w:cs="Arial"/>
              </w:rPr>
            </w:pPr>
            <w:r>
              <w:rPr>
                <w:rFonts w:ascii="Arial" w:eastAsia="Garamond" w:hAnsi="Arial" w:cs="Arial"/>
              </w:rPr>
              <w:t xml:space="preserve">Overall </w:t>
            </w:r>
            <w:r>
              <w:rPr>
                <w:rFonts w:ascii="Arial" w:eastAsia="Garamond" w:hAnsi="Arial" w:cs="Arial"/>
                <w:b/>
                <w:bCs/>
              </w:rPr>
              <w:t xml:space="preserve">Symptom </w:t>
            </w:r>
            <w:r>
              <w:rPr>
                <w:rFonts w:ascii="Arial" w:eastAsia="Garamond" w:hAnsi="Arial" w:cs="Arial"/>
              </w:rPr>
              <w:t xml:space="preserve">mean </w:t>
            </w:r>
          </w:p>
        </w:tc>
        <w:tc>
          <w:tcPr>
            <w:tcW w:w="1453" w:type="dxa"/>
            <w:tcBorders>
              <w:top w:val="nil"/>
              <w:left w:val="nil"/>
              <w:bottom w:val="single" w:sz="8" w:space="0" w:color="000000"/>
              <w:right w:val="nil"/>
            </w:tcBorders>
            <w:tcMar>
              <w:top w:w="0" w:type="dxa"/>
              <w:left w:w="0" w:type="dxa"/>
              <w:bottom w:w="0" w:type="dxa"/>
              <w:right w:w="0" w:type="dxa"/>
            </w:tcMar>
          </w:tcPr>
          <w:p w14:paraId="4A377E11" w14:textId="77777777" w:rsidR="00275909" w:rsidRDefault="00275909">
            <w:pPr>
              <w:widowControl w:val="0"/>
              <w:ind w:left="555" w:hanging="555"/>
              <w:jc w:val="center"/>
              <w:rPr>
                <w:rFonts w:ascii="Arial" w:eastAsia="Garamond" w:hAnsi="Arial" w:cs="Arial"/>
              </w:rPr>
            </w:pPr>
          </w:p>
        </w:tc>
        <w:tc>
          <w:tcPr>
            <w:tcW w:w="1097" w:type="dxa"/>
            <w:tcBorders>
              <w:top w:val="nil"/>
              <w:left w:val="nil"/>
              <w:bottom w:val="single" w:sz="8" w:space="0" w:color="000000"/>
              <w:right w:val="nil"/>
            </w:tcBorders>
            <w:tcMar>
              <w:top w:w="0" w:type="dxa"/>
              <w:left w:w="0" w:type="dxa"/>
              <w:bottom w:w="0" w:type="dxa"/>
              <w:right w:w="0" w:type="dxa"/>
            </w:tcMar>
          </w:tcPr>
          <w:p w14:paraId="4DEC3C80" w14:textId="77777777" w:rsidR="00275909" w:rsidRDefault="00A768EA">
            <w:pPr>
              <w:widowControl w:val="0"/>
              <w:ind w:left="555" w:hanging="555"/>
              <w:jc w:val="center"/>
              <w:rPr>
                <w:rFonts w:ascii="Arial" w:eastAsia="Garamond" w:hAnsi="Arial" w:cs="Arial"/>
              </w:rPr>
            </w:pPr>
            <w:r>
              <w:rPr>
                <w:rFonts w:ascii="Arial" w:eastAsia="Garamond" w:hAnsi="Arial" w:cs="Arial"/>
              </w:rPr>
              <w:t>2.76</w:t>
            </w:r>
          </w:p>
        </w:tc>
      </w:tr>
      <w:tr w:rsidR="00275909" w14:paraId="06338E05" w14:textId="77777777">
        <w:trPr>
          <w:trHeight w:val="115"/>
          <w:jc w:val="center"/>
        </w:trPr>
        <w:tc>
          <w:tcPr>
            <w:tcW w:w="8293" w:type="dxa"/>
            <w:tcBorders>
              <w:top w:val="single" w:sz="8" w:space="0" w:color="000000"/>
              <w:left w:val="nil"/>
              <w:bottom w:val="nil"/>
              <w:right w:val="nil"/>
            </w:tcBorders>
            <w:tcMar>
              <w:top w:w="0" w:type="dxa"/>
              <w:left w:w="0" w:type="dxa"/>
              <w:bottom w:w="0" w:type="dxa"/>
              <w:right w:w="0" w:type="dxa"/>
            </w:tcMar>
          </w:tcPr>
          <w:p w14:paraId="10410FF7" w14:textId="77777777" w:rsidR="00275909" w:rsidRDefault="00A768EA">
            <w:pPr>
              <w:widowControl w:val="0"/>
              <w:ind w:left="555" w:hanging="555"/>
              <w:rPr>
                <w:rFonts w:ascii="Arial" w:eastAsia="Garamond" w:hAnsi="Arial" w:cs="Arial"/>
                <w:b/>
                <w:bCs/>
              </w:rPr>
            </w:pPr>
            <w:r>
              <w:rPr>
                <w:rFonts w:ascii="Arial" w:eastAsia="Garamond" w:hAnsi="Arial" w:cs="Arial"/>
                <w:b/>
                <w:bCs/>
              </w:rPr>
              <w:t>Risk Factors</w:t>
            </w:r>
          </w:p>
        </w:tc>
        <w:tc>
          <w:tcPr>
            <w:tcW w:w="1453" w:type="dxa"/>
            <w:tcBorders>
              <w:top w:val="single" w:sz="8" w:space="0" w:color="000000"/>
              <w:left w:val="nil"/>
              <w:bottom w:val="nil"/>
              <w:right w:val="nil"/>
            </w:tcBorders>
            <w:tcMar>
              <w:top w:w="0" w:type="dxa"/>
              <w:left w:w="0" w:type="dxa"/>
              <w:bottom w:w="0" w:type="dxa"/>
              <w:right w:w="0" w:type="dxa"/>
            </w:tcMar>
          </w:tcPr>
          <w:p w14:paraId="2B0E245D"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c>
          <w:tcPr>
            <w:tcW w:w="1097" w:type="dxa"/>
            <w:tcBorders>
              <w:top w:val="single" w:sz="8" w:space="0" w:color="000000"/>
              <w:left w:val="nil"/>
              <w:bottom w:val="nil"/>
              <w:right w:val="nil"/>
            </w:tcBorders>
            <w:tcMar>
              <w:top w:w="0" w:type="dxa"/>
              <w:left w:w="0" w:type="dxa"/>
              <w:bottom w:w="0" w:type="dxa"/>
              <w:right w:w="0" w:type="dxa"/>
            </w:tcMar>
          </w:tcPr>
          <w:p w14:paraId="5895CF03" w14:textId="77777777" w:rsidR="00275909" w:rsidRDefault="00A768EA">
            <w:pPr>
              <w:widowControl w:val="0"/>
              <w:ind w:left="555" w:hanging="555"/>
              <w:jc w:val="center"/>
              <w:rPr>
                <w:rFonts w:ascii="Arial" w:eastAsia="Garamond" w:hAnsi="Arial" w:cs="Arial"/>
              </w:rPr>
            </w:pPr>
            <w:r>
              <w:rPr>
                <w:rFonts w:ascii="Arial" w:eastAsia="Garamond" w:hAnsi="Arial" w:cs="Arial"/>
              </w:rPr>
              <w:t xml:space="preserve"> </w:t>
            </w:r>
          </w:p>
        </w:tc>
      </w:tr>
      <w:tr w:rsidR="00275909" w14:paraId="0BB6C261"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02DC06D3" w14:textId="77777777" w:rsidR="00275909" w:rsidRDefault="00A768EA">
            <w:pPr>
              <w:widowControl w:val="0"/>
              <w:ind w:left="810" w:hanging="555"/>
              <w:rPr>
                <w:rFonts w:ascii="Arial" w:eastAsia="Garamond" w:hAnsi="Arial" w:cs="Arial"/>
              </w:rPr>
            </w:pPr>
            <w:r>
              <w:rPr>
                <w:rFonts w:ascii="Arial" w:eastAsia="Garamond" w:hAnsi="Arial" w:cs="Arial"/>
              </w:rPr>
              <w:t>Having high blood pressure may increase a person's risk or developing AD.</w:t>
            </w:r>
          </w:p>
        </w:tc>
        <w:tc>
          <w:tcPr>
            <w:tcW w:w="1453" w:type="dxa"/>
            <w:tcBorders>
              <w:top w:val="nil"/>
              <w:left w:val="nil"/>
              <w:bottom w:val="nil"/>
              <w:right w:val="nil"/>
            </w:tcBorders>
            <w:tcMar>
              <w:top w:w="0" w:type="dxa"/>
              <w:left w:w="0" w:type="dxa"/>
              <w:bottom w:w="0" w:type="dxa"/>
              <w:right w:w="0" w:type="dxa"/>
            </w:tcMar>
          </w:tcPr>
          <w:p w14:paraId="4DFE782F"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3655915F" w14:textId="77777777" w:rsidR="00275909" w:rsidRDefault="00A768EA">
            <w:pPr>
              <w:widowControl w:val="0"/>
              <w:ind w:left="555" w:hanging="555"/>
              <w:jc w:val="center"/>
              <w:rPr>
                <w:rFonts w:ascii="Arial" w:eastAsia="Garamond" w:hAnsi="Arial" w:cs="Arial"/>
              </w:rPr>
            </w:pPr>
            <w:r>
              <w:rPr>
                <w:rFonts w:ascii="Arial" w:eastAsia="Garamond" w:hAnsi="Arial" w:cs="Arial"/>
              </w:rPr>
              <w:t>211(76.7%)</w:t>
            </w:r>
          </w:p>
        </w:tc>
      </w:tr>
      <w:tr w:rsidR="00275909" w14:paraId="6B381160"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7D4BC70C" w14:textId="77777777" w:rsidR="00275909" w:rsidRDefault="00A768EA">
            <w:pPr>
              <w:widowControl w:val="0"/>
              <w:ind w:left="810" w:hanging="555"/>
              <w:rPr>
                <w:rFonts w:ascii="Arial" w:eastAsia="Garamond" w:hAnsi="Arial" w:cs="Arial"/>
              </w:rPr>
            </w:pPr>
            <w:r>
              <w:rPr>
                <w:rFonts w:ascii="Arial" w:eastAsia="Garamond" w:hAnsi="Arial" w:cs="Arial"/>
              </w:rPr>
              <w:t>Having high cholesterol may increase a person’s risk of developing AD.</w:t>
            </w:r>
          </w:p>
        </w:tc>
        <w:tc>
          <w:tcPr>
            <w:tcW w:w="1453" w:type="dxa"/>
            <w:tcBorders>
              <w:top w:val="nil"/>
              <w:left w:val="nil"/>
              <w:bottom w:val="nil"/>
              <w:right w:val="nil"/>
            </w:tcBorders>
            <w:tcMar>
              <w:top w:w="0" w:type="dxa"/>
              <w:left w:w="0" w:type="dxa"/>
              <w:bottom w:w="0" w:type="dxa"/>
              <w:right w:w="0" w:type="dxa"/>
            </w:tcMar>
          </w:tcPr>
          <w:p w14:paraId="5F1FFFF5"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69AB49B8" w14:textId="77777777" w:rsidR="00275909" w:rsidRDefault="00A768EA">
            <w:pPr>
              <w:widowControl w:val="0"/>
              <w:ind w:left="555" w:hanging="555"/>
              <w:jc w:val="center"/>
              <w:rPr>
                <w:rFonts w:ascii="Arial" w:eastAsia="Garamond" w:hAnsi="Arial" w:cs="Arial"/>
              </w:rPr>
            </w:pPr>
            <w:r>
              <w:rPr>
                <w:rFonts w:ascii="Arial" w:eastAsia="Garamond" w:hAnsi="Arial" w:cs="Arial"/>
              </w:rPr>
              <w:t>208(75.6%)</w:t>
            </w:r>
          </w:p>
        </w:tc>
      </w:tr>
      <w:tr w:rsidR="00275909" w14:paraId="02A84E8C"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60FF818A" w14:textId="77777777" w:rsidR="00275909" w:rsidRDefault="00A768EA">
            <w:pPr>
              <w:widowControl w:val="0"/>
              <w:ind w:left="810" w:hanging="555"/>
              <w:rPr>
                <w:rFonts w:ascii="Arial" w:eastAsia="Garamond" w:hAnsi="Arial" w:cs="Arial"/>
              </w:rPr>
            </w:pPr>
            <w:r>
              <w:rPr>
                <w:rFonts w:ascii="Arial" w:eastAsia="Garamond" w:hAnsi="Arial" w:cs="Arial"/>
              </w:rPr>
              <w:t>Genes can only partially account for the development of AD.</w:t>
            </w:r>
          </w:p>
        </w:tc>
        <w:tc>
          <w:tcPr>
            <w:tcW w:w="1453" w:type="dxa"/>
            <w:tcBorders>
              <w:top w:val="nil"/>
              <w:left w:val="nil"/>
              <w:bottom w:val="nil"/>
              <w:right w:val="nil"/>
            </w:tcBorders>
            <w:tcMar>
              <w:top w:w="0" w:type="dxa"/>
              <w:left w:w="0" w:type="dxa"/>
              <w:bottom w:w="0" w:type="dxa"/>
              <w:right w:w="0" w:type="dxa"/>
            </w:tcMar>
          </w:tcPr>
          <w:p w14:paraId="45197A1A"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7D6E11A8" w14:textId="77777777" w:rsidR="00275909" w:rsidRDefault="00A768EA">
            <w:pPr>
              <w:widowControl w:val="0"/>
              <w:ind w:left="555" w:hanging="555"/>
              <w:jc w:val="center"/>
              <w:rPr>
                <w:rFonts w:ascii="Arial" w:eastAsia="Garamond" w:hAnsi="Arial" w:cs="Arial"/>
              </w:rPr>
            </w:pPr>
            <w:r>
              <w:rPr>
                <w:rFonts w:ascii="Arial" w:eastAsia="Garamond" w:hAnsi="Arial" w:cs="Arial"/>
              </w:rPr>
              <w:t>206(74.9%)</w:t>
            </w:r>
          </w:p>
        </w:tc>
      </w:tr>
      <w:tr w:rsidR="00275909" w14:paraId="0A4FA8A0"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0DDA15B9" w14:textId="77777777" w:rsidR="00275909" w:rsidRDefault="00A768EA">
            <w:pPr>
              <w:widowControl w:val="0"/>
              <w:ind w:left="810" w:hanging="555"/>
              <w:rPr>
                <w:rFonts w:ascii="Arial" w:eastAsia="Garamond" w:hAnsi="Arial" w:cs="Arial"/>
              </w:rPr>
            </w:pPr>
            <w:r>
              <w:rPr>
                <w:rFonts w:ascii="Arial" w:eastAsia="Garamond" w:hAnsi="Arial" w:cs="Arial"/>
              </w:rPr>
              <w:t>People in their 30s can have AD.</w:t>
            </w:r>
          </w:p>
        </w:tc>
        <w:tc>
          <w:tcPr>
            <w:tcW w:w="1453" w:type="dxa"/>
            <w:tcBorders>
              <w:top w:val="nil"/>
              <w:left w:val="nil"/>
              <w:bottom w:val="nil"/>
              <w:right w:val="nil"/>
            </w:tcBorders>
            <w:tcMar>
              <w:top w:w="0" w:type="dxa"/>
              <w:left w:w="0" w:type="dxa"/>
              <w:bottom w:w="0" w:type="dxa"/>
              <w:right w:w="0" w:type="dxa"/>
            </w:tcMar>
          </w:tcPr>
          <w:p w14:paraId="02800AEB"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052F800A" w14:textId="77777777" w:rsidR="00275909" w:rsidRDefault="00A768EA">
            <w:pPr>
              <w:widowControl w:val="0"/>
              <w:ind w:left="555" w:hanging="555"/>
              <w:jc w:val="center"/>
              <w:rPr>
                <w:rFonts w:ascii="Arial" w:eastAsia="Garamond" w:hAnsi="Arial" w:cs="Arial"/>
              </w:rPr>
            </w:pPr>
            <w:r>
              <w:rPr>
                <w:rFonts w:ascii="Arial" w:eastAsia="Garamond" w:hAnsi="Arial" w:cs="Arial"/>
              </w:rPr>
              <w:t>192(69.8%)</w:t>
            </w:r>
          </w:p>
        </w:tc>
      </w:tr>
      <w:tr w:rsidR="00275909" w14:paraId="321B051B"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2D04B3F2" w14:textId="77777777" w:rsidR="00275909" w:rsidRDefault="00A768EA">
            <w:pPr>
              <w:widowControl w:val="0"/>
              <w:ind w:left="810" w:hanging="555"/>
              <w:rPr>
                <w:rFonts w:ascii="Arial" w:eastAsia="Garamond" w:hAnsi="Arial" w:cs="Arial"/>
              </w:rPr>
            </w:pPr>
            <w:r>
              <w:rPr>
                <w:rFonts w:ascii="Arial" w:eastAsia="Garamond" w:hAnsi="Arial" w:cs="Arial"/>
              </w:rPr>
              <w:t>Prescription drugs that prevent AD are available.</w:t>
            </w:r>
          </w:p>
        </w:tc>
        <w:tc>
          <w:tcPr>
            <w:tcW w:w="1453" w:type="dxa"/>
            <w:tcBorders>
              <w:top w:val="nil"/>
              <w:left w:val="nil"/>
              <w:bottom w:val="nil"/>
              <w:right w:val="nil"/>
            </w:tcBorders>
            <w:tcMar>
              <w:top w:w="0" w:type="dxa"/>
              <w:left w:w="0" w:type="dxa"/>
              <w:bottom w:w="0" w:type="dxa"/>
              <w:right w:w="0" w:type="dxa"/>
            </w:tcMar>
          </w:tcPr>
          <w:p w14:paraId="28780D7B"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20A9EDF8" w14:textId="77777777" w:rsidR="00275909" w:rsidRDefault="00A768EA">
            <w:pPr>
              <w:widowControl w:val="0"/>
              <w:ind w:left="555" w:hanging="555"/>
              <w:jc w:val="center"/>
              <w:rPr>
                <w:rFonts w:ascii="Arial" w:eastAsia="Garamond" w:hAnsi="Arial" w:cs="Arial"/>
              </w:rPr>
            </w:pPr>
            <w:r>
              <w:rPr>
                <w:rFonts w:ascii="Arial" w:eastAsia="Garamond" w:hAnsi="Arial" w:cs="Arial"/>
              </w:rPr>
              <w:t>162(58.9)</w:t>
            </w:r>
          </w:p>
        </w:tc>
      </w:tr>
      <w:tr w:rsidR="00275909" w14:paraId="32AF8FA1"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519FB79F" w14:textId="77777777" w:rsidR="00275909" w:rsidRDefault="00A768EA">
            <w:pPr>
              <w:widowControl w:val="0"/>
              <w:ind w:left="810" w:hanging="555"/>
              <w:rPr>
                <w:rFonts w:ascii="Arial" w:eastAsia="Garamond" w:hAnsi="Arial" w:cs="Arial"/>
              </w:rPr>
            </w:pPr>
            <w:r>
              <w:rPr>
                <w:rFonts w:ascii="Arial" w:eastAsia="Garamond" w:hAnsi="Arial" w:cs="Arial"/>
              </w:rPr>
              <w:t>It has been scientifically proven that mental exercise can prevent a person from getting AD.</w:t>
            </w:r>
          </w:p>
        </w:tc>
        <w:tc>
          <w:tcPr>
            <w:tcW w:w="1453" w:type="dxa"/>
            <w:tcBorders>
              <w:top w:val="nil"/>
              <w:left w:val="nil"/>
              <w:bottom w:val="nil"/>
              <w:right w:val="nil"/>
            </w:tcBorders>
            <w:tcMar>
              <w:top w:w="0" w:type="dxa"/>
              <w:left w:w="0" w:type="dxa"/>
              <w:bottom w:w="0" w:type="dxa"/>
              <w:right w:w="0" w:type="dxa"/>
            </w:tcMar>
          </w:tcPr>
          <w:p w14:paraId="77542E4B"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7380E3C9" w14:textId="77777777" w:rsidR="00275909" w:rsidRDefault="00A768EA">
            <w:pPr>
              <w:widowControl w:val="0"/>
              <w:ind w:left="555" w:hanging="555"/>
              <w:jc w:val="center"/>
              <w:rPr>
                <w:rFonts w:ascii="Arial" w:eastAsia="Garamond" w:hAnsi="Arial" w:cs="Arial"/>
              </w:rPr>
            </w:pPr>
            <w:r>
              <w:rPr>
                <w:rFonts w:ascii="Arial" w:eastAsia="Garamond" w:hAnsi="Arial" w:cs="Arial"/>
              </w:rPr>
              <w:t>98 (35.6%)</w:t>
            </w:r>
          </w:p>
        </w:tc>
      </w:tr>
      <w:tr w:rsidR="00275909" w14:paraId="1EC129F7" w14:textId="77777777">
        <w:trPr>
          <w:trHeight w:val="115"/>
          <w:jc w:val="center"/>
        </w:trPr>
        <w:tc>
          <w:tcPr>
            <w:tcW w:w="8293" w:type="dxa"/>
            <w:tcBorders>
              <w:top w:val="nil"/>
              <w:left w:val="nil"/>
              <w:bottom w:val="single" w:sz="8" w:space="0" w:color="000000"/>
              <w:right w:val="nil"/>
            </w:tcBorders>
            <w:tcMar>
              <w:top w:w="0" w:type="dxa"/>
              <w:left w:w="0" w:type="dxa"/>
              <w:bottom w:w="0" w:type="dxa"/>
              <w:right w:w="0" w:type="dxa"/>
            </w:tcMar>
          </w:tcPr>
          <w:p w14:paraId="1425E5D6" w14:textId="77777777" w:rsidR="00275909" w:rsidRDefault="00A768EA">
            <w:pPr>
              <w:widowControl w:val="0"/>
              <w:ind w:left="555" w:hanging="555"/>
              <w:jc w:val="center"/>
              <w:rPr>
                <w:rFonts w:ascii="Arial" w:eastAsia="Garamond" w:hAnsi="Arial" w:cs="Arial"/>
                <w:b/>
                <w:bCs/>
              </w:rPr>
            </w:pPr>
            <w:r>
              <w:rPr>
                <w:rFonts w:ascii="Arial" w:eastAsia="Garamond" w:hAnsi="Arial" w:cs="Arial"/>
              </w:rPr>
              <w:t xml:space="preserve">Overall </w:t>
            </w:r>
            <w:r>
              <w:rPr>
                <w:rFonts w:ascii="Arial" w:eastAsia="Garamond" w:hAnsi="Arial" w:cs="Arial"/>
                <w:b/>
                <w:bCs/>
              </w:rPr>
              <w:t xml:space="preserve">Risk Factors </w:t>
            </w:r>
            <w:r>
              <w:rPr>
                <w:rFonts w:ascii="Arial" w:eastAsia="Garamond" w:hAnsi="Arial" w:cs="Arial"/>
              </w:rPr>
              <w:t>mean</w:t>
            </w:r>
          </w:p>
        </w:tc>
        <w:tc>
          <w:tcPr>
            <w:tcW w:w="1453" w:type="dxa"/>
            <w:tcBorders>
              <w:top w:val="nil"/>
              <w:left w:val="nil"/>
              <w:bottom w:val="single" w:sz="8" w:space="0" w:color="000000"/>
              <w:right w:val="nil"/>
            </w:tcBorders>
            <w:tcMar>
              <w:top w:w="0" w:type="dxa"/>
              <w:left w:w="0" w:type="dxa"/>
              <w:bottom w:w="0" w:type="dxa"/>
              <w:right w:w="0" w:type="dxa"/>
            </w:tcMar>
          </w:tcPr>
          <w:p w14:paraId="0CEF0E20" w14:textId="77777777" w:rsidR="00275909" w:rsidRDefault="00275909">
            <w:pPr>
              <w:widowControl w:val="0"/>
              <w:ind w:left="555" w:hanging="555"/>
              <w:jc w:val="center"/>
              <w:rPr>
                <w:rFonts w:ascii="Arial" w:eastAsia="Garamond" w:hAnsi="Arial" w:cs="Arial"/>
                <w:b/>
                <w:bCs/>
              </w:rPr>
            </w:pPr>
          </w:p>
        </w:tc>
        <w:tc>
          <w:tcPr>
            <w:tcW w:w="1097" w:type="dxa"/>
            <w:tcBorders>
              <w:top w:val="nil"/>
              <w:left w:val="nil"/>
              <w:bottom w:val="single" w:sz="8" w:space="0" w:color="000000"/>
              <w:right w:val="nil"/>
            </w:tcBorders>
            <w:tcMar>
              <w:top w:w="0" w:type="dxa"/>
              <w:left w:w="0" w:type="dxa"/>
              <w:bottom w:w="0" w:type="dxa"/>
              <w:right w:w="0" w:type="dxa"/>
            </w:tcMar>
          </w:tcPr>
          <w:p w14:paraId="49FD8AC3" w14:textId="77777777" w:rsidR="00275909" w:rsidRDefault="00A768EA">
            <w:pPr>
              <w:widowControl w:val="0"/>
              <w:ind w:left="555" w:hanging="555"/>
              <w:jc w:val="center"/>
              <w:rPr>
                <w:rFonts w:ascii="Arial" w:eastAsia="Garamond" w:hAnsi="Arial" w:cs="Arial"/>
              </w:rPr>
            </w:pPr>
            <w:r>
              <w:rPr>
                <w:rFonts w:ascii="Arial" w:eastAsia="Garamond" w:hAnsi="Arial" w:cs="Arial"/>
              </w:rPr>
              <w:t>3.92</w:t>
            </w:r>
          </w:p>
        </w:tc>
      </w:tr>
      <w:tr w:rsidR="00275909" w14:paraId="012FC4BB" w14:textId="77777777">
        <w:trPr>
          <w:trHeight w:val="115"/>
          <w:jc w:val="center"/>
        </w:trPr>
        <w:tc>
          <w:tcPr>
            <w:tcW w:w="8293" w:type="dxa"/>
            <w:tcBorders>
              <w:top w:val="single" w:sz="8" w:space="0" w:color="000000"/>
              <w:left w:val="nil"/>
              <w:bottom w:val="nil"/>
              <w:right w:val="nil"/>
            </w:tcBorders>
            <w:tcMar>
              <w:top w:w="0" w:type="dxa"/>
              <w:left w:w="0" w:type="dxa"/>
              <w:bottom w:w="0" w:type="dxa"/>
              <w:right w:w="0" w:type="dxa"/>
            </w:tcMar>
          </w:tcPr>
          <w:p w14:paraId="7373BB60" w14:textId="77777777" w:rsidR="00275909" w:rsidRDefault="00A768EA">
            <w:pPr>
              <w:widowControl w:val="0"/>
              <w:ind w:left="555" w:hanging="555"/>
              <w:rPr>
                <w:rFonts w:ascii="Arial" w:eastAsia="Garamond" w:hAnsi="Arial" w:cs="Arial"/>
                <w:b/>
                <w:bCs/>
              </w:rPr>
            </w:pPr>
            <w:r>
              <w:rPr>
                <w:rFonts w:ascii="Arial" w:eastAsia="Garamond" w:hAnsi="Arial" w:cs="Arial"/>
                <w:b/>
                <w:bCs/>
              </w:rPr>
              <w:t>Assessment and Diagnosis</w:t>
            </w:r>
          </w:p>
        </w:tc>
        <w:tc>
          <w:tcPr>
            <w:tcW w:w="1453" w:type="dxa"/>
            <w:tcBorders>
              <w:top w:val="single" w:sz="8" w:space="0" w:color="000000"/>
              <w:left w:val="nil"/>
              <w:bottom w:val="nil"/>
              <w:right w:val="nil"/>
            </w:tcBorders>
            <w:tcMar>
              <w:top w:w="0" w:type="dxa"/>
              <w:left w:w="0" w:type="dxa"/>
              <w:bottom w:w="0" w:type="dxa"/>
              <w:right w:w="0" w:type="dxa"/>
            </w:tcMar>
          </w:tcPr>
          <w:p w14:paraId="39E83920"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c>
          <w:tcPr>
            <w:tcW w:w="1097" w:type="dxa"/>
            <w:tcBorders>
              <w:top w:val="single" w:sz="8" w:space="0" w:color="000000"/>
              <w:left w:val="nil"/>
              <w:bottom w:val="nil"/>
              <w:right w:val="nil"/>
            </w:tcBorders>
            <w:tcMar>
              <w:top w:w="0" w:type="dxa"/>
              <w:left w:w="0" w:type="dxa"/>
              <w:bottom w:w="0" w:type="dxa"/>
              <w:right w:w="0" w:type="dxa"/>
            </w:tcMar>
          </w:tcPr>
          <w:p w14:paraId="1CE46628" w14:textId="77777777" w:rsidR="00275909" w:rsidRDefault="00A768EA">
            <w:pPr>
              <w:widowControl w:val="0"/>
              <w:ind w:left="555" w:hanging="555"/>
              <w:jc w:val="center"/>
              <w:rPr>
                <w:rFonts w:ascii="Arial" w:eastAsia="Garamond" w:hAnsi="Arial" w:cs="Arial"/>
              </w:rPr>
            </w:pPr>
            <w:r>
              <w:rPr>
                <w:rFonts w:ascii="Arial" w:eastAsia="Garamond" w:hAnsi="Arial" w:cs="Arial"/>
              </w:rPr>
              <w:t xml:space="preserve"> </w:t>
            </w:r>
          </w:p>
        </w:tc>
      </w:tr>
      <w:tr w:rsidR="00275909" w14:paraId="231F1AD7"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209AF641" w14:textId="77777777" w:rsidR="00275909" w:rsidRDefault="00A768EA">
            <w:pPr>
              <w:widowControl w:val="0"/>
              <w:ind w:left="810" w:hanging="555"/>
              <w:rPr>
                <w:rFonts w:ascii="Arial" w:eastAsia="Garamond" w:hAnsi="Arial" w:cs="Arial"/>
              </w:rPr>
            </w:pPr>
            <w:r>
              <w:rPr>
                <w:rFonts w:ascii="Arial" w:eastAsia="Garamond" w:hAnsi="Arial" w:cs="Arial"/>
              </w:rPr>
              <w:t>AD is one type of dementia.</w:t>
            </w:r>
          </w:p>
        </w:tc>
        <w:tc>
          <w:tcPr>
            <w:tcW w:w="1453" w:type="dxa"/>
            <w:tcBorders>
              <w:top w:val="nil"/>
              <w:left w:val="nil"/>
              <w:bottom w:val="nil"/>
              <w:right w:val="nil"/>
            </w:tcBorders>
            <w:tcMar>
              <w:top w:w="0" w:type="dxa"/>
              <w:left w:w="0" w:type="dxa"/>
              <w:bottom w:w="0" w:type="dxa"/>
              <w:right w:w="0" w:type="dxa"/>
            </w:tcMar>
          </w:tcPr>
          <w:p w14:paraId="73E5D78E"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538B53EA" w14:textId="77777777" w:rsidR="00275909" w:rsidRDefault="00A768EA">
            <w:pPr>
              <w:widowControl w:val="0"/>
              <w:ind w:left="555" w:hanging="555"/>
              <w:jc w:val="center"/>
              <w:rPr>
                <w:rFonts w:ascii="Arial" w:eastAsia="Garamond" w:hAnsi="Arial" w:cs="Arial"/>
              </w:rPr>
            </w:pPr>
            <w:r>
              <w:rPr>
                <w:rFonts w:ascii="Arial" w:eastAsia="Garamond" w:hAnsi="Arial" w:cs="Arial"/>
              </w:rPr>
              <w:t>259(94.2%)</w:t>
            </w:r>
          </w:p>
        </w:tc>
      </w:tr>
      <w:tr w:rsidR="00275909" w14:paraId="67E80402" w14:textId="77777777">
        <w:trPr>
          <w:trHeight w:val="264"/>
          <w:jc w:val="center"/>
        </w:trPr>
        <w:tc>
          <w:tcPr>
            <w:tcW w:w="8293" w:type="dxa"/>
            <w:tcBorders>
              <w:top w:val="nil"/>
              <w:left w:val="nil"/>
              <w:bottom w:val="nil"/>
              <w:right w:val="nil"/>
            </w:tcBorders>
            <w:tcMar>
              <w:top w:w="0" w:type="dxa"/>
              <w:left w:w="0" w:type="dxa"/>
              <w:bottom w:w="0" w:type="dxa"/>
              <w:right w:w="0" w:type="dxa"/>
            </w:tcMar>
          </w:tcPr>
          <w:p w14:paraId="7B5573FB" w14:textId="77777777" w:rsidR="00275909" w:rsidRDefault="00A768EA">
            <w:pPr>
              <w:widowControl w:val="0"/>
              <w:ind w:left="810" w:hanging="555"/>
              <w:rPr>
                <w:rFonts w:ascii="Arial" w:eastAsia="Garamond" w:hAnsi="Arial" w:cs="Arial"/>
              </w:rPr>
            </w:pPr>
            <w:r>
              <w:rPr>
                <w:rFonts w:ascii="Arial" w:eastAsia="Garamond" w:hAnsi="Arial" w:cs="Arial"/>
              </w:rPr>
              <w:t>When a person with AD becomes agitated, medical elimination might reveal other health problems that caused the agitation.</w:t>
            </w:r>
          </w:p>
        </w:tc>
        <w:tc>
          <w:tcPr>
            <w:tcW w:w="1453" w:type="dxa"/>
            <w:tcBorders>
              <w:top w:val="nil"/>
              <w:left w:val="nil"/>
              <w:bottom w:val="nil"/>
              <w:right w:val="nil"/>
            </w:tcBorders>
            <w:tcMar>
              <w:top w:w="0" w:type="dxa"/>
              <w:left w:w="0" w:type="dxa"/>
              <w:bottom w:w="0" w:type="dxa"/>
              <w:right w:w="0" w:type="dxa"/>
            </w:tcMar>
          </w:tcPr>
          <w:p w14:paraId="184F6823"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395AB53F" w14:textId="77777777" w:rsidR="00275909" w:rsidRDefault="00A768EA">
            <w:pPr>
              <w:widowControl w:val="0"/>
              <w:ind w:left="555" w:hanging="555"/>
              <w:jc w:val="center"/>
              <w:rPr>
                <w:rFonts w:ascii="Arial" w:eastAsia="Garamond" w:hAnsi="Arial" w:cs="Arial"/>
              </w:rPr>
            </w:pPr>
            <w:r>
              <w:rPr>
                <w:rFonts w:ascii="Arial" w:eastAsia="Garamond" w:hAnsi="Arial" w:cs="Arial"/>
              </w:rPr>
              <w:t>257(93.5%)</w:t>
            </w:r>
          </w:p>
        </w:tc>
      </w:tr>
      <w:tr w:rsidR="00275909" w14:paraId="6B07108A"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4AEE9D90" w14:textId="77777777" w:rsidR="00275909" w:rsidRDefault="00A768EA">
            <w:pPr>
              <w:widowControl w:val="0"/>
              <w:ind w:left="810" w:hanging="555"/>
              <w:rPr>
                <w:rFonts w:ascii="Arial" w:eastAsia="Garamond" w:hAnsi="Arial" w:cs="Arial"/>
              </w:rPr>
            </w:pPr>
            <w:r>
              <w:rPr>
                <w:rFonts w:ascii="Arial" w:eastAsia="Garamond" w:hAnsi="Arial" w:cs="Arial"/>
              </w:rPr>
              <w:t>Symptoms of severe depression can be mistaken for symptoms of AD.</w:t>
            </w:r>
          </w:p>
        </w:tc>
        <w:tc>
          <w:tcPr>
            <w:tcW w:w="1453" w:type="dxa"/>
            <w:tcBorders>
              <w:top w:val="nil"/>
              <w:left w:val="nil"/>
              <w:bottom w:val="nil"/>
              <w:right w:val="nil"/>
            </w:tcBorders>
            <w:tcMar>
              <w:top w:w="0" w:type="dxa"/>
              <w:left w:w="0" w:type="dxa"/>
              <w:bottom w:w="0" w:type="dxa"/>
              <w:right w:w="0" w:type="dxa"/>
            </w:tcMar>
          </w:tcPr>
          <w:p w14:paraId="3F1F792D"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35788159" w14:textId="77777777" w:rsidR="00275909" w:rsidRDefault="00A768EA">
            <w:pPr>
              <w:widowControl w:val="0"/>
              <w:ind w:left="555" w:hanging="555"/>
              <w:jc w:val="center"/>
              <w:rPr>
                <w:rFonts w:ascii="Arial" w:eastAsia="Garamond" w:hAnsi="Arial" w:cs="Arial"/>
              </w:rPr>
            </w:pPr>
            <w:r>
              <w:rPr>
                <w:rFonts w:ascii="Arial" w:eastAsia="Garamond" w:hAnsi="Arial" w:cs="Arial"/>
              </w:rPr>
              <w:t>245(89.1%)</w:t>
            </w:r>
          </w:p>
        </w:tc>
      </w:tr>
      <w:tr w:rsidR="00275909" w14:paraId="4B6F091D"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09127CD7" w14:textId="77777777" w:rsidR="00275909" w:rsidRDefault="00A768EA">
            <w:pPr>
              <w:widowControl w:val="0"/>
              <w:ind w:left="810" w:hanging="555"/>
              <w:rPr>
                <w:rFonts w:ascii="Arial" w:eastAsia="Garamond" w:hAnsi="Arial" w:cs="Arial"/>
              </w:rPr>
            </w:pPr>
            <w:r>
              <w:rPr>
                <w:rFonts w:ascii="Arial" w:eastAsia="Garamond" w:hAnsi="Arial" w:cs="Arial"/>
              </w:rPr>
              <w:t xml:space="preserve"> If trouble with memory and confused thinking appears suddenly, it is likely due to AD.</w:t>
            </w:r>
          </w:p>
        </w:tc>
        <w:tc>
          <w:tcPr>
            <w:tcW w:w="1453" w:type="dxa"/>
            <w:tcBorders>
              <w:top w:val="nil"/>
              <w:left w:val="nil"/>
              <w:bottom w:val="nil"/>
              <w:right w:val="nil"/>
            </w:tcBorders>
            <w:tcMar>
              <w:top w:w="0" w:type="dxa"/>
              <w:left w:w="0" w:type="dxa"/>
              <w:bottom w:w="0" w:type="dxa"/>
              <w:right w:w="0" w:type="dxa"/>
            </w:tcMar>
          </w:tcPr>
          <w:p w14:paraId="254BFD94"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6F4BD674" w14:textId="77777777" w:rsidR="00275909" w:rsidRDefault="00A768EA">
            <w:pPr>
              <w:widowControl w:val="0"/>
              <w:ind w:left="555" w:hanging="555"/>
              <w:jc w:val="center"/>
              <w:rPr>
                <w:rFonts w:ascii="Arial" w:eastAsia="Garamond" w:hAnsi="Arial" w:cs="Arial"/>
              </w:rPr>
            </w:pPr>
            <w:r>
              <w:rPr>
                <w:rFonts w:ascii="Arial" w:eastAsia="Garamond" w:hAnsi="Arial" w:cs="Arial"/>
              </w:rPr>
              <w:t>118(42.9%)</w:t>
            </w:r>
          </w:p>
        </w:tc>
      </w:tr>
      <w:tr w:rsidR="00275909" w14:paraId="5F98A26E" w14:textId="77777777">
        <w:trPr>
          <w:trHeight w:val="115"/>
          <w:jc w:val="center"/>
        </w:trPr>
        <w:tc>
          <w:tcPr>
            <w:tcW w:w="8293" w:type="dxa"/>
            <w:tcBorders>
              <w:top w:val="nil"/>
              <w:left w:val="nil"/>
              <w:bottom w:val="single" w:sz="8" w:space="0" w:color="000000"/>
              <w:right w:val="nil"/>
            </w:tcBorders>
            <w:tcMar>
              <w:top w:w="0" w:type="dxa"/>
              <w:left w:w="0" w:type="dxa"/>
              <w:bottom w:w="0" w:type="dxa"/>
              <w:right w:w="0" w:type="dxa"/>
            </w:tcMar>
          </w:tcPr>
          <w:p w14:paraId="7DBD89CE" w14:textId="77777777" w:rsidR="00275909" w:rsidRDefault="00A768EA">
            <w:pPr>
              <w:widowControl w:val="0"/>
              <w:ind w:left="555" w:hanging="555"/>
              <w:jc w:val="center"/>
              <w:rPr>
                <w:rFonts w:ascii="Arial" w:eastAsia="Garamond" w:hAnsi="Arial" w:cs="Arial"/>
                <w:b/>
                <w:bCs/>
              </w:rPr>
            </w:pPr>
            <w:r>
              <w:rPr>
                <w:rFonts w:ascii="Arial" w:eastAsia="Garamond" w:hAnsi="Arial" w:cs="Arial"/>
              </w:rPr>
              <w:t xml:space="preserve">Overall </w:t>
            </w:r>
            <w:r>
              <w:rPr>
                <w:rFonts w:ascii="Arial" w:eastAsia="Garamond" w:hAnsi="Arial" w:cs="Arial"/>
                <w:b/>
                <w:bCs/>
              </w:rPr>
              <w:t xml:space="preserve">Assessment and Diagnosis </w:t>
            </w:r>
            <w:r>
              <w:rPr>
                <w:rFonts w:ascii="Arial" w:eastAsia="Garamond" w:hAnsi="Arial" w:cs="Arial"/>
              </w:rPr>
              <w:t xml:space="preserve">mean </w:t>
            </w:r>
          </w:p>
        </w:tc>
        <w:tc>
          <w:tcPr>
            <w:tcW w:w="1453" w:type="dxa"/>
            <w:tcBorders>
              <w:top w:val="nil"/>
              <w:left w:val="nil"/>
              <w:bottom w:val="single" w:sz="8" w:space="0" w:color="000000"/>
              <w:right w:val="nil"/>
            </w:tcBorders>
            <w:tcMar>
              <w:top w:w="0" w:type="dxa"/>
              <w:left w:w="0" w:type="dxa"/>
              <w:bottom w:w="0" w:type="dxa"/>
              <w:right w:w="0" w:type="dxa"/>
            </w:tcMar>
          </w:tcPr>
          <w:p w14:paraId="6B5C8FBB" w14:textId="77777777" w:rsidR="00275909" w:rsidRDefault="00275909">
            <w:pPr>
              <w:widowControl w:val="0"/>
              <w:ind w:left="555" w:hanging="555"/>
              <w:jc w:val="center"/>
              <w:rPr>
                <w:rFonts w:ascii="Arial" w:eastAsia="Garamond" w:hAnsi="Arial" w:cs="Arial"/>
                <w:b/>
                <w:bCs/>
              </w:rPr>
            </w:pPr>
          </w:p>
        </w:tc>
        <w:tc>
          <w:tcPr>
            <w:tcW w:w="1097" w:type="dxa"/>
            <w:tcBorders>
              <w:top w:val="nil"/>
              <w:left w:val="nil"/>
              <w:bottom w:val="single" w:sz="8" w:space="0" w:color="000000"/>
              <w:right w:val="nil"/>
            </w:tcBorders>
            <w:tcMar>
              <w:top w:w="0" w:type="dxa"/>
              <w:left w:w="0" w:type="dxa"/>
              <w:bottom w:w="0" w:type="dxa"/>
              <w:right w:w="0" w:type="dxa"/>
            </w:tcMar>
          </w:tcPr>
          <w:p w14:paraId="5902E85A" w14:textId="77777777" w:rsidR="00275909" w:rsidRDefault="00A768EA">
            <w:pPr>
              <w:widowControl w:val="0"/>
              <w:ind w:left="555" w:hanging="555"/>
              <w:jc w:val="center"/>
              <w:rPr>
                <w:rFonts w:ascii="Arial" w:eastAsia="Garamond" w:hAnsi="Arial" w:cs="Arial"/>
              </w:rPr>
            </w:pPr>
            <w:r>
              <w:rPr>
                <w:rFonts w:ascii="Arial" w:eastAsia="Garamond" w:hAnsi="Arial" w:cs="Arial"/>
              </w:rPr>
              <w:t>3.20</w:t>
            </w:r>
          </w:p>
        </w:tc>
      </w:tr>
      <w:tr w:rsidR="00275909" w14:paraId="5A057AAD" w14:textId="77777777">
        <w:trPr>
          <w:trHeight w:val="115"/>
          <w:jc w:val="center"/>
        </w:trPr>
        <w:tc>
          <w:tcPr>
            <w:tcW w:w="8293" w:type="dxa"/>
            <w:tcBorders>
              <w:top w:val="single" w:sz="8" w:space="0" w:color="000000"/>
              <w:left w:val="nil"/>
              <w:bottom w:val="nil"/>
              <w:right w:val="nil"/>
            </w:tcBorders>
            <w:tcMar>
              <w:top w:w="0" w:type="dxa"/>
              <w:left w:w="0" w:type="dxa"/>
              <w:bottom w:w="0" w:type="dxa"/>
              <w:right w:w="0" w:type="dxa"/>
            </w:tcMar>
          </w:tcPr>
          <w:p w14:paraId="7D9C38B7" w14:textId="77777777" w:rsidR="00275909" w:rsidRDefault="00A768EA">
            <w:pPr>
              <w:widowControl w:val="0"/>
              <w:ind w:left="555" w:hanging="555"/>
              <w:rPr>
                <w:rFonts w:ascii="Arial" w:eastAsia="Garamond" w:hAnsi="Arial" w:cs="Arial"/>
                <w:b/>
                <w:bCs/>
              </w:rPr>
            </w:pPr>
            <w:r>
              <w:rPr>
                <w:rFonts w:ascii="Arial" w:eastAsia="Garamond" w:hAnsi="Arial" w:cs="Arial"/>
                <w:b/>
                <w:bCs/>
              </w:rPr>
              <w:t>Course of the Disease</w:t>
            </w:r>
          </w:p>
        </w:tc>
        <w:tc>
          <w:tcPr>
            <w:tcW w:w="1453" w:type="dxa"/>
            <w:tcBorders>
              <w:top w:val="single" w:sz="8" w:space="0" w:color="000000"/>
              <w:left w:val="nil"/>
              <w:bottom w:val="nil"/>
              <w:right w:val="nil"/>
            </w:tcBorders>
            <w:tcMar>
              <w:top w:w="0" w:type="dxa"/>
              <w:left w:w="0" w:type="dxa"/>
              <w:bottom w:w="0" w:type="dxa"/>
              <w:right w:w="0" w:type="dxa"/>
            </w:tcMar>
          </w:tcPr>
          <w:p w14:paraId="6D38ADC1"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c>
          <w:tcPr>
            <w:tcW w:w="1097" w:type="dxa"/>
            <w:tcBorders>
              <w:top w:val="single" w:sz="8" w:space="0" w:color="000000"/>
              <w:left w:val="nil"/>
              <w:bottom w:val="nil"/>
              <w:right w:val="nil"/>
            </w:tcBorders>
            <w:tcMar>
              <w:top w:w="0" w:type="dxa"/>
              <w:left w:w="0" w:type="dxa"/>
              <w:bottom w:w="0" w:type="dxa"/>
              <w:right w:w="0" w:type="dxa"/>
            </w:tcMar>
          </w:tcPr>
          <w:p w14:paraId="326EA6E5" w14:textId="77777777" w:rsidR="00275909" w:rsidRDefault="00A768EA">
            <w:pPr>
              <w:widowControl w:val="0"/>
              <w:ind w:left="555" w:hanging="555"/>
              <w:jc w:val="center"/>
              <w:rPr>
                <w:rFonts w:ascii="Arial" w:eastAsia="Garamond" w:hAnsi="Arial" w:cs="Arial"/>
              </w:rPr>
            </w:pPr>
            <w:r>
              <w:rPr>
                <w:rFonts w:ascii="Arial" w:eastAsia="Garamond" w:hAnsi="Arial" w:cs="Arial"/>
              </w:rPr>
              <w:t xml:space="preserve"> </w:t>
            </w:r>
          </w:p>
        </w:tc>
      </w:tr>
      <w:tr w:rsidR="00275909" w14:paraId="4950D87F"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1F4036BC" w14:textId="77777777" w:rsidR="00275909" w:rsidRDefault="00A768EA">
            <w:pPr>
              <w:widowControl w:val="0"/>
              <w:ind w:left="810" w:hanging="555"/>
              <w:rPr>
                <w:rFonts w:ascii="Arial" w:eastAsia="Garamond" w:hAnsi="Arial" w:cs="Arial"/>
              </w:rPr>
            </w:pPr>
            <w:r>
              <w:rPr>
                <w:rFonts w:ascii="Arial" w:eastAsia="Garamond" w:hAnsi="Arial" w:cs="Arial"/>
              </w:rPr>
              <w:t xml:space="preserve"> A person with AD becomes increasingly likely to fall down as the disease gets worse.</w:t>
            </w:r>
          </w:p>
        </w:tc>
        <w:tc>
          <w:tcPr>
            <w:tcW w:w="1453" w:type="dxa"/>
            <w:tcBorders>
              <w:top w:val="nil"/>
              <w:left w:val="nil"/>
              <w:bottom w:val="nil"/>
              <w:right w:val="nil"/>
            </w:tcBorders>
            <w:tcMar>
              <w:top w:w="0" w:type="dxa"/>
              <w:left w:w="0" w:type="dxa"/>
              <w:bottom w:w="0" w:type="dxa"/>
              <w:right w:w="0" w:type="dxa"/>
            </w:tcMar>
          </w:tcPr>
          <w:p w14:paraId="7D8095BF"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48FDBD38" w14:textId="77777777" w:rsidR="00275909" w:rsidRDefault="00A768EA">
            <w:pPr>
              <w:widowControl w:val="0"/>
              <w:ind w:left="555" w:hanging="555"/>
              <w:jc w:val="center"/>
              <w:rPr>
                <w:rFonts w:ascii="Arial" w:eastAsia="Garamond" w:hAnsi="Arial" w:cs="Arial"/>
              </w:rPr>
            </w:pPr>
            <w:r>
              <w:rPr>
                <w:rFonts w:ascii="Arial" w:eastAsia="Garamond" w:hAnsi="Arial" w:cs="Arial"/>
              </w:rPr>
              <w:t>258(93.8%)</w:t>
            </w:r>
          </w:p>
        </w:tc>
      </w:tr>
      <w:tr w:rsidR="00275909" w14:paraId="5AA010BF"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3D8E6118" w14:textId="77777777" w:rsidR="00275909" w:rsidRDefault="00A768EA">
            <w:pPr>
              <w:widowControl w:val="0"/>
              <w:ind w:left="810" w:hanging="555"/>
              <w:rPr>
                <w:rFonts w:ascii="Arial" w:eastAsia="Garamond" w:hAnsi="Arial" w:cs="Arial"/>
              </w:rPr>
            </w:pPr>
            <w:r>
              <w:rPr>
                <w:rFonts w:ascii="Arial" w:eastAsia="Garamond" w:hAnsi="Arial" w:cs="Arial"/>
              </w:rPr>
              <w:t>Eventually, a person with AD will need 24-hour supervision.</w:t>
            </w:r>
          </w:p>
        </w:tc>
        <w:tc>
          <w:tcPr>
            <w:tcW w:w="1453" w:type="dxa"/>
            <w:tcBorders>
              <w:top w:val="nil"/>
              <w:left w:val="nil"/>
              <w:bottom w:val="nil"/>
              <w:right w:val="nil"/>
            </w:tcBorders>
            <w:tcMar>
              <w:top w:w="0" w:type="dxa"/>
              <w:left w:w="0" w:type="dxa"/>
              <w:bottom w:w="0" w:type="dxa"/>
              <w:right w:w="0" w:type="dxa"/>
            </w:tcMar>
          </w:tcPr>
          <w:p w14:paraId="1A2FB135"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32AE0FC7" w14:textId="77777777" w:rsidR="00275909" w:rsidRDefault="00A768EA">
            <w:pPr>
              <w:widowControl w:val="0"/>
              <w:ind w:left="555" w:hanging="555"/>
              <w:jc w:val="center"/>
              <w:rPr>
                <w:rFonts w:ascii="Arial" w:eastAsia="Garamond" w:hAnsi="Arial" w:cs="Arial"/>
              </w:rPr>
            </w:pPr>
            <w:r>
              <w:rPr>
                <w:rFonts w:ascii="Arial" w:eastAsia="Garamond" w:hAnsi="Arial" w:cs="Arial"/>
              </w:rPr>
              <w:t>258(93.8%)</w:t>
            </w:r>
          </w:p>
        </w:tc>
      </w:tr>
      <w:tr w:rsidR="00275909" w14:paraId="3632E09C"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49AF45DB" w14:textId="77777777" w:rsidR="00275909" w:rsidRDefault="00A768EA">
            <w:pPr>
              <w:widowControl w:val="0"/>
              <w:ind w:left="810" w:hanging="555"/>
              <w:rPr>
                <w:rFonts w:ascii="Arial" w:eastAsia="Garamond" w:hAnsi="Arial" w:cs="Arial"/>
              </w:rPr>
            </w:pPr>
            <w:r>
              <w:rPr>
                <w:rFonts w:ascii="Arial" w:eastAsia="Garamond" w:hAnsi="Arial" w:cs="Arial"/>
              </w:rPr>
              <w:t xml:space="preserve"> After symptoms of AD appear, the average life expectancy is 6 to 12 years.</w:t>
            </w:r>
          </w:p>
        </w:tc>
        <w:tc>
          <w:tcPr>
            <w:tcW w:w="1453" w:type="dxa"/>
            <w:tcBorders>
              <w:top w:val="nil"/>
              <w:left w:val="nil"/>
              <w:bottom w:val="nil"/>
              <w:right w:val="nil"/>
            </w:tcBorders>
            <w:tcMar>
              <w:top w:w="0" w:type="dxa"/>
              <w:left w:w="0" w:type="dxa"/>
              <w:bottom w:w="0" w:type="dxa"/>
              <w:right w:w="0" w:type="dxa"/>
            </w:tcMar>
          </w:tcPr>
          <w:p w14:paraId="6417AD8F"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7B6A4054" w14:textId="77777777" w:rsidR="00275909" w:rsidRDefault="00A768EA">
            <w:pPr>
              <w:widowControl w:val="0"/>
              <w:ind w:left="555" w:hanging="555"/>
              <w:jc w:val="center"/>
              <w:rPr>
                <w:rFonts w:ascii="Arial" w:eastAsia="Garamond" w:hAnsi="Arial" w:cs="Arial"/>
              </w:rPr>
            </w:pPr>
            <w:r>
              <w:rPr>
                <w:rFonts w:ascii="Arial" w:eastAsia="Garamond" w:hAnsi="Arial" w:cs="Arial"/>
              </w:rPr>
              <w:t>201(73.1%)</w:t>
            </w:r>
          </w:p>
        </w:tc>
      </w:tr>
      <w:tr w:rsidR="00275909" w14:paraId="3574FFD4"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58DF9185" w14:textId="77777777" w:rsidR="00275909" w:rsidRDefault="00A768EA">
            <w:pPr>
              <w:widowControl w:val="0"/>
              <w:ind w:left="810" w:hanging="555"/>
              <w:rPr>
                <w:rFonts w:ascii="Arial" w:eastAsia="Garamond" w:hAnsi="Arial" w:cs="Arial"/>
              </w:rPr>
            </w:pPr>
            <w:r>
              <w:rPr>
                <w:rFonts w:ascii="Arial" w:eastAsia="Garamond" w:hAnsi="Arial" w:cs="Arial"/>
              </w:rPr>
              <w:t>In rare cases, people have recovered from AD.</w:t>
            </w:r>
          </w:p>
        </w:tc>
        <w:tc>
          <w:tcPr>
            <w:tcW w:w="1453" w:type="dxa"/>
            <w:tcBorders>
              <w:top w:val="nil"/>
              <w:left w:val="nil"/>
              <w:bottom w:val="nil"/>
              <w:right w:val="nil"/>
            </w:tcBorders>
            <w:tcMar>
              <w:top w:w="0" w:type="dxa"/>
              <w:left w:w="0" w:type="dxa"/>
              <w:bottom w:w="0" w:type="dxa"/>
              <w:right w:w="0" w:type="dxa"/>
            </w:tcMar>
          </w:tcPr>
          <w:p w14:paraId="13DE74C9"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5832F1D9" w14:textId="77777777" w:rsidR="00275909" w:rsidRDefault="00A768EA">
            <w:pPr>
              <w:widowControl w:val="0"/>
              <w:ind w:left="555" w:hanging="555"/>
              <w:jc w:val="center"/>
              <w:rPr>
                <w:rFonts w:ascii="Arial" w:eastAsia="Garamond" w:hAnsi="Arial" w:cs="Arial"/>
              </w:rPr>
            </w:pPr>
            <w:r>
              <w:rPr>
                <w:rFonts w:ascii="Arial" w:eastAsia="Garamond" w:hAnsi="Arial" w:cs="Arial"/>
              </w:rPr>
              <w:t>172(62.5%)</w:t>
            </w:r>
          </w:p>
        </w:tc>
      </w:tr>
      <w:tr w:rsidR="00275909" w14:paraId="321D3861" w14:textId="77777777">
        <w:trPr>
          <w:trHeight w:val="115"/>
          <w:jc w:val="center"/>
        </w:trPr>
        <w:tc>
          <w:tcPr>
            <w:tcW w:w="8293" w:type="dxa"/>
            <w:tcBorders>
              <w:top w:val="nil"/>
              <w:left w:val="nil"/>
              <w:bottom w:val="single" w:sz="8" w:space="0" w:color="000000"/>
              <w:right w:val="nil"/>
            </w:tcBorders>
            <w:tcMar>
              <w:top w:w="0" w:type="dxa"/>
              <w:left w:w="0" w:type="dxa"/>
              <w:bottom w:w="0" w:type="dxa"/>
              <w:right w:w="0" w:type="dxa"/>
            </w:tcMar>
          </w:tcPr>
          <w:p w14:paraId="6487345E" w14:textId="77777777" w:rsidR="00275909" w:rsidRDefault="00A768EA">
            <w:pPr>
              <w:widowControl w:val="0"/>
              <w:ind w:left="555" w:hanging="555"/>
              <w:jc w:val="center"/>
              <w:rPr>
                <w:rFonts w:ascii="Arial" w:eastAsia="Garamond" w:hAnsi="Arial" w:cs="Arial"/>
                <w:b/>
                <w:bCs/>
              </w:rPr>
            </w:pPr>
            <w:r>
              <w:rPr>
                <w:rFonts w:ascii="Arial" w:eastAsia="Garamond" w:hAnsi="Arial" w:cs="Arial"/>
              </w:rPr>
              <w:t xml:space="preserve">Overall </w:t>
            </w:r>
            <w:r>
              <w:rPr>
                <w:rFonts w:ascii="Arial" w:eastAsia="Garamond" w:hAnsi="Arial" w:cs="Arial"/>
                <w:b/>
                <w:bCs/>
              </w:rPr>
              <w:t>Course of the Disease</w:t>
            </w:r>
            <w:r>
              <w:rPr>
                <w:rFonts w:ascii="Arial" w:eastAsia="Garamond" w:hAnsi="Arial" w:cs="Arial"/>
              </w:rPr>
              <w:t xml:space="preserve"> mean </w:t>
            </w:r>
          </w:p>
        </w:tc>
        <w:tc>
          <w:tcPr>
            <w:tcW w:w="1453" w:type="dxa"/>
            <w:tcBorders>
              <w:top w:val="nil"/>
              <w:left w:val="nil"/>
              <w:bottom w:val="single" w:sz="8" w:space="0" w:color="000000"/>
              <w:right w:val="nil"/>
            </w:tcBorders>
            <w:tcMar>
              <w:top w:w="0" w:type="dxa"/>
              <w:left w:w="0" w:type="dxa"/>
              <w:bottom w:w="0" w:type="dxa"/>
              <w:right w:w="0" w:type="dxa"/>
            </w:tcMar>
          </w:tcPr>
          <w:p w14:paraId="31F0D783" w14:textId="77777777" w:rsidR="00275909" w:rsidRDefault="00275909">
            <w:pPr>
              <w:widowControl w:val="0"/>
              <w:ind w:left="555" w:hanging="555"/>
              <w:jc w:val="center"/>
              <w:rPr>
                <w:rFonts w:ascii="Arial" w:eastAsia="Garamond" w:hAnsi="Arial" w:cs="Arial"/>
                <w:b/>
                <w:bCs/>
              </w:rPr>
            </w:pPr>
          </w:p>
        </w:tc>
        <w:tc>
          <w:tcPr>
            <w:tcW w:w="1097" w:type="dxa"/>
            <w:tcBorders>
              <w:top w:val="nil"/>
              <w:left w:val="nil"/>
              <w:bottom w:val="single" w:sz="8" w:space="0" w:color="000000"/>
              <w:right w:val="nil"/>
            </w:tcBorders>
            <w:tcMar>
              <w:top w:w="0" w:type="dxa"/>
              <w:left w:w="0" w:type="dxa"/>
              <w:bottom w:w="0" w:type="dxa"/>
              <w:right w:w="0" w:type="dxa"/>
            </w:tcMar>
          </w:tcPr>
          <w:p w14:paraId="7F887C80" w14:textId="77777777" w:rsidR="00275909" w:rsidRDefault="00A768EA">
            <w:pPr>
              <w:widowControl w:val="0"/>
              <w:ind w:left="555" w:hanging="555"/>
              <w:jc w:val="center"/>
              <w:rPr>
                <w:rFonts w:ascii="Arial" w:eastAsia="Garamond" w:hAnsi="Arial" w:cs="Arial"/>
              </w:rPr>
            </w:pPr>
            <w:r>
              <w:rPr>
                <w:rFonts w:ascii="Arial" w:eastAsia="Garamond" w:hAnsi="Arial" w:cs="Arial"/>
              </w:rPr>
              <w:t>3.23</w:t>
            </w:r>
          </w:p>
        </w:tc>
      </w:tr>
      <w:tr w:rsidR="00275909" w14:paraId="0FD59337" w14:textId="77777777">
        <w:trPr>
          <w:trHeight w:val="115"/>
          <w:jc w:val="center"/>
        </w:trPr>
        <w:tc>
          <w:tcPr>
            <w:tcW w:w="8293" w:type="dxa"/>
            <w:tcBorders>
              <w:top w:val="single" w:sz="8" w:space="0" w:color="000000"/>
              <w:left w:val="nil"/>
              <w:bottom w:val="nil"/>
              <w:right w:val="nil"/>
            </w:tcBorders>
            <w:tcMar>
              <w:top w:w="0" w:type="dxa"/>
              <w:left w:w="0" w:type="dxa"/>
              <w:bottom w:w="0" w:type="dxa"/>
              <w:right w:w="0" w:type="dxa"/>
            </w:tcMar>
          </w:tcPr>
          <w:p w14:paraId="2608C113" w14:textId="77777777" w:rsidR="00275909" w:rsidRDefault="00A768EA">
            <w:pPr>
              <w:widowControl w:val="0"/>
              <w:ind w:left="555" w:hanging="555"/>
              <w:rPr>
                <w:rFonts w:ascii="Arial" w:eastAsia="Garamond" w:hAnsi="Arial" w:cs="Arial"/>
                <w:b/>
                <w:bCs/>
              </w:rPr>
            </w:pPr>
            <w:r>
              <w:rPr>
                <w:rFonts w:ascii="Arial" w:eastAsia="Garamond" w:hAnsi="Arial" w:cs="Arial"/>
                <w:b/>
                <w:bCs/>
              </w:rPr>
              <w:t>Life Impact</w:t>
            </w:r>
          </w:p>
        </w:tc>
        <w:tc>
          <w:tcPr>
            <w:tcW w:w="1453" w:type="dxa"/>
            <w:tcBorders>
              <w:top w:val="single" w:sz="8" w:space="0" w:color="000000"/>
              <w:left w:val="nil"/>
              <w:bottom w:val="nil"/>
              <w:right w:val="nil"/>
            </w:tcBorders>
            <w:tcMar>
              <w:top w:w="0" w:type="dxa"/>
              <w:left w:w="0" w:type="dxa"/>
              <w:bottom w:w="0" w:type="dxa"/>
              <w:right w:w="0" w:type="dxa"/>
            </w:tcMar>
          </w:tcPr>
          <w:p w14:paraId="38E3B598"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c>
          <w:tcPr>
            <w:tcW w:w="1097" w:type="dxa"/>
            <w:tcBorders>
              <w:top w:val="single" w:sz="8" w:space="0" w:color="000000"/>
              <w:left w:val="nil"/>
              <w:bottom w:val="nil"/>
              <w:right w:val="nil"/>
            </w:tcBorders>
            <w:tcMar>
              <w:top w:w="0" w:type="dxa"/>
              <w:left w:w="0" w:type="dxa"/>
              <w:bottom w:w="0" w:type="dxa"/>
              <w:right w:w="0" w:type="dxa"/>
            </w:tcMar>
          </w:tcPr>
          <w:p w14:paraId="12BA4AD5" w14:textId="77777777" w:rsidR="00275909" w:rsidRDefault="00A768EA">
            <w:pPr>
              <w:widowControl w:val="0"/>
              <w:ind w:left="555" w:hanging="555"/>
              <w:jc w:val="center"/>
              <w:rPr>
                <w:rFonts w:ascii="Arial" w:eastAsia="Garamond" w:hAnsi="Arial" w:cs="Arial"/>
              </w:rPr>
            </w:pPr>
            <w:r>
              <w:rPr>
                <w:rFonts w:ascii="Arial" w:eastAsia="Garamond" w:hAnsi="Arial" w:cs="Arial"/>
              </w:rPr>
              <w:t xml:space="preserve"> </w:t>
            </w:r>
          </w:p>
        </w:tc>
      </w:tr>
      <w:tr w:rsidR="00275909" w14:paraId="5D48BBE5"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0F7D638D" w14:textId="77777777" w:rsidR="00275909" w:rsidRDefault="00A768EA">
            <w:pPr>
              <w:widowControl w:val="0"/>
              <w:ind w:left="810" w:hanging="555"/>
              <w:rPr>
                <w:rFonts w:ascii="Arial" w:eastAsia="Garamond" w:hAnsi="Arial" w:cs="Arial"/>
              </w:rPr>
            </w:pPr>
            <w:r>
              <w:rPr>
                <w:rFonts w:ascii="Arial" w:eastAsia="Garamond" w:hAnsi="Arial" w:cs="Arial"/>
              </w:rPr>
              <w:t xml:space="preserve"> People with AD are prone to depression.</w:t>
            </w:r>
          </w:p>
        </w:tc>
        <w:tc>
          <w:tcPr>
            <w:tcW w:w="1453" w:type="dxa"/>
            <w:tcBorders>
              <w:top w:val="nil"/>
              <w:left w:val="nil"/>
              <w:bottom w:val="nil"/>
              <w:right w:val="nil"/>
            </w:tcBorders>
            <w:tcMar>
              <w:top w:w="0" w:type="dxa"/>
              <w:left w:w="0" w:type="dxa"/>
              <w:bottom w:w="0" w:type="dxa"/>
              <w:right w:w="0" w:type="dxa"/>
            </w:tcMar>
          </w:tcPr>
          <w:p w14:paraId="5860BF09"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128D998F" w14:textId="77777777" w:rsidR="00275909" w:rsidRDefault="00A768EA">
            <w:pPr>
              <w:widowControl w:val="0"/>
              <w:ind w:left="555" w:hanging="555"/>
              <w:jc w:val="center"/>
              <w:rPr>
                <w:rFonts w:ascii="Arial" w:eastAsia="Garamond" w:hAnsi="Arial" w:cs="Arial"/>
              </w:rPr>
            </w:pPr>
            <w:r>
              <w:rPr>
                <w:rFonts w:ascii="Arial" w:eastAsia="Garamond" w:hAnsi="Arial" w:cs="Arial"/>
              </w:rPr>
              <w:t>264 (96%)</w:t>
            </w:r>
          </w:p>
        </w:tc>
      </w:tr>
      <w:tr w:rsidR="00275909" w14:paraId="2A1482B3"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4A5D1BD4" w14:textId="77777777" w:rsidR="00275909" w:rsidRDefault="00A768EA">
            <w:pPr>
              <w:widowControl w:val="0"/>
              <w:ind w:left="810" w:hanging="555"/>
              <w:rPr>
                <w:rFonts w:ascii="Arial" w:eastAsia="Garamond" w:hAnsi="Arial" w:cs="Arial"/>
              </w:rPr>
            </w:pPr>
            <w:r>
              <w:rPr>
                <w:rFonts w:ascii="Arial" w:eastAsia="Garamond" w:hAnsi="Arial" w:cs="Arial"/>
              </w:rPr>
              <w:t xml:space="preserve"> It is safe for people with AD to drive, as long as they have a companion in the car at all times.</w:t>
            </w:r>
          </w:p>
        </w:tc>
        <w:tc>
          <w:tcPr>
            <w:tcW w:w="1453" w:type="dxa"/>
            <w:tcBorders>
              <w:top w:val="nil"/>
              <w:left w:val="nil"/>
              <w:bottom w:val="nil"/>
              <w:right w:val="nil"/>
            </w:tcBorders>
            <w:tcMar>
              <w:top w:w="0" w:type="dxa"/>
              <w:left w:w="0" w:type="dxa"/>
              <w:bottom w:w="0" w:type="dxa"/>
              <w:right w:w="0" w:type="dxa"/>
            </w:tcMar>
          </w:tcPr>
          <w:p w14:paraId="71017379"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5FB7D288" w14:textId="77777777" w:rsidR="00275909" w:rsidRDefault="00A768EA">
            <w:pPr>
              <w:widowControl w:val="0"/>
              <w:ind w:left="555" w:hanging="555"/>
              <w:jc w:val="center"/>
              <w:rPr>
                <w:rFonts w:ascii="Arial" w:eastAsia="Garamond" w:hAnsi="Arial" w:cs="Arial"/>
              </w:rPr>
            </w:pPr>
            <w:r>
              <w:rPr>
                <w:rFonts w:ascii="Arial" w:eastAsia="Garamond" w:hAnsi="Arial" w:cs="Arial"/>
              </w:rPr>
              <w:t>214(77.8%)</w:t>
            </w:r>
          </w:p>
        </w:tc>
      </w:tr>
      <w:tr w:rsidR="00275909" w14:paraId="0AB7B576"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6FE6D7F4" w14:textId="77777777" w:rsidR="00275909" w:rsidRDefault="00A768EA">
            <w:pPr>
              <w:widowControl w:val="0"/>
              <w:ind w:left="810" w:hanging="555"/>
              <w:rPr>
                <w:rFonts w:ascii="Arial" w:eastAsia="Garamond" w:hAnsi="Arial" w:cs="Arial"/>
              </w:rPr>
            </w:pPr>
            <w:r>
              <w:rPr>
                <w:rFonts w:ascii="Arial" w:eastAsia="Garamond" w:hAnsi="Arial" w:cs="Arial"/>
              </w:rPr>
              <w:lastRenderedPageBreak/>
              <w:t>Most people with AD live in nursing homes.</w:t>
            </w:r>
          </w:p>
        </w:tc>
        <w:tc>
          <w:tcPr>
            <w:tcW w:w="1453" w:type="dxa"/>
            <w:tcBorders>
              <w:top w:val="nil"/>
              <w:left w:val="nil"/>
              <w:bottom w:val="nil"/>
              <w:right w:val="nil"/>
            </w:tcBorders>
            <w:tcMar>
              <w:top w:w="0" w:type="dxa"/>
              <w:left w:w="0" w:type="dxa"/>
              <w:bottom w:w="0" w:type="dxa"/>
              <w:right w:w="0" w:type="dxa"/>
            </w:tcMar>
          </w:tcPr>
          <w:p w14:paraId="05F79E0F"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07776704" w14:textId="77777777" w:rsidR="00275909" w:rsidRDefault="00A768EA">
            <w:pPr>
              <w:widowControl w:val="0"/>
              <w:ind w:left="555" w:hanging="555"/>
              <w:jc w:val="center"/>
              <w:rPr>
                <w:rFonts w:ascii="Arial" w:eastAsia="Garamond" w:hAnsi="Arial" w:cs="Arial"/>
              </w:rPr>
            </w:pPr>
            <w:r>
              <w:rPr>
                <w:rFonts w:ascii="Arial" w:eastAsia="Garamond" w:hAnsi="Arial" w:cs="Arial"/>
              </w:rPr>
              <w:t>75 (27.3%)</w:t>
            </w:r>
          </w:p>
        </w:tc>
      </w:tr>
      <w:tr w:rsidR="00275909" w14:paraId="355676D4" w14:textId="77777777">
        <w:trPr>
          <w:trHeight w:val="115"/>
          <w:jc w:val="center"/>
        </w:trPr>
        <w:tc>
          <w:tcPr>
            <w:tcW w:w="8293" w:type="dxa"/>
            <w:tcBorders>
              <w:top w:val="nil"/>
              <w:left w:val="nil"/>
              <w:bottom w:val="single" w:sz="8" w:space="0" w:color="000000"/>
              <w:right w:val="nil"/>
            </w:tcBorders>
            <w:tcMar>
              <w:top w:w="0" w:type="dxa"/>
              <w:left w:w="0" w:type="dxa"/>
              <w:bottom w:w="0" w:type="dxa"/>
              <w:right w:w="0" w:type="dxa"/>
            </w:tcMar>
          </w:tcPr>
          <w:p w14:paraId="44B91B67" w14:textId="77777777" w:rsidR="00275909" w:rsidRDefault="00A768EA">
            <w:pPr>
              <w:widowControl w:val="0"/>
              <w:ind w:left="555" w:hanging="555"/>
              <w:jc w:val="center"/>
              <w:rPr>
                <w:rFonts w:ascii="Arial" w:eastAsia="Garamond" w:hAnsi="Arial" w:cs="Arial"/>
                <w:b/>
                <w:bCs/>
              </w:rPr>
            </w:pPr>
            <w:r>
              <w:rPr>
                <w:rFonts w:ascii="Arial" w:eastAsia="Garamond" w:hAnsi="Arial" w:cs="Arial"/>
              </w:rPr>
              <w:t xml:space="preserve">Overall </w:t>
            </w:r>
            <w:r>
              <w:rPr>
                <w:rFonts w:ascii="Arial" w:eastAsia="Garamond" w:hAnsi="Arial" w:cs="Arial"/>
                <w:b/>
                <w:bCs/>
              </w:rPr>
              <w:t>Life Impact</w:t>
            </w:r>
            <w:r>
              <w:rPr>
                <w:rFonts w:ascii="Arial" w:eastAsia="Garamond" w:hAnsi="Arial" w:cs="Arial"/>
              </w:rPr>
              <w:t xml:space="preserve"> mean </w:t>
            </w:r>
          </w:p>
        </w:tc>
        <w:tc>
          <w:tcPr>
            <w:tcW w:w="1453" w:type="dxa"/>
            <w:tcBorders>
              <w:top w:val="nil"/>
              <w:left w:val="nil"/>
              <w:bottom w:val="single" w:sz="8" w:space="0" w:color="000000"/>
              <w:right w:val="nil"/>
            </w:tcBorders>
            <w:tcMar>
              <w:top w:w="0" w:type="dxa"/>
              <w:left w:w="0" w:type="dxa"/>
              <w:bottom w:w="0" w:type="dxa"/>
              <w:right w:w="0" w:type="dxa"/>
            </w:tcMar>
          </w:tcPr>
          <w:p w14:paraId="0C5D065A" w14:textId="77777777" w:rsidR="00275909" w:rsidRDefault="00275909">
            <w:pPr>
              <w:widowControl w:val="0"/>
              <w:ind w:left="555" w:hanging="555"/>
              <w:jc w:val="center"/>
              <w:rPr>
                <w:rFonts w:ascii="Arial" w:eastAsia="Garamond" w:hAnsi="Arial" w:cs="Arial"/>
                <w:b/>
                <w:bCs/>
              </w:rPr>
            </w:pPr>
          </w:p>
        </w:tc>
        <w:tc>
          <w:tcPr>
            <w:tcW w:w="1097" w:type="dxa"/>
            <w:tcBorders>
              <w:top w:val="nil"/>
              <w:left w:val="nil"/>
              <w:bottom w:val="single" w:sz="8" w:space="0" w:color="000000"/>
              <w:right w:val="nil"/>
            </w:tcBorders>
            <w:tcMar>
              <w:top w:w="0" w:type="dxa"/>
              <w:left w:w="0" w:type="dxa"/>
              <w:bottom w:w="0" w:type="dxa"/>
              <w:right w:w="0" w:type="dxa"/>
            </w:tcMar>
          </w:tcPr>
          <w:p w14:paraId="67C96C8E" w14:textId="77777777" w:rsidR="00275909" w:rsidRDefault="00A768EA">
            <w:pPr>
              <w:widowControl w:val="0"/>
              <w:ind w:left="555" w:hanging="555"/>
              <w:jc w:val="center"/>
              <w:rPr>
                <w:rFonts w:ascii="Arial" w:eastAsia="Garamond" w:hAnsi="Arial" w:cs="Arial"/>
              </w:rPr>
            </w:pPr>
            <w:r>
              <w:rPr>
                <w:rFonts w:ascii="Arial" w:eastAsia="Garamond" w:hAnsi="Arial" w:cs="Arial"/>
              </w:rPr>
              <w:t>2.01</w:t>
            </w:r>
          </w:p>
        </w:tc>
      </w:tr>
      <w:tr w:rsidR="00275909" w14:paraId="4E8AA1C6" w14:textId="77777777">
        <w:trPr>
          <w:trHeight w:val="115"/>
          <w:jc w:val="center"/>
        </w:trPr>
        <w:tc>
          <w:tcPr>
            <w:tcW w:w="8293" w:type="dxa"/>
            <w:tcBorders>
              <w:top w:val="single" w:sz="8" w:space="0" w:color="000000"/>
              <w:left w:val="nil"/>
              <w:bottom w:val="nil"/>
              <w:right w:val="nil"/>
            </w:tcBorders>
            <w:tcMar>
              <w:top w:w="0" w:type="dxa"/>
              <w:left w:w="0" w:type="dxa"/>
              <w:bottom w:w="0" w:type="dxa"/>
              <w:right w:w="0" w:type="dxa"/>
            </w:tcMar>
          </w:tcPr>
          <w:p w14:paraId="5119646D" w14:textId="77777777" w:rsidR="00275909" w:rsidRDefault="00A768EA">
            <w:pPr>
              <w:widowControl w:val="0"/>
              <w:ind w:left="555" w:hanging="555"/>
              <w:rPr>
                <w:rFonts w:ascii="Arial" w:eastAsia="Garamond" w:hAnsi="Arial" w:cs="Arial"/>
                <w:b/>
                <w:bCs/>
              </w:rPr>
            </w:pPr>
            <w:r>
              <w:rPr>
                <w:rFonts w:ascii="Arial" w:eastAsia="Garamond" w:hAnsi="Arial" w:cs="Arial"/>
                <w:b/>
                <w:bCs/>
              </w:rPr>
              <w:t>Caregiving</w:t>
            </w:r>
          </w:p>
        </w:tc>
        <w:tc>
          <w:tcPr>
            <w:tcW w:w="1453" w:type="dxa"/>
            <w:tcBorders>
              <w:top w:val="single" w:sz="8" w:space="0" w:color="000000"/>
              <w:left w:val="nil"/>
              <w:bottom w:val="nil"/>
              <w:right w:val="nil"/>
            </w:tcBorders>
            <w:tcMar>
              <w:top w:w="0" w:type="dxa"/>
              <w:left w:w="0" w:type="dxa"/>
              <w:bottom w:w="0" w:type="dxa"/>
              <w:right w:w="0" w:type="dxa"/>
            </w:tcMar>
          </w:tcPr>
          <w:p w14:paraId="562E9964"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c>
          <w:tcPr>
            <w:tcW w:w="1097" w:type="dxa"/>
            <w:tcBorders>
              <w:top w:val="single" w:sz="8" w:space="0" w:color="000000"/>
              <w:left w:val="nil"/>
              <w:bottom w:val="nil"/>
              <w:right w:val="nil"/>
            </w:tcBorders>
            <w:tcMar>
              <w:top w:w="0" w:type="dxa"/>
              <w:left w:w="0" w:type="dxa"/>
              <w:bottom w:w="0" w:type="dxa"/>
              <w:right w:w="0" w:type="dxa"/>
            </w:tcMar>
          </w:tcPr>
          <w:p w14:paraId="54BF6B77" w14:textId="77777777" w:rsidR="00275909" w:rsidRDefault="00A768EA">
            <w:pPr>
              <w:widowControl w:val="0"/>
              <w:ind w:left="555" w:hanging="555"/>
              <w:jc w:val="center"/>
              <w:rPr>
                <w:rFonts w:ascii="Arial" w:eastAsia="Garamond" w:hAnsi="Arial" w:cs="Arial"/>
              </w:rPr>
            </w:pPr>
            <w:r>
              <w:rPr>
                <w:rFonts w:ascii="Arial" w:eastAsia="Garamond" w:hAnsi="Arial" w:cs="Arial"/>
              </w:rPr>
              <w:t xml:space="preserve"> </w:t>
            </w:r>
          </w:p>
        </w:tc>
      </w:tr>
      <w:tr w:rsidR="00275909" w14:paraId="4918CB84" w14:textId="77777777">
        <w:trPr>
          <w:trHeight w:val="264"/>
          <w:jc w:val="center"/>
        </w:trPr>
        <w:tc>
          <w:tcPr>
            <w:tcW w:w="8293" w:type="dxa"/>
            <w:tcBorders>
              <w:top w:val="nil"/>
              <w:left w:val="nil"/>
              <w:bottom w:val="nil"/>
              <w:right w:val="nil"/>
            </w:tcBorders>
            <w:tcMar>
              <w:top w:w="0" w:type="dxa"/>
              <w:left w:w="0" w:type="dxa"/>
              <w:bottom w:w="0" w:type="dxa"/>
              <w:right w:w="0" w:type="dxa"/>
            </w:tcMar>
          </w:tcPr>
          <w:p w14:paraId="376D1833" w14:textId="77777777" w:rsidR="00275909" w:rsidRDefault="00A768EA">
            <w:pPr>
              <w:widowControl w:val="0"/>
              <w:ind w:left="810" w:hanging="555"/>
              <w:rPr>
                <w:rFonts w:ascii="Arial" w:eastAsia="Garamond" w:hAnsi="Arial" w:cs="Arial"/>
              </w:rPr>
            </w:pPr>
            <w:r>
              <w:rPr>
                <w:rFonts w:ascii="Arial" w:eastAsia="Garamond" w:hAnsi="Arial" w:cs="Arial"/>
              </w:rPr>
              <w:t xml:space="preserve"> If a person with AD becomes alert and agitated at night, a good strategy is to try to make sure that the person gets plenty of physical activity during the day.</w:t>
            </w:r>
          </w:p>
        </w:tc>
        <w:tc>
          <w:tcPr>
            <w:tcW w:w="1453" w:type="dxa"/>
            <w:tcBorders>
              <w:top w:val="nil"/>
              <w:left w:val="nil"/>
              <w:bottom w:val="nil"/>
              <w:right w:val="nil"/>
            </w:tcBorders>
            <w:tcMar>
              <w:top w:w="0" w:type="dxa"/>
              <w:left w:w="0" w:type="dxa"/>
              <w:bottom w:w="0" w:type="dxa"/>
              <w:right w:w="0" w:type="dxa"/>
            </w:tcMar>
          </w:tcPr>
          <w:p w14:paraId="6F462C40"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721C7747" w14:textId="77777777" w:rsidR="00275909" w:rsidRDefault="00A768EA">
            <w:pPr>
              <w:widowControl w:val="0"/>
              <w:ind w:left="555" w:hanging="555"/>
              <w:jc w:val="center"/>
              <w:rPr>
                <w:rFonts w:ascii="Arial" w:eastAsia="Garamond" w:hAnsi="Arial" w:cs="Arial"/>
              </w:rPr>
            </w:pPr>
            <w:r>
              <w:rPr>
                <w:rFonts w:ascii="Arial" w:eastAsia="Garamond" w:hAnsi="Arial" w:cs="Arial"/>
              </w:rPr>
              <w:t>235(85.5%)</w:t>
            </w:r>
          </w:p>
        </w:tc>
      </w:tr>
      <w:tr w:rsidR="00275909" w14:paraId="5EAC8A38"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57445002" w14:textId="77777777" w:rsidR="00275909" w:rsidRDefault="00A768EA">
            <w:pPr>
              <w:widowControl w:val="0"/>
              <w:ind w:left="810" w:hanging="555"/>
              <w:rPr>
                <w:rFonts w:ascii="Arial" w:eastAsia="Garamond" w:hAnsi="Arial" w:cs="Arial"/>
              </w:rPr>
            </w:pPr>
            <w:r>
              <w:rPr>
                <w:rFonts w:ascii="Arial" w:eastAsia="Garamond" w:hAnsi="Arial" w:cs="Arial"/>
              </w:rPr>
              <w:t>People with AD do best with simple instructions given one step at a time.</w:t>
            </w:r>
          </w:p>
        </w:tc>
        <w:tc>
          <w:tcPr>
            <w:tcW w:w="1453" w:type="dxa"/>
            <w:tcBorders>
              <w:top w:val="nil"/>
              <w:left w:val="nil"/>
              <w:bottom w:val="nil"/>
              <w:right w:val="nil"/>
            </w:tcBorders>
            <w:tcMar>
              <w:top w:w="0" w:type="dxa"/>
              <w:left w:w="0" w:type="dxa"/>
              <w:bottom w:w="0" w:type="dxa"/>
              <w:right w:w="0" w:type="dxa"/>
            </w:tcMar>
          </w:tcPr>
          <w:p w14:paraId="72BE3A62"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06D2C3C1" w14:textId="77777777" w:rsidR="00275909" w:rsidRDefault="00A768EA">
            <w:pPr>
              <w:widowControl w:val="0"/>
              <w:ind w:left="555" w:hanging="555"/>
              <w:jc w:val="center"/>
              <w:rPr>
                <w:rFonts w:ascii="Arial" w:eastAsia="Garamond" w:hAnsi="Arial" w:cs="Arial"/>
              </w:rPr>
            </w:pPr>
            <w:r>
              <w:rPr>
                <w:rFonts w:ascii="Arial" w:eastAsia="Garamond" w:hAnsi="Arial" w:cs="Arial"/>
              </w:rPr>
              <w:t>221(80.4%)</w:t>
            </w:r>
          </w:p>
        </w:tc>
      </w:tr>
      <w:tr w:rsidR="00275909" w14:paraId="5DD44BA7" w14:textId="77777777">
        <w:trPr>
          <w:trHeight w:val="264"/>
          <w:jc w:val="center"/>
        </w:trPr>
        <w:tc>
          <w:tcPr>
            <w:tcW w:w="8293" w:type="dxa"/>
            <w:tcBorders>
              <w:top w:val="nil"/>
              <w:left w:val="nil"/>
              <w:bottom w:val="nil"/>
              <w:right w:val="nil"/>
            </w:tcBorders>
            <w:tcMar>
              <w:top w:w="0" w:type="dxa"/>
              <w:left w:w="0" w:type="dxa"/>
              <w:bottom w:w="0" w:type="dxa"/>
              <w:right w:w="0" w:type="dxa"/>
            </w:tcMar>
          </w:tcPr>
          <w:p w14:paraId="1C3F6EA5" w14:textId="77777777" w:rsidR="00275909" w:rsidRDefault="00A768EA">
            <w:pPr>
              <w:widowControl w:val="0"/>
              <w:ind w:left="810" w:hanging="555"/>
              <w:rPr>
                <w:rFonts w:ascii="Arial" w:eastAsia="Garamond" w:hAnsi="Arial" w:cs="Arial"/>
              </w:rPr>
            </w:pPr>
            <w:r>
              <w:rPr>
                <w:rFonts w:ascii="Arial" w:eastAsia="Garamond" w:hAnsi="Arial" w:cs="Arial"/>
              </w:rPr>
              <w:t xml:space="preserve"> When people with AD repeat the same question or story several times, it is helpful to remind them that they are repeating themselves</w:t>
            </w:r>
          </w:p>
        </w:tc>
        <w:tc>
          <w:tcPr>
            <w:tcW w:w="1453" w:type="dxa"/>
            <w:tcBorders>
              <w:top w:val="nil"/>
              <w:left w:val="nil"/>
              <w:bottom w:val="nil"/>
              <w:right w:val="nil"/>
            </w:tcBorders>
            <w:tcMar>
              <w:top w:w="0" w:type="dxa"/>
              <w:left w:w="0" w:type="dxa"/>
              <w:bottom w:w="0" w:type="dxa"/>
              <w:right w:w="0" w:type="dxa"/>
            </w:tcMar>
          </w:tcPr>
          <w:p w14:paraId="488483C9"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1EC099AD" w14:textId="77777777" w:rsidR="00275909" w:rsidRDefault="00A768EA">
            <w:pPr>
              <w:widowControl w:val="0"/>
              <w:ind w:left="555" w:hanging="555"/>
              <w:jc w:val="center"/>
              <w:rPr>
                <w:rFonts w:ascii="Arial" w:eastAsia="Garamond" w:hAnsi="Arial" w:cs="Arial"/>
              </w:rPr>
            </w:pPr>
            <w:r>
              <w:rPr>
                <w:rFonts w:ascii="Arial" w:eastAsia="Garamond" w:hAnsi="Arial" w:cs="Arial"/>
              </w:rPr>
              <w:t>99 (36%)</w:t>
            </w:r>
          </w:p>
        </w:tc>
      </w:tr>
      <w:tr w:rsidR="00275909" w14:paraId="6F22F091" w14:textId="77777777">
        <w:trPr>
          <w:trHeight w:val="209"/>
          <w:jc w:val="center"/>
        </w:trPr>
        <w:tc>
          <w:tcPr>
            <w:tcW w:w="8293" w:type="dxa"/>
            <w:tcBorders>
              <w:top w:val="nil"/>
              <w:left w:val="nil"/>
              <w:bottom w:val="nil"/>
              <w:right w:val="nil"/>
            </w:tcBorders>
            <w:tcMar>
              <w:top w:w="0" w:type="dxa"/>
              <w:left w:w="0" w:type="dxa"/>
              <w:bottom w:w="0" w:type="dxa"/>
              <w:right w:w="0" w:type="dxa"/>
            </w:tcMar>
          </w:tcPr>
          <w:p w14:paraId="34671C49" w14:textId="77777777" w:rsidR="00275909" w:rsidRDefault="00A768EA">
            <w:pPr>
              <w:widowControl w:val="0"/>
              <w:ind w:left="810" w:hanging="555"/>
              <w:rPr>
                <w:rFonts w:ascii="Arial" w:eastAsia="Garamond" w:hAnsi="Arial" w:cs="Arial"/>
              </w:rPr>
            </w:pPr>
            <w:r>
              <w:rPr>
                <w:rFonts w:ascii="Arial" w:eastAsia="Garamond" w:hAnsi="Arial" w:cs="Arial"/>
              </w:rPr>
              <w:t xml:space="preserve"> Once people have AD, they are no longer capable of making informed decisions about their own care.</w:t>
            </w:r>
          </w:p>
        </w:tc>
        <w:tc>
          <w:tcPr>
            <w:tcW w:w="1453" w:type="dxa"/>
            <w:tcBorders>
              <w:top w:val="nil"/>
              <w:left w:val="nil"/>
              <w:bottom w:val="nil"/>
              <w:right w:val="nil"/>
            </w:tcBorders>
            <w:tcMar>
              <w:top w:w="0" w:type="dxa"/>
              <w:left w:w="0" w:type="dxa"/>
              <w:bottom w:w="0" w:type="dxa"/>
              <w:right w:w="0" w:type="dxa"/>
            </w:tcMar>
          </w:tcPr>
          <w:p w14:paraId="72B4F575"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23397AA6" w14:textId="77777777" w:rsidR="00275909" w:rsidRDefault="00A768EA">
            <w:pPr>
              <w:widowControl w:val="0"/>
              <w:ind w:left="555" w:hanging="555"/>
              <w:jc w:val="center"/>
              <w:rPr>
                <w:rFonts w:ascii="Arial" w:eastAsia="Garamond" w:hAnsi="Arial" w:cs="Arial"/>
              </w:rPr>
            </w:pPr>
            <w:r>
              <w:rPr>
                <w:rFonts w:ascii="Arial" w:eastAsia="Garamond" w:hAnsi="Arial" w:cs="Arial"/>
              </w:rPr>
              <w:t>82 (29.8%)</w:t>
            </w:r>
          </w:p>
        </w:tc>
      </w:tr>
      <w:tr w:rsidR="00275909" w14:paraId="5A4B57E5" w14:textId="77777777">
        <w:trPr>
          <w:trHeight w:val="209"/>
          <w:jc w:val="center"/>
        </w:trPr>
        <w:tc>
          <w:tcPr>
            <w:tcW w:w="8293" w:type="dxa"/>
            <w:tcBorders>
              <w:top w:val="nil"/>
              <w:left w:val="nil"/>
              <w:bottom w:val="nil"/>
              <w:right w:val="nil"/>
            </w:tcBorders>
            <w:tcMar>
              <w:top w:w="0" w:type="dxa"/>
              <w:left w:w="0" w:type="dxa"/>
              <w:bottom w:w="0" w:type="dxa"/>
              <w:right w:w="0" w:type="dxa"/>
            </w:tcMar>
          </w:tcPr>
          <w:p w14:paraId="2A73E8B5" w14:textId="77777777" w:rsidR="00275909" w:rsidRDefault="00A768EA">
            <w:pPr>
              <w:widowControl w:val="0"/>
              <w:ind w:left="810" w:hanging="555"/>
              <w:rPr>
                <w:rFonts w:ascii="Arial" w:eastAsia="Garamond" w:hAnsi="Arial" w:cs="Arial"/>
              </w:rPr>
            </w:pPr>
            <w:r>
              <w:rPr>
                <w:rFonts w:ascii="Arial" w:eastAsia="Garamond" w:hAnsi="Arial" w:cs="Arial"/>
              </w:rPr>
              <w:t>When people with AD begin to have difficulty taking care of them, caregivers should take over right away.</w:t>
            </w:r>
          </w:p>
        </w:tc>
        <w:tc>
          <w:tcPr>
            <w:tcW w:w="1453" w:type="dxa"/>
            <w:tcBorders>
              <w:top w:val="nil"/>
              <w:left w:val="nil"/>
              <w:bottom w:val="nil"/>
              <w:right w:val="nil"/>
            </w:tcBorders>
            <w:tcMar>
              <w:top w:w="0" w:type="dxa"/>
              <w:left w:w="0" w:type="dxa"/>
              <w:bottom w:w="0" w:type="dxa"/>
              <w:right w:w="0" w:type="dxa"/>
            </w:tcMar>
          </w:tcPr>
          <w:p w14:paraId="3BB32F50"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642AD572" w14:textId="77777777" w:rsidR="00275909" w:rsidRDefault="00A768EA">
            <w:pPr>
              <w:widowControl w:val="0"/>
              <w:ind w:left="555" w:hanging="555"/>
              <w:jc w:val="center"/>
              <w:rPr>
                <w:rFonts w:ascii="Arial" w:eastAsia="Garamond" w:hAnsi="Arial" w:cs="Arial"/>
              </w:rPr>
            </w:pPr>
            <w:r>
              <w:rPr>
                <w:rFonts w:ascii="Arial" w:eastAsia="Garamond" w:hAnsi="Arial" w:cs="Arial"/>
              </w:rPr>
              <w:t>70 (25.5%)</w:t>
            </w:r>
          </w:p>
        </w:tc>
      </w:tr>
      <w:tr w:rsidR="00275909" w14:paraId="09D0CA68" w14:textId="77777777">
        <w:trPr>
          <w:trHeight w:val="115"/>
          <w:jc w:val="center"/>
        </w:trPr>
        <w:tc>
          <w:tcPr>
            <w:tcW w:w="8293" w:type="dxa"/>
            <w:tcBorders>
              <w:top w:val="nil"/>
              <w:left w:val="nil"/>
              <w:bottom w:val="single" w:sz="8" w:space="0" w:color="000000"/>
              <w:right w:val="nil"/>
            </w:tcBorders>
            <w:tcMar>
              <w:top w:w="0" w:type="dxa"/>
              <w:left w:w="0" w:type="dxa"/>
              <w:bottom w:w="0" w:type="dxa"/>
              <w:right w:w="0" w:type="dxa"/>
            </w:tcMar>
          </w:tcPr>
          <w:p w14:paraId="1777D219" w14:textId="77777777" w:rsidR="00275909" w:rsidRDefault="00A768EA">
            <w:pPr>
              <w:widowControl w:val="0"/>
              <w:ind w:left="555" w:hanging="555"/>
              <w:jc w:val="center"/>
              <w:rPr>
                <w:rFonts w:ascii="Arial" w:eastAsia="Garamond" w:hAnsi="Arial" w:cs="Arial"/>
                <w:b/>
                <w:bCs/>
              </w:rPr>
            </w:pPr>
            <w:r>
              <w:rPr>
                <w:rFonts w:ascii="Arial" w:eastAsia="Garamond" w:hAnsi="Arial" w:cs="Arial"/>
              </w:rPr>
              <w:t xml:space="preserve">Overall </w:t>
            </w:r>
            <w:r>
              <w:rPr>
                <w:rFonts w:ascii="Arial" w:eastAsia="Garamond" w:hAnsi="Arial" w:cs="Arial"/>
                <w:b/>
                <w:bCs/>
              </w:rPr>
              <w:t xml:space="preserve">Caregiving </w:t>
            </w:r>
            <w:r>
              <w:rPr>
                <w:rFonts w:ascii="Arial" w:eastAsia="Garamond" w:hAnsi="Arial" w:cs="Arial"/>
              </w:rPr>
              <w:t xml:space="preserve">mean </w:t>
            </w:r>
          </w:p>
        </w:tc>
        <w:tc>
          <w:tcPr>
            <w:tcW w:w="1453" w:type="dxa"/>
            <w:tcBorders>
              <w:top w:val="nil"/>
              <w:left w:val="nil"/>
              <w:bottom w:val="single" w:sz="8" w:space="0" w:color="000000"/>
              <w:right w:val="nil"/>
            </w:tcBorders>
            <w:tcMar>
              <w:top w:w="0" w:type="dxa"/>
              <w:left w:w="0" w:type="dxa"/>
              <w:bottom w:w="0" w:type="dxa"/>
              <w:right w:w="0" w:type="dxa"/>
            </w:tcMar>
          </w:tcPr>
          <w:p w14:paraId="6AC3BDC1" w14:textId="77777777" w:rsidR="00275909" w:rsidRDefault="00275909">
            <w:pPr>
              <w:widowControl w:val="0"/>
              <w:ind w:left="555" w:hanging="555"/>
              <w:jc w:val="center"/>
              <w:rPr>
                <w:rFonts w:ascii="Arial" w:eastAsia="Garamond" w:hAnsi="Arial" w:cs="Arial"/>
                <w:b/>
                <w:bCs/>
              </w:rPr>
            </w:pPr>
          </w:p>
        </w:tc>
        <w:tc>
          <w:tcPr>
            <w:tcW w:w="1097" w:type="dxa"/>
            <w:tcBorders>
              <w:top w:val="nil"/>
              <w:left w:val="nil"/>
              <w:bottom w:val="single" w:sz="8" w:space="0" w:color="000000"/>
              <w:right w:val="nil"/>
            </w:tcBorders>
            <w:tcMar>
              <w:top w:w="0" w:type="dxa"/>
              <w:left w:w="0" w:type="dxa"/>
              <w:bottom w:w="0" w:type="dxa"/>
              <w:right w:w="0" w:type="dxa"/>
            </w:tcMar>
          </w:tcPr>
          <w:p w14:paraId="7253898D" w14:textId="77777777" w:rsidR="00275909" w:rsidRDefault="00A768EA">
            <w:pPr>
              <w:widowControl w:val="0"/>
              <w:ind w:left="555" w:hanging="555"/>
              <w:jc w:val="center"/>
              <w:rPr>
                <w:rFonts w:ascii="Arial" w:eastAsia="Garamond" w:hAnsi="Arial" w:cs="Arial"/>
              </w:rPr>
            </w:pPr>
            <w:r>
              <w:rPr>
                <w:rFonts w:ascii="Arial" w:eastAsia="Garamond" w:hAnsi="Arial" w:cs="Arial"/>
              </w:rPr>
              <w:t>2.57</w:t>
            </w:r>
          </w:p>
        </w:tc>
      </w:tr>
      <w:tr w:rsidR="00275909" w14:paraId="4107F4E2" w14:textId="77777777">
        <w:trPr>
          <w:trHeight w:val="115"/>
          <w:jc w:val="center"/>
        </w:trPr>
        <w:tc>
          <w:tcPr>
            <w:tcW w:w="8293" w:type="dxa"/>
            <w:tcBorders>
              <w:top w:val="single" w:sz="8" w:space="0" w:color="000000"/>
              <w:left w:val="nil"/>
              <w:bottom w:val="nil"/>
              <w:right w:val="nil"/>
            </w:tcBorders>
            <w:tcMar>
              <w:top w:w="0" w:type="dxa"/>
              <w:left w:w="0" w:type="dxa"/>
              <w:bottom w:w="0" w:type="dxa"/>
              <w:right w:w="0" w:type="dxa"/>
            </w:tcMar>
          </w:tcPr>
          <w:p w14:paraId="29F1A5B7" w14:textId="77777777" w:rsidR="00275909" w:rsidRDefault="00A768EA">
            <w:pPr>
              <w:widowControl w:val="0"/>
              <w:ind w:left="555" w:hanging="555"/>
              <w:rPr>
                <w:rFonts w:ascii="Arial" w:eastAsia="Garamond" w:hAnsi="Arial" w:cs="Arial"/>
                <w:b/>
                <w:bCs/>
              </w:rPr>
            </w:pPr>
            <w:r>
              <w:rPr>
                <w:rFonts w:ascii="Arial" w:eastAsia="Garamond" w:hAnsi="Arial" w:cs="Arial"/>
                <w:b/>
                <w:bCs/>
              </w:rPr>
              <w:t>Treatment and Management</w:t>
            </w:r>
          </w:p>
        </w:tc>
        <w:tc>
          <w:tcPr>
            <w:tcW w:w="1453" w:type="dxa"/>
            <w:tcBorders>
              <w:top w:val="single" w:sz="8" w:space="0" w:color="000000"/>
              <w:left w:val="nil"/>
              <w:bottom w:val="nil"/>
              <w:right w:val="nil"/>
            </w:tcBorders>
            <w:tcMar>
              <w:top w:w="0" w:type="dxa"/>
              <w:left w:w="0" w:type="dxa"/>
              <w:bottom w:w="0" w:type="dxa"/>
              <w:right w:w="0" w:type="dxa"/>
            </w:tcMar>
          </w:tcPr>
          <w:p w14:paraId="366F1E38" w14:textId="77777777" w:rsidR="00275909" w:rsidRDefault="00A768EA">
            <w:pPr>
              <w:widowControl w:val="0"/>
              <w:ind w:left="555" w:hanging="555"/>
              <w:jc w:val="center"/>
              <w:rPr>
                <w:rFonts w:ascii="Arial" w:eastAsia="Garamond" w:hAnsi="Arial" w:cs="Arial"/>
                <w:b/>
                <w:bCs/>
              </w:rPr>
            </w:pPr>
            <w:r>
              <w:rPr>
                <w:rFonts w:ascii="Arial" w:eastAsia="Garamond" w:hAnsi="Arial" w:cs="Arial"/>
                <w:b/>
                <w:bCs/>
              </w:rPr>
              <w:t xml:space="preserve"> </w:t>
            </w:r>
          </w:p>
        </w:tc>
        <w:tc>
          <w:tcPr>
            <w:tcW w:w="1097" w:type="dxa"/>
            <w:tcBorders>
              <w:top w:val="single" w:sz="8" w:space="0" w:color="000000"/>
              <w:left w:val="nil"/>
              <w:bottom w:val="nil"/>
              <w:right w:val="nil"/>
            </w:tcBorders>
            <w:tcMar>
              <w:top w:w="0" w:type="dxa"/>
              <w:left w:w="0" w:type="dxa"/>
              <w:bottom w:w="0" w:type="dxa"/>
              <w:right w:w="0" w:type="dxa"/>
            </w:tcMar>
          </w:tcPr>
          <w:p w14:paraId="5FE721C9" w14:textId="77777777" w:rsidR="00275909" w:rsidRDefault="00A768EA">
            <w:pPr>
              <w:widowControl w:val="0"/>
              <w:ind w:left="555" w:hanging="555"/>
              <w:jc w:val="center"/>
              <w:rPr>
                <w:rFonts w:ascii="Arial" w:eastAsia="Garamond" w:hAnsi="Arial" w:cs="Arial"/>
              </w:rPr>
            </w:pPr>
            <w:r>
              <w:rPr>
                <w:rFonts w:ascii="Arial" w:eastAsia="Garamond" w:hAnsi="Arial" w:cs="Arial"/>
              </w:rPr>
              <w:t xml:space="preserve"> </w:t>
            </w:r>
          </w:p>
        </w:tc>
      </w:tr>
      <w:tr w:rsidR="00275909" w14:paraId="5F149B82"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694A6C46" w14:textId="77777777" w:rsidR="00275909" w:rsidRDefault="00A768EA">
            <w:pPr>
              <w:widowControl w:val="0"/>
              <w:ind w:left="810" w:hanging="555"/>
              <w:rPr>
                <w:rFonts w:ascii="Arial" w:eastAsia="Garamond" w:hAnsi="Arial" w:cs="Arial"/>
              </w:rPr>
            </w:pPr>
            <w:r>
              <w:rPr>
                <w:rFonts w:ascii="Arial" w:eastAsia="Garamond" w:hAnsi="Arial" w:cs="Arial"/>
              </w:rPr>
              <w:t>Poor nutrition can make the symptoms of AD worse.</w:t>
            </w:r>
          </w:p>
        </w:tc>
        <w:tc>
          <w:tcPr>
            <w:tcW w:w="1453" w:type="dxa"/>
            <w:tcBorders>
              <w:top w:val="nil"/>
              <w:left w:val="nil"/>
              <w:bottom w:val="nil"/>
              <w:right w:val="nil"/>
            </w:tcBorders>
            <w:tcMar>
              <w:top w:w="0" w:type="dxa"/>
              <w:left w:w="0" w:type="dxa"/>
              <w:bottom w:w="0" w:type="dxa"/>
              <w:right w:w="0" w:type="dxa"/>
            </w:tcMar>
          </w:tcPr>
          <w:p w14:paraId="6728A207"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1CDCD643" w14:textId="77777777" w:rsidR="00275909" w:rsidRDefault="00A768EA">
            <w:pPr>
              <w:widowControl w:val="0"/>
              <w:ind w:left="555" w:hanging="555"/>
              <w:jc w:val="center"/>
              <w:rPr>
                <w:rFonts w:ascii="Arial" w:eastAsia="Garamond" w:hAnsi="Arial" w:cs="Arial"/>
              </w:rPr>
            </w:pPr>
            <w:r>
              <w:rPr>
                <w:rFonts w:ascii="Arial" w:eastAsia="Garamond" w:hAnsi="Arial" w:cs="Arial"/>
              </w:rPr>
              <w:t>264 (96%)</w:t>
            </w:r>
          </w:p>
        </w:tc>
      </w:tr>
      <w:tr w:rsidR="00275909" w14:paraId="6C425869"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349EBBE5" w14:textId="77777777" w:rsidR="00275909" w:rsidRDefault="00A768EA">
            <w:pPr>
              <w:widowControl w:val="0"/>
              <w:ind w:left="810" w:hanging="555"/>
              <w:rPr>
                <w:rFonts w:ascii="Arial" w:eastAsia="Garamond" w:hAnsi="Arial" w:cs="Arial"/>
              </w:rPr>
            </w:pPr>
            <w:r>
              <w:rPr>
                <w:rFonts w:ascii="Arial" w:eastAsia="Garamond" w:hAnsi="Arial" w:cs="Arial"/>
              </w:rPr>
              <w:t>People whose AD is not yet severe can benefit from psychotherapy for depression and anxiety.</w:t>
            </w:r>
          </w:p>
        </w:tc>
        <w:tc>
          <w:tcPr>
            <w:tcW w:w="1453" w:type="dxa"/>
            <w:tcBorders>
              <w:top w:val="nil"/>
              <w:left w:val="nil"/>
              <w:bottom w:val="nil"/>
              <w:right w:val="nil"/>
            </w:tcBorders>
            <w:tcMar>
              <w:top w:w="0" w:type="dxa"/>
              <w:left w:w="0" w:type="dxa"/>
              <w:bottom w:w="0" w:type="dxa"/>
              <w:right w:w="0" w:type="dxa"/>
            </w:tcMar>
          </w:tcPr>
          <w:p w14:paraId="489B08B9"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7EAA7473" w14:textId="77777777" w:rsidR="00275909" w:rsidRDefault="00A768EA">
            <w:pPr>
              <w:widowControl w:val="0"/>
              <w:ind w:left="555" w:hanging="555"/>
              <w:jc w:val="center"/>
              <w:rPr>
                <w:rFonts w:ascii="Arial" w:eastAsia="Garamond" w:hAnsi="Arial" w:cs="Arial"/>
              </w:rPr>
            </w:pPr>
            <w:r>
              <w:rPr>
                <w:rFonts w:ascii="Arial" w:eastAsia="Garamond" w:hAnsi="Arial" w:cs="Arial"/>
              </w:rPr>
              <w:t>257(93.5%)</w:t>
            </w:r>
          </w:p>
        </w:tc>
      </w:tr>
      <w:tr w:rsidR="00275909" w14:paraId="136CB9A5" w14:textId="77777777">
        <w:trPr>
          <w:trHeight w:val="105"/>
          <w:jc w:val="center"/>
        </w:trPr>
        <w:tc>
          <w:tcPr>
            <w:tcW w:w="8293" w:type="dxa"/>
            <w:tcBorders>
              <w:top w:val="nil"/>
              <w:left w:val="nil"/>
              <w:bottom w:val="nil"/>
              <w:right w:val="nil"/>
            </w:tcBorders>
            <w:tcMar>
              <w:top w:w="0" w:type="dxa"/>
              <w:left w:w="0" w:type="dxa"/>
              <w:bottom w:w="0" w:type="dxa"/>
              <w:right w:w="0" w:type="dxa"/>
            </w:tcMar>
          </w:tcPr>
          <w:p w14:paraId="48469F11" w14:textId="77777777" w:rsidR="00275909" w:rsidRDefault="00A768EA">
            <w:pPr>
              <w:widowControl w:val="0"/>
              <w:ind w:left="810" w:hanging="555"/>
              <w:rPr>
                <w:rFonts w:ascii="Arial" w:eastAsia="Garamond" w:hAnsi="Arial" w:cs="Arial"/>
              </w:rPr>
            </w:pPr>
            <w:r>
              <w:rPr>
                <w:rFonts w:ascii="Arial" w:eastAsia="Garamond" w:hAnsi="Arial" w:cs="Arial"/>
              </w:rPr>
              <w:t>AD cannot be cured.</w:t>
            </w:r>
          </w:p>
        </w:tc>
        <w:tc>
          <w:tcPr>
            <w:tcW w:w="1453" w:type="dxa"/>
            <w:tcBorders>
              <w:top w:val="nil"/>
              <w:left w:val="nil"/>
              <w:bottom w:val="nil"/>
              <w:right w:val="nil"/>
            </w:tcBorders>
            <w:tcMar>
              <w:top w:w="0" w:type="dxa"/>
              <w:left w:w="0" w:type="dxa"/>
              <w:bottom w:w="0" w:type="dxa"/>
              <w:right w:w="0" w:type="dxa"/>
            </w:tcMar>
          </w:tcPr>
          <w:p w14:paraId="585130CE" w14:textId="77777777" w:rsidR="00275909" w:rsidRDefault="00A768EA">
            <w:pPr>
              <w:widowControl w:val="0"/>
              <w:ind w:left="555" w:hanging="555"/>
              <w:jc w:val="center"/>
              <w:rPr>
                <w:rFonts w:ascii="Arial" w:eastAsia="Garamond" w:hAnsi="Arial" w:cs="Arial"/>
              </w:rPr>
            </w:pPr>
            <w:r>
              <w:rPr>
                <w:rFonts w:ascii="Arial" w:eastAsia="Garamond" w:hAnsi="Arial" w:cs="Arial"/>
              </w:rPr>
              <w:t>YES</w:t>
            </w:r>
          </w:p>
        </w:tc>
        <w:tc>
          <w:tcPr>
            <w:tcW w:w="1097" w:type="dxa"/>
            <w:tcBorders>
              <w:top w:val="nil"/>
              <w:left w:val="nil"/>
              <w:bottom w:val="nil"/>
              <w:right w:val="nil"/>
            </w:tcBorders>
            <w:tcMar>
              <w:top w:w="0" w:type="dxa"/>
              <w:left w:w="0" w:type="dxa"/>
              <w:bottom w:w="0" w:type="dxa"/>
              <w:right w:w="0" w:type="dxa"/>
            </w:tcMar>
          </w:tcPr>
          <w:p w14:paraId="3DCA42AD" w14:textId="77777777" w:rsidR="00275909" w:rsidRDefault="00A768EA">
            <w:pPr>
              <w:widowControl w:val="0"/>
              <w:ind w:left="555" w:hanging="555"/>
              <w:jc w:val="center"/>
              <w:rPr>
                <w:rFonts w:ascii="Arial" w:eastAsia="Garamond" w:hAnsi="Arial" w:cs="Arial"/>
              </w:rPr>
            </w:pPr>
            <w:r>
              <w:rPr>
                <w:rFonts w:ascii="Arial" w:eastAsia="Garamond" w:hAnsi="Arial" w:cs="Arial"/>
              </w:rPr>
              <w:t>237(86.2%)</w:t>
            </w:r>
          </w:p>
        </w:tc>
      </w:tr>
      <w:tr w:rsidR="00275909" w14:paraId="3C9559B3" w14:textId="77777777">
        <w:trPr>
          <w:trHeight w:val="176"/>
          <w:jc w:val="center"/>
        </w:trPr>
        <w:tc>
          <w:tcPr>
            <w:tcW w:w="8293" w:type="dxa"/>
            <w:tcBorders>
              <w:top w:val="nil"/>
              <w:left w:val="nil"/>
              <w:bottom w:val="nil"/>
              <w:right w:val="nil"/>
            </w:tcBorders>
            <w:tcMar>
              <w:top w:w="0" w:type="dxa"/>
              <w:left w:w="0" w:type="dxa"/>
              <w:bottom w:w="0" w:type="dxa"/>
              <w:right w:w="0" w:type="dxa"/>
            </w:tcMar>
          </w:tcPr>
          <w:p w14:paraId="4D1ABDC4" w14:textId="77777777" w:rsidR="00275909" w:rsidRDefault="00A768EA">
            <w:pPr>
              <w:widowControl w:val="0"/>
              <w:ind w:left="810" w:hanging="555"/>
              <w:rPr>
                <w:rFonts w:ascii="Arial" w:eastAsia="Garamond" w:hAnsi="Arial" w:cs="Arial"/>
              </w:rPr>
            </w:pPr>
            <w:r>
              <w:rPr>
                <w:rFonts w:ascii="Arial" w:eastAsia="Garamond" w:hAnsi="Arial" w:cs="Arial"/>
              </w:rPr>
              <w:t>When a person has AD, using reminder notes is a crutch that can contribute to decline.</w:t>
            </w:r>
          </w:p>
        </w:tc>
        <w:tc>
          <w:tcPr>
            <w:tcW w:w="1453" w:type="dxa"/>
            <w:tcBorders>
              <w:top w:val="nil"/>
              <w:left w:val="nil"/>
              <w:bottom w:val="nil"/>
              <w:right w:val="nil"/>
            </w:tcBorders>
            <w:tcMar>
              <w:top w:w="0" w:type="dxa"/>
              <w:left w:w="0" w:type="dxa"/>
              <w:bottom w:w="0" w:type="dxa"/>
              <w:right w:w="0" w:type="dxa"/>
            </w:tcMar>
          </w:tcPr>
          <w:p w14:paraId="15EEE558" w14:textId="77777777" w:rsidR="00275909" w:rsidRDefault="00A768EA">
            <w:pPr>
              <w:widowControl w:val="0"/>
              <w:ind w:left="555" w:hanging="555"/>
              <w:jc w:val="center"/>
              <w:rPr>
                <w:rFonts w:ascii="Arial" w:eastAsia="Garamond" w:hAnsi="Arial" w:cs="Arial"/>
              </w:rPr>
            </w:pPr>
            <w:r>
              <w:rPr>
                <w:rFonts w:ascii="Arial" w:eastAsia="Garamond" w:hAnsi="Arial" w:cs="Arial"/>
              </w:rPr>
              <w:t>NO</w:t>
            </w:r>
          </w:p>
        </w:tc>
        <w:tc>
          <w:tcPr>
            <w:tcW w:w="1097" w:type="dxa"/>
            <w:tcBorders>
              <w:top w:val="nil"/>
              <w:left w:val="nil"/>
              <w:bottom w:val="nil"/>
              <w:right w:val="nil"/>
            </w:tcBorders>
            <w:tcMar>
              <w:top w:w="0" w:type="dxa"/>
              <w:left w:w="0" w:type="dxa"/>
              <w:bottom w:w="0" w:type="dxa"/>
              <w:right w:w="0" w:type="dxa"/>
            </w:tcMar>
          </w:tcPr>
          <w:p w14:paraId="08E10BFB" w14:textId="77777777" w:rsidR="00275909" w:rsidRDefault="00A768EA">
            <w:pPr>
              <w:widowControl w:val="0"/>
              <w:ind w:left="555" w:hanging="555"/>
              <w:jc w:val="center"/>
              <w:rPr>
                <w:rFonts w:ascii="Arial" w:eastAsia="Garamond" w:hAnsi="Arial" w:cs="Arial"/>
              </w:rPr>
            </w:pPr>
            <w:r>
              <w:rPr>
                <w:rFonts w:ascii="Arial" w:eastAsia="Garamond" w:hAnsi="Arial" w:cs="Arial"/>
              </w:rPr>
              <w:t>129(46.9%)</w:t>
            </w:r>
          </w:p>
        </w:tc>
      </w:tr>
      <w:tr w:rsidR="00275909" w14:paraId="4318121E" w14:textId="77777777">
        <w:trPr>
          <w:trHeight w:val="176"/>
          <w:jc w:val="center"/>
        </w:trPr>
        <w:tc>
          <w:tcPr>
            <w:tcW w:w="8293" w:type="dxa"/>
            <w:tcBorders>
              <w:top w:val="nil"/>
              <w:left w:val="nil"/>
              <w:bottom w:val="single" w:sz="8" w:space="0" w:color="000000"/>
              <w:right w:val="nil"/>
            </w:tcBorders>
            <w:tcMar>
              <w:top w:w="0" w:type="dxa"/>
              <w:left w:w="0" w:type="dxa"/>
              <w:bottom w:w="0" w:type="dxa"/>
              <w:right w:w="0" w:type="dxa"/>
            </w:tcMar>
          </w:tcPr>
          <w:p w14:paraId="489F06BD" w14:textId="77777777" w:rsidR="00275909" w:rsidRDefault="00A768EA">
            <w:pPr>
              <w:widowControl w:val="0"/>
              <w:ind w:left="810" w:hanging="555"/>
              <w:jc w:val="center"/>
              <w:rPr>
                <w:rFonts w:ascii="Arial" w:eastAsia="Garamond" w:hAnsi="Arial" w:cs="Arial"/>
              </w:rPr>
            </w:pPr>
            <w:r>
              <w:rPr>
                <w:rFonts w:ascii="Arial" w:eastAsia="Garamond" w:hAnsi="Arial" w:cs="Arial"/>
              </w:rPr>
              <w:t xml:space="preserve">Overall </w:t>
            </w:r>
            <w:r>
              <w:rPr>
                <w:rFonts w:ascii="Arial" w:eastAsia="Garamond" w:hAnsi="Arial" w:cs="Arial"/>
                <w:b/>
                <w:bCs/>
              </w:rPr>
              <w:t xml:space="preserve">Treatment and Management </w:t>
            </w:r>
            <w:r>
              <w:rPr>
                <w:rFonts w:ascii="Arial" w:eastAsia="Garamond" w:hAnsi="Arial" w:cs="Arial"/>
              </w:rPr>
              <w:t xml:space="preserve">mean </w:t>
            </w:r>
          </w:p>
        </w:tc>
        <w:tc>
          <w:tcPr>
            <w:tcW w:w="1453" w:type="dxa"/>
            <w:tcBorders>
              <w:top w:val="nil"/>
              <w:left w:val="nil"/>
              <w:bottom w:val="single" w:sz="8" w:space="0" w:color="000000"/>
              <w:right w:val="nil"/>
            </w:tcBorders>
            <w:tcMar>
              <w:top w:w="0" w:type="dxa"/>
              <w:left w:w="0" w:type="dxa"/>
              <w:bottom w:w="0" w:type="dxa"/>
              <w:right w:w="0" w:type="dxa"/>
            </w:tcMar>
          </w:tcPr>
          <w:p w14:paraId="17D24AEB" w14:textId="77777777" w:rsidR="00275909" w:rsidRDefault="00275909">
            <w:pPr>
              <w:widowControl w:val="0"/>
              <w:ind w:left="555" w:hanging="555"/>
              <w:jc w:val="center"/>
              <w:rPr>
                <w:rFonts w:ascii="Arial" w:eastAsia="Garamond" w:hAnsi="Arial" w:cs="Arial"/>
              </w:rPr>
            </w:pPr>
          </w:p>
        </w:tc>
        <w:tc>
          <w:tcPr>
            <w:tcW w:w="1097" w:type="dxa"/>
            <w:tcBorders>
              <w:top w:val="nil"/>
              <w:left w:val="nil"/>
              <w:bottom w:val="single" w:sz="8" w:space="0" w:color="000000"/>
              <w:right w:val="nil"/>
            </w:tcBorders>
            <w:tcMar>
              <w:top w:w="0" w:type="dxa"/>
              <w:left w:w="0" w:type="dxa"/>
              <w:bottom w:w="0" w:type="dxa"/>
              <w:right w:w="0" w:type="dxa"/>
            </w:tcMar>
          </w:tcPr>
          <w:p w14:paraId="7990CD12" w14:textId="77777777" w:rsidR="00275909" w:rsidRDefault="00A768EA">
            <w:pPr>
              <w:widowControl w:val="0"/>
              <w:ind w:left="555" w:hanging="555"/>
              <w:jc w:val="center"/>
              <w:rPr>
                <w:rFonts w:ascii="Arial" w:eastAsia="Garamond" w:hAnsi="Arial" w:cs="Arial"/>
              </w:rPr>
            </w:pPr>
            <w:r>
              <w:rPr>
                <w:rFonts w:ascii="Arial" w:eastAsia="Garamond" w:hAnsi="Arial" w:cs="Arial"/>
              </w:rPr>
              <w:t>3.23</w:t>
            </w:r>
          </w:p>
        </w:tc>
      </w:tr>
      <w:tr w:rsidR="00275909" w14:paraId="6FD60ED2" w14:textId="77777777">
        <w:trPr>
          <w:trHeight w:val="176"/>
          <w:jc w:val="center"/>
        </w:trPr>
        <w:tc>
          <w:tcPr>
            <w:tcW w:w="8293" w:type="dxa"/>
            <w:tcBorders>
              <w:top w:val="single" w:sz="8" w:space="0" w:color="000000"/>
              <w:left w:val="nil"/>
              <w:bottom w:val="single" w:sz="8" w:space="0" w:color="000000"/>
              <w:right w:val="nil"/>
            </w:tcBorders>
            <w:tcMar>
              <w:top w:w="0" w:type="dxa"/>
              <w:left w:w="0" w:type="dxa"/>
              <w:bottom w:w="0" w:type="dxa"/>
              <w:right w:w="0" w:type="dxa"/>
            </w:tcMar>
          </w:tcPr>
          <w:p w14:paraId="0D7BD601" w14:textId="77777777" w:rsidR="00275909" w:rsidRDefault="00A768EA">
            <w:pPr>
              <w:widowControl w:val="0"/>
              <w:ind w:left="810" w:hanging="555"/>
              <w:rPr>
                <w:rFonts w:ascii="Arial" w:eastAsia="Garamond" w:hAnsi="Arial" w:cs="Arial"/>
              </w:rPr>
            </w:pPr>
            <w:r>
              <w:rPr>
                <w:rFonts w:ascii="Arial" w:eastAsia="Garamond" w:hAnsi="Arial" w:cs="Arial"/>
              </w:rPr>
              <w:t>Overall Knowledge</w:t>
            </w:r>
          </w:p>
        </w:tc>
        <w:tc>
          <w:tcPr>
            <w:tcW w:w="1453" w:type="dxa"/>
            <w:tcBorders>
              <w:top w:val="single" w:sz="8" w:space="0" w:color="000000"/>
              <w:left w:val="nil"/>
              <w:bottom w:val="single" w:sz="8" w:space="0" w:color="000000"/>
              <w:right w:val="nil"/>
            </w:tcBorders>
            <w:tcMar>
              <w:top w:w="0" w:type="dxa"/>
              <w:left w:w="0" w:type="dxa"/>
              <w:bottom w:w="0" w:type="dxa"/>
              <w:right w:w="0" w:type="dxa"/>
            </w:tcMar>
          </w:tcPr>
          <w:p w14:paraId="62CD9451" w14:textId="77777777" w:rsidR="00275909" w:rsidRDefault="00275909">
            <w:pPr>
              <w:widowControl w:val="0"/>
              <w:ind w:left="555" w:hanging="555"/>
              <w:jc w:val="center"/>
              <w:rPr>
                <w:rFonts w:ascii="Arial" w:eastAsia="Garamond" w:hAnsi="Arial" w:cs="Arial"/>
              </w:rPr>
            </w:pPr>
          </w:p>
        </w:tc>
        <w:tc>
          <w:tcPr>
            <w:tcW w:w="1097" w:type="dxa"/>
            <w:tcBorders>
              <w:top w:val="single" w:sz="8" w:space="0" w:color="000000"/>
              <w:left w:val="nil"/>
              <w:bottom w:val="single" w:sz="8" w:space="0" w:color="000000"/>
              <w:right w:val="nil"/>
            </w:tcBorders>
            <w:tcMar>
              <w:top w:w="0" w:type="dxa"/>
              <w:left w:w="0" w:type="dxa"/>
              <w:bottom w:w="0" w:type="dxa"/>
              <w:right w:w="0" w:type="dxa"/>
            </w:tcMar>
          </w:tcPr>
          <w:p w14:paraId="03BFCADC" w14:textId="77777777" w:rsidR="00275909" w:rsidRDefault="00A768EA">
            <w:pPr>
              <w:widowControl w:val="0"/>
              <w:ind w:left="555" w:hanging="555"/>
              <w:jc w:val="center"/>
              <w:rPr>
                <w:rFonts w:ascii="Arial" w:eastAsia="Garamond" w:hAnsi="Arial" w:cs="Arial"/>
              </w:rPr>
            </w:pPr>
            <w:r>
              <w:rPr>
                <w:rFonts w:ascii="Arial" w:eastAsia="Garamond" w:hAnsi="Arial" w:cs="Arial"/>
              </w:rPr>
              <w:t>2.98</w:t>
            </w:r>
          </w:p>
        </w:tc>
      </w:tr>
    </w:tbl>
    <w:p w14:paraId="02037146" w14:textId="77777777" w:rsidR="00275909" w:rsidRDefault="00275909">
      <w:pPr>
        <w:jc w:val="both"/>
        <w:rPr>
          <w:rFonts w:ascii="Arial" w:eastAsia="Arial" w:hAnsi="Arial" w:cs="Arial"/>
        </w:rPr>
      </w:pPr>
    </w:p>
    <w:p w14:paraId="591D3BF5" w14:textId="77777777" w:rsidR="00275909" w:rsidRDefault="00275909">
      <w:pPr>
        <w:jc w:val="both"/>
        <w:rPr>
          <w:rFonts w:ascii="Arial" w:eastAsia="Arial" w:hAnsi="Arial" w:cs="Arial"/>
        </w:rPr>
      </w:pPr>
    </w:p>
    <w:p w14:paraId="51920251" w14:textId="77777777" w:rsidR="00275909" w:rsidRDefault="00A768EA">
      <w:pPr>
        <w:jc w:val="both"/>
        <w:rPr>
          <w:rFonts w:ascii="Arial" w:eastAsia="Arial" w:hAnsi="Arial" w:cs="Arial"/>
        </w:rPr>
      </w:pPr>
      <w:r>
        <w:rPr>
          <w:rFonts w:ascii="Arial" w:eastAsia="Arial" w:hAnsi="Arial" w:cs="Arial"/>
        </w:rPr>
        <w:t xml:space="preserve">The ADKS was further utilized to assess the respondents’ level of knowledge regarding AD. Using the categorization cut-off proposed by Benjamin Bloom (1956), as cited in the study of </w:t>
      </w:r>
      <w:proofErr w:type="spellStart"/>
      <w:r>
        <w:rPr>
          <w:rFonts w:ascii="Arial" w:eastAsia="Arial" w:hAnsi="Arial" w:cs="Arial"/>
        </w:rPr>
        <w:t>Alzaharni</w:t>
      </w:r>
      <w:proofErr w:type="spellEnd"/>
      <w:r>
        <w:rPr>
          <w:rFonts w:ascii="Arial" w:eastAsia="Arial" w:hAnsi="Arial" w:cs="Arial"/>
        </w:rPr>
        <w:t xml:space="preserve"> (2021), the findings revealed that 48% of the respondents demonstrated a moderate level of knowledge regarding the condition. Meanwhile, a considerable proportion of the respondents showed a low level of knowledge, indicating gaps in understanding about AD. Only 20% of the respondents demonstrated a high level of knowledge. Table 2b shows the data.</w:t>
      </w:r>
    </w:p>
    <w:p w14:paraId="696FC5E0" w14:textId="77777777" w:rsidR="00275909" w:rsidRDefault="00275909">
      <w:pPr>
        <w:jc w:val="both"/>
        <w:rPr>
          <w:rFonts w:ascii="Arial" w:eastAsia="Arial" w:hAnsi="Arial" w:cs="Arial"/>
        </w:rPr>
      </w:pPr>
    </w:p>
    <w:p w14:paraId="00070429" w14:textId="77777777" w:rsidR="00275909" w:rsidRDefault="00A768EA">
      <w:pPr>
        <w:jc w:val="both"/>
        <w:rPr>
          <w:rFonts w:ascii="Arial" w:eastAsia="Arial" w:hAnsi="Arial" w:cs="Arial"/>
          <w:b/>
          <w:bCs/>
        </w:rPr>
      </w:pPr>
      <w:r>
        <w:rPr>
          <w:rFonts w:ascii="Arial" w:eastAsia="Arial" w:hAnsi="Arial" w:cs="Arial"/>
          <w:b/>
          <w:bCs/>
        </w:rPr>
        <w:t>Table 2b. Distribution of the Respondents According to their Knowledge (n=275)</w:t>
      </w:r>
    </w:p>
    <w:tbl>
      <w:tblPr>
        <w:tblStyle w:val="Style13"/>
        <w:tblW w:w="84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7"/>
        <w:gridCol w:w="1645"/>
        <w:gridCol w:w="1652"/>
      </w:tblGrid>
      <w:tr w:rsidR="00275909" w14:paraId="0086AE2E" w14:textId="77777777">
        <w:tc>
          <w:tcPr>
            <w:tcW w:w="5127" w:type="dxa"/>
            <w:tcBorders>
              <w:top w:val="single" w:sz="4" w:space="0" w:color="000000"/>
              <w:left w:val="nil"/>
              <w:bottom w:val="nil"/>
              <w:right w:val="nil"/>
            </w:tcBorders>
          </w:tcPr>
          <w:p w14:paraId="28374DF2" w14:textId="77777777" w:rsidR="00275909" w:rsidRDefault="00A768EA">
            <w:pPr>
              <w:jc w:val="center"/>
              <w:rPr>
                <w:rFonts w:ascii="Arial" w:eastAsia="Arial" w:hAnsi="Arial" w:cs="Arial"/>
                <w:b/>
                <w:bCs/>
                <w:sz w:val="20"/>
                <w:szCs w:val="20"/>
              </w:rPr>
            </w:pPr>
            <w:r>
              <w:rPr>
                <w:rFonts w:ascii="Arial" w:eastAsia="Arial" w:hAnsi="Arial" w:cs="Arial"/>
                <w:sz w:val="20"/>
                <w:szCs w:val="20"/>
              </w:rPr>
              <w:t>Level of Knowledge</w:t>
            </w:r>
          </w:p>
        </w:tc>
        <w:tc>
          <w:tcPr>
            <w:tcW w:w="1645" w:type="dxa"/>
            <w:tcBorders>
              <w:top w:val="single" w:sz="4" w:space="0" w:color="000000"/>
              <w:left w:val="nil"/>
              <w:bottom w:val="nil"/>
              <w:right w:val="nil"/>
            </w:tcBorders>
          </w:tcPr>
          <w:p w14:paraId="6CB60777" w14:textId="77777777" w:rsidR="00275909" w:rsidRDefault="00A768EA">
            <w:pPr>
              <w:jc w:val="center"/>
              <w:rPr>
                <w:rFonts w:ascii="Arial" w:eastAsia="Arial" w:hAnsi="Arial" w:cs="Arial"/>
                <w:i/>
                <w:iCs/>
                <w:sz w:val="20"/>
                <w:szCs w:val="20"/>
              </w:rPr>
            </w:pPr>
            <w:r>
              <w:rPr>
                <w:rFonts w:ascii="Arial" w:eastAsia="Arial" w:hAnsi="Arial" w:cs="Arial"/>
                <w:i/>
                <w:iCs/>
                <w:sz w:val="20"/>
                <w:szCs w:val="20"/>
              </w:rPr>
              <w:t>f</w:t>
            </w:r>
          </w:p>
        </w:tc>
        <w:tc>
          <w:tcPr>
            <w:tcW w:w="1652" w:type="dxa"/>
            <w:tcBorders>
              <w:top w:val="single" w:sz="4" w:space="0" w:color="000000"/>
              <w:left w:val="nil"/>
              <w:bottom w:val="nil"/>
              <w:right w:val="nil"/>
            </w:tcBorders>
          </w:tcPr>
          <w:p w14:paraId="1E4963CF" w14:textId="77777777" w:rsidR="00275909" w:rsidRDefault="00A768EA">
            <w:pPr>
              <w:jc w:val="center"/>
              <w:rPr>
                <w:rFonts w:ascii="Arial" w:eastAsia="Arial" w:hAnsi="Arial" w:cs="Arial"/>
                <w:i/>
                <w:iCs/>
                <w:sz w:val="20"/>
                <w:szCs w:val="20"/>
              </w:rPr>
            </w:pPr>
            <w:r>
              <w:rPr>
                <w:rFonts w:ascii="Arial" w:eastAsia="Arial" w:hAnsi="Arial" w:cs="Arial"/>
                <w:i/>
                <w:iCs/>
                <w:sz w:val="20"/>
                <w:szCs w:val="20"/>
              </w:rPr>
              <w:t>%</w:t>
            </w:r>
          </w:p>
        </w:tc>
      </w:tr>
      <w:tr w:rsidR="00275909" w14:paraId="403F4EC5" w14:textId="77777777">
        <w:tc>
          <w:tcPr>
            <w:tcW w:w="5127" w:type="dxa"/>
            <w:tcBorders>
              <w:top w:val="nil"/>
              <w:left w:val="nil"/>
              <w:bottom w:val="nil"/>
              <w:right w:val="nil"/>
            </w:tcBorders>
          </w:tcPr>
          <w:p w14:paraId="49D4D41B" w14:textId="77777777" w:rsidR="00275909" w:rsidRDefault="00A768EA">
            <w:pPr>
              <w:rPr>
                <w:rFonts w:ascii="Arial" w:eastAsia="Arial" w:hAnsi="Arial" w:cs="Arial"/>
                <w:sz w:val="20"/>
                <w:szCs w:val="20"/>
              </w:rPr>
            </w:pPr>
            <w:r>
              <w:rPr>
                <w:rFonts w:ascii="Arial" w:eastAsia="Arial" w:hAnsi="Arial" w:cs="Arial"/>
                <w:sz w:val="20"/>
                <w:szCs w:val="20"/>
              </w:rPr>
              <w:t>High</w:t>
            </w:r>
          </w:p>
        </w:tc>
        <w:tc>
          <w:tcPr>
            <w:tcW w:w="1645" w:type="dxa"/>
            <w:tcBorders>
              <w:top w:val="nil"/>
              <w:left w:val="nil"/>
              <w:bottom w:val="nil"/>
              <w:right w:val="nil"/>
            </w:tcBorders>
          </w:tcPr>
          <w:p w14:paraId="04D9EEE6" w14:textId="77777777" w:rsidR="00275909" w:rsidRDefault="00A768EA">
            <w:pPr>
              <w:jc w:val="center"/>
              <w:rPr>
                <w:rFonts w:ascii="Arial" w:eastAsia="Arial" w:hAnsi="Arial" w:cs="Arial"/>
                <w:sz w:val="20"/>
                <w:szCs w:val="20"/>
              </w:rPr>
            </w:pPr>
            <w:r>
              <w:rPr>
                <w:rFonts w:ascii="Arial" w:eastAsia="Arial" w:hAnsi="Arial" w:cs="Arial"/>
                <w:sz w:val="20"/>
                <w:szCs w:val="20"/>
              </w:rPr>
              <w:t>55</w:t>
            </w:r>
          </w:p>
        </w:tc>
        <w:tc>
          <w:tcPr>
            <w:tcW w:w="1652" w:type="dxa"/>
            <w:tcBorders>
              <w:top w:val="nil"/>
              <w:left w:val="nil"/>
              <w:bottom w:val="nil"/>
              <w:right w:val="nil"/>
            </w:tcBorders>
          </w:tcPr>
          <w:p w14:paraId="37AE9963" w14:textId="77777777" w:rsidR="00275909" w:rsidRDefault="00A768EA">
            <w:pPr>
              <w:jc w:val="center"/>
              <w:rPr>
                <w:rFonts w:ascii="Arial" w:eastAsia="Arial" w:hAnsi="Arial" w:cs="Arial"/>
                <w:sz w:val="20"/>
                <w:szCs w:val="20"/>
              </w:rPr>
            </w:pPr>
            <w:r>
              <w:rPr>
                <w:rFonts w:ascii="Arial" w:eastAsia="Arial" w:hAnsi="Arial" w:cs="Arial"/>
                <w:sz w:val="20"/>
                <w:szCs w:val="20"/>
              </w:rPr>
              <w:t>20.0</w:t>
            </w:r>
          </w:p>
        </w:tc>
      </w:tr>
      <w:tr w:rsidR="00275909" w14:paraId="4AFA40F4" w14:textId="77777777">
        <w:tc>
          <w:tcPr>
            <w:tcW w:w="5127" w:type="dxa"/>
            <w:tcBorders>
              <w:top w:val="nil"/>
              <w:left w:val="nil"/>
              <w:bottom w:val="nil"/>
              <w:right w:val="nil"/>
            </w:tcBorders>
          </w:tcPr>
          <w:p w14:paraId="57BDB34E" w14:textId="77777777" w:rsidR="00275909" w:rsidRDefault="00A768EA">
            <w:pPr>
              <w:rPr>
                <w:rFonts w:ascii="Arial" w:eastAsia="Arial" w:hAnsi="Arial" w:cs="Arial"/>
                <w:sz w:val="20"/>
                <w:szCs w:val="20"/>
              </w:rPr>
            </w:pPr>
            <w:r>
              <w:rPr>
                <w:rFonts w:ascii="Arial" w:eastAsia="Arial" w:hAnsi="Arial" w:cs="Arial"/>
                <w:sz w:val="20"/>
                <w:szCs w:val="20"/>
              </w:rPr>
              <w:t>Moderate</w:t>
            </w:r>
          </w:p>
        </w:tc>
        <w:tc>
          <w:tcPr>
            <w:tcW w:w="1645" w:type="dxa"/>
            <w:tcBorders>
              <w:top w:val="nil"/>
              <w:left w:val="nil"/>
              <w:bottom w:val="nil"/>
              <w:right w:val="nil"/>
            </w:tcBorders>
          </w:tcPr>
          <w:p w14:paraId="2394AC14" w14:textId="77777777" w:rsidR="00275909" w:rsidRDefault="00A768EA">
            <w:pPr>
              <w:jc w:val="center"/>
              <w:rPr>
                <w:rFonts w:ascii="Arial" w:eastAsia="Arial" w:hAnsi="Arial" w:cs="Arial"/>
                <w:sz w:val="20"/>
                <w:szCs w:val="20"/>
              </w:rPr>
            </w:pPr>
            <w:r>
              <w:rPr>
                <w:rFonts w:ascii="Arial" w:eastAsia="Arial" w:hAnsi="Arial" w:cs="Arial"/>
                <w:sz w:val="20"/>
                <w:szCs w:val="20"/>
              </w:rPr>
              <w:t>132</w:t>
            </w:r>
          </w:p>
        </w:tc>
        <w:tc>
          <w:tcPr>
            <w:tcW w:w="1652" w:type="dxa"/>
            <w:tcBorders>
              <w:top w:val="nil"/>
              <w:left w:val="nil"/>
              <w:bottom w:val="nil"/>
              <w:right w:val="nil"/>
            </w:tcBorders>
          </w:tcPr>
          <w:p w14:paraId="199A2E98" w14:textId="77777777" w:rsidR="00275909" w:rsidRDefault="00A768EA">
            <w:pPr>
              <w:jc w:val="center"/>
              <w:rPr>
                <w:rFonts w:ascii="Arial" w:eastAsia="Arial" w:hAnsi="Arial" w:cs="Arial"/>
                <w:sz w:val="20"/>
                <w:szCs w:val="20"/>
              </w:rPr>
            </w:pPr>
            <w:r>
              <w:rPr>
                <w:rFonts w:ascii="Arial" w:eastAsia="Arial" w:hAnsi="Arial" w:cs="Arial"/>
                <w:sz w:val="20"/>
                <w:szCs w:val="20"/>
              </w:rPr>
              <w:t>48.0</w:t>
            </w:r>
          </w:p>
        </w:tc>
      </w:tr>
      <w:tr w:rsidR="00275909" w14:paraId="3DC9FCD5" w14:textId="77777777">
        <w:tc>
          <w:tcPr>
            <w:tcW w:w="5127" w:type="dxa"/>
            <w:tcBorders>
              <w:top w:val="nil"/>
              <w:left w:val="nil"/>
              <w:bottom w:val="nil"/>
              <w:right w:val="nil"/>
            </w:tcBorders>
          </w:tcPr>
          <w:p w14:paraId="7D9AB245" w14:textId="77777777" w:rsidR="00275909" w:rsidRDefault="00A768EA">
            <w:pPr>
              <w:rPr>
                <w:rFonts w:ascii="Arial" w:eastAsia="Arial" w:hAnsi="Arial" w:cs="Arial"/>
                <w:sz w:val="20"/>
                <w:szCs w:val="20"/>
              </w:rPr>
            </w:pPr>
            <w:r>
              <w:rPr>
                <w:rFonts w:ascii="Arial" w:eastAsia="Arial" w:hAnsi="Arial" w:cs="Arial"/>
                <w:sz w:val="20"/>
                <w:szCs w:val="20"/>
              </w:rPr>
              <w:t>Low</w:t>
            </w:r>
          </w:p>
        </w:tc>
        <w:tc>
          <w:tcPr>
            <w:tcW w:w="1645" w:type="dxa"/>
            <w:tcBorders>
              <w:top w:val="nil"/>
              <w:left w:val="nil"/>
              <w:bottom w:val="nil"/>
              <w:right w:val="nil"/>
            </w:tcBorders>
          </w:tcPr>
          <w:p w14:paraId="32B5F4E8" w14:textId="77777777" w:rsidR="00275909" w:rsidRDefault="00A768EA">
            <w:pPr>
              <w:jc w:val="center"/>
              <w:rPr>
                <w:rFonts w:ascii="Arial" w:eastAsia="Arial" w:hAnsi="Arial" w:cs="Arial"/>
                <w:sz w:val="20"/>
                <w:szCs w:val="20"/>
              </w:rPr>
            </w:pPr>
            <w:r>
              <w:rPr>
                <w:rFonts w:ascii="Arial" w:eastAsia="Arial" w:hAnsi="Arial" w:cs="Arial"/>
                <w:sz w:val="20"/>
                <w:szCs w:val="20"/>
              </w:rPr>
              <w:t>88</w:t>
            </w:r>
          </w:p>
        </w:tc>
        <w:tc>
          <w:tcPr>
            <w:tcW w:w="1652" w:type="dxa"/>
            <w:tcBorders>
              <w:top w:val="nil"/>
              <w:left w:val="nil"/>
              <w:bottom w:val="nil"/>
              <w:right w:val="nil"/>
            </w:tcBorders>
          </w:tcPr>
          <w:p w14:paraId="09813B3B" w14:textId="77777777" w:rsidR="00275909" w:rsidRDefault="00A768EA">
            <w:pPr>
              <w:jc w:val="center"/>
              <w:rPr>
                <w:rFonts w:ascii="Arial" w:eastAsia="Arial" w:hAnsi="Arial" w:cs="Arial"/>
                <w:sz w:val="20"/>
                <w:szCs w:val="20"/>
              </w:rPr>
            </w:pPr>
            <w:r>
              <w:rPr>
                <w:rFonts w:ascii="Arial" w:eastAsia="Arial" w:hAnsi="Arial" w:cs="Arial"/>
                <w:sz w:val="20"/>
                <w:szCs w:val="20"/>
              </w:rPr>
              <w:t>32.0</w:t>
            </w:r>
          </w:p>
        </w:tc>
      </w:tr>
      <w:tr w:rsidR="00275909" w14:paraId="61E6E44F" w14:textId="77777777">
        <w:tc>
          <w:tcPr>
            <w:tcW w:w="5127" w:type="dxa"/>
            <w:tcBorders>
              <w:top w:val="nil"/>
              <w:left w:val="nil"/>
              <w:bottom w:val="single" w:sz="4" w:space="0" w:color="000000"/>
              <w:right w:val="nil"/>
            </w:tcBorders>
          </w:tcPr>
          <w:p w14:paraId="08F54C47" w14:textId="77777777" w:rsidR="00275909" w:rsidRDefault="00A768EA">
            <w:pPr>
              <w:rPr>
                <w:rFonts w:ascii="Arial" w:eastAsia="Arial" w:hAnsi="Arial" w:cs="Arial"/>
                <w:sz w:val="20"/>
                <w:szCs w:val="20"/>
              </w:rPr>
            </w:pPr>
            <w:r>
              <w:rPr>
                <w:rFonts w:ascii="Arial" w:eastAsia="Arial" w:hAnsi="Arial" w:cs="Arial"/>
                <w:sz w:val="20"/>
                <w:szCs w:val="20"/>
              </w:rPr>
              <w:t>Total</w:t>
            </w:r>
          </w:p>
        </w:tc>
        <w:tc>
          <w:tcPr>
            <w:tcW w:w="1645" w:type="dxa"/>
            <w:tcBorders>
              <w:top w:val="nil"/>
              <w:left w:val="nil"/>
              <w:bottom w:val="single" w:sz="4" w:space="0" w:color="000000"/>
              <w:right w:val="nil"/>
            </w:tcBorders>
          </w:tcPr>
          <w:p w14:paraId="457BEB8D" w14:textId="77777777" w:rsidR="00275909" w:rsidRDefault="00A768EA">
            <w:pPr>
              <w:jc w:val="center"/>
              <w:rPr>
                <w:rFonts w:ascii="Arial" w:eastAsia="Arial" w:hAnsi="Arial" w:cs="Arial"/>
                <w:sz w:val="20"/>
                <w:szCs w:val="20"/>
              </w:rPr>
            </w:pPr>
            <w:r>
              <w:rPr>
                <w:rFonts w:ascii="Arial" w:eastAsia="Arial" w:hAnsi="Arial" w:cs="Arial"/>
                <w:sz w:val="20"/>
                <w:szCs w:val="20"/>
              </w:rPr>
              <w:t>275</w:t>
            </w:r>
          </w:p>
        </w:tc>
        <w:tc>
          <w:tcPr>
            <w:tcW w:w="1652" w:type="dxa"/>
            <w:tcBorders>
              <w:top w:val="nil"/>
              <w:left w:val="nil"/>
              <w:bottom w:val="single" w:sz="4" w:space="0" w:color="000000"/>
              <w:right w:val="nil"/>
            </w:tcBorders>
          </w:tcPr>
          <w:p w14:paraId="3E085D0F" w14:textId="77777777" w:rsidR="00275909" w:rsidRDefault="00A768EA">
            <w:pPr>
              <w:jc w:val="center"/>
              <w:rPr>
                <w:rFonts w:ascii="Arial" w:eastAsia="Arial" w:hAnsi="Arial" w:cs="Arial"/>
                <w:sz w:val="20"/>
                <w:szCs w:val="20"/>
              </w:rPr>
            </w:pPr>
            <w:r>
              <w:rPr>
                <w:rFonts w:ascii="Arial" w:eastAsia="Arial" w:hAnsi="Arial" w:cs="Arial"/>
                <w:sz w:val="20"/>
                <w:szCs w:val="20"/>
              </w:rPr>
              <w:t>100.0</w:t>
            </w:r>
          </w:p>
        </w:tc>
      </w:tr>
    </w:tbl>
    <w:p w14:paraId="71D19F0F" w14:textId="77777777" w:rsidR="00275909" w:rsidRDefault="00275909">
      <w:pPr>
        <w:jc w:val="both"/>
        <w:rPr>
          <w:rFonts w:ascii="Arial" w:eastAsia="Arial" w:hAnsi="Arial" w:cs="Arial"/>
        </w:rPr>
      </w:pPr>
    </w:p>
    <w:p w14:paraId="11D00607" w14:textId="77777777" w:rsidR="00275909" w:rsidRDefault="00275909">
      <w:pPr>
        <w:jc w:val="both"/>
        <w:rPr>
          <w:rFonts w:ascii="Arial" w:eastAsia="Arial" w:hAnsi="Arial" w:cs="Arial"/>
        </w:rPr>
      </w:pPr>
    </w:p>
    <w:p w14:paraId="7483EC84" w14:textId="77777777" w:rsidR="00275909" w:rsidRDefault="00275909">
      <w:pPr>
        <w:jc w:val="both"/>
        <w:rPr>
          <w:rFonts w:ascii="Arial" w:eastAsia="Arial" w:hAnsi="Arial" w:cs="Arial"/>
          <w:b/>
          <w:bCs/>
          <w:smallCaps/>
          <w:sz w:val="22"/>
          <w:szCs w:val="22"/>
        </w:rPr>
      </w:pPr>
    </w:p>
    <w:p w14:paraId="04158A14" w14:textId="77777777" w:rsidR="00275909" w:rsidRDefault="00A768EA">
      <w:pPr>
        <w:jc w:val="both"/>
        <w:rPr>
          <w:rFonts w:ascii="Arial" w:eastAsia="Arial" w:hAnsi="Arial" w:cs="Arial"/>
          <w:b/>
          <w:bCs/>
          <w:smallCaps/>
          <w:sz w:val="22"/>
          <w:szCs w:val="22"/>
        </w:rPr>
      </w:pPr>
      <w:r>
        <w:rPr>
          <w:rFonts w:ascii="Arial" w:eastAsia="Arial" w:hAnsi="Arial" w:cs="Arial"/>
          <w:b/>
          <w:bCs/>
          <w:smallCaps/>
          <w:sz w:val="22"/>
          <w:szCs w:val="22"/>
        </w:rPr>
        <w:t>4.1.3 ATTITUDE TOWARD ALZHEIMER’S DISEASE</w:t>
      </w:r>
    </w:p>
    <w:p w14:paraId="495EDA23" w14:textId="77777777" w:rsidR="00275909" w:rsidRDefault="00275909">
      <w:pPr>
        <w:jc w:val="both"/>
        <w:rPr>
          <w:rFonts w:ascii="Arial" w:eastAsia="Arial" w:hAnsi="Arial" w:cs="Arial"/>
        </w:rPr>
      </w:pPr>
    </w:p>
    <w:p w14:paraId="56E34562" w14:textId="77777777" w:rsidR="00275909" w:rsidRDefault="00A768EA">
      <w:pPr>
        <w:jc w:val="both"/>
        <w:rPr>
          <w:rFonts w:ascii="Arial" w:eastAsia="Arial" w:hAnsi="Arial" w:cs="Arial"/>
        </w:rPr>
      </w:pPr>
      <w:r>
        <w:rPr>
          <w:rFonts w:ascii="Arial" w:eastAsia="Arial" w:hAnsi="Arial" w:cs="Arial"/>
        </w:rPr>
        <w:t>The respondents’ attitudes toward AD were measured using the DAS questionnaire. The instrument follows a numerical interpretation in which a higher mean score indicates a more positive attitude toward individuals with AD. The overall mean score of 4.7 out of 7 suggests that the respondents generally demonstrated a neutral attitude toward AD.</w:t>
      </w:r>
    </w:p>
    <w:p w14:paraId="67E9A42E" w14:textId="77777777" w:rsidR="00275909" w:rsidRDefault="00275909">
      <w:pPr>
        <w:jc w:val="both"/>
        <w:rPr>
          <w:rFonts w:ascii="Arial" w:eastAsia="Arial" w:hAnsi="Arial" w:cs="Arial"/>
        </w:rPr>
      </w:pPr>
    </w:p>
    <w:p w14:paraId="094C61EA" w14:textId="77777777" w:rsidR="00275909" w:rsidRDefault="00A768EA">
      <w:pPr>
        <w:jc w:val="both"/>
        <w:rPr>
          <w:rFonts w:ascii="Arial" w:eastAsia="Arial" w:hAnsi="Arial" w:cs="Arial"/>
        </w:rPr>
      </w:pPr>
      <w:r>
        <w:rPr>
          <w:rFonts w:ascii="Arial" w:eastAsia="Arial" w:hAnsi="Arial" w:cs="Arial"/>
        </w:rPr>
        <w:t xml:space="preserve">Under the Comfort domain, the overall mean score of 4.7 indicates a neutral level of comfort when interacting with individuals with Alzheimer’s Disease and Related </w:t>
      </w:r>
      <w:r>
        <w:rPr>
          <w:rFonts w:ascii="Arial" w:eastAsia="Arial" w:hAnsi="Arial" w:cs="Arial"/>
          <w:lang w:val="en-US"/>
        </w:rPr>
        <w:t>Dementias</w:t>
      </w:r>
      <w:r>
        <w:rPr>
          <w:rFonts w:ascii="Arial" w:eastAsia="Arial" w:hAnsi="Arial" w:cs="Arial"/>
        </w:rPr>
        <w:t xml:space="preserve"> (ADRD). The highest indicator (M = 5.25) shows that respondents somewhat disagreed with the statement that they are afraid of people with ADRD. Another high indicator (M = 5.24) reveals that respondents somewhat disagreed with the statement that they cannot imagine caring for someone with ADRD. Similarly, another indicator (M = 5.23) indicates that respondents </w:t>
      </w:r>
      <w:r>
        <w:rPr>
          <w:rFonts w:ascii="Arial" w:eastAsia="Arial" w:hAnsi="Arial" w:cs="Arial"/>
        </w:rPr>
        <w:lastRenderedPageBreak/>
        <w:t>somewhat disagreed with the statement that they are not familiar with ADRD. Meanwhile, the lowest indicator (M = 4.00) shows that respondents were neutral regarding the statement that they feel relaxed around people with ADRD.</w:t>
      </w:r>
    </w:p>
    <w:p w14:paraId="52550262" w14:textId="77777777" w:rsidR="00275909" w:rsidRDefault="00275909">
      <w:pPr>
        <w:jc w:val="both"/>
        <w:rPr>
          <w:rFonts w:ascii="Arial" w:eastAsia="Arial" w:hAnsi="Arial" w:cs="Arial"/>
        </w:rPr>
      </w:pPr>
    </w:p>
    <w:p w14:paraId="2249422B" w14:textId="77777777" w:rsidR="00275909" w:rsidRDefault="00A768EA">
      <w:pPr>
        <w:jc w:val="both"/>
        <w:rPr>
          <w:rFonts w:ascii="Arial" w:eastAsia="Arial" w:hAnsi="Arial" w:cs="Arial"/>
        </w:rPr>
      </w:pPr>
      <w:r>
        <w:rPr>
          <w:rFonts w:ascii="Arial" w:eastAsia="Arial" w:hAnsi="Arial" w:cs="Arial"/>
        </w:rPr>
        <w:t>Under the Attitude Toward Disease Process domain, the overall mean score of 5.7 indicates that respondents somewhat agreed with the statements related to the disease process of AD. The highest indicator (M = 6.18) shows that respondents agreed that it is important to know the past history of individuals with ADRD. Another high indicator (M = 5.97) indicates that respondents somewhat agreed that people with ADRD have different needs. The next highest indicator (M = 5.90) shows that respondents somewhat agreed that much can be done to improve the lives of individuals with ADRD. The lowest indicator (M = 5.12) indicates that respondents somewhat agreed that people with ADRD can still be creative.</w:t>
      </w:r>
    </w:p>
    <w:p w14:paraId="6F7C39EB" w14:textId="77777777" w:rsidR="00275909" w:rsidRDefault="00275909">
      <w:pPr>
        <w:jc w:val="both"/>
        <w:rPr>
          <w:rFonts w:ascii="Arial" w:eastAsia="Arial" w:hAnsi="Arial" w:cs="Arial"/>
        </w:rPr>
      </w:pPr>
    </w:p>
    <w:p w14:paraId="0BC6E575" w14:textId="77777777" w:rsidR="00275909" w:rsidRDefault="00A768EA">
      <w:pPr>
        <w:jc w:val="both"/>
        <w:rPr>
          <w:rFonts w:ascii="Arial" w:eastAsia="Arial" w:hAnsi="Arial" w:cs="Arial"/>
        </w:rPr>
      </w:pPr>
      <w:r>
        <w:rPr>
          <w:rFonts w:ascii="Arial" w:eastAsia="Arial" w:hAnsi="Arial" w:cs="Arial"/>
        </w:rPr>
        <w:t>These findings suggest that while respondents demonstrate a generally neutral level of comfort, they hold relatively positive attitudes regarding the understanding and management of the disease process. Table 3 presents the detailed results.</w:t>
      </w:r>
    </w:p>
    <w:p w14:paraId="685D815C" w14:textId="77777777" w:rsidR="00275909" w:rsidRDefault="00275909">
      <w:pPr>
        <w:widowControl w:val="0"/>
        <w:jc w:val="both"/>
        <w:rPr>
          <w:rFonts w:ascii="Arial" w:eastAsia="Arial" w:hAnsi="Arial" w:cs="Arial"/>
          <w:b/>
          <w:bCs/>
        </w:rPr>
      </w:pPr>
    </w:p>
    <w:p w14:paraId="663887AD" w14:textId="77777777" w:rsidR="00275909" w:rsidRDefault="00A768EA">
      <w:pPr>
        <w:widowControl w:val="0"/>
        <w:jc w:val="both"/>
        <w:rPr>
          <w:rFonts w:ascii="Arial" w:eastAsia="Arial" w:hAnsi="Arial" w:cs="Arial"/>
        </w:rPr>
      </w:pPr>
      <w:r>
        <w:rPr>
          <w:rFonts w:ascii="Arial" w:eastAsia="Arial" w:hAnsi="Arial" w:cs="Arial"/>
          <w:b/>
          <w:bCs/>
        </w:rPr>
        <w:t>Table 3. Attitude Toward Alzheimer’s Disease (n = 275)</w:t>
      </w:r>
    </w:p>
    <w:tbl>
      <w:tblPr>
        <w:tblStyle w:val="Style14"/>
        <w:tblW w:w="10559" w:type="dxa"/>
        <w:jc w:val="center"/>
        <w:tblInd w:w="0" w:type="dxa"/>
        <w:tblLayout w:type="fixed"/>
        <w:tblLook w:val="04A0" w:firstRow="1" w:lastRow="0" w:firstColumn="1" w:lastColumn="0" w:noHBand="0" w:noVBand="1"/>
      </w:tblPr>
      <w:tblGrid>
        <w:gridCol w:w="9459"/>
        <w:gridCol w:w="1100"/>
      </w:tblGrid>
      <w:tr w:rsidR="00275909" w14:paraId="1B3818FC" w14:textId="77777777">
        <w:trPr>
          <w:trHeight w:val="233"/>
          <w:jc w:val="center"/>
        </w:trPr>
        <w:tc>
          <w:tcPr>
            <w:tcW w:w="9459" w:type="dxa"/>
            <w:tcBorders>
              <w:top w:val="single" w:sz="8" w:space="0" w:color="000000"/>
              <w:left w:val="nil"/>
              <w:bottom w:val="single" w:sz="8" w:space="0" w:color="000000"/>
              <w:right w:val="nil"/>
            </w:tcBorders>
            <w:tcMar>
              <w:top w:w="0" w:type="dxa"/>
              <w:left w:w="0" w:type="dxa"/>
              <w:bottom w:w="0" w:type="dxa"/>
              <w:right w:w="0" w:type="dxa"/>
            </w:tcMar>
          </w:tcPr>
          <w:p w14:paraId="21B9EF36" w14:textId="77777777" w:rsidR="00275909" w:rsidRDefault="00275909">
            <w:pPr>
              <w:widowControl w:val="0"/>
              <w:ind w:left="140" w:right="140"/>
              <w:rPr>
                <w:rFonts w:ascii="Arial" w:eastAsia="Garamond" w:hAnsi="Arial" w:cs="Arial"/>
                <w:b/>
                <w:bCs/>
              </w:rPr>
            </w:pPr>
          </w:p>
        </w:tc>
        <w:tc>
          <w:tcPr>
            <w:tcW w:w="1100" w:type="dxa"/>
            <w:tcBorders>
              <w:top w:val="single" w:sz="8" w:space="0" w:color="000000"/>
              <w:left w:val="nil"/>
              <w:bottom w:val="single" w:sz="8" w:space="0" w:color="000000"/>
              <w:right w:val="nil"/>
            </w:tcBorders>
            <w:tcMar>
              <w:top w:w="0" w:type="dxa"/>
              <w:left w:w="0" w:type="dxa"/>
              <w:bottom w:w="0" w:type="dxa"/>
              <w:right w:w="0" w:type="dxa"/>
            </w:tcMar>
          </w:tcPr>
          <w:p w14:paraId="751AABA7" w14:textId="77777777" w:rsidR="00275909" w:rsidRDefault="00A768EA">
            <w:pPr>
              <w:widowControl w:val="0"/>
              <w:ind w:left="140" w:right="140"/>
              <w:jc w:val="center"/>
              <w:rPr>
                <w:rFonts w:ascii="Arial" w:eastAsia="Garamond" w:hAnsi="Arial" w:cs="Arial"/>
                <w:b/>
                <w:bCs/>
              </w:rPr>
            </w:pPr>
            <w:r>
              <w:rPr>
                <w:rFonts w:ascii="Arial" w:eastAsia="Garamond" w:hAnsi="Arial" w:cs="Arial"/>
                <w:b/>
                <w:bCs/>
              </w:rPr>
              <w:t>Mean</w:t>
            </w:r>
          </w:p>
        </w:tc>
      </w:tr>
      <w:tr w:rsidR="00275909" w14:paraId="1DA9B7F9" w14:textId="77777777">
        <w:trPr>
          <w:trHeight w:val="337"/>
          <w:jc w:val="center"/>
        </w:trPr>
        <w:tc>
          <w:tcPr>
            <w:tcW w:w="9459" w:type="dxa"/>
            <w:tcBorders>
              <w:top w:val="nil"/>
              <w:left w:val="nil"/>
              <w:bottom w:val="nil"/>
              <w:right w:val="nil"/>
            </w:tcBorders>
            <w:tcMar>
              <w:top w:w="0" w:type="dxa"/>
              <w:left w:w="0" w:type="dxa"/>
              <w:bottom w:w="0" w:type="dxa"/>
              <w:right w:w="0" w:type="dxa"/>
            </w:tcMar>
            <w:vAlign w:val="bottom"/>
          </w:tcPr>
          <w:p w14:paraId="52234400" w14:textId="77777777" w:rsidR="00275909" w:rsidRDefault="00A768EA">
            <w:pPr>
              <w:widowControl w:val="0"/>
              <w:ind w:left="140" w:right="140"/>
              <w:jc w:val="both"/>
              <w:rPr>
                <w:rFonts w:ascii="Arial" w:eastAsia="Garamond" w:hAnsi="Arial" w:cs="Arial"/>
                <w:b/>
                <w:bCs/>
              </w:rPr>
            </w:pPr>
            <w:r>
              <w:rPr>
                <w:rFonts w:ascii="Arial" w:eastAsia="Garamond" w:hAnsi="Arial" w:cs="Arial"/>
                <w:b/>
                <w:bCs/>
              </w:rPr>
              <w:t>Comfort</w:t>
            </w:r>
          </w:p>
        </w:tc>
        <w:tc>
          <w:tcPr>
            <w:tcW w:w="1100" w:type="dxa"/>
            <w:tcBorders>
              <w:top w:val="nil"/>
              <w:left w:val="nil"/>
              <w:bottom w:val="nil"/>
              <w:right w:val="nil"/>
            </w:tcBorders>
            <w:tcMar>
              <w:top w:w="0" w:type="dxa"/>
              <w:left w:w="0" w:type="dxa"/>
              <w:bottom w:w="0" w:type="dxa"/>
              <w:right w:w="0" w:type="dxa"/>
            </w:tcMar>
          </w:tcPr>
          <w:p w14:paraId="2DF4A6A4" w14:textId="77777777" w:rsidR="00275909" w:rsidRDefault="00A768EA">
            <w:pPr>
              <w:widowControl w:val="0"/>
              <w:ind w:left="140" w:right="140"/>
              <w:jc w:val="center"/>
              <w:rPr>
                <w:rFonts w:ascii="Arial" w:eastAsia="Garamond" w:hAnsi="Arial" w:cs="Arial"/>
                <w:b/>
                <w:bCs/>
              </w:rPr>
            </w:pPr>
            <w:r>
              <w:rPr>
                <w:rFonts w:ascii="Arial" w:eastAsia="Garamond" w:hAnsi="Arial" w:cs="Arial"/>
                <w:b/>
                <w:bCs/>
              </w:rPr>
              <w:t xml:space="preserve"> </w:t>
            </w:r>
          </w:p>
        </w:tc>
      </w:tr>
      <w:tr w:rsidR="00275909" w14:paraId="6A64135C"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13038F7F"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am afraid of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0AA4ABEB" w14:textId="77777777" w:rsidR="00275909" w:rsidRDefault="00A768EA">
            <w:pPr>
              <w:widowControl w:val="0"/>
              <w:ind w:left="200" w:right="200"/>
              <w:jc w:val="center"/>
              <w:rPr>
                <w:rFonts w:ascii="Arial" w:eastAsia="Garamond" w:hAnsi="Arial" w:cs="Arial"/>
              </w:rPr>
            </w:pPr>
            <w:r>
              <w:rPr>
                <w:rFonts w:ascii="Arial" w:eastAsia="Garamond" w:hAnsi="Arial" w:cs="Arial"/>
              </w:rPr>
              <w:t>5.25</w:t>
            </w:r>
          </w:p>
        </w:tc>
      </w:tr>
      <w:tr w:rsidR="00275909" w14:paraId="7E89BE96"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1C47AB15"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cannot imagine caring for someone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047B055F" w14:textId="77777777" w:rsidR="00275909" w:rsidRDefault="00A768EA">
            <w:pPr>
              <w:widowControl w:val="0"/>
              <w:ind w:left="200" w:right="200"/>
              <w:jc w:val="center"/>
              <w:rPr>
                <w:rFonts w:ascii="Arial" w:eastAsia="Garamond" w:hAnsi="Arial" w:cs="Arial"/>
              </w:rPr>
            </w:pPr>
            <w:r>
              <w:rPr>
                <w:rFonts w:ascii="Arial" w:eastAsia="Garamond" w:hAnsi="Arial" w:cs="Arial"/>
              </w:rPr>
              <w:t>5.24</w:t>
            </w:r>
          </w:p>
        </w:tc>
      </w:tr>
      <w:tr w:rsidR="00275909" w14:paraId="70A661CB"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05617FB9"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am not very familiar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086DA02C" w14:textId="77777777" w:rsidR="00275909" w:rsidRDefault="00A768EA">
            <w:pPr>
              <w:widowControl w:val="0"/>
              <w:ind w:left="200" w:right="200"/>
              <w:jc w:val="center"/>
              <w:rPr>
                <w:rFonts w:ascii="Arial" w:eastAsia="Garamond" w:hAnsi="Arial" w:cs="Arial"/>
              </w:rPr>
            </w:pPr>
            <w:r>
              <w:rPr>
                <w:rFonts w:ascii="Arial" w:eastAsia="Garamond" w:hAnsi="Arial" w:cs="Arial"/>
              </w:rPr>
              <w:t>5.23</w:t>
            </w:r>
          </w:p>
        </w:tc>
      </w:tr>
      <w:tr w:rsidR="00275909" w14:paraId="7E31FA9D"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3A029039"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feel uncomfortable being around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0F63AEB4" w14:textId="77777777" w:rsidR="00275909" w:rsidRDefault="00A768EA">
            <w:pPr>
              <w:widowControl w:val="0"/>
              <w:ind w:left="200" w:right="200"/>
              <w:jc w:val="center"/>
              <w:rPr>
                <w:rFonts w:ascii="Arial" w:eastAsia="Garamond" w:hAnsi="Arial" w:cs="Arial"/>
              </w:rPr>
            </w:pPr>
            <w:r>
              <w:rPr>
                <w:rFonts w:ascii="Arial" w:eastAsia="Garamond" w:hAnsi="Arial" w:cs="Arial"/>
              </w:rPr>
              <w:t>5.06</w:t>
            </w:r>
          </w:p>
        </w:tc>
      </w:tr>
      <w:tr w:rsidR="00275909" w14:paraId="40E04A15" w14:textId="77777777">
        <w:trPr>
          <w:trHeight w:val="342"/>
          <w:jc w:val="center"/>
        </w:trPr>
        <w:tc>
          <w:tcPr>
            <w:tcW w:w="9459" w:type="dxa"/>
            <w:tcBorders>
              <w:top w:val="nil"/>
              <w:left w:val="nil"/>
              <w:bottom w:val="nil"/>
              <w:right w:val="nil"/>
            </w:tcBorders>
            <w:tcMar>
              <w:top w:w="0" w:type="dxa"/>
              <w:left w:w="0" w:type="dxa"/>
              <w:bottom w:w="0" w:type="dxa"/>
              <w:right w:w="0" w:type="dxa"/>
            </w:tcMar>
          </w:tcPr>
          <w:p w14:paraId="5E686753" w14:textId="77777777" w:rsidR="00275909" w:rsidRDefault="00A768EA">
            <w:pPr>
              <w:widowControl w:val="0"/>
              <w:ind w:left="980" w:right="140" w:hanging="420"/>
              <w:jc w:val="both"/>
              <w:rPr>
                <w:rFonts w:ascii="Arial" w:eastAsia="Garamond" w:hAnsi="Arial" w:cs="Arial"/>
              </w:rPr>
            </w:pPr>
            <w:r>
              <w:rPr>
                <w:rFonts w:ascii="Arial" w:eastAsia="Garamond" w:hAnsi="Arial" w:cs="Arial"/>
              </w:rPr>
              <w:t>It is rewarding to work with people who have Alzheimer's Disease and Related Dementia's (ADRD).</w:t>
            </w:r>
          </w:p>
        </w:tc>
        <w:tc>
          <w:tcPr>
            <w:tcW w:w="1100" w:type="dxa"/>
            <w:tcBorders>
              <w:top w:val="nil"/>
              <w:left w:val="nil"/>
              <w:bottom w:val="nil"/>
              <w:right w:val="nil"/>
            </w:tcBorders>
            <w:shd w:val="clear" w:color="auto" w:fill="FFFFFF"/>
            <w:tcMar>
              <w:top w:w="0" w:type="dxa"/>
              <w:left w:w="0" w:type="dxa"/>
              <w:bottom w:w="0" w:type="dxa"/>
              <w:right w:w="0" w:type="dxa"/>
            </w:tcMar>
          </w:tcPr>
          <w:p w14:paraId="6650B297" w14:textId="77777777" w:rsidR="00275909" w:rsidRDefault="00A768EA">
            <w:pPr>
              <w:widowControl w:val="0"/>
              <w:ind w:left="200" w:right="200"/>
              <w:jc w:val="center"/>
              <w:rPr>
                <w:rFonts w:ascii="Arial" w:eastAsia="Garamond" w:hAnsi="Arial" w:cs="Arial"/>
              </w:rPr>
            </w:pPr>
            <w:r>
              <w:rPr>
                <w:rFonts w:ascii="Arial" w:eastAsia="Garamond" w:hAnsi="Arial" w:cs="Arial"/>
              </w:rPr>
              <w:t>5.05</w:t>
            </w:r>
          </w:p>
        </w:tc>
      </w:tr>
      <w:tr w:rsidR="00275909" w14:paraId="3BAF5842"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7786F1CD" w14:textId="77777777" w:rsidR="00275909" w:rsidRDefault="00A768EA">
            <w:pPr>
              <w:widowControl w:val="0"/>
              <w:ind w:left="560" w:right="140"/>
              <w:jc w:val="both"/>
              <w:rPr>
                <w:rFonts w:ascii="Arial" w:eastAsia="Garamond" w:hAnsi="Arial" w:cs="Arial"/>
              </w:rPr>
            </w:pPr>
            <w:r>
              <w:rPr>
                <w:rFonts w:ascii="Arial" w:eastAsia="Garamond" w:hAnsi="Arial" w:cs="Arial"/>
              </w:rPr>
              <w:t>I am comfortable touching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0EF72E13" w14:textId="77777777" w:rsidR="00275909" w:rsidRDefault="00A768EA">
            <w:pPr>
              <w:widowControl w:val="0"/>
              <w:ind w:left="200" w:right="200"/>
              <w:jc w:val="center"/>
              <w:rPr>
                <w:rFonts w:ascii="Arial" w:eastAsia="Garamond" w:hAnsi="Arial" w:cs="Arial"/>
              </w:rPr>
            </w:pPr>
            <w:r>
              <w:rPr>
                <w:rFonts w:ascii="Arial" w:eastAsia="Garamond" w:hAnsi="Arial" w:cs="Arial"/>
              </w:rPr>
              <w:t>4.53</w:t>
            </w:r>
          </w:p>
        </w:tc>
      </w:tr>
      <w:tr w:rsidR="00275909" w14:paraId="7173CAB3"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50D9AF25"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would avoid an agitated person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4A21101B" w14:textId="77777777" w:rsidR="00275909" w:rsidRDefault="00A768EA">
            <w:pPr>
              <w:widowControl w:val="0"/>
              <w:ind w:left="200" w:right="200"/>
              <w:jc w:val="center"/>
              <w:rPr>
                <w:rFonts w:ascii="Arial" w:eastAsia="Garamond" w:hAnsi="Arial" w:cs="Arial"/>
              </w:rPr>
            </w:pPr>
            <w:r>
              <w:rPr>
                <w:rFonts w:ascii="Arial" w:eastAsia="Garamond" w:hAnsi="Arial" w:cs="Arial"/>
              </w:rPr>
              <w:t>4.52</w:t>
            </w:r>
          </w:p>
        </w:tc>
      </w:tr>
      <w:tr w:rsidR="00275909" w14:paraId="11F260B2"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02342EA4"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feel frustrated because I do not know how to help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26EDF590" w14:textId="77777777" w:rsidR="00275909" w:rsidRDefault="00A768EA">
            <w:pPr>
              <w:widowControl w:val="0"/>
              <w:ind w:left="200" w:right="200"/>
              <w:jc w:val="center"/>
              <w:rPr>
                <w:rFonts w:ascii="Arial" w:eastAsia="Garamond" w:hAnsi="Arial" w:cs="Arial"/>
              </w:rPr>
            </w:pPr>
            <w:r>
              <w:rPr>
                <w:rFonts w:ascii="Arial" w:eastAsia="Garamond" w:hAnsi="Arial" w:cs="Arial"/>
              </w:rPr>
              <w:t>4.52</w:t>
            </w:r>
          </w:p>
        </w:tc>
      </w:tr>
      <w:tr w:rsidR="00275909" w14:paraId="49CD64A9"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1A744CCE"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feel confident around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7AB340E4" w14:textId="77777777" w:rsidR="00275909" w:rsidRDefault="00A768EA">
            <w:pPr>
              <w:widowControl w:val="0"/>
              <w:ind w:left="200" w:right="200"/>
              <w:jc w:val="center"/>
              <w:rPr>
                <w:rFonts w:ascii="Arial" w:eastAsia="Garamond" w:hAnsi="Arial" w:cs="Arial"/>
              </w:rPr>
            </w:pPr>
            <w:r>
              <w:rPr>
                <w:rFonts w:ascii="Arial" w:eastAsia="Garamond" w:hAnsi="Arial" w:cs="Arial"/>
              </w:rPr>
              <w:t>4.27</w:t>
            </w:r>
          </w:p>
        </w:tc>
      </w:tr>
      <w:tr w:rsidR="00275909" w14:paraId="1E9CC54E"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679B8EB8"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feel relaxed around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55BF1530" w14:textId="77777777" w:rsidR="00275909" w:rsidRDefault="00A768EA">
            <w:pPr>
              <w:widowControl w:val="0"/>
              <w:ind w:left="200" w:right="200"/>
              <w:jc w:val="center"/>
              <w:rPr>
                <w:rFonts w:ascii="Arial" w:eastAsia="Garamond" w:hAnsi="Arial" w:cs="Arial"/>
              </w:rPr>
            </w:pPr>
            <w:r>
              <w:rPr>
                <w:rFonts w:ascii="Arial" w:eastAsia="Garamond" w:hAnsi="Arial" w:cs="Arial"/>
              </w:rPr>
              <w:t>4.00</w:t>
            </w:r>
          </w:p>
        </w:tc>
      </w:tr>
      <w:tr w:rsidR="00275909" w14:paraId="75E9B4C8" w14:textId="77777777">
        <w:trPr>
          <w:trHeight w:val="317"/>
          <w:jc w:val="center"/>
        </w:trPr>
        <w:tc>
          <w:tcPr>
            <w:tcW w:w="9459" w:type="dxa"/>
            <w:tcBorders>
              <w:top w:val="nil"/>
              <w:left w:val="nil"/>
              <w:bottom w:val="nil"/>
              <w:right w:val="nil"/>
            </w:tcBorders>
            <w:tcMar>
              <w:top w:w="0" w:type="dxa"/>
              <w:left w:w="0" w:type="dxa"/>
              <w:bottom w:w="0" w:type="dxa"/>
              <w:right w:w="0" w:type="dxa"/>
            </w:tcMar>
            <w:vAlign w:val="bottom"/>
          </w:tcPr>
          <w:p w14:paraId="7F4A0644" w14:textId="77777777" w:rsidR="00275909" w:rsidRDefault="00A768EA">
            <w:pPr>
              <w:widowControl w:val="0"/>
              <w:ind w:left="140" w:right="140"/>
              <w:jc w:val="both"/>
              <w:rPr>
                <w:rFonts w:ascii="Arial" w:eastAsia="Garamond" w:hAnsi="Arial" w:cs="Arial"/>
                <w:b/>
                <w:bCs/>
              </w:rPr>
            </w:pPr>
            <w:r>
              <w:rPr>
                <w:rFonts w:ascii="Arial" w:eastAsia="Garamond" w:hAnsi="Arial" w:cs="Arial"/>
              </w:rPr>
              <w:t>Overall</w:t>
            </w:r>
            <w:r>
              <w:rPr>
                <w:rFonts w:ascii="Arial" w:eastAsia="Garamond" w:hAnsi="Arial" w:cs="Arial"/>
                <w:b/>
                <w:bCs/>
              </w:rPr>
              <w:t xml:space="preserve"> Comfort</w:t>
            </w:r>
          </w:p>
        </w:tc>
        <w:tc>
          <w:tcPr>
            <w:tcW w:w="1100" w:type="dxa"/>
            <w:tcBorders>
              <w:top w:val="nil"/>
              <w:left w:val="nil"/>
              <w:bottom w:val="nil"/>
              <w:right w:val="nil"/>
            </w:tcBorders>
            <w:shd w:val="clear" w:color="auto" w:fill="FFFFFF"/>
            <w:tcMar>
              <w:top w:w="0" w:type="dxa"/>
              <w:left w:w="0" w:type="dxa"/>
              <w:bottom w:w="0" w:type="dxa"/>
              <w:right w:w="0" w:type="dxa"/>
            </w:tcMar>
            <w:vAlign w:val="bottom"/>
          </w:tcPr>
          <w:p w14:paraId="55DF631A" w14:textId="77777777" w:rsidR="00275909" w:rsidRDefault="00A768EA">
            <w:pPr>
              <w:widowControl w:val="0"/>
              <w:ind w:left="200" w:right="200"/>
              <w:jc w:val="center"/>
              <w:rPr>
                <w:rFonts w:ascii="Arial" w:eastAsia="Garamond" w:hAnsi="Arial" w:cs="Arial"/>
              </w:rPr>
            </w:pPr>
            <w:r>
              <w:rPr>
                <w:rFonts w:ascii="Arial" w:eastAsia="Garamond" w:hAnsi="Arial" w:cs="Arial"/>
              </w:rPr>
              <w:t>4.77</w:t>
            </w:r>
          </w:p>
        </w:tc>
      </w:tr>
      <w:tr w:rsidR="00275909" w14:paraId="22614EB7" w14:textId="77777777">
        <w:trPr>
          <w:trHeight w:val="317"/>
          <w:jc w:val="center"/>
        </w:trPr>
        <w:tc>
          <w:tcPr>
            <w:tcW w:w="9459" w:type="dxa"/>
            <w:tcBorders>
              <w:top w:val="nil"/>
              <w:left w:val="nil"/>
              <w:bottom w:val="nil"/>
              <w:right w:val="nil"/>
            </w:tcBorders>
            <w:tcMar>
              <w:top w:w="0" w:type="dxa"/>
              <w:left w:w="0" w:type="dxa"/>
              <w:bottom w:w="0" w:type="dxa"/>
              <w:right w:w="0" w:type="dxa"/>
            </w:tcMar>
            <w:vAlign w:val="bottom"/>
          </w:tcPr>
          <w:p w14:paraId="21C962C8" w14:textId="77777777" w:rsidR="00275909" w:rsidRDefault="00A768EA">
            <w:pPr>
              <w:widowControl w:val="0"/>
              <w:ind w:right="140"/>
              <w:jc w:val="both"/>
              <w:rPr>
                <w:rFonts w:ascii="Arial" w:eastAsia="Garamond" w:hAnsi="Arial" w:cs="Arial"/>
                <w:b/>
                <w:bCs/>
              </w:rPr>
            </w:pPr>
            <w:r>
              <w:rPr>
                <w:rFonts w:ascii="Arial" w:eastAsia="Garamond" w:hAnsi="Arial" w:cs="Arial"/>
                <w:b/>
                <w:bCs/>
              </w:rPr>
              <w:t>Attitude Toward Disease Process</w:t>
            </w:r>
          </w:p>
        </w:tc>
        <w:tc>
          <w:tcPr>
            <w:tcW w:w="1100" w:type="dxa"/>
            <w:tcBorders>
              <w:top w:val="nil"/>
              <w:left w:val="nil"/>
              <w:bottom w:val="nil"/>
              <w:right w:val="nil"/>
            </w:tcBorders>
            <w:shd w:val="clear" w:color="auto" w:fill="FFFFFF"/>
            <w:tcMar>
              <w:top w:w="0" w:type="dxa"/>
              <w:left w:w="0" w:type="dxa"/>
              <w:bottom w:w="0" w:type="dxa"/>
              <w:right w:w="0" w:type="dxa"/>
            </w:tcMar>
          </w:tcPr>
          <w:p w14:paraId="45DF4B87" w14:textId="77777777" w:rsidR="00275909" w:rsidRDefault="00A768EA">
            <w:pPr>
              <w:widowControl w:val="0"/>
              <w:ind w:left="200" w:right="200"/>
              <w:jc w:val="center"/>
              <w:rPr>
                <w:rFonts w:ascii="Arial" w:eastAsia="Garamond" w:hAnsi="Arial" w:cs="Arial"/>
                <w:b/>
                <w:bCs/>
              </w:rPr>
            </w:pPr>
            <w:r>
              <w:rPr>
                <w:rFonts w:ascii="Arial" w:eastAsia="Garamond" w:hAnsi="Arial" w:cs="Arial"/>
                <w:b/>
                <w:bCs/>
              </w:rPr>
              <w:t xml:space="preserve"> </w:t>
            </w:r>
          </w:p>
        </w:tc>
      </w:tr>
      <w:tr w:rsidR="00275909" w14:paraId="6350D106"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0A157FB3" w14:textId="77777777" w:rsidR="00275909" w:rsidRDefault="00A768EA">
            <w:pPr>
              <w:widowControl w:val="0"/>
              <w:ind w:left="980" w:right="140" w:hanging="420"/>
              <w:jc w:val="both"/>
              <w:rPr>
                <w:rFonts w:ascii="Arial" w:eastAsia="Garamond" w:hAnsi="Arial" w:cs="Arial"/>
              </w:rPr>
            </w:pPr>
            <w:r>
              <w:rPr>
                <w:rFonts w:ascii="Arial" w:eastAsia="Garamond" w:hAnsi="Arial" w:cs="Arial"/>
              </w:rPr>
              <w:t>It is important to know the past history of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75D0B8DC" w14:textId="77777777" w:rsidR="00275909" w:rsidRDefault="00A768EA">
            <w:pPr>
              <w:widowControl w:val="0"/>
              <w:ind w:left="200" w:right="200"/>
              <w:jc w:val="center"/>
              <w:rPr>
                <w:rFonts w:ascii="Arial" w:eastAsia="Garamond" w:hAnsi="Arial" w:cs="Arial"/>
              </w:rPr>
            </w:pPr>
            <w:r>
              <w:rPr>
                <w:rFonts w:ascii="Arial" w:eastAsia="Garamond" w:hAnsi="Arial" w:cs="Arial"/>
              </w:rPr>
              <w:t>6.18</w:t>
            </w:r>
          </w:p>
        </w:tc>
      </w:tr>
      <w:tr w:rsidR="00275909" w14:paraId="0994788D"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2E6FABD2" w14:textId="77777777" w:rsidR="00275909" w:rsidRDefault="00A768EA">
            <w:pPr>
              <w:widowControl w:val="0"/>
              <w:ind w:left="980" w:right="140" w:hanging="420"/>
              <w:jc w:val="both"/>
              <w:rPr>
                <w:rFonts w:ascii="Arial" w:eastAsia="Garamond" w:hAnsi="Arial" w:cs="Arial"/>
              </w:rPr>
            </w:pPr>
            <w:r>
              <w:rPr>
                <w:rFonts w:ascii="Arial" w:eastAsia="Garamond" w:hAnsi="Arial" w:cs="Arial"/>
              </w:rPr>
              <w:t>Every person with ADRD has different needs.</w:t>
            </w:r>
          </w:p>
        </w:tc>
        <w:tc>
          <w:tcPr>
            <w:tcW w:w="1100" w:type="dxa"/>
            <w:tcBorders>
              <w:top w:val="nil"/>
              <w:left w:val="nil"/>
              <w:bottom w:val="nil"/>
              <w:right w:val="nil"/>
            </w:tcBorders>
            <w:shd w:val="clear" w:color="auto" w:fill="FFFFFF"/>
            <w:tcMar>
              <w:top w:w="0" w:type="dxa"/>
              <w:left w:w="0" w:type="dxa"/>
              <w:bottom w:w="0" w:type="dxa"/>
              <w:right w:w="0" w:type="dxa"/>
            </w:tcMar>
          </w:tcPr>
          <w:p w14:paraId="0D1F6C90" w14:textId="77777777" w:rsidR="00275909" w:rsidRDefault="00A768EA">
            <w:pPr>
              <w:widowControl w:val="0"/>
              <w:ind w:left="200" w:right="200"/>
              <w:jc w:val="center"/>
              <w:rPr>
                <w:rFonts w:ascii="Arial" w:eastAsia="Garamond" w:hAnsi="Arial" w:cs="Arial"/>
              </w:rPr>
            </w:pPr>
            <w:r>
              <w:rPr>
                <w:rFonts w:ascii="Arial" w:eastAsia="Garamond" w:hAnsi="Arial" w:cs="Arial"/>
              </w:rPr>
              <w:t>5.97</w:t>
            </w:r>
          </w:p>
        </w:tc>
      </w:tr>
      <w:tr w:rsidR="00275909" w14:paraId="35D0A022"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1FE18175" w14:textId="77777777" w:rsidR="00275909" w:rsidRDefault="00A768EA">
            <w:pPr>
              <w:widowControl w:val="0"/>
              <w:ind w:left="980" w:right="140" w:hanging="420"/>
              <w:jc w:val="both"/>
              <w:rPr>
                <w:rFonts w:ascii="Arial" w:eastAsia="Garamond" w:hAnsi="Arial" w:cs="Arial"/>
              </w:rPr>
            </w:pPr>
            <w:r>
              <w:rPr>
                <w:rFonts w:ascii="Arial" w:eastAsia="Garamond" w:hAnsi="Arial" w:cs="Arial"/>
              </w:rPr>
              <w:t>We can do a lot now to improve the lives of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29301CE1" w14:textId="77777777" w:rsidR="00275909" w:rsidRDefault="00A768EA">
            <w:pPr>
              <w:widowControl w:val="0"/>
              <w:ind w:left="200" w:right="200"/>
              <w:jc w:val="center"/>
              <w:rPr>
                <w:rFonts w:ascii="Arial" w:eastAsia="Garamond" w:hAnsi="Arial" w:cs="Arial"/>
              </w:rPr>
            </w:pPr>
            <w:r>
              <w:rPr>
                <w:rFonts w:ascii="Arial" w:eastAsia="Garamond" w:hAnsi="Arial" w:cs="Arial"/>
              </w:rPr>
              <w:t>5.90</w:t>
            </w:r>
          </w:p>
        </w:tc>
      </w:tr>
      <w:tr w:rsidR="00275909" w14:paraId="18316FCE"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1F9BFB44" w14:textId="77777777" w:rsidR="00275909" w:rsidRDefault="00A768EA">
            <w:pPr>
              <w:widowControl w:val="0"/>
              <w:ind w:left="980" w:right="140" w:hanging="420"/>
              <w:jc w:val="both"/>
              <w:rPr>
                <w:rFonts w:ascii="Arial" w:eastAsia="Garamond" w:hAnsi="Arial" w:cs="Arial"/>
              </w:rPr>
            </w:pPr>
            <w:r>
              <w:rPr>
                <w:rFonts w:ascii="Arial" w:eastAsia="Garamond" w:hAnsi="Arial" w:cs="Arial"/>
              </w:rPr>
              <w:t>People with ADRD can feel when others are kind to them.</w:t>
            </w:r>
          </w:p>
        </w:tc>
        <w:tc>
          <w:tcPr>
            <w:tcW w:w="1100" w:type="dxa"/>
            <w:tcBorders>
              <w:top w:val="nil"/>
              <w:left w:val="nil"/>
              <w:bottom w:val="nil"/>
              <w:right w:val="nil"/>
            </w:tcBorders>
            <w:shd w:val="clear" w:color="auto" w:fill="FFFFFF"/>
            <w:tcMar>
              <w:top w:w="0" w:type="dxa"/>
              <w:left w:w="0" w:type="dxa"/>
              <w:bottom w:w="0" w:type="dxa"/>
              <w:right w:w="0" w:type="dxa"/>
            </w:tcMar>
          </w:tcPr>
          <w:p w14:paraId="3E031B0C" w14:textId="77777777" w:rsidR="00275909" w:rsidRDefault="00A768EA">
            <w:pPr>
              <w:widowControl w:val="0"/>
              <w:ind w:left="200" w:right="200"/>
              <w:jc w:val="center"/>
              <w:rPr>
                <w:rFonts w:ascii="Arial" w:eastAsia="Garamond" w:hAnsi="Arial" w:cs="Arial"/>
              </w:rPr>
            </w:pPr>
            <w:r>
              <w:rPr>
                <w:rFonts w:ascii="Arial" w:eastAsia="Garamond" w:hAnsi="Arial" w:cs="Arial"/>
              </w:rPr>
              <w:t>5.75</w:t>
            </w:r>
          </w:p>
        </w:tc>
      </w:tr>
      <w:tr w:rsidR="00275909" w14:paraId="0246CF00"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3B9B0083" w14:textId="77777777" w:rsidR="00275909" w:rsidRDefault="00A768EA">
            <w:pPr>
              <w:widowControl w:val="0"/>
              <w:ind w:left="980" w:right="140" w:hanging="420"/>
              <w:jc w:val="both"/>
              <w:rPr>
                <w:rFonts w:ascii="Arial" w:eastAsia="Garamond" w:hAnsi="Arial" w:cs="Arial"/>
              </w:rPr>
            </w:pPr>
            <w:r>
              <w:rPr>
                <w:rFonts w:ascii="Arial" w:eastAsia="Garamond" w:hAnsi="Arial" w:cs="Arial"/>
              </w:rPr>
              <w:t>I admire the coping skills of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446F70CA" w14:textId="77777777" w:rsidR="00275909" w:rsidRDefault="00A768EA">
            <w:pPr>
              <w:widowControl w:val="0"/>
              <w:ind w:left="200" w:right="200"/>
              <w:jc w:val="center"/>
              <w:rPr>
                <w:rFonts w:ascii="Arial" w:eastAsia="Garamond" w:hAnsi="Arial" w:cs="Arial"/>
              </w:rPr>
            </w:pPr>
            <w:r>
              <w:rPr>
                <w:rFonts w:ascii="Arial" w:eastAsia="Garamond" w:hAnsi="Arial" w:cs="Arial"/>
              </w:rPr>
              <w:t>5.71</w:t>
            </w:r>
          </w:p>
        </w:tc>
      </w:tr>
      <w:tr w:rsidR="00275909" w14:paraId="2189F62F"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717FEFC4" w14:textId="77777777" w:rsidR="00275909" w:rsidRDefault="00A768EA">
            <w:pPr>
              <w:widowControl w:val="0"/>
              <w:ind w:left="980" w:right="140" w:hanging="420"/>
              <w:jc w:val="both"/>
              <w:rPr>
                <w:rFonts w:ascii="Arial" w:eastAsia="Garamond" w:hAnsi="Arial" w:cs="Arial"/>
              </w:rPr>
            </w:pPr>
            <w:r>
              <w:rPr>
                <w:rFonts w:ascii="Arial" w:eastAsia="Garamond" w:hAnsi="Arial" w:cs="Arial"/>
              </w:rPr>
              <w:t>People with ADRD like having familiar things nearby.</w:t>
            </w:r>
          </w:p>
        </w:tc>
        <w:tc>
          <w:tcPr>
            <w:tcW w:w="1100" w:type="dxa"/>
            <w:tcBorders>
              <w:top w:val="nil"/>
              <w:left w:val="nil"/>
              <w:bottom w:val="nil"/>
              <w:right w:val="nil"/>
            </w:tcBorders>
            <w:shd w:val="clear" w:color="auto" w:fill="FFFFFF"/>
            <w:tcMar>
              <w:top w:w="0" w:type="dxa"/>
              <w:left w:w="0" w:type="dxa"/>
              <w:bottom w:w="0" w:type="dxa"/>
              <w:right w:w="0" w:type="dxa"/>
            </w:tcMar>
          </w:tcPr>
          <w:p w14:paraId="541E17F5" w14:textId="77777777" w:rsidR="00275909" w:rsidRDefault="00A768EA">
            <w:pPr>
              <w:widowControl w:val="0"/>
              <w:ind w:left="200" w:right="200"/>
              <w:jc w:val="center"/>
              <w:rPr>
                <w:rFonts w:ascii="Arial" w:eastAsia="Garamond" w:hAnsi="Arial" w:cs="Arial"/>
              </w:rPr>
            </w:pPr>
            <w:r>
              <w:rPr>
                <w:rFonts w:ascii="Arial" w:eastAsia="Garamond" w:hAnsi="Arial" w:cs="Arial"/>
              </w:rPr>
              <w:t>5.71</w:t>
            </w:r>
          </w:p>
        </w:tc>
      </w:tr>
      <w:tr w:rsidR="00275909" w14:paraId="084AD2CE"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44B63D4B" w14:textId="77777777" w:rsidR="00275909" w:rsidRDefault="00A768EA">
            <w:pPr>
              <w:widowControl w:val="0"/>
              <w:ind w:left="980" w:right="140" w:hanging="420"/>
              <w:jc w:val="both"/>
              <w:rPr>
                <w:rFonts w:ascii="Arial" w:eastAsia="Garamond" w:hAnsi="Arial" w:cs="Arial"/>
              </w:rPr>
            </w:pPr>
            <w:r>
              <w:rPr>
                <w:rFonts w:ascii="Arial" w:eastAsia="Garamond" w:hAnsi="Arial" w:cs="Arial"/>
              </w:rPr>
              <w:t>It is possible to enjoy interacting with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1E5A4662" w14:textId="77777777" w:rsidR="00275909" w:rsidRDefault="00A768EA">
            <w:pPr>
              <w:widowControl w:val="0"/>
              <w:ind w:left="200" w:right="200"/>
              <w:jc w:val="center"/>
              <w:rPr>
                <w:rFonts w:ascii="Arial" w:eastAsia="Garamond" w:hAnsi="Arial" w:cs="Arial"/>
              </w:rPr>
            </w:pPr>
            <w:r>
              <w:rPr>
                <w:rFonts w:ascii="Arial" w:eastAsia="Garamond" w:hAnsi="Arial" w:cs="Arial"/>
              </w:rPr>
              <w:t>5.69</w:t>
            </w:r>
          </w:p>
        </w:tc>
      </w:tr>
      <w:tr w:rsidR="00275909" w14:paraId="025225A9"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3985DAF7" w14:textId="77777777" w:rsidR="00275909" w:rsidRDefault="00A768EA">
            <w:pPr>
              <w:widowControl w:val="0"/>
              <w:ind w:left="980" w:right="140" w:hanging="420"/>
              <w:jc w:val="both"/>
              <w:rPr>
                <w:rFonts w:ascii="Arial" w:eastAsia="Garamond" w:hAnsi="Arial" w:cs="Arial"/>
              </w:rPr>
            </w:pPr>
            <w:r>
              <w:rPr>
                <w:rFonts w:ascii="Arial" w:eastAsia="Garamond" w:hAnsi="Arial" w:cs="Arial"/>
              </w:rPr>
              <w:t>People with ADRD can enjoy life.</w:t>
            </w:r>
          </w:p>
        </w:tc>
        <w:tc>
          <w:tcPr>
            <w:tcW w:w="1100" w:type="dxa"/>
            <w:tcBorders>
              <w:top w:val="nil"/>
              <w:left w:val="nil"/>
              <w:bottom w:val="nil"/>
              <w:right w:val="nil"/>
            </w:tcBorders>
            <w:shd w:val="clear" w:color="auto" w:fill="FFFFFF"/>
            <w:tcMar>
              <w:top w:w="0" w:type="dxa"/>
              <w:left w:w="0" w:type="dxa"/>
              <w:bottom w:w="0" w:type="dxa"/>
              <w:right w:w="0" w:type="dxa"/>
            </w:tcMar>
          </w:tcPr>
          <w:p w14:paraId="5F2DFD10" w14:textId="77777777" w:rsidR="00275909" w:rsidRDefault="00A768EA">
            <w:pPr>
              <w:widowControl w:val="0"/>
              <w:ind w:left="200" w:right="200"/>
              <w:jc w:val="center"/>
              <w:rPr>
                <w:rFonts w:ascii="Arial" w:eastAsia="Garamond" w:hAnsi="Arial" w:cs="Arial"/>
              </w:rPr>
            </w:pPr>
            <w:r>
              <w:rPr>
                <w:rFonts w:ascii="Arial" w:eastAsia="Garamond" w:hAnsi="Arial" w:cs="Arial"/>
              </w:rPr>
              <w:t>5.64</w:t>
            </w:r>
          </w:p>
        </w:tc>
      </w:tr>
      <w:tr w:rsidR="00275909" w14:paraId="63430DC1"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247B6584" w14:textId="77777777" w:rsidR="00275909" w:rsidRDefault="00A768EA">
            <w:pPr>
              <w:widowControl w:val="0"/>
              <w:ind w:left="980" w:right="140" w:hanging="420"/>
              <w:jc w:val="both"/>
              <w:rPr>
                <w:rFonts w:ascii="Arial" w:eastAsia="Garamond" w:hAnsi="Arial" w:cs="Arial"/>
              </w:rPr>
            </w:pPr>
            <w:r>
              <w:rPr>
                <w:rFonts w:ascii="Arial" w:eastAsia="Garamond" w:hAnsi="Arial" w:cs="Arial"/>
              </w:rPr>
              <w:t>Difficult behaviors may be a form of communication for people with ADRD.</w:t>
            </w:r>
          </w:p>
        </w:tc>
        <w:tc>
          <w:tcPr>
            <w:tcW w:w="1100" w:type="dxa"/>
            <w:tcBorders>
              <w:top w:val="nil"/>
              <w:left w:val="nil"/>
              <w:bottom w:val="nil"/>
              <w:right w:val="nil"/>
            </w:tcBorders>
            <w:shd w:val="clear" w:color="auto" w:fill="FFFFFF"/>
            <w:tcMar>
              <w:top w:w="0" w:type="dxa"/>
              <w:left w:w="0" w:type="dxa"/>
              <w:bottom w:w="0" w:type="dxa"/>
              <w:right w:w="0" w:type="dxa"/>
            </w:tcMar>
          </w:tcPr>
          <w:p w14:paraId="2CF2375F" w14:textId="77777777" w:rsidR="00275909" w:rsidRDefault="00A768EA">
            <w:pPr>
              <w:widowControl w:val="0"/>
              <w:ind w:left="200" w:right="200"/>
              <w:jc w:val="center"/>
              <w:rPr>
                <w:rFonts w:ascii="Arial" w:eastAsia="Garamond" w:hAnsi="Arial" w:cs="Arial"/>
              </w:rPr>
            </w:pPr>
            <w:r>
              <w:rPr>
                <w:rFonts w:ascii="Arial" w:eastAsia="Garamond" w:hAnsi="Arial" w:cs="Arial"/>
              </w:rPr>
              <w:t>5.36</w:t>
            </w:r>
          </w:p>
        </w:tc>
      </w:tr>
      <w:tr w:rsidR="00275909" w14:paraId="12E9D8A1" w14:textId="77777777">
        <w:trPr>
          <w:trHeight w:val="317"/>
          <w:jc w:val="center"/>
        </w:trPr>
        <w:tc>
          <w:tcPr>
            <w:tcW w:w="9459" w:type="dxa"/>
            <w:tcBorders>
              <w:top w:val="nil"/>
              <w:left w:val="nil"/>
              <w:bottom w:val="nil"/>
              <w:right w:val="nil"/>
            </w:tcBorders>
            <w:tcMar>
              <w:top w:w="0" w:type="dxa"/>
              <w:left w:w="0" w:type="dxa"/>
              <w:bottom w:w="0" w:type="dxa"/>
              <w:right w:w="0" w:type="dxa"/>
            </w:tcMar>
          </w:tcPr>
          <w:p w14:paraId="1E738194" w14:textId="77777777" w:rsidR="00275909" w:rsidRDefault="00A768EA">
            <w:pPr>
              <w:widowControl w:val="0"/>
              <w:ind w:left="980" w:right="140" w:hanging="420"/>
              <w:jc w:val="both"/>
              <w:rPr>
                <w:rFonts w:ascii="Arial" w:eastAsia="Garamond" w:hAnsi="Arial" w:cs="Arial"/>
              </w:rPr>
            </w:pPr>
            <w:r>
              <w:rPr>
                <w:rFonts w:ascii="Arial" w:eastAsia="Garamond" w:hAnsi="Arial" w:cs="Arial"/>
              </w:rPr>
              <w:t>People with ADRD can be creative.</w:t>
            </w:r>
          </w:p>
        </w:tc>
        <w:tc>
          <w:tcPr>
            <w:tcW w:w="1100" w:type="dxa"/>
            <w:tcBorders>
              <w:top w:val="nil"/>
              <w:left w:val="nil"/>
              <w:bottom w:val="nil"/>
              <w:right w:val="nil"/>
            </w:tcBorders>
            <w:shd w:val="clear" w:color="auto" w:fill="FFFFFF"/>
            <w:tcMar>
              <w:top w:w="0" w:type="dxa"/>
              <w:left w:w="0" w:type="dxa"/>
              <w:bottom w:w="0" w:type="dxa"/>
              <w:right w:w="0" w:type="dxa"/>
            </w:tcMar>
          </w:tcPr>
          <w:p w14:paraId="503EC3C9" w14:textId="77777777" w:rsidR="00275909" w:rsidRDefault="00A768EA">
            <w:pPr>
              <w:widowControl w:val="0"/>
              <w:ind w:left="200" w:right="200"/>
              <w:jc w:val="center"/>
              <w:rPr>
                <w:rFonts w:ascii="Arial" w:eastAsia="Garamond" w:hAnsi="Arial" w:cs="Arial"/>
              </w:rPr>
            </w:pPr>
            <w:r>
              <w:rPr>
                <w:rFonts w:ascii="Arial" w:eastAsia="Garamond" w:hAnsi="Arial" w:cs="Arial"/>
              </w:rPr>
              <w:t>5.12</w:t>
            </w:r>
          </w:p>
        </w:tc>
      </w:tr>
      <w:tr w:rsidR="00275909" w14:paraId="0356D2A0" w14:textId="77777777">
        <w:trPr>
          <w:trHeight w:val="340"/>
          <w:jc w:val="center"/>
        </w:trPr>
        <w:tc>
          <w:tcPr>
            <w:tcW w:w="9459" w:type="dxa"/>
            <w:tcBorders>
              <w:top w:val="nil"/>
              <w:left w:val="nil"/>
              <w:bottom w:val="single" w:sz="8" w:space="0" w:color="000000"/>
              <w:right w:val="nil"/>
            </w:tcBorders>
            <w:tcMar>
              <w:top w:w="0" w:type="dxa"/>
              <w:left w:w="0" w:type="dxa"/>
              <w:bottom w:w="0" w:type="dxa"/>
              <w:right w:w="0" w:type="dxa"/>
            </w:tcMar>
            <w:vAlign w:val="bottom"/>
          </w:tcPr>
          <w:p w14:paraId="30284D77" w14:textId="77777777" w:rsidR="00275909" w:rsidRDefault="00A768EA">
            <w:pPr>
              <w:widowControl w:val="0"/>
              <w:ind w:left="140" w:right="140"/>
              <w:rPr>
                <w:rFonts w:ascii="Arial" w:eastAsia="Garamond" w:hAnsi="Arial" w:cs="Arial"/>
                <w:b/>
                <w:bCs/>
              </w:rPr>
            </w:pPr>
            <w:r>
              <w:rPr>
                <w:rFonts w:ascii="Arial" w:eastAsia="Garamond" w:hAnsi="Arial" w:cs="Arial"/>
              </w:rPr>
              <w:t xml:space="preserve">Overall </w:t>
            </w:r>
            <w:r>
              <w:rPr>
                <w:rFonts w:ascii="Arial" w:eastAsia="Garamond" w:hAnsi="Arial" w:cs="Arial"/>
                <w:b/>
                <w:bCs/>
              </w:rPr>
              <w:t>Attitude Toward Disease Process</w:t>
            </w:r>
          </w:p>
        </w:tc>
        <w:tc>
          <w:tcPr>
            <w:tcW w:w="1100" w:type="dxa"/>
            <w:tcBorders>
              <w:top w:val="nil"/>
              <w:left w:val="nil"/>
              <w:bottom w:val="single" w:sz="8" w:space="0" w:color="000000"/>
              <w:right w:val="nil"/>
            </w:tcBorders>
            <w:shd w:val="clear" w:color="auto" w:fill="FFFFFF"/>
            <w:tcMar>
              <w:top w:w="0" w:type="dxa"/>
              <w:left w:w="0" w:type="dxa"/>
              <w:bottom w:w="0" w:type="dxa"/>
              <w:right w:w="0" w:type="dxa"/>
            </w:tcMar>
            <w:vAlign w:val="bottom"/>
          </w:tcPr>
          <w:p w14:paraId="153091D2" w14:textId="77777777" w:rsidR="00275909" w:rsidRDefault="00A768EA">
            <w:pPr>
              <w:widowControl w:val="0"/>
              <w:ind w:left="200" w:right="200"/>
              <w:jc w:val="center"/>
              <w:rPr>
                <w:rFonts w:ascii="Arial" w:eastAsia="Garamond" w:hAnsi="Arial" w:cs="Arial"/>
              </w:rPr>
            </w:pPr>
            <w:r>
              <w:rPr>
                <w:rFonts w:ascii="Arial" w:eastAsia="Garamond" w:hAnsi="Arial" w:cs="Arial"/>
              </w:rPr>
              <w:t>5.70</w:t>
            </w:r>
          </w:p>
        </w:tc>
      </w:tr>
      <w:tr w:rsidR="00275909" w14:paraId="0B52E6CE" w14:textId="77777777">
        <w:trPr>
          <w:trHeight w:val="357"/>
          <w:jc w:val="center"/>
        </w:trPr>
        <w:tc>
          <w:tcPr>
            <w:tcW w:w="9459" w:type="dxa"/>
            <w:tcBorders>
              <w:top w:val="nil"/>
              <w:left w:val="nil"/>
              <w:bottom w:val="single" w:sz="8" w:space="0" w:color="000000"/>
              <w:right w:val="nil"/>
            </w:tcBorders>
            <w:tcMar>
              <w:top w:w="0" w:type="dxa"/>
              <w:left w:w="0" w:type="dxa"/>
              <w:bottom w:w="0" w:type="dxa"/>
              <w:right w:w="0" w:type="dxa"/>
            </w:tcMar>
            <w:vAlign w:val="bottom"/>
          </w:tcPr>
          <w:p w14:paraId="34DAF37B" w14:textId="77777777" w:rsidR="00275909" w:rsidRDefault="00A768EA">
            <w:pPr>
              <w:widowControl w:val="0"/>
              <w:ind w:left="140" w:right="140"/>
              <w:rPr>
                <w:rFonts w:ascii="Arial" w:eastAsia="Garamond" w:hAnsi="Arial" w:cs="Arial"/>
                <w:b/>
                <w:bCs/>
              </w:rPr>
            </w:pPr>
            <w:r>
              <w:rPr>
                <w:rFonts w:ascii="Arial" w:eastAsia="Garamond" w:hAnsi="Arial" w:cs="Arial"/>
                <w:b/>
                <w:bCs/>
              </w:rPr>
              <w:lastRenderedPageBreak/>
              <w:t>Total Overall</w:t>
            </w:r>
          </w:p>
        </w:tc>
        <w:tc>
          <w:tcPr>
            <w:tcW w:w="1100" w:type="dxa"/>
            <w:tcBorders>
              <w:top w:val="nil"/>
              <w:left w:val="nil"/>
              <w:bottom w:val="single" w:sz="8" w:space="0" w:color="000000"/>
              <w:right w:val="nil"/>
            </w:tcBorders>
            <w:shd w:val="clear" w:color="auto" w:fill="FFFFFF"/>
            <w:tcMar>
              <w:top w:w="0" w:type="dxa"/>
              <w:left w:w="0" w:type="dxa"/>
              <w:bottom w:w="0" w:type="dxa"/>
              <w:right w:w="0" w:type="dxa"/>
            </w:tcMar>
            <w:vAlign w:val="bottom"/>
          </w:tcPr>
          <w:p w14:paraId="4EBB87BB" w14:textId="77777777" w:rsidR="00275909" w:rsidRDefault="00A768EA">
            <w:pPr>
              <w:widowControl w:val="0"/>
              <w:ind w:left="200" w:right="200"/>
              <w:jc w:val="center"/>
              <w:rPr>
                <w:rFonts w:ascii="Arial" w:eastAsia="Garamond" w:hAnsi="Arial" w:cs="Arial"/>
              </w:rPr>
            </w:pPr>
            <w:r>
              <w:rPr>
                <w:rFonts w:ascii="Arial" w:eastAsia="Garamond" w:hAnsi="Arial" w:cs="Arial"/>
              </w:rPr>
              <w:t>4.77</w:t>
            </w:r>
          </w:p>
        </w:tc>
      </w:tr>
    </w:tbl>
    <w:p w14:paraId="066D2676" w14:textId="77777777" w:rsidR="00275909" w:rsidRDefault="00275909">
      <w:pPr>
        <w:jc w:val="both"/>
        <w:rPr>
          <w:rFonts w:ascii="Arial" w:eastAsia="Arial" w:hAnsi="Arial" w:cs="Arial"/>
          <w:b/>
          <w:bCs/>
        </w:rPr>
      </w:pPr>
    </w:p>
    <w:p w14:paraId="24692422" w14:textId="77777777" w:rsidR="00275909" w:rsidRDefault="00275909">
      <w:pPr>
        <w:jc w:val="center"/>
        <w:rPr>
          <w:rFonts w:ascii="Arial" w:eastAsia="Arial" w:hAnsi="Arial" w:cs="Arial"/>
          <w:b/>
          <w:bCs/>
        </w:rPr>
      </w:pPr>
    </w:p>
    <w:p w14:paraId="709BE6B8" w14:textId="77777777" w:rsidR="00275909" w:rsidRDefault="00275909">
      <w:pPr>
        <w:rPr>
          <w:rFonts w:ascii="Arial" w:eastAsia="Arial" w:hAnsi="Arial" w:cs="Arial"/>
          <w:b/>
          <w:bCs/>
          <w:smallCaps/>
          <w:sz w:val="22"/>
          <w:szCs w:val="22"/>
        </w:rPr>
      </w:pPr>
    </w:p>
    <w:p w14:paraId="27EF0DCB" w14:textId="77777777" w:rsidR="00275909" w:rsidRDefault="00275909">
      <w:pPr>
        <w:rPr>
          <w:rFonts w:ascii="Arial" w:eastAsia="Arial" w:hAnsi="Arial" w:cs="Arial"/>
          <w:b/>
          <w:bCs/>
          <w:smallCaps/>
          <w:sz w:val="22"/>
          <w:szCs w:val="22"/>
        </w:rPr>
      </w:pPr>
    </w:p>
    <w:p w14:paraId="18F0DC6C" w14:textId="77777777" w:rsidR="00275909" w:rsidRDefault="00275909">
      <w:pPr>
        <w:rPr>
          <w:rFonts w:ascii="Arial" w:eastAsia="Arial" w:hAnsi="Arial" w:cs="Arial"/>
          <w:b/>
          <w:bCs/>
          <w:smallCaps/>
          <w:sz w:val="22"/>
          <w:szCs w:val="22"/>
        </w:rPr>
      </w:pPr>
    </w:p>
    <w:p w14:paraId="6B44CD22" w14:textId="77777777" w:rsidR="00275909" w:rsidRDefault="00275909">
      <w:pPr>
        <w:rPr>
          <w:rFonts w:ascii="Arial" w:eastAsia="Arial" w:hAnsi="Arial" w:cs="Arial"/>
          <w:b/>
          <w:bCs/>
          <w:smallCaps/>
          <w:sz w:val="22"/>
          <w:szCs w:val="22"/>
        </w:rPr>
      </w:pPr>
    </w:p>
    <w:p w14:paraId="497E9081" w14:textId="77777777" w:rsidR="00275909" w:rsidRDefault="00A768EA">
      <w:pPr>
        <w:rPr>
          <w:rFonts w:ascii="Arial" w:eastAsia="Arial" w:hAnsi="Arial" w:cs="Arial"/>
          <w:b/>
          <w:bCs/>
        </w:rPr>
      </w:pPr>
      <w:r>
        <w:rPr>
          <w:rFonts w:ascii="Arial" w:eastAsia="Arial" w:hAnsi="Arial" w:cs="Arial"/>
          <w:b/>
          <w:bCs/>
          <w:smallCaps/>
          <w:sz w:val="22"/>
          <w:szCs w:val="22"/>
        </w:rPr>
        <w:t xml:space="preserve">4.2 INFERENTIAL STATISTICS </w:t>
      </w:r>
    </w:p>
    <w:p w14:paraId="177A8825" w14:textId="77777777" w:rsidR="00275909" w:rsidRDefault="00275909">
      <w:pPr>
        <w:jc w:val="both"/>
        <w:rPr>
          <w:rFonts w:ascii="Arial" w:eastAsia="Arial" w:hAnsi="Arial" w:cs="Arial"/>
          <w:b/>
          <w:bCs/>
        </w:rPr>
      </w:pPr>
    </w:p>
    <w:p w14:paraId="52C5C0C4" w14:textId="77777777" w:rsidR="00275909" w:rsidRDefault="00A768EA">
      <w:pPr>
        <w:jc w:val="both"/>
        <w:rPr>
          <w:rFonts w:ascii="Arial" w:eastAsia="Arial" w:hAnsi="Arial" w:cs="Arial"/>
          <w:b/>
          <w:bCs/>
        </w:rPr>
      </w:pPr>
      <w:r>
        <w:rPr>
          <w:rFonts w:ascii="Arial" w:eastAsia="Arial" w:hAnsi="Arial" w:cs="Arial"/>
          <w:b/>
          <w:bCs/>
          <w:smallCaps/>
          <w:sz w:val="22"/>
          <w:szCs w:val="22"/>
        </w:rPr>
        <w:t xml:space="preserve">4.2.1 RELATIONSHIP BETWEEN RESPONDENTS’ KNOWLEDGE AND ATTITUDES TOWARD ALZHEIMER’S CARE </w:t>
      </w:r>
    </w:p>
    <w:p w14:paraId="07810A6E" w14:textId="77777777" w:rsidR="00275909" w:rsidRDefault="00275909">
      <w:pPr>
        <w:jc w:val="both"/>
        <w:rPr>
          <w:rFonts w:ascii="Arial" w:eastAsia="Arial" w:hAnsi="Arial" w:cs="Arial"/>
        </w:rPr>
      </w:pPr>
    </w:p>
    <w:p w14:paraId="7C79CEA9" w14:textId="77777777" w:rsidR="00275909" w:rsidRDefault="00A768EA">
      <w:pPr>
        <w:jc w:val="both"/>
        <w:rPr>
          <w:rFonts w:ascii="Arial" w:eastAsia="Arial" w:hAnsi="Arial" w:cs="Arial"/>
        </w:rPr>
      </w:pPr>
      <w:r>
        <w:rPr>
          <w:rFonts w:ascii="Arial" w:eastAsia="Arial" w:hAnsi="Arial" w:cs="Arial"/>
        </w:rPr>
        <w:t>To assess the normality of the data and determine the appropriate inferential statistical method, the researcher conducted the Kolmogorov–Smirnov Test (Faizi &amp; Alvi, 2023). The results indicated that the data on knowledge and attitudes, including their respective subdomains, did not follow a normal distribution, as evidenced by significant p-values (p &lt; 0.05). Therefore, non</w:t>
      </w:r>
      <w:r>
        <w:rPr>
          <w:rFonts w:ascii="Arial" w:eastAsia="Arial" w:hAnsi="Arial" w:cs="Arial"/>
          <w:lang w:val="en-US"/>
        </w:rPr>
        <w:t>-</w:t>
      </w:r>
      <w:r>
        <w:rPr>
          <w:rFonts w:ascii="Arial" w:eastAsia="Arial" w:hAnsi="Arial" w:cs="Arial"/>
        </w:rPr>
        <w:t>parametric statistical tests were deemed appropriate for the analysis. Consequently, the Spearman's Rank Correlation Coefficient was utilized.</w:t>
      </w:r>
    </w:p>
    <w:p w14:paraId="67FA2C24" w14:textId="77777777" w:rsidR="00275909" w:rsidRDefault="00275909">
      <w:pPr>
        <w:jc w:val="both"/>
        <w:rPr>
          <w:rFonts w:ascii="Arial" w:eastAsia="Arial" w:hAnsi="Arial" w:cs="Arial"/>
        </w:rPr>
      </w:pPr>
    </w:p>
    <w:p w14:paraId="037C5FF0" w14:textId="77777777" w:rsidR="00275909" w:rsidRDefault="00A768EA">
      <w:pPr>
        <w:jc w:val="both"/>
        <w:rPr>
          <w:rFonts w:ascii="Arial" w:eastAsia="Arial" w:hAnsi="Arial" w:cs="Arial"/>
        </w:rPr>
      </w:pPr>
      <w:r>
        <w:rPr>
          <w:rFonts w:ascii="Arial" w:eastAsia="Arial" w:hAnsi="Arial" w:cs="Arial"/>
        </w:rPr>
        <w:t>The analysis revealed that the relationship between overall knowledge and overall attitude yielded a p-value of 0.864. Since this value is greater than the 0.05 level of significance, there is no statistically significant relationship between overall knowledge and overall attitude. Therefore, the null hypothesis failed to be rejected. Because the relationship is not statistically significant, the correlation coefficient was not interpreted.</w:t>
      </w:r>
    </w:p>
    <w:p w14:paraId="55791B28" w14:textId="77777777" w:rsidR="00275909" w:rsidRDefault="00275909">
      <w:pPr>
        <w:jc w:val="both"/>
        <w:rPr>
          <w:rFonts w:ascii="Arial" w:eastAsia="Arial" w:hAnsi="Arial" w:cs="Arial"/>
        </w:rPr>
      </w:pPr>
    </w:p>
    <w:p w14:paraId="2213A460" w14:textId="77777777" w:rsidR="00275909" w:rsidRDefault="00A768EA">
      <w:pPr>
        <w:jc w:val="both"/>
        <w:rPr>
          <w:rFonts w:ascii="Arial" w:eastAsia="Arial" w:hAnsi="Arial" w:cs="Arial"/>
        </w:rPr>
      </w:pPr>
      <w:r>
        <w:rPr>
          <w:rFonts w:ascii="Arial" w:eastAsia="Arial" w:hAnsi="Arial" w:cs="Arial"/>
        </w:rPr>
        <w:t>However, several statistically significant relationships were identified among specific knowledge domains and attitude domains. Knowledge of Symptoms demonstrated significant positive correlations with Comfort (</w:t>
      </w:r>
      <w:proofErr w:type="spellStart"/>
      <w:r>
        <w:rPr>
          <w:rFonts w:ascii="Arial" w:eastAsia="Arial" w:hAnsi="Arial" w:cs="Arial"/>
        </w:rPr>
        <w:t>rs</w:t>
      </w:r>
      <w:proofErr w:type="spellEnd"/>
      <w:r>
        <w:rPr>
          <w:rFonts w:ascii="Arial" w:eastAsia="Arial" w:hAnsi="Arial" w:cs="Arial"/>
        </w:rPr>
        <w:t xml:space="preserve"> = .208, p = .001), Attitude Toward Disease Process (</w:t>
      </w:r>
      <w:proofErr w:type="spellStart"/>
      <w:r>
        <w:rPr>
          <w:rFonts w:ascii="Arial" w:eastAsia="Arial" w:hAnsi="Arial" w:cs="Arial"/>
        </w:rPr>
        <w:t>rs</w:t>
      </w:r>
      <w:proofErr w:type="spellEnd"/>
      <w:r>
        <w:rPr>
          <w:rFonts w:ascii="Arial" w:eastAsia="Arial" w:hAnsi="Arial" w:cs="Arial"/>
        </w:rPr>
        <w:t xml:space="preserve"> = .154, p = .011), and Overall Attitude (</w:t>
      </w:r>
      <w:proofErr w:type="spellStart"/>
      <w:r>
        <w:rPr>
          <w:rFonts w:ascii="Arial" w:eastAsia="Arial" w:hAnsi="Arial" w:cs="Arial"/>
        </w:rPr>
        <w:t>rs</w:t>
      </w:r>
      <w:proofErr w:type="spellEnd"/>
      <w:r>
        <w:rPr>
          <w:rFonts w:ascii="Arial" w:eastAsia="Arial" w:hAnsi="Arial" w:cs="Arial"/>
        </w:rPr>
        <w:t xml:space="preserve"> = .208, p = .001). Knowledge of Assessment and Diagnosis was significantly related to Attitude Toward Disease Process (</w:t>
      </w:r>
      <w:proofErr w:type="spellStart"/>
      <w:r>
        <w:rPr>
          <w:rFonts w:ascii="Arial" w:eastAsia="Arial" w:hAnsi="Arial" w:cs="Arial"/>
        </w:rPr>
        <w:t>rs</w:t>
      </w:r>
      <w:proofErr w:type="spellEnd"/>
      <w:r>
        <w:rPr>
          <w:rFonts w:ascii="Arial" w:eastAsia="Arial" w:hAnsi="Arial" w:cs="Arial"/>
        </w:rPr>
        <w:t xml:space="preserve"> = .131, p = .030). Knowledge of the Course of the Disease showed significant positive relationships with Comfort (</w:t>
      </w:r>
      <w:proofErr w:type="spellStart"/>
      <w:r>
        <w:rPr>
          <w:rFonts w:ascii="Arial" w:eastAsia="Arial" w:hAnsi="Arial" w:cs="Arial"/>
        </w:rPr>
        <w:t>rs</w:t>
      </w:r>
      <w:proofErr w:type="spellEnd"/>
      <w:r>
        <w:rPr>
          <w:rFonts w:ascii="Arial" w:eastAsia="Arial" w:hAnsi="Arial" w:cs="Arial"/>
        </w:rPr>
        <w:t xml:space="preserve"> = .139, p = .021) and Overall Attitude (</w:t>
      </w:r>
      <w:proofErr w:type="spellStart"/>
      <w:r>
        <w:rPr>
          <w:rFonts w:ascii="Arial" w:eastAsia="Arial" w:hAnsi="Arial" w:cs="Arial"/>
        </w:rPr>
        <w:t>rs</w:t>
      </w:r>
      <w:proofErr w:type="spellEnd"/>
      <w:r>
        <w:rPr>
          <w:rFonts w:ascii="Arial" w:eastAsia="Arial" w:hAnsi="Arial" w:cs="Arial"/>
        </w:rPr>
        <w:t xml:space="preserve"> = .139, p = .021). Furthermore, knowledge of Life Impact was significantly associated with Comfort (</w:t>
      </w:r>
      <w:proofErr w:type="spellStart"/>
      <w:r>
        <w:rPr>
          <w:rFonts w:ascii="Arial" w:eastAsia="Arial" w:hAnsi="Arial" w:cs="Arial"/>
        </w:rPr>
        <w:t>rs</w:t>
      </w:r>
      <w:proofErr w:type="spellEnd"/>
      <w:r>
        <w:rPr>
          <w:rFonts w:ascii="Arial" w:eastAsia="Arial" w:hAnsi="Arial" w:cs="Arial"/>
        </w:rPr>
        <w:t xml:space="preserve"> = .204, p = .001), Attitude Toward Disease Process (</w:t>
      </w:r>
      <w:proofErr w:type="spellStart"/>
      <w:r>
        <w:rPr>
          <w:rFonts w:ascii="Arial" w:eastAsia="Arial" w:hAnsi="Arial" w:cs="Arial"/>
        </w:rPr>
        <w:t>rs</w:t>
      </w:r>
      <w:proofErr w:type="spellEnd"/>
      <w:r>
        <w:rPr>
          <w:rFonts w:ascii="Arial" w:eastAsia="Arial" w:hAnsi="Arial" w:cs="Arial"/>
        </w:rPr>
        <w:t xml:space="preserve"> = .185, p = .002), and Overall Attitude (</w:t>
      </w:r>
      <w:proofErr w:type="spellStart"/>
      <w:r>
        <w:rPr>
          <w:rFonts w:ascii="Arial" w:eastAsia="Arial" w:hAnsi="Arial" w:cs="Arial"/>
        </w:rPr>
        <w:t>rs</w:t>
      </w:r>
      <w:proofErr w:type="spellEnd"/>
      <w:r>
        <w:rPr>
          <w:rFonts w:ascii="Arial" w:eastAsia="Arial" w:hAnsi="Arial" w:cs="Arial"/>
        </w:rPr>
        <w:t xml:space="preserve"> = .204, p = .001).</w:t>
      </w:r>
    </w:p>
    <w:p w14:paraId="6695BE5B" w14:textId="77777777" w:rsidR="00275909" w:rsidRDefault="00275909">
      <w:pPr>
        <w:jc w:val="both"/>
        <w:rPr>
          <w:rFonts w:ascii="Arial" w:eastAsia="Arial" w:hAnsi="Arial" w:cs="Arial"/>
        </w:rPr>
      </w:pPr>
    </w:p>
    <w:p w14:paraId="19B48DD7" w14:textId="77777777" w:rsidR="00275909" w:rsidRDefault="00A768EA">
      <w:pPr>
        <w:jc w:val="both"/>
        <w:rPr>
          <w:rFonts w:ascii="Arial" w:eastAsia="Arial" w:hAnsi="Arial" w:cs="Arial"/>
        </w:rPr>
      </w:pPr>
      <w:r>
        <w:rPr>
          <w:rFonts w:ascii="Arial" w:eastAsia="Arial" w:hAnsi="Arial" w:cs="Arial"/>
        </w:rPr>
        <w:t>Since all p-values in these cases were less than 0.05, the relationships were considered statistically significant. Additionally, all significant correlation coefficients were positive, indicating direct relationships, meaning that higher knowledge in these domains corresponds to more positive attitudes toward caring for patients with AD.</w:t>
      </w:r>
    </w:p>
    <w:p w14:paraId="3EB23058" w14:textId="77777777" w:rsidR="00275909" w:rsidRDefault="00275909">
      <w:pPr>
        <w:jc w:val="both"/>
        <w:rPr>
          <w:rFonts w:ascii="Arial" w:eastAsia="Arial" w:hAnsi="Arial" w:cs="Arial"/>
        </w:rPr>
      </w:pPr>
    </w:p>
    <w:p w14:paraId="54F5857F" w14:textId="77777777" w:rsidR="00275909" w:rsidRDefault="00A768EA">
      <w:pPr>
        <w:jc w:val="both"/>
        <w:rPr>
          <w:rFonts w:ascii="Arial" w:eastAsia="Arial" w:hAnsi="Arial" w:cs="Arial"/>
        </w:rPr>
      </w:pPr>
      <w:r>
        <w:rPr>
          <w:rFonts w:ascii="Arial" w:eastAsia="Arial" w:hAnsi="Arial" w:cs="Arial"/>
        </w:rPr>
        <w:t>In contrast, no statistically significant relationships were found in the domains of Risk Factors, Caregiving, Treatment and Management, and Overall Knowledge, as all p-values exceeded the 0.05 significance level. Similarly, Assessment and Diagnosis did not show significant relationships with Comfort and Overall Attitude, while Course of the Disease was not significantly associated with Attitude Toward Disease Process. Because these findings were not statistically significant, the corresponding correlation coefficients were not interpreted.</w:t>
      </w:r>
    </w:p>
    <w:p w14:paraId="6A0F37B2" w14:textId="77777777" w:rsidR="00275909" w:rsidRDefault="00275909">
      <w:pPr>
        <w:jc w:val="both"/>
        <w:rPr>
          <w:rFonts w:ascii="Arial" w:eastAsia="Arial" w:hAnsi="Arial" w:cs="Arial"/>
        </w:rPr>
      </w:pPr>
    </w:p>
    <w:p w14:paraId="64D88A58" w14:textId="77777777" w:rsidR="00275909" w:rsidRDefault="00A768EA">
      <w:pPr>
        <w:jc w:val="both"/>
        <w:rPr>
          <w:rFonts w:ascii="Arial" w:eastAsia="Arial" w:hAnsi="Arial" w:cs="Arial"/>
        </w:rPr>
      </w:pPr>
      <w:r>
        <w:rPr>
          <w:rFonts w:ascii="Arial" w:eastAsia="Arial" w:hAnsi="Arial" w:cs="Arial"/>
        </w:rPr>
        <w:t xml:space="preserve">The strength of the statistically significant correlations was interpreted based on commonly accepted guidelines for effect size, as described by Jacob Cohen (1988) and further discussed by </w:t>
      </w:r>
      <w:proofErr w:type="spellStart"/>
      <w:r>
        <w:rPr>
          <w:rFonts w:ascii="Arial" w:eastAsia="Arial" w:hAnsi="Arial" w:cs="Arial"/>
        </w:rPr>
        <w:t>Akoglu</w:t>
      </w:r>
      <w:proofErr w:type="spellEnd"/>
      <w:r>
        <w:rPr>
          <w:rFonts w:ascii="Arial" w:eastAsia="Arial" w:hAnsi="Arial" w:cs="Arial"/>
        </w:rPr>
        <w:t xml:space="preserve"> (2018), where values of 0.00–0.19 indicate a very weak correlation, 0.20–0.39 a weak correlation, 0.40–0.59 a moderate correlation, 0.60–0.79 a strong correlation, and 0.80–1.00 a very strong correlation. In this study, the significant correlation coefficients ranged from </w:t>
      </w:r>
      <w:r>
        <w:rPr>
          <w:rFonts w:ascii="Arial" w:eastAsia="Arial" w:hAnsi="Arial" w:cs="Arial"/>
        </w:rPr>
        <w:lastRenderedPageBreak/>
        <w:t>0.131 to 0.208. Values of 0.131, 0.139, 0.154, and 0.185 indicate very weak positive correlations, while 0.204 and 0.208 indicate weak positive correlations. These results suggest that as knowledge increases, attitudes toward caring for individuals with AD tend to improve slightly.</w:t>
      </w:r>
    </w:p>
    <w:p w14:paraId="62403446" w14:textId="77777777" w:rsidR="00275909" w:rsidRDefault="00275909">
      <w:pPr>
        <w:jc w:val="both"/>
        <w:rPr>
          <w:rFonts w:ascii="Arial" w:eastAsia="Arial" w:hAnsi="Arial" w:cs="Arial"/>
        </w:rPr>
      </w:pPr>
    </w:p>
    <w:p w14:paraId="54224742" w14:textId="77777777" w:rsidR="00275909" w:rsidRDefault="00A768EA">
      <w:pPr>
        <w:jc w:val="both"/>
        <w:rPr>
          <w:rFonts w:ascii="Arial" w:eastAsia="Arial" w:hAnsi="Arial" w:cs="Arial"/>
        </w:rPr>
      </w:pPr>
      <w:r>
        <w:rPr>
          <w:rFonts w:ascii="Arial" w:eastAsia="Arial" w:hAnsi="Arial" w:cs="Arial"/>
        </w:rPr>
        <w:t>These findings are consistent with the results of a cross-sectional study among medical students in Palestine, which reported a weak but statistically significant positive correlation between scores on the ADKS and the DAS (Spearman’s rho = 0.227, p &lt; 0.001), suggesting that increased knowledge may modestly enhance attitudes toward dementia care (Abuawad et al., 2024). Table 4 shows data.</w:t>
      </w:r>
    </w:p>
    <w:p w14:paraId="4214830C" w14:textId="77777777" w:rsidR="00275909" w:rsidRDefault="00275909">
      <w:pPr>
        <w:jc w:val="both"/>
        <w:rPr>
          <w:rFonts w:ascii="Arial" w:eastAsia="Arial" w:hAnsi="Arial" w:cs="Arial"/>
          <w:b/>
          <w:bCs/>
        </w:rPr>
      </w:pPr>
    </w:p>
    <w:p w14:paraId="27F4358F" w14:textId="77777777" w:rsidR="00275909" w:rsidRDefault="00A768EA">
      <w:pPr>
        <w:jc w:val="both"/>
        <w:rPr>
          <w:rFonts w:ascii="Arial" w:eastAsia="Arial" w:hAnsi="Arial" w:cs="Arial"/>
          <w:b/>
          <w:bCs/>
        </w:rPr>
      </w:pPr>
      <w:r>
        <w:rPr>
          <w:rFonts w:ascii="Arial" w:eastAsia="Arial" w:hAnsi="Arial" w:cs="Arial"/>
          <w:b/>
          <w:bCs/>
        </w:rPr>
        <w:t>Table 4. Correlation between Respondents’ Knowledge and Attitude</w:t>
      </w:r>
    </w:p>
    <w:tbl>
      <w:tblPr>
        <w:tblStyle w:val="Style15"/>
        <w:tblW w:w="8640"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420"/>
        <w:gridCol w:w="1968"/>
        <w:gridCol w:w="1897"/>
        <w:gridCol w:w="2355"/>
      </w:tblGrid>
      <w:tr w:rsidR="00275909" w14:paraId="3DC61012" w14:textId="77777777">
        <w:trPr>
          <w:trHeight w:val="283"/>
          <w:jc w:val="center"/>
        </w:trPr>
        <w:tc>
          <w:tcPr>
            <w:tcW w:w="8640" w:type="dxa"/>
            <w:gridSpan w:val="4"/>
            <w:tcBorders>
              <w:top w:val="single" w:sz="8" w:space="0" w:color="000000"/>
              <w:left w:val="nil"/>
              <w:bottom w:val="single" w:sz="8" w:space="0" w:color="000000"/>
              <w:right w:val="nil"/>
            </w:tcBorders>
            <w:tcMar>
              <w:top w:w="0" w:type="dxa"/>
              <w:left w:w="100" w:type="dxa"/>
              <w:bottom w:w="0" w:type="dxa"/>
              <w:right w:w="100" w:type="dxa"/>
            </w:tcMar>
            <w:vAlign w:val="center"/>
          </w:tcPr>
          <w:p w14:paraId="5EB76C64" w14:textId="77777777" w:rsidR="00275909" w:rsidRDefault="00A768EA">
            <w:pPr>
              <w:widowControl w:val="0"/>
              <w:jc w:val="center"/>
              <w:rPr>
                <w:rFonts w:ascii="Arial" w:eastAsia="Garamond" w:hAnsi="Arial" w:cs="Arial"/>
              </w:rPr>
            </w:pPr>
            <w:r>
              <w:rPr>
                <w:rFonts w:ascii="Arial" w:eastAsia="Garamond" w:hAnsi="Arial" w:cs="Arial"/>
              </w:rPr>
              <w:t>Attitude</w:t>
            </w:r>
          </w:p>
        </w:tc>
      </w:tr>
      <w:tr w:rsidR="00275909" w14:paraId="4A637353" w14:textId="77777777">
        <w:trPr>
          <w:trHeight w:val="518"/>
          <w:jc w:val="center"/>
        </w:trPr>
        <w:tc>
          <w:tcPr>
            <w:tcW w:w="2420" w:type="dxa"/>
            <w:tcBorders>
              <w:top w:val="nil"/>
              <w:left w:val="nil"/>
              <w:bottom w:val="nil"/>
              <w:right w:val="nil"/>
            </w:tcBorders>
            <w:tcMar>
              <w:top w:w="0" w:type="dxa"/>
              <w:left w:w="100" w:type="dxa"/>
              <w:bottom w:w="0" w:type="dxa"/>
              <w:right w:w="100" w:type="dxa"/>
            </w:tcMar>
          </w:tcPr>
          <w:p w14:paraId="726350E9" w14:textId="77777777" w:rsidR="00275909" w:rsidRDefault="00A768EA">
            <w:pPr>
              <w:widowControl w:val="0"/>
              <w:rPr>
                <w:rFonts w:ascii="Arial" w:eastAsia="Garamond" w:hAnsi="Arial" w:cs="Arial"/>
              </w:rPr>
            </w:pPr>
            <w:r>
              <w:rPr>
                <w:rFonts w:ascii="Arial" w:eastAsia="Garamond" w:hAnsi="Arial" w:cs="Arial"/>
              </w:rPr>
              <w:t>Knowledge</w:t>
            </w:r>
          </w:p>
        </w:tc>
        <w:tc>
          <w:tcPr>
            <w:tcW w:w="1968" w:type="dxa"/>
            <w:tcBorders>
              <w:top w:val="nil"/>
              <w:left w:val="nil"/>
              <w:bottom w:val="nil"/>
              <w:right w:val="nil"/>
            </w:tcBorders>
            <w:tcMar>
              <w:top w:w="0" w:type="dxa"/>
              <w:left w:w="100" w:type="dxa"/>
              <w:bottom w:w="0" w:type="dxa"/>
              <w:right w:w="100" w:type="dxa"/>
            </w:tcMar>
          </w:tcPr>
          <w:p w14:paraId="6723FAB2" w14:textId="77777777" w:rsidR="00275909" w:rsidRDefault="00A768EA">
            <w:pPr>
              <w:widowControl w:val="0"/>
              <w:jc w:val="center"/>
              <w:rPr>
                <w:rFonts w:ascii="Arial" w:eastAsia="Garamond" w:hAnsi="Arial" w:cs="Arial"/>
              </w:rPr>
            </w:pPr>
            <w:r>
              <w:rPr>
                <w:rFonts w:ascii="Arial" w:eastAsia="Garamond" w:hAnsi="Arial" w:cs="Arial"/>
              </w:rPr>
              <w:t>Comfort</w:t>
            </w:r>
          </w:p>
        </w:tc>
        <w:tc>
          <w:tcPr>
            <w:tcW w:w="1897" w:type="dxa"/>
            <w:tcBorders>
              <w:top w:val="nil"/>
              <w:left w:val="nil"/>
              <w:bottom w:val="nil"/>
              <w:right w:val="nil"/>
            </w:tcBorders>
            <w:tcMar>
              <w:top w:w="0" w:type="dxa"/>
              <w:left w:w="100" w:type="dxa"/>
              <w:bottom w:w="0" w:type="dxa"/>
              <w:right w:w="100" w:type="dxa"/>
            </w:tcMar>
          </w:tcPr>
          <w:p w14:paraId="6A5568D6" w14:textId="77777777" w:rsidR="00275909" w:rsidRDefault="00A768EA">
            <w:pPr>
              <w:widowControl w:val="0"/>
              <w:jc w:val="center"/>
              <w:rPr>
                <w:rFonts w:ascii="Arial" w:eastAsia="Garamond" w:hAnsi="Arial" w:cs="Arial"/>
              </w:rPr>
            </w:pPr>
            <w:r>
              <w:rPr>
                <w:rFonts w:ascii="Arial" w:eastAsia="Garamond" w:hAnsi="Arial" w:cs="Arial"/>
              </w:rPr>
              <w:t>Attitude toward Disease Process</w:t>
            </w:r>
          </w:p>
        </w:tc>
        <w:tc>
          <w:tcPr>
            <w:tcW w:w="2355" w:type="dxa"/>
            <w:tcBorders>
              <w:top w:val="nil"/>
              <w:left w:val="nil"/>
              <w:bottom w:val="nil"/>
              <w:right w:val="nil"/>
            </w:tcBorders>
            <w:tcMar>
              <w:top w:w="0" w:type="dxa"/>
              <w:left w:w="100" w:type="dxa"/>
              <w:bottom w:w="0" w:type="dxa"/>
              <w:right w:w="100" w:type="dxa"/>
            </w:tcMar>
          </w:tcPr>
          <w:p w14:paraId="69A3C257" w14:textId="77777777" w:rsidR="00275909" w:rsidRDefault="00A768EA">
            <w:pPr>
              <w:widowControl w:val="0"/>
              <w:jc w:val="center"/>
              <w:rPr>
                <w:rFonts w:ascii="Arial" w:eastAsia="Garamond" w:hAnsi="Arial" w:cs="Arial"/>
              </w:rPr>
            </w:pPr>
            <w:r>
              <w:rPr>
                <w:rFonts w:ascii="Arial" w:eastAsia="Garamond" w:hAnsi="Arial" w:cs="Arial"/>
                <w:b/>
                <w:bCs/>
              </w:rPr>
              <w:t>Overall Attitude</w:t>
            </w:r>
          </w:p>
        </w:tc>
      </w:tr>
      <w:tr w:rsidR="00275909" w14:paraId="3E19803A" w14:textId="77777777">
        <w:trPr>
          <w:trHeight w:val="398"/>
          <w:jc w:val="center"/>
        </w:trPr>
        <w:tc>
          <w:tcPr>
            <w:tcW w:w="2420" w:type="dxa"/>
            <w:tcBorders>
              <w:top w:val="nil"/>
              <w:left w:val="nil"/>
              <w:bottom w:val="nil"/>
              <w:right w:val="nil"/>
            </w:tcBorders>
            <w:tcMar>
              <w:top w:w="0" w:type="dxa"/>
              <w:left w:w="100" w:type="dxa"/>
              <w:bottom w:w="0" w:type="dxa"/>
              <w:right w:w="100" w:type="dxa"/>
            </w:tcMar>
          </w:tcPr>
          <w:p w14:paraId="644C0A52" w14:textId="77777777" w:rsidR="00275909" w:rsidRDefault="00A768EA">
            <w:pPr>
              <w:widowControl w:val="0"/>
              <w:rPr>
                <w:rFonts w:ascii="Arial" w:eastAsia="Garamond" w:hAnsi="Arial" w:cs="Arial"/>
              </w:rPr>
            </w:pPr>
            <w:r>
              <w:rPr>
                <w:rFonts w:ascii="Arial" w:eastAsia="Garamond" w:hAnsi="Arial" w:cs="Arial"/>
              </w:rPr>
              <w:t>Symptoms</w:t>
            </w:r>
          </w:p>
        </w:tc>
        <w:tc>
          <w:tcPr>
            <w:tcW w:w="1968" w:type="dxa"/>
            <w:tcBorders>
              <w:top w:val="nil"/>
              <w:left w:val="nil"/>
              <w:bottom w:val="nil"/>
              <w:right w:val="nil"/>
            </w:tcBorders>
            <w:tcMar>
              <w:top w:w="0" w:type="dxa"/>
              <w:left w:w="100" w:type="dxa"/>
              <w:bottom w:w="0" w:type="dxa"/>
              <w:right w:w="100" w:type="dxa"/>
            </w:tcMar>
          </w:tcPr>
          <w:p w14:paraId="5434DD74"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.208** (p =.001 )</w:t>
            </w:r>
          </w:p>
        </w:tc>
        <w:tc>
          <w:tcPr>
            <w:tcW w:w="1897" w:type="dxa"/>
            <w:tcBorders>
              <w:top w:val="nil"/>
              <w:left w:val="nil"/>
              <w:bottom w:val="nil"/>
              <w:right w:val="nil"/>
            </w:tcBorders>
            <w:tcMar>
              <w:top w:w="0" w:type="dxa"/>
              <w:left w:w="100" w:type="dxa"/>
              <w:bottom w:w="0" w:type="dxa"/>
              <w:right w:w="100" w:type="dxa"/>
            </w:tcMar>
          </w:tcPr>
          <w:p w14:paraId="0B209A0A"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.154* (p = .011)</w:t>
            </w:r>
          </w:p>
        </w:tc>
        <w:tc>
          <w:tcPr>
            <w:tcW w:w="2355" w:type="dxa"/>
            <w:tcBorders>
              <w:top w:val="nil"/>
              <w:left w:val="nil"/>
              <w:bottom w:val="nil"/>
              <w:right w:val="nil"/>
            </w:tcBorders>
            <w:tcMar>
              <w:top w:w="0" w:type="dxa"/>
              <w:left w:w="100" w:type="dxa"/>
              <w:bottom w:w="0" w:type="dxa"/>
              <w:right w:w="100" w:type="dxa"/>
            </w:tcMar>
          </w:tcPr>
          <w:p w14:paraId="7CC21E83"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.208** (p = .001)</w:t>
            </w:r>
          </w:p>
        </w:tc>
      </w:tr>
      <w:tr w:rsidR="00275909" w14:paraId="4B27DD0E" w14:textId="77777777">
        <w:trPr>
          <w:trHeight w:val="350"/>
          <w:jc w:val="center"/>
        </w:trPr>
        <w:tc>
          <w:tcPr>
            <w:tcW w:w="2420" w:type="dxa"/>
            <w:tcBorders>
              <w:top w:val="nil"/>
              <w:left w:val="nil"/>
              <w:bottom w:val="nil"/>
              <w:right w:val="nil"/>
            </w:tcBorders>
            <w:tcMar>
              <w:top w:w="0" w:type="dxa"/>
              <w:left w:w="100" w:type="dxa"/>
              <w:bottom w:w="0" w:type="dxa"/>
              <w:right w:w="100" w:type="dxa"/>
            </w:tcMar>
          </w:tcPr>
          <w:p w14:paraId="7358F5A0" w14:textId="77777777" w:rsidR="00275909" w:rsidRDefault="00A768EA">
            <w:pPr>
              <w:widowControl w:val="0"/>
              <w:rPr>
                <w:rFonts w:ascii="Arial" w:eastAsia="Garamond" w:hAnsi="Arial" w:cs="Arial"/>
              </w:rPr>
            </w:pPr>
            <w:r>
              <w:rPr>
                <w:rFonts w:ascii="Arial" w:eastAsia="Garamond" w:hAnsi="Arial" w:cs="Arial"/>
              </w:rPr>
              <w:t>Risk Factors</w:t>
            </w:r>
          </w:p>
        </w:tc>
        <w:tc>
          <w:tcPr>
            <w:tcW w:w="1968" w:type="dxa"/>
            <w:tcBorders>
              <w:top w:val="nil"/>
              <w:left w:val="nil"/>
              <w:bottom w:val="nil"/>
              <w:right w:val="nil"/>
            </w:tcBorders>
            <w:tcMar>
              <w:top w:w="0" w:type="dxa"/>
              <w:left w:w="100" w:type="dxa"/>
              <w:bottom w:w="0" w:type="dxa"/>
              <w:right w:w="100" w:type="dxa"/>
            </w:tcMar>
          </w:tcPr>
          <w:p w14:paraId="36D4030C"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.079 (p = .192 )</w:t>
            </w:r>
          </w:p>
        </w:tc>
        <w:tc>
          <w:tcPr>
            <w:tcW w:w="1897" w:type="dxa"/>
            <w:tcBorders>
              <w:top w:val="nil"/>
              <w:left w:val="nil"/>
              <w:bottom w:val="nil"/>
              <w:right w:val="nil"/>
            </w:tcBorders>
            <w:tcMar>
              <w:top w:w="0" w:type="dxa"/>
              <w:left w:w="100" w:type="dxa"/>
              <w:bottom w:w="0" w:type="dxa"/>
              <w:right w:w="100" w:type="dxa"/>
            </w:tcMar>
          </w:tcPr>
          <w:p w14:paraId="7E85AA03"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.078 (p = .199)</w:t>
            </w:r>
          </w:p>
        </w:tc>
        <w:tc>
          <w:tcPr>
            <w:tcW w:w="2355" w:type="dxa"/>
            <w:tcBorders>
              <w:top w:val="nil"/>
              <w:left w:val="nil"/>
              <w:bottom w:val="nil"/>
              <w:right w:val="nil"/>
            </w:tcBorders>
            <w:tcMar>
              <w:top w:w="0" w:type="dxa"/>
              <w:left w:w="100" w:type="dxa"/>
              <w:bottom w:w="0" w:type="dxa"/>
              <w:right w:w="100" w:type="dxa"/>
            </w:tcMar>
          </w:tcPr>
          <w:p w14:paraId="68D8404E"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.079 (p = .192)</w:t>
            </w:r>
          </w:p>
        </w:tc>
      </w:tr>
      <w:tr w:rsidR="00275909" w14:paraId="45EB0916" w14:textId="77777777">
        <w:trPr>
          <w:trHeight w:val="370"/>
          <w:jc w:val="center"/>
        </w:trPr>
        <w:tc>
          <w:tcPr>
            <w:tcW w:w="2420" w:type="dxa"/>
            <w:tcBorders>
              <w:top w:val="nil"/>
              <w:left w:val="nil"/>
              <w:bottom w:val="nil"/>
              <w:right w:val="nil"/>
            </w:tcBorders>
            <w:tcMar>
              <w:top w:w="0" w:type="dxa"/>
              <w:left w:w="100" w:type="dxa"/>
              <w:bottom w:w="0" w:type="dxa"/>
              <w:right w:w="100" w:type="dxa"/>
            </w:tcMar>
          </w:tcPr>
          <w:p w14:paraId="5358516E" w14:textId="77777777" w:rsidR="00275909" w:rsidRDefault="00A768EA">
            <w:pPr>
              <w:widowControl w:val="0"/>
              <w:rPr>
                <w:rFonts w:ascii="Arial" w:eastAsia="Garamond" w:hAnsi="Arial" w:cs="Arial"/>
              </w:rPr>
            </w:pPr>
            <w:r>
              <w:rPr>
                <w:rFonts w:ascii="Arial" w:eastAsia="Garamond" w:hAnsi="Arial" w:cs="Arial"/>
              </w:rPr>
              <w:t>Assessment and Diagnosis</w:t>
            </w:r>
          </w:p>
        </w:tc>
        <w:tc>
          <w:tcPr>
            <w:tcW w:w="1968" w:type="dxa"/>
            <w:tcBorders>
              <w:top w:val="nil"/>
              <w:left w:val="nil"/>
              <w:bottom w:val="nil"/>
              <w:right w:val="nil"/>
            </w:tcBorders>
            <w:tcMar>
              <w:top w:w="0" w:type="dxa"/>
              <w:left w:w="100" w:type="dxa"/>
              <w:bottom w:w="0" w:type="dxa"/>
              <w:right w:w="100" w:type="dxa"/>
            </w:tcMar>
          </w:tcPr>
          <w:p w14:paraId="7E38BFA6"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.113 (p = 0.62)</w:t>
            </w:r>
          </w:p>
        </w:tc>
        <w:tc>
          <w:tcPr>
            <w:tcW w:w="1897" w:type="dxa"/>
            <w:tcBorders>
              <w:top w:val="nil"/>
              <w:left w:val="nil"/>
              <w:bottom w:val="nil"/>
              <w:right w:val="nil"/>
            </w:tcBorders>
            <w:tcMar>
              <w:top w:w="0" w:type="dxa"/>
              <w:left w:w="100" w:type="dxa"/>
              <w:bottom w:w="0" w:type="dxa"/>
              <w:right w:w="100" w:type="dxa"/>
            </w:tcMar>
          </w:tcPr>
          <w:p w14:paraId="621D4993"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.131* (p = .030)</w:t>
            </w:r>
          </w:p>
        </w:tc>
        <w:tc>
          <w:tcPr>
            <w:tcW w:w="2355" w:type="dxa"/>
            <w:tcBorders>
              <w:top w:val="nil"/>
              <w:left w:val="nil"/>
              <w:bottom w:val="nil"/>
              <w:right w:val="nil"/>
            </w:tcBorders>
            <w:tcMar>
              <w:top w:w="0" w:type="dxa"/>
              <w:left w:w="100" w:type="dxa"/>
              <w:bottom w:w="0" w:type="dxa"/>
              <w:right w:w="100" w:type="dxa"/>
            </w:tcMar>
          </w:tcPr>
          <w:p w14:paraId="189C796D"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.113 (p = .062)</w:t>
            </w:r>
          </w:p>
        </w:tc>
      </w:tr>
      <w:tr w:rsidR="00275909" w14:paraId="41246BCA" w14:textId="77777777">
        <w:trPr>
          <w:trHeight w:val="356"/>
          <w:jc w:val="center"/>
        </w:trPr>
        <w:tc>
          <w:tcPr>
            <w:tcW w:w="2420" w:type="dxa"/>
            <w:tcBorders>
              <w:top w:val="nil"/>
              <w:left w:val="nil"/>
              <w:bottom w:val="nil"/>
              <w:right w:val="nil"/>
            </w:tcBorders>
            <w:tcMar>
              <w:top w:w="0" w:type="dxa"/>
              <w:left w:w="100" w:type="dxa"/>
              <w:bottom w:w="0" w:type="dxa"/>
              <w:right w:w="100" w:type="dxa"/>
            </w:tcMar>
          </w:tcPr>
          <w:p w14:paraId="64C87D90" w14:textId="77777777" w:rsidR="00275909" w:rsidRDefault="00A768EA">
            <w:pPr>
              <w:widowControl w:val="0"/>
              <w:rPr>
                <w:rFonts w:ascii="Arial" w:eastAsia="Garamond" w:hAnsi="Arial" w:cs="Arial"/>
              </w:rPr>
            </w:pPr>
            <w:r>
              <w:rPr>
                <w:rFonts w:ascii="Arial" w:eastAsia="Garamond" w:hAnsi="Arial" w:cs="Arial"/>
              </w:rPr>
              <w:t>Course of the Disease</w:t>
            </w:r>
          </w:p>
        </w:tc>
        <w:tc>
          <w:tcPr>
            <w:tcW w:w="1968" w:type="dxa"/>
            <w:tcBorders>
              <w:top w:val="nil"/>
              <w:left w:val="nil"/>
              <w:bottom w:val="nil"/>
              <w:right w:val="nil"/>
            </w:tcBorders>
            <w:tcMar>
              <w:top w:w="0" w:type="dxa"/>
              <w:left w:w="100" w:type="dxa"/>
              <w:bottom w:w="0" w:type="dxa"/>
              <w:right w:w="100" w:type="dxa"/>
            </w:tcMar>
          </w:tcPr>
          <w:p w14:paraId="7A85DEB7"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.139* (p = .021)</w:t>
            </w:r>
          </w:p>
        </w:tc>
        <w:tc>
          <w:tcPr>
            <w:tcW w:w="1897" w:type="dxa"/>
            <w:tcBorders>
              <w:top w:val="nil"/>
              <w:left w:val="nil"/>
              <w:bottom w:val="nil"/>
              <w:right w:val="nil"/>
            </w:tcBorders>
            <w:tcMar>
              <w:top w:w="0" w:type="dxa"/>
              <w:left w:w="100" w:type="dxa"/>
              <w:bottom w:w="0" w:type="dxa"/>
              <w:right w:w="100" w:type="dxa"/>
            </w:tcMar>
          </w:tcPr>
          <w:p w14:paraId="7CBE17C6"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.114 (p = .058)</w:t>
            </w:r>
          </w:p>
        </w:tc>
        <w:tc>
          <w:tcPr>
            <w:tcW w:w="2355" w:type="dxa"/>
            <w:tcBorders>
              <w:top w:val="nil"/>
              <w:left w:val="nil"/>
              <w:bottom w:val="nil"/>
              <w:right w:val="nil"/>
            </w:tcBorders>
            <w:tcMar>
              <w:top w:w="0" w:type="dxa"/>
              <w:left w:w="100" w:type="dxa"/>
              <w:bottom w:w="0" w:type="dxa"/>
              <w:right w:w="100" w:type="dxa"/>
            </w:tcMar>
          </w:tcPr>
          <w:p w14:paraId="23A30C87"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.139* (p = .021)</w:t>
            </w:r>
          </w:p>
        </w:tc>
      </w:tr>
      <w:tr w:rsidR="00275909" w14:paraId="4F70A898" w14:textId="77777777">
        <w:trPr>
          <w:trHeight w:val="350"/>
          <w:jc w:val="center"/>
        </w:trPr>
        <w:tc>
          <w:tcPr>
            <w:tcW w:w="2420" w:type="dxa"/>
            <w:tcBorders>
              <w:top w:val="nil"/>
              <w:left w:val="nil"/>
              <w:bottom w:val="nil"/>
              <w:right w:val="nil"/>
            </w:tcBorders>
            <w:tcMar>
              <w:top w:w="0" w:type="dxa"/>
              <w:left w:w="100" w:type="dxa"/>
              <w:bottom w:w="0" w:type="dxa"/>
              <w:right w:w="100" w:type="dxa"/>
            </w:tcMar>
          </w:tcPr>
          <w:p w14:paraId="2D47E892" w14:textId="77777777" w:rsidR="00275909" w:rsidRDefault="00A768EA">
            <w:pPr>
              <w:widowControl w:val="0"/>
              <w:rPr>
                <w:rFonts w:ascii="Arial" w:eastAsia="Garamond" w:hAnsi="Arial" w:cs="Arial"/>
              </w:rPr>
            </w:pPr>
            <w:r>
              <w:rPr>
                <w:rFonts w:ascii="Arial" w:eastAsia="Garamond" w:hAnsi="Arial" w:cs="Arial"/>
              </w:rPr>
              <w:t>Life Impact</w:t>
            </w:r>
          </w:p>
        </w:tc>
        <w:tc>
          <w:tcPr>
            <w:tcW w:w="1968" w:type="dxa"/>
            <w:tcBorders>
              <w:top w:val="nil"/>
              <w:left w:val="nil"/>
              <w:bottom w:val="nil"/>
              <w:right w:val="nil"/>
            </w:tcBorders>
            <w:tcMar>
              <w:top w:w="0" w:type="dxa"/>
              <w:left w:w="100" w:type="dxa"/>
              <w:bottom w:w="0" w:type="dxa"/>
              <w:right w:w="100" w:type="dxa"/>
            </w:tcMar>
          </w:tcPr>
          <w:p w14:paraId="3AB1E7C1"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.204** (p = .001)</w:t>
            </w:r>
          </w:p>
        </w:tc>
        <w:tc>
          <w:tcPr>
            <w:tcW w:w="1897" w:type="dxa"/>
            <w:tcBorders>
              <w:top w:val="nil"/>
              <w:left w:val="nil"/>
              <w:bottom w:val="nil"/>
              <w:right w:val="nil"/>
            </w:tcBorders>
            <w:tcMar>
              <w:top w:w="0" w:type="dxa"/>
              <w:left w:w="100" w:type="dxa"/>
              <w:bottom w:w="0" w:type="dxa"/>
              <w:right w:w="100" w:type="dxa"/>
            </w:tcMar>
          </w:tcPr>
          <w:p w14:paraId="5614B23A"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.185** (p = .002)</w:t>
            </w:r>
          </w:p>
        </w:tc>
        <w:tc>
          <w:tcPr>
            <w:tcW w:w="2355" w:type="dxa"/>
            <w:tcBorders>
              <w:top w:val="nil"/>
              <w:left w:val="nil"/>
              <w:bottom w:val="nil"/>
              <w:right w:val="nil"/>
            </w:tcBorders>
            <w:tcMar>
              <w:top w:w="0" w:type="dxa"/>
              <w:left w:w="100" w:type="dxa"/>
              <w:bottom w:w="0" w:type="dxa"/>
              <w:right w:w="100" w:type="dxa"/>
            </w:tcMar>
          </w:tcPr>
          <w:p w14:paraId="7306301C"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.204** (p = .001)</w:t>
            </w:r>
          </w:p>
        </w:tc>
      </w:tr>
      <w:tr w:rsidR="00275909" w14:paraId="638A27DA" w14:textId="77777777">
        <w:trPr>
          <w:trHeight w:val="335"/>
          <w:jc w:val="center"/>
        </w:trPr>
        <w:tc>
          <w:tcPr>
            <w:tcW w:w="2420" w:type="dxa"/>
            <w:tcBorders>
              <w:top w:val="nil"/>
              <w:left w:val="nil"/>
              <w:bottom w:val="nil"/>
              <w:right w:val="nil"/>
            </w:tcBorders>
            <w:tcMar>
              <w:top w:w="0" w:type="dxa"/>
              <w:left w:w="100" w:type="dxa"/>
              <w:bottom w:w="0" w:type="dxa"/>
              <w:right w:w="100" w:type="dxa"/>
            </w:tcMar>
          </w:tcPr>
          <w:p w14:paraId="3000A3F7" w14:textId="77777777" w:rsidR="00275909" w:rsidRDefault="00A768EA">
            <w:pPr>
              <w:widowControl w:val="0"/>
              <w:rPr>
                <w:rFonts w:ascii="Arial" w:eastAsia="Garamond" w:hAnsi="Arial" w:cs="Arial"/>
              </w:rPr>
            </w:pPr>
            <w:r>
              <w:rPr>
                <w:rFonts w:ascii="Arial" w:eastAsia="Garamond" w:hAnsi="Arial" w:cs="Arial"/>
              </w:rPr>
              <w:t>Caregiving</w:t>
            </w:r>
          </w:p>
        </w:tc>
        <w:tc>
          <w:tcPr>
            <w:tcW w:w="1968" w:type="dxa"/>
            <w:tcBorders>
              <w:top w:val="nil"/>
              <w:left w:val="nil"/>
              <w:bottom w:val="nil"/>
              <w:right w:val="nil"/>
            </w:tcBorders>
            <w:tcMar>
              <w:top w:w="0" w:type="dxa"/>
              <w:left w:w="100" w:type="dxa"/>
              <w:bottom w:w="0" w:type="dxa"/>
              <w:right w:w="100" w:type="dxa"/>
            </w:tcMar>
          </w:tcPr>
          <w:p w14:paraId="239EFEEB"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.065 (p = .281)</w:t>
            </w:r>
          </w:p>
        </w:tc>
        <w:tc>
          <w:tcPr>
            <w:tcW w:w="1897" w:type="dxa"/>
            <w:tcBorders>
              <w:top w:val="nil"/>
              <w:left w:val="nil"/>
              <w:bottom w:val="nil"/>
              <w:right w:val="nil"/>
            </w:tcBorders>
            <w:tcMar>
              <w:top w:w="0" w:type="dxa"/>
              <w:left w:w="100" w:type="dxa"/>
              <w:bottom w:w="0" w:type="dxa"/>
              <w:right w:w="100" w:type="dxa"/>
            </w:tcMar>
          </w:tcPr>
          <w:p w14:paraId="25A63C17"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.027 (p = .651 )</w:t>
            </w:r>
          </w:p>
        </w:tc>
        <w:tc>
          <w:tcPr>
            <w:tcW w:w="2355" w:type="dxa"/>
            <w:tcBorders>
              <w:top w:val="nil"/>
              <w:left w:val="nil"/>
              <w:bottom w:val="nil"/>
              <w:right w:val="nil"/>
            </w:tcBorders>
            <w:tcMar>
              <w:top w:w="0" w:type="dxa"/>
              <w:left w:w="100" w:type="dxa"/>
              <w:bottom w:w="0" w:type="dxa"/>
              <w:right w:w="100" w:type="dxa"/>
            </w:tcMar>
          </w:tcPr>
          <w:p w14:paraId="755BF31A"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.065 (p = .281)</w:t>
            </w:r>
          </w:p>
        </w:tc>
      </w:tr>
      <w:tr w:rsidR="00275909" w14:paraId="68F82FFC" w14:textId="77777777">
        <w:trPr>
          <w:trHeight w:val="365"/>
          <w:jc w:val="center"/>
        </w:trPr>
        <w:tc>
          <w:tcPr>
            <w:tcW w:w="2420" w:type="dxa"/>
            <w:tcBorders>
              <w:top w:val="nil"/>
              <w:left w:val="nil"/>
              <w:bottom w:val="nil"/>
              <w:right w:val="nil"/>
            </w:tcBorders>
            <w:tcMar>
              <w:top w:w="0" w:type="dxa"/>
              <w:left w:w="100" w:type="dxa"/>
              <w:bottom w:w="0" w:type="dxa"/>
              <w:right w:w="100" w:type="dxa"/>
            </w:tcMar>
          </w:tcPr>
          <w:p w14:paraId="4627B654" w14:textId="77777777" w:rsidR="00275909" w:rsidRDefault="00A768EA">
            <w:pPr>
              <w:widowControl w:val="0"/>
              <w:rPr>
                <w:rFonts w:ascii="Arial" w:eastAsia="Garamond" w:hAnsi="Arial" w:cs="Arial"/>
              </w:rPr>
            </w:pPr>
            <w:r>
              <w:rPr>
                <w:rFonts w:ascii="Arial" w:eastAsia="Garamond" w:hAnsi="Arial" w:cs="Arial"/>
              </w:rPr>
              <w:t>Treatment and Management</w:t>
            </w:r>
          </w:p>
        </w:tc>
        <w:tc>
          <w:tcPr>
            <w:tcW w:w="1968" w:type="dxa"/>
            <w:tcBorders>
              <w:top w:val="nil"/>
              <w:left w:val="nil"/>
              <w:bottom w:val="nil"/>
              <w:right w:val="nil"/>
            </w:tcBorders>
            <w:tcMar>
              <w:top w:w="0" w:type="dxa"/>
              <w:left w:w="100" w:type="dxa"/>
              <w:bottom w:w="0" w:type="dxa"/>
              <w:right w:w="100" w:type="dxa"/>
            </w:tcMar>
          </w:tcPr>
          <w:p w14:paraId="7C8A9013"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.068 (p = .258)</w:t>
            </w:r>
          </w:p>
        </w:tc>
        <w:tc>
          <w:tcPr>
            <w:tcW w:w="1897" w:type="dxa"/>
            <w:tcBorders>
              <w:top w:val="nil"/>
              <w:left w:val="nil"/>
              <w:bottom w:val="nil"/>
              <w:right w:val="nil"/>
            </w:tcBorders>
            <w:tcMar>
              <w:top w:w="0" w:type="dxa"/>
              <w:left w:w="100" w:type="dxa"/>
              <w:bottom w:w="0" w:type="dxa"/>
              <w:right w:w="100" w:type="dxa"/>
            </w:tcMar>
          </w:tcPr>
          <w:p w14:paraId="6AC627C1"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.077 (p = .205)</w:t>
            </w:r>
          </w:p>
        </w:tc>
        <w:tc>
          <w:tcPr>
            <w:tcW w:w="2355" w:type="dxa"/>
            <w:tcBorders>
              <w:top w:val="nil"/>
              <w:left w:val="nil"/>
              <w:bottom w:val="nil"/>
              <w:right w:val="nil"/>
            </w:tcBorders>
            <w:tcMar>
              <w:top w:w="0" w:type="dxa"/>
              <w:left w:w="100" w:type="dxa"/>
              <w:bottom w:w="0" w:type="dxa"/>
              <w:right w:w="100" w:type="dxa"/>
            </w:tcMar>
          </w:tcPr>
          <w:p w14:paraId="4EF004E2"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.068 (p = .258)</w:t>
            </w:r>
          </w:p>
        </w:tc>
      </w:tr>
      <w:tr w:rsidR="00275909" w14:paraId="1FC1BC25" w14:textId="77777777">
        <w:trPr>
          <w:trHeight w:val="510"/>
          <w:jc w:val="center"/>
        </w:trPr>
        <w:tc>
          <w:tcPr>
            <w:tcW w:w="2420" w:type="dxa"/>
            <w:tcBorders>
              <w:top w:val="nil"/>
              <w:left w:val="nil"/>
              <w:bottom w:val="single" w:sz="8" w:space="0" w:color="000000"/>
              <w:right w:val="nil"/>
            </w:tcBorders>
            <w:tcMar>
              <w:top w:w="0" w:type="dxa"/>
              <w:left w:w="100" w:type="dxa"/>
              <w:bottom w:w="0" w:type="dxa"/>
              <w:right w:w="100" w:type="dxa"/>
            </w:tcMar>
            <w:vAlign w:val="center"/>
          </w:tcPr>
          <w:p w14:paraId="1455C73E" w14:textId="77777777" w:rsidR="00275909" w:rsidRDefault="00A768EA">
            <w:pPr>
              <w:widowControl w:val="0"/>
              <w:rPr>
                <w:rFonts w:ascii="Arial" w:eastAsia="Garamond" w:hAnsi="Arial" w:cs="Arial"/>
              </w:rPr>
            </w:pPr>
            <w:r>
              <w:rPr>
                <w:rFonts w:ascii="Arial" w:eastAsia="Garamond" w:hAnsi="Arial" w:cs="Arial"/>
                <w:b/>
                <w:bCs/>
              </w:rPr>
              <w:t>Overall Knowledge</w:t>
            </w:r>
          </w:p>
        </w:tc>
        <w:tc>
          <w:tcPr>
            <w:tcW w:w="1968" w:type="dxa"/>
            <w:tcBorders>
              <w:top w:val="nil"/>
              <w:left w:val="nil"/>
              <w:bottom w:val="single" w:sz="8" w:space="0" w:color="000000"/>
              <w:right w:val="nil"/>
            </w:tcBorders>
            <w:tcMar>
              <w:top w:w="0" w:type="dxa"/>
              <w:left w:w="100" w:type="dxa"/>
              <w:bottom w:w="0" w:type="dxa"/>
              <w:right w:w="100" w:type="dxa"/>
            </w:tcMar>
            <w:vAlign w:val="center"/>
          </w:tcPr>
          <w:p w14:paraId="39C95031"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.010 (p = .864)</w:t>
            </w:r>
          </w:p>
        </w:tc>
        <w:tc>
          <w:tcPr>
            <w:tcW w:w="1897" w:type="dxa"/>
            <w:tcBorders>
              <w:top w:val="nil"/>
              <w:left w:val="nil"/>
              <w:bottom w:val="single" w:sz="8" w:space="0" w:color="000000"/>
              <w:right w:val="nil"/>
            </w:tcBorders>
            <w:tcMar>
              <w:top w:w="0" w:type="dxa"/>
              <w:left w:w="100" w:type="dxa"/>
              <w:bottom w:w="0" w:type="dxa"/>
              <w:right w:w="100" w:type="dxa"/>
            </w:tcMar>
            <w:vAlign w:val="center"/>
          </w:tcPr>
          <w:p w14:paraId="7B164A41"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.002 (p = .970 )</w:t>
            </w:r>
          </w:p>
        </w:tc>
        <w:tc>
          <w:tcPr>
            <w:tcW w:w="2355" w:type="dxa"/>
            <w:tcBorders>
              <w:top w:val="nil"/>
              <w:left w:val="nil"/>
              <w:bottom w:val="single" w:sz="8" w:space="0" w:color="000000"/>
              <w:right w:val="nil"/>
            </w:tcBorders>
            <w:tcMar>
              <w:top w:w="0" w:type="dxa"/>
              <w:left w:w="100" w:type="dxa"/>
              <w:bottom w:w="0" w:type="dxa"/>
              <w:right w:w="100" w:type="dxa"/>
            </w:tcMar>
            <w:vAlign w:val="center"/>
          </w:tcPr>
          <w:p w14:paraId="212B9361" w14:textId="77777777" w:rsidR="00275909" w:rsidRDefault="00A768EA">
            <w:pPr>
              <w:widowControl w:val="0"/>
              <w:rPr>
                <w:rFonts w:ascii="Arial" w:eastAsia="Garamond" w:hAnsi="Arial" w:cs="Arial"/>
              </w:rPr>
            </w:pPr>
            <w:proofErr w:type="spellStart"/>
            <w:r>
              <w:rPr>
                <w:rFonts w:ascii="Arial" w:eastAsia="Garamond" w:hAnsi="Arial" w:cs="Arial"/>
                <w:i/>
                <w:iCs/>
              </w:rPr>
              <w:t>r</w:t>
            </w:r>
            <w:r>
              <w:rPr>
                <w:rFonts w:ascii="Arial" w:eastAsia="Garamond" w:hAnsi="Arial" w:cs="Arial"/>
                <w:i/>
                <w:iCs/>
                <w:vertAlign w:val="subscript"/>
              </w:rPr>
              <w:t>s</w:t>
            </w:r>
            <w:proofErr w:type="spellEnd"/>
            <w:r>
              <w:rPr>
                <w:rFonts w:ascii="Arial" w:eastAsia="Garamond" w:hAnsi="Arial" w:cs="Arial"/>
              </w:rPr>
              <w:t>=  .010 (p = .864)</w:t>
            </w:r>
          </w:p>
        </w:tc>
      </w:tr>
    </w:tbl>
    <w:p w14:paraId="665B8AFD" w14:textId="77777777" w:rsidR="00275909" w:rsidRDefault="00275909">
      <w:pPr>
        <w:jc w:val="both"/>
        <w:rPr>
          <w:rFonts w:ascii="Arial" w:eastAsia="Arial" w:hAnsi="Arial" w:cs="Arial"/>
        </w:rPr>
      </w:pPr>
    </w:p>
    <w:p w14:paraId="60F00AE9" w14:textId="77777777" w:rsidR="00275909" w:rsidRDefault="00275909">
      <w:pPr>
        <w:jc w:val="both"/>
        <w:rPr>
          <w:rFonts w:ascii="Arial" w:eastAsia="Arial" w:hAnsi="Arial" w:cs="Arial"/>
          <w:color w:val="000000"/>
        </w:rPr>
      </w:pPr>
    </w:p>
    <w:p w14:paraId="73DF8846" w14:textId="77777777" w:rsidR="00275909" w:rsidRDefault="00A768EA">
      <w:pPr>
        <w:keepNext/>
        <w:jc w:val="both"/>
        <w:rPr>
          <w:rFonts w:ascii="Arial" w:eastAsia="Arial" w:hAnsi="Arial" w:cs="Arial"/>
          <w:b/>
          <w:bCs/>
          <w:smallCaps/>
          <w:color w:val="000000"/>
          <w:sz w:val="22"/>
          <w:szCs w:val="22"/>
        </w:rPr>
      </w:pPr>
      <w:r>
        <w:rPr>
          <w:rFonts w:ascii="Arial" w:eastAsia="Arial" w:hAnsi="Arial" w:cs="Arial"/>
          <w:b/>
          <w:bCs/>
          <w:smallCaps/>
          <w:sz w:val="22"/>
          <w:szCs w:val="22"/>
        </w:rPr>
        <w:t>5. CONCLUSIONS</w:t>
      </w:r>
    </w:p>
    <w:p w14:paraId="617BDA64" w14:textId="77777777" w:rsidR="00275909" w:rsidRDefault="00275909">
      <w:pPr>
        <w:widowControl w:val="0"/>
        <w:spacing w:line="279" w:lineRule="auto"/>
        <w:jc w:val="both"/>
        <w:rPr>
          <w:rFonts w:ascii="Arial" w:eastAsia="Arial" w:hAnsi="Arial" w:cs="Arial"/>
        </w:rPr>
      </w:pPr>
    </w:p>
    <w:p w14:paraId="67761CFF" w14:textId="77777777" w:rsidR="00275909" w:rsidRDefault="00A768EA">
      <w:pPr>
        <w:widowControl w:val="0"/>
        <w:spacing w:line="279" w:lineRule="auto"/>
        <w:jc w:val="both"/>
        <w:rPr>
          <w:rFonts w:ascii="Arial" w:eastAsia="Arial" w:hAnsi="Arial" w:cs="Arial"/>
          <w:b/>
          <w:bCs/>
        </w:rPr>
      </w:pPr>
      <w:r>
        <w:rPr>
          <w:rFonts w:ascii="Arial" w:eastAsia="Arial" w:hAnsi="Arial" w:cs="Arial"/>
        </w:rPr>
        <w:t>Based on the findings of the study, the overall results revealed that the respondents possessed a moderate level of knowledge regarding AD. In terms of specific knowledge subdomains, the respondents demonstrated the highest level of knowledge in treatment and management and course of the disease, indicating that they are relatively well-informed about the management of AD and the progression of the disease over time. However, the findings also revealed knowledge gaps in the caregiving domain, suggesting that nursing students still need further exposure and learning in practical caregiving approaches for individuals with AD.</w:t>
      </w:r>
    </w:p>
    <w:p w14:paraId="39434757" w14:textId="77777777" w:rsidR="00275909" w:rsidRDefault="00275909">
      <w:pPr>
        <w:widowControl w:val="0"/>
        <w:spacing w:line="279" w:lineRule="auto"/>
        <w:jc w:val="both"/>
        <w:rPr>
          <w:rFonts w:ascii="Arial" w:eastAsia="Arial" w:hAnsi="Arial" w:cs="Arial"/>
        </w:rPr>
      </w:pPr>
    </w:p>
    <w:p w14:paraId="6514B33D" w14:textId="77777777" w:rsidR="00275909" w:rsidRDefault="00A768EA">
      <w:pPr>
        <w:widowControl w:val="0"/>
        <w:spacing w:line="279" w:lineRule="auto"/>
        <w:jc w:val="both"/>
        <w:rPr>
          <w:rFonts w:ascii="Arial" w:eastAsia="Arial" w:hAnsi="Arial" w:cs="Arial"/>
          <w:b/>
          <w:bCs/>
        </w:rPr>
      </w:pPr>
      <w:r>
        <w:rPr>
          <w:rFonts w:ascii="Arial" w:eastAsia="Arial" w:hAnsi="Arial" w:cs="Arial"/>
        </w:rPr>
        <w:t>In terms of attitude, the results under the subdomains of comfort and attitude toward the disease process indicated that the respondents demonstrated a neutral attitude toward individuals with AD. This suggests that while nursing students do not hold negative perceptions toward individuals with AD, they may still experience uncertainty, limited confidence, or insufficient emotional preparedness when interacting with individuals affected by the condition.</w:t>
      </w:r>
    </w:p>
    <w:p w14:paraId="662D14CF" w14:textId="77777777" w:rsidR="00275909" w:rsidRDefault="00275909">
      <w:pPr>
        <w:widowControl w:val="0"/>
        <w:spacing w:line="279" w:lineRule="auto"/>
        <w:jc w:val="both"/>
        <w:rPr>
          <w:rFonts w:ascii="Arial" w:eastAsia="Arial" w:hAnsi="Arial" w:cs="Arial"/>
        </w:rPr>
      </w:pPr>
    </w:p>
    <w:p w14:paraId="6A842762" w14:textId="77777777" w:rsidR="00275909" w:rsidRDefault="00A768EA">
      <w:pPr>
        <w:widowControl w:val="0"/>
        <w:spacing w:line="279" w:lineRule="auto"/>
        <w:jc w:val="both"/>
        <w:rPr>
          <w:rFonts w:ascii="Arial" w:eastAsia="Arial" w:hAnsi="Arial" w:cs="Arial"/>
          <w:b/>
          <w:bCs/>
        </w:rPr>
      </w:pPr>
      <w:r>
        <w:rPr>
          <w:rFonts w:ascii="Arial" w:eastAsia="Arial" w:hAnsi="Arial" w:cs="Arial"/>
        </w:rPr>
        <w:t xml:space="preserve">The study found no statistically significant relationship between overall knowledge and overall </w:t>
      </w:r>
      <w:r>
        <w:rPr>
          <w:rFonts w:ascii="Arial" w:eastAsia="Arial" w:hAnsi="Arial" w:cs="Arial"/>
        </w:rPr>
        <w:lastRenderedPageBreak/>
        <w:t>attitude toward patients with AD. However, several knowledge subdomains demonstrated significant relationships with attitude variables. Specifically, knowledge of symptoms and life impact showed significant relationships with comfort, attitude toward the disease process, and overall dementia attitude. Similarly, knowledge in assessment and diagnosis demonstrated a significant relationship with attitude toward the disease process, while knowledge of the course of the disease showed significant relationships with comfort and overall attitude.</w:t>
      </w:r>
    </w:p>
    <w:p w14:paraId="6AE7C0CD" w14:textId="77777777" w:rsidR="00275909" w:rsidRDefault="00275909">
      <w:pPr>
        <w:widowControl w:val="0"/>
        <w:spacing w:line="279" w:lineRule="auto"/>
        <w:jc w:val="both"/>
        <w:rPr>
          <w:rFonts w:ascii="Arial" w:eastAsia="Arial" w:hAnsi="Arial" w:cs="Arial"/>
        </w:rPr>
      </w:pPr>
    </w:p>
    <w:p w14:paraId="57DC6F62" w14:textId="77777777" w:rsidR="00275909" w:rsidRDefault="00A768EA">
      <w:pPr>
        <w:widowControl w:val="0"/>
        <w:spacing w:line="279" w:lineRule="auto"/>
        <w:jc w:val="both"/>
        <w:rPr>
          <w:rFonts w:ascii="Arial" w:eastAsia="Arial" w:hAnsi="Arial" w:cs="Arial"/>
          <w:b/>
          <w:bCs/>
          <w:smallCaps/>
          <w:sz w:val="22"/>
          <w:szCs w:val="22"/>
        </w:rPr>
      </w:pPr>
      <w:r>
        <w:rPr>
          <w:rFonts w:ascii="Arial" w:eastAsia="Arial" w:hAnsi="Arial" w:cs="Arial"/>
        </w:rPr>
        <w:t>On the other hand, knowledge in risk factors, caregiving, and treatment and management did not show significant relationships with comfort, attitude toward disease process, or overall dementia attitude. These findings indicate that as nursing students’ knowledge in specific domains increases, their level of comfort and positive attitudes toward individuals with AD may also improve. Therefore, strengthening targeted knowledge areas may contribute to developing more positive attitudes and better preparedness among nursing students in providing care for patients with AD.</w:t>
      </w:r>
    </w:p>
    <w:p w14:paraId="3EA9E6A2" w14:textId="77777777" w:rsidR="00275909" w:rsidRDefault="00275909">
      <w:pPr>
        <w:keepNext/>
        <w:jc w:val="both"/>
        <w:rPr>
          <w:rFonts w:ascii="Arial" w:eastAsia="Arial" w:hAnsi="Arial" w:cs="Arial"/>
          <w:b/>
          <w:bCs/>
          <w:smallCaps/>
          <w:sz w:val="22"/>
          <w:szCs w:val="22"/>
        </w:rPr>
      </w:pPr>
    </w:p>
    <w:p w14:paraId="17019B23" w14:textId="77777777" w:rsidR="00275909" w:rsidRDefault="00275909">
      <w:pPr>
        <w:keepNext/>
        <w:jc w:val="both"/>
        <w:rPr>
          <w:rFonts w:ascii="Arial" w:eastAsia="Arial" w:hAnsi="Arial" w:cs="Arial"/>
          <w:b/>
          <w:bCs/>
          <w:smallCaps/>
          <w:sz w:val="22"/>
          <w:szCs w:val="22"/>
        </w:rPr>
      </w:pPr>
    </w:p>
    <w:p w14:paraId="33A94FBA"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6. RECOMMENDATIONS</w:t>
      </w:r>
    </w:p>
    <w:p w14:paraId="01646D63" w14:textId="77777777" w:rsidR="00275909" w:rsidRDefault="00275909">
      <w:pPr>
        <w:keepNext/>
        <w:jc w:val="both"/>
        <w:rPr>
          <w:rFonts w:ascii="Arial" w:eastAsia="Arial" w:hAnsi="Arial" w:cs="Arial"/>
          <w:b/>
          <w:bCs/>
          <w:smallCaps/>
          <w:sz w:val="22"/>
          <w:szCs w:val="22"/>
        </w:rPr>
      </w:pPr>
    </w:p>
    <w:p w14:paraId="04C52824" w14:textId="77777777" w:rsidR="00275909" w:rsidRDefault="00A768EA">
      <w:pPr>
        <w:jc w:val="both"/>
        <w:rPr>
          <w:rFonts w:ascii="Arial" w:hAnsi="Arial" w:cs="Arial"/>
        </w:rPr>
      </w:pPr>
      <w:r>
        <w:rPr>
          <w:rFonts w:ascii="Arial" w:eastAsia="Arial" w:hAnsi="Arial" w:cs="Arial"/>
        </w:rPr>
        <w:t>Based on the findings of the study, it is recommended that nursing school administrators and curriculum developers enhance the geriatric nursing cur</w:t>
      </w:r>
      <w:r>
        <w:rPr>
          <w:rFonts w:ascii="Arial" w:hAnsi="Arial" w:cs="Arial"/>
        </w:rPr>
        <w:t>riculum by addressing identified knowledge and gaps in AD, particularly in caregiving, assessment, and management. Clinical Instructors are encouraged to integrate interactive and experiential teaching strategies, including simulation and case-based learning,  to strengthen the application of theoretical knowledge in clinical settings. Nursing students are likewise encouraged to engage in self-directed learning and seek additional exposure to dementia care through community-based activities to further develop competence, empathy, and patient-centered care. Furthermore, future researchers are advised to replicate the study across multiple institutions and explore additional variables, such as personal experiences, cultural beliefs, and clinical exposure, that may influence attitudes toward Alzheimer's care.</w:t>
      </w:r>
    </w:p>
    <w:p w14:paraId="1AA190E6" w14:textId="77777777" w:rsidR="00275909" w:rsidRDefault="00275909">
      <w:pPr>
        <w:jc w:val="both"/>
        <w:rPr>
          <w:rFonts w:ascii="Arial" w:hAnsi="Arial" w:cs="Arial"/>
        </w:rPr>
      </w:pPr>
    </w:p>
    <w:p w14:paraId="43407FC9" w14:textId="77777777" w:rsidR="00275909" w:rsidRDefault="00275909">
      <w:pPr>
        <w:jc w:val="both"/>
        <w:rPr>
          <w:rFonts w:ascii="Arial" w:hAnsi="Arial" w:cs="Arial"/>
        </w:rPr>
      </w:pPr>
    </w:p>
    <w:p w14:paraId="1C730D62" w14:textId="77777777" w:rsidR="00275909" w:rsidRDefault="00A768EA">
      <w:pPr>
        <w:keepNext/>
        <w:jc w:val="both"/>
        <w:rPr>
          <w:rFonts w:ascii="Arial" w:eastAsia="Arial" w:hAnsi="Arial" w:cs="Arial"/>
          <w:color w:val="000000"/>
        </w:rPr>
      </w:pPr>
      <w:r>
        <w:rPr>
          <w:rFonts w:ascii="Arial" w:eastAsia="Arial" w:hAnsi="Arial" w:cs="Arial"/>
          <w:b/>
          <w:bCs/>
          <w:smallCaps/>
          <w:sz w:val="22"/>
          <w:szCs w:val="22"/>
        </w:rPr>
        <w:t>COMPETING INTERESTS</w:t>
      </w:r>
    </w:p>
    <w:p w14:paraId="04D5199C" w14:textId="77777777" w:rsidR="00275909" w:rsidRDefault="00A768EA">
      <w:pPr>
        <w:keepNext/>
        <w:jc w:val="both"/>
        <w:rPr>
          <w:rFonts w:ascii="Arial" w:eastAsia="Arial" w:hAnsi="Arial" w:cs="Arial"/>
          <w:color w:val="000000"/>
        </w:rPr>
      </w:pPr>
      <w:r>
        <w:rPr>
          <w:rFonts w:ascii="Arial" w:eastAsia="Arial" w:hAnsi="Arial" w:cs="Arial"/>
          <w:color w:val="000000"/>
        </w:rPr>
        <w:t>Authors have declared that no competing interests exist.</w:t>
      </w:r>
    </w:p>
    <w:p w14:paraId="7E442134" w14:textId="77777777" w:rsidR="00275909" w:rsidRDefault="00275909">
      <w:pPr>
        <w:keepNext/>
        <w:jc w:val="both"/>
        <w:rPr>
          <w:rFonts w:ascii="Arial" w:eastAsia="Arial" w:hAnsi="Arial" w:cs="Arial"/>
          <w:color w:val="000000"/>
        </w:rPr>
      </w:pPr>
    </w:p>
    <w:p w14:paraId="16BAB630" w14:textId="77777777" w:rsidR="00275909" w:rsidRDefault="00275909">
      <w:pPr>
        <w:keepNext/>
        <w:jc w:val="both"/>
        <w:rPr>
          <w:rFonts w:ascii="Arial" w:eastAsia="Arial" w:hAnsi="Arial" w:cs="Arial"/>
          <w:b/>
          <w:bCs/>
          <w:smallCaps/>
          <w:sz w:val="22"/>
          <w:szCs w:val="22"/>
        </w:rPr>
      </w:pPr>
    </w:p>
    <w:p w14:paraId="13EC114D" w14:textId="77777777" w:rsidR="00275909" w:rsidRDefault="00A768EA">
      <w:pPr>
        <w:keepNext/>
        <w:jc w:val="both"/>
        <w:rPr>
          <w:rFonts w:ascii="Arial" w:eastAsia="Arial" w:hAnsi="Arial" w:cs="Arial"/>
          <w:color w:val="000000"/>
        </w:rPr>
      </w:pPr>
      <w:r>
        <w:rPr>
          <w:rFonts w:ascii="Arial" w:eastAsia="Arial" w:hAnsi="Arial" w:cs="Arial"/>
          <w:b/>
          <w:bCs/>
          <w:smallCaps/>
          <w:color w:val="000000"/>
          <w:sz w:val="22"/>
          <w:szCs w:val="22"/>
        </w:rPr>
        <w:t>C</w:t>
      </w:r>
      <w:r>
        <w:rPr>
          <w:rFonts w:ascii="Arial" w:eastAsia="Arial" w:hAnsi="Arial" w:cs="Arial"/>
          <w:b/>
          <w:bCs/>
          <w:smallCaps/>
          <w:sz w:val="22"/>
          <w:szCs w:val="22"/>
        </w:rPr>
        <w:t>ONSENT</w:t>
      </w:r>
      <w:r>
        <w:rPr>
          <w:rFonts w:ascii="Arial" w:eastAsia="Arial" w:hAnsi="Arial" w:cs="Arial"/>
          <w:b/>
          <w:bCs/>
          <w:smallCaps/>
          <w:color w:val="000000"/>
          <w:sz w:val="22"/>
          <w:szCs w:val="22"/>
        </w:rPr>
        <w:t xml:space="preserve"> </w:t>
      </w:r>
    </w:p>
    <w:p w14:paraId="626083D9" w14:textId="5BF1C0E3" w:rsidR="00275909" w:rsidRDefault="00A768EA">
      <w:pPr>
        <w:keepNext/>
        <w:jc w:val="both"/>
        <w:rPr>
          <w:rFonts w:ascii="Arial" w:eastAsia="Arial" w:hAnsi="Arial" w:cs="Arial"/>
          <w:color w:val="000000"/>
        </w:rPr>
      </w:pPr>
      <w:r>
        <w:rPr>
          <w:rFonts w:ascii="Arial" w:eastAsia="Arial" w:hAnsi="Arial" w:cs="Arial"/>
          <w:color w:val="000000"/>
        </w:rPr>
        <w:t xml:space="preserve">Participation was voluntary, and </w:t>
      </w:r>
      <w:r w:rsidR="00937DD5">
        <w:rPr>
          <w:rFonts w:ascii="Arial" w:eastAsia="Arial" w:hAnsi="Arial" w:cs="Arial"/>
          <w:color w:val="000000"/>
        </w:rPr>
        <w:t xml:space="preserve">written </w:t>
      </w:r>
      <w:r>
        <w:rPr>
          <w:rFonts w:ascii="Arial" w:eastAsia="Arial" w:hAnsi="Arial" w:cs="Arial"/>
          <w:color w:val="000000"/>
        </w:rPr>
        <w:t>informed consent was obtained after explaining the study’s purpose, procedures, and participants’ rights, including the right to withdraw at any time.</w:t>
      </w:r>
    </w:p>
    <w:p w14:paraId="2BAF039C" w14:textId="77777777" w:rsidR="00275909" w:rsidRDefault="00275909">
      <w:pPr>
        <w:keepNext/>
        <w:jc w:val="both"/>
        <w:rPr>
          <w:rFonts w:ascii="Arial" w:eastAsia="Arial" w:hAnsi="Arial" w:cs="Arial"/>
          <w:color w:val="000000"/>
        </w:rPr>
      </w:pPr>
    </w:p>
    <w:p w14:paraId="742A4119" w14:textId="77777777" w:rsidR="00275909" w:rsidRDefault="00275909">
      <w:pPr>
        <w:keepNext/>
        <w:jc w:val="both"/>
        <w:rPr>
          <w:rFonts w:ascii="Arial" w:eastAsia="Arial" w:hAnsi="Arial" w:cs="Arial"/>
          <w:color w:val="000000"/>
        </w:rPr>
      </w:pPr>
    </w:p>
    <w:p w14:paraId="14105C96" w14:textId="77777777" w:rsidR="00275909" w:rsidRDefault="00A768EA">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E</w:t>
      </w:r>
      <w:r>
        <w:rPr>
          <w:rFonts w:ascii="Arial" w:eastAsia="Arial" w:hAnsi="Arial" w:cs="Arial"/>
          <w:b/>
          <w:bCs/>
          <w:smallCaps/>
          <w:sz w:val="22"/>
          <w:szCs w:val="22"/>
        </w:rPr>
        <w:t>THICAL APPROVAL</w:t>
      </w:r>
      <w:r>
        <w:rPr>
          <w:rFonts w:ascii="Arial" w:eastAsia="Arial" w:hAnsi="Arial" w:cs="Arial"/>
          <w:b/>
          <w:bCs/>
          <w:smallCaps/>
          <w:color w:val="000000"/>
          <w:sz w:val="22"/>
          <w:szCs w:val="22"/>
        </w:rPr>
        <w:t xml:space="preserve"> </w:t>
      </w:r>
    </w:p>
    <w:p w14:paraId="52BCADC0" w14:textId="77777777" w:rsidR="00275909" w:rsidRDefault="00A768EA">
      <w:pPr>
        <w:keepNext/>
        <w:jc w:val="both"/>
        <w:rPr>
          <w:rFonts w:ascii="Arial" w:eastAsia="Arial" w:hAnsi="Arial" w:cs="Arial"/>
          <w:color w:val="000000"/>
        </w:rPr>
      </w:pPr>
      <w:r>
        <w:rPr>
          <w:rFonts w:ascii="Arial" w:eastAsia="Arial" w:hAnsi="Arial" w:cs="Arial"/>
          <w:color w:val="000000"/>
        </w:rPr>
        <w:t xml:space="preserve">The study was submitted to the Iloilo Doctors’ Institutional Research Ethics Committee (IDIREC) and was granted ethical clearance (IDIREC-2025.OL_235). The study strictly </w:t>
      </w:r>
      <w:r>
        <w:rPr>
          <w:rFonts w:ascii="Arial" w:eastAsia="Arial" w:hAnsi="Arial" w:cs="Arial"/>
          <w:color w:val="000000"/>
        </w:rPr>
        <w:lastRenderedPageBreak/>
        <w:t>adhered to the ethical guidelines of IDIREC to uphold the rights, safety, and well-being of all selected participants.</w:t>
      </w:r>
    </w:p>
    <w:p w14:paraId="2B626EA0" w14:textId="77777777" w:rsidR="00275909" w:rsidRDefault="00275909">
      <w:pPr>
        <w:keepNext/>
        <w:jc w:val="both"/>
        <w:rPr>
          <w:rFonts w:ascii="Arial" w:eastAsia="Arial" w:hAnsi="Arial" w:cs="Arial"/>
          <w:b/>
          <w:bCs/>
          <w:smallCaps/>
          <w:sz w:val="22"/>
          <w:szCs w:val="22"/>
        </w:rPr>
      </w:pPr>
    </w:p>
    <w:p w14:paraId="7A3ABBB9" w14:textId="77777777" w:rsidR="00275909" w:rsidRDefault="00275909">
      <w:pPr>
        <w:keepNext/>
        <w:jc w:val="both"/>
        <w:rPr>
          <w:rFonts w:ascii="Arial" w:eastAsia="Arial" w:hAnsi="Arial" w:cs="Arial"/>
          <w:b/>
          <w:bCs/>
          <w:smallCaps/>
          <w:sz w:val="22"/>
          <w:szCs w:val="22"/>
        </w:rPr>
      </w:pPr>
    </w:p>
    <w:p w14:paraId="3A40B2FA" w14:textId="77777777" w:rsidR="00275909" w:rsidRDefault="00A768EA">
      <w:pPr>
        <w:keepNext/>
        <w:jc w:val="both"/>
        <w:rPr>
          <w:rFonts w:ascii="Arial" w:eastAsia="Arial" w:hAnsi="Arial" w:cs="Arial"/>
          <w:b/>
          <w:bCs/>
          <w:smallCaps/>
          <w:sz w:val="22"/>
          <w:szCs w:val="22"/>
        </w:rPr>
      </w:pPr>
      <w:r>
        <w:rPr>
          <w:rFonts w:ascii="Arial" w:eastAsia="Arial" w:hAnsi="Arial" w:cs="Arial"/>
          <w:b/>
          <w:bCs/>
          <w:smallCaps/>
          <w:sz w:val="22"/>
          <w:szCs w:val="22"/>
        </w:rPr>
        <w:t>DISCLAIMER (ARTIFICIAL INTELLIGENCE)</w:t>
      </w:r>
    </w:p>
    <w:p w14:paraId="5F1EE394" w14:textId="77777777" w:rsidR="00275909" w:rsidRDefault="00A768EA">
      <w:pPr>
        <w:jc w:val="both"/>
        <w:rPr>
          <w:rFonts w:ascii="Arial" w:eastAsia="Arial" w:hAnsi="Arial" w:cs="Arial"/>
        </w:rPr>
      </w:pPr>
      <w:r>
        <w:rPr>
          <w:rFonts w:ascii="Arial" w:eastAsia="Arial" w:hAnsi="Arial" w:cs="Arial"/>
        </w:rPr>
        <w:t xml:space="preserve">Author(s) hereby declare that NO generative AI technologies such as Large Language Models (ChatGPT, COPILOT, etc.) and text-to-image generators have been used during the writing or editing of this manuscript. </w:t>
      </w:r>
    </w:p>
    <w:p w14:paraId="3F0D9EE6" w14:textId="77777777" w:rsidR="00275909" w:rsidRDefault="00275909">
      <w:pPr>
        <w:rPr>
          <w:rFonts w:ascii="Arial" w:eastAsia="Arial" w:hAnsi="Arial" w:cs="Arial"/>
          <w:sz w:val="22"/>
          <w:szCs w:val="22"/>
        </w:rPr>
      </w:pPr>
    </w:p>
    <w:p w14:paraId="0895BA3F" w14:textId="77777777" w:rsidR="00275909" w:rsidRDefault="00A768EA">
      <w:pPr>
        <w:keepNext/>
        <w:jc w:val="both"/>
        <w:rPr>
          <w:color w:val="000000"/>
        </w:rPr>
      </w:pPr>
      <w:bookmarkStart w:id="0" w:name="_heading=h.e2t91thlo1z6" w:colFirst="0" w:colLast="0"/>
      <w:bookmarkEnd w:id="0"/>
      <w:r>
        <w:rPr>
          <w:rFonts w:ascii="Arial" w:eastAsia="Arial" w:hAnsi="Arial" w:cs="Arial"/>
          <w:b/>
          <w:bCs/>
          <w:smallCaps/>
          <w:color w:val="000000"/>
          <w:sz w:val="22"/>
          <w:szCs w:val="22"/>
        </w:rPr>
        <w:t>R</w:t>
      </w:r>
      <w:r>
        <w:rPr>
          <w:rFonts w:ascii="Arial" w:eastAsia="Arial" w:hAnsi="Arial" w:cs="Arial"/>
          <w:b/>
          <w:bCs/>
          <w:smallCaps/>
          <w:sz w:val="22"/>
          <w:szCs w:val="22"/>
        </w:rPr>
        <w:t>EFERENCES</w:t>
      </w:r>
    </w:p>
    <w:p w14:paraId="7316AA72"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r w:rsidRPr="007F73B9">
        <w:rPr>
          <w:rFonts w:ascii="Arial" w:hAnsi="Arial" w:cs="Arial"/>
          <w:highlight w:val="white"/>
        </w:rPr>
        <w:t xml:space="preserve">Abuawad, M., Rjoub, A., </w:t>
      </w:r>
      <w:proofErr w:type="spellStart"/>
      <w:r w:rsidRPr="007F73B9">
        <w:rPr>
          <w:rFonts w:ascii="Arial" w:hAnsi="Arial" w:cs="Arial"/>
          <w:highlight w:val="white"/>
        </w:rPr>
        <w:t>Dumaidi</w:t>
      </w:r>
      <w:proofErr w:type="spellEnd"/>
      <w:r w:rsidRPr="007F73B9">
        <w:rPr>
          <w:rFonts w:ascii="Arial" w:hAnsi="Arial" w:cs="Arial"/>
          <w:highlight w:val="white"/>
        </w:rPr>
        <w:t xml:space="preserve">, Y., </w:t>
      </w:r>
      <w:proofErr w:type="spellStart"/>
      <w:r w:rsidRPr="007F73B9">
        <w:rPr>
          <w:rFonts w:ascii="Arial" w:hAnsi="Arial" w:cs="Arial"/>
          <w:highlight w:val="white"/>
        </w:rPr>
        <w:t>Daraghma</w:t>
      </w:r>
      <w:proofErr w:type="spellEnd"/>
      <w:r w:rsidRPr="007F73B9">
        <w:rPr>
          <w:rFonts w:ascii="Arial" w:hAnsi="Arial" w:cs="Arial"/>
          <w:highlight w:val="white"/>
        </w:rPr>
        <w:t xml:space="preserve">, M., Ghanim, M., Rabayaa, M., et al. (2024). Evaluation of knowledge and attitudes regarding Alzheimer’s disease and related dementia among medical students in Palestine: A cross-sectional study. </w:t>
      </w:r>
      <w:proofErr w:type="spellStart"/>
      <w:r w:rsidRPr="007F73B9">
        <w:rPr>
          <w:rFonts w:ascii="Arial" w:hAnsi="Arial" w:cs="Arial"/>
          <w:i/>
          <w:iCs/>
          <w:highlight w:val="white"/>
        </w:rPr>
        <w:t>PLoS</w:t>
      </w:r>
      <w:proofErr w:type="spellEnd"/>
      <w:r w:rsidRPr="007F73B9">
        <w:rPr>
          <w:rFonts w:ascii="Arial" w:hAnsi="Arial" w:cs="Arial"/>
          <w:i/>
          <w:iCs/>
          <w:highlight w:val="white"/>
        </w:rPr>
        <w:t xml:space="preserve"> ONE</w:t>
      </w:r>
      <w:r w:rsidRPr="007F73B9">
        <w:rPr>
          <w:rFonts w:ascii="Arial" w:hAnsi="Arial" w:cs="Arial"/>
          <w:highlight w:val="white"/>
        </w:rPr>
        <w:t xml:space="preserve">, </w:t>
      </w:r>
      <w:r w:rsidRPr="007F73B9">
        <w:rPr>
          <w:rFonts w:ascii="Arial" w:hAnsi="Arial" w:cs="Arial"/>
          <w:i/>
          <w:iCs/>
          <w:highlight w:val="white"/>
        </w:rPr>
        <w:t>19</w:t>
      </w:r>
      <w:r w:rsidRPr="007F73B9">
        <w:rPr>
          <w:rFonts w:ascii="Arial" w:hAnsi="Arial" w:cs="Arial"/>
          <w:highlight w:val="white"/>
        </w:rPr>
        <w:t xml:space="preserve">(5), e0304012. </w:t>
      </w:r>
      <w:hyperlink r:id="rId15">
        <w:r w:rsidRPr="007F73B9">
          <w:rPr>
            <w:rFonts w:ascii="Arial" w:hAnsi="Arial" w:cs="Arial"/>
            <w:color w:val="548DD4" w:themeColor="text2" w:themeTint="99"/>
            <w:highlight w:val="white"/>
            <w:u w:val="single"/>
          </w:rPr>
          <w:t>https://doi.org/10.1371/journal.pone.0304012</w:t>
        </w:r>
      </w:hyperlink>
    </w:p>
    <w:p w14:paraId="4795D405" w14:textId="77777777" w:rsidR="00275909" w:rsidRPr="007F73B9" w:rsidRDefault="00A768EA" w:rsidP="007F73B9">
      <w:pPr>
        <w:pStyle w:val="ListParagraph"/>
        <w:widowControl w:val="0"/>
        <w:numPr>
          <w:ilvl w:val="0"/>
          <w:numId w:val="2"/>
        </w:numPr>
        <w:spacing w:before="240" w:after="240"/>
        <w:rPr>
          <w:rFonts w:ascii="Arial" w:hAnsi="Arial" w:cs="Arial"/>
          <w:color w:val="0000FF"/>
          <w:highlight w:val="white"/>
          <w:u w:val="single"/>
        </w:rPr>
      </w:pPr>
      <w:proofErr w:type="spellStart"/>
      <w:r w:rsidRPr="007F73B9">
        <w:rPr>
          <w:rFonts w:ascii="Arial" w:hAnsi="Arial" w:cs="Arial"/>
          <w:highlight w:val="white"/>
        </w:rPr>
        <w:t>Akoglu</w:t>
      </w:r>
      <w:proofErr w:type="spellEnd"/>
      <w:r w:rsidRPr="007F73B9">
        <w:rPr>
          <w:rFonts w:ascii="Arial" w:hAnsi="Arial" w:cs="Arial"/>
          <w:highlight w:val="white"/>
        </w:rPr>
        <w:t xml:space="preserve">, H. (2018). User’s guide to correlation coefficients. </w:t>
      </w:r>
      <w:r w:rsidRPr="007F73B9">
        <w:rPr>
          <w:rFonts w:ascii="Arial" w:hAnsi="Arial" w:cs="Arial"/>
          <w:i/>
          <w:iCs/>
          <w:highlight w:val="white"/>
        </w:rPr>
        <w:t>Turkish Journal of Emergency Medicine, 18</w:t>
      </w:r>
      <w:r w:rsidRPr="007F73B9">
        <w:rPr>
          <w:rFonts w:ascii="Arial" w:hAnsi="Arial" w:cs="Arial"/>
          <w:highlight w:val="white"/>
        </w:rPr>
        <w:t>(3), 91–93.</w:t>
      </w:r>
      <w:hyperlink r:id="rId16">
        <w:r w:rsidRPr="007F73B9">
          <w:rPr>
            <w:rFonts w:ascii="Arial" w:hAnsi="Arial" w:cs="Arial"/>
            <w:color w:val="1155CC"/>
            <w:highlight w:val="white"/>
          </w:rPr>
          <w:t xml:space="preserve"> </w:t>
        </w:r>
      </w:hyperlink>
      <w:hyperlink r:id="rId17">
        <w:r w:rsidRPr="007F73B9">
          <w:rPr>
            <w:rFonts w:ascii="Arial" w:hAnsi="Arial" w:cs="Arial"/>
            <w:color w:val="548DD4" w:themeColor="text2" w:themeTint="99"/>
            <w:highlight w:val="white"/>
            <w:u w:val="single"/>
          </w:rPr>
          <w:t>https://doi.org/10.1016/j.tjem.2018.08.001</w:t>
        </w:r>
      </w:hyperlink>
    </w:p>
    <w:p w14:paraId="59F3A05A"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proofErr w:type="spellStart"/>
      <w:r w:rsidRPr="007F73B9">
        <w:rPr>
          <w:rFonts w:ascii="Arial" w:hAnsi="Arial" w:cs="Arial"/>
          <w:highlight w:val="white"/>
        </w:rPr>
        <w:t>Aljezawi</w:t>
      </w:r>
      <w:proofErr w:type="spellEnd"/>
      <w:r w:rsidRPr="007F73B9">
        <w:rPr>
          <w:rFonts w:ascii="Arial" w:hAnsi="Arial" w:cs="Arial"/>
          <w:highlight w:val="white"/>
        </w:rPr>
        <w:t xml:space="preserve">, M., Al Qadire, M., Suliman, M., Al Omari, O., &amp; Khalaf, A. (2022). Undergraduate nursing students’ knowledge of and attitudes toward people with Alzheimer’s disease. BMC Geriatrics, 22, 691. </w:t>
      </w:r>
      <w:hyperlink r:id="rId18">
        <w:r w:rsidRPr="007F73B9">
          <w:rPr>
            <w:rFonts w:ascii="Arial" w:hAnsi="Arial" w:cs="Arial"/>
            <w:color w:val="548DD4" w:themeColor="text2" w:themeTint="99"/>
            <w:highlight w:val="white"/>
            <w:u w:val="single"/>
          </w:rPr>
          <w:t>https://doi.org/10.1186/s12877-022-03389-6</w:t>
        </w:r>
      </w:hyperlink>
    </w:p>
    <w:p w14:paraId="725B830B"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r w:rsidRPr="007F73B9">
        <w:rPr>
          <w:rFonts w:ascii="Arial" w:eastAsia="SimSun" w:hAnsi="Arial" w:cs="Arial"/>
          <w:color w:val="000000"/>
          <w:shd w:val="clear" w:color="auto" w:fill="FFFFFF"/>
        </w:rPr>
        <w:t>Alotaibi, J. S. (2024). Nursing Students’ Knowledge and Attitudes toward Alzheimer’s  Disease in Saudi Arabia: a Cross-Sectional Study. Cureus, 16(7), e59876.</w:t>
      </w:r>
      <w:hyperlink r:id="rId19" w:history="1">
        <w:r w:rsidRPr="007F73B9">
          <w:rPr>
            <w:rStyle w:val="Hyperlink"/>
            <w:rFonts w:ascii="Arial" w:eastAsia="SimSun" w:hAnsi="Arial" w:cs="Arial"/>
            <w:color w:val="548DD4" w:themeColor="text2" w:themeTint="99"/>
            <w:u w:val="none"/>
            <w:shd w:val="clear" w:color="auto" w:fill="FFFFFF"/>
          </w:rPr>
          <w:t xml:space="preserve"> </w:t>
        </w:r>
        <w:r w:rsidRPr="007F73B9">
          <w:rPr>
            <w:rStyle w:val="Hyperlink"/>
            <w:rFonts w:ascii="Arial" w:eastAsia="SimSun" w:hAnsi="Arial" w:cs="Arial"/>
            <w:color w:val="548DD4" w:themeColor="text2" w:themeTint="99"/>
            <w:shd w:val="clear" w:color="auto" w:fill="FFFFFF"/>
          </w:rPr>
          <w:t>https://pubmed.ncbi.nlm.nih.gov/38953079/</w:t>
        </w:r>
      </w:hyperlink>
    </w:p>
    <w:p w14:paraId="3BBF41D8"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proofErr w:type="spellStart"/>
      <w:r w:rsidRPr="007F73B9">
        <w:rPr>
          <w:rFonts w:ascii="Arial" w:hAnsi="Arial" w:cs="Arial"/>
          <w:highlight w:val="white"/>
        </w:rPr>
        <w:t>Aljezawi</w:t>
      </w:r>
      <w:proofErr w:type="spellEnd"/>
      <w:r w:rsidRPr="007F73B9">
        <w:rPr>
          <w:rFonts w:ascii="Arial" w:hAnsi="Arial" w:cs="Arial"/>
          <w:highlight w:val="white"/>
        </w:rPr>
        <w:t xml:space="preserve">, M., Al Qadire, M., Suliman, M., Al Omari, O., &amp; Khalaf, A. (2022). Undergraduate nursing students’ knowledge of and attitudes toward people with Alzheimer’s disease. </w:t>
      </w:r>
      <w:r w:rsidRPr="007F73B9">
        <w:rPr>
          <w:rFonts w:ascii="Arial" w:hAnsi="Arial" w:cs="Arial"/>
          <w:i/>
          <w:iCs/>
          <w:highlight w:val="white"/>
        </w:rPr>
        <w:t>BMC Geriatrics</w:t>
      </w:r>
      <w:r w:rsidRPr="007F73B9">
        <w:rPr>
          <w:rFonts w:ascii="Arial" w:hAnsi="Arial" w:cs="Arial"/>
          <w:highlight w:val="white"/>
        </w:rPr>
        <w:t xml:space="preserve">, </w:t>
      </w:r>
      <w:r w:rsidRPr="007F73B9">
        <w:rPr>
          <w:rFonts w:ascii="Arial" w:hAnsi="Arial" w:cs="Arial"/>
          <w:i/>
          <w:iCs/>
          <w:highlight w:val="white"/>
        </w:rPr>
        <w:t>22</w:t>
      </w:r>
      <w:r w:rsidRPr="007F73B9">
        <w:rPr>
          <w:rFonts w:ascii="Arial" w:hAnsi="Arial" w:cs="Arial"/>
          <w:highlight w:val="white"/>
        </w:rPr>
        <w:t xml:space="preserve">, 691. </w:t>
      </w:r>
      <w:hyperlink r:id="rId20">
        <w:r w:rsidRPr="007F73B9">
          <w:rPr>
            <w:rFonts w:ascii="Arial" w:hAnsi="Arial" w:cs="Arial"/>
            <w:color w:val="548DD4" w:themeColor="text2" w:themeTint="99"/>
            <w:highlight w:val="white"/>
            <w:u w:val="single"/>
          </w:rPr>
          <w:t>https://doi.org/10.1186/s12877-022-03389-6</w:t>
        </w:r>
      </w:hyperlink>
    </w:p>
    <w:p w14:paraId="334DD742"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rPr>
      </w:pPr>
      <w:r w:rsidRPr="007F73B9">
        <w:rPr>
          <w:rFonts w:ascii="Arial" w:hAnsi="Arial" w:cs="Arial"/>
          <w:highlight w:val="white"/>
        </w:rPr>
        <w:t xml:space="preserve">Alzahrani, M., Alghamdi, A., Alghamdi, S., &amp; Alotaibi, R. (2021). Knowledge and Attitude of Dentists Towards Obstructive Sleep Apnea. ResearchGate. </w:t>
      </w:r>
      <w:hyperlink r:id="rId21">
        <w:r w:rsidRPr="007F73B9">
          <w:rPr>
            <w:rFonts w:ascii="Arial" w:hAnsi="Arial" w:cs="Arial"/>
            <w:color w:val="548DD4" w:themeColor="text2" w:themeTint="99"/>
            <w:highlight w:val="white"/>
            <w:u w:val="single"/>
          </w:rPr>
          <w:t>https://www.researchgate.net/publication/352795263_Knowledge_and_Attitude_of_Dentists_Towards_Obstructive_Sleep_Apnea</w:t>
        </w:r>
      </w:hyperlink>
    </w:p>
    <w:p w14:paraId="4C47C602" w14:textId="77777777" w:rsidR="00275909" w:rsidRPr="007F73B9" w:rsidRDefault="00A768EA" w:rsidP="007F73B9">
      <w:pPr>
        <w:pStyle w:val="ListParagraph"/>
        <w:widowControl w:val="0"/>
        <w:numPr>
          <w:ilvl w:val="0"/>
          <w:numId w:val="2"/>
        </w:numPr>
        <w:spacing w:before="240" w:after="240"/>
        <w:rPr>
          <w:rFonts w:ascii="Arial" w:hAnsi="Arial" w:cs="Arial"/>
        </w:rPr>
      </w:pPr>
      <w:r w:rsidRPr="007F73B9">
        <w:rPr>
          <w:rFonts w:ascii="Arial" w:hAnsi="Arial" w:cs="Arial"/>
        </w:rPr>
        <w:t>Alzheimer's Association. (2022).</w:t>
      </w:r>
      <w:r w:rsidRPr="007F73B9">
        <w:rPr>
          <w:rFonts w:ascii="Arial" w:hAnsi="Arial" w:cs="Arial"/>
          <w:i/>
          <w:iCs/>
        </w:rPr>
        <w:t xml:space="preserve"> Alzheimer's disease facts and figures</w:t>
      </w:r>
      <w:r w:rsidRPr="007F73B9">
        <w:rPr>
          <w:rFonts w:ascii="Arial" w:hAnsi="Arial" w:cs="Arial"/>
        </w:rPr>
        <w:t xml:space="preserve">. </w:t>
      </w:r>
      <w:hyperlink r:id="rId22">
        <w:r w:rsidRPr="007F73B9">
          <w:rPr>
            <w:rFonts w:ascii="Arial" w:hAnsi="Arial" w:cs="Arial"/>
            <w:color w:val="548DD4" w:themeColor="text2" w:themeTint="99"/>
            <w:u w:val="single"/>
          </w:rPr>
          <w:t>https://www.alz.org/alzheimers-dementia/facts-figures</w:t>
        </w:r>
      </w:hyperlink>
      <w:r w:rsidRPr="007F73B9">
        <w:rPr>
          <w:rFonts w:ascii="Arial" w:hAnsi="Arial" w:cs="Arial"/>
          <w:color w:val="548DD4" w:themeColor="text2" w:themeTint="99"/>
        </w:rPr>
        <w:t xml:space="preserve"> </w:t>
      </w:r>
    </w:p>
    <w:p w14:paraId="78841C0E" w14:textId="77777777" w:rsidR="00275909" w:rsidRPr="007F73B9" w:rsidRDefault="00A768EA" w:rsidP="007F73B9">
      <w:pPr>
        <w:pStyle w:val="ListParagraph"/>
        <w:widowControl w:val="0"/>
        <w:numPr>
          <w:ilvl w:val="0"/>
          <w:numId w:val="2"/>
        </w:numPr>
        <w:spacing w:before="240" w:after="240"/>
        <w:rPr>
          <w:rFonts w:ascii="Arial" w:hAnsi="Arial" w:cs="Arial"/>
          <w:color w:val="1155CC"/>
          <w:highlight w:val="white"/>
          <w:u w:val="single"/>
        </w:rPr>
      </w:pPr>
      <w:r w:rsidRPr="007F73B9">
        <w:rPr>
          <w:rFonts w:ascii="Arial" w:hAnsi="Arial" w:cs="Arial"/>
          <w:highlight w:val="white"/>
        </w:rPr>
        <w:t xml:space="preserve">Bhandari, P. (2023, June 22). </w:t>
      </w:r>
      <w:r w:rsidRPr="007F73B9">
        <w:rPr>
          <w:rFonts w:ascii="Arial" w:hAnsi="Arial" w:cs="Arial"/>
          <w:i/>
          <w:iCs/>
          <w:highlight w:val="white"/>
        </w:rPr>
        <w:t>Correlational research | When &amp; how to use</w:t>
      </w:r>
      <w:r w:rsidRPr="007F73B9">
        <w:rPr>
          <w:rFonts w:ascii="Arial" w:hAnsi="Arial" w:cs="Arial"/>
          <w:highlight w:val="white"/>
        </w:rPr>
        <w:t xml:space="preserve">. </w:t>
      </w:r>
      <w:proofErr w:type="spellStart"/>
      <w:r w:rsidRPr="007F73B9">
        <w:rPr>
          <w:rFonts w:ascii="Arial" w:hAnsi="Arial" w:cs="Arial"/>
          <w:highlight w:val="white"/>
        </w:rPr>
        <w:t>Scribbr</w:t>
      </w:r>
      <w:proofErr w:type="spellEnd"/>
      <w:r w:rsidRPr="007F73B9">
        <w:rPr>
          <w:rFonts w:ascii="Arial" w:hAnsi="Arial" w:cs="Arial"/>
          <w:highlight w:val="white"/>
        </w:rPr>
        <w:t xml:space="preserve">. </w:t>
      </w:r>
      <w:hyperlink r:id="rId23">
        <w:r w:rsidRPr="007F73B9">
          <w:rPr>
            <w:rFonts w:ascii="Arial" w:hAnsi="Arial" w:cs="Arial"/>
            <w:color w:val="548DD4" w:themeColor="text2" w:themeTint="99"/>
            <w:highlight w:val="white"/>
            <w:u w:val="single"/>
          </w:rPr>
          <w:t>https://www.scribbr.com/methodology/correlational-research/</w:t>
        </w:r>
      </w:hyperlink>
    </w:p>
    <w:p w14:paraId="7F354369"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r w:rsidRPr="007F73B9">
        <w:rPr>
          <w:rFonts w:ascii="Arial" w:hAnsi="Arial" w:cs="Arial"/>
          <w:highlight w:val="white"/>
        </w:rPr>
        <w:t xml:space="preserve">Carpenter, B. D., Balsis, S., </w:t>
      </w:r>
      <w:proofErr w:type="spellStart"/>
      <w:r w:rsidRPr="007F73B9">
        <w:rPr>
          <w:rFonts w:ascii="Arial" w:hAnsi="Arial" w:cs="Arial"/>
          <w:highlight w:val="white"/>
        </w:rPr>
        <w:t>Otilingam</w:t>
      </w:r>
      <w:proofErr w:type="spellEnd"/>
      <w:r w:rsidRPr="007F73B9">
        <w:rPr>
          <w:rFonts w:ascii="Arial" w:hAnsi="Arial" w:cs="Arial"/>
          <w:highlight w:val="white"/>
        </w:rPr>
        <w:t xml:space="preserve">, P. G., Hanson, P. K., &amp; Gatz, M. (2009). The Alzheimer’s Disease Knowledge Scale: Development and psychometric properties. </w:t>
      </w:r>
      <w:r w:rsidRPr="007F73B9">
        <w:rPr>
          <w:rFonts w:ascii="Arial" w:hAnsi="Arial" w:cs="Arial"/>
          <w:i/>
          <w:iCs/>
          <w:highlight w:val="white"/>
        </w:rPr>
        <w:t>The Gerontologist</w:t>
      </w:r>
      <w:r w:rsidRPr="007F73B9">
        <w:rPr>
          <w:rFonts w:ascii="Arial" w:hAnsi="Arial" w:cs="Arial"/>
          <w:highlight w:val="white"/>
        </w:rPr>
        <w:t xml:space="preserve">, </w:t>
      </w:r>
      <w:r w:rsidRPr="007F73B9">
        <w:rPr>
          <w:rFonts w:ascii="Arial" w:hAnsi="Arial" w:cs="Arial"/>
          <w:i/>
          <w:iCs/>
          <w:highlight w:val="white"/>
        </w:rPr>
        <w:t>49</w:t>
      </w:r>
      <w:r w:rsidRPr="007F73B9">
        <w:rPr>
          <w:rFonts w:ascii="Arial" w:hAnsi="Arial" w:cs="Arial"/>
          <w:highlight w:val="white"/>
        </w:rPr>
        <w:t xml:space="preserve">(2), 236–247. </w:t>
      </w:r>
      <w:hyperlink r:id="rId24">
        <w:r w:rsidRPr="007F73B9">
          <w:rPr>
            <w:rFonts w:ascii="Arial" w:hAnsi="Arial" w:cs="Arial"/>
            <w:color w:val="548DD4" w:themeColor="text2" w:themeTint="99"/>
            <w:highlight w:val="white"/>
            <w:u w:val="single"/>
          </w:rPr>
          <w:t>https://doi.org/10.1093/geront/gnp023</w:t>
        </w:r>
      </w:hyperlink>
    </w:p>
    <w:p w14:paraId="39681CF0" w14:textId="77777777" w:rsidR="00275909" w:rsidRPr="007F73B9" w:rsidRDefault="00A768EA" w:rsidP="007F73B9">
      <w:pPr>
        <w:pStyle w:val="ListParagraph"/>
        <w:widowControl w:val="0"/>
        <w:numPr>
          <w:ilvl w:val="0"/>
          <w:numId w:val="2"/>
        </w:numPr>
        <w:spacing w:before="240" w:after="240"/>
        <w:rPr>
          <w:rFonts w:ascii="Arial" w:hAnsi="Arial" w:cs="Arial"/>
          <w:color w:val="0000FF"/>
          <w:highlight w:val="white"/>
          <w:u w:val="single"/>
        </w:rPr>
      </w:pPr>
      <w:r w:rsidRPr="007F73B9">
        <w:rPr>
          <w:rFonts w:ascii="Arial" w:hAnsi="Arial" w:cs="Arial"/>
          <w:highlight w:val="white"/>
        </w:rPr>
        <w:t xml:space="preserve">Cleveland Clinic. (2025). </w:t>
      </w:r>
      <w:r w:rsidRPr="007F73B9">
        <w:rPr>
          <w:rFonts w:ascii="Arial" w:hAnsi="Arial" w:cs="Arial"/>
          <w:i/>
          <w:iCs/>
          <w:highlight w:val="white"/>
        </w:rPr>
        <w:t>Alzheimer’s disease</w:t>
      </w:r>
      <w:r w:rsidRPr="007F73B9">
        <w:rPr>
          <w:rFonts w:ascii="Arial" w:hAnsi="Arial" w:cs="Arial"/>
          <w:highlight w:val="white"/>
        </w:rPr>
        <w:t xml:space="preserve">. </w:t>
      </w:r>
      <w:hyperlink r:id="rId25">
        <w:r w:rsidRPr="007F73B9">
          <w:rPr>
            <w:rFonts w:ascii="Arial" w:hAnsi="Arial" w:cs="Arial"/>
            <w:color w:val="548DD4" w:themeColor="text2" w:themeTint="99"/>
            <w:highlight w:val="white"/>
            <w:u w:val="single"/>
          </w:rPr>
          <w:t>https://my.clevelandclinic.org/health/diseases/9164-alzheimers-disease</w:t>
        </w:r>
      </w:hyperlink>
    </w:p>
    <w:p w14:paraId="6A2AFE86" w14:textId="77777777" w:rsidR="00275909" w:rsidRPr="007F73B9" w:rsidRDefault="00A768EA" w:rsidP="007F73B9">
      <w:pPr>
        <w:pStyle w:val="ListParagraph"/>
        <w:widowControl w:val="0"/>
        <w:numPr>
          <w:ilvl w:val="0"/>
          <w:numId w:val="2"/>
        </w:numPr>
        <w:spacing w:before="240" w:after="240"/>
        <w:rPr>
          <w:rFonts w:ascii="Arial" w:hAnsi="Arial" w:cs="Arial"/>
          <w:highlight w:val="white"/>
        </w:rPr>
      </w:pPr>
      <w:r w:rsidRPr="007F73B9">
        <w:rPr>
          <w:rFonts w:ascii="Arial" w:hAnsi="Arial" w:cs="Arial"/>
          <w:highlight w:val="white"/>
        </w:rPr>
        <w:t xml:space="preserve">Cohen, J. (1988). </w:t>
      </w:r>
      <w:r w:rsidRPr="007F73B9">
        <w:rPr>
          <w:rFonts w:ascii="Arial" w:hAnsi="Arial" w:cs="Arial"/>
          <w:i/>
          <w:iCs/>
          <w:highlight w:val="white"/>
        </w:rPr>
        <w:t>Statistical power analysis for the behavioral sciences</w:t>
      </w:r>
      <w:r w:rsidRPr="007F73B9">
        <w:rPr>
          <w:rFonts w:ascii="Arial" w:hAnsi="Arial" w:cs="Arial"/>
          <w:highlight w:val="white"/>
        </w:rPr>
        <w:t xml:space="preserve"> (2nd ed.). Lawrence Erlbaum Associates. </w:t>
      </w:r>
    </w:p>
    <w:p w14:paraId="0E7344A2" w14:textId="77777777" w:rsidR="00275909" w:rsidRPr="007F73B9" w:rsidRDefault="00A768EA" w:rsidP="007F73B9">
      <w:pPr>
        <w:pStyle w:val="ListParagraph"/>
        <w:widowControl w:val="0"/>
        <w:numPr>
          <w:ilvl w:val="0"/>
          <w:numId w:val="2"/>
        </w:numPr>
        <w:spacing w:before="240" w:after="240"/>
        <w:rPr>
          <w:rFonts w:ascii="Arial" w:hAnsi="Arial" w:cs="Arial"/>
          <w:highlight w:val="white"/>
          <w:u w:val="single"/>
        </w:rPr>
      </w:pPr>
      <w:r w:rsidRPr="007F73B9">
        <w:rPr>
          <w:rFonts w:ascii="Arial" w:hAnsi="Arial" w:cs="Arial"/>
          <w:highlight w:val="white"/>
        </w:rPr>
        <w:t>Expectancy-Value Theory. (2022). Change Theories Collection.</w:t>
      </w:r>
      <w:hyperlink r:id="rId26">
        <w:r w:rsidRPr="007F73B9">
          <w:rPr>
            <w:rFonts w:ascii="Arial" w:hAnsi="Arial" w:cs="Arial"/>
            <w:highlight w:val="white"/>
          </w:rPr>
          <w:t xml:space="preserve"> </w:t>
        </w:r>
      </w:hyperlink>
      <w:hyperlink r:id="rId27">
        <w:r w:rsidRPr="007F73B9">
          <w:rPr>
            <w:rFonts w:ascii="Arial" w:hAnsi="Arial" w:cs="Arial"/>
            <w:color w:val="548DD4" w:themeColor="text2" w:themeTint="99"/>
            <w:highlight w:val="white"/>
            <w:u w:val="single"/>
          </w:rPr>
          <w:t>https://ascnhighered.org/ASCN/change_theories/collection/evt.html</w:t>
        </w:r>
      </w:hyperlink>
      <w:r w:rsidRPr="007F73B9">
        <w:rPr>
          <w:rFonts w:ascii="Arial" w:hAnsi="Arial" w:cs="Arial"/>
          <w:color w:val="548DD4" w:themeColor="text2" w:themeTint="99"/>
          <w:highlight w:val="white"/>
          <w:u w:val="single"/>
        </w:rPr>
        <w:t xml:space="preserve"> </w:t>
      </w:r>
    </w:p>
    <w:p w14:paraId="771CA82E"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r w:rsidRPr="007F73B9">
        <w:rPr>
          <w:rFonts w:ascii="Arial" w:hAnsi="Arial" w:cs="Arial"/>
          <w:highlight w:val="white"/>
        </w:rPr>
        <w:t xml:space="preserve">Faizi, N., &amp; Alvi, Y. (2023). </w:t>
      </w:r>
      <w:r w:rsidRPr="007F73B9">
        <w:rPr>
          <w:rFonts w:ascii="Arial" w:hAnsi="Arial" w:cs="Arial"/>
          <w:i/>
          <w:iCs/>
          <w:highlight w:val="white"/>
        </w:rPr>
        <w:t>Biostatistics manual for health research: A practical guide to data analysis</w:t>
      </w:r>
      <w:r w:rsidRPr="007F73B9">
        <w:rPr>
          <w:rFonts w:ascii="Arial" w:hAnsi="Arial" w:cs="Arial"/>
          <w:highlight w:val="white"/>
        </w:rPr>
        <w:t xml:space="preserve">. Academic Press. </w:t>
      </w:r>
      <w:hyperlink r:id="rId28">
        <w:r w:rsidRPr="007F73B9">
          <w:rPr>
            <w:rFonts w:ascii="Arial" w:hAnsi="Arial" w:cs="Arial"/>
            <w:color w:val="548DD4" w:themeColor="text2" w:themeTint="99"/>
            <w:highlight w:val="white"/>
            <w:u w:val="single"/>
          </w:rPr>
          <w:t>https://doi.org/10.1016/C2022-0-00374-3</w:t>
        </w:r>
      </w:hyperlink>
    </w:p>
    <w:p w14:paraId="216CE8CB"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r w:rsidRPr="007F73B9">
        <w:rPr>
          <w:rFonts w:ascii="Arial" w:hAnsi="Arial" w:cs="Arial"/>
          <w:highlight w:val="white"/>
        </w:rPr>
        <w:t xml:space="preserve">McCombes, S. (2023, June 22). </w:t>
      </w:r>
      <w:r w:rsidRPr="007F73B9">
        <w:rPr>
          <w:rFonts w:ascii="Arial" w:hAnsi="Arial" w:cs="Arial"/>
          <w:i/>
          <w:iCs/>
          <w:highlight w:val="white"/>
        </w:rPr>
        <w:t>Descriptive research | Definition, types, methods &amp; examples</w:t>
      </w:r>
      <w:r w:rsidRPr="007F73B9">
        <w:rPr>
          <w:rFonts w:ascii="Arial" w:hAnsi="Arial" w:cs="Arial"/>
          <w:highlight w:val="white"/>
        </w:rPr>
        <w:t xml:space="preserve">. </w:t>
      </w:r>
      <w:proofErr w:type="spellStart"/>
      <w:r w:rsidRPr="007F73B9">
        <w:rPr>
          <w:rFonts w:ascii="Arial" w:hAnsi="Arial" w:cs="Arial"/>
          <w:highlight w:val="white"/>
        </w:rPr>
        <w:t>Scribbr</w:t>
      </w:r>
      <w:proofErr w:type="spellEnd"/>
      <w:r w:rsidRPr="007F73B9">
        <w:rPr>
          <w:rFonts w:ascii="Arial" w:hAnsi="Arial" w:cs="Arial"/>
          <w:highlight w:val="white"/>
        </w:rPr>
        <w:t xml:space="preserve">. </w:t>
      </w:r>
      <w:hyperlink r:id="rId29">
        <w:r w:rsidRPr="007F73B9">
          <w:rPr>
            <w:rFonts w:ascii="Arial" w:hAnsi="Arial" w:cs="Arial"/>
            <w:color w:val="548DD4" w:themeColor="text2" w:themeTint="99"/>
            <w:highlight w:val="white"/>
            <w:u w:val="single"/>
          </w:rPr>
          <w:t>https://www.scribbr.com/methodology/descriptive-research/</w:t>
        </w:r>
      </w:hyperlink>
    </w:p>
    <w:p w14:paraId="6A2B85CA"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r w:rsidRPr="007F73B9">
        <w:rPr>
          <w:rFonts w:ascii="Arial" w:eastAsia="Times New Roman" w:hAnsi="Arial" w:cs="Arial"/>
        </w:rPr>
        <w:t xml:space="preserve">National Institute on Aging. (2023). Memory problems, forgetfulness, and aging. </w:t>
      </w:r>
      <w:hyperlink r:id="rId30">
        <w:r w:rsidRPr="007F73B9">
          <w:rPr>
            <w:rFonts w:ascii="Arial" w:eastAsia="Times New Roman" w:hAnsi="Arial" w:cs="Arial"/>
            <w:color w:val="548DD4" w:themeColor="text2" w:themeTint="99"/>
            <w:u w:val="single"/>
          </w:rPr>
          <w:t>https://www.nia.nih.gov/health/memory-loss-and-forgetfulness/memory-problems-forgetfulness-and-aging</w:t>
        </w:r>
      </w:hyperlink>
      <w:r w:rsidRPr="007F73B9">
        <w:rPr>
          <w:rFonts w:ascii="Arial" w:eastAsia="Times New Roman" w:hAnsi="Arial" w:cs="Arial"/>
          <w:color w:val="548DD4" w:themeColor="text2" w:themeTint="99"/>
        </w:rPr>
        <w:t xml:space="preserve"> </w:t>
      </w:r>
    </w:p>
    <w:p w14:paraId="22B8929E" w14:textId="77777777" w:rsidR="00275909" w:rsidRPr="007F73B9" w:rsidRDefault="00A768EA" w:rsidP="007F73B9">
      <w:pPr>
        <w:pStyle w:val="ListParagraph"/>
        <w:widowControl w:val="0"/>
        <w:numPr>
          <w:ilvl w:val="0"/>
          <w:numId w:val="2"/>
        </w:numPr>
        <w:spacing w:before="240" w:after="240"/>
        <w:rPr>
          <w:rFonts w:ascii="Arial" w:hAnsi="Arial" w:cs="Arial"/>
          <w:color w:val="0000FF"/>
          <w:highlight w:val="white"/>
          <w:u w:val="single"/>
        </w:rPr>
      </w:pPr>
      <w:r w:rsidRPr="007F73B9">
        <w:rPr>
          <w:rFonts w:ascii="Arial" w:hAnsi="Arial" w:cs="Arial"/>
          <w:highlight w:val="white"/>
        </w:rPr>
        <w:t xml:space="preserve">O’ Connor, M. L., &amp; McFadden, S. H. (2010). Development and psychometric </w:t>
      </w:r>
      <w:r w:rsidRPr="007F73B9">
        <w:rPr>
          <w:rFonts w:ascii="Arial" w:hAnsi="Arial" w:cs="Arial"/>
          <w:highlight w:val="white"/>
        </w:rPr>
        <w:lastRenderedPageBreak/>
        <w:t xml:space="preserve">validation of the Dementia Attitude Scale. </w:t>
      </w:r>
      <w:r w:rsidRPr="007F73B9">
        <w:rPr>
          <w:rFonts w:ascii="Arial" w:hAnsi="Arial" w:cs="Arial"/>
          <w:i/>
          <w:iCs/>
          <w:highlight w:val="white"/>
        </w:rPr>
        <w:t>International Journal of Alzheimer’s Disease</w:t>
      </w:r>
      <w:r w:rsidRPr="007F73B9">
        <w:rPr>
          <w:rFonts w:ascii="Arial" w:hAnsi="Arial" w:cs="Arial"/>
          <w:highlight w:val="white"/>
        </w:rPr>
        <w:t xml:space="preserve">, </w:t>
      </w:r>
      <w:r w:rsidRPr="007F73B9">
        <w:rPr>
          <w:rFonts w:ascii="Arial" w:hAnsi="Arial" w:cs="Arial"/>
          <w:i/>
          <w:iCs/>
          <w:highlight w:val="white"/>
        </w:rPr>
        <w:t>2010</w:t>
      </w:r>
      <w:r w:rsidRPr="007F73B9">
        <w:rPr>
          <w:rFonts w:ascii="Arial" w:hAnsi="Arial" w:cs="Arial"/>
          <w:highlight w:val="white"/>
        </w:rPr>
        <w:t xml:space="preserve">, 1–10. </w:t>
      </w:r>
      <w:hyperlink r:id="rId31">
        <w:r w:rsidRPr="007F73B9">
          <w:rPr>
            <w:rFonts w:ascii="Arial" w:hAnsi="Arial" w:cs="Arial"/>
            <w:color w:val="548DD4" w:themeColor="text2" w:themeTint="99"/>
            <w:highlight w:val="white"/>
            <w:u w:val="single"/>
          </w:rPr>
          <w:t>https://doi.org/10.4061/2010/454218</w:t>
        </w:r>
      </w:hyperlink>
    </w:p>
    <w:p w14:paraId="1DDD7105"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proofErr w:type="spellStart"/>
      <w:r w:rsidRPr="007F73B9">
        <w:rPr>
          <w:rFonts w:ascii="Arial" w:hAnsi="Arial" w:cs="Arial"/>
          <w:highlight w:val="white"/>
        </w:rPr>
        <w:t>Oladjide</w:t>
      </w:r>
      <w:proofErr w:type="spellEnd"/>
      <w:r w:rsidRPr="007F73B9">
        <w:rPr>
          <w:rFonts w:ascii="Arial" w:hAnsi="Arial" w:cs="Arial"/>
          <w:highlight w:val="white"/>
        </w:rPr>
        <w:t xml:space="preserve">, T., et al. (2025). Knowledge and attitudes towards Alzheimer’s disease and study. </w:t>
      </w:r>
      <w:r w:rsidRPr="007F73B9">
        <w:rPr>
          <w:rFonts w:ascii="Arial" w:hAnsi="Arial" w:cs="Arial"/>
          <w:i/>
          <w:iCs/>
          <w:highlight w:val="white"/>
        </w:rPr>
        <w:t>BMC Medical Education</w:t>
      </w:r>
      <w:r w:rsidRPr="007F73B9">
        <w:rPr>
          <w:rFonts w:ascii="Arial" w:hAnsi="Arial" w:cs="Arial"/>
          <w:highlight w:val="white"/>
        </w:rPr>
        <w:t xml:space="preserve">, </w:t>
      </w:r>
      <w:r w:rsidRPr="007F73B9">
        <w:rPr>
          <w:rFonts w:ascii="Arial" w:hAnsi="Arial" w:cs="Arial"/>
          <w:i/>
          <w:iCs/>
          <w:highlight w:val="white"/>
        </w:rPr>
        <w:t>25</w:t>
      </w:r>
      <w:r w:rsidRPr="007F73B9">
        <w:rPr>
          <w:rFonts w:ascii="Arial" w:hAnsi="Arial" w:cs="Arial"/>
          <w:highlight w:val="white"/>
        </w:rPr>
        <w:t xml:space="preserve">, Article 184. </w:t>
      </w:r>
      <w:hyperlink r:id="rId32">
        <w:r w:rsidRPr="007F73B9">
          <w:rPr>
            <w:rFonts w:ascii="Arial" w:hAnsi="Arial" w:cs="Arial"/>
            <w:color w:val="548DD4" w:themeColor="text2" w:themeTint="99"/>
            <w:highlight w:val="white"/>
            <w:u w:val="single"/>
          </w:rPr>
          <w:t>https://doi.org/10.1186/s12909-025-06775-x</w:t>
        </w:r>
      </w:hyperlink>
    </w:p>
    <w:p w14:paraId="53459A71" w14:textId="77777777" w:rsidR="00275909" w:rsidRPr="007F73B9" w:rsidRDefault="00A768EA" w:rsidP="007F73B9">
      <w:pPr>
        <w:pStyle w:val="ListParagraph"/>
        <w:widowControl w:val="0"/>
        <w:numPr>
          <w:ilvl w:val="0"/>
          <w:numId w:val="2"/>
        </w:numPr>
        <w:spacing w:before="240" w:after="240"/>
        <w:rPr>
          <w:rFonts w:ascii="Arial" w:hAnsi="Arial" w:cs="Arial"/>
          <w:highlight w:val="white"/>
        </w:rPr>
      </w:pPr>
      <w:r w:rsidRPr="007F73B9">
        <w:rPr>
          <w:rFonts w:ascii="Arial" w:hAnsi="Arial" w:cs="Arial"/>
          <w:highlight w:val="white"/>
        </w:rPr>
        <w:t xml:space="preserve">Ozpulat, F., </w:t>
      </w:r>
      <w:proofErr w:type="spellStart"/>
      <w:r w:rsidRPr="007F73B9">
        <w:rPr>
          <w:rFonts w:ascii="Arial" w:hAnsi="Arial" w:cs="Arial"/>
          <w:highlight w:val="white"/>
        </w:rPr>
        <w:t>Oztas</w:t>
      </w:r>
      <w:proofErr w:type="spellEnd"/>
      <w:r w:rsidRPr="007F73B9">
        <w:rPr>
          <w:rFonts w:ascii="Arial" w:hAnsi="Arial" w:cs="Arial"/>
          <w:highlight w:val="white"/>
        </w:rPr>
        <w:t xml:space="preserve">, D., &amp; </w:t>
      </w:r>
      <w:proofErr w:type="spellStart"/>
      <w:r w:rsidRPr="007F73B9">
        <w:rPr>
          <w:rFonts w:ascii="Arial" w:hAnsi="Arial" w:cs="Arial"/>
          <w:highlight w:val="white"/>
        </w:rPr>
        <w:t>Urganci</w:t>
      </w:r>
      <w:proofErr w:type="spellEnd"/>
      <w:r w:rsidRPr="007F73B9">
        <w:rPr>
          <w:rFonts w:ascii="Arial" w:hAnsi="Arial" w:cs="Arial"/>
          <w:highlight w:val="white"/>
        </w:rPr>
        <w:t xml:space="preserve">, Y. (2023). Alzheimer’s knowledge of nurses and healthcare students. </w:t>
      </w:r>
      <w:r w:rsidRPr="007F73B9">
        <w:rPr>
          <w:rFonts w:ascii="Arial" w:hAnsi="Arial" w:cs="Arial"/>
          <w:i/>
          <w:iCs/>
          <w:highlight w:val="white"/>
        </w:rPr>
        <w:t>International Journal of Caring Sciences</w:t>
      </w:r>
      <w:r w:rsidRPr="007F73B9">
        <w:rPr>
          <w:rFonts w:ascii="Arial" w:hAnsi="Arial" w:cs="Arial"/>
          <w:highlight w:val="white"/>
        </w:rPr>
        <w:t xml:space="preserve">, </w:t>
      </w:r>
      <w:r w:rsidRPr="007F73B9">
        <w:rPr>
          <w:rFonts w:ascii="Arial" w:hAnsi="Arial" w:cs="Arial"/>
          <w:i/>
          <w:iCs/>
          <w:highlight w:val="white"/>
        </w:rPr>
        <w:t>16</w:t>
      </w:r>
      <w:r w:rsidRPr="007F73B9">
        <w:rPr>
          <w:rFonts w:ascii="Arial" w:hAnsi="Arial" w:cs="Arial"/>
          <w:highlight w:val="white"/>
        </w:rPr>
        <w:t>(2), 856–870.</w:t>
      </w:r>
    </w:p>
    <w:p w14:paraId="3042C1C9"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u w:val="single"/>
        </w:rPr>
      </w:pPr>
      <w:r w:rsidRPr="007F73B9">
        <w:rPr>
          <w:rFonts w:ascii="Arial" w:hAnsi="Arial" w:cs="Arial"/>
          <w:highlight w:val="white"/>
        </w:rPr>
        <w:t xml:space="preserve">Samir, A. A., et al. (2025). Assessing Alzheimer’s disease knowledge among Egyptian medical students in the context of recent educational reforms. </w:t>
      </w:r>
      <w:r w:rsidRPr="007F73B9">
        <w:rPr>
          <w:rFonts w:ascii="Arial" w:hAnsi="Arial" w:cs="Arial"/>
          <w:i/>
          <w:iCs/>
          <w:highlight w:val="white"/>
        </w:rPr>
        <w:t>BMC Medical Education</w:t>
      </w:r>
      <w:r w:rsidRPr="007F73B9">
        <w:rPr>
          <w:rFonts w:ascii="Arial" w:hAnsi="Arial" w:cs="Arial"/>
          <w:highlight w:val="white"/>
        </w:rPr>
        <w:t xml:space="preserve">, </w:t>
      </w:r>
      <w:r w:rsidRPr="007F73B9">
        <w:rPr>
          <w:rFonts w:ascii="Arial" w:hAnsi="Arial" w:cs="Arial"/>
          <w:i/>
          <w:iCs/>
          <w:highlight w:val="white"/>
        </w:rPr>
        <w:t>25</w:t>
      </w:r>
      <w:r w:rsidRPr="007F73B9">
        <w:rPr>
          <w:rFonts w:ascii="Arial" w:hAnsi="Arial" w:cs="Arial"/>
          <w:highlight w:val="white"/>
        </w:rPr>
        <w:t xml:space="preserve">(1), 654. </w:t>
      </w:r>
      <w:hyperlink r:id="rId33">
        <w:r w:rsidRPr="007F73B9">
          <w:rPr>
            <w:rFonts w:ascii="Arial" w:hAnsi="Arial" w:cs="Arial"/>
            <w:color w:val="548DD4" w:themeColor="text2" w:themeTint="99"/>
            <w:highlight w:val="white"/>
            <w:u w:val="single"/>
          </w:rPr>
          <w:t>https://doi.org/10.1186/s12909-025-07258-9</w:t>
        </w:r>
      </w:hyperlink>
    </w:p>
    <w:p w14:paraId="0C11029B" w14:textId="77777777" w:rsidR="00275909" w:rsidRPr="007F73B9" w:rsidRDefault="00A768EA" w:rsidP="007F73B9">
      <w:pPr>
        <w:pStyle w:val="ListParagraph"/>
        <w:widowControl w:val="0"/>
        <w:numPr>
          <w:ilvl w:val="0"/>
          <w:numId w:val="2"/>
        </w:numPr>
        <w:spacing w:before="240" w:after="240"/>
        <w:rPr>
          <w:rFonts w:ascii="Arial" w:hAnsi="Arial" w:cs="Arial"/>
          <w:color w:val="1155CC"/>
          <w:highlight w:val="white"/>
          <w:u w:val="single"/>
          <w:lang w:val="en-US"/>
        </w:rPr>
      </w:pPr>
      <w:r w:rsidRPr="007F73B9">
        <w:rPr>
          <w:rFonts w:ascii="Arial" w:eastAsia="Google Sans" w:hAnsi="Arial" w:cs="Arial"/>
          <w:i/>
          <w:iCs/>
        </w:rPr>
        <w:t>Sustainable Development Goals</w:t>
      </w:r>
      <w:r w:rsidRPr="007F73B9">
        <w:rPr>
          <w:rFonts w:ascii="Arial" w:eastAsia="Google Sans" w:hAnsi="Arial" w:cs="Arial"/>
        </w:rPr>
        <w:t xml:space="preserve">. (n.d.). Textile Exchange. </w:t>
      </w:r>
      <w:hyperlink r:id="rId34" w:history="1">
        <w:r w:rsidRPr="007F73B9">
          <w:rPr>
            <w:rStyle w:val="Hyperlink"/>
            <w:rFonts w:ascii="Arial" w:eastAsia="Google Sans" w:hAnsi="Arial" w:cs="Arial"/>
            <w:color w:val="548DD4" w:themeColor="text2" w:themeTint="99"/>
          </w:rPr>
          <w:t>https://textileexchange.org/sdgs/?gad_source=1&amp;gad_campaignid=23201063891&amp;gbraid=0AAAAADIvnUw28nTdEPp4ZKsx0IRiFBReK&amp;gclid=CjwKCAjwnZfPBhAGEiwAzg-VzIQxUqFSM7RjvG22-b1utBW2l0uYQKGVoB-cQ_6WlzQ9II0DZlVbZxoCObEQAvD_BwE</w:t>
        </w:r>
      </w:hyperlink>
      <w:r w:rsidRPr="007F73B9">
        <w:rPr>
          <w:rFonts w:ascii="Arial" w:eastAsia="Google Sans" w:hAnsi="Arial" w:cs="Arial"/>
          <w:color w:val="548DD4" w:themeColor="text2" w:themeTint="99"/>
          <w:lang w:val="en-US"/>
        </w:rPr>
        <w:t xml:space="preserve"> </w:t>
      </w:r>
    </w:p>
    <w:p w14:paraId="039DABD6"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rPr>
      </w:pPr>
      <w:r w:rsidRPr="007F73B9">
        <w:rPr>
          <w:rFonts w:ascii="Arial" w:hAnsi="Arial" w:cs="Arial"/>
          <w:highlight w:val="white"/>
        </w:rPr>
        <w:t xml:space="preserve">Tan, R. U., &amp; Orteza, G. O. (2024). Knowledge and attitude of Filipino caregivers of patients with dementia admitted for other health issues in a tertiary hospital of Manila: A descriptive cross-sectional study. </w:t>
      </w:r>
      <w:r w:rsidRPr="007F73B9">
        <w:rPr>
          <w:rFonts w:ascii="Arial" w:hAnsi="Arial" w:cs="Arial"/>
          <w:i/>
          <w:iCs/>
          <w:highlight w:val="white"/>
        </w:rPr>
        <w:t>Acta Medica Philippina</w:t>
      </w:r>
      <w:r w:rsidRPr="007F73B9">
        <w:rPr>
          <w:rFonts w:ascii="Arial" w:hAnsi="Arial" w:cs="Arial"/>
          <w:highlight w:val="white"/>
        </w:rPr>
        <w:t xml:space="preserve">, </w:t>
      </w:r>
      <w:r w:rsidRPr="007F73B9">
        <w:rPr>
          <w:rFonts w:ascii="Arial" w:hAnsi="Arial" w:cs="Arial"/>
          <w:i/>
          <w:iCs/>
          <w:highlight w:val="white"/>
        </w:rPr>
        <w:t>58</w:t>
      </w:r>
      <w:r w:rsidRPr="007F73B9">
        <w:rPr>
          <w:rFonts w:ascii="Arial" w:hAnsi="Arial" w:cs="Arial"/>
          <w:highlight w:val="white"/>
        </w:rPr>
        <w:t xml:space="preserve">(3). </w:t>
      </w:r>
      <w:hyperlink r:id="rId35">
        <w:r w:rsidRPr="007F73B9">
          <w:rPr>
            <w:rFonts w:ascii="Arial" w:hAnsi="Arial" w:cs="Arial"/>
            <w:color w:val="548DD4" w:themeColor="text2" w:themeTint="99"/>
            <w:highlight w:val="white"/>
            <w:u w:val="single"/>
          </w:rPr>
          <w:t>https://doi.org/10.47895/amp.vi0.8938</w:t>
        </w:r>
      </w:hyperlink>
    </w:p>
    <w:p w14:paraId="52D5D4B5"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rPr>
      </w:pPr>
      <w:r w:rsidRPr="007F73B9">
        <w:rPr>
          <w:rFonts w:ascii="Arial" w:hAnsi="Arial" w:cs="Arial"/>
          <w:highlight w:val="white"/>
        </w:rPr>
        <w:t xml:space="preserve">World Health Organization. (2023). Dementia. </w:t>
      </w:r>
      <w:hyperlink r:id="rId36">
        <w:r w:rsidRPr="007F73B9">
          <w:rPr>
            <w:rFonts w:ascii="Arial" w:hAnsi="Arial" w:cs="Arial"/>
            <w:color w:val="548DD4" w:themeColor="text2" w:themeTint="99"/>
            <w:highlight w:val="white"/>
            <w:u w:val="single"/>
          </w:rPr>
          <w:t>https://www.who.int/news-room/fact-sheets/detail/dementia</w:t>
        </w:r>
      </w:hyperlink>
    </w:p>
    <w:p w14:paraId="704E04C9" w14:textId="77777777" w:rsidR="00275909" w:rsidRPr="007F73B9" w:rsidRDefault="00A768EA" w:rsidP="007F73B9">
      <w:pPr>
        <w:pStyle w:val="ListParagraph"/>
        <w:widowControl w:val="0"/>
        <w:numPr>
          <w:ilvl w:val="0"/>
          <w:numId w:val="2"/>
        </w:numPr>
        <w:spacing w:before="240" w:after="240"/>
        <w:rPr>
          <w:rFonts w:ascii="Arial" w:hAnsi="Arial" w:cs="Arial"/>
          <w:color w:val="548DD4" w:themeColor="text2" w:themeTint="99"/>
          <w:highlight w:val="white"/>
        </w:rPr>
      </w:pPr>
      <w:r w:rsidRPr="007F73B9">
        <w:rPr>
          <w:rFonts w:ascii="Arial" w:hAnsi="Arial" w:cs="Arial"/>
          <w:highlight w:val="white"/>
        </w:rPr>
        <w:t xml:space="preserve">Wang, Z., Zhang, L. &amp; Qin, C. Alzheimer’s disease pathogenesis: standing at the crossroad of lipid metabolism and immune response. Mol Neurodegeneration 20, 67, (2025). </w:t>
      </w:r>
      <w:hyperlink r:id="rId37">
        <w:r w:rsidRPr="007F73B9">
          <w:rPr>
            <w:rFonts w:ascii="Arial" w:hAnsi="Arial" w:cs="Arial"/>
            <w:color w:val="548DD4" w:themeColor="text2" w:themeTint="99"/>
            <w:highlight w:val="white"/>
            <w:u w:val="single"/>
          </w:rPr>
          <w:t>https://doi.org/10.1186/s13024-025-00857-6</w:t>
        </w:r>
      </w:hyperlink>
    </w:p>
    <w:p w14:paraId="7C1A7579" w14:textId="77777777" w:rsidR="00275909" w:rsidRDefault="00275909">
      <w:pPr>
        <w:widowControl w:val="0"/>
        <w:spacing w:before="240" w:after="240"/>
        <w:ind w:left="400" w:hangingChars="200" w:hanging="400"/>
        <w:rPr>
          <w:rFonts w:ascii="Arial" w:hAnsi="Arial" w:cs="Arial"/>
          <w:highlight w:val="white"/>
        </w:rPr>
        <w:sectPr w:rsidR="00275909">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sectPr>
      </w:pPr>
    </w:p>
    <w:p w14:paraId="1E1996E0" w14:textId="77777777" w:rsidR="00275909" w:rsidRDefault="00275909">
      <w:pPr>
        <w:keepNext/>
        <w:ind w:left="400" w:hangingChars="200" w:hanging="400"/>
        <w:jc w:val="both"/>
        <w:rPr>
          <w:rFonts w:ascii="Arial" w:eastAsia="Arial" w:hAnsi="Arial" w:cs="Arial"/>
          <w:smallCaps/>
          <w:color w:val="000000"/>
        </w:rPr>
      </w:pPr>
    </w:p>
    <w:sectPr w:rsidR="00275909">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63B06" w14:textId="77777777" w:rsidR="009A22B8" w:rsidRDefault="009A22B8">
      <w:r>
        <w:separator/>
      </w:r>
    </w:p>
  </w:endnote>
  <w:endnote w:type="continuationSeparator" w:id="0">
    <w:p w14:paraId="65CB6008" w14:textId="77777777" w:rsidR="009A22B8" w:rsidRDefault="009A2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imSun"/>
    <w:charset w:val="86"/>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97207F4-59D4-4698-92F4-18900EFA69EB}"/>
  </w:font>
  <w:font w:name="Calibri">
    <w:panose1 w:val="020F0502020204030204"/>
    <w:charset w:val="00"/>
    <w:family w:val="swiss"/>
    <w:pitch w:val="variable"/>
    <w:sig w:usb0="E4002EFF" w:usb1="C000247B" w:usb2="00000009" w:usb3="00000000" w:csb0="000001FF" w:csb1="00000000"/>
    <w:embedRegular r:id="rId2" w:fontKey="{46333A99-768C-44D7-9912-43BD80AEAAB1}"/>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embedRegular r:id="rId3" w:fontKey="{2D8E8801-D426-4556-A95A-55618C0B3766}"/>
    <w:embedBold r:id="rId4" w:fontKey="{0B0A23A7-8E0C-4A11-B840-8CB4E91B5D4D}"/>
    <w:embedItalic r:id="rId5" w:fontKey="{B3195906-B4A6-45AD-856E-C92ED5AF996D}"/>
    <w:embedBoldItalic r:id="rId6" w:fontKey="{F95CDA72-16DF-4F96-AE82-7ADC906E8341}"/>
  </w:font>
  <w:font w:name="Google Sans">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C79FC65D-F072-422B-8829-9A47314E6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72B1" w14:textId="77777777" w:rsidR="00275909" w:rsidRDefault="00275909">
    <w:pP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79079" w14:textId="77777777" w:rsidR="00275909" w:rsidRDefault="00A768EA">
    <w:pPr>
      <w:tabs>
        <w:tab w:val="center" w:pos="4320"/>
        <w:tab w:val="right" w:pos="8640"/>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134C0" w14:textId="77777777" w:rsidR="00275909" w:rsidRDefault="00275909">
    <w:pP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3721" w14:textId="77777777" w:rsidR="00275909" w:rsidRDefault="00275909">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F5073" w14:textId="77777777" w:rsidR="009A22B8" w:rsidRDefault="009A22B8">
      <w:r>
        <w:separator/>
      </w:r>
    </w:p>
  </w:footnote>
  <w:footnote w:type="continuationSeparator" w:id="0">
    <w:p w14:paraId="05844B2D" w14:textId="77777777" w:rsidR="009A22B8" w:rsidRDefault="009A2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6D125" w14:textId="77777777" w:rsidR="00275909" w:rsidRDefault="00000000">
    <w:pPr>
      <w:tabs>
        <w:tab w:val="center" w:pos="4320"/>
        <w:tab w:val="right" w:pos="8640"/>
      </w:tabs>
      <w:rPr>
        <w:color w:val="000000"/>
      </w:rPr>
    </w:pPr>
    <w:r>
      <w:rPr>
        <w:color w:val="000000"/>
      </w:rPr>
      <w:pict w14:anchorId="3F712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7" type="#_x0000_t136" style="position:absolute;margin-left:0;margin-top:0;width:516.85pt;height:63.5pt;rotation:315;z-index:-251659264;mso-position-horizontal:center;mso-position-horizontal-relative:margin;mso-position-vertical:center;mso-position-vertical-relative:margin;mso-width-relative:page;mso-height-relative:page" fillcolor="silver" stroked="f">
          <v:fill opacity=".5"/>
          <v:textpath style="font-family:&quot;&amp;quot&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4FEF" w14:textId="77777777" w:rsidR="00275909" w:rsidRDefault="00000000">
    <w:pPr>
      <w:tabs>
        <w:tab w:val="center" w:pos="4320"/>
        <w:tab w:val="right" w:pos="8640"/>
      </w:tabs>
      <w:rPr>
        <w:color w:val="000000"/>
      </w:rPr>
    </w:pPr>
    <w:r>
      <w:rPr>
        <w:color w:val="000000"/>
      </w:rPr>
      <w:pict w14:anchorId="72141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5" type="#_x0000_t136" style="position:absolute;margin-left:0;margin-top:0;width:516.85pt;height:63.5pt;rotation:315;z-index:-251660288;mso-position-horizontal:center;mso-position-horizontal-relative:margin;mso-position-vertical:center;mso-position-vertical-relative:margin;mso-width-relative:page;mso-height-relative:page" fillcolor="silver" stroked="f">
          <v:fill opacity=".5"/>
          <v:textpath style="font-family:&quot;&amp;quot&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5B49" w14:textId="77777777" w:rsidR="00275909" w:rsidRDefault="00000000">
    <w:pPr>
      <w:ind w:left="2160"/>
      <w:jc w:val="center"/>
      <w:rPr>
        <w:rFonts w:ascii="Times New Roman" w:eastAsia="Times New Roman" w:hAnsi="Times New Roman" w:cs="Times New Roman"/>
        <w:i/>
        <w:iCs/>
        <w:sz w:val="18"/>
        <w:szCs w:val="18"/>
      </w:rPr>
    </w:pPr>
    <w:r>
      <w:pict w14:anchorId="085E2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6" type="#_x0000_t136" style="position:absolute;left:0;text-align:left;margin-left:0;margin-top:0;width:516.85pt;height:63.5pt;rotation:315;z-index:-251661312;mso-position-horizontal:center;mso-position-horizontal-relative:margin;mso-position-vertical:center;mso-position-vertical-relative:margin;mso-width-relative:page;mso-height-relative:page" fillcolor="silver" stroked="f">
          <v:fill opacity=".5"/>
          <v:textpath style="font-family:&quot;&amp;quot&quot;;font-size:1pt" fitpath="t" string="UNDER PEER REVIEW"/>
          <w10:wrap anchorx="margin" anchory="margin"/>
        </v:shape>
      </w:pict>
    </w:r>
  </w:p>
  <w:p w14:paraId="4FCBA9B4" w14:textId="77777777" w:rsidR="00275909" w:rsidRDefault="00A768E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33A4258" w14:textId="77777777" w:rsidR="00275909" w:rsidRDefault="00A768E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D100FA5" w14:textId="77777777" w:rsidR="00275909" w:rsidRDefault="00A768E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C35196F" w14:textId="77777777" w:rsidR="00275909" w:rsidRDefault="00A768E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C1DB820" w14:textId="77777777" w:rsidR="00275909" w:rsidRDefault="00A768E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B2D86C2" w14:textId="77777777" w:rsidR="00275909" w:rsidRDefault="00A768EA">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EF9A" w14:textId="77777777" w:rsidR="00275909" w:rsidRDefault="00000000">
    <w:pPr>
      <w:tabs>
        <w:tab w:val="center" w:pos="4320"/>
        <w:tab w:val="right" w:pos="8640"/>
      </w:tabs>
      <w:rPr>
        <w:color w:val="000000"/>
      </w:rPr>
    </w:pPr>
    <w:r>
      <w:rPr>
        <w:color w:val="000000"/>
      </w:rPr>
      <w:pict w14:anchorId="1E7A4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0" type="#_x0000_t136" style="position:absolute;margin-left:0;margin-top:0;width:516.85pt;height:63.5pt;rotation:315;z-index:-251656192;mso-position-horizontal:center;mso-position-horizontal-relative:margin;mso-position-vertical:center;mso-position-vertical-relative:margin;mso-width-relative:page;mso-height-relative:page" fillcolor="silver" stroked="f">
          <v:fill opacity=".5"/>
          <v:textpath style="font-family:&quot;&amp;quot&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C2A" w14:textId="77777777" w:rsidR="00275909" w:rsidRDefault="00000000">
    <w:pPr>
      <w:tabs>
        <w:tab w:val="center" w:pos="4320"/>
        <w:tab w:val="right" w:pos="8640"/>
      </w:tabs>
      <w:rPr>
        <w:color w:val="000000"/>
      </w:rPr>
    </w:pPr>
    <w:r>
      <w:rPr>
        <w:color w:val="000000"/>
      </w:rPr>
      <w:pict w14:anchorId="53AC9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8" type="#_x0000_t136" style="position:absolute;margin-left:0;margin-top:0;width:516.85pt;height:63.5pt;rotation:315;z-index:-251657216;mso-position-horizontal:center;mso-position-horizontal-relative:margin;mso-position-vertical:center;mso-position-vertical-relative:margin;mso-width-relative:page;mso-height-relative:page" fillcolor="silver" stroked="f">
          <v:fill opacity=".5"/>
          <v:textpath style="font-family:&quot;&amp;quot&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954ED" w14:textId="77777777" w:rsidR="00275909" w:rsidRDefault="00000000">
    <w:pPr>
      <w:tabs>
        <w:tab w:val="center" w:pos="4320"/>
        <w:tab w:val="right" w:pos="8640"/>
      </w:tabs>
      <w:rPr>
        <w:color w:val="000000"/>
      </w:rPr>
    </w:pPr>
    <w:r>
      <w:rPr>
        <w:color w:val="000000"/>
      </w:rPr>
      <w:pict w14:anchorId="1EC60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9" type="#_x0000_t136" style="position:absolute;margin-left:0;margin-top:0;width:516.85pt;height:63.5pt;rotation:315;z-index:-251658240;mso-position-horizontal:center;mso-position-horizontal-relative:margin;mso-position-vertical:center;mso-position-vertical-relative:margin;mso-width-relative:page;mso-height-relative:page" fillcolor="silver" stroked="f">
          <v:fill opacity=".5"/>
          <v:textpath style="font-family:&quot;&amp;quot&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D615A3"/>
    <w:multiLevelType w:val="singleLevel"/>
    <w:tmpl w:val="B1D615A3"/>
    <w:lvl w:ilvl="0">
      <w:start w:val="2"/>
      <w:numFmt w:val="decimal"/>
      <w:suff w:val="space"/>
      <w:lvlText w:val="%1."/>
      <w:lvlJc w:val="left"/>
    </w:lvl>
  </w:abstractNum>
  <w:abstractNum w:abstractNumId="1" w15:restartNumberingAfterBreak="0">
    <w:nsid w:val="400B2FD6"/>
    <w:multiLevelType w:val="hybridMultilevel"/>
    <w:tmpl w:val="AA8E8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2408869">
    <w:abstractNumId w:val="0"/>
  </w:num>
  <w:num w:numId="2" w16cid:durableId="541945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909"/>
    <w:rsid w:val="00275909"/>
    <w:rsid w:val="006C5C42"/>
    <w:rsid w:val="007F73B9"/>
    <w:rsid w:val="00937DD5"/>
    <w:rsid w:val="009A22B8"/>
    <w:rsid w:val="00A768EA"/>
    <w:rsid w:val="00CB1BEB"/>
    <w:rsid w:val="13C90EE6"/>
    <w:rsid w:val="30DD4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8D4F1"/>
  <w15:docId w15:val="{66557959-C0B8-4FA4-AB33-5BA8D2C4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Neue" w:eastAsia="Helvetica Neue" w:hAnsi="Helvetica Neue" w:cs="Helvetica Neue"/>
      <w:lang w:val="en"/>
    </w:rPr>
  </w:style>
  <w:style w:type="paragraph" w:styleId="Heading1">
    <w:name w:val="heading 1"/>
    <w:basedOn w:val="Normal"/>
    <w:next w:val="Normal"/>
    <w:qFormat/>
    <w:pPr>
      <w:keepNext/>
      <w:spacing w:before="240" w:after="60"/>
      <w:outlineLvl w:val="0"/>
    </w:pPr>
    <w:rPr>
      <w:rFonts w:ascii="Arial" w:eastAsia="Arial" w:hAnsi="Arial" w:cs="Arial"/>
      <w:b/>
      <w:bCs/>
      <w:sz w:val="28"/>
      <w:szCs w:val="2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spacing w:after="360"/>
      <w:jc w:val="right"/>
    </w:pPr>
    <w:rPr>
      <w:b/>
      <w:bCs/>
      <w:sz w:val="36"/>
      <w:szCs w:val="36"/>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qFormat/>
    <w:tblPr>
      <w:tblCellMar>
        <w:top w:w="0" w:type="dxa"/>
        <w:left w:w="115" w:type="dxa"/>
        <w:bottom w:w="0" w:type="dxa"/>
        <w:right w:w="115" w:type="dxa"/>
      </w:tblCellMar>
    </w:tblPr>
  </w:style>
  <w:style w:type="table" w:customStyle="1" w:styleId="Style11">
    <w:name w:val="_Style 11"/>
    <w:basedOn w:val="TableNormal0"/>
    <w:qFormat/>
    <w:tblPr>
      <w:tblCellMar>
        <w:top w:w="0" w:type="dxa"/>
        <w:left w:w="108" w:type="dxa"/>
        <w:bottom w:w="0" w:type="dxa"/>
        <w:right w:w="108" w:type="dxa"/>
      </w:tblCellMar>
    </w:tblPr>
  </w:style>
  <w:style w:type="table" w:customStyle="1" w:styleId="Style12">
    <w:name w:val="_Style 12"/>
    <w:basedOn w:val="TableNormal0"/>
    <w:qFormat/>
    <w:tblPr>
      <w:tblCellMar>
        <w:top w:w="0" w:type="dxa"/>
        <w:left w:w="108" w:type="dxa"/>
        <w:bottom w:w="0" w:type="dxa"/>
        <w:right w:w="108" w:type="dxa"/>
      </w:tblCellMar>
    </w:tblPr>
  </w:style>
  <w:style w:type="table" w:customStyle="1" w:styleId="Style13">
    <w:name w:val="_Style 13"/>
    <w:basedOn w:val="TableNormal0"/>
    <w:qFormat/>
    <w:rPr>
      <w:rFonts w:ascii="Calibri" w:eastAsia="Calibri" w:hAnsi="Calibri" w:cs="Calibri"/>
      <w:sz w:val="22"/>
      <w:szCs w:val="22"/>
    </w:rPr>
    <w:tblPr>
      <w:tblCellMar>
        <w:top w:w="0" w:type="dxa"/>
        <w:left w:w="108" w:type="dxa"/>
        <w:bottom w:w="0" w:type="dxa"/>
        <w:right w:w="108" w:type="dxa"/>
      </w:tblCellMar>
    </w:tblPr>
  </w:style>
  <w:style w:type="table" w:customStyle="1" w:styleId="Style14">
    <w:name w:val="_Style 14"/>
    <w:basedOn w:val="TableNormal0"/>
    <w:qFormat/>
    <w:tblPr>
      <w:tblCellMar>
        <w:top w:w="0" w:type="dxa"/>
        <w:left w:w="108" w:type="dxa"/>
        <w:bottom w:w="0" w:type="dxa"/>
        <w:right w:w="108" w:type="dxa"/>
      </w:tblCellMar>
    </w:tblPr>
  </w:style>
  <w:style w:type="table" w:customStyle="1" w:styleId="Style15">
    <w:name w:val="_Style 15"/>
    <w:basedOn w:val="TableNormal0"/>
    <w:qFormat/>
    <w:tblPr/>
  </w:style>
  <w:style w:type="paragraph" w:styleId="ListParagraph">
    <w:name w:val="List Paragraph"/>
    <w:basedOn w:val="Normal"/>
    <w:uiPriority w:val="99"/>
    <w:rsid w:val="007F73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doi.org/10.1186/s12877-022-03389-6" TargetMode="External"/><Relationship Id="rId26" Type="http://schemas.openxmlformats.org/officeDocument/2006/relationships/hyperlink" Target="https://ascnhighered.org/ASCN/change_theories/collection/evt.html" TargetMode="External"/><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yperlink" Target="https://www.researchgate.net/publication/352795263_Knowledge_and_Attitude_of_Dentists_Towards_Obstructive_Sleep_Apnea" TargetMode="External"/><Relationship Id="rId34" Type="http://schemas.openxmlformats.org/officeDocument/2006/relationships/hyperlink" Target="https://textileexchange.org/sdgs/?gad_source=1&amp;gad_campaignid=23201063891&amp;gbraid=0AAAAADIvnUw28nTdEPp4ZKsx0IRiFBReK&amp;gclid=CjwKCAjwnZfPBhAGEiwAzg-VzIQxUqFSM7RjvG22-b1utBW2l0uYQKGVoB-cQ_6WlzQ9II0DZlVbZxoCObEQAvD_Bw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i.org/10.1016/j.tjem.2018.08.001" TargetMode="External"/><Relationship Id="rId25" Type="http://schemas.openxmlformats.org/officeDocument/2006/relationships/hyperlink" Target="https://my.clevelandclinic.org/health/diseases/9164-alzheimers-disease" TargetMode="External"/><Relationship Id="rId33" Type="http://schemas.openxmlformats.org/officeDocument/2006/relationships/hyperlink" Target="https://doi.org/10.1186/s12909-025-07258-9"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doi.org/10.1016/j.tjem.2018.08.001" TargetMode="External"/><Relationship Id="rId20" Type="http://schemas.openxmlformats.org/officeDocument/2006/relationships/hyperlink" Target="https://doi.org/10.1186/s12877-022-03389-6" TargetMode="External"/><Relationship Id="rId29" Type="http://schemas.openxmlformats.org/officeDocument/2006/relationships/hyperlink" Target="https://www.scribbr.com/methodology/descriptive-research/"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93/geront/gnp023" TargetMode="External"/><Relationship Id="rId32" Type="http://schemas.openxmlformats.org/officeDocument/2006/relationships/hyperlink" Target="https://doi.org/10.1186/s12909-025-06775-x" TargetMode="External"/><Relationship Id="rId37" Type="http://schemas.openxmlformats.org/officeDocument/2006/relationships/hyperlink" Target="https://doi.org/10.1186/s13024-025-00857-6" TargetMode="Externa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doi.org/10.1371/journal.pone.0304012" TargetMode="External"/><Relationship Id="rId23" Type="http://schemas.openxmlformats.org/officeDocument/2006/relationships/hyperlink" Target="https://www.scribbr.com/methodology/correlational-research/" TargetMode="External"/><Relationship Id="rId28" Type="http://schemas.openxmlformats.org/officeDocument/2006/relationships/hyperlink" Target="https://doi.org/10.1016/C2022-0-00374-3" TargetMode="External"/><Relationship Id="rId36" Type="http://schemas.openxmlformats.org/officeDocument/2006/relationships/hyperlink" Target="https://www.who.int/news-room/fact-sheets/detail/dementia" TargetMode="External"/><Relationship Id="rId10" Type="http://schemas.openxmlformats.org/officeDocument/2006/relationships/header" Target="header2.xml"/><Relationship Id="rId19" Type="http://schemas.openxmlformats.org/officeDocument/2006/relationships/hyperlink" Target="https://pubmed.ncbi.nlm.nih.gov/38953079/" TargetMode="External"/><Relationship Id="rId31" Type="http://schemas.openxmlformats.org/officeDocument/2006/relationships/hyperlink" Target="https://doi.org/10.4061/2010/454218"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lz.org/alzheimers-dementia/facts-figures" TargetMode="External"/><Relationship Id="rId27" Type="http://schemas.openxmlformats.org/officeDocument/2006/relationships/hyperlink" Target="https://ascnhighered.org/ASCN/change_theories/collection/evt.html" TargetMode="External"/><Relationship Id="rId30" Type="http://schemas.openxmlformats.org/officeDocument/2006/relationships/hyperlink" Target="https://www.nia.nih.gov/health/memory-loss-and-forgetfulness/memory-problems-forgetfulness-and-aging" TargetMode="External"/><Relationship Id="rId35" Type="http://schemas.openxmlformats.org/officeDocument/2006/relationships/hyperlink" Target="https://doi.org/10.47895/amp.vi0.8938"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q3RmchViq5cAIuj5/UFJQKuQ==">CgMxLjAaJAoBMBIfCh0IB0IZCgVBcmlhbBIQQXJpYWwgVW5pY29kZSBNUzIOaC5lMnQ5MXRobG8xejY4AHIhMUdTMFYteV9FRXBlWUNTZk1HbklFZ3BhRzVoNDJhMFBt</go:docsCustomData>
</go:gDocsCustomXmlDataStorage>
</file>

<file path=customXml/item2.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0"/>
    <customShpInfo spid="_x0000_s2052"/>
    <customShpInfo spid="_x0000_s2054"/>
    <customShpInfo spid="_x0000_s2053"/>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6629</Words>
  <Characters>37787</Characters>
  <Application>Microsoft Office Word</Application>
  <DocSecurity>0</DocSecurity>
  <Lines>314</Lines>
  <Paragraphs>88</Paragraphs>
  <ScaleCrop>false</ScaleCrop>
  <Company/>
  <LinksUpToDate>false</LinksUpToDate>
  <CharactersWithSpaces>44328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Editor Acc 101</cp:lastModifiedBy>
  <cp:revision>6</cp:revision>
  <dcterms:created xsi:type="dcterms:W3CDTF">2026-04-20T09:42:00Z</dcterms:created>
  <dcterms:modified xsi:type="dcterms:W3CDTF">2026-04-22T10:35:00Z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eyJoZGlkIjoiYjk5ODM0YmMxOWJiYWQyNDU4MGIzYWRmYTA0ZmI5NDciLCJ1c2VySWQiOiI3MDQ2NjA4MDc3MTEifQ==</vt:lpwstr>
  </property>
  <property fmtid="{D5CDD505-2E9C-101B-9397-08002B2CF9AE}" pid="3" name="KSOProductBuildVer">
    <vt:lpwstr>1033-12.1.0.25830</vt:lpwstr>
  </property>
  <property fmtid="{D5CDD505-2E9C-101B-9397-08002B2CF9AE}" pid="4" name="ICV">
    <vt:lpwstr>5229E1490582486DA7EA1711D3834F5F_13</vt:lpwstr>
  </property>
</Properties>
</file>