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right"/>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Original Research Article</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right"/>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Gamification Engagement and Critical</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right"/>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Thinking Skills Among</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right"/>
        <w:rPr>
          <w:rFonts w:ascii="Arial" w:cs="Arial" w:eastAsia="Arial" w:hAnsi="Arial"/>
          <w:b w:val="1"/>
          <w:bCs w:val="1"/>
          <w:color w:val="000000"/>
          <w:sz w:val="36"/>
          <w:szCs w:val="36"/>
        </w:rPr>
      </w:pPr>
      <w:r w:rsidDel="00000000" w:rsidR="00000000" w:rsidRPr="00000000">
        <w:rPr>
          <w:rFonts w:ascii="Arial" w:cs="Arial" w:eastAsia="Arial" w:hAnsi="Arial"/>
          <w:b w:val="1"/>
          <w:bCs w:val="1"/>
          <w:sz w:val="36"/>
          <w:szCs w:val="36"/>
          <w:rtl w:val="0"/>
        </w:rPr>
        <w:t xml:space="preserve">Student Nurses</w:t>
      </w:r>
      <w:r w:rsidDel="00000000" w:rsidR="00000000" w:rsidRPr="00000000">
        <w:rPr>
          <w:rFonts w:ascii="Arial" w:cs="Arial" w:eastAsia="Arial" w:hAnsi="Arial"/>
          <w:b w:val="1"/>
          <w:bCs w:val="1"/>
          <w:color w:val="000000"/>
          <w:sz w:val="36"/>
          <w:szCs w:val="36"/>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Arial" w:cs="Arial" w:eastAsia="Arial" w:hAnsi="Arial"/>
          <w:b w:val="1"/>
          <w:bCs w:val="1"/>
          <w:color w:val="000000"/>
          <w:sz w:val="36"/>
          <w:szCs w:val="3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Arial" w:cs="Arial" w:eastAsia="Arial" w:hAnsi="Arial"/>
          <w:color w:val="000000"/>
          <w:sz w:val="16"/>
          <w:szCs w:val="16"/>
        </w:rPr>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2016" w:top="1440" w:left="2016" w:right="2016" w:header="720" w:footer="1296"/>
          <w:pgNumType w:start="1"/>
        </w:sectPr>
      </w:pPr>
      <w:r w:rsidDel="00000000" w:rsidR="00000000" w:rsidRPr="00000000">
        <w:rPr>
          <w:rFonts w:ascii="Arial" w:cs="Arial" w:eastAsia="Arial" w:hAnsi="Arial"/>
          <w:color w:val="000000"/>
          <w:sz w:val="16"/>
          <w:szCs w:val="16"/>
        </w:rPr>
        <mc:AlternateContent>
          <mc:Choice Requires="wpg">
            <w:drawing>
              <wp:inline distB="0" distT="0" distL="114300" distR="114300">
                <wp:extent cx="5322570" cy="38100"/>
                <wp:effectExtent b="0" l="0" r="0" t="0"/>
                <wp:docPr id="1" name=""/>
                <a:graphic>
                  <a:graphicData uri="http://schemas.microsoft.com/office/word/2010/wordprocessingShape">
                    <wps:wsp>
                      <wps:cNvSpPr/>
                      <wps:cNvPr id="2" name="Shape 2"/>
                      <wps:spPr>
                        <a:xfrm>
                          <a:off x="2694240" y="3780000"/>
                          <a:ext cx="5303520" cy="0"/>
                        </a:xfrm>
                        <a:custGeom>
                          <a:rect b="b" l="l" r="r" t="t"/>
                          <a:pathLst>
                            <a:path extrusionOk="0" h="1" w="5303520">
                              <a:moveTo>
                                <a:pt x="0" y="0"/>
                              </a:moveTo>
                              <a:lnTo>
                                <a:pt x="530352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114300" distR="114300">
                <wp:extent cx="5322570" cy="38100"/>
                <wp:effectExtent b="0" l="0" r="0" t="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5322570" cy="38100"/>
                        </a:xfrm>
                        <a:prstGeom prst="rect"/>
                        <a:ln/>
                      </pic:spPr>
                    </pic:pic>
                  </a:graphicData>
                </a:graphic>
              </wp:inline>
            </w:drawing>
          </mc:Fallback>
        </mc:AlternateContent>
      </w:r>
      <w:r w:rsidDel="00000000" w:rsidR="00000000" w:rsidRPr="00000000">
        <w:rPr>
          <w:rFonts w:ascii="Arial" w:cs="Arial" w:eastAsia="Arial" w:hAnsi="Arial"/>
          <w:color w:val="000000"/>
          <w:sz w:val="16"/>
          <w:szCs w:val="16"/>
          <w:rtl w:val="0"/>
        </w:rPr>
        <w:t xml:space="preserve">.</w:t>
      </w:r>
    </w:p>
    <w:p w:rsidR="00000000" w:rsidDel="00000000" w:rsidP="00000000" w:rsidRDefault="00000000" w:rsidRPr="00000000" w14:paraId="0000000B">
      <w:pPr>
        <w:keepNext w:val="1"/>
        <w:jc w:val="both"/>
        <w:rPr>
          <w:rFonts w:ascii="Arial" w:cs="Arial" w:eastAsia="Arial" w:hAnsi="Arial"/>
          <w:b w:val="1"/>
          <w:bCs w:val="1"/>
          <w:smallCaps w:val="1"/>
          <w:color w:val="000000"/>
          <w:sz w:val="22"/>
          <w:szCs w:val="22"/>
        </w:rPr>
      </w:pPr>
      <w:r w:rsidDel="00000000" w:rsidR="00000000" w:rsidRPr="00000000">
        <w:rPr>
          <w:rFonts w:ascii="Arial" w:cs="Arial" w:eastAsia="Arial" w:hAnsi="Arial"/>
          <w:b w:val="1"/>
          <w:bCs w:val="1"/>
          <w:sz w:val="22"/>
          <w:szCs w:val="22"/>
          <w:rtl w:val="0"/>
        </w:rPr>
        <w:t xml:space="preserve">Abstract</w:t>
      </w:r>
      <w:r w:rsidDel="00000000" w:rsidR="00000000" w:rsidRPr="00000000">
        <w:rPr>
          <w:rtl w:val="0"/>
        </w:rPr>
      </w:r>
    </w:p>
    <w:p w:rsidR="00000000" w:rsidDel="00000000" w:rsidP="00000000" w:rsidRDefault="00000000" w:rsidRPr="00000000" w14:paraId="0000000C">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tl w:val="0"/>
        </w:rPr>
      </w:r>
    </w:p>
    <w:tbl>
      <w:tblPr>
        <w:tblStyle w:val="Table1"/>
        <w:tblW w:w="842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24"/>
        <w:tblGridChange w:id="0">
          <w:tblGrid>
            <w:gridCol w:w="8424"/>
          </w:tblGrid>
        </w:tblGridChange>
      </w:tblGrid>
      <w:tr>
        <w:trPr>
          <w:cantSplit w:val="0"/>
          <w:tblHeader w:val="0"/>
        </w:trPr>
        <w:tc>
          <w:tcPr>
            <w:shd w:fill="f2f2f2" w:val="clear"/>
          </w:tcPr>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Arial" w:cs="Arial" w:eastAsia="Arial" w:hAnsi="Arial"/>
                <w:b w:val="1"/>
                <w:bCs w:val="1"/>
              </w:rPr>
            </w:pPr>
            <w:r w:rsidDel="00000000" w:rsidR="00000000" w:rsidRPr="00000000">
              <w:rPr>
                <w:rFonts w:ascii="Arial" w:cs="Arial" w:eastAsia="Arial" w:hAnsi="Arial"/>
                <w:b w:val="1"/>
                <w:bCs w:val="1"/>
                <w:color w:val="000000"/>
                <w:rtl w:val="0"/>
              </w:rPr>
              <w:t xml:space="preserve">Aims: </w:t>
            </w:r>
            <w:r w:rsidDel="00000000" w:rsidR="00000000" w:rsidRPr="00000000">
              <w:rPr>
                <w:rFonts w:ascii="Arial" w:cs="Arial" w:eastAsia="Arial" w:hAnsi="Arial"/>
                <w:color w:val="000000"/>
                <w:rtl w:val="0"/>
              </w:rPr>
              <w:t xml:space="preserve">To determine the level of gamification engagement and critical thinking skills among student nurses in a private college in Iloilo City. Specifically, it examined students’ behavioral, cognitive, and emotional engagement in gamified learning activities, and determined whether a significant relationship exists between gamification engagement and critical thinking skills.</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bCs w:val="1"/>
                <w:color w:val="000000"/>
                <w:rtl w:val="0"/>
              </w:rPr>
              <w:t xml:space="preserve">Study design: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This study employed a descriptive–correlational research design.</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bCs w:val="1"/>
                <w:color w:val="000000"/>
                <w:rtl w:val="0"/>
              </w:rPr>
              <w:t xml:space="preserve">Place and Duration of Study:</w:t>
            </w:r>
            <w:r w:rsidDel="00000000" w:rsidR="00000000" w:rsidRPr="00000000">
              <w:rPr>
                <w:rFonts w:ascii="Arial" w:cs="Arial" w:eastAsia="Arial" w:hAnsi="Arial"/>
                <w:color w:val="000000"/>
                <w:rtl w:val="0"/>
              </w:rPr>
              <w:t xml:space="preserve"> The study was conducted at a private college in Iloilo City among Bachelor of Science in Nursing students during the academic year 2025–2026.</w:t>
            </w:r>
            <w:r w:rsidDel="00000000" w:rsidR="00000000" w:rsidRPr="00000000">
              <w:rPr>
                <w:rFonts w:ascii="Arial" w:cs="Arial" w:eastAsia="Arial" w:hAnsi="Arial"/>
                <w:rtl w:val="0"/>
              </w:rPr>
              <w:t xml:space="preserve"> Data collection was conducted in January 2026.</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Arial" w:cs="Arial" w:eastAsia="Arial" w:hAnsi="Arial"/>
                <w:b w:val="1"/>
                <w:bCs w:val="1"/>
              </w:rPr>
            </w:pPr>
            <w:r w:rsidDel="00000000" w:rsidR="00000000" w:rsidRPr="00000000">
              <w:rPr>
                <w:rFonts w:ascii="Arial" w:cs="Arial" w:eastAsia="Arial" w:hAnsi="Arial"/>
                <w:b w:val="1"/>
                <w:bCs w:val="1"/>
                <w:rtl w:val="0"/>
              </w:rPr>
              <w:t xml:space="preserve">Methodology:</w:t>
            </w:r>
            <w:r w:rsidDel="00000000" w:rsidR="00000000" w:rsidRPr="00000000">
              <w:rPr>
                <w:rFonts w:ascii="Arial" w:cs="Arial" w:eastAsia="Arial" w:hAnsi="Arial"/>
                <w:rtl w:val="0"/>
              </w:rPr>
              <w:t xml:space="preserve">The study included 325 nursing students selected via stratified random sampling. Data were collected using a structured self-administered questionnaire comprising the Gamification Engagement Questionnaire and the Critical Thinking Skills Questionnaire. Descriptive statistics including frequency, percentage, mean, and standard deviation summarized respondents’ profiles, engagement, and critical thinking. Spearman’s rho correlation was used to determine the relationship between gamification engagement and critical thinking skills</w:t>
            </w:r>
            <w:r w:rsidDel="00000000" w:rsidR="00000000" w:rsidRPr="00000000">
              <w:rPr>
                <w:rFonts w:ascii="Arial" w:cs="Arial" w:eastAsia="Arial" w:hAnsi="Arial"/>
                <w:b w:val="1"/>
                <w:bCs w:val="1"/>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Arimo" w:cs="Arimo" w:eastAsia="Arimo" w:hAnsi="Arimo"/>
              </w:rPr>
            </w:pPr>
            <w:r w:rsidDel="00000000" w:rsidR="00000000" w:rsidRPr="00000000">
              <w:rPr>
                <w:rFonts w:ascii="Arial" w:cs="Arial" w:eastAsia="Arial" w:hAnsi="Arial"/>
                <w:b w:val="1"/>
                <w:bCs w:val="1"/>
                <w:color w:val="000000"/>
                <w:rtl w:val="0"/>
              </w:rPr>
              <w:t xml:space="preserve">Results: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111111"/>
                <w:rtl w:val="0"/>
              </w:rPr>
              <w:t xml:space="preserve">The findings revealed that the majority of respondents frequently used Quizlet (80.9%) and Gizmo (49.5%).</w:t>
            </w:r>
            <w:r w:rsidDel="00000000" w:rsidR="00000000" w:rsidRPr="00000000">
              <w:rPr>
                <w:rFonts w:ascii="Arial Unicode MS" w:cs="Arial Unicode MS" w:eastAsia="Arial Unicode MS" w:hAnsi="Arial Unicode MS"/>
                <w:color w:val="000000"/>
                <w:rtl w:val="0"/>
              </w:rPr>
              <w:t xml:space="preserve">Student nurses demonstrated high overall gamification engagement (M = 2.82), with emotional engagement scoring the highest (M = 2.85) and behavioral engagement the lowest (M = 2.74). Critical thinking skills were predominantly at an average level (49.2%), with 48.3% demonstrating high levels and 2.5% low levels; among the domains, analyzing scored highest (M = 3.78) and creating lowest (M = 3.30). Correlation analysis showed no significant relationship between overall gamification engagement and critical thinking skills (rs = −0.07, P = 0.24), although weak positive associations were observed in analyzing, evaluating, remembering, and understanding domains.Thus, the overall null hypothesis is accepted, while it is rejected only for the specific domains where significant correlations were observed. </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Arial" w:cs="Arial" w:eastAsia="Arial" w:hAnsi="Arial"/>
                <w:color w:val="111111"/>
              </w:rPr>
            </w:pPr>
            <w:r w:rsidDel="00000000" w:rsidR="00000000" w:rsidRPr="00000000">
              <w:rPr>
                <w:rFonts w:ascii="Arial" w:cs="Arial" w:eastAsia="Arial" w:hAnsi="Arial"/>
                <w:b w:val="1"/>
                <w:bCs w:val="1"/>
                <w:color w:val="000000"/>
                <w:rtl w:val="0"/>
              </w:rPr>
              <w:t xml:space="preserve">Conclusion:</w:t>
            </w:r>
            <w:r w:rsidDel="00000000" w:rsidR="00000000" w:rsidRPr="00000000">
              <w:rPr>
                <w:rFonts w:ascii="Arial" w:cs="Arial" w:eastAsia="Arial" w:hAnsi="Arial"/>
                <w:color w:val="111111"/>
                <w:rtl w:val="0"/>
              </w:rPr>
              <w:t xml:space="preserve">Nursing students demonstrated high engagement in gamified learning and satisfactory critical thinking skills. Despite weak positive correlations in some domains, no significant relationship was found between gamification engagement and critical thinking, suggesting that other instructional and learner-related factors may influence critical thinking development.</w:t>
            </w:r>
          </w:p>
        </w:tc>
      </w:tr>
    </w:tbl>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Arial" w:cs="Arial" w:eastAsia="Arial" w:hAnsi="Arial"/>
          <w:i w:val="1"/>
          <w:iCs w:val="1"/>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Arial" w:cs="Arial" w:eastAsia="Arial" w:hAnsi="Arial"/>
          <w:i w:val="1"/>
          <w:iCs w:val="1"/>
          <w:color w:val="000000"/>
        </w:rPr>
      </w:pPr>
      <w:r w:rsidDel="00000000" w:rsidR="00000000" w:rsidRPr="00000000">
        <w:rPr>
          <w:rFonts w:ascii="Arial" w:cs="Arial" w:eastAsia="Arial" w:hAnsi="Arial"/>
          <w:i w:val="1"/>
          <w:iCs w:val="1"/>
          <w:color w:val="000000"/>
          <w:rtl w:val="0"/>
        </w:rPr>
        <w:t xml:space="preserve">Keywords: </w:t>
      </w:r>
      <w:r w:rsidDel="00000000" w:rsidR="00000000" w:rsidRPr="00000000">
        <w:rPr>
          <w:rFonts w:ascii="Arial" w:cs="Arial" w:eastAsia="Arial" w:hAnsi="Arial"/>
          <w:i w:val="1"/>
          <w:iCs w:val="1"/>
          <w:rtl w:val="0"/>
        </w:rPr>
        <w:t xml:space="preserve">gamification engagement, critical thinking skills, student nurses, gamified learning</w:t>
      </w:r>
      <w:r w:rsidDel="00000000" w:rsidR="00000000" w:rsidRPr="00000000">
        <w:rPr>
          <w:rtl w:val="0"/>
        </w:rPr>
      </w:r>
    </w:p>
    <w:p w:rsidR="00000000" w:rsidDel="00000000" w:rsidP="00000000" w:rsidRDefault="00000000" w:rsidRPr="00000000" w14:paraId="00000016">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Fonts w:ascii="Arial" w:cs="Arial" w:eastAsia="Arial" w:hAnsi="Arial"/>
          <w:b w:val="1"/>
          <w:bCs w:val="1"/>
          <w:smallCaps w:val="1"/>
          <w:color w:val="000000"/>
          <w:sz w:val="22"/>
          <w:szCs w:val="22"/>
          <w:rtl w:val="0"/>
        </w:rPr>
        <w:t xml:space="preserve">1. </w:t>
      </w:r>
      <w:r w:rsidDel="00000000" w:rsidR="00000000" w:rsidRPr="00000000">
        <w:rPr>
          <w:rFonts w:ascii="Arial" w:cs="Arial" w:eastAsia="Arial" w:hAnsi="Arial"/>
          <w:b w:val="1"/>
          <w:bCs w:val="1"/>
          <w:sz w:val="22"/>
          <w:szCs w:val="22"/>
          <w:rtl w:val="0"/>
        </w:rPr>
        <w:t xml:space="preserve">Introduction </w:t>
      </w:r>
      <w:r w:rsidDel="00000000" w:rsidR="00000000" w:rsidRPr="00000000">
        <w:rPr>
          <w:rtl w:val="0"/>
        </w:rPr>
      </w:r>
    </w:p>
    <w:p w:rsidR="00000000" w:rsidDel="00000000" w:rsidP="00000000" w:rsidRDefault="00000000" w:rsidRPr="00000000" w14:paraId="00000017">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COVID-19 pandemic caused a rapid shift from traditional to online learning, leading to decreased student engagement, motivation, and critical thinking (Dhawan, 2020). This transition exposed long-standing issues in nursing education, particularly the reliance on passive, memorization-based learning that inadequately prepares students for real-world clinical decision-making. As a result, students may perform well in written examinations but struggle in unfamiliar clinical situations requiring rapid judgment and prioritization, raising concerns about clinical competence, patient safety, and readiness for professional practice (Tambunan, 2024). In response, more interactive and student-centered approaches are needed, and gamification—defined as the integration of game elements into learning—has emerged as a promising strategy to enhance engagement, motivation, and knowledge retention (Capatina et al., 2024; Zeng et al., 2024). </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Gamification is a promising strategy for enhancing student engagement by providing an interactive, game-based learning environment (Othman &amp; Ching, 2024). In support of this, studies on the use of board games in science education have demonstrated that such approaches can improve both student engagement and understanding of complex concepts. Similarly, gamified pedagogies in nursing education have been associated with increased active participation, social interaction, and peer collaboration, particularly when implemented through team-based activities (Del Pozo-Herce et al., 2025). Despite these advantages, gamification remains an evolving instructional approach, and further research is needed to optimize its design and to better understand its impact on student engagement across diverse learning contexts (Ortiz-Rojas et al., 2025).</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Gamification approaches in nursing education involve interactive, simulated clinical scenarios that mirror real patient cases, enabling students to perform tasks, receive immediate feedback, and progress through structured levels with incentives, thereby enhancing engagement, motivation, knowledge retention, and confidence in clinical performance (Freeman et al., 2024). It also promotes collaboration and problem-solving skills, although its effectiveness may vary depending on learner differences and instructional design (Dah, 2024; Sarker et al., 2021; Van Gaalen et al., 2021)..</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Studies show that gamification can improve academic performance, engagement, and learning outcomes, with meta-analyses indicating strong effects on knowledge acquisition and moderate effects on skill development (Nylén-Eriksen et al., 2025). At the national and local levels, it has been found to enhance motivation, participation, and confidence among nursing students (Pangandaman et al., 2025; Lebuna et al., 2022), supporting the goals of the United Nations Sustainable Development Goal 4 and aligning with initiatives of the Department of Education (Department of Education, 2020). However, despite these benefits, limited evidence exists on its effectiveness in developing higher-order cognitive skills, particularly critical thinking, as most studies focus on short-term outcomes. Therefore, this study aims to examine the relationship between engagement in gamification and critical thinking among nursing students in a private institution in Iloilo City, providing localized evidence to support more effective and innovative nursing education practices.</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This study is subject to several limitations. First, the sample was limited to nursing students from a single private college in Iloilo City, which may restrict the generalizability of the findings to other academic settings. Additionally, only students from first-year to fourth-year levels who had prior exposure to gamified learning strategies were included, which may not fully represent all nursing students. Second, the use of a descriptive-correlational design limits the ability to establish causal relationships between gamification engagement and critical thinking skills. Third, the study relied on self-reported data, which may introduce response bias and affect the accuracy of the results. Moreover, the relatively small sample size may limit the strength and generalizability of the findings. Lastly, data collection was conducted within a limited time frame from January to February 2026, which may not adequately capture changes in engagement and critical thinking over time. Future research is recommended to involve larger and more diverse populations, utilize longitudinal or experimental designs, and include additional variables to provide a more comprehensive understanding of the effects of gamification in nursing education.</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Based on the statements, the null hypothesis will be tested: There is no significant relationship between the gamification engagement and critical thinking skills among student nurses.</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4">
      <w:pPr>
        <w:keepNext w:val="1"/>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Fonts w:ascii="Arial" w:cs="Arial" w:eastAsia="Arial" w:hAnsi="Arial"/>
          <w:b w:val="1"/>
          <w:bCs w:val="1"/>
          <w:smallCaps w:val="1"/>
          <w:color w:val="000000"/>
          <w:sz w:val="22"/>
          <w:szCs w:val="22"/>
          <w:rtl w:val="0"/>
        </w:rPr>
        <w:t xml:space="preserve">2. </w:t>
      </w:r>
      <w:r w:rsidDel="00000000" w:rsidR="00000000" w:rsidRPr="00000000">
        <w:rPr>
          <w:rFonts w:ascii="Arial" w:cs="Arial" w:eastAsia="Arial" w:hAnsi="Arial"/>
          <w:b w:val="1"/>
          <w:bCs w:val="1"/>
          <w:sz w:val="22"/>
          <w:szCs w:val="22"/>
          <w:rtl w:val="0"/>
        </w:rPr>
        <w:t xml:space="preserve">Materials and Methods </w:t>
      </w:r>
    </w:p>
    <w:p w:rsidR="00000000" w:rsidDel="00000000" w:rsidP="00000000" w:rsidRDefault="00000000" w:rsidRPr="00000000" w14:paraId="00000025">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rtl w:val="0"/>
        </w:rPr>
        <w:t xml:space="preserve">In this study, a descriptive correlational research design was utilized. Descriptive correlational research design outlined the variables and provided an evaluation of the strength of the relationship between them (Aprecia et al., 2022). It allowed researchers to measure these variables and to determine whether a statistically significant relationship was in existence.</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2.1 Research Locale and Participants</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Fonts w:ascii="Arial" w:cs="Arial" w:eastAsia="Arial" w:hAnsi="Arial"/>
          <w:rtl w:val="0"/>
        </w:rPr>
        <w:t xml:space="preserve">The study was conducted at a private college in Iloilo City. This institution provided an active learning environment that influenced students’ interaction with gamification and preconditioned the growth of their critical thinking abilities. The study population consisted of 2,078 first- to fourth-year Bachelor of Science in Nursing students enrolled in a selected private college in Iloilo City. Using the Raosoft sample size calculator with a 95% confidence level and a 5% margin of error, a minimum of 325 respondents was recommended. Stratified random sampling was used for this study to ensure that all subsets of naturally occurring subgroups, such as year levels, were fairly represented. The computed sample was then proportionally distributed across the year levels, resulting in 96 first-year, 80 second-year, 69 third-year, and 80 fourth-year respondents.</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2C">
      <w:pPr>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2.2 Instruments</w:t>
      </w:r>
    </w:p>
    <w:p w:rsidR="00000000" w:rsidDel="00000000" w:rsidP="00000000" w:rsidRDefault="00000000" w:rsidRPr="00000000" w14:paraId="0000002D">
      <w:pPr>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Data were collected using a research instrument composed of three parts. The first part consisted of the demographic profile of the student nurses. The second part included the Questionnaire on Gamification Engagement, which was developed by the researchers using a 4-point Likert scale. The third part was the Critical Thinking Questionnaire (CThQ): Construction and Application of a Critical Thinking Test Tool, adopted from Kobylarek, Ślósarz, and Błaszczyński (2022), which utilized a 5-point Likert scale.</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0">
      <w:pPr>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2.3 Data Collection</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Data were collected through an online survey questionnaire using Google Forms. The questionnaire included brief instructions and an informed consent form at the beginning, which respondents read before proceeding. The introduction also outlined the study’s purpose, risks and benefits, confidentiality, voluntary participation, and the right to withdraw at any time without penalty.</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4">
      <w:pPr>
        <w:jc w:val="both"/>
        <w:rPr>
          <w:rFonts w:ascii="Arial" w:cs="Arial" w:eastAsia="Arial" w:hAnsi="Arial"/>
          <w:b w:val="1"/>
          <w:bCs w:val="1"/>
          <w:smallCaps w:val="1"/>
        </w:rPr>
      </w:pPr>
      <w:r w:rsidDel="00000000" w:rsidR="00000000" w:rsidRPr="00000000">
        <w:rPr>
          <w:rFonts w:ascii="Arial" w:cs="Arial" w:eastAsia="Arial" w:hAnsi="Arial"/>
          <w:b w:val="1"/>
          <w:bCs w:val="1"/>
          <w:sz w:val="22"/>
          <w:szCs w:val="22"/>
          <w:rtl w:val="0"/>
        </w:rPr>
        <w:t xml:space="preserve">2.4 Data Analysis</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collected data were analyzed using appropriate statistical tools. Descriptive statistics, including frequency, percentage, mean, and standard deviation, were used to determine the levels of gamification engagement and critical thinking skills among student nurses. Inferential statistics, such as the Kolmogorov–Smirnov test and Spearman’s rank correlation, were also applied to assess data distribution and examine the relationship between variables.</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9">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sz w:val="22"/>
          <w:szCs w:val="22"/>
        </w:rPr>
      </w:pPr>
      <w:r w:rsidDel="00000000" w:rsidR="00000000" w:rsidRPr="00000000">
        <w:rPr>
          <w:rFonts w:ascii="Arial" w:cs="Arial" w:eastAsia="Arial" w:hAnsi="Arial"/>
          <w:b w:val="1"/>
          <w:bCs w:val="1"/>
          <w:smallCaps w:val="1"/>
          <w:color w:val="000000"/>
          <w:sz w:val="22"/>
          <w:szCs w:val="22"/>
          <w:rtl w:val="0"/>
        </w:rPr>
        <w:t xml:space="preserve">3. </w:t>
      </w:r>
      <w:r w:rsidDel="00000000" w:rsidR="00000000" w:rsidRPr="00000000">
        <w:rPr>
          <w:rFonts w:ascii="Arial" w:cs="Arial" w:eastAsia="Arial" w:hAnsi="Arial"/>
          <w:b w:val="1"/>
          <w:bCs w:val="1"/>
          <w:sz w:val="22"/>
          <w:szCs w:val="22"/>
          <w:rtl w:val="0"/>
        </w:rPr>
        <w:t xml:space="preserve">Results and Discussion</w:t>
      </w:r>
      <w:r w:rsidDel="00000000" w:rsidR="00000000" w:rsidRPr="00000000">
        <w:rPr>
          <w:rtl w:val="0"/>
        </w:rPr>
      </w:r>
    </w:p>
    <w:p w:rsidR="00000000" w:rsidDel="00000000" w:rsidP="00000000" w:rsidRDefault="00000000" w:rsidRPr="00000000" w14:paraId="0000003A">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sz w:val="22"/>
          <w:szCs w:val="2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left"/>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3.1 Descriptive Analysis </w:t>
      </w:r>
    </w:p>
    <w:p w:rsidR="00000000" w:rsidDel="00000000" w:rsidP="00000000" w:rsidRDefault="00000000" w:rsidRPr="00000000" w14:paraId="0000003C">
      <w:pPr>
        <w:pBdr>
          <w:top w:space="0" w:sz="0" w:val="nil"/>
          <w:left w:space="0" w:sz="0" w:val="nil"/>
          <w:bottom w:space="0" w:sz="0" w:val="nil"/>
          <w:right w:space="0" w:sz="0" w:val="nil"/>
          <w:between w:space="0" w:sz="0" w:val="nil"/>
        </w:pBdr>
        <w:jc w:val="left"/>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3.1.1 Profile of the Respondents</w:t>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0" w:firstLine="0"/>
        <w:jc w:val="both"/>
        <w:rPr>
          <w:rFonts w:ascii="Arial" w:cs="Arial" w:eastAsia="Arial" w:hAnsi="Arial"/>
        </w:rPr>
      </w:pPr>
      <w:r w:rsidDel="00000000" w:rsidR="00000000" w:rsidRPr="00000000">
        <w:rPr>
          <w:rFonts w:ascii="Arial" w:cs="Arial" w:eastAsia="Arial" w:hAnsi="Arial"/>
          <w:rtl w:val="0"/>
        </w:rPr>
        <w:t xml:space="preserve">Table 1 shows the profile of respondents by sex, year level, the type of gamification platforms used in learning. In terms of sex, the majority of the respondents were female (79.4%), while males comprised 20.6% of the sample. This indicates a higher proportion of female participants in the study.</w:t>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0" w:firstLine="0"/>
        <w:jc w:val="both"/>
        <w:rPr>
          <w:rFonts w:ascii="Arial" w:cs="Arial" w:eastAsia="Arial" w:hAnsi="Arial"/>
        </w:rPr>
      </w:pPr>
      <w:r w:rsidDel="00000000" w:rsidR="00000000" w:rsidRPr="00000000">
        <w:rPr>
          <w:rFonts w:ascii="Arial" w:cs="Arial" w:eastAsia="Arial" w:hAnsi="Arial"/>
          <w:rtl w:val="0"/>
        </w:rPr>
        <w:t xml:space="preserve">Regarding year level, the respondents were distributed across all four academic levels. Level 1 students represented the largest group (29.5%), followed by Level 2 and Level 4 students, each accounting for 24.6% of the respondents. Level 3 students comprised 21.2% of the total sample. The relatively balanced distribution across year levels suggests adequate representation of students at different stages of the nursing program.</w:t>
      </w:r>
    </w:p>
    <w:p w:rsidR="00000000" w:rsidDel="00000000" w:rsidP="00000000" w:rsidRDefault="00000000" w:rsidRPr="00000000" w14:paraId="00000042">
      <w:pPr>
        <w:pBdr>
          <w:top w:space="0" w:sz="0" w:val="nil"/>
          <w:left w:space="0" w:sz="0" w:val="nil"/>
          <w:bottom w:space="0" w:sz="0" w:val="nil"/>
          <w:right w:space="0" w:sz="0" w:val="nil"/>
          <w:between w:space="0" w:sz="0" w:val="nil"/>
        </w:pBd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0" w:firstLine="0"/>
        <w:jc w:val="both"/>
        <w:rPr>
          <w:rFonts w:ascii="Arial" w:cs="Arial" w:eastAsia="Arial" w:hAnsi="Arial"/>
        </w:rPr>
      </w:pPr>
      <w:r w:rsidDel="00000000" w:rsidR="00000000" w:rsidRPr="00000000">
        <w:rPr>
          <w:rFonts w:ascii="Arial" w:cs="Arial" w:eastAsia="Arial" w:hAnsi="Arial"/>
          <w:rtl w:val="0"/>
        </w:rPr>
        <w:t xml:space="preserve">With respect to the type of gamification used, Quizlet was the most commonly utilized platform, reported by 80.9% of the respondents. This was followed by Gizmo (49.5%). This indicates that students prefer accessible and user-friendly platforms. Other gamification tools, including Kahoot, Quizizz, Knowunity, and Brainscape, were less frequently used, while Massive Open Online Course (MOOCs) had the lowest utilization rate (1.2%). This suggests that students are familiar with gamified tools, but their exposure may be limited mainly to recall-based activities rather than higher-order critical thinking tasks. </w:t>
      </w:r>
    </w:p>
    <w:p w:rsidR="00000000" w:rsidDel="00000000" w:rsidP="00000000" w:rsidRDefault="00000000" w:rsidRPr="00000000" w14:paraId="00000044">
      <w:pPr>
        <w:pBdr>
          <w:top w:space="0" w:sz="0" w:val="nil"/>
          <w:left w:space="0" w:sz="0" w:val="nil"/>
          <w:bottom w:space="0" w:sz="0" w:val="nil"/>
          <w:right w:space="0" w:sz="0" w:val="nil"/>
          <w:between w:space="0" w:sz="0" w:val="nil"/>
        </w:pBd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0" w:firstLine="0"/>
        <w:jc w:val="both"/>
        <w:rPr>
          <w:rFonts w:ascii="Arial" w:cs="Arial" w:eastAsia="Arial" w:hAnsi="Arial"/>
        </w:rPr>
      </w:pPr>
      <w:r w:rsidDel="00000000" w:rsidR="00000000" w:rsidRPr="00000000">
        <w:rPr>
          <w:rFonts w:ascii="Arial" w:cs="Arial" w:eastAsia="Arial" w:hAnsi="Arial"/>
          <w:rtl w:val="0"/>
        </w:rPr>
        <w:t xml:space="preserve">Overall, the data indicate a strong preference for certain gamified learning platforms, particularly Quizlet, among the respondents. The institution may implement a structured and diversified gamification strategy across year levels, ensuring alignment with nursing competencies and the intentional integration of case-based and higher-order thinking activities to strengthen critical thinking development. Table 1 shows the data.</w:t>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rFonts w:ascii="Arial" w:cs="Arial" w:eastAsia="Arial" w:hAnsi="Arial"/>
          <w:b w:val="1"/>
          <w:bCs w:val="1"/>
        </w:rPr>
      </w:pPr>
      <w:r w:rsidDel="00000000" w:rsidR="00000000" w:rsidRPr="00000000">
        <w:rPr>
          <w:rFonts w:ascii="Arial" w:cs="Arial" w:eastAsia="Arial" w:hAnsi="Arial"/>
          <w:b w:val="1"/>
          <w:bCs w:val="1"/>
          <w:rtl w:val="0"/>
        </w:rPr>
        <w:t xml:space="preserve">Table 1.Distribution of respondents according to sex, year level, and the type of gamification platforms used in learning. (n = 325)</w:t>
      </w:r>
    </w:p>
    <w:p w:rsidR="00000000" w:rsidDel="00000000" w:rsidP="00000000" w:rsidRDefault="00000000" w:rsidRPr="00000000" w14:paraId="00000048">
      <w:pPr>
        <w:jc w:val="both"/>
        <w:rPr>
          <w:rFonts w:ascii="Arial" w:cs="Arial" w:eastAsia="Arial" w:hAnsi="Arial"/>
          <w:b w:val="1"/>
          <w:bCs w:val="1"/>
        </w:rPr>
      </w:pPr>
      <w:r w:rsidDel="00000000" w:rsidR="00000000" w:rsidRPr="00000000">
        <w:rPr>
          <w:rtl w:val="0"/>
        </w:rPr>
      </w:r>
    </w:p>
    <w:tbl>
      <w:tblPr>
        <w:tblStyle w:val="Table2"/>
        <w:tblW w:w="8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90"/>
        <w:gridCol w:w="1172"/>
        <w:gridCol w:w="946"/>
        <w:tblGridChange w:id="0">
          <w:tblGrid>
            <w:gridCol w:w="6090"/>
            <w:gridCol w:w="1172"/>
            <w:gridCol w:w="946"/>
          </w:tblGrid>
        </w:tblGridChange>
      </w:tblGrid>
      <w:tr>
        <w:trPr>
          <w:cantSplit w:val="0"/>
          <w:tblHeader w:val="0"/>
        </w:trPr>
        <w:tc>
          <w:tcPr>
            <w:tcBorders>
              <w:top w:color="000000" w:space="0" w:sz="6" w:val="single"/>
              <w:left w:color="ffffff" w:space="0" w:sz="6" w:val="single"/>
              <w:bottom w:color="000000"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49">
            <w:pPr>
              <w:jc w:val="left"/>
              <w:rPr>
                <w:rFonts w:ascii="Arial" w:cs="Arial" w:eastAsia="Arial" w:hAnsi="Arial"/>
              </w:rPr>
            </w:pPr>
            <w:r w:rsidDel="00000000" w:rsidR="00000000" w:rsidRPr="00000000">
              <w:rPr>
                <w:rFonts w:ascii="Arial" w:cs="Arial" w:eastAsia="Arial" w:hAnsi="Arial"/>
                <w:rtl w:val="0"/>
              </w:rPr>
              <w:t xml:space="preserve">Sex</w:t>
            </w:r>
          </w:p>
        </w:tc>
        <w:tc>
          <w:tcPr>
            <w:tcBorders>
              <w:top w:color="000000" w:space="0" w:sz="6" w:val="single"/>
              <w:left w:color="000000" w:space="0" w:sz="0" w:val="nil"/>
              <w:bottom w:color="000000"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4A">
            <w:pPr>
              <w:jc w:val="center"/>
              <w:rPr>
                <w:rFonts w:ascii="Arial" w:cs="Arial" w:eastAsia="Arial" w:hAnsi="Arial"/>
                <w:b w:val="1"/>
                <w:bCs w:val="1"/>
                <w:i w:val="1"/>
                <w:iCs w:val="1"/>
              </w:rPr>
            </w:pPr>
            <w:r w:rsidDel="00000000" w:rsidR="00000000" w:rsidRPr="00000000">
              <w:rPr>
                <w:rFonts w:ascii="Arial" w:cs="Arial" w:eastAsia="Arial" w:hAnsi="Arial"/>
                <w:b w:val="1"/>
                <w:bCs w:val="1"/>
                <w:i w:val="1"/>
                <w:iCs w:val="1"/>
                <w:rtl w:val="0"/>
              </w:rPr>
              <w:t xml:space="preserve">f</w:t>
            </w:r>
          </w:p>
        </w:tc>
        <w:tc>
          <w:tcPr>
            <w:tcBorders>
              <w:top w:color="000000" w:space="0" w:sz="6" w:val="single"/>
              <w:left w:color="000000" w:space="0" w:sz="0" w:val="nil"/>
              <w:bottom w:color="000000"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4B">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w:t>
            </w:r>
          </w:p>
        </w:tc>
      </w:tr>
      <w:tr>
        <w:trPr>
          <w:cantSplit w:val="0"/>
          <w:tblHeader w:val="0"/>
        </w:trPr>
        <w:tc>
          <w:tcPr>
            <w:tcBorders>
              <w:top w:color="000000" w:space="0" w:sz="0" w:val="nil"/>
              <w:left w:color="ffffff"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4C">
            <w:pPr>
              <w:jc w:val="both"/>
              <w:rPr>
                <w:rFonts w:ascii="Arial" w:cs="Arial" w:eastAsia="Arial" w:hAnsi="Arial"/>
              </w:rPr>
            </w:pPr>
            <w:r w:rsidDel="00000000" w:rsidR="00000000" w:rsidRPr="00000000">
              <w:rPr>
                <w:rFonts w:ascii="Arial" w:cs="Arial" w:eastAsia="Arial" w:hAnsi="Arial"/>
                <w:rtl w:val="0"/>
              </w:rPr>
              <w:t xml:space="preserve">Male</w:t>
            </w:r>
          </w:p>
        </w:tc>
        <w:tc>
          <w:tcPr>
            <w:tcBorders>
              <w:top w:color="000000" w:space="0" w:sz="0" w:val="nil"/>
              <w:left w:color="000000" w:space="0" w:sz="0" w:val="nil"/>
              <w:right w:color="ffffff" w:space="0" w:sz="6" w:val="single"/>
            </w:tcBorders>
            <w:tcMar>
              <w:top w:w="0.0" w:type="dxa"/>
              <w:left w:w="0.0" w:type="dxa"/>
              <w:bottom w:w="0.0" w:type="dxa"/>
              <w:right w:w="0.0" w:type="dxa"/>
            </w:tcMar>
          </w:tcPr>
          <w:p w:rsidR="00000000" w:rsidDel="00000000" w:rsidP="00000000" w:rsidRDefault="00000000" w:rsidRPr="00000000" w14:paraId="0000004D">
            <w:pPr>
              <w:jc w:val="center"/>
              <w:rPr>
                <w:rFonts w:ascii="Arial" w:cs="Arial" w:eastAsia="Arial" w:hAnsi="Arial"/>
              </w:rPr>
            </w:pPr>
            <w:r w:rsidDel="00000000" w:rsidR="00000000" w:rsidRPr="00000000">
              <w:rPr>
                <w:rFonts w:ascii="Arial" w:cs="Arial" w:eastAsia="Arial" w:hAnsi="Arial"/>
                <w:rtl w:val="0"/>
              </w:rPr>
              <w:t xml:space="preserve">67</w:t>
            </w:r>
          </w:p>
        </w:tc>
        <w:tc>
          <w:tcPr>
            <w:tcBorders>
              <w:top w:color="000000" w:space="0" w:sz="0" w:val="nil"/>
              <w:left w:color="000000" w:space="0" w:sz="0" w:val="nil"/>
              <w:right w:color="ffffff" w:space="0" w:sz="6" w:val="single"/>
            </w:tcBorders>
            <w:tcMar>
              <w:top w:w="0.0" w:type="dxa"/>
              <w:left w:w="0.0" w:type="dxa"/>
              <w:bottom w:w="0.0" w:type="dxa"/>
              <w:right w:w="0.0" w:type="dxa"/>
            </w:tcMar>
          </w:tcPr>
          <w:p w:rsidR="00000000" w:rsidDel="00000000" w:rsidP="00000000" w:rsidRDefault="00000000" w:rsidRPr="00000000" w14:paraId="0000004E">
            <w:pPr>
              <w:jc w:val="center"/>
              <w:rPr>
                <w:rFonts w:ascii="Arial" w:cs="Arial" w:eastAsia="Arial" w:hAnsi="Arial"/>
              </w:rPr>
            </w:pPr>
            <w:r w:rsidDel="00000000" w:rsidR="00000000" w:rsidRPr="00000000">
              <w:rPr>
                <w:rFonts w:ascii="Arial" w:cs="Arial" w:eastAsia="Arial" w:hAnsi="Arial"/>
                <w:rtl w:val="0"/>
              </w:rPr>
              <w:t xml:space="preserve">20.6</w:t>
            </w:r>
          </w:p>
        </w:tc>
      </w:tr>
      <w:tr>
        <w:trPr>
          <w:cantSplit w:val="0"/>
          <w:tblHeader w:val="0"/>
        </w:trPr>
        <w:tc>
          <w:tcPr>
            <w:tcBorders>
              <w:left w:color="ffffff" w:space="0" w:sz="6" w:val="single"/>
              <w:bottom w:color="000000"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4F">
            <w:pPr>
              <w:jc w:val="both"/>
              <w:rPr>
                <w:rFonts w:ascii="Arial" w:cs="Arial" w:eastAsia="Arial" w:hAnsi="Arial"/>
              </w:rPr>
            </w:pPr>
            <w:r w:rsidDel="00000000" w:rsidR="00000000" w:rsidRPr="00000000">
              <w:rPr>
                <w:rFonts w:ascii="Arial" w:cs="Arial" w:eastAsia="Arial" w:hAnsi="Arial"/>
                <w:rtl w:val="0"/>
              </w:rPr>
              <w:t xml:space="preserve">Female</w:t>
            </w:r>
          </w:p>
        </w:tc>
        <w:tc>
          <w:tcPr>
            <w:tcBorders>
              <w:left w:color="000000" w:space="0" w:sz="0" w:val="nil"/>
              <w:bottom w:color="000000"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50">
            <w:pPr>
              <w:jc w:val="center"/>
              <w:rPr>
                <w:rFonts w:ascii="Arial" w:cs="Arial" w:eastAsia="Arial" w:hAnsi="Arial"/>
              </w:rPr>
            </w:pPr>
            <w:r w:rsidDel="00000000" w:rsidR="00000000" w:rsidRPr="00000000">
              <w:rPr>
                <w:rFonts w:ascii="Arial" w:cs="Arial" w:eastAsia="Arial" w:hAnsi="Arial"/>
                <w:rtl w:val="0"/>
              </w:rPr>
              <w:t xml:space="preserve">258</w:t>
            </w:r>
          </w:p>
        </w:tc>
        <w:tc>
          <w:tcPr>
            <w:tcBorders>
              <w:left w:color="000000" w:space="0" w:sz="0" w:val="nil"/>
              <w:bottom w:color="000000"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51">
            <w:pPr>
              <w:jc w:val="center"/>
              <w:rPr>
                <w:rFonts w:ascii="Arial" w:cs="Arial" w:eastAsia="Arial" w:hAnsi="Arial"/>
              </w:rPr>
            </w:pPr>
            <w:r w:rsidDel="00000000" w:rsidR="00000000" w:rsidRPr="00000000">
              <w:rPr>
                <w:rFonts w:ascii="Arial" w:cs="Arial" w:eastAsia="Arial" w:hAnsi="Arial"/>
                <w:rtl w:val="0"/>
              </w:rPr>
              <w:t xml:space="preserve">79.4</w:t>
            </w:r>
          </w:p>
        </w:tc>
      </w:tr>
      <w:tr>
        <w:trPr>
          <w:cantSplit w:val="0"/>
          <w:trHeight w:val="112.5" w:hRule="atLeast"/>
          <w:tblHeader w:val="0"/>
        </w:trPr>
        <w:tc>
          <w:tcPr>
            <w:tcBorders>
              <w:top w:color="000000" w:space="0" w:sz="0" w:val="nil"/>
              <w:left w:color="ffffff"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52">
            <w:pPr>
              <w:jc w:val="left"/>
              <w:rPr>
                <w:rFonts w:ascii="Arial" w:cs="Arial" w:eastAsia="Arial" w:hAnsi="Arial"/>
              </w:rPr>
            </w:pPr>
            <w:r w:rsidDel="00000000" w:rsidR="00000000" w:rsidRPr="00000000">
              <w:rPr>
                <w:rFonts w:ascii="Arial" w:cs="Arial" w:eastAsia="Arial" w:hAnsi="Arial"/>
                <w:rtl w:val="0"/>
              </w:rPr>
              <w:t xml:space="preserve">Year Level</w:t>
            </w:r>
          </w:p>
        </w:tc>
        <w:tc>
          <w:tcPr>
            <w:tcBorders>
              <w:top w:color="000000" w:space="0" w:sz="0" w:val="nil"/>
              <w:left w:color="000000" w:space="0" w:sz="0" w:val="nil"/>
              <w:right w:color="ffffff" w:space="0" w:sz="6" w:val="single"/>
            </w:tcBorders>
            <w:tcMar>
              <w:top w:w="0.0" w:type="dxa"/>
              <w:left w:w="0.0" w:type="dxa"/>
              <w:bottom w:w="0.0" w:type="dxa"/>
              <w:right w:w="0.0" w:type="dxa"/>
            </w:tcMar>
          </w:tcPr>
          <w:p w:rsidR="00000000" w:rsidDel="00000000" w:rsidP="00000000" w:rsidRDefault="00000000" w:rsidRPr="00000000" w14:paraId="00000053">
            <w:pPr>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right w:color="ffffff" w:space="0" w:sz="6" w:val="single"/>
            </w:tcBorders>
            <w:tcMar>
              <w:top w:w="0.0" w:type="dxa"/>
              <w:left w:w="0.0" w:type="dxa"/>
              <w:bottom w:w="0.0" w:type="dxa"/>
              <w:right w:w="0.0" w:type="dxa"/>
            </w:tcMar>
          </w:tcPr>
          <w:p w:rsidR="00000000" w:rsidDel="00000000" w:rsidP="00000000" w:rsidRDefault="00000000" w:rsidRPr="00000000" w14:paraId="00000054">
            <w:pPr>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112.5" w:hRule="atLeast"/>
          <w:tblHeader w:val="0"/>
        </w:trPr>
        <w:tc>
          <w:tcPr>
            <w:tcBorders>
              <w:left w:color="ffffff" w:space="0" w:sz="6" w:val="single"/>
              <w:bottom w:color="ffffff"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55">
            <w:pPr>
              <w:jc w:val="both"/>
              <w:rPr>
                <w:rFonts w:ascii="Arial" w:cs="Arial" w:eastAsia="Arial" w:hAnsi="Arial"/>
              </w:rPr>
            </w:pPr>
            <w:r w:rsidDel="00000000" w:rsidR="00000000" w:rsidRPr="00000000">
              <w:rPr>
                <w:rFonts w:ascii="Arial" w:cs="Arial" w:eastAsia="Arial" w:hAnsi="Arial"/>
                <w:rtl w:val="0"/>
              </w:rPr>
              <w:t xml:space="preserve">Level 1</w:t>
            </w:r>
          </w:p>
        </w:tc>
        <w:tc>
          <w:tcPr>
            <w:tcBorders>
              <w:left w:color="000000" w:space="0" w:sz="0" w:val="nil"/>
              <w:bottom w:color="ffffff"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56">
            <w:pPr>
              <w:jc w:val="center"/>
              <w:rPr>
                <w:rFonts w:ascii="Arial" w:cs="Arial" w:eastAsia="Arial" w:hAnsi="Arial"/>
              </w:rPr>
            </w:pPr>
            <w:r w:rsidDel="00000000" w:rsidR="00000000" w:rsidRPr="00000000">
              <w:rPr>
                <w:rFonts w:ascii="Arial" w:cs="Arial" w:eastAsia="Arial" w:hAnsi="Arial"/>
                <w:rtl w:val="0"/>
              </w:rPr>
              <w:t xml:space="preserve">96</w:t>
            </w:r>
          </w:p>
        </w:tc>
        <w:tc>
          <w:tcPr>
            <w:tcBorders>
              <w:left w:color="000000" w:space="0" w:sz="0" w:val="nil"/>
              <w:bottom w:color="ffffff"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57">
            <w:pPr>
              <w:jc w:val="center"/>
              <w:rPr>
                <w:rFonts w:ascii="Arial" w:cs="Arial" w:eastAsia="Arial" w:hAnsi="Arial"/>
              </w:rPr>
            </w:pPr>
            <w:r w:rsidDel="00000000" w:rsidR="00000000" w:rsidRPr="00000000">
              <w:rPr>
                <w:rFonts w:ascii="Arial" w:cs="Arial" w:eastAsia="Arial" w:hAnsi="Arial"/>
                <w:rtl w:val="0"/>
              </w:rPr>
              <w:t xml:space="preserve">29.5</w:t>
            </w:r>
          </w:p>
        </w:tc>
      </w:tr>
      <w:tr>
        <w:trPr>
          <w:cantSplit w:val="0"/>
          <w:trHeight w:val="112.5" w:hRule="atLeast"/>
          <w:tblHeader w:val="0"/>
        </w:trPr>
        <w:tc>
          <w:tcPr>
            <w:tcBorders>
              <w:top w:color="000000" w:space="0" w:sz="0" w:val="nil"/>
              <w:left w:color="ffffff" w:space="0" w:sz="6" w:val="single"/>
              <w:bottom w:color="ffffff"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58">
            <w:pPr>
              <w:jc w:val="both"/>
              <w:rPr>
                <w:rFonts w:ascii="Arial" w:cs="Arial" w:eastAsia="Arial" w:hAnsi="Arial"/>
              </w:rPr>
            </w:pPr>
            <w:r w:rsidDel="00000000" w:rsidR="00000000" w:rsidRPr="00000000">
              <w:rPr>
                <w:rFonts w:ascii="Arial" w:cs="Arial" w:eastAsia="Arial" w:hAnsi="Arial"/>
                <w:rtl w:val="0"/>
              </w:rPr>
              <w:t xml:space="preserve">Level 2</w:t>
            </w:r>
          </w:p>
        </w:tc>
        <w:tc>
          <w:tcPr>
            <w:tcBorders>
              <w:top w:color="000000" w:space="0" w:sz="0" w:val="nil"/>
              <w:left w:color="000000" w:space="0" w:sz="0" w:val="nil"/>
              <w:bottom w:color="ffffff"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59">
            <w:pPr>
              <w:jc w:val="center"/>
              <w:rPr>
                <w:rFonts w:ascii="Arial" w:cs="Arial" w:eastAsia="Arial" w:hAnsi="Arial"/>
              </w:rPr>
            </w:pPr>
            <w:r w:rsidDel="00000000" w:rsidR="00000000" w:rsidRPr="00000000">
              <w:rPr>
                <w:rFonts w:ascii="Arial" w:cs="Arial" w:eastAsia="Arial" w:hAnsi="Arial"/>
                <w:rtl w:val="0"/>
              </w:rPr>
              <w:t xml:space="preserve">80</w:t>
            </w:r>
          </w:p>
        </w:tc>
        <w:tc>
          <w:tcPr>
            <w:tcBorders>
              <w:top w:color="000000" w:space="0" w:sz="0" w:val="nil"/>
              <w:left w:color="000000" w:space="0" w:sz="0" w:val="nil"/>
              <w:bottom w:color="ffffff"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5A">
            <w:pPr>
              <w:jc w:val="center"/>
              <w:rPr>
                <w:rFonts w:ascii="Arial" w:cs="Arial" w:eastAsia="Arial" w:hAnsi="Arial"/>
              </w:rPr>
            </w:pPr>
            <w:r w:rsidDel="00000000" w:rsidR="00000000" w:rsidRPr="00000000">
              <w:rPr>
                <w:rFonts w:ascii="Arial" w:cs="Arial" w:eastAsia="Arial" w:hAnsi="Arial"/>
                <w:rtl w:val="0"/>
              </w:rPr>
              <w:t xml:space="preserve">24.6</w:t>
            </w:r>
          </w:p>
        </w:tc>
      </w:tr>
      <w:tr>
        <w:trPr>
          <w:cantSplit w:val="0"/>
          <w:tblHeader w:val="0"/>
        </w:trPr>
        <w:tc>
          <w:tcPr>
            <w:tcBorders>
              <w:top w:color="000000" w:space="0" w:sz="0" w:val="nil"/>
              <w:left w:color="ffffff" w:space="0" w:sz="6" w:val="single"/>
              <w:bottom w:color="ffffff"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5B">
            <w:pPr>
              <w:jc w:val="both"/>
              <w:rPr>
                <w:rFonts w:ascii="Arial" w:cs="Arial" w:eastAsia="Arial" w:hAnsi="Arial"/>
              </w:rPr>
            </w:pPr>
            <w:r w:rsidDel="00000000" w:rsidR="00000000" w:rsidRPr="00000000">
              <w:rPr>
                <w:rFonts w:ascii="Arial" w:cs="Arial" w:eastAsia="Arial" w:hAnsi="Arial"/>
                <w:rtl w:val="0"/>
              </w:rPr>
              <w:t xml:space="preserve">Level 3</w:t>
            </w:r>
          </w:p>
        </w:tc>
        <w:tc>
          <w:tcPr>
            <w:tcBorders>
              <w:top w:color="000000" w:space="0" w:sz="0" w:val="nil"/>
              <w:left w:color="000000" w:space="0" w:sz="0" w:val="nil"/>
              <w:bottom w:color="ffffff"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5C">
            <w:pPr>
              <w:jc w:val="center"/>
              <w:rPr>
                <w:rFonts w:ascii="Arial" w:cs="Arial" w:eastAsia="Arial" w:hAnsi="Arial"/>
              </w:rPr>
            </w:pPr>
            <w:r w:rsidDel="00000000" w:rsidR="00000000" w:rsidRPr="00000000">
              <w:rPr>
                <w:rFonts w:ascii="Arial" w:cs="Arial" w:eastAsia="Arial" w:hAnsi="Arial"/>
                <w:rtl w:val="0"/>
              </w:rPr>
              <w:t xml:space="preserve">69</w:t>
            </w:r>
          </w:p>
        </w:tc>
        <w:tc>
          <w:tcPr>
            <w:tcBorders>
              <w:top w:color="000000" w:space="0" w:sz="0" w:val="nil"/>
              <w:left w:color="000000" w:space="0" w:sz="0" w:val="nil"/>
              <w:bottom w:color="ffffff"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5D">
            <w:pPr>
              <w:jc w:val="center"/>
              <w:rPr>
                <w:rFonts w:ascii="Arial" w:cs="Arial" w:eastAsia="Arial" w:hAnsi="Arial"/>
              </w:rPr>
            </w:pPr>
            <w:r w:rsidDel="00000000" w:rsidR="00000000" w:rsidRPr="00000000">
              <w:rPr>
                <w:rFonts w:ascii="Arial" w:cs="Arial" w:eastAsia="Arial" w:hAnsi="Arial"/>
                <w:rtl w:val="0"/>
              </w:rPr>
              <w:t xml:space="preserve">21.2</w:t>
            </w:r>
          </w:p>
        </w:tc>
      </w:tr>
      <w:tr>
        <w:trPr>
          <w:cantSplit w:val="0"/>
          <w:tblHeader w:val="0"/>
        </w:trPr>
        <w:tc>
          <w:tcPr>
            <w:tcBorders>
              <w:top w:color="000000" w:space="0" w:sz="0" w:val="nil"/>
              <w:left w:color="ffffff"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5E">
            <w:pPr>
              <w:jc w:val="both"/>
              <w:rPr>
                <w:rFonts w:ascii="Arial" w:cs="Arial" w:eastAsia="Arial" w:hAnsi="Arial"/>
              </w:rPr>
            </w:pPr>
            <w:r w:rsidDel="00000000" w:rsidR="00000000" w:rsidRPr="00000000">
              <w:rPr>
                <w:rFonts w:ascii="Arial" w:cs="Arial" w:eastAsia="Arial" w:hAnsi="Arial"/>
                <w:rtl w:val="0"/>
              </w:rPr>
              <w:t xml:space="preserve">Level 4</w:t>
            </w:r>
          </w:p>
        </w:tc>
        <w:tc>
          <w:tcPr>
            <w:tcBorders>
              <w:top w:color="000000" w:space="0" w:sz="0" w:val="nil"/>
              <w:left w:color="000000" w:space="0" w:sz="0" w:val="nil"/>
              <w:right w:color="ffffff" w:space="0" w:sz="6" w:val="single"/>
            </w:tcBorders>
            <w:tcMar>
              <w:top w:w="0.0" w:type="dxa"/>
              <w:left w:w="0.0" w:type="dxa"/>
              <w:bottom w:w="0.0" w:type="dxa"/>
              <w:right w:w="0.0" w:type="dxa"/>
            </w:tcMar>
          </w:tcPr>
          <w:p w:rsidR="00000000" w:rsidDel="00000000" w:rsidP="00000000" w:rsidRDefault="00000000" w:rsidRPr="00000000" w14:paraId="0000005F">
            <w:pPr>
              <w:jc w:val="center"/>
              <w:rPr>
                <w:rFonts w:ascii="Arial" w:cs="Arial" w:eastAsia="Arial" w:hAnsi="Arial"/>
              </w:rPr>
            </w:pPr>
            <w:r w:rsidDel="00000000" w:rsidR="00000000" w:rsidRPr="00000000">
              <w:rPr>
                <w:rFonts w:ascii="Arial" w:cs="Arial" w:eastAsia="Arial" w:hAnsi="Arial"/>
                <w:rtl w:val="0"/>
              </w:rPr>
              <w:t xml:space="preserve">80</w:t>
            </w:r>
          </w:p>
        </w:tc>
        <w:tc>
          <w:tcPr>
            <w:tcBorders>
              <w:top w:color="000000" w:space="0" w:sz="0" w:val="nil"/>
              <w:left w:color="000000" w:space="0" w:sz="0" w:val="nil"/>
              <w:right w:color="ffffff" w:space="0" w:sz="6" w:val="single"/>
            </w:tcBorders>
            <w:tcMar>
              <w:top w:w="0.0" w:type="dxa"/>
              <w:left w:w="0.0" w:type="dxa"/>
              <w:bottom w:w="0.0" w:type="dxa"/>
              <w:right w:w="0.0" w:type="dxa"/>
            </w:tcMar>
          </w:tcPr>
          <w:p w:rsidR="00000000" w:rsidDel="00000000" w:rsidP="00000000" w:rsidRDefault="00000000" w:rsidRPr="00000000" w14:paraId="00000060">
            <w:pPr>
              <w:jc w:val="center"/>
              <w:rPr>
                <w:rFonts w:ascii="Arial" w:cs="Arial" w:eastAsia="Arial" w:hAnsi="Arial"/>
              </w:rPr>
            </w:pPr>
            <w:r w:rsidDel="00000000" w:rsidR="00000000" w:rsidRPr="00000000">
              <w:rPr>
                <w:rFonts w:ascii="Arial" w:cs="Arial" w:eastAsia="Arial" w:hAnsi="Arial"/>
                <w:rtl w:val="0"/>
              </w:rPr>
              <w:t xml:space="preserve">24.6</w:t>
            </w:r>
          </w:p>
        </w:tc>
      </w:tr>
      <w:tr>
        <w:trPr>
          <w:cantSplit w:val="0"/>
          <w:trHeight w:val="285" w:hRule="atLeast"/>
          <w:tblHeader w:val="0"/>
        </w:trPr>
        <w:tc>
          <w:tcPr>
            <w:tcBorders>
              <w:left w:color="ffffff" w:space="0" w:sz="6" w:val="single"/>
              <w:bottom w:color="000000"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61">
            <w:pPr>
              <w:jc w:val="left"/>
              <w:rPr>
                <w:rFonts w:ascii="Arial" w:cs="Arial" w:eastAsia="Arial" w:hAnsi="Arial"/>
              </w:rPr>
            </w:pPr>
            <w:r w:rsidDel="00000000" w:rsidR="00000000" w:rsidRPr="00000000">
              <w:rPr>
                <w:rFonts w:ascii="Arial" w:cs="Arial" w:eastAsia="Arial" w:hAnsi="Arial"/>
                <w:rtl w:val="0"/>
              </w:rPr>
              <w:t xml:space="preserve">Total</w:t>
            </w:r>
          </w:p>
        </w:tc>
        <w:tc>
          <w:tcPr>
            <w:tcBorders>
              <w:left w:color="000000" w:space="0" w:sz="0" w:val="nil"/>
              <w:bottom w:color="000000"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62">
            <w:pPr>
              <w:jc w:val="center"/>
              <w:rPr>
                <w:rFonts w:ascii="Arial" w:cs="Arial" w:eastAsia="Arial" w:hAnsi="Arial"/>
              </w:rPr>
            </w:pPr>
            <w:r w:rsidDel="00000000" w:rsidR="00000000" w:rsidRPr="00000000">
              <w:rPr>
                <w:rFonts w:ascii="Arial" w:cs="Arial" w:eastAsia="Arial" w:hAnsi="Arial"/>
                <w:rtl w:val="0"/>
              </w:rPr>
              <w:t xml:space="preserve">325</w:t>
            </w:r>
          </w:p>
        </w:tc>
        <w:tc>
          <w:tcPr>
            <w:tcBorders>
              <w:left w:color="000000" w:space="0" w:sz="0" w:val="nil"/>
              <w:bottom w:color="000000"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63">
            <w:pPr>
              <w:jc w:val="center"/>
              <w:rPr>
                <w:rFonts w:ascii="Arial" w:cs="Arial" w:eastAsia="Arial" w:hAnsi="Arial"/>
              </w:rPr>
            </w:pPr>
            <w:r w:rsidDel="00000000" w:rsidR="00000000" w:rsidRPr="00000000">
              <w:rPr>
                <w:rFonts w:ascii="Arial" w:cs="Arial" w:eastAsia="Arial" w:hAnsi="Arial"/>
                <w:rtl w:val="0"/>
              </w:rPr>
              <w:t xml:space="preserve">100%</w:t>
            </w:r>
          </w:p>
        </w:tc>
      </w:tr>
      <w:tr>
        <w:trPr>
          <w:cantSplit w:val="0"/>
          <w:tblHeader w:val="0"/>
        </w:trPr>
        <w:tc>
          <w:tcPr>
            <w:tcBorders>
              <w:top w:color="000000" w:space="0" w:sz="0" w:val="nil"/>
              <w:left w:color="ffffff" w:space="0" w:sz="6" w:val="single"/>
              <w:right w:color="ffffff" w:space="0" w:sz="6" w:val="single"/>
            </w:tcBorders>
            <w:tcMar>
              <w:top w:w="0.0" w:type="dxa"/>
              <w:left w:w="0.0" w:type="dxa"/>
              <w:bottom w:w="0.0" w:type="dxa"/>
              <w:right w:w="0.0" w:type="dxa"/>
            </w:tcMar>
          </w:tcPr>
          <w:p w:rsidR="00000000" w:rsidDel="00000000" w:rsidP="00000000" w:rsidRDefault="00000000" w:rsidRPr="00000000" w14:paraId="00000064">
            <w:pPr>
              <w:jc w:val="left"/>
              <w:rPr>
                <w:rFonts w:ascii="Arial" w:cs="Arial" w:eastAsia="Arial" w:hAnsi="Arial"/>
              </w:rPr>
            </w:pPr>
            <w:r w:rsidDel="00000000" w:rsidR="00000000" w:rsidRPr="00000000">
              <w:rPr>
                <w:rFonts w:ascii="Arial" w:cs="Arial" w:eastAsia="Arial" w:hAnsi="Arial"/>
                <w:rtl w:val="0"/>
              </w:rPr>
              <w:t xml:space="preserve">Type of gamification used</w:t>
            </w:r>
          </w:p>
        </w:tc>
        <w:tc>
          <w:tcPr>
            <w:tcBorders>
              <w:top w:color="000000" w:space="0" w:sz="0" w:val="nil"/>
              <w:left w:color="000000" w:space="0" w:sz="0" w:val="nil"/>
              <w:right w:color="ffffff" w:space="0" w:sz="6" w:val="single"/>
            </w:tcBorders>
            <w:tcMar>
              <w:top w:w="0.0" w:type="dxa"/>
              <w:left w:w="0.0" w:type="dxa"/>
              <w:bottom w:w="0.0" w:type="dxa"/>
              <w:right w:w="0.0" w:type="dxa"/>
            </w:tcMar>
          </w:tcPr>
          <w:p w:rsidR="00000000" w:rsidDel="00000000" w:rsidP="00000000" w:rsidRDefault="00000000" w:rsidRPr="00000000" w14:paraId="00000065">
            <w:pPr>
              <w:jc w:val="both"/>
              <w:rPr>
                <w:rFonts w:ascii="Arial" w:cs="Arial" w:eastAsia="Arial" w:hAnsi="Arial"/>
              </w:rPr>
            </w:pPr>
            <w:r w:rsidDel="00000000" w:rsidR="00000000" w:rsidRPr="00000000">
              <w:rPr>
                <w:rtl w:val="0"/>
              </w:rPr>
            </w:r>
          </w:p>
        </w:tc>
        <w:tc>
          <w:tcPr>
            <w:tcBorders>
              <w:top w:color="000000" w:space="0" w:sz="0" w:val="nil"/>
              <w:left w:color="000000" w:space="0" w:sz="0" w:val="nil"/>
              <w:right w:color="ffffff" w:space="0" w:sz="6" w:val="single"/>
            </w:tcBorders>
            <w:tcMar>
              <w:top w:w="0.0" w:type="dxa"/>
              <w:left w:w="0.0" w:type="dxa"/>
              <w:bottom w:w="0.0" w:type="dxa"/>
              <w:right w:w="0.0" w:type="dxa"/>
            </w:tcMar>
          </w:tcPr>
          <w:p w:rsidR="00000000" w:rsidDel="00000000" w:rsidP="00000000" w:rsidRDefault="00000000" w:rsidRPr="00000000" w14:paraId="00000066">
            <w:pPr>
              <w:jc w:val="both"/>
              <w:rPr>
                <w:rFonts w:ascii="Arial" w:cs="Arial" w:eastAsia="Arial" w:hAnsi="Arial"/>
              </w:rPr>
            </w:pPr>
            <w:r w:rsidDel="00000000" w:rsidR="00000000" w:rsidRPr="00000000">
              <w:rPr>
                <w:rtl w:val="0"/>
              </w:rPr>
            </w:r>
          </w:p>
        </w:tc>
      </w:tr>
      <w:tr>
        <w:trPr>
          <w:cantSplit w:val="0"/>
          <w:tblHeader w:val="0"/>
        </w:trPr>
        <w:tc>
          <w:tcPr>
            <w:tcBorders>
              <w:left w:color="ffffff" w:space="0" w:sz="6" w:val="single"/>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67">
            <w:pPr>
              <w:jc w:val="both"/>
              <w:rPr>
                <w:rFonts w:ascii="Arial" w:cs="Arial" w:eastAsia="Arial" w:hAnsi="Arial"/>
              </w:rPr>
            </w:pPr>
            <w:r w:rsidDel="00000000" w:rsidR="00000000" w:rsidRPr="00000000">
              <w:rPr>
                <w:rFonts w:ascii="Arial" w:cs="Arial" w:eastAsia="Arial" w:hAnsi="Arial"/>
                <w:rtl w:val="0"/>
              </w:rPr>
              <w:t xml:space="preserve">Quizziz</w:t>
            </w:r>
          </w:p>
        </w:tc>
        <w:tc>
          <w:tcPr>
            <w:tcBorders>
              <w:left w:color="000000" w:space="0" w:sz="0" w:val="nil"/>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68">
            <w:pPr>
              <w:jc w:val="center"/>
              <w:rPr>
                <w:rFonts w:ascii="Arial" w:cs="Arial" w:eastAsia="Arial" w:hAnsi="Arial"/>
              </w:rPr>
            </w:pPr>
            <w:r w:rsidDel="00000000" w:rsidR="00000000" w:rsidRPr="00000000">
              <w:rPr>
                <w:rFonts w:ascii="Arial" w:cs="Arial" w:eastAsia="Arial" w:hAnsi="Arial"/>
                <w:rtl w:val="0"/>
              </w:rPr>
              <w:t xml:space="preserve">52</w:t>
            </w:r>
          </w:p>
        </w:tc>
        <w:tc>
          <w:tcPr>
            <w:tcBorders>
              <w:left w:color="000000" w:space="0" w:sz="0" w:val="nil"/>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69">
            <w:pPr>
              <w:jc w:val="center"/>
              <w:rPr>
                <w:rFonts w:ascii="Arial" w:cs="Arial" w:eastAsia="Arial" w:hAnsi="Arial"/>
              </w:rPr>
            </w:pPr>
            <w:r w:rsidDel="00000000" w:rsidR="00000000" w:rsidRPr="00000000">
              <w:rPr>
                <w:rFonts w:ascii="Arial" w:cs="Arial" w:eastAsia="Arial" w:hAnsi="Arial"/>
                <w:rtl w:val="0"/>
              </w:rPr>
              <w:t xml:space="preserve">16.0</w:t>
            </w:r>
          </w:p>
        </w:tc>
      </w:tr>
      <w:tr>
        <w:trPr>
          <w:cantSplit w:val="0"/>
          <w:tblHeader w:val="0"/>
        </w:trPr>
        <w:tc>
          <w:tcPr>
            <w:tcBorders>
              <w:top w:color="000000" w:space="0" w:sz="0" w:val="nil"/>
              <w:left w:color="ffffff" w:space="0" w:sz="6" w:val="single"/>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6A">
            <w:pPr>
              <w:jc w:val="both"/>
              <w:rPr>
                <w:rFonts w:ascii="Arial" w:cs="Arial" w:eastAsia="Arial" w:hAnsi="Arial"/>
              </w:rPr>
            </w:pPr>
            <w:r w:rsidDel="00000000" w:rsidR="00000000" w:rsidRPr="00000000">
              <w:rPr>
                <w:rFonts w:ascii="Arial" w:cs="Arial" w:eastAsia="Arial" w:hAnsi="Arial"/>
                <w:rtl w:val="0"/>
              </w:rPr>
              <w:t xml:space="preserve">Kahoot</w:t>
            </w:r>
          </w:p>
        </w:tc>
        <w:tc>
          <w:tcPr>
            <w:tcBorders>
              <w:top w:color="000000" w:space="0" w:sz="0" w:val="nil"/>
              <w:left w:color="000000" w:space="0" w:sz="0" w:val="nil"/>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6B">
            <w:pPr>
              <w:jc w:val="center"/>
              <w:rPr>
                <w:rFonts w:ascii="Arial" w:cs="Arial" w:eastAsia="Arial" w:hAnsi="Arial"/>
              </w:rPr>
            </w:pPr>
            <w:r w:rsidDel="00000000" w:rsidR="00000000" w:rsidRPr="00000000">
              <w:rPr>
                <w:rFonts w:ascii="Arial" w:cs="Arial" w:eastAsia="Arial" w:hAnsi="Arial"/>
                <w:rtl w:val="0"/>
              </w:rPr>
              <w:t xml:space="preserve">53</w:t>
            </w:r>
          </w:p>
        </w:tc>
        <w:tc>
          <w:tcPr>
            <w:tcBorders>
              <w:top w:color="000000" w:space="0" w:sz="0" w:val="nil"/>
              <w:left w:color="000000" w:space="0" w:sz="0" w:val="nil"/>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6C">
            <w:pPr>
              <w:jc w:val="center"/>
              <w:rPr>
                <w:rFonts w:ascii="Arial" w:cs="Arial" w:eastAsia="Arial" w:hAnsi="Arial"/>
              </w:rPr>
            </w:pPr>
            <w:r w:rsidDel="00000000" w:rsidR="00000000" w:rsidRPr="00000000">
              <w:rPr>
                <w:rFonts w:ascii="Arial" w:cs="Arial" w:eastAsia="Arial" w:hAnsi="Arial"/>
                <w:rtl w:val="0"/>
              </w:rPr>
              <w:t xml:space="preserve">16.3</w:t>
            </w:r>
          </w:p>
        </w:tc>
      </w:tr>
      <w:tr>
        <w:trPr>
          <w:cantSplit w:val="0"/>
          <w:tblHeader w:val="0"/>
        </w:trPr>
        <w:tc>
          <w:tcPr>
            <w:tcBorders>
              <w:top w:color="000000" w:space="0" w:sz="0" w:val="nil"/>
              <w:left w:color="ffffff" w:space="0" w:sz="6" w:val="single"/>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6D">
            <w:pPr>
              <w:jc w:val="both"/>
              <w:rPr>
                <w:rFonts w:ascii="Arial" w:cs="Arial" w:eastAsia="Arial" w:hAnsi="Arial"/>
              </w:rPr>
            </w:pPr>
            <w:r w:rsidDel="00000000" w:rsidR="00000000" w:rsidRPr="00000000">
              <w:rPr>
                <w:rFonts w:ascii="Arial" w:cs="Arial" w:eastAsia="Arial" w:hAnsi="Arial"/>
                <w:rtl w:val="0"/>
              </w:rPr>
              <w:t xml:space="preserve">Quizlet</w:t>
            </w:r>
          </w:p>
        </w:tc>
        <w:tc>
          <w:tcPr>
            <w:tcBorders>
              <w:top w:color="000000" w:space="0" w:sz="0" w:val="nil"/>
              <w:left w:color="000000" w:space="0" w:sz="0" w:val="nil"/>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6E">
            <w:pPr>
              <w:jc w:val="center"/>
              <w:rPr>
                <w:rFonts w:ascii="Arial" w:cs="Arial" w:eastAsia="Arial" w:hAnsi="Arial"/>
              </w:rPr>
            </w:pPr>
            <w:r w:rsidDel="00000000" w:rsidR="00000000" w:rsidRPr="00000000">
              <w:rPr>
                <w:rFonts w:ascii="Arial" w:cs="Arial" w:eastAsia="Arial" w:hAnsi="Arial"/>
                <w:rtl w:val="0"/>
              </w:rPr>
              <w:t xml:space="preserve">263</w:t>
            </w:r>
          </w:p>
        </w:tc>
        <w:tc>
          <w:tcPr>
            <w:tcBorders>
              <w:top w:color="000000" w:space="0" w:sz="0" w:val="nil"/>
              <w:left w:color="000000" w:space="0" w:sz="0" w:val="nil"/>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6F">
            <w:pPr>
              <w:jc w:val="center"/>
              <w:rPr>
                <w:rFonts w:ascii="Arial" w:cs="Arial" w:eastAsia="Arial" w:hAnsi="Arial"/>
              </w:rPr>
            </w:pPr>
            <w:r w:rsidDel="00000000" w:rsidR="00000000" w:rsidRPr="00000000">
              <w:rPr>
                <w:rFonts w:ascii="Arial" w:cs="Arial" w:eastAsia="Arial" w:hAnsi="Arial"/>
                <w:rtl w:val="0"/>
              </w:rPr>
              <w:t xml:space="preserve">80.9</w:t>
            </w:r>
          </w:p>
        </w:tc>
      </w:tr>
      <w:tr>
        <w:trPr>
          <w:cantSplit w:val="0"/>
          <w:tblHeader w:val="0"/>
        </w:trPr>
        <w:tc>
          <w:tcPr>
            <w:tcBorders>
              <w:top w:color="000000" w:space="0" w:sz="0" w:val="nil"/>
              <w:left w:color="ffffff" w:space="0" w:sz="6" w:val="single"/>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0">
            <w:pPr>
              <w:jc w:val="both"/>
              <w:rPr>
                <w:rFonts w:ascii="Arial" w:cs="Arial" w:eastAsia="Arial" w:hAnsi="Arial"/>
              </w:rPr>
            </w:pPr>
            <w:r w:rsidDel="00000000" w:rsidR="00000000" w:rsidRPr="00000000">
              <w:rPr>
                <w:rFonts w:ascii="Arial" w:cs="Arial" w:eastAsia="Arial" w:hAnsi="Arial"/>
                <w:rtl w:val="0"/>
              </w:rPr>
              <w:t xml:space="preserve">Gizmo</w:t>
            </w:r>
          </w:p>
        </w:tc>
        <w:tc>
          <w:tcPr>
            <w:tcBorders>
              <w:top w:color="000000" w:space="0" w:sz="0" w:val="nil"/>
              <w:left w:color="000000" w:space="0" w:sz="0" w:val="nil"/>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1">
            <w:pPr>
              <w:jc w:val="center"/>
              <w:rPr>
                <w:rFonts w:ascii="Arial" w:cs="Arial" w:eastAsia="Arial" w:hAnsi="Arial"/>
              </w:rPr>
            </w:pPr>
            <w:r w:rsidDel="00000000" w:rsidR="00000000" w:rsidRPr="00000000">
              <w:rPr>
                <w:rFonts w:ascii="Arial" w:cs="Arial" w:eastAsia="Arial" w:hAnsi="Arial"/>
                <w:rtl w:val="0"/>
              </w:rPr>
              <w:t xml:space="preserve">161</w:t>
            </w:r>
          </w:p>
        </w:tc>
        <w:tc>
          <w:tcPr>
            <w:tcBorders>
              <w:top w:color="000000" w:space="0" w:sz="0" w:val="nil"/>
              <w:left w:color="000000" w:space="0" w:sz="0" w:val="nil"/>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2">
            <w:pPr>
              <w:jc w:val="center"/>
              <w:rPr>
                <w:rFonts w:ascii="Arial" w:cs="Arial" w:eastAsia="Arial" w:hAnsi="Arial"/>
              </w:rPr>
            </w:pPr>
            <w:r w:rsidDel="00000000" w:rsidR="00000000" w:rsidRPr="00000000">
              <w:rPr>
                <w:rFonts w:ascii="Arial" w:cs="Arial" w:eastAsia="Arial" w:hAnsi="Arial"/>
                <w:rtl w:val="0"/>
              </w:rPr>
              <w:t xml:space="preserve">49.5</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3">
            <w:pPr>
              <w:jc w:val="both"/>
              <w:rPr>
                <w:rFonts w:ascii="Arial" w:cs="Arial" w:eastAsia="Arial" w:hAnsi="Arial"/>
              </w:rPr>
            </w:pPr>
            <w:r w:rsidDel="00000000" w:rsidR="00000000" w:rsidRPr="00000000">
              <w:rPr>
                <w:rFonts w:ascii="Arial" w:cs="Arial" w:eastAsia="Arial" w:hAnsi="Arial"/>
                <w:rtl w:val="0"/>
              </w:rPr>
              <w:t xml:space="preserve">Brainscape </w:t>
            </w:r>
          </w:p>
        </w:tc>
        <w:tc>
          <w:tcPr>
            <w:tcBorders>
              <w:top w:color="ffffff" w:space="0" w:sz="6" w:val="single"/>
              <w:left w:color="ffffff" w:space="0" w:sz="6" w:val="single"/>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4">
            <w:pPr>
              <w:jc w:val="center"/>
              <w:rPr>
                <w:rFonts w:ascii="Arial" w:cs="Arial" w:eastAsia="Arial" w:hAnsi="Arial"/>
              </w:rPr>
            </w:pPr>
            <w:r w:rsidDel="00000000" w:rsidR="00000000" w:rsidRPr="00000000">
              <w:rPr>
                <w:rFonts w:ascii="Arial" w:cs="Arial" w:eastAsia="Arial" w:hAnsi="Arial"/>
                <w:rtl w:val="0"/>
              </w:rPr>
              <w:t xml:space="preserve">21</w:t>
            </w:r>
          </w:p>
        </w:tc>
        <w:tc>
          <w:tcPr>
            <w:tcBorders>
              <w:top w:color="ffffff" w:space="0" w:sz="6" w:val="single"/>
              <w:left w:color="ffffff" w:space="0" w:sz="6" w:val="single"/>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5">
            <w:pPr>
              <w:jc w:val="center"/>
              <w:rPr>
                <w:rFonts w:ascii="Arial" w:cs="Arial" w:eastAsia="Arial" w:hAnsi="Arial"/>
              </w:rPr>
            </w:pPr>
            <w:r w:rsidDel="00000000" w:rsidR="00000000" w:rsidRPr="00000000">
              <w:rPr>
                <w:rFonts w:ascii="Arial" w:cs="Arial" w:eastAsia="Arial" w:hAnsi="Arial"/>
                <w:rtl w:val="0"/>
              </w:rPr>
              <w:t xml:space="preserve">6.5</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6">
            <w:pPr>
              <w:jc w:val="both"/>
              <w:rPr>
                <w:rFonts w:ascii="Arial" w:cs="Arial" w:eastAsia="Arial" w:hAnsi="Arial"/>
              </w:rPr>
            </w:pPr>
            <w:r w:rsidDel="00000000" w:rsidR="00000000" w:rsidRPr="00000000">
              <w:rPr>
                <w:rFonts w:ascii="Arial" w:cs="Arial" w:eastAsia="Arial" w:hAnsi="Arial"/>
                <w:rtl w:val="0"/>
              </w:rPr>
              <w:t xml:space="preserve">MOOCs</w:t>
            </w:r>
          </w:p>
        </w:tc>
        <w:tc>
          <w:tcPr>
            <w:tcBorders>
              <w:top w:color="ffffff" w:space="0" w:sz="6" w:val="single"/>
              <w:left w:color="ffffff" w:space="0" w:sz="6" w:val="single"/>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7">
            <w:pPr>
              <w:jc w:val="center"/>
              <w:rPr>
                <w:rFonts w:ascii="Arial" w:cs="Arial" w:eastAsia="Arial" w:hAnsi="Arial"/>
              </w:rPr>
            </w:pPr>
            <w:r w:rsidDel="00000000" w:rsidR="00000000" w:rsidRPr="00000000">
              <w:rPr>
                <w:rFonts w:ascii="Arial" w:cs="Arial" w:eastAsia="Arial" w:hAnsi="Arial"/>
                <w:rtl w:val="0"/>
              </w:rPr>
              <w:t xml:space="preserve">4</w:t>
            </w:r>
          </w:p>
        </w:tc>
        <w:tc>
          <w:tcPr>
            <w:tcBorders>
              <w:top w:color="ffffff" w:space="0" w:sz="6" w:val="single"/>
              <w:left w:color="ffffff" w:space="0" w:sz="6" w:val="single"/>
              <w:bottom w:color="ffffff"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8">
            <w:pPr>
              <w:jc w:val="center"/>
              <w:rPr>
                <w:rFonts w:ascii="Arial" w:cs="Arial" w:eastAsia="Arial" w:hAnsi="Arial"/>
              </w:rPr>
            </w:pPr>
            <w:r w:rsidDel="00000000" w:rsidR="00000000" w:rsidRPr="00000000">
              <w:rPr>
                <w:rFonts w:ascii="Arial" w:cs="Arial" w:eastAsia="Arial" w:hAnsi="Arial"/>
                <w:rtl w:val="0"/>
              </w:rPr>
              <w:t xml:space="preserve">1.2</w:t>
            </w:r>
          </w:p>
        </w:tc>
      </w:tr>
      <w:tr>
        <w:trPr>
          <w:cantSplit w:val="0"/>
          <w:trHeight w:val="315" w:hRule="atLeast"/>
          <w:tblHeader w:val="0"/>
        </w:trPr>
        <w:tc>
          <w:tcPr>
            <w:tcBorders>
              <w:top w:color="ffffff" w:space="0" w:sz="6" w:val="single"/>
              <w:left w:color="ffffff" w:space="0" w:sz="6" w:val="single"/>
              <w:bottom w:color="000000"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9">
            <w:pPr>
              <w:jc w:val="both"/>
              <w:rPr>
                <w:rFonts w:ascii="Arial" w:cs="Arial" w:eastAsia="Arial" w:hAnsi="Arial"/>
              </w:rPr>
            </w:pPr>
            <w:r w:rsidDel="00000000" w:rsidR="00000000" w:rsidRPr="00000000">
              <w:rPr>
                <w:rFonts w:ascii="Arial" w:cs="Arial" w:eastAsia="Arial" w:hAnsi="Arial"/>
                <w:rtl w:val="0"/>
              </w:rPr>
              <w:t xml:space="preserve">Knowunity</w:t>
            </w:r>
          </w:p>
        </w:tc>
        <w:tc>
          <w:tcPr>
            <w:tcBorders>
              <w:top w:color="ffffff" w:space="0" w:sz="6" w:val="single"/>
              <w:left w:color="ffffff" w:space="0" w:sz="6" w:val="single"/>
              <w:bottom w:color="000000"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A">
            <w:pPr>
              <w:jc w:val="center"/>
              <w:rPr>
                <w:rFonts w:ascii="Arial" w:cs="Arial" w:eastAsia="Arial" w:hAnsi="Arial"/>
              </w:rPr>
            </w:pPr>
            <w:r w:rsidDel="00000000" w:rsidR="00000000" w:rsidRPr="00000000">
              <w:rPr>
                <w:rFonts w:ascii="Arial" w:cs="Arial" w:eastAsia="Arial" w:hAnsi="Arial"/>
                <w:rtl w:val="0"/>
              </w:rPr>
              <w:t xml:space="preserve">24</w:t>
            </w:r>
          </w:p>
        </w:tc>
        <w:tc>
          <w:tcPr>
            <w:tcBorders>
              <w:top w:color="ffffff" w:space="0" w:sz="6" w:val="single"/>
              <w:left w:color="ffffff" w:space="0" w:sz="6" w:val="single"/>
              <w:bottom w:color="000000"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B">
            <w:pPr>
              <w:jc w:val="center"/>
              <w:rPr>
                <w:rFonts w:ascii="Arial" w:cs="Arial" w:eastAsia="Arial" w:hAnsi="Arial"/>
              </w:rPr>
            </w:pPr>
            <w:r w:rsidDel="00000000" w:rsidR="00000000" w:rsidRPr="00000000">
              <w:rPr>
                <w:rFonts w:ascii="Arial" w:cs="Arial" w:eastAsia="Arial" w:hAnsi="Arial"/>
                <w:rtl w:val="0"/>
              </w:rPr>
              <w:t xml:space="preserve">7.4</w:t>
            </w:r>
          </w:p>
        </w:tc>
      </w:tr>
      <w:tr>
        <w:trPr>
          <w:cantSplit w:val="0"/>
          <w:tblHeader w:val="0"/>
        </w:trPr>
        <w:tc>
          <w:tcPr>
            <w:tcBorders>
              <w:top w:color="000000" w:space="0" w:sz="6" w:val="single"/>
              <w:left w:color="ffffff" w:space="0" w:sz="6" w:val="single"/>
              <w:bottom w:color="000000"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C">
            <w:pPr>
              <w:jc w:val="center"/>
              <w:rPr>
                <w:rFonts w:ascii="Arial" w:cs="Arial" w:eastAsia="Arial" w:hAnsi="Arial"/>
              </w:rPr>
            </w:pPr>
            <w:r w:rsidDel="00000000" w:rsidR="00000000" w:rsidRPr="00000000">
              <w:rPr>
                <w:rFonts w:ascii="Arial" w:cs="Arial" w:eastAsia="Arial" w:hAnsi="Arial"/>
                <w:rtl w:val="0"/>
              </w:rPr>
              <w:t xml:space="preserve">Total</w:t>
            </w:r>
          </w:p>
        </w:tc>
        <w:tc>
          <w:tcPr>
            <w:gridSpan w:val="2"/>
            <w:tcBorders>
              <w:top w:color="000000" w:space="0" w:sz="6" w:val="single"/>
              <w:left w:color="000000" w:space="0" w:sz="0" w:val="nil"/>
              <w:bottom w:color="000000" w:space="0" w:sz="6" w:val="single"/>
              <w:right w:color="ffffff" w:space="0" w:sz="6" w:val="single"/>
            </w:tcBorders>
            <w:tcMar>
              <w:top w:w="20.0" w:type="dxa"/>
              <w:left w:w="20.0" w:type="dxa"/>
              <w:bottom w:w="20.0" w:type="dxa"/>
              <w:right w:w="20.0" w:type="dxa"/>
            </w:tcMar>
          </w:tcPr>
          <w:p w:rsidR="00000000" w:rsidDel="00000000" w:rsidP="00000000" w:rsidRDefault="00000000" w:rsidRPr="00000000" w14:paraId="0000007D">
            <w:pPr>
              <w:jc w:val="center"/>
              <w:rPr>
                <w:rFonts w:ascii="Arial" w:cs="Arial" w:eastAsia="Arial" w:hAnsi="Arial"/>
              </w:rPr>
            </w:pPr>
            <w:r w:rsidDel="00000000" w:rsidR="00000000" w:rsidRPr="00000000">
              <w:rPr>
                <w:rFonts w:ascii="Arial" w:cs="Arial" w:eastAsia="Arial" w:hAnsi="Arial"/>
                <w:rtl w:val="0"/>
              </w:rPr>
              <w:t xml:space="preserve">325</w:t>
            </w:r>
          </w:p>
        </w:tc>
      </w:tr>
    </w:tbl>
    <w:p w:rsidR="00000000" w:rsidDel="00000000" w:rsidP="00000000" w:rsidRDefault="00000000" w:rsidRPr="00000000" w14:paraId="0000007F">
      <w:pPr>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80">
      <w:pPr>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3.2 Level of Gamification Engagement </w:t>
      </w:r>
    </w:p>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Table 2 presents the distribution of mean responses on gamification engagement among nursing students across three domains: behavioral, cognitive, and emotional engagement. Higher mean scores indicate higher engagement levels, and the overall mean of 2.82 reflects a high level of engagement in gamified learning activities.</w:t>
      </w:r>
    </w:p>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Behavioral engagement obtained a mean of 2.74, indicating active participation. The highest indicator (m = 2.86) showed that students practice through gamified quizzes or case-based games, followed by using gamified tools to monitor progress (m = 2.76). The lowest indicator (m = 2.60) reflected less frequent use of gamified apps for lesson review, while completing difficult tasks and general participation both had means of 2.71. Cognitive engagement had the highest domain mean (2.78), showing strong mental involvement. The highest indicator (m = 2.87) revealed that students organize learned information, followed by analyzing quiz performance (m = 2.82). The lowest indicators included using feedback to adjust strategies (m = 2.72) and understanding complex concepts (m = 2.73). Emotional engagement recorded the highest overall mean (2.85), indicating positive responses. Students most enjoyed using gamified apps (m = 2.92) and felt accomplished earning rewards (m = 2.88), while lower scores were seen in motivation (m = 2.75) and interest in new topics (m = 2.82). </w:t>
      </w:r>
    </w:p>
    <w:p w:rsidR="00000000" w:rsidDel="00000000" w:rsidP="00000000" w:rsidRDefault="00000000" w:rsidRPr="00000000" w14:paraId="0000008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jc w:val="both"/>
        <w:rPr>
          <w:rFonts w:ascii="Arial" w:cs="Arial" w:eastAsia="Arial" w:hAnsi="Arial"/>
          <w:b w:val="1"/>
          <w:bCs w:val="1"/>
        </w:rPr>
      </w:pPr>
      <w:r w:rsidDel="00000000" w:rsidR="00000000" w:rsidRPr="00000000">
        <w:rPr>
          <w:rFonts w:ascii="Arial" w:cs="Arial" w:eastAsia="Arial" w:hAnsi="Arial"/>
          <w:rtl w:val="0"/>
        </w:rPr>
        <w:t xml:space="preserve">Overall, findings show a high level of gamification engagement among nursing students (M = 2.82), with emotional engagement as the strongest domain, followed by cognitive and behavioral. This aligns with Killam et al. (2021), who found that gamification enhances motivation and engagement, though effectiveness depends on instructional design and relevance. These results suggest that gamification is beneficial but can be improved when aligned with nursing competencies and clinical applications.</w:t>
      </w:r>
      <w:r w:rsidDel="00000000" w:rsidR="00000000" w:rsidRPr="00000000">
        <w:rPr>
          <w:rtl w:val="0"/>
        </w:rPr>
      </w:r>
    </w:p>
    <w:p w:rsidR="00000000" w:rsidDel="00000000" w:rsidP="00000000" w:rsidRDefault="00000000" w:rsidRPr="00000000" w14:paraId="00000088">
      <w:pPr>
        <w:spacing w:line="276"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89">
      <w:pPr>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Table 2.</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Distribution of mean responses to level of Gamification Engagement, specific indicators (n=325)</w:t>
      </w:r>
    </w:p>
    <w:tbl>
      <w:tblPr>
        <w:tblStyle w:val="Table3"/>
        <w:tblW w:w="865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85"/>
        <w:gridCol w:w="1335"/>
        <w:gridCol w:w="1335"/>
        <w:tblGridChange w:id="0">
          <w:tblGrid>
            <w:gridCol w:w="5985"/>
            <w:gridCol w:w="1335"/>
            <w:gridCol w:w="1335"/>
          </w:tblGrid>
        </w:tblGridChange>
      </w:tblGrid>
      <w:tr>
        <w:trPr>
          <w:cantSplit w:val="0"/>
          <w:tblHeader w:val="0"/>
        </w:trPr>
        <w:tc>
          <w:tcPr>
            <w:tcBorders>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8A">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Gamification Engagement</w:t>
            </w:r>
          </w:p>
        </w:tc>
        <w:tc>
          <w:tcPr>
            <w:tcBorders>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8B">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Mean</w:t>
            </w:r>
          </w:p>
        </w:tc>
        <w:tc>
          <w:tcPr>
            <w:tcBorders>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8C">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Standard Deviation</w:t>
            </w:r>
          </w:p>
        </w:tc>
      </w:tr>
      <w:tr>
        <w:trPr>
          <w:cantSplit w:val="0"/>
          <w:tblHeader w:val="0"/>
        </w:trPr>
        <w:tc>
          <w:tcPr>
            <w:tcBorders>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8D">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Behavioural Engagement</w:t>
            </w:r>
          </w:p>
        </w:tc>
        <w:tc>
          <w:tcPr>
            <w:tcBorders>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8E">
            <w:pPr>
              <w:widowControl w:val="0"/>
              <w:spacing w:line="276" w:lineRule="auto"/>
              <w:rPr>
                <w:rFonts w:ascii="Arial" w:cs="Arial" w:eastAsia="Arial" w:hAnsi="Arial"/>
              </w:rPr>
            </w:pPr>
            <w:r w:rsidDel="00000000" w:rsidR="00000000" w:rsidRPr="00000000">
              <w:rPr>
                <w:rtl w:val="0"/>
              </w:rPr>
            </w:r>
          </w:p>
        </w:tc>
        <w:tc>
          <w:tcPr>
            <w:tcBorders>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8F">
            <w:pPr>
              <w:widowControl w:val="0"/>
              <w:spacing w:line="276" w:lineRule="auto"/>
              <w:rPr>
                <w:rFonts w:ascii="Arial" w:cs="Arial" w:eastAsia="Arial" w:hAnsi="Arial"/>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0">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practice answering gamified quizzes or case-based games to apply what I have learned in the classroom.</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1">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2.86</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2">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0.81</w:t>
            </w:r>
          </w:p>
          <w:p w:rsidR="00000000" w:rsidDel="00000000" w:rsidP="00000000" w:rsidRDefault="00000000" w:rsidRPr="00000000" w14:paraId="00000093">
            <w:pPr>
              <w:widowControl w:val="0"/>
              <w:spacing w:line="276" w:lineRule="auto"/>
              <w:jc w:val="center"/>
              <w:rPr>
                <w:rFonts w:ascii="Arial" w:cs="Arial" w:eastAsia="Arial" w:hAnsi="Arial"/>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4">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use gamified tools to check my learning progress.</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5">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2.76</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6">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0.81</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7">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engage in gamified activities to strengthen my understanding of nursing topics.</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2.73</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0.80</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A">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make an effort to complete gamified tasks or challenges even when they are difficult.</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B">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2.71</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C">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0.80</w:t>
            </w:r>
          </w:p>
        </w:tc>
      </w:tr>
      <w:tr>
        <w:trPr>
          <w:cantSplit w:val="0"/>
          <w:tblHeader w:val="0"/>
        </w:trPr>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D">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use gamified learning apps to review lessons.</w:t>
            </w:r>
          </w:p>
        </w:tc>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E">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2.60</w:t>
            </w:r>
          </w:p>
        </w:tc>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9F">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0.75</w:t>
            </w:r>
          </w:p>
        </w:tc>
      </w:tr>
      <w:tr>
        <w:trPr>
          <w:cantSplit w:val="0"/>
          <w:tblHeader w:val="0"/>
        </w:trPr>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0">
            <w:pPr>
              <w:widowControl w:val="0"/>
              <w:spacing w:line="276" w:lineRule="auto"/>
              <w:rPr>
                <w:rFonts w:ascii="Arial" w:cs="Arial" w:eastAsia="Arial" w:hAnsi="Arial"/>
              </w:rPr>
            </w:pPr>
            <w:r w:rsidDel="00000000" w:rsidR="00000000" w:rsidRPr="00000000">
              <w:rPr>
                <w:rFonts w:ascii="Arial" w:cs="Arial" w:eastAsia="Arial" w:hAnsi="Arial"/>
                <w:rtl w:val="0"/>
              </w:rPr>
              <w:t xml:space="preserve">Behavioral Engagement overall </w:t>
            </w:r>
          </w:p>
        </w:tc>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1">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2.74</w:t>
            </w:r>
          </w:p>
        </w:tc>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2">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0.45</w:t>
            </w:r>
          </w:p>
        </w:tc>
      </w:tr>
      <w:tr>
        <w:trPr>
          <w:cantSplit w:val="0"/>
          <w:tblHeader w:val="0"/>
        </w:trPr>
        <w:tc>
          <w:tcPr>
            <w:tcBorders>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3">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Cognitive Engagement</w:t>
            </w:r>
          </w:p>
        </w:tc>
        <w:tc>
          <w:tcPr>
            <w:tcBorders>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4">
            <w:pPr>
              <w:widowControl w:val="0"/>
              <w:spacing w:line="276" w:lineRule="auto"/>
              <w:rPr>
                <w:rFonts w:ascii="Arial" w:cs="Arial" w:eastAsia="Arial" w:hAnsi="Arial"/>
              </w:rPr>
            </w:pPr>
            <w:r w:rsidDel="00000000" w:rsidR="00000000" w:rsidRPr="00000000">
              <w:rPr>
                <w:rtl w:val="0"/>
              </w:rPr>
            </w:r>
          </w:p>
        </w:tc>
        <w:tc>
          <w:tcPr>
            <w:tcBorders>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5">
            <w:pPr>
              <w:widowControl w:val="0"/>
              <w:spacing w:line="276" w:lineRule="auto"/>
              <w:rPr>
                <w:rFonts w:ascii="Arial" w:cs="Arial" w:eastAsia="Arial" w:hAnsi="Arial"/>
              </w:rPr>
            </w:pPr>
            <w:r w:rsidDel="00000000" w:rsidR="00000000" w:rsidRPr="00000000">
              <w:rPr>
                <w:rtl w:val="0"/>
              </w:rPr>
            </w:r>
          </w:p>
        </w:tc>
      </w:tr>
      <w:tr>
        <w:trPr>
          <w:cantSplit w:val="0"/>
          <w:trHeight w:val="48.955078125" w:hRule="atLeast"/>
          <w:tblHeader w:val="0"/>
        </w:trPr>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6">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organize what I learn from gamified activities to make information easy to remember.</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7">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2.87</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0.76</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9">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analyze my performance in gamified quizzes to identify gaps in my understanding.</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A">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2.82</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B">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0.77</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C">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identify patterns or concepts that help me solve gamified tasks efficiently.</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D">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2.77</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E">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0.78</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AF">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understand complex nursing concepts through gamified learning apps.</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0">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2.73</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1">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0.74</w:t>
            </w:r>
          </w:p>
        </w:tc>
      </w:tr>
      <w:tr>
        <w:trPr>
          <w:cantSplit w:val="0"/>
          <w:tblHeader w:val="0"/>
        </w:trPr>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2">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use feedback from gamified activities to adjust my study strategies. </w:t>
            </w:r>
          </w:p>
        </w:tc>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3">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2.72</w:t>
            </w:r>
          </w:p>
          <w:p w:rsidR="00000000" w:rsidDel="00000000" w:rsidP="00000000" w:rsidRDefault="00000000" w:rsidRPr="00000000" w14:paraId="000000B4">
            <w:pPr>
              <w:widowControl w:val="0"/>
              <w:spacing w:line="276" w:lineRule="auto"/>
              <w:jc w:val="center"/>
              <w:rPr>
                <w:rFonts w:ascii="Arial" w:cs="Arial" w:eastAsia="Arial" w:hAnsi="Arial"/>
              </w:rPr>
            </w:pPr>
            <w:r w:rsidDel="00000000" w:rsidR="00000000" w:rsidRPr="00000000">
              <w:rPr>
                <w:rtl w:val="0"/>
              </w:rPr>
            </w:r>
          </w:p>
        </w:tc>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5">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0.77</w:t>
            </w:r>
          </w:p>
          <w:p w:rsidR="00000000" w:rsidDel="00000000" w:rsidP="00000000" w:rsidRDefault="00000000" w:rsidRPr="00000000" w14:paraId="000000B6">
            <w:pPr>
              <w:widowControl w:val="0"/>
              <w:spacing w:line="276" w:lineRule="auto"/>
              <w:jc w:val="center"/>
              <w:rPr>
                <w:rFonts w:ascii="Arial" w:cs="Arial" w:eastAsia="Arial" w:hAnsi="Arial"/>
              </w:rPr>
            </w:pPr>
            <w:r w:rsidDel="00000000" w:rsidR="00000000" w:rsidRPr="00000000">
              <w:rPr>
                <w:rtl w:val="0"/>
              </w:rPr>
            </w:r>
          </w:p>
        </w:tc>
      </w:tr>
      <w:tr>
        <w:trPr>
          <w:cantSplit w:val="0"/>
          <w:tblHeader w:val="0"/>
        </w:trPr>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7">
            <w:pPr>
              <w:widowControl w:val="0"/>
              <w:spacing w:line="276" w:lineRule="auto"/>
              <w:rPr>
                <w:rFonts w:ascii="Arial" w:cs="Arial" w:eastAsia="Arial" w:hAnsi="Arial"/>
              </w:rPr>
            </w:pPr>
            <w:r w:rsidDel="00000000" w:rsidR="00000000" w:rsidRPr="00000000">
              <w:rPr>
                <w:rFonts w:ascii="Arial" w:cs="Arial" w:eastAsia="Arial" w:hAnsi="Arial"/>
                <w:rtl w:val="0"/>
              </w:rPr>
              <w:t xml:space="preserve">Cognitive Engagement overall</w:t>
            </w:r>
          </w:p>
        </w:tc>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2.78</w:t>
            </w:r>
          </w:p>
        </w:tc>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0.64</w:t>
            </w:r>
          </w:p>
        </w:tc>
      </w:tr>
      <w:tr>
        <w:trPr>
          <w:cantSplit w:val="0"/>
          <w:tblHeader w:val="0"/>
        </w:trPr>
        <w:tc>
          <w:tcPr>
            <w:tcBorders>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A">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Emotional Engagement</w:t>
            </w:r>
          </w:p>
        </w:tc>
        <w:tc>
          <w:tcPr>
            <w:tcBorders>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B">
            <w:pPr>
              <w:widowControl w:val="0"/>
              <w:spacing w:line="276" w:lineRule="auto"/>
              <w:rPr>
                <w:rFonts w:ascii="Arial" w:cs="Arial" w:eastAsia="Arial" w:hAnsi="Arial"/>
              </w:rPr>
            </w:pPr>
            <w:r w:rsidDel="00000000" w:rsidR="00000000" w:rsidRPr="00000000">
              <w:rPr>
                <w:rtl w:val="0"/>
              </w:rPr>
            </w:r>
          </w:p>
        </w:tc>
        <w:tc>
          <w:tcPr>
            <w:tcBorders>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C">
            <w:pPr>
              <w:widowControl w:val="0"/>
              <w:spacing w:line="276" w:lineRule="auto"/>
              <w:rPr>
                <w:rFonts w:ascii="Arial" w:cs="Arial" w:eastAsia="Arial" w:hAnsi="Arial"/>
              </w:rPr>
            </w:pPr>
            <w:r w:rsidDel="00000000" w:rsidR="00000000" w:rsidRPr="00000000">
              <w:rPr>
                <w:rtl w:val="0"/>
              </w:rPr>
            </w:r>
          </w:p>
        </w:tc>
      </w:tr>
      <w:tr>
        <w:trPr>
          <w:cantSplit w:val="0"/>
          <w:trHeight w:val="341" w:hRule="atLeast"/>
          <w:tblHeader w:val="0"/>
        </w:trPr>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D">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enjoy using gamified apps because they make studying more fun and less stressful.</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E">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2.92</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BF">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0.75</w:t>
            </w:r>
          </w:p>
          <w:p w:rsidR="00000000" w:rsidDel="00000000" w:rsidP="00000000" w:rsidRDefault="00000000" w:rsidRPr="00000000" w14:paraId="000000C0">
            <w:pPr>
              <w:widowControl w:val="0"/>
              <w:spacing w:line="276" w:lineRule="auto"/>
              <w:jc w:val="center"/>
              <w:rPr>
                <w:rFonts w:ascii="Arial" w:cs="Arial" w:eastAsia="Arial" w:hAnsi="Arial"/>
              </w:rPr>
            </w:pPr>
            <w:r w:rsidDel="00000000" w:rsidR="00000000" w:rsidRPr="00000000">
              <w:rPr>
                <w:rtl w:val="0"/>
              </w:rPr>
            </w:r>
          </w:p>
        </w:tc>
      </w:tr>
      <w:tr>
        <w:trPr>
          <w:cantSplit w:val="0"/>
          <w:trHeight w:val="440" w:hRule="atLeast"/>
          <w:tblHeader w:val="0"/>
        </w:trPr>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1">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feel accomplished whenever I earn points, badges, or rewards in gamified tasks. </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2">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2.88</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3">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0.80</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4">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become positive toward studying when learning feels like a game.</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5">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2.87</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6">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0.79</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7">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feel interested to learn new nursing topics through gamified activities.</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2.82</w:t>
            </w:r>
          </w:p>
        </w:tc>
        <w:tc>
          <w:tcPr>
            <w:tcBorders>
              <w:top w:color="ffffff" w:space="0" w:sz="8" w:val="single"/>
              <w:left w:color="ffffff" w:space="0" w:sz="8" w:val="single"/>
              <w:bottom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0.77</w:t>
            </w:r>
          </w:p>
        </w:tc>
      </w:tr>
      <w:tr>
        <w:trPr>
          <w:cantSplit w:val="0"/>
          <w:tblHeader w:val="0"/>
        </w:trPr>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A">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feel motivated to study whenever I use gamified learning tools.</w:t>
            </w:r>
          </w:p>
        </w:tc>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B">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2.75</w:t>
            </w:r>
          </w:p>
        </w:tc>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C">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0.75</w:t>
            </w:r>
          </w:p>
        </w:tc>
      </w:tr>
      <w:tr>
        <w:trPr>
          <w:cantSplit w:val="0"/>
          <w:tblHeader w:val="0"/>
        </w:trPr>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D">
            <w:pPr>
              <w:widowControl w:val="0"/>
              <w:spacing w:line="276" w:lineRule="auto"/>
              <w:rPr>
                <w:rFonts w:ascii="Arial" w:cs="Arial" w:eastAsia="Arial" w:hAnsi="Arial"/>
              </w:rPr>
            </w:pPr>
            <w:r w:rsidDel="00000000" w:rsidR="00000000" w:rsidRPr="00000000">
              <w:rPr>
                <w:rFonts w:ascii="Arial" w:cs="Arial" w:eastAsia="Arial" w:hAnsi="Arial"/>
                <w:rtl w:val="0"/>
              </w:rPr>
              <w:t xml:space="preserve">Emotional Engagement overall</w:t>
            </w:r>
          </w:p>
        </w:tc>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E">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2.85</w:t>
            </w:r>
          </w:p>
        </w:tc>
        <w:tc>
          <w:tcPr>
            <w:tcBorders>
              <w:top w:color="ffffff" w:space="0" w:sz="8" w:val="single"/>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CF">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0.67</w:t>
            </w:r>
          </w:p>
        </w:tc>
      </w:tr>
      <w:tr>
        <w:trPr>
          <w:cantSplit w:val="0"/>
          <w:tblHeader w:val="0"/>
        </w:trPr>
        <w:tc>
          <w:tcPr>
            <w:tcBorders>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D0">
            <w:pPr>
              <w:widowControl w:val="0"/>
              <w:spacing w:line="276" w:lineRule="auto"/>
              <w:rPr>
                <w:rFonts w:ascii="Arial" w:cs="Arial" w:eastAsia="Arial" w:hAnsi="Arial"/>
              </w:rPr>
            </w:pPr>
            <w:r w:rsidDel="00000000" w:rsidR="00000000" w:rsidRPr="00000000">
              <w:rPr>
                <w:rFonts w:ascii="Arial" w:cs="Arial" w:eastAsia="Arial" w:hAnsi="Arial"/>
                <w:rtl w:val="0"/>
              </w:rPr>
              <w:t xml:space="preserve">Gamification Engagement Overall</w:t>
            </w:r>
          </w:p>
        </w:tc>
        <w:tc>
          <w:tcPr>
            <w:tcBorders>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D1">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2.82</w:t>
            </w:r>
          </w:p>
        </w:tc>
        <w:tc>
          <w:tcPr>
            <w:tcBorders>
              <w:left w:color="ffffff" w:space="0" w:sz="8" w:val="single"/>
              <w:right w:color="ffffff" w:space="0" w:sz="8" w:val="single"/>
            </w:tcBorders>
            <w:tcMar>
              <w:top w:w="-1727.9999999999998" w:type="dxa"/>
              <w:left w:w="-1727.9999999999998" w:type="dxa"/>
              <w:bottom w:w="-1727.9999999999998" w:type="dxa"/>
              <w:right w:w="-1727.9999999999998" w:type="dxa"/>
            </w:tcMar>
          </w:tcPr>
          <w:p w:rsidR="00000000" w:rsidDel="00000000" w:rsidP="00000000" w:rsidRDefault="00000000" w:rsidRPr="00000000" w14:paraId="000000D2">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0.41</w:t>
            </w:r>
          </w:p>
        </w:tc>
      </w:tr>
    </w:tbl>
    <w:p w:rsidR="00000000" w:rsidDel="00000000" w:rsidP="00000000" w:rsidRDefault="00000000" w:rsidRPr="00000000" w14:paraId="000000D3">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4">
      <w:pPr>
        <w:spacing w:line="240"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3.3 Level of Critical Thinking Skills</w:t>
      </w:r>
    </w:p>
    <w:p w:rsidR="00000000" w:rsidDel="00000000" w:rsidP="00000000" w:rsidRDefault="00000000" w:rsidRPr="00000000" w14:paraId="000000D5">
      <w:pPr>
        <w:spacing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D6">
      <w:pPr>
        <w:spacing w:line="240" w:lineRule="auto"/>
        <w:rPr>
          <w:rFonts w:ascii="Arial" w:cs="Arial" w:eastAsia="Arial" w:hAnsi="Arial"/>
        </w:rPr>
      </w:pPr>
      <w:r w:rsidDel="00000000" w:rsidR="00000000" w:rsidRPr="00000000">
        <w:rPr>
          <w:rFonts w:ascii="Arial" w:cs="Arial" w:eastAsia="Arial" w:hAnsi="Arial"/>
          <w:rtl w:val="0"/>
        </w:rPr>
        <w:t xml:space="preserve">Table 3a presents the distribution of responses according to the critical thinking skills of nursing students, as measured across six domains: analyzing, evaluating, creating, remembering, understanding, and applying. Mean responses from each indicator of the critical thinking questionnaire were utilized to determine the level of critical thinking skills, with higher mean scores corresponding to higher levels of skill manifestation. Overall, the findings indicate that respondents demonstrated a satisfactory level of critical thinking, reflected by an overall mean of 3.66. </w:t>
      </w:r>
    </w:p>
    <w:p w:rsidR="00000000" w:rsidDel="00000000" w:rsidP="00000000" w:rsidRDefault="00000000" w:rsidRPr="00000000" w14:paraId="000000D7">
      <w:pP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D8">
      <w:pPr>
        <w:spacing w:line="240" w:lineRule="auto"/>
        <w:ind w:left="0" w:firstLine="0"/>
        <w:rPr>
          <w:rFonts w:ascii="Arial" w:cs="Arial" w:eastAsia="Arial" w:hAnsi="Arial"/>
        </w:rPr>
      </w:pPr>
      <w:r w:rsidDel="00000000" w:rsidR="00000000" w:rsidRPr="00000000">
        <w:rPr>
          <w:rFonts w:ascii="Arial" w:cs="Arial" w:eastAsia="Arial" w:hAnsi="Arial"/>
          <w:rtl w:val="0"/>
        </w:rPr>
        <w:t xml:space="preserve">When examined by domain, the Analyzing domain yielded an overall mean of 3.78 suggesting that students are generally proficient in identifying relationships, extracting essential information, and examining connections across texts. The highest indicator (m = 3.70) showed they frequently search for relationships between information in a text and other sources, followed closely by their ability to extract the most relevant parts of a text (m = 3.62). However, the lowest indicator (m = 3.39) revealed that students disagreed with the notion that in-depth analyses of reality are a waste of life and they agree that they like finding dependencies between seemingly different phenomena (m= 3.54). </w:t>
      </w:r>
    </w:p>
    <w:p w:rsidR="00000000" w:rsidDel="00000000" w:rsidP="00000000" w:rsidRDefault="00000000" w:rsidRPr="00000000" w14:paraId="000000D9">
      <w:pP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DA">
      <w:pPr>
        <w:spacing w:line="240" w:lineRule="auto"/>
        <w:ind w:left="0" w:firstLine="0"/>
        <w:rPr>
          <w:rFonts w:ascii="Arial" w:cs="Arial" w:eastAsia="Arial" w:hAnsi="Arial"/>
        </w:rPr>
      </w:pPr>
      <w:r w:rsidDel="00000000" w:rsidR="00000000" w:rsidRPr="00000000">
        <w:rPr>
          <w:rFonts w:ascii="Arial" w:cs="Arial" w:eastAsia="Arial" w:hAnsi="Arial"/>
          <w:rtl w:val="0"/>
        </w:rPr>
        <w:t xml:space="preserve">On the other hand, the evaluating domain recorded an overall mean of 3.72, indicating that students consistently engage in evaluating information by verifying its accuracy and credibility. In particular, the highest indicator (m = 3.98), indicated that they were most confident in justifying their stance while understanding others’ perspectives, followed by checking whether information is true when they are interested (3.82). At the lower end, they agreed that they check important details even if they appear true (3.64), and evaluate information from multiple sources (3.81), indicating careful evaluation but some variation in thoroughness. </w:t>
      </w:r>
    </w:p>
    <w:p w:rsidR="00000000" w:rsidDel="00000000" w:rsidP="00000000" w:rsidRDefault="00000000" w:rsidRPr="00000000" w14:paraId="000000DB">
      <w:pP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DC">
      <w:pPr>
        <w:spacing w:line="240" w:lineRule="auto"/>
        <w:ind w:left="0" w:firstLine="0"/>
        <w:rPr>
          <w:rFonts w:ascii="Arial" w:cs="Arial" w:eastAsia="Arial" w:hAnsi="Arial"/>
        </w:rPr>
      </w:pPr>
      <w:r w:rsidDel="00000000" w:rsidR="00000000" w:rsidRPr="00000000">
        <w:rPr>
          <w:rFonts w:ascii="Arial" w:cs="Arial" w:eastAsia="Arial" w:hAnsi="Arial"/>
          <w:rtl w:val="0"/>
        </w:rPr>
        <w:t xml:space="preserve">Similarly, the Creating domain, with an overall mean of 3.30, reflected a moderate capacity for generating new meanings, reorganizing information, and synthesizing ideas from various sources. They showed neutral feelings toward the idea that nothing completely new can be created (m=3.78), reflecting some uncertainty about generating original ideas, while they agreed that they like combining information from different texts (m=3.65). However, lower indicators revealed that students were less confident in expressing content in multiple ways (m=3.28) and in forming impressions by integrating various pieces of information (m=3.37).  </w:t>
      </w:r>
    </w:p>
    <w:p w:rsidR="00000000" w:rsidDel="00000000" w:rsidP="00000000" w:rsidRDefault="00000000" w:rsidRPr="00000000" w14:paraId="000000DD">
      <w:pP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DE">
      <w:pPr>
        <w:spacing w:line="240" w:lineRule="auto"/>
        <w:ind w:left="0" w:firstLine="0"/>
        <w:rPr>
          <w:rFonts w:ascii="Arial" w:cs="Arial" w:eastAsia="Arial" w:hAnsi="Arial"/>
        </w:rPr>
      </w:pPr>
      <w:r w:rsidDel="00000000" w:rsidR="00000000" w:rsidRPr="00000000">
        <w:rPr>
          <w:rFonts w:ascii="Arial" w:cs="Arial" w:eastAsia="Arial" w:hAnsi="Arial"/>
          <w:rtl w:val="0"/>
        </w:rPr>
        <w:t xml:space="preserve">In terms of Remembering, the domain obtained an overall mean of 3.75, indicating that students generally agreed that they were able to recall previously learned information. The highest indicator (m=3.77), reflected that students disagreed that they do not remember much from school and agreed they can recall information when necessary (m=3.60). The lowest indicator showed that they were able to repeat key threads from a text (m=3.52). Although this is the lowest among the three indicators, it still reflects a relatively high level. This suggests that while students can remember information, some may slightly struggle with repeating or summarizing key ideas immediately after reading. </w:t>
      </w:r>
    </w:p>
    <w:p w:rsidR="00000000" w:rsidDel="00000000" w:rsidP="00000000" w:rsidRDefault="00000000" w:rsidRPr="00000000" w14:paraId="000000DF">
      <w:pP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E0">
      <w:pPr>
        <w:spacing w:line="240" w:lineRule="auto"/>
        <w:ind w:left="0" w:firstLine="0"/>
        <w:rPr>
          <w:rFonts w:ascii="Arial" w:cs="Arial" w:eastAsia="Arial" w:hAnsi="Arial"/>
        </w:rPr>
      </w:pPr>
      <w:r w:rsidDel="00000000" w:rsidR="00000000" w:rsidRPr="00000000">
        <w:rPr>
          <w:rFonts w:ascii="Arial" w:cs="Arial" w:eastAsia="Arial" w:hAnsi="Arial"/>
          <w:rtl w:val="0"/>
        </w:rPr>
        <w:t xml:space="preserve">The Understanding domain posted an overall mean of 3.51, reflecting students’ capacity to comprehend texts, compare differing perspectives, and recognize subtleties in meaning. The highest indicators (m = 3.94) reflected agreement that they like to collate and compare different opinions and agreed that they pay attention to context, nuances, and overtones (m = 3.65). However, the lowest indicator (m = 3.44) </w:t>
      </w:r>
      <w:r w:rsidDel="00000000" w:rsidR="00000000" w:rsidRPr="00000000">
        <w:rPr>
          <w:rFonts w:ascii="Arial" w:cs="Arial" w:eastAsia="Arial" w:hAnsi="Arial"/>
          <w:color w:val="111111"/>
          <w:rtl w:val="0"/>
        </w:rPr>
        <w:t xml:space="preserve">revealed that they had neutral feelings regarding difficulties with paraphrasing, and they agreed that they could understand texts from various fields (m = 3.59).</w:t>
      </w:r>
      <w:r w:rsidDel="00000000" w:rsidR="00000000" w:rsidRPr="00000000">
        <w:rPr>
          <w:rFonts w:ascii="Arial" w:cs="Arial" w:eastAsia="Arial" w:hAnsi="Arial"/>
          <w:rtl w:val="0"/>
        </w:rPr>
        <w:t xml:space="preserve"> </w:t>
      </w:r>
    </w:p>
    <w:p w:rsidR="00000000" w:rsidDel="00000000" w:rsidP="00000000" w:rsidRDefault="00000000" w:rsidRPr="00000000" w14:paraId="000000E1">
      <w:pP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E2">
      <w:pPr>
        <w:spacing w:line="240" w:lineRule="auto"/>
        <w:ind w:left="0" w:firstLine="0"/>
        <w:rPr>
          <w:rFonts w:ascii="Arial" w:cs="Arial" w:eastAsia="Arial" w:hAnsi="Arial"/>
        </w:rPr>
      </w:pPr>
      <w:r w:rsidDel="00000000" w:rsidR="00000000" w:rsidRPr="00000000">
        <w:rPr>
          <w:rFonts w:ascii="Arial" w:cs="Arial" w:eastAsia="Arial" w:hAnsi="Arial"/>
          <w:rtl w:val="0"/>
        </w:rPr>
        <w:t xml:space="preserve">Lastly, the Applying domain achieved an overall mean of 3.72,  demonstrating their ability to translate learned knowledge into practice. The highest indicator (m = 3.81) showed agreement in using learned information in everyday life, while the second highest (m = 3.65) reflected agreement in using practical examples to justify their stance during discussions. Meanwhile, the lowest indicator (m = 3.45) reflected that they agreed that they give many examples when they talk and agreed that they are willing to share newly gained information (m=3.59). </w:t>
      </w:r>
    </w:p>
    <w:p w:rsidR="00000000" w:rsidDel="00000000" w:rsidP="00000000" w:rsidRDefault="00000000" w:rsidRPr="00000000" w14:paraId="000000E3">
      <w:pP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E4">
      <w:pPr>
        <w:spacing w:line="240" w:lineRule="auto"/>
        <w:ind w:left="0" w:firstLine="0"/>
        <w:rPr>
          <w:rFonts w:ascii="Arial" w:cs="Arial" w:eastAsia="Arial" w:hAnsi="Arial"/>
        </w:rPr>
      </w:pPr>
      <w:r w:rsidDel="00000000" w:rsidR="00000000" w:rsidRPr="00000000">
        <w:rPr>
          <w:rFonts w:ascii="Arial" w:cs="Arial" w:eastAsia="Arial" w:hAnsi="Arial"/>
          <w:rtl w:val="0"/>
        </w:rPr>
        <w:t xml:space="preserve">The findings showed that the majority of nursing students demonstrated a satisfactory level of critical thinking skills, which agrees with and supports the study of Lim et al. (2019), who reported moderate to high critical thinking levels among nursing students. While most students performed well in analyzing and remembering related skills, a smaller proportion showed weaker creative and deeper understanding skills, indicating that although current nursing education developed essential critical thinking skills, greater emphasis on strategies that foster creativity and comprehension was needed for complex clinical practice. Table 3a presents the detailed data of the critical thinking skills of nursing students by domain and corresponding indicators.</w:t>
      </w:r>
    </w:p>
    <w:p w:rsidR="00000000" w:rsidDel="00000000" w:rsidP="00000000" w:rsidRDefault="00000000" w:rsidRPr="00000000" w14:paraId="000000E5">
      <w:pPr>
        <w:pBdr>
          <w:top w:space="0" w:sz="0" w:val="nil"/>
          <w:left w:space="0" w:sz="0" w:val="nil"/>
          <w:bottom w:space="0" w:sz="0" w:val="nil"/>
          <w:right w:space="0" w:sz="0" w:val="nil"/>
          <w:between w:space="0" w:sz="0" w:val="nil"/>
        </w:pBdr>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rFonts w:ascii="Arial" w:cs="Arial" w:eastAsia="Arial" w:hAnsi="Arial"/>
          <w:b w:val="1"/>
          <w:bCs w:val="1"/>
        </w:rPr>
      </w:pPr>
      <w:r w:rsidDel="00000000" w:rsidR="00000000" w:rsidRPr="00000000">
        <w:rPr>
          <w:rFonts w:ascii="Arial" w:cs="Arial" w:eastAsia="Arial" w:hAnsi="Arial"/>
          <w:b w:val="1"/>
          <w:bCs w:val="1"/>
          <w:rtl w:val="0"/>
        </w:rPr>
        <w:t xml:space="preserve">Table 3a. Distribution of mean responses according to level of critical thinking skills, specific indicator (n=325)</w:t>
      </w:r>
    </w:p>
    <w:tbl>
      <w:tblPr>
        <w:tblStyle w:val="Table4"/>
        <w:tblW w:w="865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45"/>
        <w:gridCol w:w="1530"/>
        <w:gridCol w:w="1380"/>
        <w:tblGridChange w:id="0">
          <w:tblGrid>
            <w:gridCol w:w="5745"/>
            <w:gridCol w:w="1530"/>
            <w:gridCol w:w="1380"/>
          </w:tblGrid>
        </w:tblGridChange>
      </w:tblGrid>
      <w:tr>
        <w:trPr>
          <w:cantSplit w:val="0"/>
          <w:tblHeader w:val="0"/>
        </w:trPr>
        <w:tc>
          <w:tcPr>
            <w:tcBorders>
              <w:top w:color="000000"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0E7">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Critical Thinking</w:t>
            </w:r>
          </w:p>
        </w:tc>
        <w:tc>
          <w:tcPr>
            <w:tcBorders>
              <w:top w:color="000000"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0E8">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Mean</w:t>
            </w:r>
          </w:p>
        </w:tc>
        <w:tc>
          <w:tcPr>
            <w:tcBorders>
              <w:top w:color="000000"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0E9">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Standard Deviation</w:t>
            </w:r>
          </w:p>
        </w:tc>
      </w:tr>
      <w:tr>
        <w:trPr>
          <w:cantSplit w:val="0"/>
          <w:tblHeader w:val="0"/>
        </w:trPr>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0EA">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Analyzing</w:t>
            </w:r>
          </w:p>
        </w:tc>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0EB">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0EC">
            <w:pPr>
              <w:widowControl w:val="0"/>
              <w:spacing w:line="276" w:lineRule="auto"/>
              <w:rPr>
                <w:rFonts w:ascii="Arial" w:cs="Arial" w:eastAsia="Arial" w:hAnsi="Arial"/>
              </w:rPr>
            </w:pPr>
            <w:r w:rsidDel="00000000" w:rsidR="00000000" w:rsidRPr="00000000">
              <w:rPr>
                <w:rtl w:val="0"/>
              </w:rPr>
            </w:r>
          </w:p>
        </w:tc>
      </w:tr>
      <w:tr>
        <w:trPr>
          <w:cantSplit w:val="0"/>
          <w:tblHeader w:val="0"/>
        </w:trPr>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0ED">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When I read the text, I am researching for a relationship between the information it contains and other texts that I have read.</w:t>
            </w:r>
          </w:p>
          <w:p w:rsidR="00000000" w:rsidDel="00000000" w:rsidP="00000000" w:rsidRDefault="00000000" w:rsidRPr="00000000" w14:paraId="000000EE">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can extract the most relevant parts of a text.</w:t>
            </w:r>
          </w:p>
          <w:p w:rsidR="00000000" w:rsidDel="00000000" w:rsidP="00000000" w:rsidRDefault="00000000" w:rsidRPr="00000000" w14:paraId="000000EF">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like finding dependencies between seemingly different phenomena.</w:t>
            </w:r>
          </w:p>
          <w:p w:rsidR="00000000" w:rsidDel="00000000" w:rsidP="00000000" w:rsidRDefault="00000000" w:rsidRPr="00000000" w14:paraId="000000F0">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In-depth analyses of reality are a waste of life.*</w:t>
            </w:r>
          </w:p>
          <w:p w:rsidR="00000000" w:rsidDel="00000000" w:rsidP="00000000" w:rsidRDefault="00000000" w:rsidRPr="00000000" w14:paraId="000000F1">
            <w:pPr>
              <w:widowControl w:val="0"/>
              <w:spacing w:line="276" w:lineRule="auto"/>
              <w:rPr>
                <w:rFonts w:ascii="Arial" w:cs="Arial" w:eastAsia="Arial" w:hAnsi="Arial"/>
              </w:rPr>
            </w:pPr>
            <w:r w:rsidDel="00000000" w:rsidR="00000000" w:rsidRPr="00000000">
              <w:rPr>
                <w:rFonts w:ascii="Arial" w:cs="Arial" w:eastAsia="Arial" w:hAnsi="Arial"/>
                <w:rtl w:val="0"/>
              </w:rPr>
              <w:t xml:space="preserve">Mean for Analyzing </w:t>
            </w:r>
          </w:p>
        </w:tc>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0F2">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3.70</w:t>
            </w:r>
          </w:p>
          <w:p w:rsidR="00000000" w:rsidDel="00000000" w:rsidP="00000000" w:rsidRDefault="00000000" w:rsidRPr="00000000" w14:paraId="000000F3">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F4">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F5">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3.62</w:t>
            </w:r>
          </w:p>
          <w:p w:rsidR="00000000" w:rsidDel="00000000" w:rsidP="00000000" w:rsidRDefault="00000000" w:rsidRPr="00000000" w14:paraId="000000F6">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3.54</w:t>
            </w:r>
          </w:p>
          <w:p w:rsidR="00000000" w:rsidDel="00000000" w:rsidP="00000000" w:rsidRDefault="00000000" w:rsidRPr="00000000" w14:paraId="000000F7">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F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3.39</w:t>
            </w:r>
          </w:p>
          <w:p w:rsidR="00000000" w:rsidDel="00000000" w:rsidP="00000000" w:rsidRDefault="00000000" w:rsidRPr="00000000" w14:paraId="000000F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3.78</w:t>
            </w:r>
          </w:p>
        </w:tc>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0FA">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0.83</w:t>
            </w:r>
          </w:p>
          <w:p w:rsidR="00000000" w:rsidDel="00000000" w:rsidP="00000000" w:rsidRDefault="00000000" w:rsidRPr="00000000" w14:paraId="000000FB">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FC">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FD">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0.84</w:t>
            </w:r>
          </w:p>
          <w:p w:rsidR="00000000" w:rsidDel="00000000" w:rsidP="00000000" w:rsidRDefault="00000000" w:rsidRPr="00000000" w14:paraId="000000FE">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0.84</w:t>
            </w:r>
          </w:p>
          <w:p w:rsidR="00000000" w:rsidDel="00000000" w:rsidP="00000000" w:rsidRDefault="00000000" w:rsidRPr="00000000" w14:paraId="000000FF">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00">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1.14</w:t>
            </w:r>
          </w:p>
          <w:p w:rsidR="00000000" w:rsidDel="00000000" w:rsidP="00000000" w:rsidRDefault="00000000" w:rsidRPr="00000000" w14:paraId="00000101">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0.90</w:t>
            </w:r>
          </w:p>
        </w:tc>
      </w:tr>
      <w:tr>
        <w:trPr>
          <w:cantSplit w:val="0"/>
          <w:tblHeader w:val="0"/>
        </w:trPr>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02">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Evaluating</w:t>
            </w:r>
          </w:p>
        </w:tc>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03">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04">
            <w:pPr>
              <w:widowControl w:val="0"/>
              <w:spacing w:line="276" w:lineRule="auto"/>
              <w:rPr>
                <w:rFonts w:ascii="Arial" w:cs="Arial" w:eastAsia="Arial" w:hAnsi="Arial"/>
              </w:rPr>
            </w:pPr>
            <w:r w:rsidDel="00000000" w:rsidR="00000000" w:rsidRPr="00000000">
              <w:rPr>
                <w:rtl w:val="0"/>
              </w:rPr>
            </w:r>
          </w:p>
        </w:tc>
      </w:tr>
      <w:tr>
        <w:trPr>
          <w:cantSplit w:val="0"/>
          <w:trHeight w:val="1379" w:hRule="atLeast"/>
          <w:tblHeader w:val="0"/>
        </w:trPr>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05">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In the discussion, I care about justifying my stance on the matter and understanding the other party at the same time.</w:t>
            </w:r>
          </w:p>
          <w:p w:rsidR="00000000" w:rsidDel="00000000" w:rsidP="00000000" w:rsidRDefault="00000000" w:rsidRPr="00000000" w14:paraId="00000106">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When I am interested in some information, I try to check if it is true.</w:t>
            </w:r>
          </w:p>
          <w:p w:rsidR="00000000" w:rsidDel="00000000" w:rsidP="00000000" w:rsidRDefault="00000000" w:rsidRPr="00000000" w14:paraId="00000107">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To evaluate the information, I check many sources.</w:t>
            </w:r>
          </w:p>
          <w:p w:rsidR="00000000" w:rsidDel="00000000" w:rsidP="00000000" w:rsidRDefault="00000000" w:rsidRPr="00000000" w14:paraId="00000108">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After reading it, I check important information, even if it seems to be true.</w:t>
            </w:r>
          </w:p>
          <w:p w:rsidR="00000000" w:rsidDel="00000000" w:rsidP="00000000" w:rsidRDefault="00000000" w:rsidRPr="00000000" w14:paraId="00000109">
            <w:pPr>
              <w:widowControl w:val="0"/>
              <w:spacing w:line="276" w:lineRule="auto"/>
              <w:rPr>
                <w:rFonts w:ascii="Arial" w:cs="Arial" w:eastAsia="Arial" w:hAnsi="Arial"/>
              </w:rPr>
            </w:pPr>
            <w:r w:rsidDel="00000000" w:rsidR="00000000" w:rsidRPr="00000000">
              <w:rPr>
                <w:rFonts w:ascii="Arial" w:cs="Arial" w:eastAsia="Arial" w:hAnsi="Arial"/>
                <w:rtl w:val="0"/>
              </w:rPr>
              <w:t xml:space="preserve">Mean for Evaluating</w:t>
            </w:r>
          </w:p>
        </w:tc>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0A">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3.98</w:t>
            </w:r>
          </w:p>
          <w:p w:rsidR="00000000" w:rsidDel="00000000" w:rsidP="00000000" w:rsidRDefault="00000000" w:rsidRPr="00000000" w14:paraId="0000010B">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0C">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3.82</w:t>
            </w:r>
          </w:p>
          <w:p w:rsidR="00000000" w:rsidDel="00000000" w:rsidP="00000000" w:rsidRDefault="00000000" w:rsidRPr="00000000" w14:paraId="0000010D">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0E">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3.81</w:t>
            </w:r>
          </w:p>
          <w:p w:rsidR="00000000" w:rsidDel="00000000" w:rsidP="00000000" w:rsidRDefault="00000000" w:rsidRPr="00000000" w14:paraId="0000010F">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3.64</w:t>
            </w:r>
          </w:p>
          <w:p w:rsidR="00000000" w:rsidDel="00000000" w:rsidP="00000000" w:rsidRDefault="00000000" w:rsidRPr="00000000" w14:paraId="00000110">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11">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3.72</w:t>
            </w:r>
          </w:p>
        </w:tc>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12">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0.86</w:t>
            </w:r>
          </w:p>
          <w:p w:rsidR="00000000" w:rsidDel="00000000" w:rsidP="00000000" w:rsidRDefault="00000000" w:rsidRPr="00000000" w14:paraId="00000113">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14">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0.86</w:t>
            </w:r>
          </w:p>
          <w:p w:rsidR="00000000" w:rsidDel="00000000" w:rsidP="00000000" w:rsidRDefault="00000000" w:rsidRPr="00000000" w14:paraId="00000115">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16">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0.74</w:t>
            </w:r>
          </w:p>
          <w:p w:rsidR="00000000" w:rsidDel="00000000" w:rsidP="00000000" w:rsidRDefault="00000000" w:rsidRPr="00000000" w14:paraId="00000117">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0.89</w:t>
            </w:r>
          </w:p>
          <w:p w:rsidR="00000000" w:rsidDel="00000000" w:rsidP="00000000" w:rsidRDefault="00000000" w:rsidRPr="00000000" w14:paraId="00000118">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1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0.85</w:t>
            </w:r>
          </w:p>
        </w:tc>
      </w:tr>
      <w:tr>
        <w:trPr>
          <w:cantSplit w:val="0"/>
          <w:tblHeader w:val="0"/>
        </w:trPr>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1A">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Creating</w:t>
            </w:r>
          </w:p>
        </w:tc>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1B">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1C">
            <w:pPr>
              <w:widowControl w:val="0"/>
              <w:spacing w:line="276" w:lineRule="auto"/>
              <w:rPr>
                <w:rFonts w:ascii="Arial" w:cs="Arial" w:eastAsia="Arial" w:hAnsi="Arial"/>
              </w:rPr>
            </w:pPr>
            <w:r w:rsidDel="00000000" w:rsidR="00000000" w:rsidRPr="00000000">
              <w:rPr>
                <w:rtl w:val="0"/>
              </w:rPr>
            </w:r>
          </w:p>
        </w:tc>
      </w:tr>
      <w:tr>
        <w:trPr>
          <w:cantSplit w:val="0"/>
          <w:trHeight w:val="2234.2529296875" w:hRule="atLeast"/>
          <w:tblHeader w:val="0"/>
        </w:trPr>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1D">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Everything already exists, so nothing completely new can be created.*</w:t>
            </w:r>
          </w:p>
          <w:p w:rsidR="00000000" w:rsidDel="00000000" w:rsidP="00000000" w:rsidRDefault="00000000" w:rsidRPr="00000000" w14:paraId="0000011E">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like combining information from different texts.</w:t>
            </w:r>
          </w:p>
          <w:p w:rsidR="00000000" w:rsidDel="00000000" w:rsidP="00000000" w:rsidRDefault="00000000" w:rsidRPr="00000000" w14:paraId="0000011F">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like discussing new meanings in texts that I already know.</w:t>
            </w:r>
          </w:p>
          <w:p w:rsidR="00000000" w:rsidDel="00000000" w:rsidP="00000000" w:rsidRDefault="00000000" w:rsidRPr="00000000" w14:paraId="00000120">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can see the structure of the text, and I could change it.</w:t>
            </w:r>
          </w:p>
          <w:p w:rsidR="00000000" w:rsidDel="00000000" w:rsidP="00000000" w:rsidRDefault="00000000" w:rsidRPr="00000000" w14:paraId="00000121">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form my impression on the basis of various information that I combine with each other.</w:t>
            </w:r>
          </w:p>
          <w:p w:rsidR="00000000" w:rsidDel="00000000" w:rsidP="00000000" w:rsidRDefault="00000000" w:rsidRPr="00000000" w14:paraId="00000122">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The same content can be expressed in many different ways.</w:t>
            </w:r>
          </w:p>
          <w:p w:rsidR="00000000" w:rsidDel="00000000" w:rsidP="00000000" w:rsidRDefault="00000000" w:rsidRPr="00000000" w14:paraId="00000123">
            <w:pPr>
              <w:widowControl w:val="0"/>
              <w:spacing w:line="276" w:lineRule="auto"/>
              <w:rPr>
                <w:rFonts w:ascii="Arial" w:cs="Arial" w:eastAsia="Arial" w:hAnsi="Arial"/>
              </w:rPr>
            </w:pPr>
            <w:r w:rsidDel="00000000" w:rsidR="00000000" w:rsidRPr="00000000">
              <w:rPr>
                <w:rFonts w:ascii="Arial" w:cs="Arial" w:eastAsia="Arial" w:hAnsi="Arial"/>
                <w:rtl w:val="0"/>
              </w:rPr>
              <w:t xml:space="preserve">Mean for Creating </w:t>
            </w:r>
          </w:p>
        </w:tc>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24">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3.78</w:t>
            </w:r>
          </w:p>
          <w:p w:rsidR="00000000" w:rsidDel="00000000" w:rsidP="00000000" w:rsidRDefault="00000000" w:rsidRPr="00000000" w14:paraId="00000125">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26">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3.65</w:t>
            </w:r>
          </w:p>
          <w:p w:rsidR="00000000" w:rsidDel="00000000" w:rsidP="00000000" w:rsidRDefault="00000000" w:rsidRPr="00000000" w14:paraId="00000127">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3.61</w:t>
            </w:r>
          </w:p>
          <w:p w:rsidR="00000000" w:rsidDel="00000000" w:rsidP="00000000" w:rsidRDefault="00000000" w:rsidRPr="00000000" w14:paraId="0000012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3.58</w:t>
            </w:r>
          </w:p>
          <w:p w:rsidR="00000000" w:rsidDel="00000000" w:rsidP="00000000" w:rsidRDefault="00000000" w:rsidRPr="00000000" w14:paraId="0000012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3.37</w:t>
            </w:r>
          </w:p>
          <w:p w:rsidR="00000000" w:rsidDel="00000000" w:rsidP="00000000" w:rsidRDefault="00000000" w:rsidRPr="00000000" w14:paraId="0000012A">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2B">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3.28</w:t>
            </w:r>
          </w:p>
          <w:p w:rsidR="00000000" w:rsidDel="00000000" w:rsidP="00000000" w:rsidRDefault="00000000" w:rsidRPr="00000000" w14:paraId="0000012C">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3.30</w:t>
            </w:r>
          </w:p>
        </w:tc>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2D">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0.84</w:t>
            </w:r>
          </w:p>
          <w:p w:rsidR="00000000" w:rsidDel="00000000" w:rsidP="00000000" w:rsidRDefault="00000000" w:rsidRPr="00000000" w14:paraId="0000012E">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2F">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0.83</w:t>
            </w:r>
          </w:p>
          <w:p w:rsidR="00000000" w:rsidDel="00000000" w:rsidP="00000000" w:rsidRDefault="00000000" w:rsidRPr="00000000" w14:paraId="00000130">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0.86</w:t>
            </w:r>
          </w:p>
          <w:p w:rsidR="00000000" w:rsidDel="00000000" w:rsidP="00000000" w:rsidRDefault="00000000" w:rsidRPr="00000000" w14:paraId="00000131">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0.56</w:t>
            </w:r>
          </w:p>
          <w:p w:rsidR="00000000" w:rsidDel="00000000" w:rsidP="00000000" w:rsidRDefault="00000000" w:rsidRPr="00000000" w14:paraId="00000132">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0.77</w:t>
            </w:r>
          </w:p>
          <w:p w:rsidR="00000000" w:rsidDel="00000000" w:rsidP="00000000" w:rsidRDefault="00000000" w:rsidRPr="00000000" w14:paraId="00000133">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34">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1.04</w:t>
            </w:r>
          </w:p>
          <w:p w:rsidR="00000000" w:rsidDel="00000000" w:rsidP="00000000" w:rsidRDefault="00000000" w:rsidRPr="00000000" w14:paraId="00000135">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0.99</w:t>
            </w:r>
          </w:p>
        </w:tc>
      </w:tr>
      <w:tr>
        <w:trPr>
          <w:cantSplit w:val="0"/>
          <w:tblHeader w:val="0"/>
        </w:trPr>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36">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Remembering</w:t>
            </w:r>
          </w:p>
        </w:tc>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37">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38">
            <w:pPr>
              <w:widowControl w:val="0"/>
              <w:spacing w:line="276" w:lineRule="auto"/>
              <w:rPr>
                <w:rFonts w:ascii="Arial" w:cs="Arial" w:eastAsia="Arial" w:hAnsi="Arial"/>
              </w:rPr>
            </w:pPr>
            <w:r w:rsidDel="00000000" w:rsidR="00000000" w:rsidRPr="00000000">
              <w:rPr>
                <w:rtl w:val="0"/>
              </w:rPr>
            </w:r>
          </w:p>
        </w:tc>
      </w:tr>
      <w:tr>
        <w:trPr>
          <w:cantSplit w:val="0"/>
          <w:trHeight w:val="971.865234375" w:hRule="atLeast"/>
          <w:tblHeader w:val="0"/>
        </w:trPr>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39">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do not remember much from what I was learning at school.*</w:t>
            </w:r>
          </w:p>
          <w:p w:rsidR="00000000" w:rsidDel="00000000" w:rsidP="00000000" w:rsidRDefault="00000000" w:rsidRPr="00000000" w14:paraId="0000013A">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If necessary, I can recall information about which I once read.</w:t>
            </w:r>
          </w:p>
          <w:p w:rsidR="00000000" w:rsidDel="00000000" w:rsidP="00000000" w:rsidRDefault="00000000" w:rsidRPr="00000000" w14:paraId="0000013B">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After reading it, I am able to repeat important threads from the text.</w:t>
            </w:r>
          </w:p>
          <w:p w:rsidR="00000000" w:rsidDel="00000000" w:rsidP="00000000" w:rsidRDefault="00000000" w:rsidRPr="00000000" w14:paraId="0000013C">
            <w:pPr>
              <w:widowControl w:val="0"/>
              <w:spacing w:line="276" w:lineRule="auto"/>
              <w:rPr>
                <w:rFonts w:ascii="Arial" w:cs="Arial" w:eastAsia="Arial" w:hAnsi="Arial"/>
              </w:rPr>
            </w:pPr>
            <w:r w:rsidDel="00000000" w:rsidR="00000000" w:rsidRPr="00000000">
              <w:rPr>
                <w:rFonts w:ascii="Arial" w:cs="Arial" w:eastAsia="Arial" w:hAnsi="Arial"/>
                <w:rtl w:val="0"/>
              </w:rPr>
              <w:t xml:space="preserve">Mean for Remembering </w:t>
            </w:r>
          </w:p>
        </w:tc>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3D">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3.77</w:t>
            </w:r>
          </w:p>
          <w:p w:rsidR="00000000" w:rsidDel="00000000" w:rsidP="00000000" w:rsidRDefault="00000000" w:rsidRPr="00000000" w14:paraId="0000013E">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3.60</w:t>
            </w:r>
          </w:p>
          <w:p w:rsidR="00000000" w:rsidDel="00000000" w:rsidP="00000000" w:rsidRDefault="00000000" w:rsidRPr="00000000" w14:paraId="0000013F">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3.52</w:t>
            </w:r>
          </w:p>
          <w:p w:rsidR="00000000" w:rsidDel="00000000" w:rsidP="00000000" w:rsidRDefault="00000000" w:rsidRPr="00000000" w14:paraId="00000140">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41">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3.75</w:t>
            </w:r>
          </w:p>
        </w:tc>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42">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0.86</w:t>
            </w:r>
          </w:p>
          <w:p w:rsidR="00000000" w:rsidDel="00000000" w:rsidP="00000000" w:rsidRDefault="00000000" w:rsidRPr="00000000" w14:paraId="00000143">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0.80</w:t>
            </w:r>
          </w:p>
          <w:p w:rsidR="00000000" w:rsidDel="00000000" w:rsidP="00000000" w:rsidRDefault="00000000" w:rsidRPr="00000000" w14:paraId="00000144">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0.60</w:t>
            </w:r>
          </w:p>
          <w:p w:rsidR="00000000" w:rsidDel="00000000" w:rsidP="00000000" w:rsidRDefault="00000000" w:rsidRPr="00000000" w14:paraId="00000145">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46">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0.85</w:t>
            </w:r>
          </w:p>
        </w:tc>
      </w:tr>
      <w:tr>
        <w:trPr>
          <w:cantSplit w:val="0"/>
          <w:tblHeader w:val="0"/>
        </w:trPr>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47">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Understanding</w:t>
            </w:r>
          </w:p>
        </w:tc>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48">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49">
            <w:pPr>
              <w:widowControl w:val="0"/>
              <w:spacing w:line="276" w:lineRule="auto"/>
              <w:rPr>
                <w:rFonts w:ascii="Arial" w:cs="Arial" w:eastAsia="Arial" w:hAnsi="Arial"/>
              </w:rPr>
            </w:pPr>
            <w:r w:rsidDel="00000000" w:rsidR="00000000" w:rsidRPr="00000000">
              <w:rPr>
                <w:rtl w:val="0"/>
              </w:rPr>
            </w:r>
          </w:p>
        </w:tc>
      </w:tr>
      <w:tr>
        <w:trPr>
          <w:cantSplit w:val="0"/>
          <w:trHeight w:val="1098" w:hRule="atLeast"/>
          <w:tblHeader w:val="0"/>
        </w:trPr>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4A">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like to collate different opinions and compare them with each other.</w:t>
            </w:r>
          </w:p>
          <w:p w:rsidR="00000000" w:rsidDel="00000000" w:rsidP="00000000" w:rsidRDefault="00000000" w:rsidRPr="00000000" w14:paraId="0000014B">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pay attention to the contexts, nuances and overtones of the statements.</w:t>
            </w:r>
          </w:p>
          <w:p w:rsidR="00000000" w:rsidDel="00000000" w:rsidP="00000000" w:rsidRDefault="00000000" w:rsidRPr="00000000" w14:paraId="0000014C">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can understand texts from various fields.</w:t>
            </w:r>
          </w:p>
          <w:p w:rsidR="00000000" w:rsidDel="00000000" w:rsidP="00000000" w:rsidRDefault="00000000" w:rsidRPr="00000000" w14:paraId="0000014D">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have difficulties with paraphrasing.*</w:t>
            </w:r>
          </w:p>
          <w:p w:rsidR="00000000" w:rsidDel="00000000" w:rsidP="00000000" w:rsidRDefault="00000000" w:rsidRPr="00000000" w14:paraId="0000014E">
            <w:pPr>
              <w:widowControl w:val="0"/>
              <w:spacing w:line="276" w:lineRule="auto"/>
              <w:rPr>
                <w:rFonts w:ascii="Arial" w:cs="Arial" w:eastAsia="Arial" w:hAnsi="Arial"/>
              </w:rPr>
            </w:pPr>
            <w:r w:rsidDel="00000000" w:rsidR="00000000" w:rsidRPr="00000000">
              <w:rPr>
                <w:rFonts w:ascii="Arial" w:cs="Arial" w:eastAsia="Arial" w:hAnsi="Arial"/>
                <w:rtl w:val="0"/>
              </w:rPr>
              <w:t xml:space="preserve">Mean for Understanding </w:t>
            </w:r>
          </w:p>
        </w:tc>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4F">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3.94</w:t>
            </w:r>
          </w:p>
          <w:p w:rsidR="00000000" w:rsidDel="00000000" w:rsidP="00000000" w:rsidRDefault="00000000" w:rsidRPr="00000000" w14:paraId="00000150">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51">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3.65</w:t>
            </w:r>
          </w:p>
          <w:p w:rsidR="00000000" w:rsidDel="00000000" w:rsidP="00000000" w:rsidRDefault="00000000" w:rsidRPr="00000000" w14:paraId="00000152">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53">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3.59</w:t>
            </w:r>
          </w:p>
          <w:p w:rsidR="00000000" w:rsidDel="00000000" w:rsidP="00000000" w:rsidRDefault="00000000" w:rsidRPr="00000000" w14:paraId="00000154">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3.44</w:t>
            </w:r>
          </w:p>
          <w:p w:rsidR="00000000" w:rsidDel="00000000" w:rsidP="00000000" w:rsidRDefault="00000000" w:rsidRPr="00000000" w14:paraId="00000155">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3.51</w:t>
            </w:r>
          </w:p>
        </w:tc>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56">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0.94</w:t>
            </w:r>
          </w:p>
          <w:p w:rsidR="00000000" w:rsidDel="00000000" w:rsidP="00000000" w:rsidRDefault="00000000" w:rsidRPr="00000000" w14:paraId="00000157">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5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0.83</w:t>
            </w:r>
          </w:p>
          <w:p w:rsidR="00000000" w:rsidDel="00000000" w:rsidP="00000000" w:rsidRDefault="00000000" w:rsidRPr="00000000" w14:paraId="00000159">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5A">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0.56</w:t>
            </w:r>
          </w:p>
          <w:p w:rsidR="00000000" w:rsidDel="00000000" w:rsidP="00000000" w:rsidRDefault="00000000" w:rsidRPr="00000000" w14:paraId="0000015B">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0.88</w:t>
            </w:r>
          </w:p>
          <w:p w:rsidR="00000000" w:rsidDel="00000000" w:rsidP="00000000" w:rsidRDefault="00000000" w:rsidRPr="00000000" w14:paraId="0000015C">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0.58</w:t>
            </w:r>
          </w:p>
        </w:tc>
      </w:tr>
      <w:tr>
        <w:trPr>
          <w:cantSplit w:val="0"/>
          <w:tblHeader w:val="0"/>
        </w:trPr>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5D">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Applying</w:t>
            </w:r>
          </w:p>
        </w:tc>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5E">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ffffff" w:space="0" w:sz="4" w:val="single"/>
              <w:bottom w:color="ffffff"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5F">
            <w:pPr>
              <w:widowControl w:val="0"/>
              <w:spacing w:line="276" w:lineRule="auto"/>
              <w:rPr>
                <w:rFonts w:ascii="Arial" w:cs="Arial" w:eastAsia="Arial" w:hAnsi="Arial"/>
              </w:rPr>
            </w:pPr>
            <w:r w:rsidDel="00000000" w:rsidR="00000000" w:rsidRPr="00000000">
              <w:rPr>
                <w:rtl w:val="0"/>
              </w:rPr>
            </w:r>
          </w:p>
        </w:tc>
      </w:tr>
      <w:tr>
        <w:trPr>
          <w:cantSplit w:val="0"/>
          <w:tblHeader w:val="0"/>
        </w:trPr>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60">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try to use the information I have learned in everyday life.</w:t>
            </w:r>
          </w:p>
          <w:p w:rsidR="00000000" w:rsidDel="00000000" w:rsidP="00000000" w:rsidRDefault="00000000" w:rsidRPr="00000000" w14:paraId="00000161">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When discussing, I try to use practical examples to justify my stance on the matter.</w:t>
            </w:r>
          </w:p>
          <w:p w:rsidR="00000000" w:rsidDel="00000000" w:rsidP="00000000" w:rsidRDefault="00000000" w:rsidRPr="00000000" w14:paraId="00000162">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 am willing to share the newly gained information.</w:t>
            </w:r>
          </w:p>
          <w:p w:rsidR="00000000" w:rsidDel="00000000" w:rsidP="00000000" w:rsidRDefault="00000000" w:rsidRPr="00000000" w14:paraId="00000163">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When I talk, I give many examples.</w:t>
            </w:r>
          </w:p>
          <w:p w:rsidR="00000000" w:rsidDel="00000000" w:rsidP="00000000" w:rsidRDefault="00000000" w:rsidRPr="00000000" w14:paraId="00000164">
            <w:pPr>
              <w:widowControl w:val="0"/>
              <w:spacing w:line="276" w:lineRule="auto"/>
              <w:rPr>
                <w:rFonts w:ascii="Arial" w:cs="Arial" w:eastAsia="Arial" w:hAnsi="Arial"/>
              </w:rPr>
            </w:pPr>
            <w:r w:rsidDel="00000000" w:rsidR="00000000" w:rsidRPr="00000000">
              <w:rPr>
                <w:rFonts w:ascii="Arial" w:cs="Arial" w:eastAsia="Arial" w:hAnsi="Arial"/>
                <w:rtl w:val="0"/>
              </w:rPr>
              <w:t xml:space="preserve">Mean for Applying </w:t>
            </w:r>
          </w:p>
        </w:tc>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65">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3.81</w:t>
            </w:r>
          </w:p>
          <w:p w:rsidR="00000000" w:rsidDel="00000000" w:rsidP="00000000" w:rsidRDefault="00000000" w:rsidRPr="00000000" w14:paraId="00000166">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3.65</w:t>
            </w:r>
          </w:p>
          <w:p w:rsidR="00000000" w:rsidDel="00000000" w:rsidP="00000000" w:rsidRDefault="00000000" w:rsidRPr="00000000" w14:paraId="00000167">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6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3.59</w:t>
            </w:r>
          </w:p>
          <w:p w:rsidR="00000000" w:rsidDel="00000000" w:rsidP="00000000" w:rsidRDefault="00000000" w:rsidRPr="00000000" w14:paraId="0000016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3.45</w:t>
            </w:r>
          </w:p>
          <w:p w:rsidR="00000000" w:rsidDel="00000000" w:rsidP="00000000" w:rsidRDefault="00000000" w:rsidRPr="00000000" w14:paraId="0000016A">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3.72</w:t>
            </w:r>
          </w:p>
        </w:tc>
        <w:tc>
          <w:tcPr>
            <w:tcBorders>
              <w:top w:color="ffffff"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6B">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0.86</w:t>
            </w:r>
          </w:p>
          <w:p w:rsidR="00000000" w:rsidDel="00000000" w:rsidP="00000000" w:rsidRDefault="00000000" w:rsidRPr="00000000" w14:paraId="0000016C">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0.82</w:t>
            </w:r>
          </w:p>
          <w:p w:rsidR="00000000" w:rsidDel="00000000" w:rsidP="00000000" w:rsidRDefault="00000000" w:rsidRPr="00000000" w14:paraId="0000016D">
            <w:pPr>
              <w:widowControl w:val="0"/>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6E">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0.53</w:t>
            </w:r>
          </w:p>
          <w:p w:rsidR="00000000" w:rsidDel="00000000" w:rsidP="00000000" w:rsidRDefault="00000000" w:rsidRPr="00000000" w14:paraId="0000016F">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0.84</w:t>
            </w:r>
          </w:p>
          <w:p w:rsidR="00000000" w:rsidDel="00000000" w:rsidP="00000000" w:rsidRDefault="00000000" w:rsidRPr="00000000" w14:paraId="00000170">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0.69</w:t>
            </w:r>
          </w:p>
        </w:tc>
      </w:tr>
      <w:tr>
        <w:trPr>
          <w:cantSplit w:val="0"/>
          <w:tblHeader w:val="0"/>
        </w:trPr>
        <w:tc>
          <w:tcPr>
            <w:tcBorders>
              <w:top w:color="000000"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71">
            <w:pPr>
              <w:widowControl w:val="0"/>
              <w:spacing w:line="276" w:lineRule="auto"/>
              <w:rPr>
                <w:rFonts w:ascii="Arial" w:cs="Arial" w:eastAsia="Arial" w:hAnsi="Arial"/>
              </w:rPr>
            </w:pPr>
            <w:r w:rsidDel="00000000" w:rsidR="00000000" w:rsidRPr="00000000">
              <w:rPr>
                <w:rFonts w:ascii="Arial" w:cs="Arial" w:eastAsia="Arial" w:hAnsi="Arial"/>
                <w:rtl w:val="0"/>
              </w:rPr>
              <w:t xml:space="preserve">Critical Thinking Skills Overall</w:t>
            </w:r>
          </w:p>
        </w:tc>
        <w:tc>
          <w:tcPr>
            <w:tcBorders>
              <w:top w:color="000000"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72">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3.66</w:t>
            </w:r>
          </w:p>
        </w:tc>
        <w:tc>
          <w:tcPr>
            <w:tcBorders>
              <w:top w:color="000000" w:space="0" w:sz="4" w:val="single"/>
              <w:left w:color="ffffff" w:space="0" w:sz="4" w:val="single"/>
              <w:bottom w:color="000000" w:space="0" w:sz="4" w:val="single"/>
              <w:right w:color="ffffff" w:space="0" w:sz="4" w:val="single"/>
            </w:tcBorders>
            <w:tcMar>
              <w:top w:w="-3455.0" w:type="dxa"/>
              <w:left w:w="-3455.0" w:type="dxa"/>
              <w:bottom w:w="-3455.0" w:type="dxa"/>
              <w:right w:w="-3455.0" w:type="dxa"/>
            </w:tcMar>
          </w:tcPr>
          <w:p w:rsidR="00000000" w:rsidDel="00000000" w:rsidP="00000000" w:rsidRDefault="00000000" w:rsidRPr="00000000" w14:paraId="00000173">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0.53</w:t>
            </w:r>
          </w:p>
        </w:tc>
      </w:tr>
    </w:tbl>
    <w:p w:rsidR="00000000" w:rsidDel="00000000" w:rsidP="00000000" w:rsidRDefault="00000000" w:rsidRPr="00000000" w14:paraId="00000174">
      <w:pPr>
        <w:spacing w:line="276" w:lineRule="auto"/>
        <w:jc w:val="both"/>
        <w:rPr>
          <w:rFonts w:ascii="Arial" w:cs="Arial" w:eastAsia="Arial" w:hAnsi="Arial"/>
          <w:i w:val="1"/>
          <w:iCs w:val="1"/>
        </w:rPr>
      </w:pPr>
      <w:r w:rsidDel="00000000" w:rsidR="00000000" w:rsidRPr="00000000">
        <w:rPr>
          <w:rFonts w:ascii="Arial" w:cs="Arial" w:eastAsia="Arial" w:hAnsi="Arial"/>
          <w:i w:val="1"/>
          <w:iCs w:val="1"/>
          <w:rtl w:val="0"/>
        </w:rPr>
        <w:t xml:space="preserve">Legend: *Items were negatively stated and reverse-scored.</w:t>
      </w:r>
    </w:p>
    <w:p w:rsidR="00000000" w:rsidDel="00000000" w:rsidP="00000000" w:rsidRDefault="00000000" w:rsidRPr="00000000" w14:paraId="00000175">
      <w:pPr>
        <w:spacing w:line="276" w:lineRule="auto"/>
        <w:jc w:val="both"/>
        <w:rPr>
          <w:rFonts w:ascii="Arial" w:cs="Arial" w:eastAsia="Arial" w:hAnsi="Arial"/>
          <w:i w:val="1"/>
          <w:iCs w:val="1"/>
        </w:rPr>
      </w:pPr>
      <w:r w:rsidDel="00000000" w:rsidR="00000000" w:rsidRPr="00000000">
        <w:rPr>
          <w:rtl w:val="0"/>
        </w:rPr>
      </w:r>
    </w:p>
    <w:p w:rsidR="00000000" w:rsidDel="00000000" w:rsidP="00000000" w:rsidRDefault="00000000" w:rsidRPr="00000000" w14:paraId="00000176">
      <w:pPr>
        <w:spacing w:line="276" w:lineRule="auto"/>
        <w:rPr>
          <w:rFonts w:ascii="Arial" w:cs="Arial" w:eastAsia="Arial" w:hAnsi="Arial"/>
        </w:rPr>
      </w:pPr>
      <w:r w:rsidDel="00000000" w:rsidR="00000000" w:rsidRPr="00000000">
        <w:rPr>
          <w:rFonts w:ascii="Arial" w:cs="Arial" w:eastAsia="Arial" w:hAnsi="Arial"/>
          <w:rtl w:val="0"/>
        </w:rPr>
        <w:t xml:space="preserve">Table 3b displays the distribution of respondents based on their level of critical thinking skills. The majority of nursing students were classified as having an average level of critical thinking skills, with 160 respondents (49.2%), indicating that most students demonstrate a moderate ability to analyze, evaluate, and apply information in learning situations. Meanwhile, 157 respondents (48.3%) were categorized as having a high level of critical thinking skills, suggesting that nearly half of the students exhibit strong critical thinking abilities, including effective reasoning, problem-solving, and decision-making skills. However, a small proportion of respondents, 8 students (2.5%), were found to have a low level of critical thinking skills, indicating that these students may experience difficulty consistently demonstrating critical thinking behaviors.</w:t>
      </w:r>
    </w:p>
    <w:p w:rsidR="00000000" w:rsidDel="00000000" w:rsidP="00000000" w:rsidRDefault="00000000" w:rsidRPr="00000000" w14:paraId="0000017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78">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When examined by domain, the strongest performance was observed in applying and evaluating skills. More than half of the students (57.8%) reached high performance in applying, reflecting the ability to translate knowledge into practical or clinical situations. Evaluating skills also showed high performance among a majority (63.7%), suggesting that the students could effectively assess information, make judgments, and support decision-making processes. </w:t>
      </w:r>
    </w:p>
    <w:p w:rsidR="00000000" w:rsidDel="00000000" w:rsidP="00000000" w:rsidRDefault="00000000" w:rsidRPr="00000000" w14:paraId="00000179">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A">
      <w:pPr>
        <w:spacing w:line="276" w:lineRule="auto"/>
        <w:rPr>
          <w:rFonts w:ascii="Arial" w:cs="Arial" w:eastAsia="Arial" w:hAnsi="Arial"/>
        </w:rPr>
      </w:pPr>
      <w:r w:rsidDel="00000000" w:rsidR="00000000" w:rsidRPr="00000000">
        <w:rPr>
          <w:rFonts w:ascii="Arial" w:cs="Arial" w:eastAsia="Arial" w:hAnsi="Arial"/>
          <w:rtl w:val="0"/>
        </w:rPr>
        <w:t xml:space="preserve">Analyzing, understanding, and remembering skills were predominantly at the average level, though a substantial proportion of students also achieved high ability. Specifically, analyzing and remembering skills showed nearly equal distribution between average and high categories both around 48–49% high, indicating competence in identifying relationships, recalling knowledge, and interpreting information in academic and clinical contexts. Understanding was similarly balanced, with nearly half of the students demonstrating high ability, reflecting comprehension and interpretation of concepts across different contexts. Creating skills showed the largest proportion of students at the average level (62.5%), with a smaller group achieving high performance (36.9%) and very few at low performance (0.6%). This suggests that the capacity to generate new ideas and reorganize information may require further enhancement through instructional strategies that promote higher-order thinking. </w:t>
      </w:r>
    </w:p>
    <w:p w:rsidR="00000000" w:rsidDel="00000000" w:rsidP="00000000" w:rsidRDefault="00000000" w:rsidRPr="00000000" w14:paraId="0000017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7C">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This suggests that while the majority of nursing students possess average to high critical thinking skills, there remains a need to further strengthen critical thinking development among a small segment of the population, consistent with the findings of Lim et al. (2019). Table 3b shows the data.</w:t>
      </w:r>
    </w:p>
    <w:p w:rsidR="00000000" w:rsidDel="00000000" w:rsidP="00000000" w:rsidRDefault="00000000" w:rsidRPr="00000000" w14:paraId="0000017D">
      <w:pPr>
        <w:spacing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7E">
      <w:pPr>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Table 3b. Distribution of the respondents according to critical thinking skills (n =325)</w:t>
      </w:r>
    </w:p>
    <w:tbl>
      <w:tblPr>
        <w:tblStyle w:val="Table5"/>
        <w:tblW w:w="861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245"/>
        <w:gridCol w:w="1560"/>
        <w:tblGridChange w:id="0">
          <w:tblGrid>
            <w:gridCol w:w="5805"/>
            <w:gridCol w:w="1245"/>
            <w:gridCol w:w="1560"/>
          </w:tblGrid>
        </w:tblGridChange>
      </w:tblGrid>
      <w:tr>
        <w:trPr>
          <w:cantSplit w:val="0"/>
          <w:tblHeader w:val="0"/>
        </w:trPr>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7F">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Critical Thinking Skills</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80">
            <w:pPr>
              <w:widowControl w:val="0"/>
              <w:spacing w:line="276" w:lineRule="auto"/>
              <w:jc w:val="center"/>
              <w:rPr>
                <w:rFonts w:ascii="Arial" w:cs="Arial" w:eastAsia="Arial" w:hAnsi="Arial"/>
                <w:b w:val="1"/>
                <w:bCs w:val="1"/>
                <w:i w:val="1"/>
                <w:iCs w:val="1"/>
              </w:rPr>
            </w:pPr>
            <w:r w:rsidDel="00000000" w:rsidR="00000000" w:rsidRPr="00000000">
              <w:rPr>
                <w:rFonts w:ascii="Arial" w:cs="Arial" w:eastAsia="Arial" w:hAnsi="Arial"/>
                <w:b w:val="1"/>
                <w:bCs w:val="1"/>
                <w:i w:val="1"/>
                <w:iCs w:val="1"/>
                <w:rtl w:val="0"/>
              </w:rPr>
              <w:t xml:space="preserve">f</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81">
            <w:pPr>
              <w:widowControl w:val="0"/>
              <w:spacing w:line="276" w:lineRule="auto"/>
              <w:jc w:val="center"/>
              <w:rPr>
                <w:rFonts w:ascii="Arial" w:cs="Arial" w:eastAsia="Arial" w:hAnsi="Arial"/>
                <w:b w:val="1"/>
                <w:bCs w:val="1"/>
                <w:i w:val="1"/>
                <w:iCs w:val="1"/>
              </w:rPr>
            </w:pPr>
            <w:r w:rsidDel="00000000" w:rsidR="00000000" w:rsidRPr="00000000">
              <w:rPr>
                <w:rFonts w:ascii="Arial" w:cs="Arial" w:eastAsia="Arial" w:hAnsi="Arial"/>
                <w:b w:val="1"/>
                <w:bCs w:val="1"/>
                <w:i w:val="1"/>
                <w:iCs w:val="1"/>
                <w:rtl w:val="0"/>
              </w:rPr>
              <w:t xml:space="preserve">%</w:t>
            </w:r>
          </w:p>
        </w:tc>
      </w:tr>
      <w:tr>
        <w:trPr>
          <w:cantSplit w:val="0"/>
          <w:tblHeader w:val="0"/>
        </w:trPr>
        <w:tc>
          <w:tcPr>
            <w:tcBorders>
              <w:left w:color="000000" w:space="0" w:sz="0" w:val="nil"/>
              <w:bottom w:color="ffffff" w:space="0" w:sz="4"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82">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Analyzing</w:t>
            </w:r>
          </w:p>
        </w:tc>
        <w:tc>
          <w:tcPr>
            <w:tcBorders>
              <w:left w:color="000000" w:space="0" w:sz="0" w:val="nil"/>
              <w:bottom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83">
            <w:pPr>
              <w:widowControl w:val="0"/>
              <w:spacing w:line="276" w:lineRule="auto"/>
              <w:jc w:val="center"/>
              <w:rPr>
                <w:rFonts w:ascii="Arial" w:cs="Arial" w:eastAsia="Arial" w:hAnsi="Arial"/>
                <w:i w:val="1"/>
                <w:iCs w:val="1"/>
              </w:rPr>
            </w:pPr>
            <w:r w:rsidDel="00000000" w:rsidR="00000000" w:rsidRPr="00000000">
              <w:rPr>
                <w:rtl w:val="0"/>
              </w:rPr>
            </w:r>
          </w:p>
        </w:tc>
        <w:tc>
          <w:tcPr>
            <w:tcBorders>
              <w:left w:color="000000" w:space="0" w:sz="0" w:val="nil"/>
              <w:bottom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84">
            <w:pPr>
              <w:widowControl w:val="0"/>
              <w:spacing w:line="276" w:lineRule="auto"/>
              <w:jc w:val="center"/>
              <w:rPr>
                <w:rFonts w:ascii="Arial" w:cs="Arial" w:eastAsia="Arial" w:hAnsi="Arial"/>
                <w:i w:val="1"/>
                <w:iCs w:val="1"/>
              </w:rPr>
            </w:pPr>
            <w:r w:rsidDel="00000000" w:rsidR="00000000" w:rsidRPr="00000000">
              <w:rPr>
                <w:rtl w:val="0"/>
              </w:rPr>
            </w:r>
          </w:p>
        </w:tc>
      </w:tr>
      <w:tr>
        <w:trPr>
          <w:cantSplit w:val="0"/>
          <w:trHeight w:val="103" w:hRule="atLeast"/>
          <w:tblHeader w:val="0"/>
        </w:trPr>
        <w:tc>
          <w:tcPr>
            <w:tcBorders>
              <w:top w:color="ffffff" w:space="0" w:sz="4" w:val="single"/>
              <w:left w:color="ffffff" w:space="0" w:sz="4" w:val="single"/>
              <w:bottom w:color="000000" w:space="0" w:sz="4" w:val="single"/>
              <w:right w:color="ffffff" w:space="0" w:sz="4" w:val="single"/>
            </w:tcBorders>
            <w:tcMar>
              <w:top w:w="-1152.0" w:type="dxa"/>
              <w:left w:w="-1152.0" w:type="dxa"/>
              <w:bottom w:w="-1152.0" w:type="dxa"/>
              <w:right w:w="-1152.0" w:type="dxa"/>
            </w:tcMar>
          </w:tcPr>
          <w:p w:rsidR="00000000" w:rsidDel="00000000" w:rsidP="00000000" w:rsidRDefault="00000000" w:rsidRPr="00000000" w14:paraId="00000185">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Low</w:t>
            </w:r>
          </w:p>
          <w:p w:rsidR="00000000" w:rsidDel="00000000" w:rsidP="00000000" w:rsidRDefault="00000000" w:rsidRPr="00000000" w14:paraId="00000186">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Average</w:t>
            </w:r>
          </w:p>
          <w:p w:rsidR="00000000" w:rsidDel="00000000" w:rsidP="00000000" w:rsidRDefault="00000000" w:rsidRPr="00000000" w14:paraId="00000187">
            <w:pPr>
              <w:widowControl w:val="0"/>
              <w:spacing w:line="276" w:lineRule="auto"/>
              <w:ind w:left="0" w:firstLine="0"/>
              <w:rPr>
                <w:rFonts w:ascii="Arial" w:cs="Arial" w:eastAsia="Arial" w:hAnsi="Arial"/>
                <w:b w:val="1"/>
                <w:bCs w:val="1"/>
              </w:rPr>
            </w:pPr>
            <w:r w:rsidDel="00000000" w:rsidR="00000000" w:rsidRPr="00000000">
              <w:rPr>
                <w:rFonts w:ascii="Arial" w:cs="Arial" w:eastAsia="Arial" w:hAnsi="Arial"/>
                <w:rtl w:val="0"/>
              </w:rPr>
              <w:t xml:space="preserve">High</w:t>
            </w:r>
            <w:r w:rsidDel="00000000" w:rsidR="00000000" w:rsidRPr="00000000">
              <w:rPr>
                <w:rtl w:val="0"/>
              </w:rPr>
            </w:r>
          </w:p>
        </w:tc>
        <w:tc>
          <w:tcPr>
            <w:tcBorders>
              <w:top w:color="000000" w:space="0" w:sz="0" w:val="nil"/>
              <w:left w:color="ffffff" w:space="0" w:sz="4" w:val="single"/>
              <w:bottom w:color="000000" w:space="0" w:sz="4"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8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15</w:t>
            </w:r>
          </w:p>
          <w:p w:rsidR="00000000" w:rsidDel="00000000" w:rsidP="00000000" w:rsidRDefault="00000000" w:rsidRPr="00000000" w14:paraId="0000018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155</w:t>
            </w:r>
          </w:p>
          <w:p w:rsidR="00000000" w:rsidDel="00000000" w:rsidP="00000000" w:rsidRDefault="00000000" w:rsidRPr="00000000" w14:paraId="0000018A">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155</w:t>
            </w:r>
          </w:p>
        </w:tc>
        <w:tc>
          <w:tcPr>
            <w:tcBorders>
              <w:top w:color="000000" w:space="0" w:sz="0" w:val="nil"/>
              <w:left w:color="000000" w:space="0" w:sz="0" w:val="nil"/>
              <w:bottom w:color="000000" w:space="0" w:sz="4"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8B">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4.6</w:t>
            </w:r>
          </w:p>
          <w:p w:rsidR="00000000" w:rsidDel="00000000" w:rsidP="00000000" w:rsidRDefault="00000000" w:rsidRPr="00000000" w14:paraId="0000018C">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47.7</w:t>
            </w:r>
          </w:p>
          <w:p w:rsidR="00000000" w:rsidDel="00000000" w:rsidP="00000000" w:rsidRDefault="00000000" w:rsidRPr="00000000" w14:paraId="0000018D">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47.7</w:t>
            </w:r>
          </w:p>
        </w:tc>
      </w:tr>
      <w:tr>
        <w:trPr>
          <w:cantSplit w:val="0"/>
          <w:trHeight w:val="22" w:hRule="atLeast"/>
          <w:tblHeader w:val="0"/>
        </w:trPr>
        <w:tc>
          <w:tcPr>
            <w:tcBorders>
              <w:top w:color="000000" w:space="0" w:sz="4"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8E">
            <w:pPr>
              <w:widowControl w:val="0"/>
              <w:spacing w:line="276" w:lineRule="auto"/>
              <w:rPr>
                <w:rFonts w:ascii="Arial" w:cs="Arial" w:eastAsia="Arial" w:hAnsi="Arial"/>
              </w:rPr>
            </w:pPr>
            <w:r w:rsidDel="00000000" w:rsidR="00000000" w:rsidRPr="00000000">
              <w:rPr>
                <w:rFonts w:ascii="Arial" w:cs="Arial" w:eastAsia="Arial" w:hAnsi="Arial"/>
                <w:rtl w:val="0"/>
              </w:rPr>
              <w:t xml:space="preserve">Total</w:t>
            </w:r>
          </w:p>
        </w:tc>
        <w:tc>
          <w:tcPr>
            <w:tcBorders>
              <w:top w:color="000000" w:space="0" w:sz="4"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8F">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325</w:t>
            </w:r>
          </w:p>
        </w:tc>
        <w:tc>
          <w:tcPr>
            <w:tcBorders>
              <w:top w:color="000000" w:space="0" w:sz="4"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90">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100.0</w:t>
            </w:r>
          </w:p>
        </w:tc>
      </w:tr>
      <w:tr>
        <w:trPr>
          <w:cantSplit w:val="0"/>
          <w:tblHeader w:val="0"/>
        </w:trPr>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91">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Evaluating</w:t>
            </w:r>
          </w:p>
        </w:tc>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92">
            <w:pPr>
              <w:widowControl w:val="0"/>
              <w:spacing w:line="276" w:lineRule="auto"/>
              <w:jc w:val="center"/>
              <w:rPr>
                <w:rFonts w:ascii="Arial" w:cs="Arial" w:eastAsia="Arial" w:hAnsi="Arial"/>
              </w:rPr>
            </w:pPr>
            <w:r w:rsidDel="00000000" w:rsidR="00000000" w:rsidRPr="00000000">
              <w:rPr>
                <w:rtl w:val="0"/>
              </w:rPr>
            </w:r>
          </w:p>
        </w:tc>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93">
            <w:pPr>
              <w:widowControl w:val="0"/>
              <w:spacing w:line="276" w:lineRule="auto"/>
              <w:jc w:val="center"/>
              <w:rPr>
                <w:rFonts w:ascii="Arial" w:cs="Arial" w:eastAsia="Arial" w:hAnsi="Arial"/>
              </w:rPr>
            </w:pPr>
            <w:r w:rsidDel="00000000" w:rsidR="00000000" w:rsidRPr="00000000">
              <w:rPr>
                <w:rtl w:val="0"/>
              </w:rPr>
            </w:r>
          </w:p>
        </w:tc>
      </w:tr>
      <w:tr>
        <w:trPr>
          <w:cantSplit w:val="0"/>
          <w:tblHeader w:val="0"/>
        </w:trPr>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94">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Low</w:t>
            </w:r>
          </w:p>
          <w:p w:rsidR="00000000" w:rsidDel="00000000" w:rsidP="00000000" w:rsidRDefault="00000000" w:rsidRPr="00000000" w14:paraId="00000195">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Average</w:t>
            </w:r>
          </w:p>
          <w:p w:rsidR="00000000" w:rsidDel="00000000" w:rsidP="00000000" w:rsidRDefault="00000000" w:rsidRPr="00000000" w14:paraId="00000196">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High</w:t>
            </w:r>
          </w:p>
        </w:tc>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97">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19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118</w:t>
            </w:r>
          </w:p>
          <w:p w:rsidR="00000000" w:rsidDel="00000000" w:rsidP="00000000" w:rsidRDefault="00000000" w:rsidRPr="00000000" w14:paraId="0000019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207</w:t>
            </w:r>
          </w:p>
        </w:tc>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9A">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19B">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36.3</w:t>
            </w:r>
          </w:p>
          <w:p w:rsidR="00000000" w:rsidDel="00000000" w:rsidP="00000000" w:rsidRDefault="00000000" w:rsidRPr="00000000" w14:paraId="0000019C">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63.7</w:t>
            </w:r>
          </w:p>
        </w:tc>
      </w:tr>
      <w:tr>
        <w:trPr>
          <w:cantSplit w:val="0"/>
          <w:tblHeader w:val="0"/>
        </w:trPr>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9D">
            <w:pPr>
              <w:widowControl w:val="0"/>
              <w:spacing w:line="276" w:lineRule="auto"/>
              <w:rPr>
                <w:rFonts w:ascii="Arial" w:cs="Arial" w:eastAsia="Arial" w:hAnsi="Arial"/>
              </w:rPr>
            </w:pPr>
            <w:r w:rsidDel="00000000" w:rsidR="00000000" w:rsidRPr="00000000">
              <w:rPr>
                <w:rFonts w:ascii="Arial" w:cs="Arial" w:eastAsia="Arial" w:hAnsi="Arial"/>
                <w:rtl w:val="0"/>
              </w:rPr>
              <w:t xml:space="preserve">Total</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9E">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325</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9F">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100.0</w:t>
            </w:r>
          </w:p>
        </w:tc>
      </w:tr>
      <w:tr>
        <w:trPr>
          <w:cantSplit w:val="0"/>
          <w:tblHeader w:val="0"/>
        </w:trPr>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A0">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Creating</w:t>
            </w:r>
          </w:p>
        </w:tc>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A1">
            <w:pPr>
              <w:widowControl w:val="0"/>
              <w:spacing w:line="276" w:lineRule="auto"/>
              <w:jc w:val="center"/>
              <w:rPr>
                <w:rFonts w:ascii="Arial" w:cs="Arial" w:eastAsia="Arial" w:hAnsi="Arial"/>
              </w:rPr>
            </w:pPr>
            <w:r w:rsidDel="00000000" w:rsidR="00000000" w:rsidRPr="00000000">
              <w:rPr>
                <w:rtl w:val="0"/>
              </w:rPr>
            </w:r>
          </w:p>
        </w:tc>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A2">
            <w:pPr>
              <w:widowControl w:val="0"/>
              <w:spacing w:line="276" w:lineRule="auto"/>
              <w:jc w:val="center"/>
              <w:rPr>
                <w:rFonts w:ascii="Arial" w:cs="Arial" w:eastAsia="Arial" w:hAnsi="Arial"/>
              </w:rPr>
            </w:pPr>
            <w:r w:rsidDel="00000000" w:rsidR="00000000" w:rsidRPr="00000000">
              <w:rPr>
                <w:rtl w:val="0"/>
              </w:rPr>
            </w:r>
          </w:p>
        </w:tc>
      </w:tr>
      <w:tr>
        <w:trPr>
          <w:cantSplit w:val="0"/>
          <w:tblHeader w:val="0"/>
        </w:trPr>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A3">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Low</w:t>
            </w:r>
          </w:p>
          <w:p w:rsidR="00000000" w:rsidDel="00000000" w:rsidP="00000000" w:rsidRDefault="00000000" w:rsidRPr="00000000" w14:paraId="000001A4">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Average</w:t>
            </w:r>
          </w:p>
          <w:p w:rsidR="00000000" w:rsidDel="00000000" w:rsidP="00000000" w:rsidRDefault="00000000" w:rsidRPr="00000000" w14:paraId="000001A5">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High</w:t>
            </w:r>
          </w:p>
        </w:tc>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A6">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A7">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203</w:t>
            </w:r>
          </w:p>
          <w:p w:rsidR="00000000" w:rsidDel="00000000" w:rsidP="00000000" w:rsidRDefault="00000000" w:rsidRPr="00000000" w14:paraId="000001A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120</w:t>
            </w:r>
          </w:p>
        </w:tc>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A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.6</w:t>
            </w:r>
          </w:p>
          <w:p w:rsidR="00000000" w:rsidDel="00000000" w:rsidP="00000000" w:rsidRDefault="00000000" w:rsidRPr="00000000" w14:paraId="000001AA">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62.5</w:t>
            </w:r>
          </w:p>
          <w:p w:rsidR="00000000" w:rsidDel="00000000" w:rsidP="00000000" w:rsidRDefault="00000000" w:rsidRPr="00000000" w14:paraId="000001AB">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36.9</w:t>
            </w:r>
          </w:p>
        </w:tc>
      </w:tr>
      <w:tr>
        <w:trPr>
          <w:cantSplit w:val="0"/>
          <w:tblHeader w:val="0"/>
        </w:trPr>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AC">
            <w:pPr>
              <w:widowControl w:val="0"/>
              <w:spacing w:line="276" w:lineRule="auto"/>
              <w:rPr>
                <w:rFonts w:ascii="Arial" w:cs="Arial" w:eastAsia="Arial" w:hAnsi="Arial"/>
              </w:rPr>
            </w:pPr>
            <w:r w:rsidDel="00000000" w:rsidR="00000000" w:rsidRPr="00000000">
              <w:rPr>
                <w:rFonts w:ascii="Arial" w:cs="Arial" w:eastAsia="Arial" w:hAnsi="Arial"/>
                <w:rtl w:val="0"/>
              </w:rPr>
              <w:t xml:space="preserve">Total</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AD">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325</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AE">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100.0</w:t>
            </w:r>
          </w:p>
        </w:tc>
      </w:tr>
      <w:tr>
        <w:trPr>
          <w:cantSplit w:val="0"/>
          <w:tblHeader w:val="0"/>
        </w:trPr>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AF">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Remembering</w:t>
            </w:r>
          </w:p>
        </w:tc>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B0">
            <w:pPr>
              <w:widowControl w:val="0"/>
              <w:spacing w:line="276" w:lineRule="auto"/>
              <w:jc w:val="center"/>
              <w:rPr>
                <w:rFonts w:ascii="Arial" w:cs="Arial" w:eastAsia="Arial" w:hAnsi="Arial"/>
              </w:rPr>
            </w:pPr>
            <w:r w:rsidDel="00000000" w:rsidR="00000000" w:rsidRPr="00000000">
              <w:rPr>
                <w:rtl w:val="0"/>
              </w:rPr>
            </w:r>
          </w:p>
        </w:tc>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B1">
            <w:pPr>
              <w:widowControl w:val="0"/>
              <w:spacing w:line="276" w:lineRule="auto"/>
              <w:jc w:val="center"/>
              <w:rPr>
                <w:rFonts w:ascii="Arial" w:cs="Arial" w:eastAsia="Arial" w:hAnsi="Arial"/>
              </w:rPr>
            </w:pPr>
            <w:r w:rsidDel="00000000" w:rsidR="00000000" w:rsidRPr="00000000">
              <w:rPr>
                <w:rtl w:val="0"/>
              </w:rPr>
            </w:r>
          </w:p>
        </w:tc>
      </w:tr>
      <w:tr>
        <w:trPr>
          <w:cantSplit w:val="0"/>
          <w:trHeight w:val="628" w:hRule="atLeast"/>
          <w:tblHeader w:val="0"/>
        </w:trPr>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B2">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Low</w:t>
            </w:r>
          </w:p>
          <w:p w:rsidR="00000000" w:rsidDel="00000000" w:rsidP="00000000" w:rsidRDefault="00000000" w:rsidRPr="00000000" w14:paraId="000001B3">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Average</w:t>
            </w:r>
          </w:p>
          <w:p w:rsidR="00000000" w:rsidDel="00000000" w:rsidP="00000000" w:rsidRDefault="00000000" w:rsidRPr="00000000" w14:paraId="000001B4">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High</w:t>
            </w:r>
          </w:p>
        </w:tc>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B5">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7</w:t>
            </w:r>
          </w:p>
          <w:p w:rsidR="00000000" w:rsidDel="00000000" w:rsidP="00000000" w:rsidRDefault="00000000" w:rsidRPr="00000000" w14:paraId="000001B6">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157</w:t>
            </w:r>
          </w:p>
          <w:p w:rsidR="00000000" w:rsidDel="00000000" w:rsidP="00000000" w:rsidRDefault="00000000" w:rsidRPr="00000000" w14:paraId="000001B7">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161</w:t>
            </w:r>
          </w:p>
        </w:tc>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B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B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48.3</w:t>
            </w:r>
          </w:p>
          <w:p w:rsidR="00000000" w:rsidDel="00000000" w:rsidP="00000000" w:rsidRDefault="00000000" w:rsidRPr="00000000" w14:paraId="000001BA">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49.5</w:t>
            </w:r>
          </w:p>
        </w:tc>
      </w:tr>
      <w:tr>
        <w:trPr>
          <w:cantSplit w:val="0"/>
          <w:tblHeader w:val="0"/>
        </w:trPr>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BB">
            <w:pPr>
              <w:widowControl w:val="0"/>
              <w:spacing w:line="276" w:lineRule="auto"/>
              <w:rPr>
                <w:rFonts w:ascii="Arial" w:cs="Arial" w:eastAsia="Arial" w:hAnsi="Arial"/>
              </w:rPr>
            </w:pPr>
            <w:r w:rsidDel="00000000" w:rsidR="00000000" w:rsidRPr="00000000">
              <w:rPr>
                <w:rFonts w:ascii="Arial" w:cs="Arial" w:eastAsia="Arial" w:hAnsi="Arial"/>
                <w:rtl w:val="0"/>
              </w:rPr>
              <w:t xml:space="preserve">Total</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BC">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325</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BD">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100.0</w:t>
            </w:r>
          </w:p>
        </w:tc>
      </w:tr>
      <w:tr>
        <w:trPr>
          <w:cantSplit w:val="0"/>
          <w:tblHeader w:val="0"/>
        </w:trPr>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BE">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Understanding</w:t>
            </w:r>
          </w:p>
        </w:tc>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BF">
            <w:pPr>
              <w:widowControl w:val="0"/>
              <w:spacing w:line="276" w:lineRule="auto"/>
              <w:jc w:val="center"/>
              <w:rPr>
                <w:rFonts w:ascii="Arial" w:cs="Arial" w:eastAsia="Arial" w:hAnsi="Arial"/>
              </w:rPr>
            </w:pPr>
            <w:r w:rsidDel="00000000" w:rsidR="00000000" w:rsidRPr="00000000">
              <w:rPr>
                <w:rtl w:val="0"/>
              </w:rPr>
            </w:r>
          </w:p>
        </w:tc>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C0">
            <w:pPr>
              <w:widowControl w:val="0"/>
              <w:spacing w:line="276" w:lineRule="auto"/>
              <w:jc w:val="center"/>
              <w:rPr>
                <w:rFonts w:ascii="Arial" w:cs="Arial" w:eastAsia="Arial" w:hAnsi="Arial"/>
              </w:rPr>
            </w:pPr>
            <w:r w:rsidDel="00000000" w:rsidR="00000000" w:rsidRPr="00000000">
              <w:rPr>
                <w:rtl w:val="0"/>
              </w:rPr>
            </w:r>
          </w:p>
        </w:tc>
      </w:tr>
      <w:tr>
        <w:trPr>
          <w:cantSplit w:val="0"/>
          <w:tblHeader w:val="0"/>
        </w:trPr>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C1">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Low</w:t>
            </w:r>
          </w:p>
          <w:p w:rsidR="00000000" w:rsidDel="00000000" w:rsidP="00000000" w:rsidRDefault="00000000" w:rsidRPr="00000000" w14:paraId="000001C2">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Average</w:t>
            </w:r>
          </w:p>
          <w:p w:rsidR="00000000" w:rsidDel="00000000" w:rsidP="00000000" w:rsidRDefault="00000000" w:rsidRPr="00000000" w14:paraId="000001C3">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High</w:t>
            </w:r>
          </w:p>
        </w:tc>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C4">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11</w:t>
            </w:r>
          </w:p>
          <w:p w:rsidR="00000000" w:rsidDel="00000000" w:rsidP="00000000" w:rsidRDefault="00000000" w:rsidRPr="00000000" w14:paraId="000001C5">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154</w:t>
            </w:r>
          </w:p>
          <w:p w:rsidR="00000000" w:rsidDel="00000000" w:rsidP="00000000" w:rsidRDefault="00000000" w:rsidRPr="00000000" w14:paraId="000001C6">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160</w:t>
            </w:r>
          </w:p>
        </w:tc>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C7">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3.4</w:t>
            </w:r>
          </w:p>
          <w:p w:rsidR="00000000" w:rsidDel="00000000" w:rsidP="00000000" w:rsidRDefault="00000000" w:rsidRPr="00000000" w14:paraId="000001C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47.4</w:t>
            </w:r>
          </w:p>
          <w:p w:rsidR="00000000" w:rsidDel="00000000" w:rsidP="00000000" w:rsidRDefault="00000000" w:rsidRPr="00000000" w14:paraId="000001C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49.2</w:t>
            </w:r>
          </w:p>
        </w:tc>
      </w:tr>
      <w:tr>
        <w:trPr>
          <w:cantSplit w:val="0"/>
          <w:tblHeader w:val="0"/>
        </w:trPr>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CA">
            <w:pPr>
              <w:widowControl w:val="0"/>
              <w:spacing w:line="276" w:lineRule="auto"/>
              <w:rPr>
                <w:rFonts w:ascii="Arial" w:cs="Arial" w:eastAsia="Arial" w:hAnsi="Arial"/>
              </w:rPr>
            </w:pPr>
            <w:r w:rsidDel="00000000" w:rsidR="00000000" w:rsidRPr="00000000">
              <w:rPr>
                <w:rFonts w:ascii="Arial" w:cs="Arial" w:eastAsia="Arial" w:hAnsi="Arial"/>
                <w:rtl w:val="0"/>
              </w:rPr>
              <w:t xml:space="preserve">Total</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CB">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325</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CC">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100.0</w:t>
            </w:r>
          </w:p>
        </w:tc>
      </w:tr>
      <w:tr>
        <w:trPr>
          <w:cantSplit w:val="0"/>
          <w:tblHeader w:val="0"/>
        </w:trPr>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CD">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Applying</w:t>
            </w:r>
          </w:p>
        </w:tc>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CE">
            <w:pPr>
              <w:widowControl w:val="0"/>
              <w:spacing w:line="276" w:lineRule="auto"/>
              <w:jc w:val="center"/>
              <w:rPr>
                <w:rFonts w:ascii="Arial" w:cs="Arial" w:eastAsia="Arial" w:hAnsi="Arial"/>
              </w:rPr>
            </w:pPr>
            <w:r w:rsidDel="00000000" w:rsidR="00000000" w:rsidRPr="00000000">
              <w:rPr>
                <w:rtl w:val="0"/>
              </w:rPr>
            </w:r>
          </w:p>
        </w:tc>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CF">
            <w:pPr>
              <w:widowControl w:val="0"/>
              <w:spacing w:line="276" w:lineRule="auto"/>
              <w:jc w:val="center"/>
              <w:rPr>
                <w:rFonts w:ascii="Arial" w:cs="Arial" w:eastAsia="Arial" w:hAnsi="Arial"/>
              </w:rPr>
            </w:pPr>
            <w:r w:rsidDel="00000000" w:rsidR="00000000" w:rsidRPr="00000000">
              <w:rPr>
                <w:rtl w:val="0"/>
              </w:rPr>
            </w:r>
          </w:p>
        </w:tc>
      </w:tr>
      <w:tr>
        <w:trPr>
          <w:cantSplit w:val="0"/>
          <w:tblHeader w:val="0"/>
        </w:trPr>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D0">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Low</w:t>
            </w:r>
          </w:p>
          <w:p w:rsidR="00000000" w:rsidDel="00000000" w:rsidP="00000000" w:rsidRDefault="00000000" w:rsidRPr="00000000" w14:paraId="000001D1">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Average</w:t>
            </w:r>
          </w:p>
          <w:p w:rsidR="00000000" w:rsidDel="00000000" w:rsidP="00000000" w:rsidRDefault="00000000" w:rsidRPr="00000000" w14:paraId="000001D2">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High</w:t>
            </w:r>
          </w:p>
        </w:tc>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D3">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17</w:t>
            </w:r>
          </w:p>
          <w:p w:rsidR="00000000" w:rsidDel="00000000" w:rsidP="00000000" w:rsidRDefault="00000000" w:rsidRPr="00000000" w14:paraId="000001D4">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120</w:t>
            </w:r>
          </w:p>
          <w:p w:rsidR="00000000" w:rsidDel="00000000" w:rsidP="00000000" w:rsidRDefault="00000000" w:rsidRPr="00000000" w14:paraId="000001D5">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188</w:t>
            </w:r>
          </w:p>
        </w:tc>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D6">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5.2</w:t>
            </w:r>
          </w:p>
          <w:p w:rsidR="00000000" w:rsidDel="00000000" w:rsidP="00000000" w:rsidRDefault="00000000" w:rsidRPr="00000000" w14:paraId="000001D7">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36.9</w:t>
            </w:r>
          </w:p>
          <w:p w:rsidR="00000000" w:rsidDel="00000000" w:rsidP="00000000" w:rsidRDefault="00000000" w:rsidRPr="00000000" w14:paraId="000001D8">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57.8</w:t>
            </w:r>
          </w:p>
        </w:tc>
      </w:tr>
      <w:tr>
        <w:trPr>
          <w:cantSplit w:val="0"/>
          <w:tblHeader w:val="0"/>
        </w:trPr>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D9">
            <w:pPr>
              <w:widowControl w:val="0"/>
              <w:spacing w:line="276" w:lineRule="auto"/>
              <w:rPr>
                <w:rFonts w:ascii="Arial" w:cs="Arial" w:eastAsia="Arial" w:hAnsi="Arial"/>
              </w:rPr>
            </w:pPr>
            <w:r w:rsidDel="00000000" w:rsidR="00000000" w:rsidRPr="00000000">
              <w:rPr>
                <w:rFonts w:ascii="Arial" w:cs="Arial" w:eastAsia="Arial" w:hAnsi="Arial"/>
                <w:rtl w:val="0"/>
              </w:rPr>
              <w:t xml:space="preserve">Total</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DA">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325</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DB">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100.0</w:t>
            </w:r>
          </w:p>
        </w:tc>
      </w:tr>
      <w:tr>
        <w:trPr>
          <w:cantSplit w:val="0"/>
          <w:tblHeader w:val="0"/>
        </w:trPr>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DC">
            <w:pPr>
              <w:widowControl w:val="0"/>
              <w:spacing w:line="276" w:lineRule="auto"/>
              <w:rPr>
                <w:rFonts w:ascii="Arial" w:cs="Arial" w:eastAsia="Arial" w:hAnsi="Arial"/>
              </w:rPr>
            </w:pPr>
            <w:r w:rsidDel="00000000" w:rsidR="00000000" w:rsidRPr="00000000">
              <w:rPr>
                <w:rFonts w:ascii="Arial" w:cs="Arial" w:eastAsia="Arial" w:hAnsi="Arial"/>
                <w:rtl w:val="0"/>
              </w:rPr>
              <w:t xml:space="preserve">Overall Critical Thinking Skills</w:t>
            </w:r>
          </w:p>
        </w:tc>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DD">
            <w:pPr>
              <w:widowControl w:val="0"/>
              <w:spacing w:line="276" w:lineRule="auto"/>
              <w:jc w:val="center"/>
              <w:rPr>
                <w:rFonts w:ascii="Arial" w:cs="Arial" w:eastAsia="Arial" w:hAnsi="Arial"/>
              </w:rPr>
            </w:pPr>
            <w:r w:rsidDel="00000000" w:rsidR="00000000" w:rsidRPr="00000000">
              <w:rPr>
                <w:rtl w:val="0"/>
              </w:rPr>
            </w:r>
          </w:p>
        </w:tc>
        <w:tc>
          <w:tcPr>
            <w:tcBorders>
              <w:left w:color="000000" w:space="0" w:sz="0" w:val="nil"/>
              <w:bottom w:color="ffffff" w:space="0" w:sz="8" w:val="single"/>
              <w:right w:color="000000" w:space="0" w:sz="0" w:val="nil"/>
            </w:tcBorders>
            <w:tcMar>
              <w:top w:w="-1152.0" w:type="dxa"/>
              <w:left w:w="-1152.0" w:type="dxa"/>
              <w:bottom w:w="-1152.0" w:type="dxa"/>
              <w:right w:w="-1152.0" w:type="dxa"/>
            </w:tcMar>
          </w:tcPr>
          <w:p w:rsidR="00000000" w:rsidDel="00000000" w:rsidP="00000000" w:rsidRDefault="00000000" w:rsidRPr="00000000" w14:paraId="000001DE">
            <w:pPr>
              <w:widowControl w:val="0"/>
              <w:spacing w:line="276" w:lineRule="auto"/>
              <w:jc w:val="center"/>
              <w:rPr>
                <w:rFonts w:ascii="Arial" w:cs="Arial" w:eastAsia="Arial" w:hAnsi="Arial"/>
              </w:rPr>
            </w:pPr>
            <w:r w:rsidDel="00000000" w:rsidR="00000000" w:rsidRPr="00000000">
              <w:rPr>
                <w:rtl w:val="0"/>
              </w:rPr>
            </w:r>
          </w:p>
        </w:tc>
      </w:tr>
      <w:tr>
        <w:trPr>
          <w:cantSplit w:val="0"/>
          <w:trHeight w:val="613" w:hRule="atLeast"/>
          <w:tblHeader w:val="0"/>
        </w:trPr>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DF">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Low</w:t>
            </w:r>
          </w:p>
          <w:p w:rsidR="00000000" w:rsidDel="00000000" w:rsidP="00000000" w:rsidRDefault="00000000" w:rsidRPr="00000000" w14:paraId="000001E0">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Average</w:t>
            </w:r>
          </w:p>
          <w:p w:rsidR="00000000" w:rsidDel="00000000" w:rsidP="00000000" w:rsidRDefault="00000000" w:rsidRPr="00000000" w14:paraId="000001E1">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High</w:t>
            </w:r>
          </w:p>
        </w:tc>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E2">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8</w:t>
            </w:r>
          </w:p>
          <w:p w:rsidR="00000000" w:rsidDel="00000000" w:rsidP="00000000" w:rsidRDefault="00000000" w:rsidRPr="00000000" w14:paraId="000001E3">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160</w:t>
            </w:r>
          </w:p>
          <w:p w:rsidR="00000000" w:rsidDel="00000000" w:rsidP="00000000" w:rsidRDefault="00000000" w:rsidRPr="00000000" w14:paraId="000001E4">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157</w:t>
            </w:r>
          </w:p>
        </w:tc>
        <w:tc>
          <w:tcPr>
            <w:tcBorders>
              <w:top w:color="ffffff" w:space="0" w:sz="8" w:val="single"/>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E5">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2.5</w:t>
            </w:r>
          </w:p>
          <w:p w:rsidR="00000000" w:rsidDel="00000000" w:rsidP="00000000" w:rsidRDefault="00000000" w:rsidRPr="00000000" w14:paraId="000001E6">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49.2</w:t>
            </w:r>
          </w:p>
          <w:p w:rsidR="00000000" w:rsidDel="00000000" w:rsidP="00000000" w:rsidRDefault="00000000" w:rsidRPr="00000000" w14:paraId="000001E7">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48.3</w:t>
            </w:r>
          </w:p>
        </w:tc>
      </w:tr>
      <w:tr>
        <w:trPr>
          <w:cantSplit w:val="0"/>
          <w:tblHeader w:val="0"/>
        </w:trPr>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E8">
            <w:pPr>
              <w:widowControl w:val="0"/>
              <w:spacing w:line="276" w:lineRule="auto"/>
              <w:rPr>
                <w:rFonts w:ascii="Arial" w:cs="Arial" w:eastAsia="Arial" w:hAnsi="Arial"/>
              </w:rPr>
            </w:pPr>
            <w:r w:rsidDel="00000000" w:rsidR="00000000" w:rsidRPr="00000000">
              <w:rPr>
                <w:rFonts w:ascii="Arial" w:cs="Arial" w:eastAsia="Arial" w:hAnsi="Arial"/>
                <w:rtl w:val="0"/>
              </w:rPr>
              <w:t xml:space="preserve">Total</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E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325</w:t>
            </w:r>
          </w:p>
        </w:tc>
        <w:tc>
          <w:tcPr>
            <w:tcBorders>
              <w:left w:color="000000" w:space="0" w:sz="0" w:val="nil"/>
              <w:right w:color="000000" w:space="0" w:sz="0" w:val="nil"/>
            </w:tcBorders>
            <w:tcMar>
              <w:top w:w="-1152.0" w:type="dxa"/>
              <w:left w:w="-1152.0" w:type="dxa"/>
              <w:bottom w:w="-1152.0" w:type="dxa"/>
              <w:right w:w="-1152.0" w:type="dxa"/>
            </w:tcMar>
          </w:tcPr>
          <w:p w:rsidR="00000000" w:rsidDel="00000000" w:rsidP="00000000" w:rsidRDefault="00000000" w:rsidRPr="00000000" w14:paraId="000001EA">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100.0</w:t>
            </w:r>
          </w:p>
        </w:tc>
      </w:tr>
    </w:tbl>
    <w:p w:rsidR="00000000" w:rsidDel="00000000" w:rsidP="00000000" w:rsidRDefault="00000000" w:rsidRPr="00000000" w14:paraId="000001EB">
      <w:pPr>
        <w:spacing w:line="276" w:lineRule="auto"/>
        <w:jc w:val="both"/>
        <w:rPr>
          <w:rFonts w:ascii="Arial" w:cs="Arial" w:eastAsia="Arial" w:hAnsi="Arial"/>
          <w:i w:val="1"/>
          <w:iCs w:val="1"/>
        </w:rPr>
      </w:pPr>
      <w:r w:rsidDel="00000000" w:rsidR="00000000" w:rsidRPr="00000000">
        <w:rPr>
          <w:rFonts w:ascii="Arial" w:cs="Arial" w:eastAsia="Arial" w:hAnsi="Arial"/>
          <w:i w:val="1"/>
          <w:iCs w:val="1"/>
          <w:rtl w:val="0"/>
        </w:rPr>
        <w:t xml:space="preserve">Note: A suggested interpretation of raw scores</w:t>
      </w:r>
    </w:p>
    <w:p w:rsidR="00000000" w:rsidDel="00000000" w:rsidP="00000000" w:rsidRDefault="00000000" w:rsidRPr="00000000" w14:paraId="000001EC">
      <w:pPr>
        <w:spacing w:line="276" w:lineRule="auto"/>
        <w:jc w:val="both"/>
        <w:rPr>
          <w:rFonts w:ascii="Arial" w:cs="Arial" w:eastAsia="Arial" w:hAnsi="Arial"/>
          <w:i w:val="1"/>
          <w:iCs w:val="1"/>
          <w:highlight w:val="white"/>
        </w:rPr>
      </w:pPr>
      <w:r w:rsidDel="00000000" w:rsidR="00000000" w:rsidRPr="00000000">
        <w:rPr>
          <w:rFonts w:ascii="Arial" w:cs="Arial" w:eastAsia="Arial" w:hAnsi="Arial"/>
          <w:b w:val="1"/>
          <w:bCs w:val="1"/>
          <w:i w:val="1"/>
          <w:iCs w:val="1"/>
          <w:rtl w:val="0"/>
        </w:rPr>
        <w:t xml:space="preserve">Analysing, Evaluating, Understanding, and Applying</w:t>
      </w:r>
      <w:r w:rsidDel="00000000" w:rsidR="00000000" w:rsidRPr="00000000">
        <w:rPr>
          <w:rFonts w:ascii="Arial" w:cs="Arial" w:eastAsia="Arial" w:hAnsi="Arial"/>
          <w:i w:val="1"/>
          <w:iCs w:val="1"/>
          <w:rtl w:val="0"/>
        </w:rPr>
        <w:t xml:space="preserve"> - Low results (5-10), Average results (</w:t>
      </w:r>
      <w:r w:rsidDel="00000000" w:rsidR="00000000" w:rsidRPr="00000000">
        <w:rPr>
          <w:rFonts w:ascii="Arial" w:cs="Arial" w:eastAsia="Arial" w:hAnsi="Arial"/>
          <w:i w:val="1"/>
          <w:iCs w:val="1"/>
          <w:highlight w:val="white"/>
          <w:rtl w:val="0"/>
        </w:rPr>
        <w:t xml:space="preserve">11-14), High results (15-20).</w:t>
      </w:r>
    </w:p>
    <w:p w:rsidR="00000000" w:rsidDel="00000000" w:rsidP="00000000" w:rsidRDefault="00000000" w:rsidRPr="00000000" w14:paraId="000001ED">
      <w:pPr>
        <w:spacing w:line="276" w:lineRule="auto"/>
        <w:jc w:val="both"/>
        <w:rPr>
          <w:rFonts w:ascii="Arial" w:cs="Arial" w:eastAsia="Arial" w:hAnsi="Arial"/>
          <w:i w:val="1"/>
          <w:iCs w:val="1"/>
          <w:highlight w:val="white"/>
        </w:rPr>
      </w:pPr>
      <w:r w:rsidDel="00000000" w:rsidR="00000000" w:rsidRPr="00000000">
        <w:rPr>
          <w:rFonts w:ascii="Arial" w:cs="Arial" w:eastAsia="Arial" w:hAnsi="Arial"/>
          <w:b w:val="1"/>
          <w:bCs w:val="1"/>
          <w:i w:val="1"/>
          <w:iCs w:val="1"/>
          <w:highlight w:val="white"/>
          <w:rtl w:val="0"/>
        </w:rPr>
        <w:t xml:space="preserve">Creating</w:t>
      </w:r>
      <w:r w:rsidDel="00000000" w:rsidR="00000000" w:rsidRPr="00000000">
        <w:rPr>
          <w:rFonts w:ascii="Arial" w:cs="Arial" w:eastAsia="Arial" w:hAnsi="Arial"/>
          <w:i w:val="1"/>
          <w:iCs w:val="1"/>
          <w:highlight w:val="white"/>
          <w:rtl w:val="0"/>
        </w:rPr>
        <w:t xml:space="preserve"> - </w:t>
      </w:r>
      <w:r w:rsidDel="00000000" w:rsidR="00000000" w:rsidRPr="00000000">
        <w:rPr>
          <w:rFonts w:ascii="Arial" w:cs="Arial" w:eastAsia="Arial" w:hAnsi="Arial"/>
          <w:i w:val="1"/>
          <w:iCs w:val="1"/>
          <w:rtl w:val="0"/>
        </w:rPr>
        <w:t xml:space="preserve">Low results (6-13), Average results (</w:t>
      </w:r>
      <w:r w:rsidDel="00000000" w:rsidR="00000000" w:rsidRPr="00000000">
        <w:rPr>
          <w:rFonts w:ascii="Arial" w:cs="Arial" w:eastAsia="Arial" w:hAnsi="Arial"/>
          <w:i w:val="1"/>
          <w:iCs w:val="1"/>
          <w:highlight w:val="white"/>
          <w:rtl w:val="0"/>
        </w:rPr>
        <w:t xml:space="preserve">14-22), High results (23-50).</w:t>
      </w:r>
    </w:p>
    <w:p w:rsidR="00000000" w:rsidDel="00000000" w:rsidP="00000000" w:rsidRDefault="00000000" w:rsidRPr="00000000" w14:paraId="000001EE">
      <w:pPr>
        <w:spacing w:line="276" w:lineRule="auto"/>
        <w:jc w:val="both"/>
        <w:rPr>
          <w:rFonts w:ascii="Arial" w:cs="Arial" w:eastAsia="Arial" w:hAnsi="Arial"/>
          <w:i w:val="1"/>
          <w:iCs w:val="1"/>
          <w:highlight w:val="white"/>
        </w:rPr>
      </w:pPr>
      <w:r w:rsidDel="00000000" w:rsidR="00000000" w:rsidRPr="00000000">
        <w:rPr>
          <w:rFonts w:ascii="Arial" w:cs="Arial" w:eastAsia="Arial" w:hAnsi="Arial"/>
          <w:b w:val="1"/>
          <w:bCs w:val="1"/>
          <w:i w:val="1"/>
          <w:iCs w:val="1"/>
          <w:highlight w:val="white"/>
          <w:rtl w:val="0"/>
        </w:rPr>
        <w:t xml:space="preserve">Remembering</w:t>
      </w:r>
      <w:r w:rsidDel="00000000" w:rsidR="00000000" w:rsidRPr="00000000">
        <w:rPr>
          <w:rFonts w:ascii="Arial" w:cs="Arial" w:eastAsia="Arial" w:hAnsi="Arial"/>
          <w:i w:val="1"/>
          <w:iCs w:val="1"/>
          <w:highlight w:val="white"/>
          <w:rtl w:val="0"/>
        </w:rPr>
        <w:t xml:space="preserve"> - </w:t>
      </w:r>
      <w:r w:rsidDel="00000000" w:rsidR="00000000" w:rsidRPr="00000000">
        <w:rPr>
          <w:rFonts w:ascii="Arial" w:cs="Arial" w:eastAsia="Arial" w:hAnsi="Arial"/>
          <w:i w:val="1"/>
          <w:iCs w:val="1"/>
          <w:rtl w:val="0"/>
        </w:rPr>
        <w:t xml:space="preserve">Low results (3-7), Average results (</w:t>
      </w:r>
      <w:r w:rsidDel="00000000" w:rsidR="00000000" w:rsidRPr="00000000">
        <w:rPr>
          <w:rFonts w:ascii="Arial" w:cs="Arial" w:eastAsia="Arial" w:hAnsi="Arial"/>
          <w:i w:val="1"/>
          <w:iCs w:val="1"/>
          <w:highlight w:val="white"/>
          <w:rtl w:val="0"/>
        </w:rPr>
        <w:t xml:space="preserve">8-10), High results (11-15).</w:t>
      </w:r>
    </w:p>
    <w:p w:rsidR="00000000" w:rsidDel="00000000" w:rsidP="00000000" w:rsidRDefault="00000000" w:rsidRPr="00000000" w14:paraId="000001EF">
      <w:pPr>
        <w:spacing w:line="276" w:lineRule="auto"/>
        <w:jc w:val="both"/>
        <w:rPr>
          <w:rFonts w:ascii="Garamond" w:cs="Garamond" w:eastAsia="Garamond" w:hAnsi="Garamond"/>
          <w:i w:val="1"/>
          <w:iCs w:val="1"/>
          <w:highlight w:val="white"/>
        </w:rPr>
      </w:pPr>
      <w:r w:rsidDel="00000000" w:rsidR="00000000" w:rsidRPr="00000000">
        <w:rPr>
          <w:rFonts w:ascii="Arial" w:cs="Arial" w:eastAsia="Arial" w:hAnsi="Arial"/>
          <w:b w:val="1"/>
          <w:bCs w:val="1"/>
          <w:i w:val="1"/>
          <w:iCs w:val="1"/>
          <w:highlight w:val="white"/>
          <w:rtl w:val="0"/>
        </w:rPr>
        <w:t xml:space="preserve">Overall Score</w:t>
      </w:r>
      <w:r w:rsidDel="00000000" w:rsidR="00000000" w:rsidRPr="00000000">
        <w:rPr>
          <w:rFonts w:ascii="Arial" w:cs="Arial" w:eastAsia="Arial" w:hAnsi="Arial"/>
          <w:i w:val="1"/>
          <w:iCs w:val="1"/>
          <w:highlight w:val="white"/>
          <w:rtl w:val="0"/>
        </w:rPr>
        <w:t xml:space="preserve"> - </w:t>
      </w:r>
      <w:r w:rsidDel="00000000" w:rsidR="00000000" w:rsidRPr="00000000">
        <w:rPr>
          <w:rFonts w:ascii="Arial" w:cs="Arial" w:eastAsia="Arial" w:hAnsi="Arial"/>
          <w:i w:val="1"/>
          <w:iCs w:val="1"/>
          <w:rtl w:val="0"/>
        </w:rPr>
        <w:t xml:space="preserve">Low results (25-58), Average results (5</w:t>
      </w:r>
      <w:r w:rsidDel="00000000" w:rsidR="00000000" w:rsidRPr="00000000">
        <w:rPr>
          <w:rFonts w:ascii="Arial" w:cs="Arial" w:eastAsia="Arial" w:hAnsi="Arial"/>
          <w:i w:val="1"/>
          <w:iCs w:val="1"/>
          <w:highlight w:val="white"/>
          <w:rtl w:val="0"/>
        </w:rPr>
        <w:t xml:space="preserve">9-92), High results (93-125)</w:t>
      </w:r>
      <w:r w:rsidDel="00000000" w:rsidR="00000000" w:rsidRPr="00000000">
        <w:rPr>
          <w:rFonts w:ascii="Garamond" w:cs="Garamond" w:eastAsia="Garamond" w:hAnsi="Garamond"/>
          <w:i w:val="1"/>
          <w:iCs w:val="1"/>
          <w:highlight w:val="white"/>
          <w:rtl w:val="0"/>
        </w:rPr>
        <w:t xml:space="preserve">.</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pStyle w:val="Heading2"/>
        <w:spacing w:after="0" w:before="0" w:line="276" w:lineRule="auto"/>
        <w:jc w:val="center"/>
        <w:rPr>
          <w:rFonts w:ascii="Arial" w:cs="Arial" w:eastAsia="Arial" w:hAnsi="Arial"/>
        </w:rPr>
      </w:pPr>
      <w:bookmarkStart w:colFirst="0" w:colLast="0" w:name="_fwu0unor6j2w" w:id="0"/>
      <w:bookmarkEnd w:id="0"/>
      <w:r w:rsidDel="00000000" w:rsidR="00000000" w:rsidRPr="00000000">
        <w:rPr>
          <w:rFonts w:ascii="Arial" w:cs="Arial" w:eastAsia="Arial" w:hAnsi="Arial"/>
          <w:sz w:val="20"/>
          <w:szCs w:val="20"/>
          <w:highlight w:val="white"/>
          <w:rtl w:val="0"/>
        </w:rPr>
        <w:t xml:space="preserve">Inferential Analysis</w:t>
      </w:r>
      <w:r w:rsidDel="00000000" w:rsidR="00000000" w:rsidRPr="00000000">
        <w:rPr>
          <w:rtl w:val="0"/>
        </w:rPr>
      </w:r>
    </w:p>
    <w:p w:rsidR="00000000" w:rsidDel="00000000" w:rsidP="00000000" w:rsidRDefault="00000000" w:rsidRPr="00000000" w14:paraId="000001F2">
      <w:pPr>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Relationship between Gamification Engagement and Critical Thinking Skills among Student Nurses </w:t>
      </w:r>
    </w:p>
    <w:p w:rsidR="00000000" w:rsidDel="00000000" w:rsidP="00000000" w:rsidRDefault="00000000" w:rsidRPr="00000000" w14:paraId="000001F3">
      <w:pPr>
        <w:spacing w:line="276"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F4">
      <w:pPr>
        <w:spacing w:line="240" w:lineRule="auto"/>
        <w:rPr>
          <w:rFonts w:ascii="Arial" w:cs="Arial" w:eastAsia="Arial" w:hAnsi="Arial"/>
        </w:rPr>
      </w:pPr>
      <w:r w:rsidDel="00000000" w:rsidR="00000000" w:rsidRPr="00000000">
        <w:rPr>
          <w:rFonts w:ascii="Arial Unicode MS" w:cs="Arial Unicode MS" w:eastAsia="Arial Unicode MS" w:hAnsi="Arial Unicode MS"/>
          <w:rtl w:val="0"/>
        </w:rPr>
        <w:t xml:space="preserve">The Kolmogorov-Smirnov test was used and showed that the data were not normally distributed, so Spearman Rho was applied. The results revealed no significant relationship between overall gamification engagement and critical thinking skills (rs = −.07, p = .24), leading to the acceptance of the null hypothesis.</w:t>
      </w:r>
    </w:p>
    <w:p w:rsidR="00000000" w:rsidDel="00000000" w:rsidP="00000000" w:rsidRDefault="00000000" w:rsidRPr="00000000" w14:paraId="000001F5">
      <w:pPr>
        <w:spacing w:after="240" w:before="240" w:line="240" w:lineRule="auto"/>
        <w:rPr>
          <w:rFonts w:ascii="Arial" w:cs="Arial" w:eastAsia="Arial" w:hAnsi="Arial"/>
        </w:rPr>
      </w:pPr>
      <w:r w:rsidDel="00000000" w:rsidR="00000000" w:rsidRPr="00000000">
        <w:rPr>
          <w:rFonts w:ascii="Arial Unicode MS" w:cs="Arial Unicode MS" w:eastAsia="Arial Unicode MS" w:hAnsi="Arial Unicode MS"/>
          <w:rtl w:val="0"/>
        </w:rPr>
        <w:t xml:space="preserve">In terms of subdomains, behavioral engagement showed a low positive correlation with critical thinking skills (rs = 0.13, p = .00), while cognitive (rs = .02, p = .66) and emotional engagement (rs = .00, p = .98) showed no significant relationship. Across specific critical thinking domains, behavioral engagement had low positive correlations with evaluating (rs = .14, p = .01) and understanding (rs = .27, p = .00), but a low inverse correlation with applying (rs = −.11, p = .05). Cognitive engagement showed low positive correlations with analyzing (rs = .28, p = .00), evaluating (rs = .24, p = .00), and remembering (rs = .29, p = .00). Emotional engagement had low positive correlations with analyzing (rs = .25, p = .00) and remembering (rs = .27, p = .00), but a negligible inverse correlation with creating (rs = −.03, p = .00).</w:t>
      </w:r>
    </w:p>
    <w:p w:rsidR="00000000" w:rsidDel="00000000" w:rsidP="00000000" w:rsidRDefault="00000000" w:rsidRPr="00000000" w14:paraId="000001F6">
      <w:pPr>
        <w:spacing w:after="240" w:before="240" w:line="240" w:lineRule="auto"/>
        <w:rPr>
          <w:rFonts w:ascii="Arial" w:cs="Arial" w:eastAsia="Arial" w:hAnsi="Arial"/>
        </w:rPr>
      </w:pPr>
      <w:r w:rsidDel="00000000" w:rsidR="00000000" w:rsidRPr="00000000">
        <w:rPr>
          <w:rFonts w:ascii="Arial Unicode MS" w:cs="Arial Unicode MS" w:eastAsia="Arial Unicode MS" w:hAnsi="Arial Unicode MS"/>
          <w:rtl w:val="0"/>
        </w:rPr>
        <w:t xml:space="preserve">For overall gamification engagement across domains, low positive correlations were found with analyzing (rs = .15, p = .009), evaluating (rs = .21, p = .000), remembering (rs = .13, p = .018), and understanding (rs = .27, p = .000), while negligible inverse correlations were observed with creating (rs = −.01, p = .895) and applying (rs = −.07, p = .241). Thus, the null hypothesis was rejected only in domains with significant correlations.</w:t>
      </w:r>
    </w:p>
    <w:p w:rsidR="00000000" w:rsidDel="00000000" w:rsidP="00000000" w:rsidRDefault="00000000" w:rsidRPr="00000000" w14:paraId="000001F7">
      <w:pPr>
        <w:spacing w:after="240" w:before="240" w:line="240" w:lineRule="auto"/>
        <w:rPr>
          <w:rFonts w:ascii="Arial" w:cs="Arial" w:eastAsia="Arial" w:hAnsi="Arial"/>
        </w:rPr>
      </w:pPr>
      <w:r w:rsidDel="00000000" w:rsidR="00000000" w:rsidRPr="00000000">
        <w:rPr>
          <w:rFonts w:ascii="Arial" w:cs="Arial" w:eastAsia="Arial" w:hAnsi="Arial"/>
          <w:rtl w:val="0"/>
        </w:rPr>
        <w:t xml:space="preserve">Overall, while certain aspects of gamification engagement relate to specific critical thinking domains, there is no significant relationship between overall gamification engagement and critical thinking skills among nursing students, consistent with previous findings.</w:t>
      </w:r>
    </w:p>
    <w:p w:rsidR="00000000" w:rsidDel="00000000" w:rsidP="00000000" w:rsidRDefault="00000000" w:rsidRPr="00000000" w14:paraId="000001F8">
      <w:pPr>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Table 4. Relationship between Gamification Engagement and Critical Thinking Skills among Student Nurses (n=325)</w:t>
      </w:r>
      <w:r w:rsidDel="00000000" w:rsidR="00000000" w:rsidRPr="00000000">
        <w:rPr>
          <w:rtl w:val="0"/>
        </w:rPr>
      </w:r>
    </w:p>
    <w:tbl>
      <w:tblPr>
        <w:tblStyle w:val="Table6"/>
        <w:tblW w:w="864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17"/>
        <w:gridCol w:w="1038"/>
        <w:gridCol w:w="972"/>
        <w:gridCol w:w="1092"/>
        <w:gridCol w:w="1145"/>
        <w:gridCol w:w="1092"/>
        <w:gridCol w:w="1092"/>
        <w:gridCol w:w="892"/>
        <w:tblGridChange w:id="0">
          <w:tblGrid>
            <w:gridCol w:w="1317"/>
            <w:gridCol w:w="1038"/>
            <w:gridCol w:w="972"/>
            <w:gridCol w:w="1092"/>
            <w:gridCol w:w="1145"/>
            <w:gridCol w:w="1092"/>
            <w:gridCol w:w="1092"/>
            <w:gridCol w:w="892"/>
          </w:tblGrid>
        </w:tblGridChange>
      </w:tblGrid>
      <w:tr>
        <w:trPr>
          <w:cantSplit w:val="0"/>
          <w:trHeight w:val="642" w:hRule="atLeast"/>
          <w:tblHeader w:val="0"/>
        </w:trPr>
        <w:tc>
          <w:tcPr>
            <w:vMerge w:val="restart"/>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1F9">
            <w:pPr>
              <w:widowControl w:val="0"/>
              <w:rPr>
                <w:rFonts w:ascii="Arial" w:cs="Arial" w:eastAsia="Arial" w:hAnsi="Arial"/>
              </w:rPr>
            </w:pPr>
            <w:r w:rsidDel="00000000" w:rsidR="00000000" w:rsidRPr="00000000">
              <w:rPr>
                <w:rtl w:val="0"/>
              </w:rPr>
            </w:r>
          </w:p>
        </w:tc>
        <w:tc>
          <w:tcPr>
            <w:gridSpan w:val="7"/>
            <w:tcBorders>
              <w:left w:color="000000" w:space="0" w:sz="0" w:val="nil"/>
            </w:tcBorders>
            <w:tcMar>
              <w:top w:w="-2592.0" w:type="dxa"/>
              <w:left w:w="-2592.0" w:type="dxa"/>
              <w:bottom w:w="-2592.0" w:type="dxa"/>
              <w:right w:w="-2592.0" w:type="dxa"/>
            </w:tcMar>
          </w:tcPr>
          <w:p w:rsidR="00000000" w:rsidDel="00000000" w:rsidP="00000000" w:rsidRDefault="00000000" w:rsidRPr="00000000" w14:paraId="000001FA">
            <w:pPr>
              <w:widowControl w:val="0"/>
              <w:jc w:val="center"/>
              <w:rPr>
                <w:rFonts w:ascii="Arial" w:cs="Arial" w:eastAsia="Arial" w:hAnsi="Arial"/>
              </w:rPr>
            </w:pPr>
            <w:r w:rsidDel="00000000" w:rsidR="00000000" w:rsidRPr="00000000">
              <w:rPr>
                <w:rFonts w:ascii="Arial" w:cs="Arial" w:eastAsia="Arial" w:hAnsi="Arial"/>
                <w:rtl w:val="0"/>
              </w:rPr>
              <w:t xml:space="preserve">Critical Thinking Skills</w:t>
            </w:r>
          </w:p>
        </w:tc>
      </w:tr>
      <w:tr>
        <w:trPr>
          <w:cantSplit w:val="0"/>
          <w:trHeight w:val="105" w:hRule="atLeast"/>
          <w:tblHeader w:val="0"/>
        </w:trPr>
        <w:tc>
          <w:tcPr>
            <w:vMerge w:val="continue"/>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1">
            <w:pPr>
              <w:widowControl w:val="0"/>
              <w:spacing w:line="276" w:lineRule="auto"/>
              <w:rPr>
                <w:rFonts w:ascii="Arial" w:cs="Arial" w:eastAsia="Arial" w:hAnsi="Arial"/>
              </w:rPr>
            </w:pPr>
            <w:r w:rsidDel="00000000" w:rsidR="00000000" w:rsidRPr="00000000">
              <w:rPr>
                <w:rtl w:val="0"/>
              </w:rPr>
            </w:r>
          </w:p>
        </w:tc>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2">
            <w:pPr>
              <w:widowControl w:val="0"/>
              <w:jc w:val="center"/>
              <w:rPr>
                <w:rFonts w:ascii="Arial" w:cs="Arial" w:eastAsia="Arial" w:hAnsi="Arial"/>
              </w:rPr>
            </w:pPr>
            <w:r w:rsidDel="00000000" w:rsidR="00000000" w:rsidRPr="00000000">
              <w:rPr>
                <w:rFonts w:ascii="Arial" w:cs="Arial" w:eastAsia="Arial" w:hAnsi="Arial"/>
                <w:rtl w:val="0"/>
              </w:rPr>
              <w:t xml:space="preserve">Analyzing</w:t>
            </w:r>
          </w:p>
        </w:tc>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3">
            <w:pPr>
              <w:widowControl w:val="0"/>
              <w:jc w:val="center"/>
              <w:rPr>
                <w:rFonts w:ascii="Arial" w:cs="Arial" w:eastAsia="Arial" w:hAnsi="Arial"/>
              </w:rPr>
            </w:pPr>
            <w:r w:rsidDel="00000000" w:rsidR="00000000" w:rsidRPr="00000000">
              <w:rPr>
                <w:rFonts w:ascii="Arial" w:cs="Arial" w:eastAsia="Arial" w:hAnsi="Arial"/>
                <w:rtl w:val="0"/>
              </w:rPr>
              <w:t xml:space="preserve">Evaluating</w:t>
            </w:r>
          </w:p>
        </w:tc>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4">
            <w:pPr>
              <w:widowControl w:val="0"/>
              <w:jc w:val="center"/>
              <w:rPr>
                <w:rFonts w:ascii="Arial" w:cs="Arial" w:eastAsia="Arial" w:hAnsi="Arial"/>
              </w:rPr>
            </w:pPr>
            <w:r w:rsidDel="00000000" w:rsidR="00000000" w:rsidRPr="00000000">
              <w:rPr>
                <w:rFonts w:ascii="Arial" w:cs="Arial" w:eastAsia="Arial" w:hAnsi="Arial"/>
                <w:rtl w:val="0"/>
              </w:rPr>
              <w:t xml:space="preserve">Creating</w:t>
            </w:r>
          </w:p>
        </w:tc>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5">
            <w:pPr>
              <w:widowControl w:val="0"/>
              <w:jc w:val="center"/>
              <w:rPr>
                <w:rFonts w:ascii="Arial" w:cs="Arial" w:eastAsia="Arial" w:hAnsi="Arial"/>
              </w:rPr>
            </w:pPr>
            <w:r w:rsidDel="00000000" w:rsidR="00000000" w:rsidRPr="00000000">
              <w:rPr>
                <w:rFonts w:ascii="Arial" w:cs="Arial" w:eastAsia="Arial" w:hAnsi="Arial"/>
                <w:rtl w:val="0"/>
              </w:rPr>
              <w:t xml:space="preserve">Remembering</w:t>
            </w:r>
          </w:p>
        </w:tc>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6">
            <w:pPr>
              <w:widowControl w:val="0"/>
              <w:jc w:val="center"/>
              <w:rPr>
                <w:rFonts w:ascii="Arial" w:cs="Arial" w:eastAsia="Arial" w:hAnsi="Arial"/>
              </w:rPr>
            </w:pPr>
            <w:r w:rsidDel="00000000" w:rsidR="00000000" w:rsidRPr="00000000">
              <w:rPr>
                <w:rFonts w:ascii="Arial" w:cs="Arial" w:eastAsia="Arial" w:hAnsi="Arial"/>
                <w:rtl w:val="0"/>
              </w:rPr>
              <w:t xml:space="preserve">Understanding</w:t>
            </w:r>
          </w:p>
        </w:tc>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7">
            <w:pPr>
              <w:widowControl w:val="0"/>
              <w:jc w:val="center"/>
              <w:rPr>
                <w:rFonts w:ascii="Arial" w:cs="Arial" w:eastAsia="Arial" w:hAnsi="Arial"/>
              </w:rPr>
            </w:pPr>
            <w:r w:rsidDel="00000000" w:rsidR="00000000" w:rsidRPr="00000000">
              <w:rPr>
                <w:rFonts w:ascii="Arial" w:cs="Arial" w:eastAsia="Arial" w:hAnsi="Arial"/>
                <w:rtl w:val="0"/>
              </w:rPr>
              <w:t xml:space="preserve">Applying</w:t>
            </w:r>
          </w:p>
        </w:tc>
        <w:tc>
          <w:tcPr>
            <w:tcBorders>
              <w:top w:color="000000" w:space="0" w:sz="8" w:val="single"/>
              <w:bottom w:color="000000" w:space="0" w:sz="8"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08">
            <w:pPr>
              <w:jc w:val="center"/>
              <w:rPr>
                <w:rFonts w:ascii="Arial" w:cs="Arial" w:eastAsia="Arial" w:hAnsi="Arial"/>
              </w:rPr>
            </w:pPr>
            <w:r w:rsidDel="00000000" w:rsidR="00000000" w:rsidRPr="00000000">
              <w:rPr>
                <w:rFonts w:ascii="Arial" w:cs="Arial" w:eastAsia="Arial" w:hAnsi="Arial"/>
                <w:rtl w:val="0"/>
              </w:rPr>
              <w:t xml:space="preserve">Overall </w:t>
            </w:r>
          </w:p>
        </w:tc>
      </w:tr>
      <w:tr>
        <w:trPr>
          <w:cantSplit w:val="0"/>
          <w:trHeight w:val="330" w:hRule="atLeast"/>
          <w:tblHeader w:val="0"/>
        </w:trPr>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9">
            <w:pPr>
              <w:widowControl w:val="0"/>
              <w:rPr>
                <w:rFonts w:ascii="Arial" w:cs="Arial" w:eastAsia="Arial" w:hAnsi="Arial"/>
              </w:rPr>
            </w:pPr>
            <w:r w:rsidDel="00000000" w:rsidR="00000000" w:rsidRPr="00000000">
              <w:rPr>
                <w:rFonts w:ascii="Arial" w:cs="Arial" w:eastAsia="Arial" w:hAnsi="Arial"/>
                <w:rtl w:val="0"/>
              </w:rPr>
              <w:t xml:space="preserve">Gamification Engagement</w:t>
            </w:r>
          </w:p>
        </w:tc>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A">
            <w:pPr>
              <w:widowControl w:val="0"/>
              <w:rPr>
                <w:rFonts w:ascii="Arial" w:cs="Arial" w:eastAsia="Arial" w:hAnsi="Arial"/>
              </w:rPr>
            </w:pPr>
            <w:r w:rsidDel="00000000" w:rsidR="00000000" w:rsidRPr="00000000">
              <w:rPr>
                <w:rtl w:val="0"/>
              </w:rPr>
            </w:r>
          </w:p>
        </w:tc>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B">
            <w:pPr>
              <w:widowControl w:val="0"/>
              <w:rPr>
                <w:rFonts w:ascii="Arial" w:cs="Arial" w:eastAsia="Arial" w:hAnsi="Arial"/>
              </w:rPr>
            </w:pPr>
            <w:r w:rsidDel="00000000" w:rsidR="00000000" w:rsidRPr="00000000">
              <w:rPr>
                <w:rtl w:val="0"/>
              </w:rPr>
            </w:r>
          </w:p>
        </w:tc>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C">
            <w:pPr>
              <w:widowControl w:val="0"/>
              <w:rPr>
                <w:rFonts w:ascii="Arial" w:cs="Arial" w:eastAsia="Arial" w:hAnsi="Arial"/>
              </w:rPr>
            </w:pPr>
            <w:r w:rsidDel="00000000" w:rsidR="00000000" w:rsidRPr="00000000">
              <w:rPr>
                <w:rtl w:val="0"/>
              </w:rPr>
            </w:r>
          </w:p>
        </w:tc>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D">
            <w:pPr>
              <w:widowControl w:val="0"/>
              <w:rPr>
                <w:rFonts w:ascii="Arial" w:cs="Arial" w:eastAsia="Arial" w:hAnsi="Arial"/>
              </w:rPr>
            </w:pPr>
            <w:r w:rsidDel="00000000" w:rsidR="00000000" w:rsidRPr="00000000">
              <w:rPr>
                <w:rtl w:val="0"/>
              </w:rPr>
            </w:r>
          </w:p>
        </w:tc>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E">
            <w:pPr>
              <w:widowControl w:val="0"/>
              <w:rPr>
                <w:rFonts w:ascii="Arial" w:cs="Arial" w:eastAsia="Arial" w:hAnsi="Arial"/>
              </w:rPr>
            </w:pPr>
            <w:r w:rsidDel="00000000" w:rsidR="00000000" w:rsidRPr="00000000">
              <w:rPr>
                <w:rtl w:val="0"/>
              </w:rPr>
            </w:r>
          </w:p>
        </w:tc>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0F">
            <w:pPr>
              <w:widowControl w:val="0"/>
              <w:rPr>
                <w:rFonts w:ascii="Arial" w:cs="Arial" w:eastAsia="Arial" w:hAnsi="Arial"/>
              </w:rPr>
            </w:pPr>
            <w:r w:rsidDel="00000000" w:rsidR="00000000" w:rsidRPr="00000000">
              <w:rPr>
                <w:rtl w:val="0"/>
              </w:rPr>
            </w:r>
          </w:p>
        </w:tc>
        <w:tc>
          <w:tcPr>
            <w:tcBorders>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10">
            <w:pPr>
              <w:widowControl w:val="0"/>
              <w:rPr>
                <w:rFonts w:ascii="Arial" w:cs="Arial" w:eastAsia="Arial" w:hAnsi="Arial"/>
              </w:rPr>
            </w:pPr>
            <w:r w:rsidDel="00000000" w:rsidR="00000000" w:rsidRPr="00000000">
              <w:rPr>
                <w:rtl w:val="0"/>
              </w:rPr>
            </w:r>
          </w:p>
        </w:tc>
      </w:tr>
      <w:tr>
        <w:trPr>
          <w:cantSplit w:val="0"/>
          <w:trHeight w:val="332.9296875" w:hRule="atLeast"/>
          <w:tblHeader w:val="0"/>
        </w:trPr>
        <w:tc>
          <w:tcPr>
            <w:tcBorders>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11">
            <w:pPr>
              <w:widowControl w:val="0"/>
              <w:rPr>
                <w:rFonts w:ascii="Arial" w:cs="Arial" w:eastAsia="Arial" w:hAnsi="Arial"/>
              </w:rPr>
            </w:pPr>
            <w:r w:rsidDel="00000000" w:rsidR="00000000" w:rsidRPr="00000000">
              <w:rPr>
                <w:rFonts w:ascii="Arial" w:cs="Arial" w:eastAsia="Arial" w:hAnsi="Arial"/>
                <w:rtl w:val="0"/>
              </w:rPr>
              <w:t xml:space="preserve">Behavioural Engagement</w:t>
            </w:r>
          </w:p>
        </w:tc>
        <w:tc>
          <w:tcPr>
            <w:tcBorders>
              <w:top w:color="000000" w:space="0" w:sz="8" w:val="single"/>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12">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.06</w:t>
            </w:r>
          </w:p>
          <w:p w:rsidR="00000000" w:rsidDel="00000000" w:rsidP="00000000" w:rsidRDefault="00000000" w:rsidRPr="00000000" w14:paraId="00000213">
            <w:pPr>
              <w:jc w:val="center"/>
              <w:rPr>
                <w:rFonts w:ascii="Arial" w:cs="Arial" w:eastAsia="Arial" w:hAnsi="Arial"/>
                <w:i w:val="1"/>
                <w:iCs w:val="1"/>
              </w:rPr>
            </w:pPr>
            <w:r w:rsidDel="00000000" w:rsidR="00000000" w:rsidRPr="00000000">
              <w:rPr>
                <w:rFonts w:ascii="Arial" w:cs="Arial" w:eastAsia="Arial" w:hAnsi="Arial"/>
                <w:rtl w:val="0"/>
              </w:rPr>
              <w:t xml:space="preserve"> (p =.27)</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14">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.14*</w:t>
            </w:r>
          </w:p>
          <w:p w:rsidR="00000000" w:rsidDel="00000000" w:rsidP="00000000" w:rsidRDefault="00000000" w:rsidRPr="00000000" w14:paraId="00000215">
            <w:pPr>
              <w:jc w:val="center"/>
              <w:rPr>
                <w:rFonts w:ascii="Arial" w:cs="Arial" w:eastAsia="Arial" w:hAnsi="Arial"/>
                <w:i w:val="1"/>
                <w:iCs w:val="1"/>
              </w:rPr>
            </w:pPr>
            <w:r w:rsidDel="00000000" w:rsidR="00000000" w:rsidRPr="00000000">
              <w:rPr>
                <w:rFonts w:ascii="Arial" w:cs="Arial" w:eastAsia="Arial" w:hAnsi="Arial"/>
                <w:rtl w:val="0"/>
              </w:rPr>
              <w:t xml:space="preserve">(p = .01)</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16">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.06</w:t>
            </w:r>
          </w:p>
          <w:p w:rsidR="00000000" w:rsidDel="00000000" w:rsidP="00000000" w:rsidRDefault="00000000" w:rsidRPr="00000000" w14:paraId="00000217">
            <w:pPr>
              <w:jc w:val="center"/>
              <w:rPr>
                <w:rFonts w:ascii="Arial" w:cs="Arial" w:eastAsia="Arial" w:hAnsi="Arial"/>
                <w:i w:val="1"/>
                <w:iCs w:val="1"/>
              </w:rPr>
            </w:pPr>
            <w:r w:rsidDel="00000000" w:rsidR="00000000" w:rsidRPr="00000000">
              <w:rPr>
                <w:rFonts w:ascii="Arial" w:cs="Arial" w:eastAsia="Arial" w:hAnsi="Arial"/>
                <w:rtl w:val="0"/>
              </w:rPr>
              <w:t xml:space="preserve">(p = .28)</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18">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.08</w:t>
            </w:r>
          </w:p>
          <w:p w:rsidR="00000000" w:rsidDel="00000000" w:rsidP="00000000" w:rsidRDefault="00000000" w:rsidRPr="00000000" w14:paraId="00000219">
            <w:pPr>
              <w:jc w:val="center"/>
              <w:rPr>
                <w:rFonts w:ascii="Arial" w:cs="Arial" w:eastAsia="Arial" w:hAnsi="Arial"/>
                <w:i w:val="1"/>
                <w:iCs w:val="1"/>
              </w:rPr>
            </w:pPr>
            <w:r w:rsidDel="00000000" w:rsidR="00000000" w:rsidRPr="00000000">
              <w:rPr>
                <w:rFonts w:ascii="Arial" w:cs="Arial" w:eastAsia="Arial" w:hAnsi="Arial"/>
                <w:rtl w:val="0"/>
              </w:rPr>
              <w:t xml:space="preserve">(p = .15)</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1A">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.27** </w:t>
            </w:r>
          </w:p>
          <w:p w:rsidR="00000000" w:rsidDel="00000000" w:rsidP="00000000" w:rsidRDefault="00000000" w:rsidRPr="00000000" w14:paraId="0000021B">
            <w:pPr>
              <w:jc w:val="center"/>
              <w:rPr>
                <w:rFonts w:ascii="Arial" w:cs="Arial" w:eastAsia="Arial" w:hAnsi="Arial"/>
                <w:i w:val="1"/>
                <w:iCs w:val="1"/>
              </w:rPr>
            </w:pPr>
            <w:r w:rsidDel="00000000" w:rsidR="00000000" w:rsidRPr="00000000">
              <w:rPr>
                <w:rFonts w:ascii="Arial" w:cs="Arial" w:eastAsia="Arial" w:hAnsi="Arial"/>
                <w:rtl w:val="0"/>
              </w:rPr>
              <w:t xml:space="preserve">(p = .00)</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1C">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-.11</w:t>
            </w:r>
          </w:p>
          <w:p w:rsidR="00000000" w:rsidDel="00000000" w:rsidP="00000000" w:rsidRDefault="00000000" w:rsidRPr="00000000" w14:paraId="0000021D">
            <w:pPr>
              <w:jc w:val="center"/>
              <w:rPr>
                <w:rFonts w:ascii="Arial" w:cs="Arial" w:eastAsia="Arial" w:hAnsi="Arial"/>
                <w:i w:val="1"/>
                <w:iCs w:val="1"/>
              </w:rPr>
            </w:pPr>
            <w:r w:rsidDel="00000000" w:rsidR="00000000" w:rsidRPr="00000000">
              <w:rPr>
                <w:rFonts w:ascii="Arial" w:cs="Arial" w:eastAsia="Arial" w:hAnsi="Arial"/>
                <w:rtl w:val="0"/>
              </w:rPr>
              <w:t xml:space="preserve"> (p = .05)</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1E">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.13*  </w:t>
            </w:r>
          </w:p>
          <w:p w:rsidR="00000000" w:rsidDel="00000000" w:rsidP="00000000" w:rsidRDefault="00000000" w:rsidRPr="00000000" w14:paraId="0000021F">
            <w:pPr>
              <w:jc w:val="center"/>
              <w:rPr>
                <w:rFonts w:ascii="Arial" w:cs="Arial" w:eastAsia="Arial" w:hAnsi="Arial"/>
                <w:i w:val="1"/>
                <w:iCs w:val="1"/>
              </w:rPr>
            </w:pPr>
            <w:r w:rsidDel="00000000" w:rsidR="00000000" w:rsidRPr="00000000">
              <w:rPr>
                <w:rFonts w:ascii="Arial" w:cs="Arial" w:eastAsia="Arial" w:hAnsi="Arial"/>
                <w:rtl w:val="0"/>
              </w:rPr>
              <w:t xml:space="preserve"> (p = .00)</w:t>
            </w:r>
            <w:r w:rsidDel="00000000" w:rsidR="00000000" w:rsidRPr="00000000">
              <w:rPr>
                <w:rtl w:val="0"/>
              </w:rPr>
            </w:r>
          </w:p>
        </w:tc>
      </w:tr>
      <w:tr>
        <w:trPr>
          <w:cantSplit w:val="0"/>
          <w:trHeight w:val="242.9296875" w:hRule="atLeast"/>
          <w:tblHeader w:val="0"/>
        </w:trPr>
        <w:tc>
          <w:tcPr>
            <w:tcBorders>
              <w:top w:color="000000" w:space="0" w:sz="0" w:val="nil"/>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20">
            <w:pPr>
              <w:widowControl w:val="0"/>
              <w:rPr>
                <w:rFonts w:ascii="Arial" w:cs="Arial" w:eastAsia="Arial" w:hAnsi="Arial"/>
              </w:rPr>
            </w:pPr>
            <w:r w:rsidDel="00000000" w:rsidR="00000000" w:rsidRPr="00000000">
              <w:rPr>
                <w:rFonts w:ascii="Arial" w:cs="Arial" w:eastAsia="Arial" w:hAnsi="Arial"/>
                <w:rtl w:val="0"/>
              </w:rPr>
              <w:t xml:space="preserve">Cognitive Engagement</w:t>
            </w:r>
          </w:p>
        </w:tc>
        <w:tc>
          <w:tcPr>
            <w:tcBorders>
              <w:top w:color="000000" w:space="0" w:sz="0" w:val="nil"/>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21">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.28** </w:t>
            </w:r>
          </w:p>
          <w:p w:rsidR="00000000" w:rsidDel="00000000" w:rsidP="00000000" w:rsidRDefault="00000000" w:rsidRPr="00000000" w14:paraId="00000222">
            <w:pPr>
              <w:jc w:val="center"/>
              <w:rPr>
                <w:rFonts w:ascii="Arial" w:cs="Arial" w:eastAsia="Arial" w:hAnsi="Arial"/>
                <w:i w:val="1"/>
                <w:iCs w:val="1"/>
              </w:rPr>
            </w:pPr>
            <w:r w:rsidDel="00000000" w:rsidR="00000000" w:rsidRPr="00000000">
              <w:rPr>
                <w:rFonts w:ascii="Arial" w:cs="Arial" w:eastAsia="Arial" w:hAnsi="Arial"/>
                <w:rtl w:val="0"/>
              </w:rPr>
              <w:t xml:space="preserve">(p = .00)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23">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.24**</w:t>
            </w:r>
          </w:p>
          <w:p w:rsidR="00000000" w:rsidDel="00000000" w:rsidP="00000000" w:rsidRDefault="00000000" w:rsidRPr="00000000" w14:paraId="00000224">
            <w:pPr>
              <w:jc w:val="center"/>
              <w:rPr>
                <w:rFonts w:ascii="Arial" w:cs="Arial" w:eastAsia="Arial" w:hAnsi="Arial"/>
                <w:i w:val="1"/>
                <w:iCs w:val="1"/>
              </w:rPr>
            </w:pPr>
            <w:r w:rsidDel="00000000" w:rsidR="00000000" w:rsidRPr="00000000">
              <w:rPr>
                <w:rFonts w:ascii="Arial" w:cs="Arial" w:eastAsia="Arial" w:hAnsi="Arial"/>
                <w:rtl w:val="0"/>
              </w:rPr>
              <w:t xml:space="preserve"> (p =.00)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25">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.02</w:t>
            </w:r>
          </w:p>
          <w:p w:rsidR="00000000" w:rsidDel="00000000" w:rsidP="00000000" w:rsidRDefault="00000000" w:rsidRPr="00000000" w14:paraId="00000226">
            <w:pPr>
              <w:jc w:val="center"/>
              <w:rPr>
                <w:rFonts w:ascii="Arial" w:cs="Arial" w:eastAsia="Arial" w:hAnsi="Arial"/>
                <w:i w:val="1"/>
                <w:iCs w:val="1"/>
              </w:rPr>
            </w:pPr>
            <w:r w:rsidDel="00000000" w:rsidR="00000000" w:rsidRPr="00000000">
              <w:rPr>
                <w:rFonts w:ascii="Arial" w:cs="Arial" w:eastAsia="Arial" w:hAnsi="Arial"/>
                <w:rtl w:val="0"/>
              </w:rPr>
              <w:t xml:space="preserve"> (p = .76)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27">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.29**</w:t>
            </w:r>
          </w:p>
          <w:p w:rsidR="00000000" w:rsidDel="00000000" w:rsidP="00000000" w:rsidRDefault="00000000" w:rsidRPr="00000000" w14:paraId="00000228">
            <w:pPr>
              <w:jc w:val="center"/>
              <w:rPr>
                <w:rFonts w:ascii="Arial" w:cs="Arial" w:eastAsia="Arial" w:hAnsi="Arial"/>
                <w:i w:val="1"/>
                <w:iCs w:val="1"/>
              </w:rPr>
            </w:pPr>
            <w:r w:rsidDel="00000000" w:rsidR="00000000" w:rsidRPr="00000000">
              <w:rPr>
                <w:rFonts w:ascii="Arial" w:cs="Arial" w:eastAsia="Arial" w:hAnsi="Arial"/>
                <w:rtl w:val="0"/>
              </w:rPr>
              <w:t xml:space="preserve">(p = .00)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29">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.02</w:t>
            </w:r>
          </w:p>
          <w:p w:rsidR="00000000" w:rsidDel="00000000" w:rsidP="00000000" w:rsidRDefault="00000000" w:rsidRPr="00000000" w14:paraId="0000022A">
            <w:pPr>
              <w:jc w:val="center"/>
              <w:rPr>
                <w:rFonts w:ascii="Arial" w:cs="Arial" w:eastAsia="Arial" w:hAnsi="Arial"/>
                <w:i w:val="1"/>
                <w:iCs w:val="1"/>
              </w:rPr>
            </w:pPr>
            <w:r w:rsidDel="00000000" w:rsidR="00000000" w:rsidRPr="00000000">
              <w:rPr>
                <w:rFonts w:ascii="Arial" w:cs="Arial" w:eastAsia="Arial" w:hAnsi="Arial"/>
                <w:rtl w:val="0"/>
              </w:rPr>
              <w:t xml:space="preserve">(p = .70)</w:t>
            </w:r>
            <w:r w:rsidDel="00000000" w:rsidR="00000000" w:rsidRPr="00000000">
              <w:rPr>
                <w:rtl w:val="0"/>
              </w:rPr>
            </w:r>
          </w:p>
        </w:tc>
        <w:tc>
          <w:tcPr>
            <w:tcBorders>
              <w:top w:color="000000" w:space="0" w:sz="0" w:val="nil"/>
              <w:bottom w:color="000000" w:space="0" w:sz="0" w:val="nil"/>
            </w:tcBorders>
            <w:tcMar>
              <w:top w:w="-2592.0" w:type="dxa"/>
              <w:left w:w="-2592.0" w:type="dxa"/>
              <w:bottom w:w="-2592.0" w:type="dxa"/>
              <w:right w:w="-2592.0" w:type="dxa"/>
            </w:tcMar>
          </w:tcPr>
          <w:p w:rsidR="00000000" w:rsidDel="00000000" w:rsidP="00000000" w:rsidRDefault="00000000" w:rsidRPr="00000000" w14:paraId="0000022B">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.02</w:t>
            </w:r>
          </w:p>
          <w:p w:rsidR="00000000" w:rsidDel="00000000" w:rsidP="00000000" w:rsidRDefault="00000000" w:rsidRPr="00000000" w14:paraId="0000022C">
            <w:pPr>
              <w:jc w:val="center"/>
              <w:rPr>
                <w:rFonts w:ascii="Arial" w:cs="Arial" w:eastAsia="Arial" w:hAnsi="Arial"/>
                <w:i w:val="1"/>
                <w:iCs w:val="1"/>
              </w:rPr>
            </w:pPr>
            <w:r w:rsidDel="00000000" w:rsidR="00000000" w:rsidRPr="00000000">
              <w:rPr>
                <w:rFonts w:ascii="Arial" w:cs="Arial" w:eastAsia="Arial" w:hAnsi="Arial"/>
                <w:rtl w:val="0"/>
              </w:rPr>
              <w:t xml:space="preserve"> (p = .70)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2D">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.02</w:t>
            </w:r>
          </w:p>
          <w:p w:rsidR="00000000" w:rsidDel="00000000" w:rsidP="00000000" w:rsidRDefault="00000000" w:rsidRPr="00000000" w14:paraId="0000022E">
            <w:pPr>
              <w:jc w:val="center"/>
              <w:rPr>
                <w:rFonts w:ascii="Arial" w:cs="Arial" w:eastAsia="Arial" w:hAnsi="Arial"/>
                <w:i w:val="1"/>
                <w:iCs w:val="1"/>
              </w:rPr>
            </w:pPr>
            <w:r w:rsidDel="00000000" w:rsidR="00000000" w:rsidRPr="00000000">
              <w:rPr>
                <w:rFonts w:ascii="Arial" w:cs="Arial" w:eastAsia="Arial" w:hAnsi="Arial"/>
                <w:rtl w:val="0"/>
              </w:rPr>
              <w:t xml:space="preserve"> (p = .661)</w:t>
            </w:r>
            <w:r w:rsidDel="00000000" w:rsidR="00000000" w:rsidRPr="00000000">
              <w:rPr>
                <w:rtl w:val="0"/>
              </w:rPr>
            </w:r>
          </w:p>
        </w:tc>
      </w:tr>
      <w:tr>
        <w:trPr>
          <w:cantSplit w:val="0"/>
          <w:trHeight w:val="444" w:hRule="atLeast"/>
          <w:tblHeader w:val="0"/>
        </w:trPr>
        <w:tc>
          <w:tcPr>
            <w:tcBorders>
              <w:top w:color="000000" w:space="0" w:sz="0" w:val="nil"/>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2F">
            <w:pPr>
              <w:widowControl w:val="0"/>
              <w:rPr>
                <w:rFonts w:ascii="Arial" w:cs="Arial" w:eastAsia="Arial" w:hAnsi="Arial"/>
              </w:rPr>
            </w:pPr>
            <w:r w:rsidDel="00000000" w:rsidR="00000000" w:rsidRPr="00000000">
              <w:rPr>
                <w:rFonts w:ascii="Arial" w:cs="Arial" w:eastAsia="Arial" w:hAnsi="Arial"/>
                <w:rtl w:val="0"/>
              </w:rPr>
              <w:t xml:space="preserve">Emotional Engagement</w:t>
            </w:r>
          </w:p>
        </w:tc>
        <w:tc>
          <w:tcPr>
            <w:tcBorders>
              <w:top w:color="000000" w:space="0" w:sz="0" w:val="nil"/>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30">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.25**</w:t>
            </w:r>
          </w:p>
          <w:p w:rsidR="00000000" w:rsidDel="00000000" w:rsidP="00000000" w:rsidRDefault="00000000" w:rsidRPr="00000000" w14:paraId="00000231">
            <w:pPr>
              <w:jc w:val="center"/>
              <w:rPr>
                <w:rFonts w:ascii="Arial" w:cs="Arial" w:eastAsia="Arial" w:hAnsi="Arial"/>
                <w:i w:val="1"/>
                <w:iCs w:val="1"/>
              </w:rPr>
            </w:pPr>
            <w:r w:rsidDel="00000000" w:rsidR="00000000" w:rsidRPr="00000000">
              <w:rPr>
                <w:rFonts w:ascii="Arial" w:cs="Arial" w:eastAsia="Arial" w:hAnsi="Arial"/>
                <w:rtl w:val="0"/>
              </w:rPr>
              <w:t xml:space="preserve"> (p = .00)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32">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.24</w:t>
            </w:r>
          </w:p>
          <w:p w:rsidR="00000000" w:rsidDel="00000000" w:rsidP="00000000" w:rsidRDefault="00000000" w:rsidRPr="00000000" w14:paraId="00000233">
            <w:pPr>
              <w:jc w:val="center"/>
              <w:rPr>
                <w:rFonts w:ascii="Arial" w:cs="Arial" w:eastAsia="Arial" w:hAnsi="Arial"/>
                <w:i w:val="1"/>
                <w:iCs w:val="1"/>
              </w:rPr>
            </w:pPr>
            <w:r w:rsidDel="00000000" w:rsidR="00000000" w:rsidRPr="00000000">
              <w:rPr>
                <w:rFonts w:ascii="Arial" w:cs="Arial" w:eastAsia="Arial" w:hAnsi="Arial"/>
                <w:rtl w:val="0"/>
              </w:rPr>
              <w:t xml:space="preserve">(p = .00)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34">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-.03</w:t>
            </w:r>
          </w:p>
          <w:p w:rsidR="00000000" w:rsidDel="00000000" w:rsidP="00000000" w:rsidRDefault="00000000" w:rsidRPr="00000000" w14:paraId="00000235">
            <w:pPr>
              <w:jc w:val="center"/>
              <w:rPr>
                <w:rFonts w:ascii="Arial" w:cs="Arial" w:eastAsia="Arial" w:hAnsi="Arial"/>
                <w:i w:val="1"/>
                <w:iCs w:val="1"/>
              </w:rPr>
            </w:pPr>
            <w:r w:rsidDel="00000000" w:rsidR="00000000" w:rsidRPr="00000000">
              <w:rPr>
                <w:rFonts w:ascii="Arial" w:cs="Arial" w:eastAsia="Arial" w:hAnsi="Arial"/>
                <w:rtl w:val="0"/>
              </w:rPr>
              <w:t xml:space="preserve">(p = .00)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36">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.27**</w:t>
            </w:r>
          </w:p>
          <w:p w:rsidR="00000000" w:rsidDel="00000000" w:rsidP="00000000" w:rsidRDefault="00000000" w:rsidRPr="00000000" w14:paraId="00000237">
            <w:pPr>
              <w:jc w:val="center"/>
              <w:rPr>
                <w:rFonts w:ascii="Arial" w:cs="Arial" w:eastAsia="Arial" w:hAnsi="Arial"/>
                <w:i w:val="1"/>
                <w:iCs w:val="1"/>
              </w:rPr>
            </w:pPr>
            <w:r w:rsidDel="00000000" w:rsidR="00000000" w:rsidRPr="00000000">
              <w:rPr>
                <w:rFonts w:ascii="Arial" w:cs="Arial" w:eastAsia="Arial" w:hAnsi="Arial"/>
                <w:rtl w:val="0"/>
              </w:rPr>
              <w:t xml:space="preserve"> (p = .00)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38">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.01</w:t>
            </w:r>
          </w:p>
          <w:p w:rsidR="00000000" w:rsidDel="00000000" w:rsidP="00000000" w:rsidRDefault="00000000" w:rsidRPr="00000000" w14:paraId="00000239">
            <w:pPr>
              <w:jc w:val="center"/>
              <w:rPr>
                <w:rFonts w:ascii="Arial" w:cs="Arial" w:eastAsia="Arial" w:hAnsi="Arial"/>
                <w:i w:val="1"/>
                <w:iCs w:val="1"/>
              </w:rPr>
            </w:pPr>
            <w:r w:rsidDel="00000000" w:rsidR="00000000" w:rsidRPr="00000000">
              <w:rPr>
                <w:rFonts w:ascii="Arial" w:cs="Arial" w:eastAsia="Arial" w:hAnsi="Arial"/>
                <w:rtl w:val="0"/>
              </w:rPr>
              <w:t xml:space="preserve"> (p = .81)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3A">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.01</w:t>
            </w:r>
          </w:p>
          <w:p w:rsidR="00000000" w:rsidDel="00000000" w:rsidP="00000000" w:rsidRDefault="00000000" w:rsidRPr="00000000" w14:paraId="0000023B">
            <w:pPr>
              <w:jc w:val="center"/>
              <w:rPr>
                <w:rFonts w:ascii="Arial" w:cs="Arial" w:eastAsia="Arial" w:hAnsi="Arial"/>
                <w:i w:val="1"/>
                <w:iCs w:val="1"/>
              </w:rPr>
            </w:pPr>
            <w:r w:rsidDel="00000000" w:rsidR="00000000" w:rsidRPr="00000000">
              <w:rPr>
                <w:rFonts w:ascii="Arial" w:cs="Arial" w:eastAsia="Arial" w:hAnsi="Arial"/>
                <w:rtl w:val="0"/>
              </w:rPr>
              <w:t xml:space="preserve"> (p = .81)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3C">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.00</w:t>
            </w:r>
          </w:p>
          <w:p w:rsidR="00000000" w:rsidDel="00000000" w:rsidP="00000000" w:rsidRDefault="00000000" w:rsidRPr="00000000" w14:paraId="0000023D">
            <w:pPr>
              <w:jc w:val="center"/>
              <w:rPr>
                <w:rFonts w:ascii="Arial" w:cs="Arial" w:eastAsia="Arial" w:hAnsi="Arial"/>
                <w:i w:val="1"/>
                <w:iCs w:val="1"/>
              </w:rPr>
            </w:pPr>
            <w:r w:rsidDel="00000000" w:rsidR="00000000" w:rsidRPr="00000000">
              <w:rPr>
                <w:rFonts w:ascii="Arial" w:cs="Arial" w:eastAsia="Arial" w:hAnsi="Arial"/>
                <w:rtl w:val="0"/>
              </w:rPr>
              <w:t xml:space="preserve">(p = .98)</w:t>
            </w:r>
            <w:r w:rsidDel="00000000" w:rsidR="00000000" w:rsidRPr="00000000">
              <w:rPr>
                <w:rtl w:val="0"/>
              </w:rPr>
            </w:r>
          </w:p>
        </w:tc>
      </w:tr>
      <w:tr>
        <w:trPr>
          <w:cantSplit w:val="0"/>
          <w:tblHeader w:val="0"/>
        </w:trPr>
        <w:tc>
          <w:tcPr>
            <w:tcBorders>
              <w:top w:color="000000" w:space="0" w:sz="4" w:val="single"/>
              <w:left w:color="000000" w:space="0" w:sz="0" w:val="nil"/>
              <w:right w:color="000000" w:space="0" w:sz="0" w:val="nil"/>
            </w:tcBorders>
            <w:tcMar>
              <w:top w:w="-2592.0" w:type="dxa"/>
              <w:left w:w="-2592.0" w:type="dxa"/>
              <w:bottom w:w="-2592.0" w:type="dxa"/>
              <w:right w:w="-2592.0" w:type="dxa"/>
            </w:tcMar>
          </w:tcPr>
          <w:p w:rsidR="00000000" w:rsidDel="00000000" w:rsidP="00000000" w:rsidRDefault="00000000" w:rsidRPr="00000000" w14:paraId="0000023E">
            <w:pPr>
              <w:widowControl w:val="0"/>
              <w:rPr>
                <w:rFonts w:ascii="Arial" w:cs="Arial" w:eastAsia="Arial" w:hAnsi="Arial"/>
              </w:rPr>
            </w:pPr>
            <w:r w:rsidDel="00000000" w:rsidR="00000000" w:rsidRPr="00000000">
              <w:rPr>
                <w:rFonts w:ascii="Arial" w:cs="Arial" w:eastAsia="Arial" w:hAnsi="Arial"/>
                <w:rtl w:val="0"/>
              </w:rPr>
              <w:t xml:space="preserve">Overall</w:t>
            </w:r>
          </w:p>
        </w:tc>
        <w:tc>
          <w:tcPr>
            <w:tcBorders>
              <w:top w:color="000000" w:space="0" w:sz="8" w:val="single"/>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3F">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.15</w:t>
            </w:r>
          </w:p>
          <w:p w:rsidR="00000000" w:rsidDel="00000000" w:rsidP="00000000" w:rsidRDefault="00000000" w:rsidRPr="00000000" w14:paraId="00000240">
            <w:pPr>
              <w:jc w:val="center"/>
              <w:rPr>
                <w:rFonts w:ascii="Arial" w:cs="Arial" w:eastAsia="Arial" w:hAnsi="Arial"/>
                <w:i w:val="1"/>
                <w:iCs w:val="1"/>
              </w:rPr>
            </w:pPr>
            <w:r w:rsidDel="00000000" w:rsidR="00000000" w:rsidRPr="00000000">
              <w:rPr>
                <w:rFonts w:ascii="Arial" w:cs="Arial" w:eastAsia="Arial" w:hAnsi="Arial"/>
                <w:rtl w:val="0"/>
              </w:rPr>
              <w:t xml:space="preserve"> (p =.01)</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41">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.21**</w:t>
            </w:r>
          </w:p>
          <w:p w:rsidR="00000000" w:rsidDel="00000000" w:rsidP="00000000" w:rsidRDefault="00000000" w:rsidRPr="00000000" w14:paraId="00000242">
            <w:pPr>
              <w:jc w:val="center"/>
              <w:rPr>
                <w:rFonts w:ascii="Arial" w:cs="Arial" w:eastAsia="Arial" w:hAnsi="Arial"/>
                <w:i w:val="1"/>
                <w:iCs w:val="1"/>
              </w:rPr>
            </w:pPr>
            <w:r w:rsidDel="00000000" w:rsidR="00000000" w:rsidRPr="00000000">
              <w:rPr>
                <w:rFonts w:ascii="Arial" w:cs="Arial" w:eastAsia="Arial" w:hAnsi="Arial"/>
                <w:rtl w:val="0"/>
              </w:rPr>
              <w:t xml:space="preserve"> (p =.00)</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43">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-.01</w:t>
            </w:r>
          </w:p>
          <w:p w:rsidR="00000000" w:rsidDel="00000000" w:rsidP="00000000" w:rsidRDefault="00000000" w:rsidRPr="00000000" w14:paraId="00000244">
            <w:pPr>
              <w:jc w:val="center"/>
              <w:rPr>
                <w:rFonts w:ascii="Arial" w:cs="Arial" w:eastAsia="Arial" w:hAnsi="Arial"/>
                <w:i w:val="1"/>
                <w:iCs w:val="1"/>
              </w:rPr>
            </w:pPr>
            <w:r w:rsidDel="00000000" w:rsidR="00000000" w:rsidRPr="00000000">
              <w:rPr>
                <w:rFonts w:ascii="Arial" w:cs="Arial" w:eastAsia="Arial" w:hAnsi="Arial"/>
                <w:rtl w:val="0"/>
              </w:rPr>
              <w:t xml:space="preserve"> (p =.90)</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45">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.13*</w:t>
            </w:r>
          </w:p>
          <w:p w:rsidR="00000000" w:rsidDel="00000000" w:rsidP="00000000" w:rsidRDefault="00000000" w:rsidRPr="00000000" w14:paraId="00000246">
            <w:pPr>
              <w:jc w:val="center"/>
              <w:rPr>
                <w:rFonts w:ascii="Arial" w:cs="Arial" w:eastAsia="Arial" w:hAnsi="Arial"/>
                <w:i w:val="1"/>
                <w:iCs w:val="1"/>
              </w:rPr>
            </w:pPr>
            <w:r w:rsidDel="00000000" w:rsidR="00000000" w:rsidRPr="00000000">
              <w:rPr>
                <w:rFonts w:ascii="Arial" w:cs="Arial" w:eastAsia="Arial" w:hAnsi="Arial"/>
                <w:rtl w:val="0"/>
              </w:rPr>
              <w:t xml:space="preserve"> (p =.02)</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47">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.27**</w:t>
            </w:r>
          </w:p>
          <w:p w:rsidR="00000000" w:rsidDel="00000000" w:rsidP="00000000" w:rsidRDefault="00000000" w:rsidRPr="00000000" w14:paraId="00000248">
            <w:pPr>
              <w:jc w:val="center"/>
              <w:rPr>
                <w:rFonts w:ascii="Arial" w:cs="Arial" w:eastAsia="Arial" w:hAnsi="Arial"/>
                <w:i w:val="1"/>
                <w:iCs w:val="1"/>
              </w:rPr>
            </w:pPr>
            <w:r w:rsidDel="00000000" w:rsidR="00000000" w:rsidRPr="00000000">
              <w:rPr>
                <w:rFonts w:ascii="Arial" w:cs="Arial" w:eastAsia="Arial" w:hAnsi="Arial"/>
                <w:rtl w:val="0"/>
              </w:rPr>
              <w:t xml:space="preserve"> (p =.00)</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49">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-.07</w:t>
            </w:r>
          </w:p>
          <w:p w:rsidR="00000000" w:rsidDel="00000000" w:rsidP="00000000" w:rsidRDefault="00000000" w:rsidRPr="00000000" w14:paraId="0000024A">
            <w:pPr>
              <w:jc w:val="center"/>
              <w:rPr>
                <w:rFonts w:ascii="Arial" w:cs="Arial" w:eastAsia="Arial" w:hAnsi="Arial"/>
                <w:i w:val="1"/>
                <w:iCs w:val="1"/>
              </w:rPr>
            </w:pPr>
            <w:r w:rsidDel="00000000" w:rsidR="00000000" w:rsidRPr="00000000">
              <w:rPr>
                <w:rFonts w:ascii="Arial" w:cs="Arial" w:eastAsia="Arial" w:hAnsi="Arial"/>
                <w:rtl w:val="0"/>
              </w:rPr>
              <w:t xml:space="preserve"> (p =.24)</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tcMar>
              <w:top w:w="-2592.0" w:type="dxa"/>
              <w:left w:w="-2592.0" w:type="dxa"/>
              <w:bottom w:w="-2592.0" w:type="dxa"/>
              <w:right w:w="-2592.0" w:type="dxa"/>
            </w:tcMar>
          </w:tcPr>
          <w:p w:rsidR="00000000" w:rsidDel="00000000" w:rsidP="00000000" w:rsidRDefault="00000000" w:rsidRPr="00000000" w14:paraId="0000024B">
            <w:pPr>
              <w:jc w:val="center"/>
              <w:rPr>
                <w:rFonts w:ascii="Arial" w:cs="Arial" w:eastAsia="Arial" w:hAnsi="Arial"/>
              </w:rPr>
            </w:pPr>
            <w:r w:rsidDel="00000000" w:rsidR="00000000" w:rsidRPr="00000000">
              <w:rPr>
                <w:rFonts w:ascii="Arial" w:cs="Arial" w:eastAsia="Arial" w:hAnsi="Arial"/>
                <w:i w:val="1"/>
                <w:iCs w:val="1"/>
                <w:rtl w:val="0"/>
              </w:rPr>
              <w:t xml:space="preserve">r</w:t>
            </w:r>
            <w:r w:rsidDel="00000000" w:rsidR="00000000" w:rsidRPr="00000000">
              <w:rPr>
                <w:rFonts w:ascii="Arial" w:cs="Arial" w:eastAsia="Arial" w:hAnsi="Arial"/>
                <w:i w:val="1"/>
                <w:iCs w:val="1"/>
                <w:vertAlign w:val="subscript"/>
                <w:rtl w:val="0"/>
              </w:rPr>
              <w:t xml:space="preserve">s</w:t>
            </w:r>
            <w:r w:rsidDel="00000000" w:rsidR="00000000" w:rsidRPr="00000000">
              <w:rPr>
                <w:rFonts w:ascii="Arial" w:cs="Arial" w:eastAsia="Arial" w:hAnsi="Arial"/>
                <w:rtl w:val="0"/>
              </w:rPr>
              <w:t xml:space="preserve"> = -.07</w:t>
            </w:r>
          </w:p>
          <w:p w:rsidR="00000000" w:rsidDel="00000000" w:rsidP="00000000" w:rsidRDefault="00000000" w:rsidRPr="00000000" w14:paraId="0000024C">
            <w:pPr>
              <w:jc w:val="center"/>
              <w:rPr>
                <w:rFonts w:ascii="Arial" w:cs="Arial" w:eastAsia="Arial" w:hAnsi="Arial"/>
                <w:i w:val="1"/>
                <w:iCs w:val="1"/>
              </w:rPr>
            </w:pPr>
            <w:r w:rsidDel="00000000" w:rsidR="00000000" w:rsidRPr="00000000">
              <w:rPr>
                <w:rFonts w:ascii="Arial" w:cs="Arial" w:eastAsia="Arial" w:hAnsi="Arial"/>
                <w:rtl w:val="0"/>
              </w:rPr>
              <w:t xml:space="preserve"> (p =.24)</w:t>
            </w:r>
            <w:r w:rsidDel="00000000" w:rsidR="00000000" w:rsidRPr="00000000">
              <w:rPr>
                <w:rtl w:val="0"/>
              </w:rPr>
            </w:r>
          </w:p>
        </w:tc>
      </w:tr>
    </w:tbl>
    <w:p w:rsidR="00000000" w:rsidDel="00000000" w:rsidP="00000000" w:rsidRDefault="00000000" w:rsidRPr="00000000" w14:paraId="0000024D">
      <w:pPr>
        <w:spacing w:after="160" w:lineRule="auto"/>
        <w:rPr>
          <w:rFonts w:ascii="Arial" w:cs="Arial" w:eastAsia="Arial" w:hAnsi="Arial"/>
          <w:i w:val="1"/>
          <w:iCs w:val="1"/>
        </w:rPr>
      </w:pPr>
      <w:r w:rsidDel="00000000" w:rsidR="00000000" w:rsidRPr="00000000">
        <w:rPr>
          <w:rFonts w:ascii="Arial" w:cs="Arial" w:eastAsia="Arial" w:hAnsi="Arial"/>
          <w:i w:val="1"/>
          <w:iCs w:val="1"/>
          <w:rtl w:val="0"/>
        </w:rPr>
        <w:t xml:space="preserve">**. Correlation is significant at the 0.01 level (2-tailed).</w:t>
      </w:r>
    </w:p>
    <w:p w:rsidR="00000000" w:rsidDel="00000000" w:rsidP="00000000" w:rsidRDefault="00000000" w:rsidRPr="00000000" w14:paraId="0000024E">
      <w:pPr>
        <w:spacing w:after="160" w:lineRule="auto"/>
        <w:rPr>
          <w:rFonts w:ascii="Arial" w:cs="Arial" w:eastAsia="Arial" w:hAnsi="Arial"/>
          <w:i w:val="1"/>
          <w:iCs w:val="1"/>
        </w:rPr>
      </w:pPr>
      <w:r w:rsidDel="00000000" w:rsidR="00000000" w:rsidRPr="00000000">
        <w:rPr>
          <w:rFonts w:ascii="Arial" w:cs="Arial" w:eastAsia="Arial" w:hAnsi="Arial"/>
          <w:i w:val="1"/>
          <w:iCs w:val="1"/>
          <w:rtl w:val="0"/>
        </w:rPr>
        <w:t xml:space="preserve">*. Correlation is significant at the 0.05 level (2-tailed).</w:t>
      </w:r>
    </w:p>
    <w:p w:rsidR="00000000" w:rsidDel="00000000" w:rsidP="00000000" w:rsidRDefault="00000000" w:rsidRPr="00000000" w14:paraId="0000024F">
      <w:pPr>
        <w:spacing w:after="160" w:lineRule="auto"/>
        <w:rPr>
          <w:rFonts w:ascii="Arial" w:cs="Arial" w:eastAsia="Arial" w:hAnsi="Arial"/>
          <w:i w:val="1"/>
          <w:iCs w:val="1"/>
        </w:rPr>
      </w:pPr>
      <w:r w:rsidDel="00000000" w:rsidR="00000000" w:rsidRPr="00000000">
        <w:rPr>
          <w:rtl w:val="0"/>
        </w:rPr>
      </w:r>
    </w:p>
    <w:p w:rsidR="00000000" w:rsidDel="00000000" w:rsidP="00000000" w:rsidRDefault="00000000" w:rsidRPr="00000000" w14:paraId="00000250">
      <w:pPr>
        <w:keepNext w:val="1"/>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Managerial Implications</w:t>
      </w:r>
    </w:p>
    <w:p w:rsidR="00000000" w:rsidDel="00000000" w:rsidP="00000000" w:rsidRDefault="00000000" w:rsidRPr="00000000" w14:paraId="00000251">
      <w:pPr>
        <w:spacing w:line="276" w:lineRule="auto"/>
        <w:jc w:val="both"/>
        <w:rPr>
          <w:rFonts w:ascii="Garamond" w:cs="Garamond" w:eastAsia="Garamond" w:hAnsi="Garamond"/>
          <w:i w:val="1"/>
          <w:iCs w:val="1"/>
          <w:highlight w:val="white"/>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findings of this study suggest that nursing school administrators, clinical instructors, and faculty members should take active steps in response to the positive effects of gamification on student engagement and critical thinking. Since gamified learning was shown to enhance participation and thinking skills, educators are encouraged to integrate gamified activities into their teaching strategies to create more interactive and meaningful learning experiences.</w:t>
      </w:r>
    </w:p>
    <w:p w:rsidR="00000000" w:rsidDel="00000000" w:rsidP="00000000" w:rsidRDefault="00000000" w:rsidRPr="00000000" w14:paraId="0000025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 addition, institutions may need to support faculty development by providing training on how to effectively use gamification in the classroom. The College of Nursing can also consider investing in appropriate educational technologies or applications that facilitate gamified learning. These actions highlight the need for those in charge to adopt and support innovative teaching approaches to further improve the quality of nursing education.</w:t>
      </w:r>
    </w:p>
    <w:p w:rsidR="00000000" w:rsidDel="00000000" w:rsidP="00000000" w:rsidRDefault="00000000" w:rsidRPr="00000000" w14:paraId="0000025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jc w:val="both"/>
        <w:rPr>
          <w:rFonts w:ascii="Arial" w:cs="Arial" w:eastAsia="Arial" w:hAnsi="Arial"/>
          <w:b w:val="1"/>
          <w:bCs w:val="1"/>
          <w:smallCaps w:val="1"/>
          <w:sz w:val="22"/>
          <w:szCs w:val="22"/>
        </w:rPr>
      </w:pPr>
      <w:r w:rsidDel="00000000" w:rsidR="00000000" w:rsidRPr="00000000">
        <w:rPr>
          <w:rFonts w:ascii="Arial" w:cs="Arial" w:eastAsia="Arial" w:hAnsi="Arial"/>
          <w:b w:val="1"/>
          <w:bCs w:val="1"/>
          <w:smallCaps w:val="1"/>
          <w:color w:val="000000"/>
          <w:sz w:val="22"/>
          <w:szCs w:val="22"/>
          <w:rtl w:val="0"/>
        </w:rPr>
        <w:t xml:space="preserve">4. </w:t>
      </w:r>
      <w:r w:rsidDel="00000000" w:rsidR="00000000" w:rsidRPr="00000000">
        <w:rPr>
          <w:rFonts w:ascii="Arial" w:cs="Arial" w:eastAsia="Arial" w:hAnsi="Arial"/>
          <w:b w:val="1"/>
          <w:bCs w:val="1"/>
          <w:sz w:val="22"/>
          <w:szCs w:val="22"/>
          <w:rtl w:val="0"/>
        </w:rPr>
        <w:t xml:space="preserve">Conclusion</w:t>
      </w: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jc w:val="both"/>
        <w:rPr>
          <w:rFonts w:ascii="Arial" w:cs="Arial" w:eastAsia="Arial" w:hAnsi="Arial"/>
          <w:b w:val="1"/>
          <w:bCs w:val="1"/>
          <w:smallCaps w:val="1"/>
          <w:sz w:val="22"/>
          <w:szCs w:val="22"/>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This study concludes that student nurses from different year levels are already exposed to gamified learning, indicating that it is widely integrated into nursing education. The findings showed a high level of engagement in behavioral, cognitive, and emotional dimensions, suggesting that gamified learning contributes positively to participation and learning motivation.</w:t>
      </w:r>
    </w:p>
    <w:p w:rsidR="00000000" w:rsidDel="00000000" w:rsidP="00000000" w:rsidRDefault="00000000" w:rsidRPr="00000000" w14:paraId="0000025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 terms of critical thinking, student nurses demonstrated satisfactory critical thinking skills, particularly in analyzing, evaluating, and applying domains, indicating that they possess essential cognitive skills needed in academic and clinical settings. However, lower performance in creating and deeper understanding suggests that continued emphasis on higher-order thinking remains necessary.</w:t>
      </w:r>
    </w:p>
    <w:p w:rsidR="00000000" w:rsidDel="00000000" w:rsidP="00000000" w:rsidRDefault="00000000" w:rsidRPr="00000000" w14:paraId="0000025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Although no statistically significant relationship was found between overall gamification engagement and overall critical thinking skills, weak positive associations were observed in selected domains, particularly analyzing, evaluating, remembering, and understanding. The overall null hypothesis is accepted, while it is rejected only for the specific domains where significant correlations were observed. These findings suggest that gamification may support certain cognitive processes, but its influence does not extend uniformly across all dimensions of critical thinking. This indicates that other instructional and learner-related factors may contribute more strongly to the overall development of critical thinking among nursing students.</w:t>
      </w:r>
    </w:p>
    <w:p w:rsidR="00000000" w:rsidDel="00000000" w:rsidP="00000000" w:rsidRDefault="00000000" w:rsidRPr="00000000" w14:paraId="0000025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5E">
      <w:pPr>
        <w:keepNext w:val="1"/>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Consent</w:t>
      </w:r>
    </w:p>
    <w:p w:rsidR="00000000" w:rsidDel="00000000" w:rsidP="00000000" w:rsidRDefault="00000000" w:rsidRPr="00000000" w14:paraId="0000025F">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tl w:val="0"/>
        </w:rPr>
      </w:r>
    </w:p>
    <w:p w:rsidR="00000000" w:rsidDel="00000000" w:rsidP="00000000" w:rsidRDefault="00000000" w:rsidRPr="00000000" w14:paraId="00000260">
      <w:pPr>
        <w:rPr>
          <w:rFonts w:ascii="Arial" w:cs="Arial" w:eastAsia="Arial" w:hAnsi="Arial"/>
        </w:rPr>
      </w:pPr>
      <w:r w:rsidDel="00000000" w:rsidR="00000000" w:rsidRPr="00000000">
        <w:rPr>
          <w:rFonts w:ascii="Arial" w:cs="Arial" w:eastAsia="Arial" w:hAnsi="Arial"/>
          <w:rtl w:val="0"/>
        </w:rPr>
        <w:t xml:space="preserve">Informed consent was secured from each participant before the start of data collection. The researchers thoroughly discussed the study’s purpose, procedures, and possible benefits to ensure that the participants were well informed about their involvement. After the discussion, participants were requested to voluntarily sign a consent form to confirm their willingness to take part in the study. This process ensured the protection of participants’ rights and compliance with ethical research guidelines.</w:t>
      </w:r>
    </w:p>
    <w:p w:rsidR="00000000" w:rsidDel="00000000" w:rsidP="00000000" w:rsidRDefault="00000000" w:rsidRPr="00000000" w14:paraId="00000261">
      <w:pPr>
        <w:rPr>
          <w:rFonts w:ascii="Arial" w:cs="Arial" w:eastAsia="Arial" w:hAnsi="Arial"/>
        </w:rPr>
      </w:pPr>
      <w:r w:rsidDel="00000000" w:rsidR="00000000" w:rsidRPr="00000000">
        <w:rPr>
          <w:rtl w:val="0"/>
        </w:rPr>
      </w:r>
    </w:p>
    <w:p w:rsidR="00000000" w:rsidDel="00000000" w:rsidP="00000000" w:rsidRDefault="00000000" w:rsidRPr="00000000" w14:paraId="00000262">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Fonts w:ascii="Arial" w:cs="Arial" w:eastAsia="Arial" w:hAnsi="Arial"/>
          <w:b w:val="1"/>
          <w:bCs w:val="1"/>
          <w:sz w:val="22"/>
          <w:szCs w:val="22"/>
          <w:rtl w:val="0"/>
        </w:rPr>
        <w:t xml:space="preserve">Ethical Approval</w:t>
      </w:r>
      <w:r w:rsidDel="00000000" w:rsidR="00000000" w:rsidRPr="00000000">
        <w:rPr>
          <w:rtl w:val="0"/>
        </w:rPr>
      </w:r>
    </w:p>
    <w:p w:rsidR="00000000" w:rsidDel="00000000" w:rsidP="00000000" w:rsidRDefault="00000000" w:rsidRPr="00000000" w14:paraId="00000263">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sz w:val="22"/>
          <w:szCs w:val="22"/>
        </w:rPr>
      </w:pPr>
      <w:r w:rsidDel="00000000" w:rsidR="00000000" w:rsidRPr="00000000">
        <w:rPr>
          <w:rtl w:val="0"/>
        </w:rPr>
      </w:r>
    </w:p>
    <w:p w:rsidR="00000000" w:rsidDel="00000000" w:rsidP="00000000" w:rsidRDefault="00000000" w:rsidRPr="00000000" w14:paraId="00000264">
      <w:pPr>
        <w:rPr>
          <w:rFonts w:ascii="Arial" w:cs="Arial" w:eastAsia="Arial" w:hAnsi="Arial"/>
        </w:rPr>
      </w:pPr>
      <w:r w:rsidDel="00000000" w:rsidR="00000000" w:rsidRPr="00000000">
        <w:rPr>
          <w:rFonts w:ascii="Arial" w:cs="Arial" w:eastAsia="Arial" w:hAnsi="Arial"/>
          <w:rtl w:val="0"/>
        </w:rPr>
        <w:t xml:space="preserve">The ethical clearance for the study was obtained from the Iloilo Doctors’ Institutional Research Ethics Committee (IDIREC) with the reference number IDIREC-2025.01_222 prior to data collection. Ethical standards were fully observed throughout the conduct of the study, particularly the principles of respect, beneficence, and justice. The study participants were allowed to voluntarily participate, and written informed consent was obtained before data collection. Participants were fully oriented regarding the purpose, methods, and potential benefits of the study before being allowed to participate. Participation was voluntary, and participants were informed that they could withdraw at any time without any penalty. Confidentiality and privacy were maintained through the use of identification codes instead of participants’ names, and all data collected were securely stored and accessible only to the research team. The study posed minimal risk to participants, as it only involved answering survey questionnaires, although slight discomfort in answering some items was anticipated; participants were allowed to skip any questions if preferred. Modest tokens were provided, and all collected data will be securely stored for five years before proper disposal.</w:t>
      </w:r>
    </w:p>
    <w:p w:rsidR="00000000" w:rsidDel="00000000" w:rsidP="00000000" w:rsidRDefault="00000000" w:rsidRPr="00000000" w14:paraId="00000265">
      <w:pPr>
        <w:rPr>
          <w:rFonts w:ascii="Arial" w:cs="Arial" w:eastAsia="Arial" w:hAnsi="Arial"/>
        </w:rPr>
      </w:pPr>
      <w:r w:rsidDel="00000000" w:rsidR="00000000" w:rsidRPr="00000000">
        <w:rPr>
          <w:rtl w:val="0"/>
        </w:rPr>
      </w:r>
    </w:p>
    <w:p w:rsidR="00000000" w:rsidDel="00000000" w:rsidP="00000000" w:rsidRDefault="00000000" w:rsidRPr="00000000" w14:paraId="00000266">
      <w:pPr>
        <w:spacing w:after="0" w:before="0" w:line="240" w:lineRule="auto"/>
        <w:rPr>
          <w:b w:val="1"/>
          <w:bCs w:val="1"/>
          <w:sz w:val="22"/>
          <w:szCs w:val="22"/>
        </w:rPr>
      </w:pPr>
      <w:r w:rsidDel="00000000" w:rsidR="00000000" w:rsidRPr="00000000">
        <w:rPr>
          <w:b w:val="1"/>
          <w:bCs w:val="1"/>
          <w:sz w:val="22"/>
          <w:szCs w:val="22"/>
          <w:rtl w:val="0"/>
        </w:rPr>
        <w:t xml:space="preserve">Disclaimer (Artificial intelligence)</w:t>
      </w:r>
    </w:p>
    <w:p w:rsidR="00000000" w:rsidDel="00000000" w:rsidP="00000000" w:rsidRDefault="00000000" w:rsidRPr="00000000" w14:paraId="00000267">
      <w:pPr>
        <w:spacing w:after="0" w:before="0" w:line="240" w:lineRule="auto"/>
        <w:rPr>
          <w:b w:val="1"/>
          <w:bCs w:val="1"/>
          <w:sz w:val="22"/>
          <w:szCs w:val="22"/>
        </w:rPr>
      </w:pPr>
      <w:r w:rsidDel="00000000" w:rsidR="00000000" w:rsidRPr="00000000">
        <w:rPr>
          <w:rtl w:val="0"/>
        </w:rPr>
      </w:r>
    </w:p>
    <w:p w:rsidR="00000000" w:rsidDel="00000000" w:rsidP="00000000" w:rsidRDefault="00000000" w:rsidRPr="00000000" w14:paraId="00000268">
      <w:pPr>
        <w:spacing w:after="0" w:before="0" w:line="240" w:lineRule="auto"/>
        <w:rPr>
          <w:highlight w:val="yellow"/>
        </w:rPr>
      </w:pPr>
      <w:r w:rsidDel="00000000" w:rsidR="00000000" w:rsidRPr="00000000">
        <w:rPr>
          <w:rtl w:val="0"/>
        </w:rPr>
        <w:t xml:space="preserve">Author(s) hereby declare that NO generative AI technologies such as Large Language Models (ChatGPT, COPILOT, etc.) and text-to-image generators have been used during the writing or editing of this manuscript.</w:t>
      </w:r>
      <w:r w:rsidDel="00000000" w:rsidR="00000000" w:rsidRPr="00000000">
        <w:rPr>
          <w:highlight w:val="yellow"/>
          <w:rtl w:val="0"/>
        </w:rPr>
        <w:t xml:space="preserve"> </w:t>
      </w:r>
    </w:p>
    <w:p w:rsidR="00000000" w:rsidDel="00000000" w:rsidP="00000000" w:rsidRDefault="00000000" w:rsidRPr="00000000" w14:paraId="00000269">
      <w:pPr>
        <w:spacing w:after="0" w:before="0" w:line="240" w:lineRule="auto"/>
        <w:rPr>
          <w:highlight w:val="yellow"/>
        </w:rPr>
      </w:pPr>
      <w:r w:rsidDel="00000000" w:rsidR="00000000" w:rsidRPr="00000000">
        <w:rPr>
          <w:rtl w:val="0"/>
        </w:rPr>
      </w:r>
    </w:p>
    <w:p w:rsidR="00000000" w:rsidDel="00000000" w:rsidP="00000000" w:rsidRDefault="00000000" w:rsidRPr="00000000" w14:paraId="0000026A">
      <w:pPr>
        <w:keepNext w:val="1"/>
        <w:spacing w:after="0" w:before="0" w:line="240"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Acknowledgement</w:t>
      </w:r>
    </w:p>
    <w:p w:rsidR="00000000" w:rsidDel="00000000" w:rsidP="00000000" w:rsidRDefault="00000000" w:rsidRPr="00000000" w14:paraId="0000026B">
      <w:pPr>
        <w:keepNext w:val="1"/>
        <w:spacing w:after="0" w:before="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26C">
      <w:pPr>
        <w:spacing w:after="0" w:before="0" w:lineRule="auto"/>
        <w:rPr>
          <w:rFonts w:ascii="Arial" w:cs="Arial" w:eastAsia="Arial" w:hAnsi="Arial"/>
        </w:rPr>
      </w:pPr>
      <w:r w:rsidDel="00000000" w:rsidR="00000000" w:rsidRPr="00000000">
        <w:rPr>
          <w:rFonts w:ascii="Arial" w:cs="Arial" w:eastAsia="Arial" w:hAnsi="Arial"/>
          <w:rtl w:val="0"/>
        </w:rPr>
        <w:t xml:space="preserve">The author(s) would like to express their sincere gratitude to all individuals who contributed to and supported this study, as well as to Iloilo Doctors’ College for its invaluable support and for providing the resources necessary to carry out this research.</w:t>
      </w:r>
    </w:p>
    <w:p w:rsidR="00000000" w:rsidDel="00000000" w:rsidP="00000000" w:rsidRDefault="00000000" w:rsidRPr="00000000" w14:paraId="0000026D">
      <w:pPr>
        <w:spacing w:after="0" w:before="0" w:lineRule="auto"/>
        <w:rPr/>
      </w:pPr>
      <w:r w:rsidDel="00000000" w:rsidR="00000000" w:rsidRPr="00000000">
        <w:rPr>
          <w:rtl w:val="0"/>
        </w:rPr>
      </w:r>
    </w:p>
    <w:p w:rsidR="00000000" w:rsidDel="00000000" w:rsidP="00000000" w:rsidRDefault="00000000" w:rsidRPr="00000000" w14:paraId="0000026E">
      <w:pPr>
        <w:keepNext w:val="1"/>
        <w:spacing w:after="0" w:before="0"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Competing Interests</w:t>
      </w:r>
    </w:p>
    <w:p w:rsidR="00000000" w:rsidDel="00000000" w:rsidP="00000000" w:rsidRDefault="00000000" w:rsidRPr="00000000" w14:paraId="0000026F">
      <w:pPr>
        <w:keepNext w:val="1"/>
        <w:spacing w:after="0" w:before="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270">
      <w:pPr>
        <w:keepNext w:val="1"/>
        <w:spacing w:after="0" w:before="0" w:lineRule="auto"/>
        <w:jc w:val="both"/>
        <w:rPr>
          <w:rFonts w:ascii="Arial" w:cs="Arial" w:eastAsia="Arial" w:hAnsi="Arial"/>
        </w:rPr>
      </w:pPr>
      <w:r w:rsidDel="00000000" w:rsidR="00000000" w:rsidRPr="00000000">
        <w:rPr>
          <w:rFonts w:ascii="Arial" w:cs="Arial" w:eastAsia="Arial" w:hAnsi="Arial"/>
          <w:rtl w:val="0"/>
        </w:rPr>
        <w:t xml:space="preserve">Authors have declared that they have no known competing financial or non-financial interests that could have appeared to influence the work reported in this paper.</w:t>
      </w:r>
    </w:p>
    <w:p w:rsidR="00000000" w:rsidDel="00000000" w:rsidP="00000000" w:rsidRDefault="00000000" w:rsidRPr="00000000" w14:paraId="00000271">
      <w:pPr>
        <w:spacing w:after="0" w:before="0" w:lineRule="auto"/>
        <w:rPr/>
      </w:pPr>
      <w:r w:rsidDel="00000000" w:rsidR="00000000" w:rsidRPr="00000000">
        <w:rPr>
          <w:rtl w:val="0"/>
        </w:rPr>
      </w:r>
    </w:p>
    <w:p w:rsidR="00000000" w:rsidDel="00000000" w:rsidP="00000000" w:rsidRDefault="00000000" w:rsidRPr="00000000" w14:paraId="00000272">
      <w:pPr>
        <w:keepNext w:val="1"/>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References</w:t>
      </w:r>
    </w:p>
    <w:p w:rsidR="00000000" w:rsidDel="00000000" w:rsidP="00000000" w:rsidRDefault="00000000" w:rsidRPr="00000000" w14:paraId="00000273">
      <w:pPr>
        <w:keepNext w:val="1"/>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t xml:space="preserve">Aprecia, N. A. B., Barrera, G. A., Cuares, K. R. A., Cuison, M. J. L., Lazaro, M. K. D.,Pat-i, K. K. M., Sayson, Y. J. H. (2022). A descriptive correlational study on the physical environment and perceived academic performance of STEM online learners. Notre Dame of Marbel University – Integrated Basic Education Department, Senior High School, Koronadal City. </w:t>
      </w:r>
      <w:hyperlink r:id="rId13">
        <w:r w:rsidDel="00000000" w:rsidR="00000000" w:rsidRPr="00000000">
          <w:rPr>
            <w:color w:val="1155cc"/>
            <w:u w:val="single"/>
            <w:rtl w:val="0"/>
          </w:rPr>
          <w:t xml:space="preserve">https://animorepository.dlsu.edu.ph/cgi/viewcontent.cgi?article=1178&amp;context=co</w:t>
        </w:r>
      </w:hyperlink>
      <w:r w:rsidDel="00000000" w:rsidR="00000000" w:rsidRPr="00000000">
        <w:rPr>
          <w:rtl w:val="0"/>
        </w:rPr>
      </w:r>
    </w:p>
    <w:p w:rsidR="00000000" w:rsidDel="00000000" w:rsidP="00000000" w:rsidRDefault="00000000" w:rsidRPr="00000000" w14:paraId="00000275">
      <w:pPr>
        <w:spacing w:after="240" w:before="240" w:lineRule="auto"/>
        <w:rPr/>
      </w:pPr>
      <w:r w:rsidDel="00000000" w:rsidR="00000000" w:rsidRPr="00000000">
        <w:rPr>
          <w:rtl w:val="0"/>
        </w:rPr>
        <w:t xml:space="preserve">Caliston, N. (2025). Evaluating the Effectiveness of Mobile Game-Based Learning for Raising Adolescent Health Awareness: The Case of “AHlam Na 2.0.” IJOEM Indonesian Journal of E-Learning and Multimedia, 4(1), 11–20.</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https://doi.org/10.58723/ijoem.v4i1.349</w:t>
        </w:r>
      </w:hyperlink>
      <w:r w:rsidDel="00000000" w:rsidR="00000000" w:rsidRPr="00000000">
        <w:rPr>
          <w:rtl w:val="0"/>
        </w:rPr>
      </w:r>
    </w:p>
    <w:p w:rsidR="00000000" w:rsidDel="00000000" w:rsidP="00000000" w:rsidRDefault="00000000" w:rsidRPr="00000000" w14:paraId="00000276">
      <w:pPr>
        <w:rPr/>
      </w:pPr>
      <w:r w:rsidDel="00000000" w:rsidR="00000000" w:rsidRPr="00000000">
        <w:rPr>
          <w:rtl w:val="0"/>
        </w:rPr>
        <w:t xml:space="preserve">Capatina, A., Juarez-Varon, D., Micu, A., &amp; Micu, A. E. (2024). Leveling up in Corporate training: Unveiling the Power of Gamification to Enhance Knowledge retention, Knowledge sharing, and Job Performance. Journal of Innovation &amp; Knowledge, 9(3), 100530–100530. </w:t>
      </w:r>
      <w:hyperlink r:id="rId16">
        <w:r w:rsidDel="00000000" w:rsidR="00000000" w:rsidRPr="00000000">
          <w:rPr>
            <w:color w:val="1155cc"/>
            <w:u w:val="single"/>
            <w:rtl w:val="0"/>
          </w:rPr>
          <w:t xml:space="preserve">https://doi.org/10.1016/j.jik.2024.100530</w:t>
        </w:r>
      </w:hyperlink>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Dah, J. (2024). Gamification is not working: Why?. Games and Culture, 20(7), 934-957. </w:t>
      </w:r>
      <w:hyperlink r:id="rId17">
        <w:r w:rsidDel="00000000" w:rsidR="00000000" w:rsidRPr="00000000">
          <w:rPr>
            <w:color w:val="1155cc"/>
            <w:u w:val="single"/>
            <w:rtl w:val="0"/>
          </w:rPr>
          <w:t xml:space="preserve">https://www.researchgate.net/publication/380360600_Gamification_is_not_Working_Why</w:t>
        </w:r>
      </w:hyperlink>
      <w:r w:rsidDel="00000000" w:rsidR="00000000" w:rsidRPr="00000000">
        <w:rPr>
          <w:rtl w:val="0"/>
        </w:rPr>
      </w:r>
    </w:p>
    <w:p w:rsidR="00000000" w:rsidDel="00000000" w:rsidP="00000000" w:rsidRDefault="00000000" w:rsidRPr="00000000" w14:paraId="00000279">
      <w:pPr>
        <w:spacing w:after="240" w:before="240" w:lineRule="auto"/>
        <w:rPr>
          <w:color w:val="1155cc"/>
          <w:u w:val="single"/>
        </w:rPr>
      </w:pPr>
      <w:r w:rsidDel="00000000" w:rsidR="00000000" w:rsidRPr="00000000">
        <w:rPr>
          <w:rtl w:val="0"/>
        </w:rPr>
        <w:t xml:space="preserve">David, L., &amp; Weinstein, N. (2023). A gamified experiential learning intervention for engaging students through satisfying needs. Journal of Educational Technology Systems, 52(1), 52–72. </w:t>
      </w:r>
      <w:r w:rsidDel="00000000" w:rsidR="00000000" w:rsidRPr="00000000">
        <w:rPr>
          <w:color w:val="1155cc"/>
          <w:u w:val="single"/>
          <w:rtl w:val="0"/>
        </w:rPr>
        <w:t xml:space="preserve">https://doi.org/10.1177/00472395231174614</w:t>
      </w:r>
    </w:p>
    <w:p w:rsidR="00000000" w:rsidDel="00000000" w:rsidP="00000000" w:rsidRDefault="00000000" w:rsidRPr="00000000" w14:paraId="0000027A">
      <w:pPr>
        <w:spacing w:after="240" w:before="240" w:lineRule="auto"/>
        <w:rPr/>
      </w:pPr>
      <w:r w:rsidDel="00000000" w:rsidR="00000000" w:rsidRPr="00000000">
        <w:rPr>
          <w:rtl w:val="0"/>
        </w:rPr>
        <w:t xml:space="preserve">Del Pozo-Herce, P., Tovar-Reinoso, A., García Carpintero-Blas, E., Casaux Huertas, A., Ruiz de Viñaspre-Hernández, R., Martínez-Sabater, A., Chover-Sierra, E., Rodríguez-García, M., &amp; Juárez-Vela, R. (2025).Gamification as a tool for understanding mental disorders in nursing students: Qualitative study. JMIR Nursing, 8(1), e71921.</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https://doi.org/10.2196/71921</w:t>
        </w:r>
      </w:hyperlink>
      <w:r w:rsidDel="00000000" w:rsidR="00000000" w:rsidRPr="00000000">
        <w:rPr>
          <w:rtl w:val="0"/>
        </w:rPr>
      </w:r>
    </w:p>
    <w:p w:rsidR="00000000" w:rsidDel="00000000" w:rsidP="00000000" w:rsidRDefault="00000000" w:rsidRPr="00000000" w14:paraId="0000027B">
      <w:pPr>
        <w:keepNext w:val="1"/>
        <w:jc w:val="both"/>
        <w:rPr/>
      </w:pPr>
      <w:r w:rsidDel="00000000" w:rsidR="00000000" w:rsidRPr="00000000">
        <w:rPr>
          <w:rtl w:val="0"/>
        </w:rPr>
        <w:t xml:space="preserve">Department of Education. (2020, November 17). DepEd and UNESCO launch the 2020 </w:t>
      </w:r>
    </w:p>
    <w:p w:rsidR="00000000" w:rsidDel="00000000" w:rsidP="00000000" w:rsidRDefault="00000000" w:rsidRPr="00000000" w14:paraId="0000027C">
      <w:pPr>
        <w:keepNext w:val="1"/>
        <w:jc w:val="both"/>
        <w:rPr/>
      </w:pPr>
      <w:r w:rsidDel="00000000" w:rsidR="00000000" w:rsidRPr="00000000">
        <w:rPr>
          <w:rtl w:val="0"/>
        </w:rPr>
        <w:t xml:space="preserve">Global Education Monitoring Report in the Philippines. </w:t>
      </w:r>
    </w:p>
    <w:p w:rsidR="00000000" w:rsidDel="00000000" w:rsidP="00000000" w:rsidRDefault="00000000" w:rsidRPr="00000000" w14:paraId="0000027D">
      <w:pPr>
        <w:keepNext w:val="1"/>
        <w:jc w:val="both"/>
        <w:rPr/>
      </w:pPr>
      <w:hyperlink r:id="rId20">
        <w:r w:rsidDel="00000000" w:rsidR="00000000" w:rsidRPr="00000000">
          <w:rPr>
            <w:color w:val="1155cc"/>
            <w:u w:val="single"/>
            <w:rtl w:val="0"/>
          </w:rPr>
          <w:t xml:space="preserve">https://www.deped.gov.ph/2020/11/18/deped-and-unesco-launches-the-2020-global-education-monitoring-report-in-the-philippines/</w:t>
        </w:r>
      </w:hyperlink>
      <w:r w:rsidDel="00000000" w:rsidR="00000000" w:rsidRPr="00000000">
        <w:rPr>
          <w:rtl w:val="0"/>
        </w:rPr>
      </w:r>
    </w:p>
    <w:p w:rsidR="00000000" w:rsidDel="00000000" w:rsidP="00000000" w:rsidRDefault="00000000" w:rsidRPr="00000000" w14:paraId="0000027E">
      <w:pPr>
        <w:keepNext w:val="1"/>
        <w:spacing w:after="240" w:before="240" w:lineRule="auto"/>
        <w:jc w:val="both"/>
        <w:rPr>
          <w:color w:val="1155cc"/>
          <w:u w:val="single"/>
        </w:rPr>
      </w:pPr>
      <w:r w:rsidDel="00000000" w:rsidR="00000000" w:rsidRPr="00000000">
        <w:rPr>
          <w:rtl w:val="0"/>
        </w:rPr>
        <w:t xml:space="preserve">D’Errico, F., Paciello, M., &amp; Cerniglia, L. (2016). When emotions enhance students’ engagement in e-learning processes. Journal of E-Learning and Knowledge Society, 12(4). </w:t>
      </w:r>
      <w:r w:rsidDel="00000000" w:rsidR="00000000" w:rsidRPr="00000000">
        <w:rPr>
          <w:color w:val="1155cc"/>
          <w:u w:val="single"/>
          <w:rtl w:val="0"/>
        </w:rPr>
        <w:t xml:space="preserve">https://doi.org/10.20368/1971-8829/1144</w:t>
      </w:r>
    </w:p>
    <w:p w:rsidR="00000000" w:rsidDel="00000000" w:rsidP="00000000" w:rsidRDefault="00000000" w:rsidRPr="00000000" w14:paraId="0000027F">
      <w:pPr>
        <w:rPr/>
      </w:pPr>
      <w:r w:rsidDel="00000000" w:rsidR="00000000" w:rsidRPr="00000000">
        <w:rPr>
          <w:rtl w:val="0"/>
        </w:rPr>
        <w:t xml:space="preserve">Dhawan, S. (2020, June 20). Online Learning: A Panacea in the Time of COVID-19 Crisis.ResearchGate;BaywoodPublishing.</w:t>
      </w:r>
    </w:p>
    <w:p w:rsidR="00000000" w:rsidDel="00000000" w:rsidP="00000000" w:rsidRDefault="00000000" w:rsidRPr="00000000" w14:paraId="00000280">
      <w:pPr>
        <w:rPr/>
      </w:pPr>
      <w:hyperlink r:id="rId21">
        <w:r w:rsidDel="00000000" w:rsidR="00000000" w:rsidRPr="00000000">
          <w:rPr>
            <w:color w:val="1155cc"/>
            <w:u w:val="single"/>
            <w:rtl w:val="0"/>
          </w:rPr>
          <w:t xml:space="preserve">https://www.researchgate.net/publication/342344822_Online_Learning_A_Panacea_in_the_Time_of_COVID-19_Crisis</w:t>
        </w:r>
      </w:hyperlink>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Freeman, S., Fletcher, J., Clouston, K., &amp; Higson, A. (2024). Gamifying simulated </w:t>
      </w:r>
    </w:p>
    <w:p w:rsidR="00000000" w:rsidDel="00000000" w:rsidP="00000000" w:rsidRDefault="00000000" w:rsidRPr="00000000" w14:paraId="00000284">
      <w:pPr>
        <w:rPr/>
      </w:pPr>
      <w:r w:rsidDel="00000000" w:rsidR="00000000" w:rsidRPr="00000000">
        <w:rPr>
          <w:rtl w:val="0"/>
        </w:rPr>
        <w:t xml:space="preserve">nursing education: a digital technology approach to enhancing pedagogy and student experience. British Journal of Nursing, 33(4), 206–214. </w:t>
      </w:r>
      <w:hyperlink r:id="rId22">
        <w:r w:rsidDel="00000000" w:rsidR="00000000" w:rsidRPr="00000000">
          <w:rPr>
            <w:color w:val="1155cc"/>
            <w:u w:val="single"/>
            <w:rtl w:val="0"/>
          </w:rPr>
          <w:t xml:space="preserve">https://doi.org/10.12968/bjon.2024.33.4.206</w:t>
        </w:r>
      </w:hyperlink>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keepNext w:val="1"/>
        <w:jc w:val="both"/>
        <w:rPr/>
      </w:pPr>
      <w:r w:rsidDel="00000000" w:rsidR="00000000" w:rsidRPr="00000000">
        <w:rPr>
          <w:rtl w:val="0"/>
        </w:rPr>
        <w:t xml:space="preserve">Killam, L. A., Timmermans, K. E., &amp; Shapiro, S. J. (2021). Motivation and Engagement of Nursing Students in 2 Gamified Courses. Nurse Educator, Publish Ahead of Print. </w:t>
      </w:r>
      <w:hyperlink r:id="rId23">
        <w:r w:rsidDel="00000000" w:rsidR="00000000" w:rsidRPr="00000000">
          <w:rPr>
            <w:color w:val="1155cc"/>
            <w:u w:val="single"/>
            <w:rtl w:val="0"/>
          </w:rPr>
          <w:t xml:space="preserve">https://doi.org/10.1097/nne.0000000000001065</w:t>
        </w:r>
      </w:hyperlink>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Kobylarek, Aleksander, et al. “Critical Thinking Questionnaire (CThQ) – Construction </w:t>
      </w:r>
    </w:p>
    <w:p w:rsidR="00000000" w:rsidDel="00000000" w:rsidP="00000000" w:rsidRDefault="00000000" w:rsidRPr="00000000" w14:paraId="00000289">
      <w:pPr>
        <w:rPr/>
      </w:pPr>
      <w:r w:rsidDel="00000000" w:rsidR="00000000" w:rsidRPr="00000000">
        <w:rPr>
          <w:rtl w:val="0"/>
        </w:rPr>
        <w:t xml:space="preserve">and Application of Critical Thinking Test Tool.” Andragogy Adult Education and Social Marketing, vol. 2, no. 2, 27 Mar. 2022, p. 1, </w:t>
      </w:r>
      <w:hyperlink r:id="rId24">
        <w:r w:rsidDel="00000000" w:rsidR="00000000" w:rsidRPr="00000000">
          <w:rPr>
            <w:color w:val="1155cc"/>
            <w:u w:val="single"/>
            <w:rtl w:val="0"/>
          </w:rPr>
          <w:t xml:space="preserve">https://doi.org/10.15503/andr2022.1</w:t>
        </w:r>
      </w:hyperlink>
      <w:r w:rsidDel="00000000" w:rsidR="00000000" w:rsidRPr="00000000">
        <w:rPr>
          <w:rtl w:val="0"/>
        </w:rPr>
        <w:t xml:space="preserve">.</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keepNext w:val="1"/>
        <w:jc w:val="both"/>
        <w:rPr/>
      </w:pPr>
      <w:r w:rsidDel="00000000" w:rsidR="00000000" w:rsidRPr="00000000">
        <w:rPr>
          <w:rtl w:val="0"/>
        </w:rPr>
        <w:t xml:space="preserve">Lebuna, J. C., Elloran, E. J., Losañes, R., Genegaban, R., Solinap, J. P., Gotera, R. J., </w:t>
      </w:r>
    </w:p>
    <w:p w:rsidR="00000000" w:rsidDel="00000000" w:rsidP="00000000" w:rsidRDefault="00000000" w:rsidRPr="00000000" w14:paraId="0000028C">
      <w:pPr>
        <w:keepNext w:val="1"/>
        <w:jc w:val="both"/>
        <w:rPr/>
      </w:pPr>
      <w:r w:rsidDel="00000000" w:rsidR="00000000" w:rsidRPr="00000000">
        <w:rPr>
          <w:rtl w:val="0"/>
        </w:rPr>
        <w:t xml:space="preserve">Gemarino, C. M., &amp; Geca, R. B., &amp; Nicmic, A. M. (2022). Effects of gamification strategies on learners’ motivation in the New Normal. Iloilo Science and Technology University – Miagao Campus.</w:t>
      </w:r>
    </w:p>
    <w:p w:rsidR="00000000" w:rsidDel="00000000" w:rsidP="00000000" w:rsidRDefault="00000000" w:rsidRPr="00000000" w14:paraId="0000028D">
      <w:pPr>
        <w:keepNext w:val="1"/>
        <w:jc w:val="both"/>
        <w:rPr/>
      </w:pPr>
      <w:hyperlink r:id="rId25">
        <w:r w:rsidDel="00000000" w:rsidR="00000000" w:rsidRPr="00000000">
          <w:rPr>
            <w:color w:val="1155cc"/>
            <w:u w:val="single"/>
            <w:rtl w:val="0"/>
          </w:rPr>
          <w:t xml:space="preserve">https://jurnal.ubhinus.ac.id/index.php/IC-ITECHS/article/download/778/515</w:t>
        </w:r>
      </w:hyperlink>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rFonts w:ascii="Arial" w:cs="Arial" w:eastAsia="Arial" w:hAnsi="Arial"/>
          <w:highlight w:val="white"/>
        </w:rPr>
      </w:pPr>
      <w:r w:rsidDel="00000000" w:rsidR="00000000" w:rsidRPr="00000000">
        <w:rPr>
          <w:rFonts w:ascii="Arial" w:cs="Arial" w:eastAsia="Arial" w:hAnsi="Arial"/>
          <w:highlight w:val="white"/>
          <w:rtl w:val="0"/>
        </w:rPr>
        <w:t xml:space="preserve">Lim S. G., Lau M. Y., &amp; Ho A. L. (2019). Level of critical thinking ability among nursing students. The Malaysian Journal of Nursing (MJN), 11(2), 31–39.</w:t>
      </w:r>
    </w:p>
    <w:p w:rsidR="00000000" w:rsidDel="00000000" w:rsidP="00000000" w:rsidRDefault="00000000" w:rsidRPr="00000000" w14:paraId="00000290">
      <w:pPr>
        <w:rPr/>
      </w:pPr>
      <w:hyperlink r:id="rId26">
        <w:r w:rsidDel="00000000" w:rsidR="00000000" w:rsidRPr="00000000">
          <w:rPr>
            <w:rFonts w:ascii="Arial" w:cs="Arial" w:eastAsia="Arial" w:hAnsi="Arial"/>
            <w:color w:val="1155cc"/>
            <w:highlight w:val="white"/>
            <w:u w:val="single"/>
            <w:rtl w:val="0"/>
          </w:rPr>
          <w:t xml:space="preserve">https://doi.org/10.31674/mjn.2019.v11i02.004</w:t>
        </w:r>
      </w:hyperlink>
      <w:r w:rsidDel="00000000" w:rsidR="00000000" w:rsidRPr="00000000">
        <w:rPr>
          <w:rtl w:val="0"/>
        </w:rPr>
      </w:r>
    </w:p>
    <w:p w:rsidR="00000000" w:rsidDel="00000000" w:rsidP="00000000" w:rsidRDefault="00000000" w:rsidRPr="00000000" w14:paraId="00000291">
      <w:pPr>
        <w:spacing w:after="240" w:before="240" w:lineRule="auto"/>
        <w:rPr>
          <w:color w:val="1155cc"/>
          <w:u w:val="single"/>
        </w:rPr>
      </w:pPr>
      <w:r w:rsidDel="00000000" w:rsidR="00000000" w:rsidRPr="00000000">
        <w:rPr>
          <w:rtl w:val="0"/>
        </w:rPr>
        <w:t xml:space="preserve">Martos-Cabrera, M. B., Membrive-Jiménez, M. J., Suleiman-Martos, N., Mota-Romero, E., Cañadas-De la Fuente, G. A., Gómez-Urquiza, J. L., &amp; Albendín-García, L. (2020). Games and Health Education for Diabetes Control: A Systematic Review with Meta-Analysis. Healthcare (Basel, Switzerland), 8(4).</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https://doi.org/10.3390/healthcare8040399</w:t>
        </w:r>
      </w:hyperlink>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Nylén-Eriksen, M., Stojiljkovic, M., Lillekroken, D., Lindeflaten, K., Flølo, T. N., </w:t>
      </w:r>
    </w:p>
    <w:p w:rsidR="00000000" w:rsidDel="00000000" w:rsidP="00000000" w:rsidRDefault="00000000" w:rsidRPr="00000000" w14:paraId="00000293">
      <w:pPr>
        <w:keepNext w:val="1"/>
        <w:jc w:val="both"/>
        <w:rPr/>
      </w:pPr>
      <w:r w:rsidDel="00000000" w:rsidR="00000000" w:rsidRPr="00000000">
        <w:rPr>
          <w:rtl w:val="0"/>
        </w:rPr>
        <w:t xml:space="preserve">Hovland, A. M. S., Hansen, S., Bjørnnes, A. K., &amp; Tørris, C. (2025). Game-thinking: Utilizing serious games and gamification in nursing education – A systematic review and meta-analysis.BMC Medical Education 25(1), 65-79.</w:t>
      </w:r>
    </w:p>
    <w:p w:rsidR="00000000" w:rsidDel="00000000" w:rsidP="00000000" w:rsidRDefault="00000000" w:rsidRPr="00000000" w14:paraId="00000294">
      <w:pPr>
        <w:keepNext w:val="1"/>
        <w:jc w:val="both"/>
        <w:rPr/>
      </w:pPr>
      <w:hyperlink r:id="rId29">
        <w:r w:rsidDel="00000000" w:rsidR="00000000" w:rsidRPr="00000000">
          <w:rPr>
            <w:color w:val="1155cc"/>
            <w:u w:val="single"/>
            <w:rtl w:val="0"/>
          </w:rPr>
          <w:t xml:space="preserve">https://doi.org/10.1186/s12909-024-06531-7</w:t>
        </w:r>
      </w:hyperlink>
      <w:r w:rsidDel="00000000" w:rsidR="00000000" w:rsidRPr="00000000">
        <w:rPr>
          <w:rtl w:val="0"/>
        </w:rPr>
      </w:r>
    </w:p>
    <w:p w:rsidR="00000000" w:rsidDel="00000000" w:rsidP="00000000" w:rsidRDefault="00000000" w:rsidRPr="00000000" w14:paraId="00000295">
      <w:pPr>
        <w:keepNext w:val="1"/>
        <w:jc w:val="both"/>
        <w:rPr/>
      </w:pPr>
      <w:r w:rsidDel="00000000" w:rsidR="00000000" w:rsidRPr="00000000">
        <w:rPr>
          <w:rtl w:val="0"/>
        </w:rPr>
      </w:r>
    </w:p>
    <w:p w:rsidR="00000000" w:rsidDel="00000000" w:rsidP="00000000" w:rsidRDefault="00000000" w:rsidRPr="00000000" w14:paraId="00000296">
      <w:pPr>
        <w:keepNext w:val="1"/>
        <w:jc w:val="both"/>
        <w:rPr/>
      </w:pPr>
      <w:r w:rsidDel="00000000" w:rsidR="00000000" w:rsidRPr="00000000">
        <w:rPr>
          <w:rtl w:val="0"/>
        </w:rPr>
        <w:t xml:space="preserve">Ortiz-Rojas, M., Chiluiza, K., Valcke, M., &amp; Bolanos-Mendoza, C. (2025). How gamification boosts learning in STEM higher education: a mixed methods study. International Journal of STEM Education, 12(1). </w:t>
      </w:r>
      <w:hyperlink r:id="rId30">
        <w:r w:rsidDel="00000000" w:rsidR="00000000" w:rsidRPr="00000000">
          <w:rPr>
            <w:color w:val="1155cc"/>
            <w:u w:val="single"/>
            <w:rtl w:val="0"/>
          </w:rPr>
          <w:t xml:space="preserve">https://doi.org/10.1186/s40594-024-00521-3</w:t>
        </w:r>
      </w:hyperlink>
      <w:r w:rsidDel="00000000" w:rsidR="00000000" w:rsidRPr="00000000">
        <w:rPr>
          <w:rtl w:val="0"/>
        </w:rPr>
      </w:r>
    </w:p>
    <w:p w:rsidR="00000000" w:rsidDel="00000000" w:rsidP="00000000" w:rsidRDefault="00000000" w:rsidRPr="00000000" w14:paraId="00000297">
      <w:pPr>
        <w:keepNext w:val="1"/>
        <w:jc w:val="both"/>
        <w:rPr/>
      </w:pPr>
      <w:r w:rsidDel="00000000" w:rsidR="00000000" w:rsidRPr="00000000">
        <w:rPr>
          <w:rtl w:val="0"/>
        </w:rPr>
      </w:r>
    </w:p>
    <w:p w:rsidR="00000000" w:rsidDel="00000000" w:rsidP="00000000" w:rsidRDefault="00000000" w:rsidRPr="00000000" w14:paraId="00000298">
      <w:pPr>
        <w:keepNext w:val="1"/>
        <w:jc w:val="both"/>
        <w:rPr/>
      </w:pPr>
      <w:r w:rsidDel="00000000" w:rsidR="00000000" w:rsidRPr="00000000">
        <w:rPr>
          <w:rtl w:val="0"/>
        </w:rPr>
        <w:t xml:space="preserve">Othman, M. K., &amp; Ching, S. K. (2024). Gamifying science education: How board games </w:t>
      </w:r>
    </w:p>
    <w:p w:rsidR="00000000" w:rsidDel="00000000" w:rsidP="00000000" w:rsidRDefault="00000000" w:rsidRPr="00000000" w14:paraId="00000299">
      <w:pPr>
        <w:keepNext w:val="1"/>
        <w:jc w:val="both"/>
        <w:rPr/>
      </w:pPr>
      <w:r w:rsidDel="00000000" w:rsidR="00000000" w:rsidRPr="00000000">
        <w:rPr>
          <w:rtl w:val="0"/>
        </w:rPr>
        <w:t xml:space="preserve">enhance engagement, motivate and develop social interaction, and learning. Education and Information Technologies. </w:t>
      </w:r>
      <w:hyperlink r:id="rId31">
        <w:r w:rsidDel="00000000" w:rsidR="00000000" w:rsidRPr="00000000">
          <w:rPr>
            <w:color w:val="1155cc"/>
            <w:u w:val="single"/>
            <w:rtl w:val="0"/>
          </w:rPr>
          <w:t xml:space="preserve">https://doi.org/10.1007/s10639-024-12818-5</w:t>
        </w:r>
      </w:hyperlink>
      <w:r w:rsidDel="00000000" w:rsidR="00000000" w:rsidRPr="00000000">
        <w:rPr>
          <w:rtl w:val="0"/>
        </w:rPr>
      </w:r>
    </w:p>
    <w:p w:rsidR="00000000" w:rsidDel="00000000" w:rsidP="00000000" w:rsidRDefault="00000000" w:rsidRPr="00000000" w14:paraId="0000029A">
      <w:pPr>
        <w:keepNext w:val="1"/>
        <w:jc w:val="both"/>
        <w:rPr/>
      </w:pPr>
      <w:r w:rsidDel="00000000" w:rsidR="00000000" w:rsidRPr="00000000">
        <w:rPr>
          <w:rtl w:val="0"/>
        </w:rPr>
      </w:r>
    </w:p>
    <w:p w:rsidR="00000000" w:rsidDel="00000000" w:rsidP="00000000" w:rsidRDefault="00000000" w:rsidRPr="00000000" w14:paraId="0000029B">
      <w:pPr>
        <w:keepNext w:val="1"/>
        <w:jc w:val="both"/>
        <w:rPr/>
      </w:pPr>
      <w:r w:rsidDel="00000000" w:rsidR="00000000" w:rsidRPr="00000000">
        <w:rPr>
          <w:rtl w:val="0"/>
        </w:rPr>
        <w:t xml:space="preserve">Pangandaman, H., Datumanong, N. T., Ryan, M., Romanoff Raki-in, &amp; Warid-Sahial, A. P. (2025). Gamification in Nursing Education: A Systematic Review of Its Impact on Knowledge Retention and Skills Development Among Novice Nursing Students. Cuestiones de Filosofía, 54(5), 275–293. https://doi.org/10.48047/r37mrr91</w:t>
      </w: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t xml:space="preserve">Sarker, U., Kanuka, H., Norris, C., Raymond, C., Yonge, O., &amp; Davidson, S. (2021). Gamification in nursing literature: an integrative review. International Journal of Nursing Education Scholarship, 18(1). </w:t>
      </w:r>
      <w:hyperlink r:id="rId32">
        <w:r w:rsidDel="00000000" w:rsidR="00000000" w:rsidRPr="00000000">
          <w:rPr>
            <w:color w:val="1155cc"/>
            <w:u w:val="single"/>
            <w:rtl w:val="0"/>
          </w:rPr>
          <w:t xml:space="preserve">https://doi.org/10.1515/ijnes-2020-0081</w:t>
        </w:r>
      </w:hyperlink>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t xml:space="preserve">Tambunan, E. H. (2024). Theory-Practice Gap during Clinical Learning: A descriptive qualitative study of nursing students’ experiences and perceptions. Journal of Caring Sciences, 13(2), 74–81. </w:t>
      </w:r>
      <w:hyperlink r:id="rId33">
        <w:r w:rsidDel="00000000" w:rsidR="00000000" w:rsidRPr="00000000">
          <w:rPr>
            <w:color w:val="1155cc"/>
            <w:u w:val="single"/>
            <w:rtl w:val="0"/>
          </w:rPr>
          <w:t xml:space="preserve">https://doi.org/10.34172/jcs.33251</w:t>
        </w:r>
      </w:hyperlink>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t xml:space="preserve">Van Gaalen, A.E.J., Brouwer, J., Schönrock-Adema, J. et al. Gamification of health professions education: a systematic review. Adv in Health Sci Educ 26, 683–711 (2021). </w:t>
      </w:r>
      <w:hyperlink r:id="rId34">
        <w:r w:rsidDel="00000000" w:rsidR="00000000" w:rsidRPr="00000000">
          <w:rPr>
            <w:color w:val="1155cc"/>
            <w:u w:val="single"/>
            <w:rtl w:val="0"/>
          </w:rPr>
          <w:t xml:space="preserve">https://doi.org/10.1007/s10459-020-10000-3</w:t>
        </w:r>
      </w:hyperlink>
      <w:r w:rsidDel="00000000" w:rsidR="00000000" w:rsidRPr="00000000">
        <w:rPr>
          <w:rtl w:val="0"/>
        </w:rPr>
      </w:r>
    </w:p>
    <w:p w:rsidR="00000000" w:rsidDel="00000000" w:rsidP="00000000" w:rsidRDefault="00000000" w:rsidRPr="00000000" w14:paraId="000002A2">
      <w:pPr>
        <w:keepNext w:val="1"/>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Zeng, J., Sun, D., Looi, C., &amp; Fan, A. C. W. (2024). Exploring the impact of gamification on students’ academic performance: A comprehensive meta‐analysis of studies from the year 2008 to 2023. British Journal of Educational Technology, 55(6), 2478–2502. </w:t>
      </w:r>
      <w:hyperlink r:id="rId35">
        <w:r w:rsidDel="00000000" w:rsidR="00000000" w:rsidRPr="00000000">
          <w:rPr>
            <w:color w:val="1155cc"/>
            <w:u w:val="single"/>
            <w:rtl w:val="0"/>
          </w:rPr>
          <w:t xml:space="preserve">https://doi.org/10.1111/bjet.13471</w:t>
        </w:r>
      </w:hyperlink>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sectPr>
      <w:headerReference r:id="rId36" w:type="default"/>
      <w:headerReference r:id="rId37" w:type="first"/>
      <w:headerReference r:id="rId38" w:type="even"/>
      <w:footerReference r:id="rId39" w:type="default"/>
      <w:type w:val="continuous"/>
      <w:pgSz w:h="15840" w:w="12240" w:orient="portrait"/>
      <w:pgMar w:bottom="2016" w:top="1440" w:left="2016" w:right="2016" w:header="720" w:footer="112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3">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5">
    <w:pPr>
      <w:pBdr>
        <w:top w:space="0" w:sz="0" w:val="nil"/>
        <w:left w:space="0" w:sz="0" w:val="nil"/>
        <w:bottom w:space="0" w:sz="0" w:val="nil"/>
        <w:right w:space="0" w:sz="0" w:val="nil"/>
        <w:between w:space="0" w:sz="0" w:val="nil"/>
      </w:pBdr>
      <w:tabs>
        <w:tab w:val="center" w:leader="none" w:pos="4320"/>
        <w:tab w:val="right" w:leader="none" w:pos="8640"/>
      </w:tabs>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tabs>
        <w:tab w:val="center" w:leader="none" w:pos="4320"/>
        <w:tab w:val="right" w:leader="none" w:pos="8640"/>
      </w:tabs>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____________________________________________________________________________________________</w:t>
    </w:r>
  </w:p>
  <w:p w:rsidR="00000000" w:rsidDel="00000000" w:rsidP="00000000" w:rsidRDefault="00000000" w:rsidRPr="00000000" w14:paraId="000002B7">
    <w:pPr>
      <w:pBdr>
        <w:top w:space="0" w:sz="0" w:val="nil"/>
        <w:left w:space="0" w:sz="0" w:val="nil"/>
        <w:bottom w:space="0" w:sz="0" w:val="nil"/>
        <w:right w:space="0" w:sz="0" w:val="nil"/>
        <w:between w:space="0" w:sz="0" w:val="nil"/>
      </w:pBdr>
      <w:tabs>
        <w:tab w:val="center" w:leader="none" w:pos="4320"/>
        <w:tab w:val="right" w:leader="none" w:pos="8640"/>
      </w:tabs>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tabs>
        <w:tab w:val="center" w:leader="none" w:pos="4320"/>
        <w:tab w:val="right" w:leader="none" w:pos="8640"/>
      </w:tabs>
      <w:rPr>
        <w:rFonts w:ascii="Arial" w:cs="Arial" w:eastAsia="Arial" w:hAnsi="Arial"/>
        <w:i w:val="1"/>
        <w:iCs w:val="1"/>
        <w:color w:val="000000"/>
        <w:sz w:val="16"/>
        <w:szCs w:val="16"/>
      </w:rPr>
    </w:pPr>
    <w:r w:rsidDel="00000000" w:rsidR="00000000" w:rsidRPr="00000000">
      <w:rPr>
        <w:rFonts w:ascii="Arial" w:cs="Arial" w:eastAsia="Arial" w:hAnsi="Arial"/>
        <w:i w:val="1"/>
        <w:iCs w:val="1"/>
        <w:color w:val="000000"/>
        <w:sz w:val="16"/>
        <w:szCs w:val="16"/>
        <w:rtl w:val="0"/>
      </w:rPr>
      <w:t xml:space="preserve">*Corresponding author: Email: XYZ@ABC.COM</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9">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6">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pict>
        <v:shape id="PowerPlusWaterMarkObject6" style="position:absolute;width:519.9pt;height:58.6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pict>
        <v:shape id="PowerPlusWaterMarkObject4" style="position:absolute;width:519.9pt;height:58.6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8">
    <w:pPr>
      <w:ind w:left="2160" w:firstLine="0"/>
      <w:jc w:val="center"/>
      <w:rPr>
        <w:rFonts w:ascii="Times New Roman" w:cs="Times New Roman" w:eastAsia="Times New Roman" w:hAnsi="Times New Roman"/>
        <w:i w:val="1"/>
        <w:iCs w:val="1"/>
        <w:sz w:val="18"/>
        <w:szCs w:val="18"/>
      </w:rPr>
    </w:pPr>
    <w:r w:rsidDel="00000000" w:rsidR="00000000" w:rsidRPr="00000000">
      <w:rPr/>
      <w:pict>
        <v:shape id="PowerPlusWaterMarkObject5" style="position:absolute;width:519.9pt;height:58.6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p w:rsidR="00000000" w:rsidDel="00000000" w:rsidP="00000000" w:rsidRDefault="00000000" w:rsidRPr="00000000" w14:paraId="000002A9">
    <w:pPr>
      <w:ind w:left="4320" w:firstLine="0"/>
      <w:rPr>
        <w:rFonts w:ascii="Times New Roman" w:cs="Times New Roman" w:eastAsia="Times New Roman" w:hAnsi="Times New Roman"/>
        <w:i w:val="1"/>
        <w:iCs w:val="1"/>
        <w:sz w:val="18"/>
        <w:szCs w:val="18"/>
      </w:rPr>
    </w:pPr>
    <w:r w:rsidDel="00000000" w:rsidR="00000000" w:rsidRPr="00000000">
      <w:rPr>
        <w:rFonts w:ascii="Times New Roman" w:cs="Times New Roman" w:eastAsia="Times New Roman" w:hAnsi="Times New Roman"/>
        <w:i w:val="1"/>
        <w:iCs w:val="1"/>
        <w:sz w:val="18"/>
        <w:szCs w:val="18"/>
        <w:rtl w:val="0"/>
      </w:rPr>
      <w:t xml:space="preserve">.     </w:t>
    </w:r>
  </w:p>
  <w:p w:rsidR="00000000" w:rsidDel="00000000" w:rsidP="00000000" w:rsidRDefault="00000000" w:rsidRPr="00000000" w14:paraId="000002AA">
    <w:pPr>
      <w:jc w:val="center"/>
      <w:rPr>
        <w:rFonts w:ascii="Times New Roman" w:cs="Times New Roman" w:eastAsia="Times New Roman" w:hAnsi="Times New Roman"/>
        <w:i w:val="1"/>
        <w:iCs w:val="1"/>
        <w:sz w:val="18"/>
        <w:szCs w:val="18"/>
      </w:rPr>
    </w:pPr>
    <w:r w:rsidDel="00000000" w:rsidR="00000000" w:rsidRPr="00000000">
      <w:rPr>
        <w:rFonts w:ascii="Times New Roman" w:cs="Times New Roman" w:eastAsia="Times New Roman" w:hAnsi="Times New Roman"/>
        <w:i w:val="1"/>
        <w:iCs w:val="1"/>
        <w:sz w:val="18"/>
        <w:szCs w:val="18"/>
        <w:rtl w:val="0"/>
      </w:rPr>
      <w:t xml:space="preserve">.</w:t>
    </w:r>
  </w:p>
  <w:p w:rsidR="00000000" w:rsidDel="00000000" w:rsidP="00000000" w:rsidRDefault="00000000" w:rsidRPr="00000000" w14:paraId="000002AB">
    <w:pPr>
      <w:spacing w:after="200" w:lineRule="auto"/>
      <w:jc w:val="center"/>
      <w:rPr>
        <w:rFonts w:ascii="Times New Roman" w:cs="Times New Roman" w:eastAsia="Times New Roman" w:hAnsi="Times New Roman"/>
        <w:b w:val="1"/>
        <w:bCs w:val="1"/>
        <w:i w:val="1"/>
        <w:iCs w:val="1"/>
        <w:sz w:val="32"/>
        <w:szCs w:val="32"/>
      </w:rPr>
    </w:pPr>
    <w:r w:rsidDel="00000000" w:rsidR="00000000" w:rsidRPr="00000000">
      <w:rPr>
        <w:rFonts w:ascii="Times New Roman" w:cs="Times New Roman" w:eastAsia="Times New Roman" w:hAnsi="Times New Roman"/>
        <w:b w:val="1"/>
        <w:bCs w:val="1"/>
        <w:i w:val="1"/>
        <w:iCs w:val="1"/>
        <w:sz w:val="32"/>
        <w:szCs w:val="32"/>
        <w:rtl w:val="0"/>
      </w:rPr>
      <w:t xml:space="preserve">              . </w:t>
    </w:r>
  </w:p>
  <w:p w:rsidR="00000000" w:rsidDel="00000000" w:rsidP="00000000" w:rsidRDefault="00000000" w:rsidRPr="00000000" w14:paraId="000002AC">
    <w:pPr>
      <w:jc w:val="center"/>
      <w:rPr>
        <w:rFonts w:ascii="Times New Roman" w:cs="Times New Roman" w:eastAsia="Times New Roman" w:hAnsi="Times New Roman"/>
        <w:i w:val="1"/>
        <w:iCs w:val="1"/>
        <w:sz w:val="18"/>
        <w:szCs w:val="18"/>
      </w:rPr>
    </w:pPr>
    <w:r w:rsidDel="00000000" w:rsidR="00000000" w:rsidRPr="00000000">
      <w:rPr>
        <w:rFonts w:ascii="Times New Roman" w:cs="Times New Roman" w:eastAsia="Times New Roman" w:hAnsi="Times New Roman"/>
        <w:i w:val="1"/>
        <w:iCs w:val="1"/>
        <w:sz w:val="18"/>
        <w:szCs w:val="18"/>
        <w:rtl w:val="0"/>
      </w:rPr>
      <w:t xml:space="preserve">                     </w:t>
    </w:r>
  </w:p>
  <w:p w:rsidR="00000000" w:rsidDel="00000000" w:rsidP="00000000" w:rsidRDefault="00000000" w:rsidRPr="00000000" w14:paraId="000002AD">
    <w:pPr>
      <w:tabs>
        <w:tab w:val="left" w:leader="none" w:pos="2145"/>
      </w:tabs>
      <w:rPr>
        <w:rFonts w:ascii="Times New Roman" w:cs="Times New Roman" w:eastAsia="Times New Roman" w:hAnsi="Times New Roman"/>
        <w:i w:val="1"/>
        <w:iCs w:val="1"/>
        <w:sz w:val="18"/>
        <w:szCs w:val="18"/>
      </w:rPr>
    </w:pPr>
    <w:r w:rsidDel="00000000" w:rsidR="00000000" w:rsidRPr="00000000">
      <w:rPr>
        <w:rFonts w:ascii="Times New Roman" w:cs="Times New Roman" w:eastAsia="Times New Roman" w:hAnsi="Times New Roman"/>
        <w:i w:val="1"/>
        <w:iCs w:val="1"/>
        <w:sz w:val="18"/>
        <w:szCs w:val="18"/>
        <w:rtl w:val="0"/>
      </w:rPr>
      <w:tab/>
      <w:t xml:space="preserve">.</w:t>
    </w:r>
  </w:p>
  <w:p w:rsidR="00000000" w:rsidDel="00000000" w:rsidP="00000000" w:rsidRDefault="00000000" w:rsidRPr="00000000" w14:paraId="000002AE">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tl w:val="0"/>
      </w:rPr>
      <w:t xml:space="preserve">..</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Pr>
      <w:pict>
        <v:shape id="PowerPlusWaterMarkObject2" style="position:absolute;width:519.9pt;height:58.6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Pr>
      <w:pict>
        <v:shape id="PowerPlusWaterMarkObject3" style="position:absolute;width:519.9pt;height:58.6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Pr>
      <w:pict>
        <v:shape id="PowerPlusWaterMarkObject1" style="position:absolute;width:519.9pt;height:58.6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Arial" w:cs="Arial" w:eastAsia="Arial" w:hAnsi="Arial"/>
      <w:b w:val="1"/>
      <w:bCs w:val="1"/>
      <w:sz w:val="28"/>
      <w:szCs w:val="2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spacing w:after="360" w:lineRule="auto"/>
      <w:jc w:val="right"/>
    </w:pPr>
    <w:rPr>
      <w:b w:val="1"/>
      <w:bCs w:val="1"/>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deped.gov.ph/2020/11/18/deped-and-unesco-launches-the-2020-global-education-monitoring-report-in-the-philippines/" TargetMode="External"/><Relationship Id="rId22" Type="http://schemas.openxmlformats.org/officeDocument/2006/relationships/hyperlink" Target="https://doi.org/10.12968/bjon.2024.33.4.206" TargetMode="External"/><Relationship Id="rId21" Type="http://schemas.openxmlformats.org/officeDocument/2006/relationships/hyperlink" Target="https://www.researchgate.net/publication/342344822_Online_Learning_A_Panacea_in_the_Time_of_COVID-19_Crisis" TargetMode="External"/><Relationship Id="rId24" Type="http://schemas.openxmlformats.org/officeDocument/2006/relationships/hyperlink" Target="https://doi.org/10.15503/andr2022.1" TargetMode="External"/><Relationship Id="rId23" Type="http://schemas.openxmlformats.org/officeDocument/2006/relationships/hyperlink" Target="https://doi.org/10.1097/nne.000000000000106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yperlink" Target="https://doi.org/10.31674/mjn.2019.v11i02.004" TargetMode="External"/><Relationship Id="rId25" Type="http://schemas.openxmlformats.org/officeDocument/2006/relationships/hyperlink" Target="https://jurnal.ubhinus.ac.id/index.php/IC-ITECHS/article/download/778/515" TargetMode="External"/><Relationship Id="rId28" Type="http://schemas.openxmlformats.org/officeDocument/2006/relationships/hyperlink" Target="https://doi.org/10.3390/healthcare8040399" TargetMode="External"/><Relationship Id="rId27" Type="http://schemas.openxmlformats.org/officeDocument/2006/relationships/hyperlink" Target="https://doi.org/10.3390/healthcare8040399" TargetMode="External"/><Relationship Id="rId5" Type="http://schemas.openxmlformats.org/officeDocument/2006/relationships/styles" Target="styles.xml"/><Relationship Id="rId6" Type="http://schemas.openxmlformats.org/officeDocument/2006/relationships/header" Target="header2.xml"/><Relationship Id="rId29" Type="http://schemas.openxmlformats.org/officeDocument/2006/relationships/hyperlink" Target="https://doi.org/10.1186/s12909-024-06531-7" TargetMode="External"/><Relationship Id="rId7" Type="http://schemas.openxmlformats.org/officeDocument/2006/relationships/header" Target="header3.xml"/><Relationship Id="rId8" Type="http://schemas.openxmlformats.org/officeDocument/2006/relationships/header" Target="header1.xml"/><Relationship Id="rId31" Type="http://schemas.openxmlformats.org/officeDocument/2006/relationships/hyperlink" Target="https://doi.org/10.1007/s10639-024-12818-5" TargetMode="External"/><Relationship Id="rId30" Type="http://schemas.openxmlformats.org/officeDocument/2006/relationships/hyperlink" Target="https://doi.org/10.1186/s40594-024-00521-3" TargetMode="External"/><Relationship Id="rId11" Type="http://schemas.openxmlformats.org/officeDocument/2006/relationships/footer" Target="footer1.xml"/><Relationship Id="rId33" Type="http://schemas.openxmlformats.org/officeDocument/2006/relationships/hyperlink" Target="https://doi.org/10.34172/jcs.33251" TargetMode="External"/><Relationship Id="rId10" Type="http://schemas.openxmlformats.org/officeDocument/2006/relationships/footer" Target="footer3.xml"/><Relationship Id="rId32" Type="http://schemas.openxmlformats.org/officeDocument/2006/relationships/hyperlink" Target="https://doi.org/10.1515/ijnes-2020-0081" TargetMode="External"/><Relationship Id="rId13" Type="http://schemas.openxmlformats.org/officeDocument/2006/relationships/hyperlink" Target="https://animorepository.dlsu.edu.ph/cgi/viewcontent.cgi?article=1178&amp;context=co" TargetMode="External"/><Relationship Id="rId35" Type="http://schemas.openxmlformats.org/officeDocument/2006/relationships/hyperlink" Target="https://doi.org/10.1111/bjet.13471" TargetMode="External"/><Relationship Id="rId12" Type="http://schemas.openxmlformats.org/officeDocument/2006/relationships/image" Target="media/image1.png"/><Relationship Id="rId34" Type="http://schemas.openxmlformats.org/officeDocument/2006/relationships/hyperlink" Target="https://doi.org/10.1007/s10459-020-10000-3" TargetMode="External"/><Relationship Id="rId15" Type="http://schemas.openxmlformats.org/officeDocument/2006/relationships/hyperlink" Target="https://doi.org/10.58723/ijoem.v4i1.349" TargetMode="External"/><Relationship Id="rId37" Type="http://schemas.openxmlformats.org/officeDocument/2006/relationships/header" Target="header6.xml"/><Relationship Id="rId14" Type="http://schemas.openxmlformats.org/officeDocument/2006/relationships/hyperlink" Target="https://doi.org/10.58723/ijoem.v4i1.349" TargetMode="External"/><Relationship Id="rId36" Type="http://schemas.openxmlformats.org/officeDocument/2006/relationships/header" Target="header5.xml"/><Relationship Id="rId17" Type="http://schemas.openxmlformats.org/officeDocument/2006/relationships/hyperlink" Target="https://www.researchgate.net/publication/380360600_Gamification_is_not_Working_Why" TargetMode="External"/><Relationship Id="rId39" Type="http://schemas.openxmlformats.org/officeDocument/2006/relationships/footer" Target="footer4.xml"/><Relationship Id="rId16" Type="http://schemas.openxmlformats.org/officeDocument/2006/relationships/hyperlink" Target="https://doi.org/10.1016/j.jik.2024.100530" TargetMode="External"/><Relationship Id="rId38" Type="http://schemas.openxmlformats.org/officeDocument/2006/relationships/header" Target="header4.xml"/><Relationship Id="rId19" Type="http://schemas.openxmlformats.org/officeDocument/2006/relationships/hyperlink" Target="https://doi.org/10.2196/71921" TargetMode="External"/><Relationship Id="rId18" Type="http://schemas.openxmlformats.org/officeDocument/2006/relationships/hyperlink" Target="https://doi.org/10.2196/7192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