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A2969" w14:textId="77777777" w:rsidR="008E4797" w:rsidRPr="007A1B07" w:rsidRDefault="004E1C66">
      <w:pPr>
        <w:widowControl w:val="0"/>
        <w:pBdr>
          <w:top w:val="nil"/>
          <w:left w:val="nil"/>
          <w:bottom w:val="nil"/>
          <w:right w:val="nil"/>
          <w:between w:val="nil"/>
        </w:pBdr>
        <w:spacing w:line="276" w:lineRule="auto"/>
        <w:rPr>
          <w:rFonts w:ascii="Arial" w:hAnsi="Arial" w:cs="Arial"/>
        </w:rPr>
      </w:pPr>
      <w:r>
        <w:rPr>
          <w:rFonts w:ascii="Arial" w:hAnsi="Arial" w:cs="Arial"/>
        </w:rPr>
        <w:pict w14:anchorId="2B12A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rPr>
          <w:rFonts w:ascii="Arial" w:hAnsi="Arial" w:cs="Arial"/>
        </w:rPr>
        <w:pict w14:anchorId="067F9833">
          <v:shape id="_x0000_s1030" type="#_x0000_t136" style="position:absolute;margin-left:0;margin-top:0;width:50pt;height:50pt;z-index:251656192;visibility:hidden">
            <o:lock v:ext="edit" selection="t"/>
          </v:shape>
        </w:pict>
      </w:r>
      <w:r>
        <w:rPr>
          <w:rFonts w:ascii="Arial" w:hAnsi="Arial" w:cs="Arial"/>
        </w:rPr>
        <w:pict w14:anchorId="67FE892F">
          <v:shape id="_x0000_s1029" type="#_x0000_t136" style="position:absolute;margin-left:0;margin-top:0;width:50pt;height:50pt;z-index:251657216;visibility:hidden">
            <o:lock v:ext="edit" selection="t"/>
          </v:shape>
        </w:pict>
      </w:r>
      <w:r>
        <w:rPr>
          <w:rFonts w:ascii="Arial" w:hAnsi="Arial" w:cs="Arial"/>
        </w:rPr>
        <w:pict w14:anchorId="2AE1B3CE">
          <v:shape id="_x0000_s1028" type="#_x0000_t136" style="position:absolute;margin-left:0;margin-top:0;width:50pt;height:50pt;z-index:251658240;visibility:hidden">
            <o:lock v:ext="edit" selection="t"/>
          </v:shape>
        </w:pict>
      </w:r>
      <w:r>
        <w:rPr>
          <w:rFonts w:ascii="Arial" w:hAnsi="Arial" w:cs="Arial"/>
        </w:rPr>
        <w:pict w14:anchorId="2FBBB69C">
          <v:shape id="_x0000_s1027" type="#_x0000_t136" style="position:absolute;margin-left:0;margin-top:0;width:50pt;height:50pt;z-index:251659264;visibility:hidden">
            <o:lock v:ext="edit" selection="t"/>
          </v:shape>
        </w:pict>
      </w:r>
      <w:r>
        <w:rPr>
          <w:rFonts w:ascii="Arial" w:hAnsi="Arial" w:cs="Arial"/>
        </w:rPr>
        <w:pict w14:anchorId="4F59512B">
          <v:shape id="_x0000_s1026" type="#_x0000_t136" style="position:absolute;margin-left:0;margin-top:0;width:50pt;height:50pt;z-index:251660288;visibility:hidden">
            <o:lock v:ext="edit" selection="t"/>
          </v:shape>
        </w:pict>
      </w:r>
    </w:p>
    <w:p w14:paraId="41938207" w14:textId="77777777" w:rsidR="008E4797" w:rsidRPr="007A1B07" w:rsidRDefault="004F3FE9">
      <w:pPr>
        <w:pBdr>
          <w:top w:val="nil"/>
          <w:left w:val="nil"/>
          <w:bottom w:val="nil"/>
          <w:right w:val="nil"/>
          <w:between w:val="nil"/>
        </w:pBdr>
        <w:rPr>
          <w:rFonts w:ascii="Arial" w:eastAsia="Arial" w:hAnsi="Arial" w:cs="Arial"/>
          <w:b/>
          <w:bCs/>
          <w:color w:val="000000"/>
          <w:sz w:val="36"/>
          <w:szCs w:val="36"/>
          <w:u w:val="single"/>
        </w:rPr>
      </w:pPr>
      <w:r w:rsidRPr="007A1B07">
        <w:rPr>
          <w:rFonts w:ascii="Arial" w:eastAsia="Arial" w:hAnsi="Arial" w:cs="Arial"/>
          <w:b/>
          <w:bCs/>
          <w:color w:val="000000"/>
          <w:sz w:val="36"/>
          <w:szCs w:val="36"/>
          <w:u w:val="single"/>
        </w:rPr>
        <w:t>Original Research Article</w:t>
      </w:r>
    </w:p>
    <w:p w14:paraId="52F01B10" w14:textId="77777777" w:rsidR="008E4797" w:rsidRPr="007A1B07" w:rsidRDefault="008E4797">
      <w:pPr>
        <w:pBdr>
          <w:top w:val="nil"/>
          <w:left w:val="nil"/>
          <w:bottom w:val="nil"/>
          <w:right w:val="nil"/>
          <w:between w:val="nil"/>
        </w:pBdr>
        <w:rPr>
          <w:rFonts w:ascii="Arial" w:eastAsia="Arial" w:hAnsi="Arial" w:cs="Arial"/>
          <w:b/>
          <w:bCs/>
          <w:color w:val="000000"/>
          <w:sz w:val="36"/>
          <w:szCs w:val="36"/>
          <w:u w:val="single"/>
        </w:rPr>
      </w:pPr>
    </w:p>
    <w:p w14:paraId="604B0A74" w14:textId="77777777" w:rsidR="008E4797" w:rsidRPr="007A1B07" w:rsidRDefault="004F3FE9">
      <w:pPr>
        <w:pBdr>
          <w:top w:val="nil"/>
          <w:left w:val="nil"/>
          <w:bottom w:val="nil"/>
          <w:right w:val="nil"/>
          <w:between w:val="nil"/>
        </w:pBdr>
        <w:jc w:val="right"/>
        <w:rPr>
          <w:rFonts w:ascii="Arial" w:eastAsia="Arial" w:hAnsi="Arial" w:cs="Arial"/>
          <w:b/>
          <w:bCs/>
          <w:color w:val="000000"/>
          <w:sz w:val="36"/>
          <w:szCs w:val="36"/>
        </w:rPr>
      </w:pPr>
      <w:r w:rsidRPr="007A1B07">
        <w:rPr>
          <w:rFonts w:ascii="Arial" w:eastAsia="Arial" w:hAnsi="Arial" w:cs="Arial"/>
          <w:b/>
          <w:bCs/>
          <w:color w:val="000000"/>
          <w:sz w:val="36"/>
          <w:szCs w:val="36"/>
        </w:rPr>
        <w:t xml:space="preserve">Role of </w:t>
      </w:r>
      <w:r w:rsidRPr="007A1B07">
        <w:rPr>
          <w:rFonts w:ascii="Arial" w:eastAsia="Arial" w:hAnsi="Arial" w:cs="Arial"/>
          <w:b/>
          <w:bCs/>
          <w:sz w:val="36"/>
          <w:szCs w:val="36"/>
        </w:rPr>
        <w:t xml:space="preserve">Debriefing on Traumatic Clinical Experience and Anxiety Among Student Nurses: A Mixed Method Study </w:t>
      </w:r>
    </w:p>
    <w:p w14:paraId="39DCF595" w14:textId="77777777" w:rsidR="008E4797" w:rsidRPr="007A1B07" w:rsidRDefault="008E4797">
      <w:pPr>
        <w:pBdr>
          <w:top w:val="nil"/>
          <w:left w:val="nil"/>
          <w:bottom w:val="nil"/>
          <w:right w:val="nil"/>
          <w:between w:val="nil"/>
        </w:pBdr>
        <w:jc w:val="right"/>
        <w:rPr>
          <w:rFonts w:ascii="Arial" w:eastAsia="Arial" w:hAnsi="Arial" w:cs="Arial"/>
          <w:b/>
          <w:bCs/>
          <w:sz w:val="16"/>
          <w:szCs w:val="16"/>
        </w:rPr>
      </w:pPr>
    </w:p>
    <w:p w14:paraId="6CC62F1E" w14:textId="77777777" w:rsidR="008E4797" w:rsidRPr="007A1B07" w:rsidRDefault="004F3FE9">
      <w:pPr>
        <w:pBdr>
          <w:top w:val="nil"/>
          <w:left w:val="nil"/>
          <w:bottom w:val="nil"/>
          <w:right w:val="nil"/>
          <w:between w:val="nil"/>
        </w:pBdr>
        <w:jc w:val="right"/>
        <w:rPr>
          <w:rFonts w:ascii="Arial" w:eastAsia="Arial" w:hAnsi="Arial" w:cs="Arial"/>
          <w:color w:val="000000"/>
        </w:rPr>
      </w:pPr>
      <w:r w:rsidRPr="007A1B07">
        <w:rPr>
          <w:rFonts w:ascii="Arial" w:eastAsia="Arial" w:hAnsi="Arial" w:cs="Arial"/>
          <w:color w:val="000000"/>
        </w:rPr>
        <w:t xml:space="preserve"> </w:t>
      </w:r>
    </w:p>
    <w:p w14:paraId="0A0A7183" w14:textId="77777777" w:rsidR="008E4797" w:rsidRPr="007A1B07" w:rsidRDefault="008E4797">
      <w:pPr>
        <w:pBdr>
          <w:top w:val="nil"/>
          <w:left w:val="nil"/>
          <w:bottom w:val="nil"/>
          <w:right w:val="nil"/>
          <w:between w:val="nil"/>
        </w:pBdr>
        <w:jc w:val="both"/>
        <w:rPr>
          <w:rFonts w:ascii="Arial" w:eastAsia="Arial" w:hAnsi="Arial" w:cs="Arial"/>
          <w:color w:val="000000"/>
        </w:rPr>
      </w:pPr>
    </w:p>
    <w:p w14:paraId="4DB15960" w14:textId="77777777" w:rsidR="008E4797" w:rsidRPr="007A1B07" w:rsidRDefault="004F3FE9">
      <w:pPr>
        <w:pBdr>
          <w:top w:val="nil"/>
          <w:left w:val="nil"/>
          <w:bottom w:val="nil"/>
          <w:right w:val="nil"/>
          <w:between w:val="nil"/>
        </w:pBdr>
        <w:jc w:val="both"/>
        <w:rPr>
          <w:rFonts w:ascii="Arial" w:eastAsia="Arial" w:hAnsi="Arial" w:cs="Arial"/>
          <w:color w:val="000000"/>
          <w:sz w:val="16"/>
          <w:szCs w:val="16"/>
        </w:rPr>
        <w:sectPr w:rsidR="008E4797" w:rsidRPr="007A1B07">
          <w:headerReference w:type="even" r:id="rId8"/>
          <w:headerReference w:type="default" r:id="rId9"/>
          <w:footerReference w:type="even" r:id="rId10"/>
          <w:headerReference w:type="first" r:id="rId11"/>
          <w:footerReference w:type="first" r:id="rId12"/>
          <w:pgSz w:w="12240" w:h="15840"/>
          <w:pgMar w:top="1440" w:right="2016" w:bottom="2016" w:left="2016" w:header="720" w:footer="1296" w:gutter="0"/>
          <w:pgNumType w:start="1"/>
          <w:cols w:space="720"/>
        </w:sectPr>
      </w:pPr>
      <w:r w:rsidRPr="007A1B07">
        <w:rPr>
          <w:rFonts w:ascii="Arial" w:eastAsia="Arial" w:hAnsi="Arial" w:cs="Arial"/>
          <w:noProof/>
          <w:color w:val="000000"/>
          <w:sz w:val="16"/>
          <w:szCs w:val="16"/>
          <w:lang w:val="en-US" w:eastAsia="en-US"/>
        </w:rPr>
        <mc:AlternateContent>
          <mc:Choice Requires="wpg">
            <w:drawing>
              <wp:inline distT="0" distB="0" distL="114300" distR="114300" wp14:anchorId="308BB7F0" wp14:editId="7B1C3971">
                <wp:extent cx="5322570" cy="38100"/>
                <wp:effectExtent l="0" t="0" r="0" b="0"/>
                <wp:docPr id="2" name="Freeform: Shape 2"/>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0" distT="0" distL="114300" distR="114300">
                <wp:extent cx="5322570" cy="38100"/>
                <wp:effectExtent b="0" l="0" r="0" t="0"/>
                <wp:docPr id="2"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22570" cy="38100"/>
                        </a:xfrm>
                        <a:prstGeom prst="rect"/>
                        <a:ln/>
                      </pic:spPr>
                    </pic:pic>
                  </a:graphicData>
                </a:graphic>
              </wp:inline>
            </w:drawing>
          </mc:Fallback>
        </mc:AlternateContent>
      </w:r>
      <w:r w:rsidRPr="007A1B07">
        <w:rPr>
          <w:rFonts w:ascii="Arial" w:eastAsia="Arial" w:hAnsi="Arial" w:cs="Arial"/>
          <w:color w:val="000000"/>
          <w:sz w:val="16"/>
          <w:szCs w:val="16"/>
        </w:rPr>
        <w:t>.</w:t>
      </w:r>
    </w:p>
    <w:p w14:paraId="27BE86DA" w14:textId="77777777" w:rsidR="008E4797" w:rsidRPr="007A1B07" w:rsidRDefault="004F3FE9">
      <w:pPr>
        <w:keepNext/>
        <w:pBdr>
          <w:top w:val="nil"/>
          <w:left w:val="nil"/>
          <w:bottom w:val="nil"/>
          <w:right w:val="nil"/>
          <w:between w:val="nil"/>
        </w:pBdr>
        <w:jc w:val="both"/>
        <w:rPr>
          <w:rFonts w:ascii="Arial" w:eastAsia="Arial" w:hAnsi="Arial" w:cs="Arial"/>
          <w:b/>
          <w:bCs/>
          <w:smallCaps/>
          <w:color w:val="000000"/>
          <w:sz w:val="22"/>
          <w:szCs w:val="22"/>
        </w:rPr>
      </w:pPr>
      <w:r w:rsidRPr="007A1B07">
        <w:rPr>
          <w:rFonts w:ascii="Arial" w:eastAsia="Arial" w:hAnsi="Arial" w:cs="Arial"/>
          <w:b/>
          <w:bCs/>
          <w:smallCaps/>
          <w:color w:val="000000"/>
          <w:sz w:val="22"/>
          <w:szCs w:val="22"/>
        </w:rPr>
        <w:t>ABSTRACT</w:t>
      </w:r>
    </w:p>
    <w:p w14:paraId="53481DE7" w14:textId="77777777" w:rsidR="008E4797" w:rsidRPr="007A1B07" w:rsidRDefault="008E4797">
      <w:pPr>
        <w:keepNext/>
        <w:pBdr>
          <w:top w:val="nil"/>
          <w:left w:val="nil"/>
          <w:bottom w:val="nil"/>
          <w:right w:val="nil"/>
          <w:between w:val="nil"/>
        </w:pBdr>
        <w:jc w:val="both"/>
        <w:rPr>
          <w:rFonts w:ascii="Arial" w:eastAsia="Arial" w:hAnsi="Arial" w:cs="Arial"/>
          <w:b/>
          <w:bCs/>
          <w:smallCaps/>
          <w:color w:val="000000"/>
          <w:sz w:val="22"/>
          <w:szCs w:val="22"/>
        </w:rPr>
      </w:pPr>
    </w:p>
    <w:tbl>
      <w:tblPr>
        <w:tblStyle w:val="a8"/>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E4797" w:rsidRPr="007A1B07" w14:paraId="2FB05A02" w14:textId="77777777">
        <w:tc>
          <w:tcPr>
            <w:tcW w:w="8424" w:type="dxa"/>
            <w:shd w:val="clear" w:color="auto" w:fill="F2F2F2"/>
          </w:tcPr>
          <w:p w14:paraId="7D7800D3" w14:textId="1C126603" w:rsidR="00AF2B61" w:rsidRDefault="00AF2B61">
            <w:pPr>
              <w:pBdr>
                <w:top w:val="nil"/>
                <w:left w:val="nil"/>
                <w:bottom w:val="nil"/>
                <w:right w:val="nil"/>
                <w:between w:val="nil"/>
              </w:pBdr>
              <w:jc w:val="both"/>
              <w:rPr>
                <w:rFonts w:ascii="Arial" w:eastAsia="Arial" w:hAnsi="Arial" w:cs="Arial"/>
                <w:b/>
                <w:bCs/>
              </w:rPr>
            </w:pPr>
            <w:r w:rsidRPr="00AF2B61">
              <w:rPr>
                <w:rFonts w:ascii="Arial" w:eastAsia="Arial" w:hAnsi="Arial" w:cs="Arial"/>
                <w:b/>
                <w:bCs/>
                <w:highlight w:val="yellow"/>
              </w:rPr>
              <w:t xml:space="preserve">Background: Student nurses in the Philippines frequently encounter traumatic clinical experiences during </w:t>
            </w:r>
            <w:r w:rsidR="00A10B23" w:rsidRPr="00A10B23">
              <w:rPr>
                <w:rFonts w:ascii="Arial" w:eastAsia="Arial" w:hAnsi="Arial" w:cs="Arial"/>
                <w:b/>
                <w:bCs/>
              </w:rPr>
              <w:t xml:space="preserve">Related Learning Experience </w:t>
            </w:r>
            <w:r w:rsidR="00A10B23">
              <w:rPr>
                <w:rFonts w:ascii="Arial" w:eastAsia="Arial" w:hAnsi="Arial" w:cs="Arial"/>
                <w:b/>
                <w:bCs/>
              </w:rPr>
              <w:t>(</w:t>
            </w:r>
            <w:r w:rsidRPr="00AF2B61">
              <w:rPr>
                <w:rFonts w:ascii="Arial" w:eastAsia="Arial" w:hAnsi="Arial" w:cs="Arial"/>
                <w:b/>
                <w:bCs/>
                <w:highlight w:val="yellow"/>
              </w:rPr>
              <w:t>RLE</w:t>
            </w:r>
            <w:r w:rsidR="00A10B23">
              <w:rPr>
                <w:rFonts w:ascii="Arial" w:eastAsia="Arial" w:hAnsi="Arial" w:cs="Arial"/>
                <w:b/>
                <w:bCs/>
                <w:highlight w:val="yellow"/>
              </w:rPr>
              <w:t>)</w:t>
            </w:r>
            <w:r w:rsidRPr="00AF2B61">
              <w:rPr>
                <w:rFonts w:ascii="Arial" w:eastAsia="Arial" w:hAnsi="Arial" w:cs="Arial"/>
                <w:b/>
                <w:bCs/>
                <w:highlight w:val="yellow"/>
              </w:rPr>
              <w:t xml:space="preserve"> rotations, yet formal debriefing protocols and mental health support systems remain limited, reinforcing stigma and unprocessed psychological distress. </w:t>
            </w:r>
          </w:p>
          <w:p w14:paraId="4E589EC6" w14:textId="263360B9" w:rsidR="008E4797" w:rsidRPr="007A1B07" w:rsidRDefault="00482B23">
            <w:pPr>
              <w:pBdr>
                <w:top w:val="nil"/>
                <w:left w:val="nil"/>
                <w:bottom w:val="nil"/>
                <w:right w:val="nil"/>
                <w:between w:val="nil"/>
              </w:pBdr>
              <w:jc w:val="both"/>
              <w:rPr>
                <w:rFonts w:ascii="Arial" w:eastAsia="Arial" w:hAnsi="Arial" w:cs="Arial"/>
              </w:rPr>
            </w:pPr>
            <w:r>
              <w:rPr>
                <w:rFonts w:ascii="Arial" w:eastAsia="Arial" w:hAnsi="Arial" w:cs="Arial"/>
              </w:rPr>
              <w:t xml:space="preserve">Aim: </w:t>
            </w:r>
            <w:r w:rsidR="004F3FE9" w:rsidRPr="007A1B07">
              <w:rPr>
                <w:rFonts w:ascii="Arial" w:eastAsia="Arial" w:hAnsi="Arial" w:cs="Arial"/>
              </w:rPr>
              <w:t xml:space="preserve">This study sought to explore the role of debriefing on traumatic clinical experience and mental health outcomes of student nurses in a private college in Iloilo City. </w:t>
            </w:r>
          </w:p>
          <w:p w14:paraId="38CFE999" w14:textId="77777777" w:rsidR="008E4797" w:rsidRPr="007A1B07" w:rsidRDefault="004F3FE9">
            <w:pPr>
              <w:pBdr>
                <w:top w:val="nil"/>
                <w:left w:val="nil"/>
                <w:bottom w:val="nil"/>
                <w:right w:val="nil"/>
                <w:between w:val="nil"/>
              </w:pBdr>
              <w:jc w:val="both"/>
              <w:rPr>
                <w:rFonts w:ascii="Arial" w:eastAsia="Arial" w:hAnsi="Arial" w:cs="Arial"/>
                <w:b/>
                <w:bCs/>
              </w:rPr>
            </w:pPr>
            <w:r w:rsidRPr="007A1B07">
              <w:rPr>
                <w:rFonts w:ascii="Arial" w:eastAsia="Arial" w:hAnsi="Arial" w:cs="Arial"/>
                <w:b/>
                <w:bCs/>
              </w:rPr>
              <w:t>Methods</w:t>
            </w:r>
          </w:p>
          <w:p w14:paraId="1B4159FE" w14:textId="2B82B591" w:rsidR="008E4797" w:rsidRPr="007A1B07" w:rsidRDefault="004F3FE9">
            <w:pPr>
              <w:pBdr>
                <w:top w:val="nil"/>
                <w:left w:val="nil"/>
                <w:bottom w:val="nil"/>
                <w:right w:val="nil"/>
                <w:between w:val="nil"/>
              </w:pBdr>
              <w:jc w:val="both"/>
              <w:rPr>
                <w:rFonts w:ascii="Arial" w:eastAsia="Arial" w:hAnsi="Arial" w:cs="Arial"/>
              </w:rPr>
            </w:pPr>
            <w:r w:rsidRPr="007A1B07">
              <w:rPr>
                <w:rFonts w:ascii="Arial" w:eastAsia="Arial" w:hAnsi="Arial" w:cs="Arial"/>
              </w:rPr>
              <w:t>A concurrent mixed-methods design was employed. Quantitative data were collected using adopted and researcher-made questionnaires from two hundred seventy-five (275) participants selected using</w:t>
            </w:r>
            <w:r w:rsidR="007855CC">
              <w:rPr>
                <w:rFonts w:ascii="Arial" w:eastAsia="Arial" w:hAnsi="Arial" w:cs="Arial"/>
              </w:rPr>
              <w:t xml:space="preserve"> the</w:t>
            </w:r>
            <w:r w:rsidRPr="007A1B07">
              <w:rPr>
                <w:rFonts w:ascii="Arial" w:eastAsia="Arial" w:hAnsi="Arial" w:cs="Arial"/>
              </w:rPr>
              <w:t xml:space="preserve"> </w:t>
            </w:r>
            <w:proofErr w:type="spellStart"/>
            <w:r w:rsidRPr="007A1B07">
              <w:rPr>
                <w:rFonts w:ascii="Arial" w:eastAsia="Arial" w:hAnsi="Arial" w:cs="Arial"/>
              </w:rPr>
              <w:t>Raosoft</w:t>
            </w:r>
            <w:proofErr w:type="spellEnd"/>
            <w:r w:rsidRPr="007A1B07">
              <w:rPr>
                <w:rFonts w:ascii="Arial" w:eastAsia="Arial" w:hAnsi="Arial" w:cs="Arial"/>
              </w:rPr>
              <w:t xml:space="preserve"> sample size calculator, while qualitative data were gathered through the use of an in-depth interview with seven (7) participants through purposive sampling. Ethical clearance was secured prior to data collection to ensure participant protection and research integrity.</w:t>
            </w:r>
          </w:p>
          <w:p w14:paraId="35261CB9" w14:textId="77777777" w:rsidR="008E4797" w:rsidRPr="007A1B07" w:rsidRDefault="004F3FE9">
            <w:pPr>
              <w:pBdr>
                <w:top w:val="nil"/>
                <w:left w:val="nil"/>
                <w:bottom w:val="nil"/>
                <w:right w:val="nil"/>
                <w:between w:val="nil"/>
              </w:pBdr>
              <w:jc w:val="both"/>
              <w:rPr>
                <w:rFonts w:ascii="Arial" w:eastAsia="Arial" w:hAnsi="Arial" w:cs="Arial"/>
                <w:b/>
                <w:bCs/>
              </w:rPr>
            </w:pPr>
            <w:r w:rsidRPr="007A1B07">
              <w:rPr>
                <w:rFonts w:ascii="Arial" w:eastAsia="Arial" w:hAnsi="Arial" w:cs="Arial"/>
                <w:b/>
                <w:bCs/>
              </w:rPr>
              <w:t>Results</w:t>
            </w:r>
          </w:p>
          <w:p w14:paraId="1228A892" w14:textId="77777777" w:rsidR="008E4797" w:rsidRPr="007A1B07" w:rsidRDefault="004F3FE9">
            <w:pPr>
              <w:pBdr>
                <w:top w:val="nil"/>
                <w:left w:val="nil"/>
                <w:bottom w:val="nil"/>
                <w:right w:val="nil"/>
                <w:between w:val="nil"/>
              </w:pBdr>
              <w:jc w:val="both"/>
              <w:rPr>
                <w:rFonts w:ascii="Arial" w:eastAsia="Arial" w:hAnsi="Arial" w:cs="Arial"/>
              </w:rPr>
            </w:pPr>
            <w:r w:rsidRPr="007A1B07">
              <w:rPr>
                <w:rFonts w:ascii="Arial" w:eastAsia="Arial" w:hAnsi="Arial" w:cs="Arial"/>
              </w:rPr>
              <w:t>The findings revealed that nursing students view debriefing as a valuable instructional and emotional support strategy that helped lessen feelings of anxiety and overwhelm. Statistical analysis indicated that informal debriefing was not significantly associated with reduced anxiety scores. Qualitatively, students described debriefing as a safe space for emotional expression, although these sessions were often described as unstructured and focused more on clinical correction than emotional support.</w:t>
            </w:r>
          </w:p>
          <w:p w14:paraId="787284A4" w14:textId="77777777" w:rsidR="0092143E" w:rsidRDefault="0092143E">
            <w:pPr>
              <w:pBdr>
                <w:top w:val="nil"/>
                <w:left w:val="nil"/>
                <w:bottom w:val="nil"/>
                <w:right w:val="nil"/>
                <w:between w:val="nil"/>
              </w:pBdr>
              <w:jc w:val="both"/>
              <w:rPr>
                <w:rFonts w:ascii="Arial" w:eastAsia="Arial" w:hAnsi="Arial" w:cs="Arial"/>
                <w:b/>
                <w:bCs/>
              </w:rPr>
            </w:pPr>
            <w:r>
              <w:rPr>
                <w:rFonts w:ascii="Arial" w:eastAsia="Arial" w:hAnsi="Arial" w:cs="Arial"/>
                <w:b/>
                <w:bCs/>
              </w:rPr>
              <w:t>Conclusion</w:t>
            </w:r>
          </w:p>
          <w:p w14:paraId="384E5219" w14:textId="28EF1E84" w:rsidR="008E4797" w:rsidRPr="007A1B07" w:rsidRDefault="004F3FE9">
            <w:pPr>
              <w:pBdr>
                <w:top w:val="nil"/>
                <w:left w:val="nil"/>
                <w:bottom w:val="nil"/>
                <w:right w:val="nil"/>
                <w:between w:val="nil"/>
              </w:pBdr>
              <w:jc w:val="both"/>
              <w:rPr>
                <w:rFonts w:ascii="Arial" w:eastAsia="Arial" w:hAnsi="Arial" w:cs="Arial"/>
              </w:rPr>
            </w:pPr>
            <w:r w:rsidRPr="007A1B07">
              <w:rPr>
                <w:rFonts w:ascii="Arial" w:eastAsia="Arial" w:hAnsi="Arial" w:cs="Arial"/>
              </w:rPr>
              <w:t xml:space="preserve">​It is concluded that traumatic clinical experiences are common among student nurses and have a considerable psychological impact. Although informal debriefing was perceived as beneficial, it may be insufficient to effectively reduce measurable anxiety. These findings highlight the need for structured debriefing and reflective practice to better support the students’ emotional resilience and coping. Clinical instructors are encouraged to prioritize establishing a psychologically safe learning environment where students can openly process distressing experiences. Future studies should use longitudinal and multi-site designs to examine the long-term effects of structured debriefing on anxiety. </w:t>
            </w:r>
          </w:p>
        </w:tc>
      </w:tr>
    </w:tbl>
    <w:p w14:paraId="1B79B8CC" w14:textId="77777777" w:rsidR="008E4797" w:rsidRPr="007A1B07" w:rsidRDefault="008E4797">
      <w:pPr>
        <w:pBdr>
          <w:top w:val="nil"/>
          <w:left w:val="nil"/>
          <w:bottom w:val="nil"/>
          <w:right w:val="nil"/>
          <w:between w:val="nil"/>
        </w:pBdr>
        <w:jc w:val="both"/>
        <w:rPr>
          <w:rFonts w:ascii="Arial" w:eastAsia="Arial" w:hAnsi="Arial" w:cs="Arial"/>
          <w:i/>
          <w:iCs/>
          <w:color w:val="000000"/>
        </w:rPr>
      </w:pPr>
    </w:p>
    <w:p w14:paraId="27B33B2F" w14:textId="77777777" w:rsidR="008E4797" w:rsidRPr="007A1B07" w:rsidRDefault="004F3FE9">
      <w:pPr>
        <w:jc w:val="both"/>
        <w:rPr>
          <w:rFonts w:ascii="Arial" w:eastAsia="Arial" w:hAnsi="Arial" w:cs="Arial"/>
          <w:i/>
          <w:iCs/>
        </w:rPr>
      </w:pPr>
      <w:r w:rsidRPr="007A1B07">
        <w:rPr>
          <w:rFonts w:ascii="Arial" w:eastAsia="Arial" w:hAnsi="Arial" w:cs="Arial"/>
          <w:i/>
          <w:iCs/>
        </w:rPr>
        <w:t>Keywords: Traumatic Clinical Experience, Debriefing, Anxiety, Student Nurses</w:t>
      </w:r>
    </w:p>
    <w:p w14:paraId="21F24215" w14:textId="77777777" w:rsidR="008E4797" w:rsidRPr="007A1B07" w:rsidRDefault="008E4797">
      <w:pPr>
        <w:pBdr>
          <w:top w:val="nil"/>
          <w:left w:val="nil"/>
          <w:bottom w:val="nil"/>
          <w:right w:val="nil"/>
          <w:between w:val="nil"/>
        </w:pBdr>
        <w:jc w:val="both"/>
        <w:rPr>
          <w:rFonts w:ascii="Arial" w:eastAsia="Arial" w:hAnsi="Arial" w:cs="Arial"/>
          <w:i/>
          <w:iCs/>
          <w:color w:val="000000"/>
          <w:sz w:val="18"/>
          <w:szCs w:val="18"/>
        </w:rPr>
      </w:pPr>
    </w:p>
    <w:p w14:paraId="65DDE875" w14:textId="77777777" w:rsidR="008E4797" w:rsidRPr="007A1B07" w:rsidRDefault="008E4797">
      <w:pPr>
        <w:keepNext/>
        <w:pBdr>
          <w:top w:val="nil"/>
          <w:left w:val="nil"/>
          <w:bottom w:val="nil"/>
          <w:right w:val="nil"/>
          <w:between w:val="nil"/>
        </w:pBdr>
        <w:jc w:val="both"/>
        <w:rPr>
          <w:rFonts w:ascii="Arial" w:eastAsia="Arial" w:hAnsi="Arial" w:cs="Arial"/>
          <w:b/>
          <w:bCs/>
          <w:smallCaps/>
          <w:sz w:val="22"/>
          <w:szCs w:val="22"/>
        </w:rPr>
      </w:pPr>
    </w:p>
    <w:p w14:paraId="0D2BBFA0" w14:textId="77777777" w:rsidR="008E4797" w:rsidRPr="007A1B07" w:rsidRDefault="004F3FE9">
      <w:pPr>
        <w:keepNext/>
        <w:pBdr>
          <w:top w:val="nil"/>
          <w:left w:val="nil"/>
          <w:bottom w:val="nil"/>
          <w:right w:val="nil"/>
          <w:between w:val="nil"/>
        </w:pBdr>
        <w:jc w:val="both"/>
        <w:rPr>
          <w:rFonts w:ascii="Arial" w:eastAsia="Arial" w:hAnsi="Arial" w:cs="Arial"/>
          <w:b/>
          <w:bCs/>
          <w:smallCaps/>
          <w:sz w:val="22"/>
          <w:szCs w:val="22"/>
        </w:rPr>
      </w:pPr>
      <w:r w:rsidRPr="007A1B07">
        <w:rPr>
          <w:rFonts w:ascii="Arial" w:eastAsia="Arial" w:hAnsi="Arial" w:cs="Arial"/>
          <w:b/>
          <w:bCs/>
          <w:smallCaps/>
          <w:color w:val="000000"/>
          <w:sz w:val="22"/>
          <w:szCs w:val="22"/>
        </w:rPr>
        <w:t xml:space="preserve">1. INTRODUCTION </w:t>
      </w:r>
    </w:p>
    <w:p w14:paraId="62631EE9" w14:textId="77777777" w:rsidR="008E4797" w:rsidRPr="007A1B07" w:rsidRDefault="008E4797">
      <w:pPr>
        <w:spacing w:line="237" w:lineRule="auto"/>
        <w:jc w:val="both"/>
        <w:rPr>
          <w:rFonts w:ascii="Arial" w:eastAsia="Arial" w:hAnsi="Arial" w:cs="Arial"/>
        </w:rPr>
      </w:pPr>
    </w:p>
    <w:p w14:paraId="0FA5BCEB" w14:textId="77777777" w:rsidR="008E4797" w:rsidRPr="007A1B07" w:rsidRDefault="004F3FE9">
      <w:pPr>
        <w:spacing w:line="237" w:lineRule="auto"/>
        <w:jc w:val="both"/>
        <w:rPr>
          <w:rFonts w:ascii="Arial" w:eastAsia="Arial" w:hAnsi="Arial" w:cs="Arial"/>
        </w:rPr>
      </w:pPr>
      <w:r w:rsidRPr="007A1B07">
        <w:rPr>
          <w:rFonts w:ascii="Arial" w:eastAsia="Arial" w:hAnsi="Arial" w:cs="Arial"/>
        </w:rPr>
        <w:lastRenderedPageBreak/>
        <w:t>There is a lack of mental health support for student nurses after traumatic clinical experiences during Related Learning Experience (RLE) rotations in the Philippines.</w:t>
      </w:r>
    </w:p>
    <w:p w14:paraId="644D48E7" w14:textId="77777777" w:rsidR="008E4797" w:rsidRPr="007A1B07" w:rsidRDefault="004F3FE9">
      <w:pPr>
        <w:spacing w:line="237" w:lineRule="auto"/>
        <w:jc w:val="both"/>
        <w:rPr>
          <w:rFonts w:ascii="Arial" w:eastAsia="Arial" w:hAnsi="Arial" w:cs="Arial"/>
        </w:rPr>
      </w:pPr>
      <w:r w:rsidRPr="007A1B07">
        <w:rPr>
          <w:rFonts w:ascii="Arial" w:eastAsia="Arial" w:hAnsi="Arial" w:cs="Arial"/>
        </w:rPr>
        <w:t>As part of training, student nurses often encounter critical incidents such as patient deaths, severe injuries, or violence during clinical duties. Mental health struggles are often seen as weakness, and students internalize the belief that they must simply endure the challenges, viewing stress as an intrinsic and unavoidable part of the nursing profession. With this belief, there is insufficient to no debriefing protocols applied after distressing clinical experiences in the nursing curricula in the Philippines that could offer adequate mental health support.</w:t>
      </w:r>
    </w:p>
    <w:p w14:paraId="03F2B557" w14:textId="1AA6DB07" w:rsidR="008E4797" w:rsidRPr="007A1B07" w:rsidRDefault="004F3FE9">
      <w:pPr>
        <w:spacing w:line="237" w:lineRule="auto"/>
        <w:jc w:val="both"/>
        <w:rPr>
          <w:rFonts w:ascii="Arial" w:eastAsia="Arial" w:hAnsi="Arial" w:cs="Arial"/>
        </w:rPr>
      </w:pPr>
      <w:r w:rsidRPr="007A1B07">
        <w:rPr>
          <w:rFonts w:ascii="Arial" w:eastAsia="Arial" w:hAnsi="Arial" w:cs="Arial"/>
        </w:rPr>
        <w:t>Clinical training during related learning experience (RLE) rotations is often the first major source of stress for student nurses as they transition from classroom to real-world patient care. A traumatic experience for student nurses and newly graduated nurses is defined by their exposure to various stressors that can be linked to psychological trauma. The study identified six key themes that include these experiences: witnessing sudden changes in a patient or client’s status and unexpected death, emotional labor, faculty incivility, sabotage, bullying, and verbal abuse from the healthcare team, exposure to physical violence and sexual inappropriateness (</w:t>
      </w:r>
      <w:proofErr w:type="spellStart"/>
      <w:r w:rsidRPr="007A1B07">
        <w:rPr>
          <w:rFonts w:ascii="Arial" w:eastAsia="Arial" w:hAnsi="Arial" w:cs="Arial"/>
        </w:rPr>
        <w:t>Chacula</w:t>
      </w:r>
      <w:proofErr w:type="spellEnd"/>
      <w:r w:rsidRPr="007A1B07">
        <w:rPr>
          <w:rFonts w:ascii="Arial" w:eastAsia="Arial" w:hAnsi="Arial" w:cs="Arial"/>
        </w:rPr>
        <w:t xml:space="preserve"> et al., 2022). The symptoms of anxiety indicate the initial phase of trauma response, including acute stress reactions like intrusive thoughts, hyperarousal, and avoidance. When these feelings persist and intensify, anxiety forms a clinical core of more prevalent conditions, </w:t>
      </w:r>
      <w:r w:rsidR="007855CC">
        <w:rPr>
          <w:rFonts w:ascii="Arial" w:eastAsia="Arial" w:hAnsi="Arial" w:cs="Arial"/>
        </w:rPr>
        <w:t xml:space="preserve">which is </w:t>
      </w:r>
      <w:r w:rsidRPr="007A1B07">
        <w:rPr>
          <w:rFonts w:ascii="Arial" w:eastAsia="Arial" w:hAnsi="Arial" w:cs="Arial"/>
        </w:rPr>
        <w:t>most commonly known as Secondary Traumatic Stress (STS) (Oakley et al., 2024).</w:t>
      </w:r>
    </w:p>
    <w:p w14:paraId="112381E8" w14:textId="77777777" w:rsidR="008E4797" w:rsidRPr="007A1B07" w:rsidRDefault="008E4797">
      <w:pPr>
        <w:spacing w:line="237" w:lineRule="auto"/>
        <w:jc w:val="both"/>
        <w:rPr>
          <w:rFonts w:ascii="Arial" w:eastAsia="Arial" w:hAnsi="Arial" w:cs="Arial"/>
        </w:rPr>
      </w:pPr>
    </w:p>
    <w:p w14:paraId="1A3B56B5" w14:textId="311E331A" w:rsidR="008E4797" w:rsidRPr="007A1B07" w:rsidRDefault="004F3FE9">
      <w:pPr>
        <w:spacing w:line="237" w:lineRule="auto"/>
        <w:jc w:val="both"/>
        <w:rPr>
          <w:rFonts w:ascii="Arial" w:eastAsia="Arial" w:hAnsi="Arial" w:cs="Arial"/>
        </w:rPr>
      </w:pPr>
      <w:r w:rsidRPr="007A1B07">
        <w:rPr>
          <w:rFonts w:ascii="Arial" w:eastAsia="Arial" w:hAnsi="Arial" w:cs="Arial"/>
        </w:rPr>
        <w:t>Struggles in mental health are usually viewed as a sign of weakness, and in profession, showing weakness is seen as a sense of shame (Hood and Copeland, 2021). Therein, it involves a belief that student nurses are trained to provide care for others but not seek it for themselves, and this idea greatly hinders their willingness to seek help (Al-</w:t>
      </w:r>
      <w:proofErr w:type="spellStart"/>
      <w:r w:rsidRPr="007A1B07">
        <w:rPr>
          <w:rFonts w:ascii="Arial" w:eastAsia="Arial" w:hAnsi="Arial" w:cs="Arial"/>
        </w:rPr>
        <w:t>Najdi</w:t>
      </w:r>
      <w:proofErr w:type="spellEnd"/>
      <w:r w:rsidRPr="007A1B07">
        <w:rPr>
          <w:rFonts w:ascii="Arial" w:eastAsia="Arial" w:hAnsi="Arial" w:cs="Arial"/>
        </w:rPr>
        <w:t xml:space="preserve"> et al., 2025; </w:t>
      </w:r>
      <w:proofErr w:type="spellStart"/>
      <w:r w:rsidRPr="007A1B07">
        <w:rPr>
          <w:rFonts w:ascii="Arial" w:eastAsia="Arial" w:hAnsi="Arial" w:cs="Arial"/>
        </w:rPr>
        <w:t>Kotera</w:t>
      </w:r>
      <w:proofErr w:type="spellEnd"/>
      <w:r w:rsidRPr="007A1B07">
        <w:rPr>
          <w:rFonts w:ascii="Arial" w:eastAsia="Arial" w:hAnsi="Arial" w:cs="Arial"/>
        </w:rPr>
        <w:t xml:space="preserve"> et al., 2023). A qualitative study among 30 student nurses in the United Arab Emirates during their initial clinical placements identified multiple stressors, including the clinical environment, unfriendly tutors, conflicting expectations, and gaps between theoretical knowledge and clinical practice (Dias et al., 2024). The findings of an intensive interview of seven participants revealed that students reported situational nervousness, feelings of inadequacy, and threatened self-esteem when performance fell below expectations. It came to a conclusion that these clinical experiences had great impacts on multiple dimensions of psychological well-being, such as autonomy, competence, relationships, self-acceptance, personal growth, and life purpose (</w:t>
      </w:r>
      <w:proofErr w:type="spellStart"/>
      <w:r w:rsidRPr="007A1B07">
        <w:rPr>
          <w:rFonts w:ascii="Arial" w:eastAsia="Arial" w:hAnsi="Arial" w:cs="Arial"/>
        </w:rPr>
        <w:t>Mahinay</w:t>
      </w:r>
      <w:proofErr w:type="spellEnd"/>
      <w:r w:rsidRPr="007A1B07">
        <w:rPr>
          <w:rFonts w:ascii="Arial" w:eastAsia="Arial" w:hAnsi="Arial" w:cs="Arial"/>
        </w:rPr>
        <w:t xml:space="preserve"> et al., 2025). Structured and compassionate interventions, such as formal debriefing protocols, are necessary to reduce anxiety and foster positive coping among student nurses (Araújo et al., 2022). While debriefing frameworks exist in simulation settings, they are rarely enforced in real-world clinical rotations (Bae et al.</w:t>
      </w:r>
      <w:r w:rsidR="007855CC">
        <w:rPr>
          <w:rFonts w:ascii="Arial" w:eastAsia="Arial" w:hAnsi="Arial" w:cs="Arial"/>
        </w:rPr>
        <w:t>,</w:t>
      </w:r>
      <w:r w:rsidRPr="007A1B07">
        <w:rPr>
          <w:rFonts w:ascii="Arial" w:eastAsia="Arial" w:hAnsi="Arial" w:cs="Arial"/>
        </w:rPr>
        <w:t xml:space="preserve"> 2019). A qualitative meta-synthesis further confirmed that while students strongly desired debriefing, it often did not occur in a formal and guided manner (Cambridge et al., 2023). The researchers recommended the implementation of mental health interventions such as debriefing sessions, training of resilience and accessible psychological services to protect and promote the well-being of student nurses. The studies above strengthen the need for a holistic approach to students’ mental health and flexibility in clinical education, emphasizing the importance of supportive mentorship from a formal debriefing and addressing fear.</w:t>
      </w:r>
    </w:p>
    <w:p w14:paraId="717A24C9" w14:textId="77777777" w:rsidR="008E4797" w:rsidRPr="007A1B07" w:rsidRDefault="008E4797">
      <w:pPr>
        <w:spacing w:line="237" w:lineRule="auto"/>
        <w:jc w:val="both"/>
        <w:rPr>
          <w:rFonts w:ascii="Arial" w:eastAsia="Arial" w:hAnsi="Arial" w:cs="Arial"/>
        </w:rPr>
      </w:pPr>
    </w:p>
    <w:p w14:paraId="75E21459" w14:textId="00F1C907" w:rsidR="008E4797" w:rsidRPr="007A1B07" w:rsidRDefault="004F3FE9">
      <w:pPr>
        <w:spacing w:line="237" w:lineRule="auto"/>
        <w:jc w:val="both"/>
        <w:rPr>
          <w:rFonts w:ascii="Arial" w:eastAsia="Arial" w:hAnsi="Arial" w:cs="Arial"/>
        </w:rPr>
      </w:pPr>
      <w:r w:rsidRPr="007A1B07">
        <w:rPr>
          <w:rFonts w:ascii="Arial" w:eastAsia="Arial" w:hAnsi="Arial" w:cs="Arial"/>
        </w:rPr>
        <w:t xml:space="preserve">Without locally grounded evidence, nursing curricula in the Philippines lack culturally relevant, standardized debriefing frameworks that address both the processing of clinical trauma and the breakdown of stigma, making student nurses at risk for unprocessed emotional distress, diminished professional competence, and long-term consequences of mental health. This gap is particularly important given the worldwide admiration for Filipino nurses, whose resilience, compassion, and clinical skills are celebrated globally. Recognizing this, the study </w:t>
      </w:r>
      <w:r w:rsidR="007855CC">
        <w:rPr>
          <w:rFonts w:ascii="Arial" w:eastAsia="Arial" w:hAnsi="Arial" w:cs="Arial"/>
        </w:rPr>
        <w:t>aimed</w:t>
      </w:r>
      <w:r w:rsidRPr="007A1B07">
        <w:rPr>
          <w:rFonts w:ascii="Arial" w:eastAsia="Arial" w:hAnsi="Arial" w:cs="Arial"/>
        </w:rPr>
        <w:t xml:space="preserve"> to explore the role of debriefing on traumatic clinical experience and mental health outcomes of student nurses in a private college in Iloilo City. To have this study conducted is in contribution to the United Nations Sustainable Development Goals (SDGs). By comprehensively </w:t>
      </w:r>
      <w:r w:rsidRPr="007A1B07">
        <w:rPr>
          <w:rFonts w:ascii="Arial" w:eastAsia="Arial" w:hAnsi="Arial" w:cs="Arial"/>
        </w:rPr>
        <w:lastRenderedPageBreak/>
        <w:t>examining student satisfaction with RLE rotations and the effectiveness of the informal debriefing process, this research provides crucial data for evaluating the quality and importance of clinical education, in relevance to SDG 4 (Quality Education). SDG 3 (Good Health and Well-being) can also be attributed as effective Related Learning Experience (RLE) rotations supported by formal debriefing protocols or practices ensure that student nurses successfully bridge theory to practice and acquire the clinical competence required of graduates. Thus, ensuring the mental well-being of the future backbone of healthcare through structured support systems is essential to safeguarding the future of the profession.</w:t>
      </w:r>
    </w:p>
    <w:p w14:paraId="7D3398BC" w14:textId="77777777" w:rsidR="008E4797" w:rsidRPr="007A1B07" w:rsidRDefault="008E4797">
      <w:pPr>
        <w:spacing w:line="237" w:lineRule="auto"/>
        <w:jc w:val="both"/>
        <w:rPr>
          <w:rFonts w:ascii="Arial" w:eastAsia="Arial" w:hAnsi="Arial" w:cs="Arial"/>
        </w:rPr>
      </w:pPr>
    </w:p>
    <w:p w14:paraId="3F774E9F" w14:textId="77777777" w:rsidR="008E4797" w:rsidRPr="007A1B07" w:rsidRDefault="008E4797">
      <w:pPr>
        <w:spacing w:line="237" w:lineRule="auto"/>
        <w:jc w:val="both"/>
        <w:rPr>
          <w:rFonts w:ascii="Arial" w:eastAsia="Arial" w:hAnsi="Arial" w:cs="Arial"/>
          <w:b/>
          <w:bCs/>
          <w:sz w:val="22"/>
          <w:szCs w:val="22"/>
        </w:rPr>
      </w:pPr>
    </w:p>
    <w:p w14:paraId="5F0FFA02" w14:textId="77777777" w:rsidR="008E4797" w:rsidRPr="007A1B07" w:rsidRDefault="004F3FE9">
      <w:pPr>
        <w:keepNext/>
        <w:jc w:val="both"/>
        <w:rPr>
          <w:rFonts w:ascii="Arial" w:eastAsia="Arial" w:hAnsi="Arial" w:cs="Arial"/>
          <w:b/>
          <w:bCs/>
          <w:smallCaps/>
          <w:sz w:val="22"/>
          <w:szCs w:val="22"/>
        </w:rPr>
      </w:pPr>
      <w:r w:rsidRPr="007A1B07">
        <w:rPr>
          <w:rFonts w:ascii="Arial" w:eastAsia="Arial" w:hAnsi="Arial" w:cs="Arial"/>
          <w:b/>
          <w:bCs/>
          <w:smallCaps/>
          <w:sz w:val="22"/>
          <w:szCs w:val="22"/>
        </w:rPr>
        <w:t xml:space="preserve">2. methodology </w:t>
      </w:r>
    </w:p>
    <w:p w14:paraId="02F70D2D" w14:textId="77777777" w:rsidR="008E4797" w:rsidRPr="007A1B07" w:rsidRDefault="008E4797">
      <w:pPr>
        <w:keepNext/>
        <w:jc w:val="both"/>
        <w:rPr>
          <w:rFonts w:ascii="Arial" w:eastAsia="Arial" w:hAnsi="Arial" w:cs="Arial"/>
          <w:b/>
          <w:bCs/>
          <w:smallCaps/>
          <w:sz w:val="22"/>
          <w:szCs w:val="22"/>
        </w:rPr>
      </w:pPr>
    </w:p>
    <w:p w14:paraId="5AC120C8" w14:textId="77777777" w:rsidR="008E4797" w:rsidRPr="007A1B07" w:rsidRDefault="004F3FE9">
      <w:pPr>
        <w:jc w:val="both"/>
        <w:rPr>
          <w:rFonts w:ascii="Arial" w:eastAsia="Arial" w:hAnsi="Arial" w:cs="Arial"/>
          <w:b/>
          <w:bCs/>
        </w:rPr>
      </w:pPr>
      <w:r w:rsidRPr="007A1B07">
        <w:rPr>
          <w:rFonts w:ascii="Arial" w:eastAsia="Arial" w:hAnsi="Arial" w:cs="Arial"/>
          <w:b/>
          <w:bCs/>
        </w:rPr>
        <w:t>2.1 Research Design</w:t>
      </w:r>
    </w:p>
    <w:p w14:paraId="3E1383A8" w14:textId="77777777" w:rsidR="008E4797" w:rsidRPr="007A1B07" w:rsidRDefault="008E4797">
      <w:pPr>
        <w:jc w:val="both"/>
        <w:rPr>
          <w:rFonts w:ascii="Arial" w:eastAsia="Arial" w:hAnsi="Arial" w:cs="Arial"/>
        </w:rPr>
      </w:pPr>
    </w:p>
    <w:p w14:paraId="0DAE9D33" w14:textId="77777777" w:rsidR="008E4797" w:rsidRPr="007A1B07" w:rsidRDefault="004F3FE9">
      <w:pPr>
        <w:jc w:val="both"/>
        <w:rPr>
          <w:rFonts w:ascii="Arial" w:eastAsia="Arial" w:hAnsi="Arial" w:cs="Arial"/>
        </w:rPr>
      </w:pPr>
      <w:r w:rsidRPr="007A1B07">
        <w:rPr>
          <w:rFonts w:ascii="Arial" w:eastAsia="Arial" w:hAnsi="Arial" w:cs="Arial"/>
        </w:rPr>
        <w:t>The researchers employed a concurrent mixed-method design to conduct the study. This approach involved the simultaneous collection and analysis of both quantitative and qualitative data. By using this design, the study was able to quantify the statistical relationship between debriefing, traumatic clinical experiences, and anxiety while concurrently exploring the narratives and lived experiences of the nursing students to provide a more comprehensive understanding of the event.</w:t>
      </w:r>
    </w:p>
    <w:p w14:paraId="7ED166D8" w14:textId="77777777" w:rsidR="008E4797" w:rsidRPr="007A1B07" w:rsidRDefault="008E4797">
      <w:pPr>
        <w:jc w:val="both"/>
        <w:rPr>
          <w:rFonts w:ascii="Arial" w:eastAsia="Arial" w:hAnsi="Arial" w:cs="Arial"/>
        </w:rPr>
      </w:pPr>
    </w:p>
    <w:p w14:paraId="42636AF3" w14:textId="77777777" w:rsidR="008E4797" w:rsidRPr="007A1B07" w:rsidRDefault="004F3FE9">
      <w:pPr>
        <w:jc w:val="both"/>
        <w:rPr>
          <w:rFonts w:ascii="Arial" w:eastAsia="Arial" w:hAnsi="Arial" w:cs="Arial"/>
          <w:b/>
          <w:bCs/>
        </w:rPr>
      </w:pPr>
      <w:r w:rsidRPr="007A1B07">
        <w:rPr>
          <w:rFonts w:ascii="Arial" w:eastAsia="Arial" w:hAnsi="Arial" w:cs="Arial"/>
          <w:b/>
          <w:bCs/>
        </w:rPr>
        <w:t>2.2 Research Instrument</w:t>
      </w:r>
    </w:p>
    <w:p w14:paraId="7B0AB721" w14:textId="77777777" w:rsidR="008E4797" w:rsidRPr="007A1B07" w:rsidRDefault="008E4797">
      <w:pPr>
        <w:jc w:val="both"/>
        <w:rPr>
          <w:rFonts w:ascii="Arial" w:eastAsia="Arial" w:hAnsi="Arial" w:cs="Arial"/>
        </w:rPr>
      </w:pPr>
    </w:p>
    <w:p w14:paraId="6520586F" w14:textId="77777777" w:rsidR="008E4797" w:rsidRPr="007A1B07" w:rsidRDefault="004F3FE9">
      <w:pPr>
        <w:jc w:val="both"/>
        <w:rPr>
          <w:rFonts w:ascii="Arial" w:eastAsia="Arial" w:hAnsi="Arial" w:cs="Arial"/>
        </w:rPr>
      </w:pPr>
      <w:r w:rsidRPr="007A1B07">
        <w:rPr>
          <w:rFonts w:ascii="Arial" w:eastAsia="Arial" w:hAnsi="Arial" w:cs="Arial"/>
        </w:rPr>
        <w:t>The study utilized several instruments to gather data across both phases. For the quantitative portion, the Impact of Event Scale-Revised (IES-R) was used to measure the psychological impact of traumatic clinical events, and the Generalized Anxiety Disorder-7 (GAD-7) was used to assess anxiety levels. Additionally, a researcher-made Level of Debriefing Questionnaire was implemented to evaluate the quality of debriefing received. For the qualitative phase, a semi-structured interview guide was developed to facilitate in-depth discussions regarding the students' emotional processing and clinical encounters.</w:t>
      </w:r>
    </w:p>
    <w:p w14:paraId="24ED8673" w14:textId="77777777" w:rsidR="008E4797" w:rsidRPr="007A1B07" w:rsidRDefault="008E4797">
      <w:pPr>
        <w:jc w:val="both"/>
        <w:rPr>
          <w:rFonts w:ascii="Arial" w:eastAsia="Arial" w:hAnsi="Arial" w:cs="Arial"/>
        </w:rPr>
      </w:pPr>
    </w:p>
    <w:p w14:paraId="474BA160" w14:textId="77777777" w:rsidR="008E4797" w:rsidRPr="007A1B07" w:rsidRDefault="004F3FE9">
      <w:pPr>
        <w:jc w:val="both"/>
        <w:rPr>
          <w:rFonts w:ascii="Arial" w:eastAsia="Arial" w:hAnsi="Arial" w:cs="Arial"/>
          <w:b/>
          <w:bCs/>
        </w:rPr>
      </w:pPr>
      <w:r w:rsidRPr="007A1B07">
        <w:rPr>
          <w:rFonts w:ascii="Arial" w:eastAsia="Arial" w:hAnsi="Arial" w:cs="Arial"/>
          <w:b/>
          <w:bCs/>
        </w:rPr>
        <w:t>2.3 Participants</w:t>
      </w:r>
    </w:p>
    <w:p w14:paraId="3B7AB12C" w14:textId="77777777" w:rsidR="008E4797" w:rsidRPr="007A1B07" w:rsidRDefault="008E4797">
      <w:pPr>
        <w:jc w:val="both"/>
        <w:rPr>
          <w:rFonts w:ascii="Arial" w:eastAsia="Arial" w:hAnsi="Arial" w:cs="Arial"/>
        </w:rPr>
      </w:pPr>
    </w:p>
    <w:p w14:paraId="6CEBC1E5" w14:textId="77777777" w:rsidR="008E4797" w:rsidRPr="007A1B07" w:rsidRDefault="004F3FE9">
      <w:pPr>
        <w:jc w:val="both"/>
        <w:rPr>
          <w:rFonts w:ascii="Arial" w:eastAsia="Arial" w:hAnsi="Arial" w:cs="Arial"/>
          <w:b/>
          <w:bCs/>
        </w:rPr>
      </w:pPr>
      <w:r w:rsidRPr="007A1B07">
        <w:rPr>
          <w:rFonts w:ascii="Arial" w:eastAsia="Arial" w:hAnsi="Arial" w:cs="Arial"/>
        </w:rPr>
        <w:t xml:space="preserve">The participants were divided into two groups corresponding to the mixed-method approach. The quantitative phase included 275 third-year and fourth-year nursing students, selected via stratified random sampling using the </w:t>
      </w:r>
      <w:proofErr w:type="spellStart"/>
      <w:r w:rsidRPr="007A1B07">
        <w:rPr>
          <w:rFonts w:ascii="Arial" w:eastAsia="Arial" w:hAnsi="Arial" w:cs="Arial"/>
        </w:rPr>
        <w:t>Raosoft</w:t>
      </w:r>
      <w:proofErr w:type="spellEnd"/>
      <w:r w:rsidRPr="007A1B07">
        <w:rPr>
          <w:rFonts w:ascii="Arial" w:eastAsia="Arial" w:hAnsi="Arial" w:cs="Arial"/>
        </w:rPr>
        <w:t xml:space="preserve"> sample size calculator. The qualitative phase involved 7 participants chosen through purposive sampling, specifically targeting those who had encountered significant traumatic experiences during their related learning experiences (RLE) and were willing to share their stories.</w:t>
      </w:r>
    </w:p>
    <w:p w14:paraId="2B7A5106" w14:textId="77777777" w:rsidR="008E4797" w:rsidRPr="007A1B07" w:rsidRDefault="008E4797">
      <w:pPr>
        <w:jc w:val="both"/>
        <w:rPr>
          <w:rFonts w:ascii="Arial" w:eastAsia="Arial" w:hAnsi="Arial" w:cs="Arial"/>
          <w:b/>
          <w:bCs/>
        </w:rPr>
      </w:pPr>
    </w:p>
    <w:p w14:paraId="0E831D23" w14:textId="77777777" w:rsidR="008E4797" w:rsidRPr="007A1B07" w:rsidRDefault="004F3FE9">
      <w:pPr>
        <w:jc w:val="both"/>
        <w:rPr>
          <w:rFonts w:ascii="Arial" w:eastAsia="Arial" w:hAnsi="Arial" w:cs="Arial"/>
          <w:b/>
          <w:bCs/>
        </w:rPr>
      </w:pPr>
      <w:r w:rsidRPr="007A1B07">
        <w:rPr>
          <w:rFonts w:ascii="Arial" w:eastAsia="Arial" w:hAnsi="Arial" w:cs="Arial"/>
          <w:b/>
          <w:bCs/>
        </w:rPr>
        <w:t>2.4 Research Setting</w:t>
      </w:r>
    </w:p>
    <w:p w14:paraId="570185E7" w14:textId="77777777" w:rsidR="008E4797" w:rsidRPr="007A1B07" w:rsidRDefault="008E4797">
      <w:pPr>
        <w:jc w:val="both"/>
        <w:rPr>
          <w:rFonts w:ascii="Arial" w:eastAsia="Arial" w:hAnsi="Arial" w:cs="Arial"/>
        </w:rPr>
      </w:pPr>
    </w:p>
    <w:p w14:paraId="707AE5FA" w14:textId="77777777" w:rsidR="008E4797" w:rsidRPr="007A1B07" w:rsidRDefault="004F3FE9">
      <w:pPr>
        <w:jc w:val="both"/>
        <w:rPr>
          <w:rFonts w:ascii="Arial" w:eastAsia="Arial" w:hAnsi="Arial" w:cs="Arial"/>
        </w:rPr>
      </w:pPr>
      <w:r w:rsidRPr="007A1B07">
        <w:rPr>
          <w:rFonts w:ascii="Arial" w:eastAsia="Arial" w:hAnsi="Arial" w:cs="Arial"/>
        </w:rPr>
        <w:t>The research was conducted at Iloilo Doctors’ College, specifically within the College of Nursing in Iloilo City, Philippines. The data collection occurred during the second semester of the 2025-2026 academic year, focusing on students who rotate through various affiliated hospitals and clinical areas.</w:t>
      </w:r>
    </w:p>
    <w:p w14:paraId="35D599B6" w14:textId="77777777" w:rsidR="008E4797" w:rsidRPr="007A1B07" w:rsidRDefault="008E4797">
      <w:pPr>
        <w:jc w:val="both"/>
        <w:rPr>
          <w:rFonts w:ascii="Arial" w:eastAsia="Arial" w:hAnsi="Arial" w:cs="Arial"/>
        </w:rPr>
      </w:pPr>
    </w:p>
    <w:p w14:paraId="5E76B88D" w14:textId="77777777" w:rsidR="008E4797" w:rsidRPr="007A1B07" w:rsidRDefault="004F3FE9">
      <w:pPr>
        <w:jc w:val="both"/>
        <w:rPr>
          <w:rFonts w:ascii="Arial" w:eastAsia="Arial" w:hAnsi="Arial" w:cs="Arial"/>
          <w:b/>
          <w:bCs/>
        </w:rPr>
      </w:pPr>
      <w:r w:rsidRPr="007A1B07">
        <w:rPr>
          <w:rFonts w:ascii="Arial" w:eastAsia="Arial" w:hAnsi="Arial" w:cs="Arial"/>
          <w:b/>
          <w:bCs/>
        </w:rPr>
        <w:t>2.5 Data Gathering Procedure</w:t>
      </w:r>
    </w:p>
    <w:p w14:paraId="0B92E679" w14:textId="77777777" w:rsidR="008E4797" w:rsidRPr="007A1B07" w:rsidRDefault="008E4797">
      <w:pPr>
        <w:jc w:val="both"/>
        <w:rPr>
          <w:rFonts w:ascii="Arial" w:eastAsia="Arial" w:hAnsi="Arial" w:cs="Arial"/>
        </w:rPr>
      </w:pPr>
    </w:p>
    <w:p w14:paraId="1DA05CFE" w14:textId="77777777" w:rsidR="008E4797" w:rsidRPr="007A1B07" w:rsidRDefault="004F3FE9">
      <w:pPr>
        <w:jc w:val="both"/>
        <w:rPr>
          <w:rFonts w:ascii="Arial" w:eastAsia="Arial" w:hAnsi="Arial" w:cs="Arial"/>
        </w:rPr>
      </w:pPr>
      <w:r w:rsidRPr="007A1B07">
        <w:rPr>
          <w:rFonts w:ascii="Arial" w:eastAsia="Arial" w:hAnsi="Arial" w:cs="Arial"/>
        </w:rPr>
        <w:t xml:space="preserve">The process began with securing ethical clearance and administrative approval from the Dean of the College of Nursing. For the quantitative data, a link to an online survey platform was distributed to the students, where they first provided informed consent before completing the demographic profile and standardized questionnaires. For the qualitative data, the </w:t>
      </w:r>
      <w:r w:rsidRPr="007A1B07">
        <w:rPr>
          <w:rFonts w:ascii="Arial" w:eastAsia="Arial" w:hAnsi="Arial" w:cs="Arial"/>
        </w:rPr>
        <w:lastRenderedPageBreak/>
        <w:t>researchers conducted one-on-one semi-structured interviews. These sessions were audio-recorded, lasted between 45 to 60 minutes, and were later transcribed for detailed analysis.</w:t>
      </w:r>
    </w:p>
    <w:p w14:paraId="2C1C361F" w14:textId="77777777" w:rsidR="008E4797" w:rsidRPr="007A1B07" w:rsidRDefault="008E4797">
      <w:pPr>
        <w:jc w:val="both"/>
        <w:rPr>
          <w:rFonts w:ascii="Arial" w:eastAsia="Arial" w:hAnsi="Arial" w:cs="Arial"/>
        </w:rPr>
      </w:pPr>
    </w:p>
    <w:p w14:paraId="5154FF6E" w14:textId="77777777" w:rsidR="008E4797" w:rsidRPr="007A1B07" w:rsidRDefault="004F3FE9">
      <w:pPr>
        <w:jc w:val="both"/>
        <w:rPr>
          <w:rFonts w:ascii="Arial" w:eastAsia="Arial" w:hAnsi="Arial" w:cs="Arial"/>
          <w:b/>
          <w:bCs/>
        </w:rPr>
      </w:pPr>
      <w:r w:rsidRPr="007A1B07">
        <w:rPr>
          <w:rFonts w:ascii="Arial" w:eastAsia="Arial" w:hAnsi="Arial" w:cs="Arial"/>
          <w:b/>
          <w:bCs/>
        </w:rPr>
        <w:t>2.6 Data Analysis</w:t>
      </w:r>
    </w:p>
    <w:p w14:paraId="44D7F355" w14:textId="77777777" w:rsidR="008E4797" w:rsidRPr="007A1B07" w:rsidRDefault="008E4797">
      <w:pPr>
        <w:jc w:val="both"/>
        <w:rPr>
          <w:rFonts w:ascii="Arial" w:eastAsia="Arial" w:hAnsi="Arial" w:cs="Arial"/>
        </w:rPr>
      </w:pPr>
    </w:p>
    <w:p w14:paraId="2B9ECB96" w14:textId="77777777" w:rsidR="008E4797" w:rsidRPr="007A1B07" w:rsidRDefault="004F3FE9">
      <w:pPr>
        <w:jc w:val="both"/>
        <w:rPr>
          <w:rFonts w:ascii="Arial" w:eastAsia="Arial" w:hAnsi="Arial" w:cs="Arial"/>
        </w:rPr>
      </w:pPr>
      <w:r w:rsidRPr="007A1B07">
        <w:rPr>
          <w:rFonts w:ascii="Arial" w:eastAsia="Arial" w:hAnsi="Arial" w:cs="Arial"/>
        </w:rPr>
        <w:t>Quantitative data were analyzed using SPSS, employing descriptive statistics such as mean and frequency to describe the levels of trauma and anxiety. The Kolmogorov-Smirnov test was used to check for normality, and Spearman’s rho was applied to determine the correlations between the variables. Qualitative data underwent a six-step systematic thematic analysis to identify recurring codes and themes. Finally, the findings from both methods were integrated using a joint display to compare and contrast the statistical results with the qualitative narratives.</w:t>
      </w:r>
    </w:p>
    <w:p w14:paraId="05F50CD1" w14:textId="77777777" w:rsidR="008E4797" w:rsidRPr="007A1B07" w:rsidRDefault="008E4797">
      <w:pPr>
        <w:jc w:val="both"/>
        <w:rPr>
          <w:rFonts w:ascii="Arial" w:eastAsia="Arial" w:hAnsi="Arial" w:cs="Arial"/>
        </w:rPr>
      </w:pPr>
    </w:p>
    <w:p w14:paraId="24F960CE" w14:textId="77777777" w:rsidR="008E4797" w:rsidRPr="007A1B07" w:rsidRDefault="004F3FE9">
      <w:pPr>
        <w:keepNext/>
        <w:pBdr>
          <w:top w:val="nil"/>
          <w:left w:val="nil"/>
          <w:bottom w:val="nil"/>
          <w:right w:val="nil"/>
          <w:between w:val="nil"/>
        </w:pBdr>
        <w:jc w:val="both"/>
        <w:rPr>
          <w:rFonts w:ascii="Arial" w:eastAsia="Arial" w:hAnsi="Arial" w:cs="Arial"/>
          <w:b/>
          <w:bCs/>
          <w:smallCaps/>
          <w:sz w:val="22"/>
          <w:szCs w:val="22"/>
        </w:rPr>
      </w:pPr>
      <w:r w:rsidRPr="007A1B07">
        <w:rPr>
          <w:rFonts w:ascii="Arial" w:eastAsia="Arial" w:hAnsi="Arial" w:cs="Arial"/>
          <w:b/>
          <w:bCs/>
          <w:smallCaps/>
          <w:sz w:val="22"/>
          <w:szCs w:val="22"/>
        </w:rPr>
        <w:t>3. results and discussion</w:t>
      </w:r>
    </w:p>
    <w:p w14:paraId="0E037F21" w14:textId="77777777" w:rsidR="008E4797" w:rsidRPr="007A1B07" w:rsidRDefault="008E4797">
      <w:pPr>
        <w:keepNext/>
        <w:pBdr>
          <w:top w:val="nil"/>
          <w:left w:val="nil"/>
          <w:bottom w:val="nil"/>
          <w:right w:val="nil"/>
          <w:between w:val="nil"/>
        </w:pBdr>
        <w:jc w:val="both"/>
        <w:rPr>
          <w:rFonts w:ascii="Arial" w:eastAsia="Arial" w:hAnsi="Arial" w:cs="Arial"/>
          <w:b/>
          <w:bCs/>
          <w:smallCaps/>
          <w:color w:val="000000"/>
          <w:sz w:val="22"/>
          <w:szCs w:val="22"/>
        </w:rPr>
      </w:pPr>
    </w:p>
    <w:p w14:paraId="3730C29F" w14:textId="77777777" w:rsidR="008E4797" w:rsidRPr="007A1B07" w:rsidRDefault="004F3FE9">
      <w:pPr>
        <w:pBdr>
          <w:top w:val="nil"/>
          <w:left w:val="nil"/>
          <w:bottom w:val="nil"/>
          <w:right w:val="nil"/>
          <w:between w:val="nil"/>
        </w:pBdr>
        <w:jc w:val="both"/>
        <w:rPr>
          <w:rFonts w:ascii="Arial" w:eastAsia="Arial" w:hAnsi="Arial" w:cs="Arial"/>
          <w:b/>
          <w:bCs/>
          <w:sz w:val="22"/>
          <w:szCs w:val="22"/>
        </w:rPr>
      </w:pPr>
      <w:r w:rsidRPr="007A1B07">
        <w:rPr>
          <w:rFonts w:ascii="Arial" w:eastAsia="Arial" w:hAnsi="Arial" w:cs="Arial"/>
          <w:b/>
          <w:bCs/>
          <w:sz w:val="22"/>
          <w:szCs w:val="22"/>
        </w:rPr>
        <w:t xml:space="preserve">3.1 Quantitative Interpretation of the Results </w:t>
      </w:r>
    </w:p>
    <w:p w14:paraId="64A718FD" w14:textId="77777777" w:rsidR="008E4797" w:rsidRPr="007A1B07" w:rsidRDefault="008E4797">
      <w:pPr>
        <w:pBdr>
          <w:top w:val="nil"/>
          <w:left w:val="nil"/>
          <w:bottom w:val="nil"/>
          <w:right w:val="nil"/>
          <w:between w:val="nil"/>
        </w:pBdr>
        <w:jc w:val="both"/>
        <w:rPr>
          <w:rFonts w:ascii="Arial" w:eastAsia="Arial" w:hAnsi="Arial" w:cs="Arial"/>
          <w:b/>
          <w:bCs/>
        </w:rPr>
      </w:pPr>
    </w:p>
    <w:p w14:paraId="797689D5" w14:textId="77777777" w:rsidR="008E4797" w:rsidRPr="007A1B07" w:rsidRDefault="004F3FE9">
      <w:pPr>
        <w:pBdr>
          <w:top w:val="nil"/>
          <w:left w:val="nil"/>
          <w:bottom w:val="nil"/>
          <w:right w:val="nil"/>
          <w:between w:val="nil"/>
        </w:pBdr>
        <w:jc w:val="both"/>
        <w:rPr>
          <w:rFonts w:ascii="Arial" w:eastAsia="Arial" w:hAnsi="Arial" w:cs="Arial"/>
          <w:b/>
          <w:bCs/>
        </w:rPr>
      </w:pPr>
      <w:r w:rsidRPr="007A1B07">
        <w:rPr>
          <w:rFonts w:ascii="Arial" w:eastAsia="Arial" w:hAnsi="Arial" w:cs="Arial"/>
          <w:b/>
          <w:bCs/>
        </w:rPr>
        <w:t>3.1.1 Profile of the respondents</w:t>
      </w:r>
    </w:p>
    <w:p w14:paraId="5392AE1C" w14:textId="77777777" w:rsidR="008E4797" w:rsidRPr="007A1B07" w:rsidRDefault="008E4797">
      <w:pPr>
        <w:jc w:val="both"/>
        <w:rPr>
          <w:rFonts w:ascii="Arial" w:eastAsia="Arial" w:hAnsi="Arial" w:cs="Arial"/>
        </w:rPr>
      </w:pPr>
    </w:p>
    <w:p w14:paraId="3D2E3A38" w14:textId="77777777" w:rsidR="008E4797" w:rsidRPr="007A1B07" w:rsidRDefault="004F3FE9">
      <w:pPr>
        <w:jc w:val="both"/>
        <w:rPr>
          <w:rFonts w:ascii="Arial" w:eastAsia="Arial" w:hAnsi="Arial" w:cs="Arial"/>
        </w:rPr>
      </w:pPr>
      <w:r w:rsidRPr="007A1B07">
        <w:rPr>
          <w:rFonts w:ascii="Arial" w:eastAsia="Arial" w:hAnsi="Arial" w:cs="Arial"/>
        </w:rPr>
        <w:t>More than half of the student nurses were 21 years old and below (56.7%) and almost half of them were 22 years old and above. The majority of them as respondents of the study were female (80.40%) and several were male (19.6%). More students were at year level 4 (53.8%) and several of them were at year level 3 (46.2%).</w:t>
      </w:r>
    </w:p>
    <w:p w14:paraId="317C4C36" w14:textId="77777777" w:rsidR="008E4797" w:rsidRPr="007A1B07" w:rsidRDefault="008E4797">
      <w:pPr>
        <w:pBdr>
          <w:top w:val="nil"/>
          <w:left w:val="nil"/>
          <w:bottom w:val="nil"/>
          <w:right w:val="nil"/>
          <w:between w:val="nil"/>
        </w:pBdr>
        <w:jc w:val="both"/>
        <w:rPr>
          <w:rFonts w:ascii="Arial" w:eastAsia="Arial" w:hAnsi="Arial" w:cs="Arial"/>
        </w:rPr>
      </w:pPr>
    </w:p>
    <w:p w14:paraId="0884939B" w14:textId="77777777" w:rsidR="008E4797" w:rsidRPr="007A1B07" w:rsidRDefault="004F3FE9">
      <w:pPr>
        <w:pBdr>
          <w:top w:val="nil"/>
          <w:left w:val="nil"/>
          <w:bottom w:val="nil"/>
          <w:right w:val="nil"/>
          <w:between w:val="nil"/>
        </w:pBdr>
        <w:jc w:val="both"/>
        <w:rPr>
          <w:rFonts w:ascii="Arial" w:eastAsia="Arial" w:hAnsi="Arial" w:cs="Arial"/>
          <w:b/>
          <w:bCs/>
        </w:rPr>
      </w:pPr>
      <w:r w:rsidRPr="007A1B07">
        <w:rPr>
          <w:rFonts w:ascii="Arial" w:eastAsia="Arial" w:hAnsi="Arial" w:cs="Arial"/>
          <w:b/>
          <w:bCs/>
        </w:rPr>
        <w:t>3.1.2 Level of Traumatic Clinical Experience among Respondents</w:t>
      </w:r>
    </w:p>
    <w:p w14:paraId="611F4892" w14:textId="77777777" w:rsidR="008E4797" w:rsidRPr="007A1B07" w:rsidRDefault="008E4797">
      <w:pPr>
        <w:pBdr>
          <w:top w:val="nil"/>
          <w:left w:val="nil"/>
          <w:bottom w:val="nil"/>
          <w:right w:val="nil"/>
          <w:between w:val="nil"/>
        </w:pBdr>
        <w:jc w:val="both"/>
        <w:rPr>
          <w:rFonts w:ascii="Arial" w:eastAsia="Arial" w:hAnsi="Arial" w:cs="Arial"/>
          <w:b/>
          <w:bCs/>
        </w:rPr>
      </w:pPr>
    </w:p>
    <w:p w14:paraId="082FE9C6" w14:textId="12043CD5" w:rsidR="008E4797" w:rsidRPr="007A1B07" w:rsidRDefault="004F3FE9">
      <w:pPr>
        <w:spacing w:after="240" w:line="276" w:lineRule="auto"/>
        <w:jc w:val="both"/>
        <w:rPr>
          <w:rFonts w:ascii="Arial" w:eastAsia="Arial" w:hAnsi="Arial" w:cs="Arial"/>
        </w:rPr>
      </w:pPr>
      <w:r w:rsidRPr="007A1B07">
        <w:rPr>
          <w:rFonts w:ascii="Arial" w:eastAsia="Arial" w:hAnsi="Arial" w:cs="Arial"/>
        </w:rPr>
        <w:t xml:space="preserve">The data revealed that the most prominent psychological response among level 3 and level 4 student nurses was rooted in Avoidance (M=1.64), with several indicators reaching levels of severe distress. The highest recorded mean in this study (1.89) refers to the intentional suppression of emotional distress when faced with reminders of a clinical event (M=1.84), complemented by a hesitation to verbalize or discuss the experience (M=1.68). These findings suggest a functional survival mechanism, where students prioritize professional stoicism over emotional processing. This reliance on avoidance is a critical finding, as it indicates a state of professional masking that often precedes long-term attrition (Beck, 2011). Furthermore, the data confirmed an awareness of unresolved feelings with a failure to address them (M=1.61), while scores regarding the removal of memories (M=1.60) and avoidance of physical reminders (M=1.58) moved into the probable category. This </w:t>
      </w:r>
      <w:r w:rsidR="007855CC">
        <w:rPr>
          <w:rFonts w:ascii="Arial" w:eastAsia="Arial" w:hAnsi="Arial" w:cs="Arial"/>
        </w:rPr>
        <w:t>reflects</w:t>
      </w:r>
      <w:r w:rsidRPr="007A1B07">
        <w:rPr>
          <w:rFonts w:ascii="Arial" w:eastAsia="Arial" w:hAnsi="Arial" w:cs="Arial"/>
        </w:rPr>
        <w:t xml:space="preserve"> a high level of behavioral distancing that enters the realm of clinical pathology. Even the lower scores in this domain, such as emotional numbness (M=1.48) and a sense of unreality or denial (M=1.47), remained clinically significant, pointing toward a state of emotional detachment that may impair empathetic care (Lombardo &amp; Eyre, 2011).</w:t>
      </w:r>
    </w:p>
    <w:p w14:paraId="31281783" w14:textId="77777777" w:rsidR="008E4797" w:rsidRPr="007A1B07" w:rsidRDefault="004F3FE9">
      <w:pPr>
        <w:spacing w:after="240" w:line="276" w:lineRule="auto"/>
        <w:jc w:val="both"/>
        <w:rPr>
          <w:rFonts w:ascii="Arial" w:eastAsia="Arial" w:hAnsi="Arial" w:cs="Arial"/>
        </w:rPr>
      </w:pPr>
      <w:r w:rsidRPr="007A1B07">
        <w:rPr>
          <w:rFonts w:ascii="Arial" w:eastAsia="Arial" w:hAnsi="Arial" w:cs="Arial"/>
        </w:rPr>
        <w:t xml:space="preserve">In the area of Intrusion, the students demonstrated a clinically important to probable level of mental disturbance (M=1.39). The involuntary recurrence of thoughts regarding clinical events reached an extreme score of 1.65, highlighting an inability to separate trauma during off-duty hours. Visual intrusions (M=1.56), the revival of emotions through environmental stimuli (M=1.55), and a general preoccupation with the event (M=1.54) further supported this trend. This lack of compartmentalization signifies that the traumatic impact of the clinical setting follows the student home, a hallmark of Secondary Traumatic Stress (Beck, 2011). Conversely, symptoms such as difficulty maintaining sleep, the sensation of reliving the event, </w:t>
      </w:r>
      <w:r w:rsidRPr="007A1B07">
        <w:rPr>
          <w:rFonts w:ascii="Arial" w:eastAsia="Arial" w:hAnsi="Arial" w:cs="Arial"/>
        </w:rPr>
        <w:lastRenderedPageBreak/>
        <w:t>and sudden waves of intense emotion (M=1.28) suggest these students were slightly more resilient against reliving the trauma than they were to avoidant behaviors. The lowest score in this study related to having dreams about the experience (M=1.01). This is highly significant; it suggests that the trauma is being processed through conscious thought interference rather than through the REM cycle, implying that the distress is a constant cognitive load during waking hours.</w:t>
      </w:r>
    </w:p>
    <w:p w14:paraId="6A1ADA79" w14:textId="77777777" w:rsidR="008E4797" w:rsidRPr="007A1B07" w:rsidRDefault="004F3FE9">
      <w:pPr>
        <w:spacing w:after="240" w:line="276" w:lineRule="auto"/>
        <w:jc w:val="both"/>
        <w:rPr>
          <w:rFonts w:ascii="Arial" w:eastAsia="Arial" w:hAnsi="Arial" w:cs="Arial"/>
        </w:rPr>
      </w:pPr>
      <w:r w:rsidRPr="007A1B07">
        <w:rPr>
          <w:rFonts w:ascii="Arial" w:eastAsia="Arial" w:hAnsi="Arial" w:cs="Arial"/>
        </w:rPr>
        <w:t>The Hyperarousal domain reflected a consistent clinically significant impact on the students' daily physiological state (M=1.22). The most critical issue was the difficulty in concentrating (M=1.31), followed by difficulty falling asleep (M=1.28) and feelings of irritability or anger (M=1.27). From an academic perspective, this is a vital finding; hyperarousal does not just affect well-being as it also affects cognitive bandwidth and patient safety. A student nurse who is on-guard (M=1.21) or easily startled (M=1.19) is operating in a state of chronic stress activation. Finally, the physiological effects, such as sweating or difficulty breathing (M=1.09), while being the lowest in this domain, still sit at the threshold of clinical significance. This confirms that the traumatic experiences were sufficient to trigger involuntary autonomic responses, suggesting that the stress has moved from a psychological perception to a somatic manifestation (van der Kolk, 2014).</w:t>
      </w:r>
    </w:p>
    <w:p w14:paraId="233C44A7" w14:textId="121510DE" w:rsidR="008E4797" w:rsidRPr="007A1B07" w:rsidRDefault="004F3FE9">
      <w:pPr>
        <w:spacing w:after="240" w:line="276" w:lineRule="auto"/>
        <w:jc w:val="both"/>
        <w:rPr>
          <w:rFonts w:ascii="Arial" w:eastAsia="Arial" w:hAnsi="Arial" w:cs="Arial"/>
        </w:rPr>
      </w:pPr>
      <w:r w:rsidRPr="007A1B07">
        <w:rPr>
          <w:rFonts w:ascii="Arial" w:eastAsia="Arial" w:hAnsi="Arial" w:cs="Arial"/>
        </w:rPr>
        <w:t xml:space="preserve">The overall mean of 1.44 is at the upper limit of the clinically significant distress range and is only 0.06 points away from the probable threshold. This narrow margin </w:t>
      </w:r>
      <w:r w:rsidR="007855CC" w:rsidRPr="007A1B07">
        <w:rPr>
          <w:rFonts w:ascii="Arial" w:eastAsia="Arial" w:hAnsi="Arial" w:cs="Arial"/>
        </w:rPr>
        <w:t>recommends</w:t>
      </w:r>
      <w:r w:rsidRPr="007A1B07">
        <w:rPr>
          <w:rFonts w:ascii="Arial" w:eastAsia="Arial" w:hAnsi="Arial" w:cs="Arial"/>
        </w:rPr>
        <w:t xml:space="preserve"> that the student population as a whole is trending toward a probable psychiatric diagnosis. The significance of these findings lies in the disconnect between functioning and health; students may appear to be performing well in the ward while experiencing profound internal stress. This necessitates a shift in nursing curricula toward support systems that prioritize emotional integration as highly as clinical skill (Lombardo &amp; Eyre, 2011).</w:t>
      </w:r>
    </w:p>
    <w:p w14:paraId="5A227556" w14:textId="562D4E28" w:rsidR="008E4797" w:rsidRPr="007A1B07" w:rsidRDefault="004F3FE9">
      <w:pPr>
        <w:spacing w:before="240" w:after="240"/>
        <w:jc w:val="both"/>
        <w:rPr>
          <w:rFonts w:ascii="Arial" w:eastAsia="Arial" w:hAnsi="Arial" w:cs="Arial"/>
        </w:rPr>
      </w:pPr>
      <w:r w:rsidRPr="007A1B07">
        <w:rPr>
          <w:rFonts w:ascii="Arial" w:eastAsia="Arial" w:hAnsi="Arial" w:cs="Arial"/>
        </w:rPr>
        <w:t xml:space="preserve">In Table 2b, the assessment of traumatic clinical experiences among student nurses revealed a significantly polarized profile. While the overall mean of 1.44 suggested a clinically significant level of distress, the frequency distribution uncovered a more severe underlying reality. The data </w:t>
      </w:r>
      <w:r w:rsidR="007855CC">
        <w:rPr>
          <w:rFonts w:ascii="Arial" w:eastAsia="Arial" w:hAnsi="Arial" w:cs="Arial"/>
        </w:rPr>
        <w:t>insinuates</w:t>
      </w:r>
      <w:r w:rsidRPr="007A1B07">
        <w:rPr>
          <w:rFonts w:ascii="Arial" w:eastAsia="Arial" w:hAnsi="Arial" w:cs="Arial"/>
        </w:rPr>
        <w:t xml:space="preserve"> a bimodal distribution, where the population is split between a group reporting low impact (38.20%) and a dominant group (40.40%) experiencing extreme distress.</w:t>
      </w:r>
    </w:p>
    <w:p w14:paraId="76FC46B2" w14:textId="77777777" w:rsidR="008E4797" w:rsidRPr="007A1B07" w:rsidRDefault="004F3FE9">
      <w:pPr>
        <w:spacing w:before="240" w:after="240"/>
        <w:jc w:val="both"/>
        <w:rPr>
          <w:rFonts w:ascii="Arial" w:eastAsia="Arial" w:hAnsi="Arial" w:cs="Arial"/>
        </w:rPr>
      </w:pPr>
      <w:r w:rsidRPr="007A1B07">
        <w:rPr>
          <w:rFonts w:ascii="Arial" w:eastAsia="Arial" w:hAnsi="Arial" w:cs="Arial"/>
        </w:rPr>
        <w:t>The significance of this finding lies in the masking effect of the mean; the lower scores of the resilient or less-exposed students pulled the collective average downward, potentially obscuring the fact that nearly half of the population is in a state of psychological crisis. This aligns with the observations of Duffy et al. (2015), who noted that in healthcare populations, symptom severity often varies so widely that average values can dismantle or hide extreme cases of distress.</w:t>
      </w:r>
    </w:p>
    <w:p w14:paraId="47310E6E" w14:textId="77777777" w:rsidR="008E4797" w:rsidRPr="007A1B07" w:rsidRDefault="004F3FE9">
      <w:pPr>
        <w:spacing w:before="240" w:after="240"/>
        <w:jc w:val="both"/>
        <w:rPr>
          <w:rFonts w:ascii="Arial" w:eastAsia="Arial" w:hAnsi="Arial" w:cs="Arial"/>
        </w:rPr>
      </w:pPr>
      <w:r w:rsidRPr="007A1B07">
        <w:rPr>
          <w:rFonts w:ascii="Arial" w:eastAsia="Arial" w:hAnsi="Arial" w:cs="Arial"/>
        </w:rPr>
        <w:t>The data showed that a substantial majority (61.90%) of students fell within the range of clinical concern. This included the 40.40% in extreme distress, alongside those experiencing clinically significant (13.50%) and probable (8.00%) distress levels. This concentration of severe scores indicates that for a majority of level 3 and 4 students, clinical rotations have transitioned from routine academic challenges into potent traumatic experiences. These findings corroborate the research of Beck et al. (2017), which demonstrated that intense exposure in specialized clinical environments results in a high proportion of practitioners experiencing moderate to severe secondary traumatic stress (STS). The presence of such a large at-risk group in this study highlights that the clinical learning environment itself may be a high-risk setting for professional and personal impairment.</w:t>
      </w:r>
    </w:p>
    <w:p w14:paraId="40035DDD" w14:textId="0F216091" w:rsidR="008E4797" w:rsidRPr="007A1B07" w:rsidRDefault="004F3FE9">
      <w:pPr>
        <w:spacing w:before="240" w:after="240"/>
        <w:jc w:val="both"/>
        <w:rPr>
          <w:rFonts w:ascii="Arial" w:eastAsia="Arial" w:hAnsi="Arial" w:cs="Arial"/>
        </w:rPr>
      </w:pPr>
      <w:r w:rsidRPr="007A1B07">
        <w:rPr>
          <w:rFonts w:ascii="Arial" w:eastAsia="Arial" w:hAnsi="Arial" w:cs="Arial"/>
        </w:rPr>
        <w:lastRenderedPageBreak/>
        <w:t xml:space="preserve">The fact that nearly half the population (40.40%) is undergoing psychological stress severe enough to potentially impair both personal health and professional development is an urgent indicator for institutional intervention. The disparity in how students process these stressors where two-fifths remain at low impact while the rest trend toward extreme scores </w:t>
      </w:r>
      <w:r w:rsidR="007855CC" w:rsidRPr="007A1B07">
        <w:rPr>
          <w:rFonts w:ascii="Arial" w:eastAsia="Arial" w:hAnsi="Arial" w:cs="Arial"/>
        </w:rPr>
        <w:t>advocates</w:t>
      </w:r>
      <w:r w:rsidRPr="007A1B07">
        <w:rPr>
          <w:rFonts w:ascii="Arial" w:eastAsia="Arial" w:hAnsi="Arial" w:cs="Arial"/>
        </w:rPr>
        <w:t xml:space="preserve"> that individual resilience factors are being overwhelmed by the intensity of the clinical load. As noted in the literature, this level of impact confirms the need for trauma-informed mental health support to prevent the progression from student distress to permanent professional burnout.</w:t>
      </w:r>
    </w:p>
    <w:p w14:paraId="5C34C133" w14:textId="77777777" w:rsidR="008E4797" w:rsidRPr="007A1B07" w:rsidRDefault="004F3FE9">
      <w:pPr>
        <w:pBdr>
          <w:top w:val="nil"/>
          <w:left w:val="nil"/>
          <w:bottom w:val="nil"/>
          <w:right w:val="nil"/>
          <w:between w:val="nil"/>
        </w:pBdr>
        <w:jc w:val="both"/>
        <w:rPr>
          <w:rFonts w:ascii="Arial" w:eastAsia="Arial" w:hAnsi="Arial" w:cs="Arial"/>
          <w:b/>
          <w:bCs/>
        </w:rPr>
      </w:pPr>
      <w:r w:rsidRPr="007A1B07">
        <w:rPr>
          <w:rFonts w:ascii="Arial" w:eastAsia="Arial" w:hAnsi="Arial" w:cs="Arial"/>
          <w:b/>
          <w:bCs/>
        </w:rPr>
        <w:t>3.1.3 Level of Anxiety among Respondents</w:t>
      </w:r>
    </w:p>
    <w:p w14:paraId="6EE49A2A" w14:textId="77777777" w:rsidR="008E4797" w:rsidRPr="007A1B07" w:rsidRDefault="008E4797">
      <w:pPr>
        <w:pBdr>
          <w:top w:val="nil"/>
          <w:left w:val="nil"/>
          <w:bottom w:val="nil"/>
          <w:right w:val="nil"/>
          <w:between w:val="nil"/>
        </w:pBdr>
        <w:jc w:val="both"/>
        <w:rPr>
          <w:rFonts w:ascii="Arial" w:eastAsia="Arial" w:hAnsi="Arial" w:cs="Arial"/>
          <w:b/>
          <w:bCs/>
        </w:rPr>
      </w:pPr>
    </w:p>
    <w:p w14:paraId="52FB38E4" w14:textId="77777777" w:rsidR="008E4797" w:rsidRPr="007A1B07" w:rsidRDefault="004F3FE9">
      <w:pPr>
        <w:spacing w:after="240" w:line="276" w:lineRule="auto"/>
        <w:jc w:val="both"/>
        <w:rPr>
          <w:rFonts w:ascii="Arial" w:eastAsia="Arial" w:hAnsi="Arial" w:cs="Arial"/>
        </w:rPr>
      </w:pPr>
      <w:r w:rsidRPr="007A1B07">
        <w:rPr>
          <w:rFonts w:ascii="Arial" w:eastAsia="Arial" w:hAnsi="Arial" w:cs="Arial"/>
        </w:rPr>
        <w:t>The data in Table 3a adheres to the original sequential order (1 to 7) to ensure that these results remain directly comparable with clinical norms and existing meta-analyses. As noted by Spitzer et al. (2006), reporting GAD-7 statistics in their original order is essential for identifying the specific symptom burden of a sample without stripping away the diagnostic context.</w:t>
      </w:r>
    </w:p>
    <w:p w14:paraId="0AC25195" w14:textId="53B89D1D" w:rsidR="008E4797" w:rsidRPr="007A1B07" w:rsidRDefault="004F3FE9">
      <w:pPr>
        <w:spacing w:after="240" w:line="276" w:lineRule="auto"/>
        <w:jc w:val="both"/>
        <w:rPr>
          <w:rFonts w:ascii="Arial" w:eastAsia="Arial" w:hAnsi="Arial" w:cs="Arial"/>
        </w:rPr>
      </w:pPr>
      <w:r w:rsidRPr="007A1B07">
        <w:rPr>
          <w:rFonts w:ascii="Arial" w:eastAsia="Arial" w:hAnsi="Arial" w:cs="Arial"/>
        </w:rPr>
        <w:t xml:space="preserve">The overall mean suggests that the sampled population experiences a mild level of generalized anxiety (M=1.03). A key clinical observation is that this distress is characterized by internal cognitive struggle rather than external physical agitation. The highest symptom burden emerged from excessive worry over various matters (M=1.22) and the anticipation of negative events (M=1.13). This </w:t>
      </w:r>
      <w:r w:rsidR="007855CC">
        <w:rPr>
          <w:rFonts w:ascii="Arial" w:eastAsia="Arial" w:hAnsi="Arial" w:cs="Arial"/>
        </w:rPr>
        <w:t>indicates</w:t>
      </w:r>
      <w:r w:rsidRPr="007A1B07">
        <w:rPr>
          <w:rFonts w:ascii="Arial" w:eastAsia="Arial" w:hAnsi="Arial" w:cs="Arial"/>
        </w:rPr>
        <w:t xml:space="preserve"> that these student nurses are in a state of constant mental hyper-vigilance. The lower scores for physical restlessness (M=0.80) and the inability to relax (M=0.92) imply that the anxiety is currently concentrated in the mind. However, if this ruminative cycle, specifically the difficulty in controlling anxious thoughts (M=1.01), is not interrupted, there is a high risk of these symptoms evolving into more severe, systemic anxiety. This profile aligns with the work of </w:t>
      </w:r>
      <w:proofErr w:type="spellStart"/>
      <w:r w:rsidRPr="007A1B07">
        <w:rPr>
          <w:rFonts w:ascii="Arial" w:eastAsia="Arial" w:hAnsi="Arial" w:cs="Arial"/>
        </w:rPr>
        <w:t>Hoying</w:t>
      </w:r>
      <w:proofErr w:type="spellEnd"/>
      <w:r w:rsidRPr="007A1B07">
        <w:rPr>
          <w:rFonts w:ascii="Arial" w:eastAsia="Arial" w:hAnsi="Arial" w:cs="Arial"/>
        </w:rPr>
        <w:t xml:space="preserve"> et al. (2020), who found that health sciences students often suffer from elevated anxiety rooted in mental preoccupation and academic performance stress. The lack of physical agitation in this sample may mask the severity of the internal struggle, acting as an early warning sign for clinical burnout.</w:t>
      </w:r>
    </w:p>
    <w:p w14:paraId="5BC070EF" w14:textId="7337FE60" w:rsidR="008E4797" w:rsidRPr="007A1B07" w:rsidRDefault="004F3FE9">
      <w:pPr>
        <w:spacing w:after="240" w:line="276" w:lineRule="auto"/>
        <w:jc w:val="both"/>
        <w:rPr>
          <w:rFonts w:ascii="Arial" w:eastAsia="Arial" w:hAnsi="Arial" w:cs="Arial"/>
        </w:rPr>
      </w:pPr>
      <w:r w:rsidRPr="007A1B07">
        <w:rPr>
          <w:rFonts w:ascii="Arial" w:eastAsia="Arial" w:hAnsi="Arial" w:cs="Arial"/>
        </w:rPr>
        <w:t xml:space="preserve">The analysis of Table 3b shows a descending prevalence of stress severity, with the majority of the sample (68.0%) falling into the minimal (37.5%) or mild (30.5%) categories. While a smaller portion experienced moderate (20.4%) or severe (11.6%) stress, the concentration of lower scores </w:t>
      </w:r>
      <w:r w:rsidR="007855CC">
        <w:rPr>
          <w:rFonts w:ascii="Arial" w:eastAsia="Arial" w:hAnsi="Arial" w:cs="Arial"/>
        </w:rPr>
        <w:t>implicate</w:t>
      </w:r>
      <w:r w:rsidRPr="007A1B07">
        <w:rPr>
          <w:rFonts w:ascii="Arial" w:eastAsia="Arial" w:hAnsi="Arial" w:cs="Arial"/>
        </w:rPr>
        <w:t xml:space="preserve"> that most students possess adequate protective factors. The </w:t>
      </w:r>
      <w:r w:rsidR="007855CC">
        <w:rPr>
          <w:rFonts w:ascii="Arial" w:eastAsia="Arial" w:hAnsi="Arial" w:cs="Arial"/>
        </w:rPr>
        <w:t>significance</w:t>
      </w:r>
      <w:r w:rsidRPr="007A1B07">
        <w:rPr>
          <w:rFonts w:ascii="Arial" w:eastAsia="Arial" w:hAnsi="Arial" w:cs="Arial"/>
        </w:rPr>
        <w:t xml:space="preserve"> of this distribution is that it highlights a "resilience gap"; while 88.4% of the students are successfully managing clinical demands, the 11.6% in the severe range represent a highly vulnerable subgroup whose coping mechanisms have been overwhelmed. These findings correlate with </w:t>
      </w:r>
      <w:proofErr w:type="spellStart"/>
      <w:r w:rsidRPr="007A1B07">
        <w:rPr>
          <w:rFonts w:ascii="Arial" w:eastAsia="Arial" w:hAnsi="Arial" w:cs="Arial"/>
        </w:rPr>
        <w:t>Labrague</w:t>
      </w:r>
      <w:proofErr w:type="spellEnd"/>
      <w:r w:rsidRPr="007A1B07">
        <w:rPr>
          <w:rFonts w:ascii="Arial" w:eastAsia="Arial" w:hAnsi="Arial" w:cs="Arial"/>
        </w:rPr>
        <w:t xml:space="preserve"> et al. (2018), who observed that while nursing students globally face high-pressure environments, the majority utilize diverse resources to prevent stress from reaching a debilitating state.</w:t>
      </w:r>
    </w:p>
    <w:p w14:paraId="00B95652" w14:textId="7B0931BD" w:rsidR="008E4797" w:rsidRPr="007A1B07" w:rsidRDefault="004F3FE9">
      <w:pPr>
        <w:jc w:val="both"/>
        <w:rPr>
          <w:rFonts w:ascii="Arial" w:eastAsia="Arial" w:hAnsi="Arial" w:cs="Arial"/>
        </w:rPr>
      </w:pPr>
      <w:r w:rsidRPr="007A1B07">
        <w:rPr>
          <w:rFonts w:ascii="Arial" w:eastAsia="Arial" w:hAnsi="Arial" w:cs="Arial"/>
        </w:rPr>
        <w:t xml:space="preserve">A notable discrepancy exists between the mild anxiety reflected in the itemized means and the minimal anxiety seen in total score categorizations. This is attributed to a positive skew in the data. While the majority of students report low distress, the intense anxiety of the 32.0% in the moderate-to-severe range statistically pulls the group mean upward. As explained by Hurley and </w:t>
      </w:r>
      <w:proofErr w:type="spellStart"/>
      <w:r w:rsidRPr="007A1B07">
        <w:rPr>
          <w:rFonts w:ascii="Arial" w:eastAsia="Arial" w:hAnsi="Arial" w:cs="Arial"/>
        </w:rPr>
        <w:t>Tenny</w:t>
      </w:r>
      <w:proofErr w:type="spellEnd"/>
      <w:r w:rsidRPr="007A1B07">
        <w:rPr>
          <w:rFonts w:ascii="Arial" w:eastAsia="Arial" w:hAnsi="Arial" w:cs="Arial"/>
        </w:rPr>
        <w:t xml:space="preserve"> (2023), the arithmetic mean is highly sensitive to extreme scores, whereas categorical distributions often provide a more accurate representation of the typical student experience. This </w:t>
      </w:r>
      <w:r w:rsidR="007855CC">
        <w:rPr>
          <w:rFonts w:ascii="Arial" w:eastAsia="Arial" w:hAnsi="Arial" w:cs="Arial"/>
        </w:rPr>
        <w:t>entails</w:t>
      </w:r>
      <w:r w:rsidRPr="007A1B07">
        <w:rPr>
          <w:rFonts w:ascii="Arial" w:eastAsia="Arial" w:hAnsi="Arial" w:cs="Arial"/>
        </w:rPr>
        <w:t xml:space="preserve"> that while the average student appears to be coping, the mean is </w:t>
      </w:r>
      <w:r w:rsidRPr="007A1B07">
        <w:rPr>
          <w:rFonts w:ascii="Arial" w:eastAsia="Arial" w:hAnsi="Arial" w:cs="Arial"/>
        </w:rPr>
        <w:lastRenderedPageBreak/>
        <w:t>actually signaling a deep, localized crisis within a specific and vulnerable subgroup of the population.</w:t>
      </w:r>
    </w:p>
    <w:p w14:paraId="613144EE" w14:textId="77777777" w:rsidR="008E4797" w:rsidRPr="007A1B07" w:rsidRDefault="008E4797">
      <w:pPr>
        <w:jc w:val="both"/>
        <w:rPr>
          <w:rFonts w:ascii="Arial" w:eastAsia="Arial" w:hAnsi="Arial" w:cs="Arial"/>
        </w:rPr>
      </w:pPr>
    </w:p>
    <w:p w14:paraId="3A2E40B2" w14:textId="77777777" w:rsidR="008E4797" w:rsidRPr="007A1B07" w:rsidRDefault="008E4797">
      <w:pPr>
        <w:jc w:val="both"/>
        <w:rPr>
          <w:rFonts w:ascii="Arial" w:eastAsia="Arial" w:hAnsi="Arial" w:cs="Arial"/>
        </w:rPr>
      </w:pPr>
    </w:p>
    <w:p w14:paraId="1B74B0A0" w14:textId="77777777" w:rsidR="008E4797" w:rsidRPr="007A1B07" w:rsidRDefault="004F3FE9">
      <w:pPr>
        <w:pBdr>
          <w:top w:val="nil"/>
          <w:left w:val="nil"/>
          <w:bottom w:val="nil"/>
          <w:right w:val="nil"/>
          <w:between w:val="nil"/>
        </w:pBdr>
        <w:jc w:val="both"/>
        <w:rPr>
          <w:rFonts w:ascii="Arial" w:eastAsia="Arial" w:hAnsi="Arial" w:cs="Arial"/>
          <w:b/>
          <w:bCs/>
        </w:rPr>
      </w:pPr>
      <w:r w:rsidRPr="007A1B07">
        <w:rPr>
          <w:rFonts w:ascii="Arial" w:eastAsia="Arial" w:hAnsi="Arial" w:cs="Arial"/>
          <w:b/>
          <w:bCs/>
        </w:rPr>
        <w:t>3.1.4 Level of Debriefing Received among Respondents</w:t>
      </w:r>
    </w:p>
    <w:p w14:paraId="66A8BA4C" w14:textId="77777777" w:rsidR="008E4797" w:rsidRPr="007A1B07" w:rsidRDefault="008E4797">
      <w:pPr>
        <w:pBdr>
          <w:top w:val="nil"/>
          <w:left w:val="nil"/>
          <w:bottom w:val="nil"/>
          <w:right w:val="nil"/>
          <w:between w:val="nil"/>
        </w:pBdr>
        <w:jc w:val="both"/>
        <w:rPr>
          <w:rFonts w:ascii="Arial" w:eastAsia="Arial" w:hAnsi="Arial" w:cs="Arial"/>
          <w:b/>
          <w:bCs/>
        </w:rPr>
      </w:pPr>
    </w:p>
    <w:p w14:paraId="71FFDD15" w14:textId="2134E5C4" w:rsidR="008E4797" w:rsidRPr="007A1B07" w:rsidRDefault="004F3FE9">
      <w:pPr>
        <w:spacing w:after="240" w:line="276" w:lineRule="auto"/>
        <w:jc w:val="both"/>
        <w:rPr>
          <w:rFonts w:ascii="Arial" w:eastAsia="Arial" w:hAnsi="Arial" w:cs="Arial"/>
        </w:rPr>
      </w:pPr>
      <w:r w:rsidRPr="007A1B07">
        <w:rPr>
          <w:rFonts w:ascii="Arial" w:eastAsia="Arial" w:hAnsi="Arial" w:cs="Arial"/>
        </w:rPr>
        <w:t xml:space="preserve">As a whole, 3rd and 4th-year student nurses held a consistently positive perception of clinical debriefing (M=3.74). The data </w:t>
      </w:r>
      <w:r w:rsidR="007855CC">
        <w:rPr>
          <w:rFonts w:ascii="Arial" w:eastAsia="Arial" w:hAnsi="Arial" w:cs="Arial"/>
        </w:rPr>
        <w:t>implies</w:t>
      </w:r>
      <w:r w:rsidRPr="007A1B07">
        <w:rPr>
          <w:rFonts w:ascii="Arial" w:eastAsia="Arial" w:hAnsi="Arial" w:cs="Arial"/>
        </w:rPr>
        <w:t xml:space="preserve"> that students primarily value debriefing as a cognitive and instructional tool. The highest levels of agreement were tied to professional growth, specifically the improvement of clinical judgment and critical thinking skills (M=3.88). Furthermore, students strongly agreed that these sessions allowed them to learn from traumatic experiences (M=3.86) and enhanced their communication skills with patients (M=3.86).</w:t>
      </w:r>
    </w:p>
    <w:p w14:paraId="7FD168E9" w14:textId="77777777" w:rsidR="008E4797" w:rsidRPr="007A1B07" w:rsidRDefault="004F3FE9">
      <w:pPr>
        <w:spacing w:after="240" w:line="276" w:lineRule="auto"/>
        <w:jc w:val="both"/>
        <w:rPr>
          <w:rFonts w:ascii="Arial" w:eastAsia="Arial" w:hAnsi="Arial" w:cs="Arial"/>
        </w:rPr>
      </w:pPr>
      <w:r w:rsidRPr="007A1B07">
        <w:rPr>
          <w:rFonts w:ascii="Arial" w:eastAsia="Arial" w:hAnsi="Arial" w:cs="Arial"/>
        </w:rPr>
        <w:t>These high scores imply that students view debriefing not merely as a supportive measure, but as an essential component of their pedagogical development. By framing traumatic events as learning opportunities, debriefing serves to bridge the gap between clinical shock and professional competence. This aligns with research by Cambridge et al. (2023), which suggests that structured reflection is vital for reinforcing clinical reasoning in high-pressure environments.</w:t>
      </w:r>
    </w:p>
    <w:p w14:paraId="1FB29D45" w14:textId="77777777" w:rsidR="008E4797" w:rsidRPr="007A1B07" w:rsidRDefault="004F3FE9">
      <w:pPr>
        <w:spacing w:after="240" w:line="276" w:lineRule="auto"/>
        <w:jc w:val="both"/>
        <w:rPr>
          <w:rFonts w:ascii="Arial" w:eastAsia="Arial" w:hAnsi="Arial" w:cs="Arial"/>
        </w:rPr>
      </w:pPr>
      <w:r w:rsidRPr="007A1B07">
        <w:rPr>
          <w:rFonts w:ascii="Arial" w:eastAsia="Arial" w:hAnsi="Arial" w:cs="Arial"/>
        </w:rPr>
        <w:t>Regarding emotional regulation, the sessions were perceived as effective in helping students feel less overwhelmed (M=3.81) and lowering immediate anxiety or distress (M=3.78). Confidence in facing future clinical challenges (M=3.77) and the ability to manage future difficult situations (M=3.77) were also highly rated. Crucially, students felt strongly supported by their clinical instructors throughout the process (M=3.77).</w:t>
      </w:r>
    </w:p>
    <w:p w14:paraId="224825D4" w14:textId="0A90D7C4" w:rsidR="008E4797" w:rsidRPr="007A1B07" w:rsidRDefault="004F3FE9">
      <w:pPr>
        <w:spacing w:after="240" w:line="276" w:lineRule="auto"/>
        <w:jc w:val="both"/>
        <w:rPr>
          <w:rFonts w:ascii="Arial" w:eastAsia="Arial" w:hAnsi="Arial" w:cs="Arial"/>
          <w:sz w:val="26"/>
          <w:szCs w:val="26"/>
        </w:rPr>
      </w:pPr>
      <w:r w:rsidRPr="007A1B07">
        <w:rPr>
          <w:rFonts w:ascii="Arial" w:eastAsia="Arial" w:hAnsi="Arial" w:cs="Arial"/>
        </w:rPr>
        <w:t xml:space="preserve">The consistent agreement regarding instructor support </w:t>
      </w:r>
      <w:r w:rsidR="007855CC" w:rsidRPr="007A1B07">
        <w:rPr>
          <w:rFonts w:ascii="Arial" w:eastAsia="Arial" w:hAnsi="Arial" w:cs="Arial"/>
        </w:rPr>
        <w:t>advises</w:t>
      </w:r>
      <w:r w:rsidRPr="007A1B07">
        <w:rPr>
          <w:rFonts w:ascii="Arial" w:eastAsia="Arial" w:hAnsi="Arial" w:cs="Arial"/>
        </w:rPr>
        <w:t xml:space="preserve"> that the teacher-student relationship is the primary vehicle for psychological safety in these cohorts. While the sessions successfully provide a sense of calm (M=3.65) and structural clarity (M=3.75), the data </w:t>
      </w:r>
      <w:r w:rsidR="007855CC">
        <w:rPr>
          <w:rFonts w:ascii="Arial" w:eastAsia="Arial" w:hAnsi="Arial" w:cs="Arial"/>
        </w:rPr>
        <w:t>demonstrates</w:t>
      </w:r>
      <w:r w:rsidRPr="007A1B07">
        <w:rPr>
          <w:rFonts w:ascii="Arial" w:eastAsia="Arial" w:hAnsi="Arial" w:cs="Arial"/>
        </w:rPr>
        <w:t xml:space="preserve"> that the calming effect is a secondary byproduct of the educational support provided.</w:t>
      </w:r>
    </w:p>
    <w:p w14:paraId="44DFED9D" w14:textId="77777777" w:rsidR="008E4797" w:rsidRPr="007A1B07" w:rsidRDefault="004F3FE9">
      <w:pPr>
        <w:spacing w:after="240" w:line="276" w:lineRule="auto"/>
        <w:jc w:val="both"/>
        <w:rPr>
          <w:rFonts w:ascii="Arial" w:eastAsia="Arial" w:hAnsi="Arial" w:cs="Arial"/>
        </w:rPr>
      </w:pPr>
      <w:r w:rsidRPr="007A1B07">
        <w:rPr>
          <w:rFonts w:ascii="Arial" w:eastAsia="Arial" w:hAnsi="Arial" w:cs="Arial"/>
        </w:rPr>
        <w:t>The lowest scores in this study centered on the personal comfort levels of students during the interaction. While students agreed that sessions were long enough for processing (M=3.63) and that they felt generally comfortable sharing thoughts (M=3.59), the item with the lowest mean was the ability to express emotions freely (M=3.49).</w:t>
      </w:r>
    </w:p>
    <w:p w14:paraId="5DAB7155" w14:textId="77777777" w:rsidR="008E4797" w:rsidRPr="007A1B07" w:rsidRDefault="004F3FE9">
      <w:pPr>
        <w:spacing w:after="240" w:line="276" w:lineRule="auto"/>
        <w:jc w:val="both"/>
        <w:rPr>
          <w:rFonts w:ascii="Arial" w:eastAsia="Arial" w:hAnsi="Arial" w:cs="Arial"/>
          <w:u w:val="single"/>
        </w:rPr>
      </w:pPr>
      <w:r w:rsidRPr="007A1B07">
        <w:rPr>
          <w:rFonts w:ascii="Arial" w:eastAsia="Arial" w:hAnsi="Arial" w:cs="Arial"/>
        </w:rPr>
        <w:t>This discrepancy is highly significant; it suggests a vulnerability gap in the debriefing process. Students highly value the cognitive and educational outcomes of debriefing, yet they remain hesitant to engage in full emotional disclosure. As noted by González-Tejerina et al. (2025), this reflects the ongoing challenge of balancing professional stoicism with the need for emotional processing. The fact that emotional expression scores were lower than educational scores implies that while students trust the system to teach them, they may not yet fully trust the environment to hold their vulnerability without judgment.</w:t>
      </w:r>
    </w:p>
    <w:p w14:paraId="1527A6CB" w14:textId="77777777" w:rsidR="008E4797" w:rsidRPr="007A1B07" w:rsidRDefault="004F3FE9">
      <w:pPr>
        <w:jc w:val="both"/>
        <w:rPr>
          <w:rFonts w:ascii="Arial" w:eastAsia="Arial" w:hAnsi="Arial" w:cs="Arial"/>
          <w:b/>
          <w:bCs/>
        </w:rPr>
      </w:pPr>
      <w:r w:rsidRPr="007A1B07">
        <w:rPr>
          <w:rFonts w:ascii="Arial" w:hAnsi="Arial" w:cs="Arial"/>
          <w:b/>
          <w:bCs/>
        </w:rPr>
        <w:t>3.1.5</w:t>
      </w:r>
      <w:r w:rsidRPr="007A1B07">
        <w:rPr>
          <w:rFonts w:ascii="Arial" w:hAnsi="Arial" w:cs="Arial"/>
        </w:rPr>
        <w:t xml:space="preserve"> </w:t>
      </w:r>
      <w:r w:rsidRPr="007A1B07">
        <w:rPr>
          <w:rFonts w:ascii="Arial" w:eastAsia="Arial" w:hAnsi="Arial" w:cs="Arial"/>
          <w:b/>
          <w:bCs/>
        </w:rPr>
        <w:t xml:space="preserve">Relationship Between Impact of Traumatic Clinical Experience, Anxiety, Debriefing Received Among Student Nurses </w:t>
      </w:r>
    </w:p>
    <w:p w14:paraId="2D367637" w14:textId="77777777" w:rsidR="008E4797" w:rsidRPr="007A1B07" w:rsidRDefault="008E4797">
      <w:pPr>
        <w:jc w:val="both"/>
        <w:rPr>
          <w:rFonts w:ascii="Arial" w:eastAsia="Arial" w:hAnsi="Arial" w:cs="Arial"/>
          <w:b/>
          <w:bCs/>
        </w:rPr>
      </w:pPr>
    </w:p>
    <w:p w14:paraId="1D61E5DD" w14:textId="77777777" w:rsidR="008E4797" w:rsidRPr="007A1B07" w:rsidRDefault="004F3FE9">
      <w:pPr>
        <w:jc w:val="both"/>
        <w:rPr>
          <w:rFonts w:ascii="Arial" w:eastAsia="Arial" w:hAnsi="Arial" w:cs="Arial"/>
        </w:rPr>
      </w:pPr>
      <w:r w:rsidRPr="007A1B07">
        <w:rPr>
          <w:rFonts w:ascii="Arial" w:eastAsia="Arial" w:hAnsi="Arial" w:cs="Arial"/>
        </w:rPr>
        <w:t>To assess the assumption of normality, a Kolmogorov–Smirnov (K–S) test was performed since the sample size is greater than 50 (N=275). The K–S test is a nonparametric test commonly used to determine whether a dataset significantly deviates from a specified theoretical distribution, such as the non-normal distribution (Gupta et al., 2019). Since the sample (N=275) yielded a p &lt; .05, the null hypothesis of normality was rejected, confirming the data was skewed and necessitating the use of Spearman’s rho r</w:t>
      </w:r>
      <w:r w:rsidRPr="007A1B07">
        <w:rPr>
          <w:rFonts w:ascii="Cambria Math" w:eastAsia="Arial" w:hAnsi="Cambria Math" w:cs="Cambria Math"/>
        </w:rPr>
        <w:t>ₛ</w:t>
      </w:r>
      <w:r w:rsidRPr="007A1B07">
        <w:rPr>
          <w:rFonts w:ascii="Arial" w:eastAsia="Arial" w:hAnsi="Arial" w:cs="Arial"/>
        </w:rPr>
        <w:t>, a non-parametric measure rather than the parametric choice, Pearson’s  r (Mishra et al., 2019).</w:t>
      </w:r>
    </w:p>
    <w:p w14:paraId="4FBC0682" w14:textId="77777777" w:rsidR="008E4797" w:rsidRPr="007A1B07" w:rsidRDefault="008E4797">
      <w:pPr>
        <w:jc w:val="both"/>
        <w:rPr>
          <w:rFonts w:ascii="Arial" w:eastAsia="Arial" w:hAnsi="Arial" w:cs="Arial"/>
        </w:rPr>
      </w:pPr>
    </w:p>
    <w:p w14:paraId="7B527E0B" w14:textId="77777777" w:rsidR="008E4797" w:rsidRPr="007A1B07" w:rsidRDefault="004F3FE9">
      <w:pPr>
        <w:jc w:val="both"/>
        <w:rPr>
          <w:rFonts w:ascii="Arial" w:eastAsia="Arial" w:hAnsi="Arial" w:cs="Arial"/>
        </w:rPr>
      </w:pPr>
      <w:r w:rsidRPr="007A1B07">
        <w:rPr>
          <w:rFonts w:ascii="Arial" w:eastAsia="Arial" w:hAnsi="Arial" w:cs="Arial"/>
        </w:rPr>
        <w:t>The choice of Spearman’s was critical because it assesses the monotonic relationship based on rank, making it more resilient to the non-linear distributions typical in student nurses’ stress levels. The r</w:t>
      </w:r>
      <w:r w:rsidRPr="007A1B07">
        <w:rPr>
          <w:rFonts w:ascii="Cambria Math" w:eastAsia="Arial" w:hAnsi="Cambria Math" w:cs="Cambria Math"/>
        </w:rPr>
        <w:t>ₛ</w:t>
      </w:r>
      <w:r w:rsidRPr="007A1B07">
        <w:rPr>
          <w:rFonts w:ascii="Arial" w:eastAsia="Arial" w:hAnsi="Arial" w:cs="Arial"/>
        </w:rPr>
        <w:t xml:space="preserve"> value is a numerical index that represents the strength and direction of a relationship between two variables. To interpret the strength of these relationships, we utilized the provided Rule of Thumb for Interpreting the Size of a Correlation Coefficient, which classifies relationships into five distinct categories: .90 to 1.00 as "very high," .70 to .90 as "high," .50 to .70 as "moderate," .30 to .50 as "low," and .00 to .30 as "negligible." Our finding of r</w:t>
      </w:r>
      <w:r w:rsidRPr="007A1B07">
        <w:rPr>
          <w:rFonts w:ascii="Cambria Math" w:eastAsia="Arial" w:hAnsi="Cambria Math" w:cs="Cambria Math"/>
        </w:rPr>
        <w:t>ₛ</w:t>
      </w:r>
      <w:r w:rsidRPr="007A1B07">
        <w:rPr>
          <w:rFonts w:ascii="Arial" w:eastAsia="Arial" w:hAnsi="Arial" w:cs="Arial"/>
        </w:rPr>
        <w:t>= .587 for traumatic experience and anxiety falls firmly into the moderate positive correlation category, meaning that as clinical trauma intensity increases, anxiety levels follow a predictable upward trend. This result is bolstered by a p-value of &lt;.001. The p-value (probability value) was popularized by Fisher (1950) as a measure of the evidence against the null hypothesis. It represents the probability of obtaining a result as extreme if no real relationship existed in the population. In this study</w:t>
      </w:r>
      <w:proofErr w:type="gramStart"/>
      <w:r w:rsidRPr="007A1B07">
        <w:rPr>
          <w:rFonts w:ascii="Arial" w:eastAsia="Arial" w:hAnsi="Arial" w:cs="Arial"/>
        </w:rPr>
        <w:t>,  a</w:t>
      </w:r>
      <w:proofErr w:type="gramEnd"/>
      <w:r w:rsidRPr="007A1B07">
        <w:rPr>
          <w:rFonts w:ascii="Arial" w:eastAsia="Arial" w:hAnsi="Arial" w:cs="Arial"/>
        </w:rPr>
        <w:t xml:space="preserve"> p-value of .001. classifies as highly significant, indicating a near-zero probability that this correlation occurred by chance Fisher (1950). This means that students who report more intense or impactful traumatic clinical experiences also tend to report higher levels of anxiety; this finding aligns with a correlational study by  </w:t>
      </w:r>
      <w:proofErr w:type="spellStart"/>
      <w:r w:rsidRPr="007A1B07">
        <w:rPr>
          <w:rFonts w:ascii="Arial" w:eastAsia="Arial" w:hAnsi="Arial" w:cs="Arial"/>
        </w:rPr>
        <w:t>Onieva-Zafra</w:t>
      </w:r>
      <w:proofErr w:type="spellEnd"/>
      <w:r w:rsidRPr="007A1B07">
        <w:rPr>
          <w:rFonts w:ascii="Arial" w:eastAsia="Arial" w:hAnsi="Arial" w:cs="Arial"/>
        </w:rPr>
        <w:t xml:space="preserve"> et al. (2020), showing that clinical training stressors are closely associated with increased anxiety in student nurses.</w:t>
      </w:r>
    </w:p>
    <w:p w14:paraId="26BA5D84" w14:textId="77777777" w:rsidR="008E4797" w:rsidRPr="007A1B07" w:rsidRDefault="008E4797">
      <w:pPr>
        <w:jc w:val="both"/>
        <w:rPr>
          <w:rFonts w:ascii="Arial" w:eastAsia="Arial" w:hAnsi="Arial" w:cs="Arial"/>
        </w:rPr>
      </w:pPr>
    </w:p>
    <w:p w14:paraId="56A24B9F" w14:textId="77777777" w:rsidR="008E4797" w:rsidRPr="007A1B07" w:rsidRDefault="004F3FE9">
      <w:pPr>
        <w:jc w:val="both"/>
        <w:rPr>
          <w:rFonts w:ascii="Arial" w:eastAsia="Arial" w:hAnsi="Arial" w:cs="Arial"/>
        </w:rPr>
      </w:pPr>
      <w:r w:rsidRPr="007A1B07">
        <w:rPr>
          <w:rFonts w:ascii="Arial" w:eastAsia="Arial" w:hAnsi="Arial" w:cs="Arial"/>
        </w:rPr>
        <w:t>Conversely, the relationship between anxiety and debriefing (r</w:t>
      </w:r>
      <w:r w:rsidRPr="007A1B07">
        <w:rPr>
          <w:rFonts w:ascii="Cambria Math" w:eastAsia="Arial" w:hAnsi="Cambria Math" w:cs="Cambria Math"/>
        </w:rPr>
        <w:t>ₛ</w:t>
      </w:r>
      <w:r w:rsidRPr="007A1B07">
        <w:rPr>
          <w:rFonts w:ascii="Arial" w:eastAsia="Arial" w:hAnsi="Arial" w:cs="Arial"/>
        </w:rPr>
        <w:t xml:space="preserve">= -.049) is categorized as a negligible correlation, as the value falls within the .00 to .30 range. </w:t>
      </w:r>
    </w:p>
    <w:p w14:paraId="2B3BF538" w14:textId="77777777" w:rsidR="008E4797" w:rsidRPr="007A1B07" w:rsidRDefault="004F3FE9">
      <w:pPr>
        <w:jc w:val="both"/>
        <w:rPr>
          <w:rFonts w:ascii="Arial" w:eastAsia="Arial" w:hAnsi="Arial" w:cs="Arial"/>
        </w:rPr>
      </w:pPr>
      <w:r w:rsidRPr="007A1B07">
        <w:rPr>
          <w:rFonts w:ascii="Arial" w:eastAsia="Arial" w:hAnsi="Arial" w:cs="Arial"/>
        </w:rPr>
        <w:t xml:space="preserve">This result is statistically non-significant (p = .415), as the p-value far exceeded the .05 threshold, suggesting that any slight downward tilt was merely statistical noise. </w:t>
      </w:r>
    </w:p>
    <w:p w14:paraId="363B32BF" w14:textId="77777777" w:rsidR="008E4797" w:rsidRPr="007A1B07" w:rsidRDefault="004F3FE9">
      <w:pPr>
        <w:jc w:val="both"/>
        <w:rPr>
          <w:rFonts w:ascii="Arial" w:eastAsia="Arial" w:hAnsi="Arial" w:cs="Arial"/>
        </w:rPr>
      </w:pPr>
      <w:r w:rsidRPr="007A1B07">
        <w:rPr>
          <w:rFonts w:ascii="Arial" w:eastAsia="Arial" w:hAnsi="Arial" w:cs="Arial"/>
        </w:rPr>
        <w:t>A systematic review of nursing simulation debriefing literature by Lee, J. et al. (2020) found firm evidence supporting debriefing for improving learning outcomes, clinical reasoning, and reflective practice. Additionally, Franco-</w:t>
      </w:r>
      <w:proofErr w:type="spellStart"/>
      <w:r w:rsidRPr="007A1B07">
        <w:rPr>
          <w:rFonts w:ascii="Arial" w:eastAsia="Arial" w:hAnsi="Arial" w:cs="Arial"/>
        </w:rPr>
        <w:t>Tantuico</w:t>
      </w:r>
      <w:proofErr w:type="spellEnd"/>
      <w:r w:rsidRPr="007A1B07">
        <w:rPr>
          <w:rFonts w:ascii="Arial" w:eastAsia="Arial" w:hAnsi="Arial" w:cs="Arial"/>
        </w:rPr>
        <w:t xml:space="preserve">, R. and </w:t>
      </w:r>
      <w:proofErr w:type="spellStart"/>
      <w:r w:rsidRPr="007A1B07">
        <w:rPr>
          <w:rFonts w:ascii="Arial" w:eastAsia="Arial" w:hAnsi="Arial" w:cs="Arial"/>
        </w:rPr>
        <w:t>Btoush</w:t>
      </w:r>
      <w:proofErr w:type="spellEnd"/>
      <w:r w:rsidRPr="007A1B07">
        <w:rPr>
          <w:rFonts w:ascii="Arial" w:eastAsia="Arial" w:hAnsi="Arial" w:cs="Arial"/>
        </w:rPr>
        <w:t>, R. (2025), argued that debriefer skill is the strongest predictor of overall simulation quality, and a lack of debriefer skills can compromise student engagement that can result in learner anxiety. Debriefing sessions are also most effective when conducted immediately after the event (Miller, K. &amp; Miller, J., 2020). These findings suggest that debriefing, particularly when informal or unstructured, conducted by a debriefer lacking sufficient skills, or performed untimely, may not reliably reduce anxiety in the absence of a structured, theory-based protocol.</w:t>
      </w:r>
    </w:p>
    <w:p w14:paraId="18169538" w14:textId="77777777" w:rsidR="008E4797" w:rsidRPr="007A1B07" w:rsidRDefault="008E4797">
      <w:pPr>
        <w:jc w:val="both"/>
        <w:rPr>
          <w:rFonts w:ascii="Arial" w:eastAsia="Arial" w:hAnsi="Arial" w:cs="Arial"/>
        </w:rPr>
      </w:pPr>
    </w:p>
    <w:p w14:paraId="356731ED" w14:textId="77777777" w:rsidR="008E4797" w:rsidRPr="007A1B07" w:rsidRDefault="004F3FE9">
      <w:pPr>
        <w:rPr>
          <w:rFonts w:ascii="Arial" w:eastAsia="Arial" w:hAnsi="Arial" w:cs="Arial"/>
          <w:b/>
          <w:bCs/>
          <w:sz w:val="22"/>
          <w:szCs w:val="22"/>
        </w:rPr>
      </w:pPr>
      <w:r w:rsidRPr="007A1B07">
        <w:rPr>
          <w:rFonts w:ascii="Arial" w:eastAsia="Arial" w:hAnsi="Arial" w:cs="Arial"/>
          <w:b/>
          <w:bCs/>
          <w:sz w:val="22"/>
          <w:szCs w:val="22"/>
        </w:rPr>
        <w:t>3.2 Qualitative Results Interpretation</w:t>
      </w:r>
    </w:p>
    <w:p w14:paraId="52F32DDC" w14:textId="77777777" w:rsidR="008E4797" w:rsidRPr="007A1B07" w:rsidRDefault="008E4797">
      <w:pPr>
        <w:rPr>
          <w:rFonts w:ascii="Arial" w:eastAsia="Arial" w:hAnsi="Arial" w:cs="Arial"/>
          <w:b/>
          <w:bCs/>
        </w:rPr>
      </w:pPr>
    </w:p>
    <w:p w14:paraId="563325D1" w14:textId="77777777" w:rsidR="008E4797" w:rsidRPr="007A1B07" w:rsidRDefault="004F3FE9">
      <w:pPr>
        <w:rPr>
          <w:rFonts w:ascii="Arial" w:eastAsia="Arial" w:hAnsi="Arial" w:cs="Arial"/>
          <w:b/>
          <w:bCs/>
        </w:rPr>
      </w:pPr>
      <w:r w:rsidRPr="007A1B07">
        <w:rPr>
          <w:rFonts w:ascii="Arial" w:eastAsia="Arial" w:hAnsi="Arial" w:cs="Arial"/>
          <w:b/>
          <w:bCs/>
        </w:rPr>
        <w:t>3.2.1 Profile of Respondents</w:t>
      </w:r>
    </w:p>
    <w:p w14:paraId="033E950D" w14:textId="77777777" w:rsidR="008E4797" w:rsidRPr="007A1B07" w:rsidRDefault="008E4797">
      <w:pPr>
        <w:rPr>
          <w:rFonts w:ascii="Arial" w:eastAsia="Arial" w:hAnsi="Arial" w:cs="Arial"/>
          <w:b/>
          <w:bCs/>
        </w:rPr>
      </w:pPr>
    </w:p>
    <w:p w14:paraId="12E8CA33" w14:textId="77777777" w:rsidR="008E4797" w:rsidRPr="007A1B07" w:rsidRDefault="004F3FE9">
      <w:pPr>
        <w:jc w:val="both"/>
        <w:rPr>
          <w:rFonts w:ascii="Arial" w:eastAsia="Arial" w:hAnsi="Arial" w:cs="Arial"/>
        </w:rPr>
      </w:pPr>
      <w:r w:rsidRPr="007A1B07">
        <w:rPr>
          <w:rFonts w:ascii="Arial" w:eastAsia="Arial" w:hAnsi="Arial" w:cs="Arial"/>
        </w:rPr>
        <w:t xml:space="preserve">The qualitative phase of the study involved seven (n=7) participants to give a deeper understanding of the traumatic clinical experiences in the quantitative phase. </w:t>
      </w:r>
    </w:p>
    <w:p w14:paraId="07A1BC08" w14:textId="77777777" w:rsidR="008E4797" w:rsidRPr="007A1B07" w:rsidRDefault="004F3FE9">
      <w:pPr>
        <w:jc w:val="both"/>
        <w:rPr>
          <w:rFonts w:ascii="Arial" w:eastAsia="Arial" w:hAnsi="Arial" w:cs="Arial"/>
        </w:rPr>
      </w:pPr>
      <w:r w:rsidRPr="007A1B07">
        <w:rPr>
          <w:rFonts w:ascii="Arial" w:eastAsia="Arial" w:hAnsi="Arial" w:cs="Arial"/>
        </w:rPr>
        <w:t>The participants consisted of third year and fourth year student nurses who have undergone clinical rotations. As shown in Table 7, the age of the participants was relatively homogenous, with the majority (71.4%) being 21 years old and the remainder (28.6%) being 22 years old.</w:t>
      </w:r>
    </w:p>
    <w:p w14:paraId="62B73D8B" w14:textId="77777777" w:rsidR="008E4797" w:rsidRPr="007A1B07" w:rsidRDefault="008E4797">
      <w:pPr>
        <w:jc w:val="both"/>
        <w:rPr>
          <w:rFonts w:ascii="Arial" w:eastAsia="Arial" w:hAnsi="Arial" w:cs="Arial"/>
        </w:rPr>
      </w:pPr>
    </w:p>
    <w:p w14:paraId="2AC0F801" w14:textId="77777777" w:rsidR="008E4797" w:rsidRPr="007A1B07" w:rsidRDefault="004F3FE9">
      <w:pPr>
        <w:jc w:val="both"/>
        <w:rPr>
          <w:rFonts w:ascii="Arial" w:eastAsia="Arial" w:hAnsi="Arial" w:cs="Arial"/>
        </w:rPr>
      </w:pPr>
      <w:r w:rsidRPr="007A1B07">
        <w:rPr>
          <w:rFonts w:ascii="Arial" w:eastAsia="Arial" w:hAnsi="Arial" w:cs="Arial"/>
        </w:rPr>
        <w:lastRenderedPageBreak/>
        <w:t xml:space="preserve">Four participants (P1, P3, P5, and P7) were in their third year of the nursing program, while three participants (P2, P4, and P6) were in their fourth year. </w:t>
      </w:r>
    </w:p>
    <w:p w14:paraId="47F71787" w14:textId="77777777" w:rsidR="008E4797" w:rsidRPr="007A1B07" w:rsidRDefault="004F3FE9">
      <w:pPr>
        <w:jc w:val="both"/>
        <w:rPr>
          <w:rFonts w:ascii="Arial" w:eastAsia="Arial" w:hAnsi="Arial" w:cs="Arial"/>
        </w:rPr>
      </w:pPr>
      <w:r w:rsidRPr="007A1B07">
        <w:rPr>
          <w:rFonts w:ascii="Arial" w:eastAsia="Arial" w:hAnsi="Arial" w:cs="Arial"/>
        </w:rPr>
        <w:t>This distribution ensured that the qualitative results captured experiences from both the initial and late stages of clinical placement, reflecting a wide variety of exposure to hospital environments and patient care stressors.</w:t>
      </w:r>
    </w:p>
    <w:p w14:paraId="6D4E75B9" w14:textId="77777777" w:rsidR="008E4797" w:rsidRPr="007A1B07" w:rsidRDefault="008E4797">
      <w:pPr>
        <w:jc w:val="both"/>
        <w:rPr>
          <w:rFonts w:ascii="Arial" w:eastAsia="Arial" w:hAnsi="Arial" w:cs="Arial"/>
        </w:rPr>
      </w:pPr>
    </w:p>
    <w:p w14:paraId="760738AF" w14:textId="77777777" w:rsidR="008E4797" w:rsidRPr="007A1B07" w:rsidRDefault="004F3FE9">
      <w:pPr>
        <w:jc w:val="both"/>
        <w:rPr>
          <w:rFonts w:ascii="Arial" w:eastAsia="Arial" w:hAnsi="Arial" w:cs="Arial"/>
        </w:rPr>
      </w:pPr>
      <w:r w:rsidRPr="007A1B07">
        <w:rPr>
          <w:rFonts w:ascii="Arial" w:eastAsia="Arial" w:hAnsi="Arial" w:cs="Arial"/>
          <w:b/>
          <w:bCs/>
        </w:rPr>
        <w:t>3.2.2 Experiences and Major Themes</w:t>
      </w:r>
    </w:p>
    <w:p w14:paraId="0E1682CB" w14:textId="77777777" w:rsidR="008E4797" w:rsidRPr="007A1B07" w:rsidRDefault="004F3FE9">
      <w:pPr>
        <w:spacing w:before="240" w:after="240"/>
        <w:jc w:val="both"/>
        <w:rPr>
          <w:rFonts w:ascii="Arial" w:eastAsia="Arial" w:hAnsi="Arial" w:cs="Arial"/>
          <w:sz w:val="26"/>
          <w:szCs w:val="26"/>
        </w:rPr>
      </w:pPr>
      <w:r w:rsidRPr="007A1B07">
        <w:rPr>
          <w:rFonts w:ascii="Arial" w:eastAsia="Arial" w:hAnsi="Arial" w:cs="Arial"/>
          <w:b/>
          <w:bCs/>
          <w:i/>
          <w:iCs/>
        </w:rPr>
        <w:t xml:space="preserve">State of Shock. </w:t>
      </w:r>
      <w:r w:rsidRPr="007A1B07">
        <w:rPr>
          <w:rFonts w:ascii="Arial" w:eastAsia="Arial" w:hAnsi="Arial" w:cs="Arial"/>
        </w:rPr>
        <w:t>The state of shock among student nurses reflects an immediate and intense physiological and psychological response to traumatic clinical exposure, characterized by confusion, sensory overload, and impaired functioning. Participants consistently described symptoms such as shaking, disorientation, and inability to focus, as illustrated by P1’s experience of feeling “wrecked” and P3’s report of being unable to concentrate due to overwhelming noise and environmental stimuli. This aligns with the discussion that traumatic events trigger both physical distress and cognitive disruption, leading to a “floating” state where awareness and task performance are compromised. The persistence of these symptoms, including intrusive recollections and difficulty sleeping, reflects prolonged stress responses that interfere with academic and clinical functioning, as shown in P7’s account of repeatedly reliving traumatic images and P5’s experience of “relapse” of memories affecting concentration. These findings are consistent with Neuman’s Systems Model, where trauma acts as a stressor that destabilizes the system, and support Copeland and Hood (2021), who found that student nurses exposed to critical clinical events often experience shock, helplessness, and reduced sense of competence.</w:t>
      </w:r>
    </w:p>
    <w:p w14:paraId="10A46AE8" w14:textId="77777777" w:rsidR="008E4797" w:rsidRPr="007A1B07" w:rsidRDefault="004F3FE9">
      <w:pPr>
        <w:spacing w:before="240" w:after="240"/>
        <w:jc w:val="both"/>
        <w:rPr>
          <w:rFonts w:ascii="Arial" w:eastAsia="Arial" w:hAnsi="Arial" w:cs="Arial"/>
          <w:sz w:val="26"/>
          <w:szCs w:val="26"/>
        </w:rPr>
      </w:pPr>
      <w:r w:rsidRPr="007A1B07">
        <w:rPr>
          <w:rFonts w:ascii="Arial" w:eastAsia="Arial" w:hAnsi="Arial" w:cs="Arial"/>
          <w:b/>
          <w:bCs/>
          <w:i/>
          <w:iCs/>
        </w:rPr>
        <w:t>Wearing the "Professional Mask”</w:t>
      </w:r>
      <w:r w:rsidRPr="007A1B07">
        <w:rPr>
          <w:rFonts w:ascii="Arial" w:eastAsia="Arial" w:hAnsi="Arial" w:cs="Arial"/>
          <w:b/>
          <w:bCs/>
        </w:rPr>
        <w:t xml:space="preserve">. </w:t>
      </w:r>
      <w:r w:rsidRPr="007A1B07">
        <w:rPr>
          <w:rFonts w:ascii="Arial" w:eastAsia="Arial" w:hAnsi="Arial" w:cs="Arial"/>
        </w:rPr>
        <w:t>Participants demonstrated the need to adopt a “professional mask,” suppressing emotions to conform to the perceived expectations of nursing professionalism, even in the face of trauma. This performative emotional control was evident in statements such as P3 emphasizing the need to “be strong enough” because “nursing is not for the weak,” and P2’s assertion that emotions must be set aside to maintain professional behavior. Similarly, P5 described intentionally hiding distress due to fear of reprimand, and P6 reinforced the belief that emotional expression is equated with weakness in clinical settings. This behavior reflects Hochschild’s (1983) concept of emotional labor, where individuals regulate emotions to meet professional expectations, and Goffman’s (1959) dramaturgical perspective, where individuals manage impressions to appear competent. The participants’ narratives further reveal that this masking extends to delayed emotional processing, where distress is only expressed after duty hours, as articulated by P2’s practice of delayed emotional processing. While this strategy allows task completion, it also creates emotional dissonance and internal strain, supporting findings that prolonged emotional suppression contributes to burnout and detachment in healthcare settings.</w:t>
      </w:r>
    </w:p>
    <w:p w14:paraId="0EA612DC" w14:textId="77777777" w:rsidR="008E4797" w:rsidRPr="007A1B07" w:rsidRDefault="004F3FE9">
      <w:pPr>
        <w:spacing w:before="240" w:after="240"/>
        <w:jc w:val="both"/>
        <w:rPr>
          <w:rFonts w:ascii="Arial" w:eastAsia="Arial" w:hAnsi="Arial" w:cs="Arial"/>
        </w:rPr>
      </w:pPr>
      <w:r w:rsidRPr="007A1B07">
        <w:rPr>
          <w:rFonts w:ascii="Arial" w:eastAsia="Arial" w:hAnsi="Arial" w:cs="Arial"/>
          <w:b/>
          <w:bCs/>
          <w:i/>
          <w:iCs/>
        </w:rPr>
        <w:t xml:space="preserve">Evaluation Anxiety. </w:t>
      </w:r>
      <w:r w:rsidRPr="007A1B07">
        <w:rPr>
          <w:rFonts w:ascii="Arial" w:eastAsia="Arial" w:hAnsi="Arial" w:cs="Arial"/>
        </w:rPr>
        <w:t xml:space="preserve">Evaluation anxiety emerged as a significant barrier to emotional expression and open communication, as participants feared that their reactions to traumatic experiences would negatively affect their academic performance and professional evaluation. Participants such as P1 expressed fear of being perceived as a “failure,” while P5 and P4 highlighted hesitation in sharing emotions due to concerns that vulnerability would be interpreted as incompetence. This aligns with the participants’ experience of filtered communication, where only task-related concerns were shared, while emotional struggles were concealed, as noted by P2 and P6. The presence of clinical instructors as evaluators intensified this anxiety, leading to restricted dialogue and emotional withholding, especially when instructors were perceived as strict or unapproachable. This supports </w:t>
      </w:r>
      <w:proofErr w:type="spellStart"/>
      <w:r w:rsidRPr="007A1B07">
        <w:rPr>
          <w:rFonts w:ascii="Arial" w:eastAsia="Arial" w:hAnsi="Arial" w:cs="Arial"/>
        </w:rPr>
        <w:t>Albulescu</w:t>
      </w:r>
      <w:proofErr w:type="spellEnd"/>
      <w:r w:rsidRPr="007A1B07">
        <w:rPr>
          <w:rFonts w:ascii="Arial" w:eastAsia="Arial" w:hAnsi="Arial" w:cs="Arial"/>
        </w:rPr>
        <w:t xml:space="preserve"> et al. (2023), who conceptualized assessment-related stress as involving both cognitive worry and emotional arousal, and reinforces the idea that evaluative environments can hinder authentic learning experiences. The fear of judgment ultimately transforms clinical exposure into a </w:t>
      </w:r>
      <w:r w:rsidRPr="007A1B07">
        <w:rPr>
          <w:rFonts w:ascii="Arial" w:eastAsia="Arial" w:hAnsi="Arial" w:cs="Arial"/>
        </w:rPr>
        <w:lastRenderedPageBreak/>
        <w:t>performance-driven environment, where students prioritize compliance over reflection, limiting their ability to process and integrate traumatic experiences.</w:t>
      </w:r>
    </w:p>
    <w:p w14:paraId="142E4DD4" w14:textId="77777777" w:rsidR="008E4797" w:rsidRPr="007A1B07" w:rsidRDefault="004F3FE9">
      <w:pPr>
        <w:spacing w:before="240" w:after="240"/>
        <w:jc w:val="both"/>
        <w:rPr>
          <w:rFonts w:ascii="Arial" w:eastAsia="Arial" w:hAnsi="Arial" w:cs="Arial"/>
          <w:sz w:val="26"/>
          <w:szCs w:val="26"/>
        </w:rPr>
      </w:pPr>
      <w:r w:rsidRPr="007A1B07">
        <w:rPr>
          <w:rFonts w:ascii="Arial" w:eastAsia="Arial" w:hAnsi="Arial" w:cs="Arial"/>
          <w:b/>
          <w:bCs/>
          <w:i/>
          <w:iCs/>
        </w:rPr>
        <w:t>Trying to Adapt</w:t>
      </w:r>
      <w:r w:rsidRPr="007A1B07">
        <w:rPr>
          <w:rFonts w:ascii="Arial" w:eastAsia="Arial" w:hAnsi="Arial" w:cs="Arial"/>
          <w:b/>
          <w:bCs/>
        </w:rPr>
        <w:t xml:space="preserve">. </w:t>
      </w:r>
      <w:r w:rsidRPr="007A1B07">
        <w:rPr>
          <w:rFonts w:ascii="Arial" w:eastAsia="Arial" w:hAnsi="Arial" w:cs="Arial"/>
        </w:rPr>
        <w:t xml:space="preserve">In the absence of formal debriefing, participants demonstrated adaptive resilience through self-directed coping strategies that enabled them to process trauma and continue functioning. These strategies included self-reassurance, cognitive reframing, peer support, and spiritual reliance. For instance, P3 described reassuring themselves to “be strong enough,” while P2 reframed feedback as constructive rather than punitive, and P1 emphasized viewing themselves as a “work in progress.” Additionally, peer support emerged as a crucial coping mechanism, with P1 and P4 highlighting the importance of sharing experiences with classmates who could understand their situation, reinforcing the role of camaraderie in emotional recovery. Spiritual coping was also evident, as P1 relied on prayer and surrender to God for emotional relief and stability. These findings highlight that in the absence of institutional support, students rely on internal and social resources to manage distress, consistent with literature emphasizing coping strategies as essential mechanisms for adapting to clinical stress. In the absence of sufficient institutional support, students frequently rely on internal resources such as resilience, self-regulation, and mindfulness and social resources including peer support, family, and social networks to manage distress. This reliance is consistent with literature emphasizing that coping strategies are essential mechanisms for adapting to clinical stress (Qi et al., 2025; </w:t>
      </w:r>
      <w:proofErr w:type="spellStart"/>
      <w:r w:rsidRPr="007A1B07">
        <w:rPr>
          <w:rFonts w:ascii="Arial" w:eastAsia="Arial" w:hAnsi="Arial" w:cs="Arial"/>
        </w:rPr>
        <w:t>Handayani</w:t>
      </w:r>
      <w:proofErr w:type="spellEnd"/>
      <w:r w:rsidRPr="007A1B07">
        <w:rPr>
          <w:rFonts w:ascii="Arial" w:eastAsia="Arial" w:hAnsi="Arial" w:cs="Arial"/>
        </w:rPr>
        <w:t xml:space="preserve"> et al., 2024).The reliance on peer and spiritual support underscores the multifaceted nature of resilience, combining cognitive, emotional, and social processes to maintain psychological equilibrium.</w:t>
      </w:r>
    </w:p>
    <w:p w14:paraId="4F6C7191" w14:textId="77777777" w:rsidR="008E4797" w:rsidRPr="007A1B07" w:rsidRDefault="004F3FE9">
      <w:pPr>
        <w:spacing w:before="240" w:after="240"/>
        <w:jc w:val="both"/>
        <w:rPr>
          <w:rFonts w:ascii="Arial" w:eastAsia="Arial" w:hAnsi="Arial" w:cs="Arial"/>
        </w:rPr>
      </w:pPr>
      <w:r w:rsidRPr="007A1B07">
        <w:rPr>
          <w:rFonts w:ascii="Arial" w:eastAsia="Arial" w:hAnsi="Arial" w:cs="Arial"/>
          <w:b/>
          <w:bCs/>
          <w:i/>
          <w:iCs/>
        </w:rPr>
        <w:t>Preferences</w:t>
      </w:r>
      <w:r w:rsidRPr="007A1B07">
        <w:rPr>
          <w:rFonts w:ascii="Arial" w:eastAsia="Arial" w:hAnsi="Arial" w:cs="Arial"/>
          <w:b/>
          <w:bCs/>
        </w:rPr>
        <w:t>.</w:t>
      </w:r>
      <w:r w:rsidRPr="007A1B07">
        <w:rPr>
          <w:rFonts w:ascii="Arial" w:eastAsia="Arial" w:hAnsi="Arial" w:cs="Arial"/>
        </w:rPr>
        <w:t xml:space="preserve"> Participants emphasized the critical need for structured, safe, and non-judgmental debriefing mechanisms to support emotional recovery and learning after traumatic clinical experiences. The absence of debriefing led to confusion and unresolved emotions, as noted by P6, who described the lack of discussion as “confusing,” and P7, who was left to cope independently through distraction. Participants expressed preference for debriefing led by clinical instructors due to their direct understanding of the situation, as highlighted by P2 and P4, who noted that instructors can clarify events, reduce self-blame, and contextualize experiences. However, others, such as P5, advocated for neutral facilitators like school counselors to ensure psychological safety and encourage open expression without fear of academic consequences. This reflects the participants’ recognition that supportive environments are essential for processing trauma, normalizing emotional responses, and fostering professional growth. These findings reinforce the protective function of structured support mechanisms in clinical education. The suggestion for structured interventions such as guided reflection and mental health first aid aligns with trauma-informed educational approaches that prioritize emotional safety, validation, and reflective practice as integral components of clinical learning. These are regarded as essential for reducing self-blame, clarifying clinical events, and fostering resilience (Ching and Cheung, 2021; </w:t>
      </w:r>
      <w:proofErr w:type="spellStart"/>
      <w:r w:rsidRPr="007A1B07">
        <w:rPr>
          <w:rFonts w:ascii="Arial" w:eastAsia="Arial" w:hAnsi="Arial" w:cs="Arial"/>
        </w:rPr>
        <w:t>Labrague</w:t>
      </w:r>
      <w:proofErr w:type="spellEnd"/>
      <w:r w:rsidRPr="007A1B07">
        <w:rPr>
          <w:rFonts w:ascii="Arial" w:eastAsia="Arial" w:hAnsi="Arial" w:cs="Arial"/>
        </w:rPr>
        <w:t>, 2024)</w:t>
      </w:r>
    </w:p>
    <w:p w14:paraId="0E4DA052" w14:textId="77777777" w:rsidR="008E4797" w:rsidRPr="007A1B07" w:rsidRDefault="008E4797">
      <w:pPr>
        <w:jc w:val="both"/>
        <w:rPr>
          <w:rFonts w:ascii="Arial" w:eastAsia="Arial" w:hAnsi="Arial" w:cs="Arial"/>
        </w:rPr>
      </w:pPr>
    </w:p>
    <w:p w14:paraId="530C18B1" w14:textId="77777777" w:rsidR="008E4797" w:rsidRPr="007A1B07" w:rsidRDefault="004F3FE9">
      <w:pPr>
        <w:jc w:val="both"/>
        <w:rPr>
          <w:rFonts w:ascii="Arial" w:eastAsia="Arial" w:hAnsi="Arial" w:cs="Arial"/>
          <w:b/>
          <w:bCs/>
          <w:sz w:val="22"/>
          <w:szCs w:val="22"/>
        </w:rPr>
      </w:pPr>
      <w:r w:rsidRPr="007A1B07">
        <w:rPr>
          <w:rFonts w:ascii="Arial" w:eastAsia="Arial" w:hAnsi="Arial" w:cs="Arial"/>
          <w:b/>
          <w:bCs/>
          <w:sz w:val="22"/>
          <w:szCs w:val="22"/>
        </w:rPr>
        <w:t>3.3. Integration of Findings</w:t>
      </w:r>
    </w:p>
    <w:p w14:paraId="121C3344" w14:textId="77777777" w:rsidR="008E4797" w:rsidRPr="007A1B07" w:rsidRDefault="008E4797">
      <w:pPr>
        <w:jc w:val="both"/>
        <w:rPr>
          <w:rFonts w:ascii="Arial" w:eastAsia="Arial" w:hAnsi="Arial" w:cs="Arial"/>
        </w:rPr>
      </w:pPr>
    </w:p>
    <w:p w14:paraId="5EE77FEF" w14:textId="77777777" w:rsidR="008E4797" w:rsidRPr="007A1B07" w:rsidRDefault="004F3FE9">
      <w:pPr>
        <w:jc w:val="both"/>
        <w:rPr>
          <w:rFonts w:ascii="Arial" w:eastAsia="Arial" w:hAnsi="Arial" w:cs="Arial"/>
        </w:rPr>
      </w:pPr>
      <w:r w:rsidRPr="007A1B07">
        <w:rPr>
          <w:rFonts w:ascii="Arial" w:eastAsia="Arial" w:hAnsi="Arial" w:cs="Arial"/>
        </w:rPr>
        <w:t xml:space="preserve">This study utilized a concurrent mixed-methods design, wherein quantitative and qualitative data were collected within the same phase, analyzed separately, and then integrated for comprehensive interpretation.  The quantitative phase involved 275 third year and fourth year student nurses, selected through stratified random sampling within the identified respondents. Adopted and researcher-made validated questionnaires were used to measure traumatic clinical experience, anxiety, and debriefing received. The qualitative phase included purposively selected participants who reported significant clinical experiences and were willing to share detailed narratives. Semi-structured interviews were conducted to explore lived experiences, emotional processing, debriefing perceptions, and adaptive strategies. </w:t>
      </w:r>
    </w:p>
    <w:p w14:paraId="7223D18F" w14:textId="77777777" w:rsidR="008E4797" w:rsidRPr="007A1B07" w:rsidRDefault="008E4797">
      <w:pPr>
        <w:jc w:val="both"/>
        <w:rPr>
          <w:rFonts w:ascii="Arial" w:eastAsia="Arial" w:hAnsi="Arial" w:cs="Arial"/>
        </w:rPr>
      </w:pPr>
    </w:p>
    <w:p w14:paraId="632B3DB4" w14:textId="77777777" w:rsidR="008E4797" w:rsidRPr="007A1B07" w:rsidRDefault="004F3FE9">
      <w:pPr>
        <w:jc w:val="both"/>
        <w:rPr>
          <w:rFonts w:ascii="Arial" w:eastAsia="Arial" w:hAnsi="Arial" w:cs="Arial"/>
        </w:rPr>
      </w:pPr>
      <w:r w:rsidRPr="007A1B07">
        <w:rPr>
          <w:rFonts w:ascii="Arial" w:eastAsia="Arial" w:hAnsi="Arial" w:cs="Arial"/>
        </w:rPr>
        <w:t xml:space="preserve">The integration of quantitative and qualitative data is the essential feature of mixed-methods research, providing a more comprehensive understanding than either method alone (Fetters et al., 2013). This study employed a convergent design, in which quantitative data from 275 respondents, selected through stratified random sampling, were merged with qualitative insights from seven (7) key participants. The integration followed the Good Reporting of </w:t>
      </w:r>
      <w:proofErr w:type="gramStart"/>
      <w:r w:rsidRPr="007A1B07">
        <w:rPr>
          <w:rFonts w:ascii="Arial" w:eastAsia="Arial" w:hAnsi="Arial" w:cs="Arial"/>
        </w:rPr>
        <w:t>A</w:t>
      </w:r>
      <w:proofErr w:type="gramEnd"/>
      <w:r w:rsidRPr="007A1B07">
        <w:rPr>
          <w:rFonts w:ascii="Arial" w:eastAsia="Arial" w:hAnsi="Arial" w:cs="Arial"/>
        </w:rPr>
        <w:t xml:space="preserve"> Mixed Methods Study (GRAMMS) guidelines to ensure rigor and transparency (</w:t>
      </w:r>
      <w:proofErr w:type="spellStart"/>
      <w:r w:rsidRPr="007A1B07">
        <w:rPr>
          <w:rFonts w:ascii="Arial" w:eastAsia="Arial" w:hAnsi="Arial" w:cs="Arial"/>
        </w:rPr>
        <w:t>O’Cathain</w:t>
      </w:r>
      <w:proofErr w:type="spellEnd"/>
      <w:r w:rsidRPr="007A1B07">
        <w:rPr>
          <w:rFonts w:ascii="Arial" w:eastAsia="Arial" w:hAnsi="Arial" w:cs="Arial"/>
        </w:rPr>
        <w:t xml:space="preserve"> et al., 2008). By triangulating statistical trends with lived experiences, the researchers identified areas of confirmation, expansion, and discordance; a process highlighted by Younas et al. (2023) as essential in nursing research for uncovering hidden phenomena. Standardized scores may be influenced by social desirability or cultural norms, which qualitative narratives can help contextualize and clarify.</w:t>
      </w:r>
    </w:p>
    <w:p w14:paraId="0CEB0BD1" w14:textId="77777777" w:rsidR="008E4797" w:rsidRPr="007A1B07" w:rsidRDefault="008E4797">
      <w:pPr>
        <w:jc w:val="both"/>
        <w:rPr>
          <w:rFonts w:ascii="Arial" w:eastAsia="Arial" w:hAnsi="Arial" w:cs="Arial"/>
          <w:b/>
          <w:bCs/>
        </w:rPr>
      </w:pPr>
    </w:p>
    <w:p w14:paraId="30311A35" w14:textId="77777777" w:rsidR="008E4797" w:rsidRPr="007A1B07" w:rsidRDefault="004F3FE9">
      <w:pPr>
        <w:jc w:val="both"/>
        <w:rPr>
          <w:rFonts w:ascii="Arial" w:eastAsia="Arial" w:hAnsi="Arial" w:cs="Arial"/>
        </w:rPr>
      </w:pPr>
      <w:r w:rsidRPr="007A1B07">
        <w:rPr>
          <w:rFonts w:ascii="Arial" w:eastAsia="Arial" w:hAnsi="Arial" w:cs="Arial"/>
        </w:rPr>
        <w:t>The quantitative data and qualitative narratives provide an understanding of how debriefing serves as a critical mediator between traumatic clinical experiences (TCE) and student anxiety. By integrating the statistical results from 275 respondents with the lived experiences of seven (7) key participants, the study achieves a meta-understanding of the phenomena.</w:t>
      </w:r>
    </w:p>
    <w:p w14:paraId="66C72F74" w14:textId="77777777" w:rsidR="008E4797" w:rsidRPr="007A1B07" w:rsidRDefault="008E4797">
      <w:pPr>
        <w:jc w:val="both"/>
        <w:rPr>
          <w:rFonts w:ascii="Arial" w:eastAsia="Arial" w:hAnsi="Arial" w:cs="Arial"/>
        </w:rPr>
      </w:pPr>
    </w:p>
    <w:p w14:paraId="02746AEF" w14:textId="77777777" w:rsidR="008E4797" w:rsidRPr="007A1B07" w:rsidRDefault="004E1C66">
      <w:pPr>
        <w:jc w:val="both"/>
        <w:rPr>
          <w:rFonts w:ascii="Arial" w:eastAsia="Arial" w:hAnsi="Arial" w:cs="Arial"/>
        </w:rPr>
      </w:pPr>
      <w:sdt>
        <w:sdtPr>
          <w:rPr>
            <w:rFonts w:ascii="Arial" w:hAnsi="Arial" w:cs="Arial"/>
          </w:rPr>
          <w:tag w:val="goog_rdk_0"/>
          <w:id w:val="859680056"/>
        </w:sdtPr>
        <w:sdtEndPr/>
        <w:sdtContent>
          <w:r w:rsidR="004F3FE9" w:rsidRPr="007A1B07">
            <w:rPr>
              <w:rFonts w:ascii="Arial" w:eastAsia="Arial Unicode MS" w:hAnsi="Arial" w:cs="Arial"/>
            </w:rPr>
            <w:t xml:space="preserve">The study found that student nurses are frequently exposed to high-impact events. Using the Impact of Events Scale-Revised (IES-R), the overall impact of traumatic clinical experiences indicated that students often move past the low range (0-23) into categories of clinical significance, including probable (≥ 33) and extreme </w:t>
          </w:r>
          <w:proofErr w:type="gramStart"/>
          <w:r w:rsidR="004F3FE9" w:rsidRPr="007A1B07">
            <w:rPr>
              <w:rFonts w:ascii="Arial" w:eastAsia="Arial Unicode MS" w:hAnsi="Arial" w:cs="Arial"/>
            </w:rPr>
            <w:t>( ≥</w:t>
          </w:r>
          <w:proofErr w:type="gramEnd"/>
          <w:r w:rsidR="004F3FE9" w:rsidRPr="007A1B07">
            <w:rPr>
              <w:rFonts w:ascii="Arial" w:eastAsia="Arial Unicode MS" w:hAnsi="Arial" w:cs="Arial"/>
            </w:rPr>
            <w:t xml:space="preserve"> 37) impact. Participants validated these scores by describing the nature of trauma. P1 and P3 described a profound physical and mental collapse, characterized by intense shaking and feeling wrecked. P1 specifically noted a state of performance paralysis. This convergence confirms that Traumatic Clinical Experiences act as powerful stressors that penetrate the student’s flexible line of defense, as conceptualized in the Neuman Systems Model. The transition from statistical “extreme” scores to qualitative descriptions of physical collapse aligns with Oakley et. al (2024), who noted that clinical trauma is a primary driver of Secondary Traumatic Stress (STS) in nursing education.</w:t>
          </w:r>
        </w:sdtContent>
      </w:sdt>
    </w:p>
    <w:p w14:paraId="4736F49E" w14:textId="77777777" w:rsidR="008E4797" w:rsidRPr="007A1B07" w:rsidRDefault="008E4797">
      <w:pPr>
        <w:jc w:val="both"/>
        <w:rPr>
          <w:rFonts w:ascii="Arial" w:eastAsia="Arial" w:hAnsi="Arial" w:cs="Arial"/>
        </w:rPr>
      </w:pPr>
    </w:p>
    <w:p w14:paraId="2253282B" w14:textId="77777777" w:rsidR="008E4797" w:rsidRPr="007A1B07" w:rsidRDefault="004E1C66">
      <w:pPr>
        <w:jc w:val="both"/>
        <w:rPr>
          <w:rFonts w:ascii="Arial" w:eastAsia="Arial" w:hAnsi="Arial" w:cs="Arial"/>
        </w:rPr>
      </w:pPr>
      <w:sdt>
        <w:sdtPr>
          <w:rPr>
            <w:rFonts w:ascii="Arial" w:hAnsi="Arial" w:cs="Arial"/>
          </w:rPr>
          <w:tag w:val="goog_rdk_1"/>
          <w:id w:val="1890532540"/>
        </w:sdtPr>
        <w:sdtEndPr/>
        <w:sdtContent>
          <w:r w:rsidR="004F3FE9" w:rsidRPr="007A1B07">
            <w:rPr>
              <w:rFonts w:ascii="Arial" w:eastAsia="Arial Unicode MS" w:hAnsi="Arial" w:cs="Arial"/>
            </w:rPr>
            <w:t>The Spearman’s rho Correlation Test revealed a moderate positive relationship between TCE and anxiety (r</w:t>
          </w:r>
          <w:r w:rsidR="004F3FE9" w:rsidRPr="007A1B07">
            <w:rPr>
              <w:rFonts w:ascii="Cambria Math" w:eastAsia="Arial Unicode MS" w:hAnsi="Cambria Math" w:cs="Cambria Math"/>
            </w:rPr>
            <w:t>ₛ</w:t>
          </w:r>
          <w:r w:rsidR="004F3FE9" w:rsidRPr="007A1B07">
            <w:rPr>
              <w:rFonts w:ascii="Arial" w:eastAsia="Arial Unicode MS" w:hAnsi="Arial" w:cs="Arial"/>
            </w:rPr>
            <w:t xml:space="preserve"> = .</w:t>
          </w:r>
          <w:proofErr w:type="gramStart"/>
          <w:r w:rsidR="004F3FE9" w:rsidRPr="007A1B07">
            <w:rPr>
              <w:rFonts w:ascii="Arial" w:eastAsia="Arial Unicode MS" w:hAnsi="Arial" w:cs="Arial"/>
            </w:rPr>
            <w:t>587 ;</w:t>
          </w:r>
          <w:proofErr w:type="gramEnd"/>
          <w:r w:rsidR="004F3FE9" w:rsidRPr="007A1B07">
            <w:rPr>
              <w:rFonts w:ascii="Arial" w:eastAsia="Arial Unicode MS" w:hAnsi="Arial" w:cs="Arial"/>
            </w:rPr>
            <w:t xml:space="preserve"> p = .001). This indicated that as the impact of trauma increases, the Generalized Anxiety Disorder (GAD-7) scores also rise. Furthermore, a substantial percentage of students scored in the moderate (10-14) and severe (15-21) anxiety ranges, categorized as clinically significant (≥ 10). Participants expanded on this by detailing evaluation anxiety and a fear of judgement. P4 and P7 highlighted that their anxiety was coming from a fear of appearing incompetent, leading to a profession questioning where they doubted their suitability for the nursing career. While the statistics (r</w:t>
          </w:r>
          <w:r w:rsidR="004F3FE9" w:rsidRPr="007A1B07">
            <w:rPr>
              <w:rFonts w:ascii="Cambria Math" w:eastAsia="Arial Unicode MS" w:hAnsi="Cambria Math" w:cs="Cambria Math"/>
            </w:rPr>
            <w:t>ₛ</w:t>
          </w:r>
          <w:r w:rsidR="004F3FE9" w:rsidRPr="007A1B07">
            <w:rPr>
              <w:rFonts w:ascii="Arial" w:eastAsia="Arial Unicode MS" w:hAnsi="Arial" w:cs="Arial"/>
            </w:rPr>
            <w:t xml:space="preserve"> = .587 &lt; .05) prove the relationship, the qualitative reveals the anxiety is really professional. This supports the research by Younas et. al (2023) regarding the hidden phenomenon of anxiety related to professional identity. The quantitative finding of severe anxiety is explained by the qualitative fear of failure and the emotional weight of clinical responsibility.</w:t>
          </w:r>
        </w:sdtContent>
      </w:sdt>
    </w:p>
    <w:p w14:paraId="6B38D123" w14:textId="77777777" w:rsidR="008E4797" w:rsidRPr="007A1B07" w:rsidRDefault="008E4797">
      <w:pPr>
        <w:jc w:val="both"/>
        <w:rPr>
          <w:rFonts w:ascii="Arial" w:eastAsia="Arial" w:hAnsi="Arial" w:cs="Arial"/>
        </w:rPr>
      </w:pPr>
    </w:p>
    <w:p w14:paraId="7DBC0B8B" w14:textId="77777777" w:rsidR="008E4797" w:rsidRPr="007A1B07" w:rsidRDefault="004F3FE9">
      <w:pPr>
        <w:jc w:val="both"/>
        <w:rPr>
          <w:rFonts w:ascii="Arial" w:eastAsia="Arial" w:hAnsi="Arial" w:cs="Arial"/>
        </w:rPr>
      </w:pPr>
      <w:r w:rsidRPr="007A1B07">
        <w:rPr>
          <w:rFonts w:ascii="Arial" w:eastAsia="Arial" w:hAnsi="Arial" w:cs="Arial"/>
        </w:rPr>
        <w:t xml:space="preserve">Debriefing was rated highly effective overall (M = 3.74). The highest means were observed in Clinical Judgement (M = 3.88) and Learning from Experience (M = 3.86). However, the component of Emotional Expression and Venting received a notably lower mean (M = 3.49). In the qualitative narrations, P4 emphasized that Clinical Instructors (CIs) are in the best position to lead debriefing because they can correct misconceptions and link emotional processing with professional learning. The data shows a synergy in clinical learning but a gap in emotional support. The high scores for cognitive reframing (M = 3.86) support the literature's stance on debriefing as a vital educational tool. However, the lower quantitative score for emotional venting (M = 3.49) suggests that debriefing is often treated as a clinical post-mortem. This relates to Cambridge et al. (2023), who found that while debriefing improves </w:t>
      </w:r>
      <w:r w:rsidRPr="007A1B07">
        <w:rPr>
          <w:rFonts w:ascii="Arial" w:eastAsia="Arial" w:hAnsi="Arial" w:cs="Arial"/>
        </w:rPr>
        <w:lastRenderedPageBreak/>
        <w:t>clinical competency, it often fails to provide an adequate outlet for the student’s internal emotional state.</w:t>
      </w:r>
    </w:p>
    <w:p w14:paraId="3213DFFD" w14:textId="77777777" w:rsidR="008E4797" w:rsidRPr="007A1B07" w:rsidRDefault="008E4797">
      <w:pPr>
        <w:jc w:val="both"/>
        <w:rPr>
          <w:rFonts w:ascii="Arial" w:eastAsia="Arial" w:hAnsi="Arial" w:cs="Arial"/>
        </w:rPr>
      </w:pPr>
    </w:p>
    <w:p w14:paraId="3F84B691" w14:textId="77777777" w:rsidR="008E4797" w:rsidRPr="007A1B07" w:rsidRDefault="004F3FE9">
      <w:pPr>
        <w:jc w:val="both"/>
        <w:rPr>
          <w:rFonts w:ascii="Arial" w:eastAsia="Arial" w:hAnsi="Arial" w:cs="Arial"/>
        </w:rPr>
      </w:pPr>
      <w:r w:rsidRPr="007A1B07">
        <w:rPr>
          <w:rFonts w:ascii="Arial" w:eastAsia="Arial" w:hAnsi="Arial" w:cs="Arial"/>
        </w:rPr>
        <w:t xml:space="preserve">Despite the high overall effectiveness (M = 3.74), the quantitative data indicated a lower score for the item assessing whether debriefing lasts long enough to process emotions (M = 3.63). Trauma Bonding emerged where students revealed that when formal debriefing by Clinical Instructors was missing or too brief, they turned to their peers to survive the shift. This identifies a discordance between the perceived value of debriefing and its actual implementation. In the Neuman Systems Model, debriefing is secondary prevention. When this formal system fails, as suggested by the lower mean for session duration, students default to tertiary prevention (reconstitution) through peer support. Overall scores showed that despite high trauma impact, students maintained a level of functioning that allowed them to continue their program, suggesting active lines of resistance. The integration reveals that students are proactive in protecting their system core. The reliance on spirituality as an adaptive strategy is consistent </w:t>
      </w:r>
      <w:proofErr w:type="spellStart"/>
      <w:r w:rsidRPr="007A1B07">
        <w:rPr>
          <w:rFonts w:ascii="Arial" w:eastAsia="Arial" w:hAnsi="Arial" w:cs="Arial"/>
        </w:rPr>
        <w:t>Mahinay</w:t>
      </w:r>
      <w:proofErr w:type="spellEnd"/>
      <w:r w:rsidRPr="007A1B07">
        <w:rPr>
          <w:rFonts w:ascii="Arial" w:eastAsia="Arial" w:hAnsi="Arial" w:cs="Arial"/>
        </w:rPr>
        <w:t xml:space="preserve"> et al. (2025), highlighting that Filipino student nurses rely heavily on social circles and spiritual anchoring to maintain stability when institutional support is insufficient. This process of reconstitution is what allows students to remain in the program despite the statistically significant correlation between trauma and anxiety </w:t>
      </w:r>
      <w:proofErr w:type="gramStart"/>
      <w:r w:rsidRPr="007A1B07">
        <w:rPr>
          <w:rFonts w:ascii="Arial" w:eastAsia="Arial" w:hAnsi="Arial" w:cs="Arial"/>
        </w:rPr>
        <w:t>( r</w:t>
      </w:r>
      <w:proofErr w:type="gramEnd"/>
      <w:r w:rsidRPr="007A1B07">
        <w:rPr>
          <w:rFonts w:ascii="Cambria Math" w:eastAsia="Arial" w:hAnsi="Cambria Math" w:cs="Cambria Math"/>
        </w:rPr>
        <w:t>ₛ</w:t>
      </w:r>
      <w:r w:rsidRPr="007A1B07">
        <w:rPr>
          <w:rFonts w:ascii="Arial" w:eastAsia="Arial" w:hAnsi="Arial" w:cs="Arial"/>
        </w:rPr>
        <w:t xml:space="preserve"> = .587)</w:t>
      </w:r>
    </w:p>
    <w:p w14:paraId="615CA15B" w14:textId="77777777" w:rsidR="008E4797" w:rsidRPr="007A1B07" w:rsidRDefault="008E4797">
      <w:pPr>
        <w:jc w:val="both"/>
        <w:rPr>
          <w:rFonts w:ascii="Arial" w:eastAsia="Arial" w:hAnsi="Arial" w:cs="Arial"/>
        </w:rPr>
      </w:pPr>
    </w:p>
    <w:p w14:paraId="39A7013E" w14:textId="77777777" w:rsidR="008E4797" w:rsidRPr="007A1B07" w:rsidRDefault="004F3FE9">
      <w:pPr>
        <w:jc w:val="both"/>
        <w:rPr>
          <w:rFonts w:ascii="Arial" w:eastAsia="Arial" w:hAnsi="Arial" w:cs="Arial"/>
        </w:rPr>
      </w:pPr>
      <w:r w:rsidRPr="007A1B07">
        <w:rPr>
          <w:rFonts w:ascii="Arial" w:eastAsia="Arial" w:hAnsi="Arial" w:cs="Arial"/>
        </w:rPr>
        <w:t>The integration of quantitative and qualitative data in this study highlights specific limitations that would have been overlooked if the methods had been employed independently. A primary limitation of the quantitative method addressed by the qualitative findings is the “ceiling effect” of standardized scales like the GAD-7 and IES-R. While the survey data successfully categorized students into severe or extreme impact groups, these metrics were unable to capture the nuanced origin of the anxiety. Without the qualitative narratives, the statistical correlation (r</w:t>
      </w:r>
      <w:r w:rsidRPr="007A1B07">
        <w:rPr>
          <w:rFonts w:ascii="Cambria Math" w:eastAsia="Arial" w:hAnsi="Cambria Math" w:cs="Cambria Math"/>
        </w:rPr>
        <w:t>ₛ</w:t>
      </w:r>
      <w:r w:rsidRPr="007A1B07">
        <w:rPr>
          <w:rFonts w:ascii="Arial" w:eastAsia="Arial" w:hAnsi="Arial" w:cs="Arial"/>
        </w:rPr>
        <w:t xml:space="preserve"> = .587) might have been misinterpreted as general academic stress; however, the key informant interviews revealed that this anxiety is specifically professional and evaluative in nature, rooted in a fear of appearing incompetent. Conversely, a limitation of the qualitative method, its lack of generalizability, was mitigated by the survey of 275 respondents. While the seven informants provided deep descriptions of visceral collapse, the quantitative data was necessary to prove that these were not isolated emotional incidents but rather a widespread phenomenon affecting a statistically significant portion of the student population.</w:t>
      </w:r>
    </w:p>
    <w:p w14:paraId="56E7718D" w14:textId="77777777" w:rsidR="008E4797" w:rsidRPr="007A1B07" w:rsidRDefault="008E4797">
      <w:pPr>
        <w:jc w:val="both"/>
        <w:rPr>
          <w:rFonts w:ascii="Arial" w:eastAsia="Arial" w:hAnsi="Arial" w:cs="Arial"/>
        </w:rPr>
      </w:pPr>
    </w:p>
    <w:p w14:paraId="07FC19C0" w14:textId="3438D72A" w:rsidR="008E4797" w:rsidRPr="007A1B07" w:rsidRDefault="004F3FE9">
      <w:pPr>
        <w:jc w:val="both"/>
        <w:rPr>
          <w:rFonts w:ascii="Arial" w:eastAsia="Arial" w:hAnsi="Arial" w:cs="Arial"/>
          <w:b/>
          <w:bCs/>
        </w:rPr>
      </w:pPr>
      <w:r w:rsidRPr="007A1B07">
        <w:rPr>
          <w:rFonts w:ascii="Arial" w:eastAsia="Arial" w:hAnsi="Arial" w:cs="Arial"/>
        </w:rPr>
        <w:t xml:space="preserve">The quantitative and qualitative data provides a meta-understanding of the clinical-affective gap. While the quantitative data initially suggested a successful debriefing program based on high effectiveness scores (M = 3.74), the integration of the significantly lower mean for emotional venting (M = 3.49) with the qualitative finding of trauma bonding revealed a critical system gap. Specifically, the findings indicate that while the debriefing session excels at cognitive and technical review, it is failing to function as an adequate psychological safety net. This discordance </w:t>
      </w:r>
      <w:r w:rsidR="007855CC">
        <w:rPr>
          <w:rFonts w:ascii="Arial" w:eastAsia="Arial" w:hAnsi="Arial" w:cs="Arial"/>
        </w:rPr>
        <w:t>implies</w:t>
      </w:r>
      <w:r w:rsidRPr="007A1B07">
        <w:rPr>
          <w:rFonts w:ascii="Arial" w:eastAsia="Arial" w:hAnsi="Arial" w:cs="Arial"/>
        </w:rPr>
        <w:t xml:space="preserve"> that debriefing is currently treated as a task-oriented evaluation, focusing on “what” and “how” of the clinical event, while neglecting the student’s internal emotional state. Consequently, students are forced to seek informal peer support (tertiary prevention) because institutional debriefing sessions (secondary prevention) are insufficient for emotional processing. This level of insight, identifying the tension between institutional learning objectives and the student’s emotional survival, would be impossible to achieve without comparing the statistical effectiveness of the debriefing against the lived reality of performance paralysis described by the participants.</w:t>
      </w:r>
    </w:p>
    <w:p w14:paraId="05145F00" w14:textId="77777777" w:rsidR="008E4797" w:rsidRPr="007A1B07" w:rsidRDefault="008E4797">
      <w:pPr>
        <w:rPr>
          <w:rFonts w:ascii="Arial" w:eastAsia="Arial" w:hAnsi="Arial" w:cs="Arial"/>
          <w:b/>
          <w:bCs/>
        </w:rPr>
      </w:pPr>
    </w:p>
    <w:p w14:paraId="798D277D" w14:textId="77777777" w:rsidR="008E4797" w:rsidRPr="007A1B07" w:rsidRDefault="008E4797">
      <w:pPr>
        <w:rPr>
          <w:rFonts w:ascii="Arial" w:eastAsia="Arial" w:hAnsi="Arial" w:cs="Arial"/>
          <w:b/>
          <w:bCs/>
        </w:rPr>
      </w:pPr>
    </w:p>
    <w:p w14:paraId="3730D1DC" w14:textId="77777777" w:rsidR="008E4797" w:rsidRPr="007A1B07" w:rsidRDefault="008E4797">
      <w:pPr>
        <w:rPr>
          <w:rFonts w:ascii="Arial" w:eastAsia="Arial" w:hAnsi="Arial" w:cs="Arial"/>
          <w:b/>
          <w:bCs/>
        </w:rPr>
      </w:pPr>
    </w:p>
    <w:p w14:paraId="66EFAAAE" w14:textId="77777777" w:rsidR="008E4797" w:rsidRPr="007A1B07" w:rsidRDefault="008E4797">
      <w:pPr>
        <w:rPr>
          <w:rFonts w:ascii="Arial" w:eastAsia="Arial" w:hAnsi="Arial" w:cs="Arial"/>
          <w:b/>
          <w:bCs/>
        </w:rPr>
      </w:pPr>
    </w:p>
    <w:p w14:paraId="1373B32D" w14:textId="77777777" w:rsidR="008E4797" w:rsidRPr="007A1B07" w:rsidRDefault="008E4797">
      <w:pPr>
        <w:rPr>
          <w:rFonts w:ascii="Arial" w:eastAsia="Arial" w:hAnsi="Arial" w:cs="Arial"/>
          <w:b/>
          <w:bCs/>
        </w:rPr>
      </w:pPr>
    </w:p>
    <w:p w14:paraId="58AD7048" w14:textId="77777777" w:rsidR="008E4797" w:rsidRPr="007A1B07" w:rsidRDefault="008E4797">
      <w:pPr>
        <w:rPr>
          <w:rFonts w:ascii="Arial" w:eastAsia="Arial" w:hAnsi="Arial" w:cs="Arial"/>
          <w:b/>
          <w:bCs/>
        </w:rPr>
      </w:pPr>
    </w:p>
    <w:p w14:paraId="10B95712" w14:textId="77777777" w:rsidR="008E4797" w:rsidRPr="007A1B07" w:rsidRDefault="008E4797">
      <w:pPr>
        <w:rPr>
          <w:rFonts w:ascii="Arial" w:eastAsia="Arial" w:hAnsi="Arial" w:cs="Arial"/>
          <w:b/>
          <w:bCs/>
        </w:rPr>
      </w:pPr>
    </w:p>
    <w:p w14:paraId="314E0A02" w14:textId="77777777" w:rsidR="008E4797" w:rsidRPr="007A1B07" w:rsidRDefault="008E4797">
      <w:pPr>
        <w:rPr>
          <w:rFonts w:ascii="Arial" w:eastAsia="Arial" w:hAnsi="Arial" w:cs="Arial"/>
          <w:b/>
          <w:bCs/>
        </w:rPr>
      </w:pPr>
    </w:p>
    <w:p w14:paraId="19E2B89C" w14:textId="77777777" w:rsidR="008E4797" w:rsidRPr="007A1B07" w:rsidRDefault="008E4797">
      <w:pPr>
        <w:rPr>
          <w:rFonts w:ascii="Arial" w:eastAsia="Arial" w:hAnsi="Arial" w:cs="Arial"/>
          <w:b/>
          <w:bCs/>
        </w:rPr>
      </w:pPr>
    </w:p>
    <w:p w14:paraId="76D2C587" w14:textId="77777777" w:rsidR="008E4797" w:rsidRPr="007A1B07" w:rsidRDefault="004F3FE9">
      <w:pPr>
        <w:rPr>
          <w:rFonts w:ascii="Arial" w:eastAsia="Arial" w:hAnsi="Arial" w:cs="Arial"/>
          <w:b/>
          <w:bCs/>
        </w:rPr>
      </w:pPr>
      <w:r w:rsidRPr="007A1B07">
        <w:rPr>
          <w:rFonts w:ascii="Arial" w:eastAsia="Arial" w:hAnsi="Arial" w:cs="Arial"/>
          <w:b/>
          <w:bCs/>
        </w:rPr>
        <w:t>Table 1. Profile of the Respondents (n=275)</w:t>
      </w:r>
    </w:p>
    <w:p w14:paraId="0EF0BFCF" w14:textId="77777777" w:rsidR="008E4797" w:rsidRPr="007A1B07" w:rsidRDefault="008E4797">
      <w:pPr>
        <w:rPr>
          <w:rFonts w:ascii="Arial" w:eastAsia="Arial" w:hAnsi="Arial" w:cs="Arial"/>
          <w:b/>
          <w:bCs/>
        </w:rPr>
      </w:pPr>
    </w:p>
    <w:tbl>
      <w:tblPr>
        <w:tblStyle w:val="a9"/>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2"/>
        <w:gridCol w:w="2052"/>
        <w:gridCol w:w="2052"/>
        <w:gridCol w:w="2052"/>
      </w:tblGrid>
      <w:tr w:rsidR="008E4797" w:rsidRPr="007A1B07" w14:paraId="6E6DA419" w14:textId="77777777">
        <w:trPr>
          <w:trHeight w:val="215"/>
        </w:trPr>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44FB341A" w14:textId="77777777" w:rsidR="008E4797" w:rsidRPr="007A1B07" w:rsidRDefault="004F3FE9">
            <w:pPr>
              <w:rPr>
                <w:rFonts w:ascii="Arial" w:eastAsia="Arial" w:hAnsi="Arial" w:cs="Arial"/>
                <w:b/>
                <w:bCs/>
              </w:rPr>
            </w:pPr>
            <w:r w:rsidRPr="007A1B07">
              <w:rPr>
                <w:rFonts w:ascii="Arial" w:eastAsia="Arial" w:hAnsi="Arial" w:cs="Arial"/>
                <w:b/>
                <w:bCs/>
              </w:rPr>
              <w:t xml:space="preserve"> Variable</w:t>
            </w: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740AA35B" w14:textId="77777777" w:rsidR="008E4797" w:rsidRPr="007A1B07" w:rsidRDefault="008E4797">
            <w:pPr>
              <w:rPr>
                <w:rFonts w:ascii="Arial" w:eastAsia="Arial" w:hAnsi="Arial" w:cs="Arial"/>
                <w:b/>
                <w:bCs/>
              </w:rPr>
            </w:pP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5729D910" w14:textId="77777777" w:rsidR="008E4797" w:rsidRPr="007A1B07" w:rsidRDefault="004F3FE9">
            <w:pPr>
              <w:jc w:val="center"/>
              <w:rPr>
                <w:rFonts w:ascii="Arial" w:eastAsia="Arial" w:hAnsi="Arial" w:cs="Arial"/>
                <w:b/>
                <w:bCs/>
                <w:i/>
                <w:iCs/>
              </w:rPr>
            </w:pPr>
            <w:r w:rsidRPr="007A1B07">
              <w:rPr>
                <w:rFonts w:ascii="Arial" w:eastAsia="Arial" w:hAnsi="Arial" w:cs="Arial"/>
                <w:b/>
                <w:bCs/>
                <w:i/>
                <w:iCs/>
              </w:rPr>
              <w:t>f</w:t>
            </w:r>
          </w:p>
        </w:tc>
        <w:tc>
          <w:tcPr>
            <w:tcW w:w="2052" w:type="dxa"/>
            <w:tcBorders>
              <w:top w:val="single" w:sz="8" w:space="0" w:color="000000"/>
              <w:left w:val="nil"/>
              <w:bottom w:val="single" w:sz="8" w:space="0" w:color="000000"/>
              <w:right w:val="nil"/>
            </w:tcBorders>
            <w:shd w:val="clear" w:color="auto" w:fill="FFFFFF"/>
            <w:tcMar>
              <w:top w:w="-144" w:type="dxa"/>
              <w:left w:w="-144" w:type="dxa"/>
              <w:bottom w:w="-144" w:type="dxa"/>
              <w:right w:w="-144" w:type="dxa"/>
            </w:tcMar>
          </w:tcPr>
          <w:p w14:paraId="7B791027" w14:textId="77777777" w:rsidR="008E4797" w:rsidRPr="007A1B07" w:rsidRDefault="004F3FE9">
            <w:pPr>
              <w:jc w:val="center"/>
              <w:rPr>
                <w:rFonts w:ascii="Arial" w:eastAsia="Arial" w:hAnsi="Arial" w:cs="Arial"/>
                <w:b/>
                <w:bCs/>
              </w:rPr>
            </w:pPr>
            <w:r w:rsidRPr="007A1B07">
              <w:rPr>
                <w:rFonts w:ascii="Arial" w:eastAsia="Arial" w:hAnsi="Arial" w:cs="Arial"/>
                <w:b/>
                <w:bCs/>
              </w:rPr>
              <w:t>%</w:t>
            </w:r>
          </w:p>
        </w:tc>
      </w:tr>
      <w:tr w:rsidR="008E4797" w:rsidRPr="007A1B07" w14:paraId="102AFBFE" w14:textId="77777777">
        <w:trPr>
          <w:trHeight w:val="405"/>
        </w:trPr>
        <w:tc>
          <w:tcPr>
            <w:tcW w:w="2052" w:type="dxa"/>
            <w:tcBorders>
              <w:top w:val="single" w:sz="8" w:space="0" w:color="000000"/>
              <w:left w:val="nil"/>
              <w:bottom w:val="nil"/>
              <w:right w:val="nil"/>
            </w:tcBorders>
            <w:tcMar>
              <w:top w:w="-144" w:type="dxa"/>
              <w:left w:w="-144" w:type="dxa"/>
              <w:bottom w:w="-144" w:type="dxa"/>
              <w:right w:w="-144" w:type="dxa"/>
            </w:tcMar>
          </w:tcPr>
          <w:p w14:paraId="7F3D3DB4" w14:textId="77777777" w:rsidR="008E4797" w:rsidRPr="007A1B07" w:rsidRDefault="004F3FE9">
            <w:pPr>
              <w:rPr>
                <w:rFonts w:ascii="Arial" w:eastAsia="Arial" w:hAnsi="Arial" w:cs="Arial"/>
              </w:rPr>
            </w:pPr>
            <w:r w:rsidRPr="007A1B07">
              <w:rPr>
                <w:rFonts w:ascii="Arial" w:eastAsia="Arial" w:hAnsi="Arial" w:cs="Arial"/>
              </w:rPr>
              <w:t>Age</w:t>
            </w:r>
          </w:p>
        </w:tc>
        <w:tc>
          <w:tcPr>
            <w:tcW w:w="2052" w:type="dxa"/>
            <w:tcBorders>
              <w:top w:val="single" w:sz="8" w:space="0" w:color="000000"/>
              <w:left w:val="nil"/>
              <w:bottom w:val="nil"/>
              <w:right w:val="nil"/>
            </w:tcBorders>
            <w:tcMar>
              <w:top w:w="-144" w:type="dxa"/>
              <w:left w:w="-144" w:type="dxa"/>
              <w:bottom w:w="-144" w:type="dxa"/>
              <w:right w:w="-144" w:type="dxa"/>
            </w:tcMar>
            <w:vAlign w:val="center"/>
          </w:tcPr>
          <w:p w14:paraId="6B750E83" w14:textId="77777777" w:rsidR="008E4797" w:rsidRPr="007A1B07" w:rsidRDefault="004F3FE9">
            <w:pPr>
              <w:rPr>
                <w:rFonts w:ascii="Arial" w:eastAsia="Arial" w:hAnsi="Arial" w:cs="Arial"/>
              </w:rPr>
            </w:pPr>
            <w:r w:rsidRPr="007A1B07">
              <w:rPr>
                <w:rFonts w:ascii="Arial" w:eastAsia="Arial" w:hAnsi="Arial" w:cs="Arial"/>
              </w:rPr>
              <w:t>&lt; 22 years old</w:t>
            </w:r>
          </w:p>
        </w:tc>
        <w:tc>
          <w:tcPr>
            <w:tcW w:w="2052" w:type="dxa"/>
            <w:tcBorders>
              <w:top w:val="single" w:sz="8" w:space="0" w:color="000000"/>
              <w:left w:val="nil"/>
              <w:bottom w:val="nil"/>
              <w:right w:val="nil"/>
            </w:tcBorders>
            <w:tcMar>
              <w:top w:w="-144" w:type="dxa"/>
              <w:left w:w="-144" w:type="dxa"/>
              <w:bottom w:w="-144" w:type="dxa"/>
              <w:right w:w="-144" w:type="dxa"/>
            </w:tcMar>
          </w:tcPr>
          <w:p w14:paraId="04BA95A1" w14:textId="77777777" w:rsidR="008E4797" w:rsidRPr="007A1B07" w:rsidRDefault="004F3FE9">
            <w:pPr>
              <w:jc w:val="center"/>
              <w:rPr>
                <w:rFonts w:ascii="Arial" w:eastAsia="Arial" w:hAnsi="Arial" w:cs="Arial"/>
              </w:rPr>
            </w:pPr>
            <w:r w:rsidRPr="007A1B07">
              <w:rPr>
                <w:rFonts w:ascii="Arial" w:eastAsia="Arial" w:hAnsi="Arial" w:cs="Arial"/>
              </w:rPr>
              <w:t xml:space="preserve"> 156</w:t>
            </w:r>
          </w:p>
        </w:tc>
        <w:tc>
          <w:tcPr>
            <w:tcW w:w="2052" w:type="dxa"/>
            <w:tcBorders>
              <w:top w:val="single" w:sz="8" w:space="0" w:color="000000"/>
              <w:left w:val="nil"/>
              <w:bottom w:val="nil"/>
              <w:right w:val="nil"/>
            </w:tcBorders>
            <w:tcMar>
              <w:top w:w="-144" w:type="dxa"/>
              <w:left w:w="-144" w:type="dxa"/>
              <w:bottom w:w="-144" w:type="dxa"/>
              <w:right w:w="-144" w:type="dxa"/>
            </w:tcMar>
          </w:tcPr>
          <w:p w14:paraId="050AF378" w14:textId="77777777" w:rsidR="008E4797" w:rsidRPr="007A1B07" w:rsidRDefault="004F3FE9">
            <w:pPr>
              <w:jc w:val="center"/>
              <w:rPr>
                <w:rFonts w:ascii="Arial" w:eastAsia="Arial" w:hAnsi="Arial" w:cs="Arial"/>
              </w:rPr>
            </w:pPr>
            <w:r w:rsidRPr="007A1B07">
              <w:rPr>
                <w:rFonts w:ascii="Arial" w:eastAsia="Arial" w:hAnsi="Arial" w:cs="Arial"/>
              </w:rPr>
              <w:t xml:space="preserve"> 56.7</w:t>
            </w:r>
          </w:p>
        </w:tc>
      </w:tr>
      <w:tr w:rsidR="008E4797" w:rsidRPr="007A1B07" w14:paraId="52B4FC34" w14:textId="77777777">
        <w:trPr>
          <w:trHeight w:val="275"/>
        </w:trPr>
        <w:tc>
          <w:tcPr>
            <w:tcW w:w="2052" w:type="dxa"/>
            <w:vMerge w:val="restart"/>
            <w:tcBorders>
              <w:top w:val="nil"/>
              <w:left w:val="nil"/>
              <w:bottom w:val="nil"/>
              <w:right w:val="nil"/>
            </w:tcBorders>
            <w:tcMar>
              <w:top w:w="0" w:type="dxa"/>
              <w:left w:w="0" w:type="dxa"/>
              <w:bottom w:w="0" w:type="dxa"/>
              <w:right w:w="0" w:type="dxa"/>
            </w:tcMar>
          </w:tcPr>
          <w:p w14:paraId="5C11F7FE" w14:textId="77777777" w:rsidR="008E4797" w:rsidRPr="007A1B07" w:rsidRDefault="004F3FE9">
            <w:pPr>
              <w:rPr>
                <w:rFonts w:ascii="Arial" w:eastAsia="Arial" w:hAnsi="Arial" w:cs="Arial"/>
              </w:rPr>
            </w:pPr>
            <w:r w:rsidRPr="007A1B07">
              <w:rPr>
                <w:rFonts w:ascii="Arial" w:eastAsia="Arial" w:hAnsi="Arial" w:cs="Arial"/>
              </w:rPr>
              <w:t xml:space="preserve"> </w:t>
            </w:r>
          </w:p>
        </w:tc>
        <w:tc>
          <w:tcPr>
            <w:tcW w:w="2052" w:type="dxa"/>
            <w:vMerge w:val="restart"/>
            <w:tcBorders>
              <w:top w:val="nil"/>
              <w:left w:val="nil"/>
              <w:bottom w:val="nil"/>
              <w:right w:val="nil"/>
            </w:tcBorders>
            <w:tcMar>
              <w:top w:w="0" w:type="dxa"/>
              <w:left w:w="0" w:type="dxa"/>
              <w:bottom w:w="0" w:type="dxa"/>
              <w:right w:w="0" w:type="dxa"/>
            </w:tcMar>
          </w:tcPr>
          <w:p w14:paraId="3863B85F" w14:textId="77777777" w:rsidR="008E4797" w:rsidRPr="007A1B07" w:rsidRDefault="004F3FE9">
            <w:pPr>
              <w:rPr>
                <w:rFonts w:ascii="Arial" w:eastAsia="Arial" w:hAnsi="Arial" w:cs="Arial"/>
              </w:rPr>
            </w:pPr>
            <w:r w:rsidRPr="007A1B07">
              <w:rPr>
                <w:rFonts w:ascii="Arial" w:eastAsia="Arial" w:hAnsi="Arial" w:cs="Arial"/>
              </w:rPr>
              <w:t>22 years old and above</w:t>
            </w:r>
          </w:p>
          <w:p w14:paraId="64A4D9F8" w14:textId="77777777" w:rsidR="008E4797" w:rsidRPr="007A1B07" w:rsidRDefault="004F3FE9">
            <w:pPr>
              <w:rPr>
                <w:rFonts w:ascii="Arial" w:eastAsia="Arial" w:hAnsi="Arial" w:cs="Arial"/>
              </w:rPr>
            </w:pPr>
            <w:r w:rsidRPr="007A1B07">
              <w:rPr>
                <w:rFonts w:ascii="Arial" w:eastAsia="Arial" w:hAnsi="Arial" w:cs="Arial"/>
              </w:rPr>
              <w:t>Mean= 21.4 years old</w:t>
            </w:r>
          </w:p>
        </w:tc>
        <w:tc>
          <w:tcPr>
            <w:tcW w:w="2052" w:type="dxa"/>
            <w:vMerge w:val="restart"/>
            <w:tcBorders>
              <w:top w:val="nil"/>
              <w:left w:val="nil"/>
              <w:bottom w:val="nil"/>
              <w:right w:val="nil"/>
            </w:tcBorders>
            <w:tcMar>
              <w:top w:w="0" w:type="dxa"/>
              <w:left w:w="0" w:type="dxa"/>
              <w:bottom w:w="0" w:type="dxa"/>
              <w:right w:w="0" w:type="dxa"/>
            </w:tcMar>
          </w:tcPr>
          <w:p w14:paraId="234AE78C" w14:textId="77777777" w:rsidR="008E4797" w:rsidRPr="007A1B07" w:rsidRDefault="004F3FE9">
            <w:pPr>
              <w:jc w:val="center"/>
              <w:rPr>
                <w:rFonts w:ascii="Arial" w:eastAsia="Arial" w:hAnsi="Arial" w:cs="Arial"/>
              </w:rPr>
            </w:pPr>
            <w:r w:rsidRPr="007A1B07">
              <w:rPr>
                <w:rFonts w:ascii="Arial" w:eastAsia="Arial" w:hAnsi="Arial" w:cs="Arial"/>
              </w:rPr>
              <w:t xml:space="preserve"> 119 </w:t>
            </w:r>
          </w:p>
        </w:tc>
        <w:tc>
          <w:tcPr>
            <w:tcW w:w="2052" w:type="dxa"/>
            <w:vMerge w:val="restart"/>
            <w:tcBorders>
              <w:top w:val="nil"/>
              <w:left w:val="nil"/>
              <w:bottom w:val="nil"/>
              <w:right w:val="nil"/>
            </w:tcBorders>
            <w:tcMar>
              <w:top w:w="0" w:type="dxa"/>
              <w:left w:w="0" w:type="dxa"/>
              <w:bottom w:w="0" w:type="dxa"/>
              <w:right w:w="0" w:type="dxa"/>
            </w:tcMar>
          </w:tcPr>
          <w:p w14:paraId="0BA1A148" w14:textId="77777777" w:rsidR="008E4797" w:rsidRPr="007A1B07" w:rsidRDefault="004F3FE9">
            <w:pPr>
              <w:jc w:val="center"/>
              <w:rPr>
                <w:rFonts w:ascii="Arial" w:eastAsia="Arial" w:hAnsi="Arial" w:cs="Arial"/>
              </w:rPr>
            </w:pPr>
            <w:r w:rsidRPr="007A1B07">
              <w:rPr>
                <w:rFonts w:ascii="Arial" w:eastAsia="Arial" w:hAnsi="Arial" w:cs="Arial"/>
              </w:rPr>
              <w:t xml:space="preserve"> 43.3</w:t>
            </w:r>
          </w:p>
        </w:tc>
      </w:tr>
      <w:tr w:rsidR="008E4797" w:rsidRPr="007A1B07" w14:paraId="43767204" w14:textId="77777777">
        <w:trPr>
          <w:trHeight w:val="276"/>
        </w:trPr>
        <w:tc>
          <w:tcPr>
            <w:tcW w:w="2052" w:type="dxa"/>
            <w:vMerge/>
            <w:tcBorders>
              <w:top w:val="nil"/>
              <w:left w:val="nil"/>
              <w:bottom w:val="nil"/>
              <w:right w:val="nil"/>
            </w:tcBorders>
            <w:tcMar>
              <w:top w:w="0" w:type="dxa"/>
              <w:left w:w="0" w:type="dxa"/>
              <w:bottom w:w="0" w:type="dxa"/>
              <w:right w:w="0" w:type="dxa"/>
            </w:tcMar>
          </w:tcPr>
          <w:p w14:paraId="043C47D0" w14:textId="77777777" w:rsidR="008E4797" w:rsidRPr="007A1B07" w:rsidRDefault="008E4797">
            <w:pPr>
              <w:widowControl w:val="0"/>
              <w:pBdr>
                <w:top w:val="nil"/>
                <w:left w:val="nil"/>
                <w:bottom w:val="nil"/>
                <w:right w:val="nil"/>
                <w:between w:val="nil"/>
              </w:pBdr>
              <w:spacing w:line="276" w:lineRule="auto"/>
              <w:rPr>
                <w:rFonts w:ascii="Arial" w:eastAsia="Arial" w:hAnsi="Arial" w:cs="Arial"/>
              </w:rPr>
            </w:pPr>
          </w:p>
        </w:tc>
        <w:tc>
          <w:tcPr>
            <w:tcW w:w="2052" w:type="dxa"/>
            <w:vMerge/>
            <w:tcBorders>
              <w:top w:val="nil"/>
              <w:left w:val="nil"/>
              <w:bottom w:val="nil"/>
              <w:right w:val="nil"/>
            </w:tcBorders>
            <w:tcMar>
              <w:top w:w="0" w:type="dxa"/>
              <w:left w:w="0" w:type="dxa"/>
              <w:bottom w:w="0" w:type="dxa"/>
              <w:right w:w="0" w:type="dxa"/>
            </w:tcMar>
          </w:tcPr>
          <w:p w14:paraId="179B9FC7" w14:textId="77777777" w:rsidR="008E4797" w:rsidRPr="007A1B07" w:rsidRDefault="008E4797">
            <w:pPr>
              <w:widowControl w:val="0"/>
              <w:pBdr>
                <w:top w:val="nil"/>
                <w:left w:val="nil"/>
                <w:bottom w:val="nil"/>
                <w:right w:val="nil"/>
                <w:between w:val="nil"/>
              </w:pBdr>
              <w:spacing w:line="276" w:lineRule="auto"/>
              <w:rPr>
                <w:rFonts w:ascii="Arial" w:eastAsia="Arial" w:hAnsi="Arial" w:cs="Arial"/>
              </w:rPr>
            </w:pPr>
          </w:p>
        </w:tc>
        <w:tc>
          <w:tcPr>
            <w:tcW w:w="2052" w:type="dxa"/>
            <w:vMerge/>
            <w:tcBorders>
              <w:top w:val="nil"/>
              <w:left w:val="nil"/>
              <w:bottom w:val="nil"/>
              <w:right w:val="nil"/>
            </w:tcBorders>
            <w:tcMar>
              <w:top w:w="0" w:type="dxa"/>
              <w:left w:w="0" w:type="dxa"/>
              <w:bottom w:w="0" w:type="dxa"/>
              <w:right w:w="0" w:type="dxa"/>
            </w:tcMar>
          </w:tcPr>
          <w:p w14:paraId="484D4506" w14:textId="77777777" w:rsidR="008E4797" w:rsidRPr="007A1B07" w:rsidRDefault="008E4797">
            <w:pPr>
              <w:widowControl w:val="0"/>
              <w:pBdr>
                <w:top w:val="nil"/>
                <w:left w:val="nil"/>
                <w:bottom w:val="nil"/>
                <w:right w:val="nil"/>
                <w:between w:val="nil"/>
              </w:pBdr>
              <w:spacing w:line="276" w:lineRule="auto"/>
              <w:rPr>
                <w:rFonts w:ascii="Arial" w:eastAsia="Arial" w:hAnsi="Arial" w:cs="Arial"/>
              </w:rPr>
            </w:pPr>
          </w:p>
        </w:tc>
        <w:tc>
          <w:tcPr>
            <w:tcW w:w="2052" w:type="dxa"/>
            <w:vMerge/>
            <w:tcBorders>
              <w:top w:val="nil"/>
              <w:left w:val="nil"/>
              <w:bottom w:val="nil"/>
              <w:right w:val="nil"/>
            </w:tcBorders>
            <w:tcMar>
              <w:top w:w="0" w:type="dxa"/>
              <w:left w:w="0" w:type="dxa"/>
              <w:bottom w:w="0" w:type="dxa"/>
              <w:right w:w="0" w:type="dxa"/>
            </w:tcMar>
          </w:tcPr>
          <w:p w14:paraId="575DC5B4" w14:textId="77777777" w:rsidR="008E4797" w:rsidRPr="007A1B07" w:rsidRDefault="008E4797">
            <w:pPr>
              <w:widowControl w:val="0"/>
              <w:pBdr>
                <w:top w:val="nil"/>
                <w:left w:val="nil"/>
                <w:bottom w:val="nil"/>
                <w:right w:val="nil"/>
                <w:between w:val="nil"/>
              </w:pBdr>
              <w:spacing w:line="276" w:lineRule="auto"/>
              <w:rPr>
                <w:rFonts w:ascii="Arial" w:eastAsia="Arial" w:hAnsi="Arial" w:cs="Arial"/>
              </w:rPr>
            </w:pPr>
          </w:p>
        </w:tc>
      </w:tr>
      <w:tr w:rsidR="008E4797" w:rsidRPr="007A1B07" w14:paraId="682C2A69" w14:textId="77777777">
        <w:tc>
          <w:tcPr>
            <w:tcW w:w="2052" w:type="dxa"/>
            <w:tcBorders>
              <w:top w:val="single" w:sz="4" w:space="0" w:color="202124"/>
              <w:left w:val="nil"/>
              <w:bottom w:val="nil"/>
              <w:right w:val="nil"/>
            </w:tcBorders>
            <w:tcMar>
              <w:top w:w="0" w:type="dxa"/>
              <w:left w:w="0" w:type="dxa"/>
              <w:bottom w:w="0" w:type="dxa"/>
              <w:right w:w="0" w:type="dxa"/>
            </w:tcMar>
          </w:tcPr>
          <w:p w14:paraId="3200E550" w14:textId="77777777" w:rsidR="008E4797" w:rsidRPr="007A1B07" w:rsidRDefault="004F3FE9">
            <w:pPr>
              <w:rPr>
                <w:rFonts w:ascii="Arial" w:eastAsia="Arial" w:hAnsi="Arial" w:cs="Arial"/>
              </w:rPr>
            </w:pPr>
            <w:r w:rsidRPr="007A1B07">
              <w:rPr>
                <w:rFonts w:ascii="Arial" w:eastAsia="Arial" w:hAnsi="Arial" w:cs="Arial"/>
              </w:rPr>
              <w:t>Sex</w:t>
            </w:r>
          </w:p>
        </w:tc>
        <w:tc>
          <w:tcPr>
            <w:tcW w:w="2052" w:type="dxa"/>
            <w:tcBorders>
              <w:top w:val="single" w:sz="4" w:space="0" w:color="000000"/>
              <w:left w:val="nil"/>
              <w:bottom w:val="nil"/>
              <w:right w:val="nil"/>
            </w:tcBorders>
            <w:tcMar>
              <w:top w:w="0" w:type="dxa"/>
              <w:left w:w="0" w:type="dxa"/>
              <w:bottom w:w="0" w:type="dxa"/>
              <w:right w:w="0" w:type="dxa"/>
            </w:tcMar>
          </w:tcPr>
          <w:p w14:paraId="6769EA14" w14:textId="77777777" w:rsidR="008E4797" w:rsidRPr="007A1B07" w:rsidRDefault="004F3FE9">
            <w:pPr>
              <w:rPr>
                <w:rFonts w:ascii="Arial" w:eastAsia="Arial" w:hAnsi="Arial" w:cs="Arial"/>
              </w:rPr>
            </w:pPr>
            <w:r w:rsidRPr="007A1B07">
              <w:rPr>
                <w:rFonts w:ascii="Arial" w:eastAsia="Arial" w:hAnsi="Arial" w:cs="Arial"/>
              </w:rPr>
              <w:t>Female</w:t>
            </w:r>
          </w:p>
        </w:tc>
        <w:tc>
          <w:tcPr>
            <w:tcW w:w="2052" w:type="dxa"/>
            <w:tcBorders>
              <w:top w:val="single" w:sz="4" w:space="0" w:color="000000"/>
              <w:left w:val="nil"/>
              <w:bottom w:val="nil"/>
              <w:right w:val="nil"/>
            </w:tcBorders>
            <w:tcMar>
              <w:top w:w="0" w:type="dxa"/>
              <w:left w:w="0" w:type="dxa"/>
              <w:bottom w:w="0" w:type="dxa"/>
              <w:right w:w="0" w:type="dxa"/>
            </w:tcMar>
          </w:tcPr>
          <w:p w14:paraId="6545EE0F" w14:textId="77777777" w:rsidR="008E4797" w:rsidRPr="007A1B07" w:rsidRDefault="004F3FE9">
            <w:pPr>
              <w:jc w:val="center"/>
              <w:rPr>
                <w:rFonts w:ascii="Arial" w:eastAsia="Arial" w:hAnsi="Arial" w:cs="Arial"/>
              </w:rPr>
            </w:pPr>
            <w:r w:rsidRPr="007A1B07">
              <w:rPr>
                <w:rFonts w:ascii="Arial" w:eastAsia="Arial" w:hAnsi="Arial" w:cs="Arial"/>
              </w:rPr>
              <w:t xml:space="preserve"> 221</w:t>
            </w:r>
          </w:p>
        </w:tc>
        <w:tc>
          <w:tcPr>
            <w:tcW w:w="2052" w:type="dxa"/>
            <w:tcBorders>
              <w:top w:val="single" w:sz="4" w:space="0" w:color="000000"/>
              <w:left w:val="nil"/>
              <w:bottom w:val="nil"/>
              <w:right w:val="nil"/>
            </w:tcBorders>
            <w:tcMar>
              <w:top w:w="0" w:type="dxa"/>
              <w:left w:w="0" w:type="dxa"/>
              <w:bottom w:w="0" w:type="dxa"/>
              <w:right w:w="0" w:type="dxa"/>
            </w:tcMar>
          </w:tcPr>
          <w:p w14:paraId="46CAABC3" w14:textId="77777777" w:rsidR="008E4797" w:rsidRPr="007A1B07" w:rsidRDefault="004F3FE9">
            <w:pPr>
              <w:jc w:val="center"/>
              <w:rPr>
                <w:rFonts w:ascii="Arial" w:eastAsia="Arial" w:hAnsi="Arial" w:cs="Arial"/>
              </w:rPr>
            </w:pPr>
            <w:r w:rsidRPr="007A1B07">
              <w:rPr>
                <w:rFonts w:ascii="Arial" w:eastAsia="Arial" w:hAnsi="Arial" w:cs="Arial"/>
              </w:rPr>
              <w:t xml:space="preserve"> 80.4</w:t>
            </w:r>
          </w:p>
        </w:tc>
      </w:tr>
      <w:tr w:rsidR="008E4797" w:rsidRPr="007A1B07" w14:paraId="4803ED1F" w14:textId="77777777">
        <w:tc>
          <w:tcPr>
            <w:tcW w:w="2052" w:type="dxa"/>
            <w:tcBorders>
              <w:top w:val="nil"/>
              <w:left w:val="nil"/>
              <w:bottom w:val="single" w:sz="4" w:space="0" w:color="000000"/>
              <w:right w:val="nil"/>
            </w:tcBorders>
            <w:tcMar>
              <w:top w:w="0" w:type="dxa"/>
              <w:left w:w="0" w:type="dxa"/>
              <w:bottom w:w="0" w:type="dxa"/>
              <w:right w:w="0" w:type="dxa"/>
            </w:tcMar>
          </w:tcPr>
          <w:p w14:paraId="0163DE6E" w14:textId="77777777" w:rsidR="008E4797" w:rsidRPr="007A1B07" w:rsidRDefault="004F3FE9">
            <w:pPr>
              <w:rPr>
                <w:rFonts w:ascii="Arial" w:eastAsia="Arial" w:hAnsi="Arial" w:cs="Arial"/>
              </w:rPr>
            </w:pPr>
            <w:r w:rsidRPr="007A1B07">
              <w:rPr>
                <w:rFonts w:ascii="Arial" w:eastAsia="Arial" w:hAnsi="Arial" w:cs="Arial"/>
              </w:rPr>
              <w:t xml:space="preserve"> </w:t>
            </w:r>
          </w:p>
        </w:tc>
        <w:tc>
          <w:tcPr>
            <w:tcW w:w="2052" w:type="dxa"/>
            <w:tcBorders>
              <w:top w:val="nil"/>
              <w:left w:val="nil"/>
              <w:bottom w:val="single" w:sz="4" w:space="0" w:color="000000"/>
              <w:right w:val="nil"/>
            </w:tcBorders>
            <w:tcMar>
              <w:top w:w="0" w:type="dxa"/>
              <w:left w:w="0" w:type="dxa"/>
              <w:bottom w:w="0" w:type="dxa"/>
              <w:right w:w="0" w:type="dxa"/>
            </w:tcMar>
          </w:tcPr>
          <w:p w14:paraId="6F58E518" w14:textId="77777777" w:rsidR="008E4797" w:rsidRPr="007A1B07" w:rsidRDefault="004F3FE9">
            <w:pPr>
              <w:rPr>
                <w:rFonts w:ascii="Arial" w:eastAsia="Arial" w:hAnsi="Arial" w:cs="Arial"/>
              </w:rPr>
            </w:pPr>
            <w:r w:rsidRPr="007A1B07">
              <w:rPr>
                <w:rFonts w:ascii="Arial" w:eastAsia="Arial" w:hAnsi="Arial" w:cs="Arial"/>
              </w:rPr>
              <w:t>Male</w:t>
            </w:r>
          </w:p>
        </w:tc>
        <w:tc>
          <w:tcPr>
            <w:tcW w:w="2052" w:type="dxa"/>
            <w:tcBorders>
              <w:top w:val="nil"/>
              <w:left w:val="nil"/>
              <w:bottom w:val="single" w:sz="4" w:space="0" w:color="000000"/>
              <w:right w:val="nil"/>
            </w:tcBorders>
            <w:tcMar>
              <w:top w:w="0" w:type="dxa"/>
              <w:left w:w="0" w:type="dxa"/>
              <w:bottom w:w="0" w:type="dxa"/>
              <w:right w:w="0" w:type="dxa"/>
            </w:tcMar>
          </w:tcPr>
          <w:p w14:paraId="4059C055" w14:textId="77777777" w:rsidR="008E4797" w:rsidRPr="007A1B07" w:rsidRDefault="004F3FE9">
            <w:pPr>
              <w:jc w:val="center"/>
              <w:rPr>
                <w:rFonts w:ascii="Arial" w:eastAsia="Arial" w:hAnsi="Arial" w:cs="Arial"/>
              </w:rPr>
            </w:pPr>
            <w:r w:rsidRPr="007A1B07">
              <w:rPr>
                <w:rFonts w:ascii="Arial" w:eastAsia="Arial" w:hAnsi="Arial" w:cs="Arial"/>
              </w:rPr>
              <w:t xml:space="preserve"> 54</w:t>
            </w:r>
          </w:p>
        </w:tc>
        <w:tc>
          <w:tcPr>
            <w:tcW w:w="2052" w:type="dxa"/>
            <w:tcBorders>
              <w:top w:val="nil"/>
              <w:left w:val="nil"/>
              <w:bottom w:val="single" w:sz="4" w:space="0" w:color="000000"/>
              <w:right w:val="nil"/>
            </w:tcBorders>
            <w:tcMar>
              <w:top w:w="0" w:type="dxa"/>
              <w:left w:w="0" w:type="dxa"/>
              <w:bottom w:w="0" w:type="dxa"/>
              <w:right w:w="0" w:type="dxa"/>
            </w:tcMar>
          </w:tcPr>
          <w:p w14:paraId="4E345093" w14:textId="77777777" w:rsidR="008E4797" w:rsidRPr="007A1B07" w:rsidRDefault="004F3FE9">
            <w:pPr>
              <w:jc w:val="center"/>
              <w:rPr>
                <w:rFonts w:ascii="Arial" w:eastAsia="Arial" w:hAnsi="Arial" w:cs="Arial"/>
              </w:rPr>
            </w:pPr>
            <w:r w:rsidRPr="007A1B07">
              <w:rPr>
                <w:rFonts w:ascii="Arial" w:eastAsia="Arial" w:hAnsi="Arial" w:cs="Arial"/>
              </w:rPr>
              <w:t xml:space="preserve"> 19.6</w:t>
            </w:r>
          </w:p>
        </w:tc>
      </w:tr>
      <w:tr w:rsidR="008E4797" w:rsidRPr="007A1B07" w14:paraId="1657738D" w14:textId="77777777">
        <w:tc>
          <w:tcPr>
            <w:tcW w:w="2052" w:type="dxa"/>
            <w:tcBorders>
              <w:top w:val="single" w:sz="4" w:space="0" w:color="000000"/>
              <w:left w:val="nil"/>
              <w:bottom w:val="nil"/>
              <w:right w:val="nil"/>
            </w:tcBorders>
            <w:tcMar>
              <w:top w:w="0" w:type="dxa"/>
              <w:left w:w="0" w:type="dxa"/>
              <w:bottom w:w="0" w:type="dxa"/>
              <w:right w:w="0" w:type="dxa"/>
            </w:tcMar>
          </w:tcPr>
          <w:p w14:paraId="59AC904F" w14:textId="77777777" w:rsidR="008E4797" w:rsidRPr="007A1B07" w:rsidRDefault="004F3FE9">
            <w:pPr>
              <w:rPr>
                <w:rFonts w:ascii="Arial" w:eastAsia="Arial" w:hAnsi="Arial" w:cs="Arial"/>
              </w:rPr>
            </w:pPr>
            <w:r w:rsidRPr="007A1B07">
              <w:rPr>
                <w:rFonts w:ascii="Arial" w:eastAsia="Arial" w:hAnsi="Arial" w:cs="Arial"/>
              </w:rPr>
              <w:t>Year Level</w:t>
            </w:r>
          </w:p>
        </w:tc>
        <w:tc>
          <w:tcPr>
            <w:tcW w:w="2052" w:type="dxa"/>
            <w:tcBorders>
              <w:top w:val="single" w:sz="4" w:space="0" w:color="000000"/>
              <w:left w:val="nil"/>
              <w:bottom w:val="nil"/>
              <w:right w:val="nil"/>
            </w:tcBorders>
            <w:tcMar>
              <w:top w:w="0" w:type="dxa"/>
              <w:left w:w="0" w:type="dxa"/>
              <w:bottom w:w="0" w:type="dxa"/>
              <w:right w:w="0" w:type="dxa"/>
            </w:tcMar>
          </w:tcPr>
          <w:p w14:paraId="4C28FC91" w14:textId="77777777" w:rsidR="008E4797" w:rsidRPr="007A1B07" w:rsidRDefault="004F3FE9">
            <w:pPr>
              <w:rPr>
                <w:rFonts w:ascii="Arial" w:eastAsia="Arial" w:hAnsi="Arial" w:cs="Arial"/>
              </w:rPr>
            </w:pPr>
            <w:r w:rsidRPr="007A1B07">
              <w:rPr>
                <w:rFonts w:ascii="Arial" w:eastAsia="Arial" w:hAnsi="Arial" w:cs="Arial"/>
              </w:rPr>
              <w:t>Third Year</w:t>
            </w:r>
          </w:p>
        </w:tc>
        <w:tc>
          <w:tcPr>
            <w:tcW w:w="2052" w:type="dxa"/>
            <w:tcBorders>
              <w:top w:val="single" w:sz="4" w:space="0" w:color="000000"/>
              <w:left w:val="nil"/>
              <w:bottom w:val="nil"/>
              <w:right w:val="nil"/>
            </w:tcBorders>
            <w:tcMar>
              <w:top w:w="0" w:type="dxa"/>
              <w:left w:w="0" w:type="dxa"/>
              <w:bottom w:w="0" w:type="dxa"/>
              <w:right w:w="0" w:type="dxa"/>
            </w:tcMar>
          </w:tcPr>
          <w:p w14:paraId="5B6E26A8" w14:textId="77777777" w:rsidR="008E4797" w:rsidRPr="007A1B07" w:rsidRDefault="004F3FE9">
            <w:pPr>
              <w:jc w:val="center"/>
              <w:rPr>
                <w:rFonts w:ascii="Arial" w:eastAsia="Arial" w:hAnsi="Arial" w:cs="Arial"/>
              </w:rPr>
            </w:pPr>
            <w:r w:rsidRPr="007A1B07">
              <w:rPr>
                <w:rFonts w:ascii="Arial" w:eastAsia="Arial" w:hAnsi="Arial" w:cs="Arial"/>
              </w:rPr>
              <w:t xml:space="preserve"> 127</w:t>
            </w:r>
          </w:p>
        </w:tc>
        <w:tc>
          <w:tcPr>
            <w:tcW w:w="2052" w:type="dxa"/>
            <w:tcBorders>
              <w:top w:val="single" w:sz="4" w:space="0" w:color="000000"/>
              <w:left w:val="nil"/>
              <w:bottom w:val="nil"/>
              <w:right w:val="nil"/>
            </w:tcBorders>
            <w:tcMar>
              <w:top w:w="0" w:type="dxa"/>
              <w:left w:w="0" w:type="dxa"/>
              <w:bottom w:w="0" w:type="dxa"/>
              <w:right w:w="0" w:type="dxa"/>
            </w:tcMar>
          </w:tcPr>
          <w:p w14:paraId="2BCDEF06" w14:textId="77777777" w:rsidR="008E4797" w:rsidRPr="007A1B07" w:rsidRDefault="004F3FE9">
            <w:pPr>
              <w:jc w:val="center"/>
              <w:rPr>
                <w:rFonts w:ascii="Arial" w:eastAsia="Arial" w:hAnsi="Arial" w:cs="Arial"/>
              </w:rPr>
            </w:pPr>
            <w:r w:rsidRPr="007A1B07">
              <w:rPr>
                <w:rFonts w:ascii="Arial" w:eastAsia="Arial" w:hAnsi="Arial" w:cs="Arial"/>
              </w:rPr>
              <w:t xml:space="preserve">46.2 </w:t>
            </w:r>
          </w:p>
        </w:tc>
      </w:tr>
      <w:tr w:rsidR="008E4797" w:rsidRPr="007A1B07" w14:paraId="4706F7EE" w14:textId="77777777">
        <w:tc>
          <w:tcPr>
            <w:tcW w:w="2052" w:type="dxa"/>
            <w:tcBorders>
              <w:top w:val="nil"/>
              <w:left w:val="nil"/>
              <w:bottom w:val="single" w:sz="8" w:space="0" w:color="000000"/>
              <w:right w:val="nil"/>
            </w:tcBorders>
            <w:tcMar>
              <w:top w:w="0" w:type="dxa"/>
              <w:left w:w="0" w:type="dxa"/>
              <w:bottom w:w="0" w:type="dxa"/>
              <w:right w:w="0" w:type="dxa"/>
            </w:tcMar>
          </w:tcPr>
          <w:p w14:paraId="33F8AECE" w14:textId="77777777" w:rsidR="008E4797" w:rsidRPr="007A1B07" w:rsidRDefault="004F3FE9">
            <w:pPr>
              <w:rPr>
                <w:rFonts w:ascii="Arial" w:eastAsia="Arial" w:hAnsi="Arial" w:cs="Arial"/>
              </w:rPr>
            </w:pPr>
            <w:r w:rsidRPr="007A1B07">
              <w:rPr>
                <w:rFonts w:ascii="Arial" w:eastAsia="Arial" w:hAnsi="Arial" w:cs="Arial"/>
              </w:rPr>
              <w:t xml:space="preserve"> </w:t>
            </w:r>
          </w:p>
        </w:tc>
        <w:tc>
          <w:tcPr>
            <w:tcW w:w="2052" w:type="dxa"/>
            <w:tcBorders>
              <w:top w:val="nil"/>
              <w:left w:val="nil"/>
              <w:bottom w:val="single" w:sz="8" w:space="0" w:color="000000"/>
              <w:right w:val="nil"/>
            </w:tcBorders>
            <w:tcMar>
              <w:top w:w="0" w:type="dxa"/>
              <w:left w:w="0" w:type="dxa"/>
              <w:bottom w:w="0" w:type="dxa"/>
              <w:right w:w="0" w:type="dxa"/>
            </w:tcMar>
          </w:tcPr>
          <w:p w14:paraId="6656F2B8" w14:textId="77777777" w:rsidR="008E4797" w:rsidRPr="007A1B07" w:rsidRDefault="004F3FE9">
            <w:pPr>
              <w:rPr>
                <w:rFonts w:ascii="Arial" w:eastAsia="Arial" w:hAnsi="Arial" w:cs="Arial"/>
              </w:rPr>
            </w:pPr>
            <w:r w:rsidRPr="007A1B07">
              <w:rPr>
                <w:rFonts w:ascii="Arial" w:eastAsia="Arial" w:hAnsi="Arial" w:cs="Arial"/>
              </w:rPr>
              <w:t>Fourth Year</w:t>
            </w:r>
          </w:p>
        </w:tc>
        <w:tc>
          <w:tcPr>
            <w:tcW w:w="2052" w:type="dxa"/>
            <w:tcBorders>
              <w:top w:val="nil"/>
              <w:left w:val="nil"/>
              <w:bottom w:val="single" w:sz="8" w:space="0" w:color="000000"/>
              <w:right w:val="nil"/>
            </w:tcBorders>
            <w:tcMar>
              <w:top w:w="0" w:type="dxa"/>
              <w:left w:w="0" w:type="dxa"/>
              <w:bottom w:w="0" w:type="dxa"/>
              <w:right w:w="0" w:type="dxa"/>
            </w:tcMar>
          </w:tcPr>
          <w:p w14:paraId="30AA6D8A" w14:textId="77777777" w:rsidR="008E4797" w:rsidRPr="007A1B07" w:rsidRDefault="004F3FE9">
            <w:pPr>
              <w:jc w:val="center"/>
              <w:rPr>
                <w:rFonts w:ascii="Arial" w:eastAsia="Arial" w:hAnsi="Arial" w:cs="Arial"/>
              </w:rPr>
            </w:pPr>
            <w:r w:rsidRPr="007A1B07">
              <w:rPr>
                <w:rFonts w:ascii="Arial" w:eastAsia="Arial" w:hAnsi="Arial" w:cs="Arial"/>
              </w:rPr>
              <w:t xml:space="preserve"> 148</w:t>
            </w:r>
          </w:p>
        </w:tc>
        <w:tc>
          <w:tcPr>
            <w:tcW w:w="2052" w:type="dxa"/>
            <w:tcBorders>
              <w:top w:val="nil"/>
              <w:left w:val="nil"/>
              <w:bottom w:val="single" w:sz="8" w:space="0" w:color="000000"/>
              <w:right w:val="nil"/>
            </w:tcBorders>
            <w:tcMar>
              <w:top w:w="0" w:type="dxa"/>
              <w:left w:w="0" w:type="dxa"/>
              <w:bottom w:w="0" w:type="dxa"/>
              <w:right w:w="0" w:type="dxa"/>
            </w:tcMar>
          </w:tcPr>
          <w:p w14:paraId="153901CE" w14:textId="77777777" w:rsidR="008E4797" w:rsidRPr="007A1B07" w:rsidRDefault="004F3FE9">
            <w:pPr>
              <w:jc w:val="center"/>
              <w:rPr>
                <w:rFonts w:ascii="Arial" w:eastAsia="Arial" w:hAnsi="Arial" w:cs="Arial"/>
              </w:rPr>
            </w:pPr>
            <w:r w:rsidRPr="007A1B07">
              <w:rPr>
                <w:rFonts w:ascii="Arial" w:eastAsia="Arial" w:hAnsi="Arial" w:cs="Arial"/>
              </w:rPr>
              <w:t xml:space="preserve"> 53.8</w:t>
            </w:r>
          </w:p>
        </w:tc>
      </w:tr>
      <w:tr w:rsidR="008E4797" w:rsidRPr="007A1B07" w14:paraId="34D6504F" w14:textId="77777777">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716232DC" w14:textId="77777777" w:rsidR="008E4797" w:rsidRPr="007A1B07" w:rsidRDefault="008E4797">
            <w:pPr>
              <w:rPr>
                <w:rFonts w:ascii="Arial" w:eastAsia="Arial" w:hAnsi="Arial" w:cs="Arial"/>
                <w:b/>
                <w:bCs/>
              </w:rPr>
            </w:pP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5F46141C" w14:textId="77777777" w:rsidR="008E4797" w:rsidRPr="007A1B07" w:rsidRDefault="004F3FE9">
            <w:pPr>
              <w:rPr>
                <w:rFonts w:ascii="Arial" w:eastAsia="Arial" w:hAnsi="Arial" w:cs="Arial"/>
                <w:b/>
                <w:bCs/>
              </w:rPr>
            </w:pPr>
            <w:r w:rsidRPr="007A1B07">
              <w:rPr>
                <w:rFonts w:ascii="Arial" w:eastAsia="Arial" w:hAnsi="Arial" w:cs="Arial"/>
                <w:b/>
                <w:bCs/>
              </w:rPr>
              <w:t xml:space="preserve"> </w:t>
            </w: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1E7E6F7C" w14:textId="77777777" w:rsidR="008E4797" w:rsidRPr="007A1B07" w:rsidRDefault="004F3FE9">
            <w:pPr>
              <w:jc w:val="center"/>
              <w:rPr>
                <w:rFonts w:ascii="Arial" w:eastAsia="Arial" w:hAnsi="Arial" w:cs="Arial"/>
                <w:b/>
                <w:bCs/>
              </w:rPr>
            </w:pPr>
            <w:r w:rsidRPr="007A1B07">
              <w:rPr>
                <w:rFonts w:ascii="Arial" w:eastAsia="Arial" w:hAnsi="Arial" w:cs="Arial"/>
                <w:b/>
                <w:bCs/>
              </w:rPr>
              <w:t xml:space="preserve"> 275</w:t>
            </w:r>
          </w:p>
        </w:tc>
        <w:tc>
          <w:tcPr>
            <w:tcW w:w="2052" w:type="dxa"/>
            <w:tcBorders>
              <w:top w:val="single" w:sz="8" w:space="0" w:color="000000"/>
              <w:left w:val="nil"/>
              <w:bottom w:val="single" w:sz="8" w:space="0" w:color="000000"/>
              <w:right w:val="nil"/>
            </w:tcBorders>
            <w:tcMar>
              <w:top w:w="0" w:type="dxa"/>
              <w:left w:w="0" w:type="dxa"/>
              <w:bottom w:w="0" w:type="dxa"/>
              <w:right w:w="0" w:type="dxa"/>
            </w:tcMar>
          </w:tcPr>
          <w:p w14:paraId="73879E71" w14:textId="77777777" w:rsidR="008E4797" w:rsidRPr="007A1B07" w:rsidRDefault="004F3FE9">
            <w:pPr>
              <w:rPr>
                <w:rFonts w:ascii="Arial" w:eastAsia="Arial" w:hAnsi="Arial" w:cs="Arial"/>
                <w:b/>
                <w:bCs/>
              </w:rPr>
            </w:pPr>
            <w:r w:rsidRPr="007A1B07">
              <w:rPr>
                <w:rFonts w:ascii="Arial" w:eastAsia="Arial" w:hAnsi="Arial" w:cs="Arial"/>
                <w:b/>
                <w:bCs/>
              </w:rPr>
              <w:t xml:space="preserve">              100.00</w:t>
            </w:r>
          </w:p>
        </w:tc>
      </w:tr>
    </w:tbl>
    <w:p w14:paraId="1CD3B8E6" w14:textId="77777777" w:rsidR="008E4797" w:rsidRPr="007A1B07" w:rsidRDefault="008E4797">
      <w:pPr>
        <w:rPr>
          <w:rFonts w:ascii="Arial" w:eastAsia="Arial" w:hAnsi="Arial" w:cs="Arial"/>
          <w:b/>
          <w:bCs/>
        </w:rPr>
      </w:pPr>
    </w:p>
    <w:p w14:paraId="01690D00" w14:textId="77777777" w:rsidR="008E4797" w:rsidRPr="007A1B07" w:rsidRDefault="004F3FE9">
      <w:pPr>
        <w:rPr>
          <w:rFonts w:ascii="Arial" w:eastAsia="Arial" w:hAnsi="Arial" w:cs="Arial"/>
          <w:b/>
          <w:bCs/>
        </w:rPr>
      </w:pPr>
      <w:r w:rsidRPr="007A1B07">
        <w:rPr>
          <w:rFonts w:ascii="Arial" w:eastAsia="Arial" w:hAnsi="Arial" w:cs="Arial"/>
          <w:b/>
          <w:bCs/>
        </w:rPr>
        <w:t>Table 2a. Level of Traumatic Clinical Experience among the Respondents (n=275)</w:t>
      </w:r>
    </w:p>
    <w:p w14:paraId="36246A61" w14:textId="77777777" w:rsidR="008E4797" w:rsidRPr="007A1B07" w:rsidRDefault="008E4797">
      <w:pPr>
        <w:rPr>
          <w:rFonts w:ascii="Arial" w:eastAsia="Arial" w:hAnsi="Arial" w:cs="Arial"/>
          <w:b/>
          <w:bCs/>
        </w:rPr>
      </w:pPr>
    </w:p>
    <w:tbl>
      <w:tblPr>
        <w:tblStyle w:val="aa"/>
        <w:tblW w:w="8805" w:type="dxa"/>
        <w:tblLayout w:type="fixed"/>
        <w:tblLook w:val="0000" w:firstRow="0" w:lastRow="0" w:firstColumn="0" w:lastColumn="0" w:noHBand="0" w:noVBand="0"/>
      </w:tblPr>
      <w:tblGrid>
        <w:gridCol w:w="6924"/>
        <w:gridCol w:w="1881"/>
      </w:tblGrid>
      <w:tr w:rsidR="008E4797" w:rsidRPr="007A1B07" w14:paraId="1F8FB085" w14:textId="77777777">
        <w:trPr>
          <w:trHeight w:val="209"/>
        </w:trPr>
        <w:tc>
          <w:tcPr>
            <w:tcW w:w="6924" w:type="dxa"/>
            <w:tcBorders>
              <w:top w:val="single" w:sz="4" w:space="0" w:color="000000"/>
              <w:bottom w:val="single" w:sz="4" w:space="0" w:color="000000"/>
            </w:tcBorders>
          </w:tcPr>
          <w:p w14:paraId="2E11D99E" w14:textId="77777777" w:rsidR="008E4797" w:rsidRPr="007A1B07" w:rsidRDefault="004F3FE9">
            <w:pPr>
              <w:spacing w:line="480" w:lineRule="auto"/>
              <w:jc w:val="center"/>
              <w:rPr>
                <w:rFonts w:ascii="Arial" w:eastAsia="Arial" w:hAnsi="Arial" w:cs="Arial"/>
                <w:b/>
                <w:bCs/>
              </w:rPr>
            </w:pPr>
            <w:r w:rsidRPr="007A1B07">
              <w:rPr>
                <w:rFonts w:ascii="Arial" w:eastAsia="Arial" w:hAnsi="Arial" w:cs="Arial"/>
                <w:b/>
                <w:bCs/>
              </w:rPr>
              <w:t>Items</w:t>
            </w:r>
          </w:p>
        </w:tc>
        <w:tc>
          <w:tcPr>
            <w:tcW w:w="1881" w:type="dxa"/>
            <w:tcBorders>
              <w:top w:val="single" w:sz="4" w:space="0" w:color="000000"/>
              <w:bottom w:val="single" w:sz="4" w:space="0" w:color="000000"/>
            </w:tcBorders>
          </w:tcPr>
          <w:p w14:paraId="7DD6412F" w14:textId="77777777" w:rsidR="008E4797" w:rsidRPr="007A1B07" w:rsidRDefault="004F3FE9">
            <w:pPr>
              <w:spacing w:line="480" w:lineRule="auto"/>
              <w:jc w:val="center"/>
              <w:rPr>
                <w:rFonts w:ascii="Arial" w:eastAsia="Arial" w:hAnsi="Arial" w:cs="Arial"/>
                <w:b/>
                <w:bCs/>
              </w:rPr>
            </w:pPr>
            <w:r w:rsidRPr="007A1B07">
              <w:rPr>
                <w:rFonts w:ascii="Arial" w:eastAsia="Arial" w:hAnsi="Arial" w:cs="Arial"/>
                <w:b/>
                <w:bCs/>
              </w:rPr>
              <w:t>Mean</w:t>
            </w:r>
          </w:p>
        </w:tc>
      </w:tr>
      <w:tr w:rsidR="008E4797" w:rsidRPr="007A1B07" w14:paraId="0F08DD2F" w14:textId="77777777">
        <w:trPr>
          <w:trHeight w:val="233"/>
        </w:trPr>
        <w:tc>
          <w:tcPr>
            <w:tcW w:w="6924" w:type="dxa"/>
            <w:tcBorders>
              <w:top w:val="single" w:sz="4" w:space="0" w:color="000000"/>
            </w:tcBorders>
          </w:tcPr>
          <w:p w14:paraId="6673AF50" w14:textId="77777777" w:rsidR="008E4797" w:rsidRPr="007A1B07" w:rsidRDefault="004F3FE9">
            <w:pPr>
              <w:rPr>
                <w:rFonts w:ascii="Arial" w:eastAsia="Arial" w:hAnsi="Arial" w:cs="Arial"/>
                <w:b/>
                <w:bCs/>
              </w:rPr>
            </w:pPr>
            <w:r w:rsidRPr="007A1B07">
              <w:rPr>
                <w:rFonts w:ascii="Arial" w:eastAsia="Arial" w:hAnsi="Arial" w:cs="Arial"/>
                <w:b/>
                <w:bCs/>
                <w:highlight w:val="white"/>
              </w:rPr>
              <w:t>Intrusion</w:t>
            </w:r>
          </w:p>
        </w:tc>
        <w:tc>
          <w:tcPr>
            <w:tcW w:w="1881" w:type="dxa"/>
            <w:tcBorders>
              <w:top w:val="single" w:sz="4" w:space="0" w:color="000000"/>
            </w:tcBorders>
          </w:tcPr>
          <w:p w14:paraId="7F197776" w14:textId="77777777" w:rsidR="008E4797" w:rsidRPr="007A1B07" w:rsidRDefault="008E4797">
            <w:pPr>
              <w:jc w:val="center"/>
              <w:rPr>
                <w:rFonts w:ascii="Arial" w:eastAsia="Arial" w:hAnsi="Arial" w:cs="Arial"/>
                <w:b/>
                <w:bCs/>
              </w:rPr>
            </w:pPr>
          </w:p>
        </w:tc>
      </w:tr>
      <w:tr w:rsidR="008E4797" w:rsidRPr="007A1B07" w14:paraId="140E64F8" w14:textId="77777777">
        <w:trPr>
          <w:trHeight w:val="233"/>
        </w:trPr>
        <w:tc>
          <w:tcPr>
            <w:tcW w:w="6924" w:type="dxa"/>
            <w:vAlign w:val="center"/>
          </w:tcPr>
          <w:p w14:paraId="621A1C87" w14:textId="77777777" w:rsidR="008E4797" w:rsidRPr="007A1B07" w:rsidRDefault="004F3FE9">
            <w:pPr>
              <w:rPr>
                <w:rFonts w:ascii="Arial" w:eastAsia="Arial" w:hAnsi="Arial" w:cs="Arial"/>
              </w:rPr>
            </w:pPr>
            <w:r w:rsidRPr="007A1B07">
              <w:rPr>
                <w:rFonts w:ascii="Arial" w:eastAsia="Arial" w:hAnsi="Arial" w:cs="Arial"/>
              </w:rPr>
              <w:t>I thought about it when I didn't mean to.</w:t>
            </w:r>
          </w:p>
        </w:tc>
        <w:tc>
          <w:tcPr>
            <w:tcW w:w="1881" w:type="dxa"/>
            <w:vAlign w:val="center"/>
          </w:tcPr>
          <w:p w14:paraId="1EC559B0" w14:textId="77777777" w:rsidR="008E4797" w:rsidRPr="007A1B07" w:rsidRDefault="004F3FE9">
            <w:pPr>
              <w:jc w:val="center"/>
              <w:rPr>
                <w:rFonts w:ascii="Arial" w:eastAsia="Arial" w:hAnsi="Arial" w:cs="Arial"/>
              </w:rPr>
            </w:pPr>
            <w:r w:rsidRPr="007A1B07">
              <w:rPr>
                <w:rFonts w:ascii="Arial" w:eastAsia="Arial" w:hAnsi="Arial" w:cs="Arial"/>
              </w:rPr>
              <w:t>1.65</w:t>
            </w:r>
          </w:p>
        </w:tc>
      </w:tr>
      <w:tr w:rsidR="008E4797" w:rsidRPr="007A1B07" w14:paraId="6BAFAC57" w14:textId="77777777">
        <w:trPr>
          <w:trHeight w:val="193"/>
        </w:trPr>
        <w:tc>
          <w:tcPr>
            <w:tcW w:w="6924" w:type="dxa"/>
            <w:vAlign w:val="center"/>
          </w:tcPr>
          <w:p w14:paraId="07444222" w14:textId="77777777" w:rsidR="008E4797" w:rsidRPr="007A1B07" w:rsidRDefault="004F3FE9">
            <w:pPr>
              <w:rPr>
                <w:rFonts w:ascii="Arial" w:eastAsia="Arial" w:hAnsi="Arial" w:cs="Arial"/>
              </w:rPr>
            </w:pPr>
            <w:r w:rsidRPr="007A1B07">
              <w:rPr>
                <w:rFonts w:ascii="Arial" w:eastAsia="Arial" w:hAnsi="Arial" w:cs="Arial"/>
              </w:rPr>
              <w:t>Pictures about it popped into my mind.</w:t>
            </w:r>
          </w:p>
        </w:tc>
        <w:tc>
          <w:tcPr>
            <w:tcW w:w="1881" w:type="dxa"/>
            <w:vAlign w:val="center"/>
          </w:tcPr>
          <w:p w14:paraId="60A9C321" w14:textId="77777777" w:rsidR="008E4797" w:rsidRPr="007A1B07" w:rsidRDefault="004F3FE9">
            <w:pPr>
              <w:jc w:val="center"/>
              <w:rPr>
                <w:rFonts w:ascii="Arial" w:eastAsia="Arial" w:hAnsi="Arial" w:cs="Arial"/>
              </w:rPr>
            </w:pPr>
            <w:r w:rsidRPr="007A1B07">
              <w:rPr>
                <w:rFonts w:ascii="Arial" w:eastAsia="Arial" w:hAnsi="Arial" w:cs="Arial"/>
              </w:rPr>
              <w:t>1.56</w:t>
            </w:r>
          </w:p>
        </w:tc>
      </w:tr>
      <w:tr w:rsidR="008E4797" w:rsidRPr="007A1B07" w14:paraId="6F6BB35C" w14:textId="77777777">
        <w:trPr>
          <w:trHeight w:val="241"/>
        </w:trPr>
        <w:tc>
          <w:tcPr>
            <w:tcW w:w="6924" w:type="dxa"/>
            <w:vAlign w:val="center"/>
          </w:tcPr>
          <w:p w14:paraId="4D738043" w14:textId="77777777" w:rsidR="008E4797" w:rsidRPr="007A1B07" w:rsidRDefault="004F3FE9">
            <w:pPr>
              <w:rPr>
                <w:rFonts w:ascii="Arial" w:eastAsia="Arial" w:hAnsi="Arial" w:cs="Arial"/>
              </w:rPr>
            </w:pPr>
            <w:r w:rsidRPr="007A1B07">
              <w:rPr>
                <w:rFonts w:ascii="Arial" w:eastAsia="Arial" w:hAnsi="Arial" w:cs="Arial"/>
              </w:rPr>
              <w:t>Any reminder brought back feelings about it.</w:t>
            </w:r>
          </w:p>
        </w:tc>
        <w:tc>
          <w:tcPr>
            <w:tcW w:w="1881" w:type="dxa"/>
            <w:vAlign w:val="center"/>
          </w:tcPr>
          <w:p w14:paraId="630C7184" w14:textId="77777777" w:rsidR="008E4797" w:rsidRPr="007A1B07" w:rsidRDefault="004F3FE9">
            <w:pPr>
              <w:jc w:val="center"/>
              <w:rPr>
                <w:rFonts w:ascii="Arial" w:eastAsia="Arial" w:hAnsi="Arial" w:cs="Arial"/>
              </w:rPr>
            </w:pPr>
            <w:r w:rsidRPr="007A1B07">
              <w:rPr>
                <w:rFonts w:ascii="Arial" w:eastAsia="Arial" w:hAnsi="Arial" w:cs="Arial"/>
              </w:rPr>
              <w:t>1.55</w:t>
            </w:r>
          </w:p>
        </w:tc>
      </w:tr>
      <w:tr w:rsidR="008E4797" w:rsidRPr="007A1B07" w14:paraId="025939CF" w14:textId="77777777">
        <w:trPr>
          <w:trHeight w:val="225"/>
        </w:trPr>
        <w:tc>
          <w:tcPr>
            <w:tcW w:w="6924" w:type="dxa"/>
            <w:vAlign w:val="center"/>
          </w:tcPr>
          <w:p w14:paraId="11CCCB88" w14:textId="77777777" w:rsidR="008E4797" w:rsidRPr="007A1B07" w:rsidRDefault="004F3FE9">
            <w:pPr>
              <w:rPr>
                <w:rFonts w:ascii="Arial" w:eastAsia="Arial" w:hAnsi="Arial" w:cs="Arial"/>
              </w:rPr>
            </w:pPr>
            <w:r w:rsidRPr="007A1B07">
              <w:rPr>
                <w:rFonts w:ascii="Arial" w:eastAsia="Arial" w:hAnsi="Arial" w:cs="Arial"/>
              </w:rPr>
              <w:t>Other things kept me thinking about it.</w:t>
            </w:r>
          </w:p>
        </w:tc>
        <w:tc>
          <w:tcPr>
            <w:tcW w:w="1881" w:type="dxa"/>
            <w:vAlign w:val="center"/>
          </w:tcPr>
          <w:p w14:paraId="78A8E4AA" w14:textId="77777777" w:rsidR="008E4797" w:rsidRPr="007A1B07" w:rsidRDefault="004F3FE9">
            <w:pPr>
              <w:jc w:val="center"/>
              <w:rPr>
                <w:rFonts w:ascii="Arial" w:eastAsia="Arial" w:hAnsi="Arial" w:cs="Arial"/>
              </w:rPr>
            </w:pPr>
            <w:r w:rsidRPr="007A1B07">
              <w:rPr>
                <w:rFonts w:ascii="Arial" w:eastAsia="Arial" w:hAnsi="Arial" w:cs="Arial"/>
              </w:rPr>
              <w:t>1.54</w:t>
            </w:r>
          </w:p>
        </w:tc>
      </w:tr>
      <w:tr w:rsidR="008E4797" w:rsidRPr="007A1B07" w14:paraId="55F295A5" w14:textId="77777777">
        <w:trPr>
          <w:trHeight w:val="225"/>
        </w:trPr>
        <w:tc>
          <w:tcPr>
            <w:tcW w:w="6924" w:type="dxa"/>
            <w:vAlign w:val="center"/>
          </w:tcPr>
          <w:p w14:paraId="340B6AFB" w14:textId="77777777" w:rsidR="008E4797" w:rsidRPr="007A1B07" w:rsidRDefault="004F3FE9">
            <w:pPr>
              <w:rPr>
                <w:rFonts w:ascii="Arial" w:eastAsia="Arial" w:hAnsi="Arial" w:cs="Arial"/>
              </w:rPr>
            </w:pPr>
            <w:r w:rsidRPr="007A1B07">
              <w:rPr>
                <w:rFonts w:ascii="Arial" w:eastAsia="Arial" w:hAnsi="Arial" w:cs="Arial"/>
              </w:rPr>
              <w:t>I had trouble staying asleep.</w:t>
            </w:r>
          </w:p>
        </w:tc>
        <w:tc>
          <w:tcPr>
            <w:tcW w:w="1881" w:type="dxa"/>
            <w:vAlign w:val="center"/>
          </w:tcPr>
          <w:p w14:paraId="3513DC2E" w14:textId="77777777" w:rsidR="008E4797" w:rsidRPr="007A1B07" w:rsidRDefault="004F3FE9">
            <w:pPr>
              <w:jc w:val="center"/>
              <w:rPr>
                <w:rFonts w:ascii="Arial" w:eastAsia="Arial" w:hAnsi="Arial" w:cs="Arial"/>
              </w:rPr>
            </w:pPr>
            <w:r w:rsidRPr="007A1B07">
              <w:rPr>
                <w:rFonts w:ascii="Arial" w:eastAsia="Arial" w:hAnsi="Arial" w:cs="Arial"/>
              </w:rPr>
              <w:t>1.28</w:t>
            </w:r>
          </w:p>
        </w:tc>
      </w:tr>
      <w:tr w:rsidR="008E4797" w:rsidRPr="007A1B07" w14:paraId="2F344FC9" w14:textId="77777777">
        <w:trPr>
          <w:trHeight w:val="209"/>
        </w:trPr>
        <w:tc>
          <w:tcPr>
            <w:tcW w:w="6924" w:type="dxa"/>
            <w:vAlign w:val="center"/>
          </w:tcPr>
          <w:p w14:paraId="5663B8FA" w14:textId="77777777" w:rsidR="008E4797" w:rsidRPr="007A1B07" w:rsidRDefault="004F3FE9">
            <w:pPr>
              <w:rPr>
                <w:rFonts w:ascii="Arial" w:eastAsia="Arial" w:hAnsi="Arial" w:cs="Arial"/>
              </w:rPr>
            </w:pPr>
            <w:r w:rsidRPr="007A1B07">
              <w:rPr>
                <w:rFonts w:ascii="Arial" w:eastAsia="Arial" w:hAnsi="Arial" w:cs="Arial"/>
              </w:rPr>
              <w:t>I found myself acting or feeling like I was back at that time.</w:t>
            </w:r>
          </w:p>
        </w:tc>
        <w:tc>
          <w:tcPr>
            <w:tcW w:w="1881" w:type="dxa"/>
            <w:vAlign w:val="center"/>
          </w:tcPr>
          <w:p w14:paraId="4ABC2716" w14:textId="77777777" w:rsidR="008E4797" w:rsidRPr="007A1B07" w:rsidRDefault="004F3FE9">
            <w:pPr>
              <w:jc w:val="center"/>
              <w:rPr>
                <w:rFonts w:ascii="Arial" w:eastAsia="Arial" w:hAnsi="Arial" w:cs="Arial"/>
              </w:rPr>
            </w:pPr>
            <w:r w:rsidRPr="007A1B07">
              <w:rPr>
                <w:rFonts w:ascii="Arial" w:eastAsia="Arial" w:hAnsi="Arial" w:cs="Arial"/>
              </w:rPr>
              <w:t>1.28</w:t>
            </w:r>
          </w:p>
        </w:tc>
      </w:tr>
      <w:tr w:rsidR="008E4797" w:rsidRPr="007A1B07" w14:paraId="0EBBD4ED" w14:textId="77777777">
        <w:trPr>
          <w:trHeight w:val="193"/>
        </w:trPr>
        <w:tc>
          <w:tcPr>
            <w:tcW w:w="6924" w:type="dxa"/>
            <w:vAlign w:val="center"/>
          </w:tcPr>
          <w:p w14:paraId="04E58EDE" w14:textId="77777777" w:rsidR="008E4797" w:rsidRPr="007A1B07" w:rsidRDefault="004F3FE9">
            <w:pPr>
              <w:rPr>
                <w:rFonts w:ascii="Arial" w:eastAsia="Arial" w:hAnsi="Arial" w:cs="Arial"/>
              </w:rPr>
            </w:pPr>
            <w:r w:rsidRPr="007A1B07">
              <w:rPr>
                <w:rFonts w:ascii="Arial" w:eastAsia="Arial" w:hAnsi="Arial" w:cs="Arial"/>
              </w:rPr>
              <w:t>I had waves of strong feelings about it.</w:t>
            </w:r>
          </w:p>
        </w:tc>
        <w:tc>
          <w:tcPr>
            <w:tcW w:w="1881" w:type="dxa"/>
            <w:vAlign w:val="center"/>
          </w:tcPr>
          <w:p w14:paraId="75A67AA4" w14:textId="77777777" w:rsidR="008E4797" w:rsidRPr="007A1B07" w:rsidRDefault="004F3FE9">
            <w:pPr>
              <w:jc w:val="center"/>
              <w:rPr>
                <w:rFonts w:ascii="Arial" w:eastAsia="Arial" w:hAnsi="Arial" w:cs="Arial"/>
              </w:rPr>
            </w:pPr>
            <w:r w:rsidRPr="007A1B07">
              <w:rPr>
                <w:rFonts w:ascii="Arial" w:eastAsia="Arial" w:hAnsi="Arial" w:cs="Arial"/>
              </w:rPr>
              <w:t>1.28</w:t>
            </w:r>
          </w:p>
        </w:tc>
      </w:tr>
      <w:tr w:rsidR="008E4797" w:rsidRPr="007A1B07" w14:paraId="25AF4EAB" w14:textId="77777777">
        <w:trPr>
          <w:trHeight w:val="241"/>
        </w:trPr>
        <w:tc>
          <w:tcPr>
            <w:tcW w:w="6924" w:type="dxa"/>
            <w:vAlign w:val="center"/>
          </w:tcPr>
          <w:p w14:paraId="56E43893" w14:textId="77777777" w:rsidR="008E4797" w:rsidRPr="007A1B07" w:rsidRDefault="004F3FE9">
            <w:pPr>
              <w:rPr>
                <w:rFonts w:ascii="Arial" w:eastAsia="Arial" w:hAnsi="Arial" w:cs="Arial"/>
              </w:rPr>
            </w:pPr>
            <w:r w:rsidRPr="007A1B07">
              <w:rPr>
                <w:rFonts w:ascii="Arial" w:eastAsia="Arial" w:hAnsi="Arial" w:cs="Arial"/>
              </w:rPr>
              <w:t>I had dreams about it.</w:t>
            </w:r>
          </w:p>
        </w:tc>
        <w:tc>
          <w:tcPr>
            <w:tcW w:w="1881" w:type="dxa"/>
            <w:vAlign w:val="center"/>
          </w:tcPr>
          <w:p w14:paraId="0C5B4D40" w14:textId="77777777" w:rsidR="008E4797" w:rsidRPr="007A1B07" w:rsidRDefault="004F3FE9">
            <w:pPr>
              <w:jc w:val="center"/>
              <w:rPr>
                <w:rFonts w:ascii="Arial" w:eastAsia="Arial" w:hAnsi="Arial" w:cs="Arial"/>
              </w:rPr>
            </w:pPr>
            <w:r w:rsidRPr="007A1B07">
              <w:rPr>
                <w:rFonts w:ascii="Arial" w:eastAsia="Arial" w:hAnsi="Arial" w:cs="Arial"/>
              </w:rPr>
              <w:t>1.01</w:t>
            </w:r>
          </w:p>
        </w:tc>
      </w:tr>
      <w:tr w:rsidR="008E4797" w:rsidRPr="007A1B07" w14:paraId="6B569BD6" w14:textId="77777777">
        <w:trPr>
          <w:trHeight w:val="241"/>
        </w:trPr>
        <w:tc>
          <w:tcPr>
            <w:tcW w:w="6924" w:type="dxa"/>
            <w:vAlign w:val="center"/>
          </w:tcPr>
          <w:p w14:paraId="5169B55C" w14:textId="77777777" w:rsidR="008E4797" w:rsidRPr="007A1B07" w:rsidRDefault="004F3FE9">
            <w:pPr>
              <w:jc w:val="center"/>
              <w:rPr>
                <w:rFonts w:ascii="Arial" w:eastAsia="Arial" w:hAnsi="Arial" w:cs="Arial"/>
                <w:b/>
                <w:bCs/>
              </w:rPr>
            </w:pPr>
            <w:r w:rsidRPr="007A1B07">
              <w:rPr>
                <w:rFonts w:ascii="Arial" w:eastAsia="Arial" w:hAnsi="Arial" w:cs="Arial"/>
                <w:b/>
                <w:bCs/>
              </w:rPr>
              <w:t>Mean Intrusion Score</w:t>
            </w:r>
          </w:p>
        </w:tc>
        <w:tc>
          <w:tcPr>
            <w:tcW w:w="1881" w:type="dxa"/>
            <w:vAlign w:val="center"/>
          </w:tcPr>
          <w:p w14:paraId="5F5F6FF3" w14:textId="77777777" w:rsidR="008E4797" w:rsidRPr="007A1B07" w:rsidRDefault="004F3FE9">
            <w:pPr>
              <w:jc w:val="center"/>
              <w:rPr>
                <w:rFonts w:ascii="Arial" w:eastAsia="Arial" w:hAnsi="Arial" w:cs="Arial"/>
                <w:b/>
                <w:bCs/>
              </w:rPr>
            </w:pPr>
            <w:r w:rsidRPr="007A1B07">
              <w:rPr>
                <w:rFonts w:ascii="Arial" w:eastAsia="Arial" w:hAnsi="Arial" w:cs="Arial"/>
                <w:b/>
                <w:bCs/>
              </w:rPr>
              <w:t>1.39</w:t>
            </w:r>
          </w:p>
        </w:tc>
      </w:tr>
      <w:tr w:rsidR="008E4797" w:rsidRPr="007A1B07" w14:paraId="5A723BE8" w14:textId="77777777">
        <w:trPr>
          <w:trHeight w:val="177"/>
        </w:trPr>
        <w:tc>
          <w:tcPr>
            <w:tcW w:w="6924" w:type="dxa"/>
          </w:tcPr>
          <w:p w14:paraId="74A5436B" w14:textId="77777777" w:rsidR="008E4797" w:rsidRPr="007A1B07" w:rsidRDefault="004F3FE9">
            <w:pPr>
              <w:rPr>
                <w:rFonts w:ascii="Arial" w:eastAsia="Arial" w:hAnsi="Arial" w:cs="Arial"/>
                <w:b/>
                <w:bCs/>
              </w:rPr>
            </w:pPr>
            <w:r w:rsidRPr="007A1B07">
              <w:rPr>
                <w:rFonts w:ascii="Arial" w:eastAsia="Arial" w:hAnsi="Arial" w:cs="Arial"/>
                <w:b/>
                <w:bCs/>
                <w:highlight w:val="white"/>
              </w:rPr>
              <w:t>Avoidance</w:t>
            </w:r>
          </w:p>
        </w:tc>
        <w:tc>
          <w:tcPr>
            <w:tcW w:w="1881" w:type="dxa"/>
          </w:tcPr>
          <w:p w14:paraId="0318689F" w14:textId="77777777" w:rsidR="008E4797" w:rsidRPr="007A1B07" w:rsidRDefault="008E4797">
            <w:pPr>
              <w:jc w:val="center"/>
              <w:rPr>
                <w:rFonts w:ascii="Arial" w:eastAsia="Arial" w:hAnsi="Arial" w:cs="Arial"/>
                <w:b/>
                <w:bCs/>
              </w:rPr>
            </w:pPr>
          </w:p>
        </w:tc>
      </w:tr>
      <w:tr w:rsidR="008E4797" w:rsidRPr="007A1B07" w14:paraId="442113ED" w14:textId="77777777">
        <w:trPr>
          <w:trHeight w:val="177"/>
        </w:trPr>
        <w:tc>
          <w:tcPr>
            <w:tcW w:w="6924" w:type="dxa"/>
            <w:vAlign w:val="center"/>
          </w:tcPr>
          <w:p w14:paraId="6B710A33" w14:textId="77777777" w:rsidR="008E4797" w:rsidRPr="007A1B07" w:rsidRDefault="004F3FE9">
            <w:pPr>
              <w:rPr>
                <w:rFonts w:ascii="Arial" w:eastAsia="Arial" w:hAnsi="Arial" w:cs="Arial"/>
              </w:rPr>
            </w:pPr>
            <w:r w:rsidRPr="007A1B07">
              <w:rPr>
                <w:rFonts w:ascii="Arial" w:eastAsia="Arial" w:hAnsi="Arial" w:cs="Arial"/>
              </w:rPr>
              <w:t>I avoided letting myself get upset when I thought about it or was reminded of it.</w:t>
            </w:r>
          </w:p>
        </w:tc>
        <w:tc>
          <w:tcPr>
            <w:tcW w:w="1881" w:type="dxa"/>
            <w:vAlign w:val="center"/>
          </w:tcPr>
          <w:p w14:paraId="6AA12BFA" w14:textId="77777777" w:rsidR="008E4797" w:rsidRPr="007A1B07" w:rsidRDefault="004F3FE9">
            <w:pPr>
              <w:jc w:val="center"/>
              <w:rPr>
                <w:rFonts w:ascii="Arial" w:eastAsia="Arial" w:hAnsi="Arial" w:cs="Arial"/>
              </w:rPr>
            </w:pPr>
            <w:r w:rsidRPr="007A1B07">
              <w:rPr>
                <w:rFonts w:ascii="Arial" w:eastAsia="Arial" w:hAnsi="Arial" w:cs="Arial"/>
              </w:rPr>
              <w:t>1.89</w:t>
            </w:r>
          </w:p>
        </w:tc>
      </w:tr>
      <w:tr w:rsidR="008E4797" w:rsidRPr="007A1B07" w14:paraId="16A0940B" w14:textId="77777777">
        <w:trPr>
          <w:trHeight w:val="265"/>
        </w:trPr>
        <w:tc>
          <w:tcPr>
            <w:tcW w:w="6924" w:type="dxa"/>
            <w:vAlign w:val="center"/>
          </w:tcPr>
          <w:p w14:paraId="44063979" w14:textId="77777777" w:rsidR="008E4797" w:rsidRPr="007A1B07" w:rsidRDefault="004F3FE9">
            <w:pPr>
              <w:rPr>
                <w:rFonts w:ascii="Arial" w:eastAsia="Arial" w:hAnsi="Arial" w:cs="Arial"/>
              </w:rPr>
            </w:pPr>
            <w:r w:rsidRPr="007A1B07">
              <w:rPr>
                <w:rFonts w:ascii="Arial" w:eastAsia="Arial" w:hAnsi="Arial" w:cs="Arial"/>
              </w:rPr>
              <w:t>I tried not to think about it.</w:t>
            </w:r>
          </w:p>
        </w:tc>
        <w:tc>
          <w:tcPr>
            <w:tcW w:w="1881" w:type="dxa"/>
            <w:vAlign w:val="center"/>
          </w:tcPr>
          <w:p w14:paraId="3DD7B0A6" w14:textId="77777777" w:rsidR="008E4797" w:rsidRPr="007A1B07" w:rsidRDefault="004F3FE9">
            <w:pPr>
              <w:jc w:val="center"/>
              <w:rPr>
                <w:rFonts w:ascii="Arial" w:eastAsia="Arial" w:hAnsi="Arial" w:cs="Arial"/>
              </w:rPr>
            </w:pPr>
            <w:r w:rsidRPr="007A1B07">
              <w:rPr>
                <w:rFonts w:ascii="Arial" w:eastAsia="Arial" w:hAnsi="Arial" w:cs="Arial"/>
              </w:rPr>
              <w:t>1.84</w:t>
            </w:r>
          </w:p>
        </w:tc>
      </w:tr>
      <w:tr w:rsidR="008E4797" w:rsidRPr="007A1B07" w14:paraId="77CC0A81" w14:textId="77777777">
        <w:trPr>
          <w:trHeight w:val="265"/>
        </w:trPr>
        <w:tc>
          <w:tcPr>
            <w:tcW w:w="6924" w:type="dxa"/>
            <w:vAlign w:val="center"/>
          </w:tcPr>
          <w:p w14:paraId="295C2544" w14:textId="77777777" w:rsidR="008E4797" w:rsidRPr="007A1B07" w:rsidRDefault="004F3FE9">
            <w:pPr>
              <w:rPr>
                <w:rFonts w:ascii="Arial" w:eastAsia="Arial" w:hAnsi="Arial" w:cs="Arial"/>
              </w:rPr>
            </w:pPr>
            <w:r w:rsidRPr="007A1B07">
              <w:rPr>
                <w:rFonts w:ascii="Arial" w:eastAsia="Arial" w:hAnsi="Arial" w:cs="Arial"/>
              </w:rPr>
              <w:t>I tried not to talk about it.</w:t>
            </w:r>
          </w:p>
        </w:tc>
        <w:tc>
          <w:tcPr>
            <w:tcW w:w="1881" w:type="dxa"/>
            <w:vAlign w:val="center"/>
          </w:tcPr>
          <w:p w14:paraId="4F0E6F2E" w14:textId="77777777" w:rsidR="008E4797" w:rsidRPr="007A1B07" w:rsidRDefault="004F3FE9">
            <w:pPr>
              <w:jc w:val="center"/>
              <w:rPr>
                <w:rFonts w:ascii="Arial" w:eastAsia="Arial" w:hAnsi="Arial" w:cs="Arial"/>
              </w:rPr>
            </w:pPr>
            <w:r w:rsidRPr="007A1B07">
              <w:rPr>
                <w:rFonts w:ascii="Arial" w:eastAsia="Arial" w:hAnsi="Arial" w:cs="Arial"/>
              </w:rPr>
              <w:t>1.68</w:t>
            </w:r>
          </w:p>
        </w:tc>
      </w:tr>
      <w:tr w:rsidR="008E4797" w:rsidRPr="007A1B07" w14:paraId="7811484A" w14:textId="77777777">
        <w:trPr>
          <w:trHeight w:val="145"/>
        </w:trPr>
        <w:tc>
          <w:tcPr>
            <w:tcW w:w="6924" w:type="dxa"/>
            <w:vAlign w:val="center"/>
          </w:tcPr>
          <w:p w14:paraId="69BBEC0D" w14:textId="77777777" w:rsidR="008E4797" w:rsidRPr="007A1B07" w:rsidRDefault="004F3FE9">
            <w:pPr>
              <w:rPr>
                <w:rFonts w:ascii="Arial" w:eastAsia="Arial" w:hAnsi="Arial" w:cs="Arial"/>
              </w:rPr>
            </w:pPr>
            <w:r w:rsidRPr="007A1B07">
              <w:rPr>
                <w:rFonts w:ascii="Arial" w:eastAsia="Arial" w:hAnsi="Arial" w:cs="Arial"/>
              </w:rPr>
              <w:t>I was aware that I still have a lot of feelings about it, but I didn't deal with them.</w:t>
            </w:r>
          </w:p>
        </w:tc>
        <w:tc>
          <w:tcPr>
            <w:tcW w:w="1881" w:type="dxa"/>
            <w:vAlign w:val="center"/>
          </w:tcPr>
          <w:p w14:paraId="695B8BDB" w14:textId="77777777" w:rsidR="008E4797" w:rsidRPr="007A1B07" w:rsidRDefault="004F3FE9">
            <w:pPr>
              <w:jc w:val="center"/>
              <w:rPr>
                <w:rFonts w:ascii="Arial" w:eastAsia="Arial" w:hAnsi="Arial" w:cs="Arial"/>
              </w:rPr>
            </w:pPr>
            <w:r w:rsidRPr="007A1B07">
              <w:rPr>
                <w:rFonts w:ascii="Arial" w:eastAsia="Arial" w:hAnsi="Arial" w:cs="Arial"/>
              </w:rPr>
              <w:t>1.61</w:t>
            </w:r>
          </w:p>
        </w:tc>
      </w:tr>
      <w:tr w:rsidR="008E4797" w:rsidRPr="007A1B07" w14:paraId="75A8A05D" w14:textId="77777777">
        <w:trPr>
          <w:trHeight w:val="161"/>
        </w:trPr>
        <w:tc>
          <w:tcPr>
            <w:tcW w:w="6924" w:type="dxa"/>
            <w:vAlign w:val="center"/>
          </w:tcPr>
          <w:p w14:paraId="4A0F4920" w14:textId="77777777" w:rsidR="008E4797" w:rsidRPr="007A1B07" w:rsidRDefault="004F3FE9">
            <w:pPr>
              <w:rPr>
                <w:rFonts w:ascii="Arial" w:eastAsia="Arial" w:hAnsi="Arial" w:cs="Arial"/>
              </w:rPr>
            </w:pPr>
            <w:r w:rsidRPr="007A1B07">
              <w:rPr>
                <w:rFonts w:ascii="Arial" w:eastAsia="Arial" w:hAnsi="Arial" w:cs="Arial"/>
              </w:rPr>
              <w:t>I tried to remove it from my memory.</w:t>
            </w:r>
          </w:p>
        </w:tc>
        <w:tc>
          <w:tcPr>
            <w:tcW w:w="1881" w:type="dxa"/>
            <w:vAlign w:val="center"/>
          </w:tcPr>
          <w:p w14:paraId="47752F69" w14:textId="77777777" w:rsidR="008E4797" w:rsidRPr="007A1B07" w:rsidRDefault="004F3FE9">
            <w:pPr>
              <w:jc w:val="center"/>
              <w:rPr>
                <w:rFonts w:ascii="Arial" w:eastAsia="Arial" w:hAnsi="Arial" w:cs="Arial"/>
              </w:rPr>
            </w:pPr>
            <w:r w:rsidRPr="007A1B07">
              <w:rPr>
                <w:rFonts w:ascii="Arial" w:eastAsia="Arial" w:hAnsi="Arial" w:cs="Arial"/>
              </w:rPr>
              <w:t>1.60</w:t>
            </w:r>
          </w:p>
        </w:tc>
      </w:tr>
      <w:tr w:rsidR="008E4797" w:rsidRPr="007A1B07" w14:paraId="02EC4114" w14:textId="77777777">
        <w:trPr>
          <w:trHeight w:val="282"/>
        </w:trPr>
        <w:tc>
          <w:tcPr>
            <w:tcW w:w="6924" w:type="dxa"/>
            <w:vAlign w:val="center"/>
          </w:tcPr>
          <w:p w14:paraId="611D0C17" w14:textId="77777777" w:rsidR="008E4797" w:rsidRPr="007A1B07" w:rsidRDefault="004F3FE9">
            <w:pPr>
              <w:rPr>
                <w:rFonts w:ascii="Arial" w:eastAsia="Arial" w:hAnsi="Arial" w:cs="Arial"/>
              </w:rPr>
            </w:pPr>
            <w:r w:rsidRPr="007A1B07">
              <w:rPr>
                <w:rFonts w:ascii="Arial" w:eastAsia="Arial" w:hAnsi="Arial" w:cs="Arial"/>
              </w:rPr>
              <w:t>I stayed away from reminders of it.</w:t>
            </w:r>
          </w:p>
        </w:tc>
        <w:tc>
          <w:tcPr>
            <w:tcW w:w="1881" w:type="dxa"/>
            <w:vAlign w:val="center"/>
          </w:tcPr>
          <w:p w14:paraId="3265B562" w14:textId="77777777" w:rsidR="008E4797" w:rsidRPr="007A1B07" w:rsidRDefault="004F3FE9">
            <w:pPr>
              <w:jc w:val="center"/>
              <w:rPr>
                <w:rFonts w:ascii="Arial" w:eastAsia="Arial" w:hAnsi="Arial" w:cs="Arial"/>
              </w:rPr>
            </w:pPr>
            <w:r w:rsidRPr="007A1B07">
              <w:rPr>
                <w:rFonts w:ascii="Arial" w:eastAsia="Arial" w:hAnsi="Arial" w:cs="Arial"/>
              </w:rPr>
              <w:t>1.58</w:t>
            </w:r>
          </w:p>
        </w:tc>
      </w:tr>
      <w:tr w:rsidR="008E4797" w:rsidRPr="007A1B07" w14:paraId="09D2E578" w14:textId="77777777">
        <w:trPr>
          <w:trHeight w:val="153"/>
        </w:trPr>
        <w:tc>
          <w:tcPr>
            <w:tcW w:w="6924" w:type="dxa"/>
            <w:vAlign w:val="center"/>
          </w:tcPr>
          <w:p w14:paraId="3C8952E4" w14:textId="77777777" w:rsidR="008E4797" w:rsidRPr="007A1B07" w:rsidRDefault="004F3FE9">
            <w:pPr>
              <w:rPr>
                <w:rFonts w:ascii="Arial" w:eastAsia="Arial" w:hAnsi="Arial" w:cs="Arial"/>
              </w:rPr>
            </w:pPr>
            <w:r w:rsidRPr="007A1B07">
              <w:rPr>
                <w:rFonts w:ascii="Arial" w:eastAsia="Arial" w:hAnsi="Arial" w:cs="Arial"/>
              </w:rPr>
              <w:t>My feelings about it were kind of numb.</w:t>
            </w:r>
          </w:p>
        </w:tc>
        <w:tc>
          <w:tcPr>
            <w:tcW w:w="1881" w:type="dxa"/>
            <w:vAlign w:val="center"/>
          </w:tcPr>
          <w:p w14:paraId="7B3DB843" w14:textId="77777777" w:rsidR="008E4797" w:rsidRPr="007A1B07" w:rsidRDefault="004F3FE9">
            <w:pPr>
              <w:jc w:val="center"/>
              <w:rPr>
                <w:rFonts w:ascii="Arial" w:eastAsia="Arial" w:hAnsi="Arial" w:cs="Arial"/>
              </w:rPr>
            </w:pPr>
            <w:r w:rsidRPr="007A1B07">
              <w:rPr>
                <w:rFonts w:ascii="Arial" w:eastAsia="Arial" w:hAnsi="Arial" w:cs="Arial"/>
              </w:rPr>
              <w:t>1.48</w:t>
            </w:r>
          </w:p>
        </w:tc>
      </w:tr>
      <w:tr w:rsidR="008E4797" w:rsidRPr="007A1B07" w14:paraId="62064C27" w14:textId="77777777">
        <w:trPr>
          <w:trHeight w:val="201"/>
        </w:trPr>
        <w:tc>
          <w:tcPr>
            <w:tcW w:w="6924" w:type="dxa"/>
            <w:vAlign w:val="center"/>
          </w:tcPr>
          <w:p w14:paraId="7AB9DB45" w14:textId="77777777" w:rsidR="008E4797" w:rsidRPr="007A1B07" w:rsidRDefault="004F3FE9">
            <w:pPr>
              <w:rPr>
                <w:rFonts w:ascii="Arial" w:eastAsia="Arial" w:hAnsi="Arial" w:cs="Arial"/>
              </w:rPr>
            </w:pPr>
            <w:r w:rsidRPr="007A1B07">
              <w:rPr>
                <w:rFonts w:ascii="Arial" w:eastAsia="Arial" w:hAnsi="Arial" w:cs="Arial"/>
              </w:rPr>
              <w:t>I felt as if it hadn't happened or wasn't real.</w:t>
            </w:r>
          </w:p>
        </w:tc>
        <w:tc>
          <w:tcPr>
            <w:tcW w:w="1881" w:type="dxa"/>
            <w:vAlign w:val="center"/>
          </w:tcPr>
          <w:p w14:paraId="471DEC7D" w14:textId="77777777" w:rsidR="008E4797" w:rsidRPr="007A1B07" w:rsidRDefault="004F3FE9">
            <w:pPr>
              <w:jc w:val="center"/>
              <w:rPr>
                <w:rFonts w:ascii="Arial" w:eastAsia="Arial" w:hAnsi="Arial" w:cs="Arial"/>
              </w:rPr>
            </w:pPr>
            <w:r w:rsidRPr="007A1B07">
              <w:rPr>
                <w:rFonts w:ascii="Arial" w:eastAsia="Arial" w:hAnsi="Arial" w:cs="Arial"/>
              </w:rPr>
              <w:t>1.47</w:t>
            </w:r>
          </w:p>
        </w:tc>
      </w:tr>
      <w:tr w:rsidR="008E4797" w:rsidRPr="007A1B07" w14:paraId="47418410" w14:textId="77777777">
        <w:trPr>
          <w:trHeight w:val="201"/>
        </w:trPr>
        <w:tc>
          <w:tcPr>
            <w:tcW w:w="6924" w:type="dxa"/>
            <w:vAlign w:val="center"/>
          </w:tcPr>
          <w:p w14:paraId="26A45EB8" w14:textId="77777777" w:rsidR="008E4797" w:rsidRPr="007A1B07" w:rsidRDefault="004F3FE9">
            <w:pPr>
              <w:jc w:val="center"/>
              <w:rPr>
                <w:rFonts w:ascii="Arial" w:eastAsia="Arial" w:hAnsi="Arial" w:cs="Arial"/>
                <w:b/>
                <w:bCs/>
              </w:rPr>
            </w:pPr>
            <w:r w:rsidRPr="007A1B07">
              <w:rPr>
                <w:rFonts w:ascii="Arial" w:eastAsia="Arial" w:hAnsi="Arial" w:cs="Arial"/>
                <w:b/>
                <w:bCs/>
              </w:rPr>
              <w:t>Mean Avoidance Score</w:t>
            </w:r>
          </w:p>
        </w:tc>
        <w:tc>
          <w:tcPr>
            <w:tcW w:w="1881" w:type="dxa"/>
            <w:vAlign w:val="center"/>
          </w:tcPr>
          <w:p w14:paraId="0AD27790" w14:textId="77777777" w:rsidR="008E4797" w:rsidRPr="007A1B07" w:rsidRDefault="004F3FE9">
            <w:pPr>
              <w:jc w:val="center"/>
              <w:rPr>
                <w:rFonts w:ascii="Arial" w:eastAsia="Arial" w:hAnsi="Arial" w:cs="Arial"/>
                <w:b/>
                <w:bCs/>
              </w:rPr>
            </w:pPr>
            <w:r w:rsidRPr="007A1B07">
              <w:rPr>
                <w:rFonts w:ascii="Arial" w:eastAsia="Arial" w:hAnsi="Arial" w:cs="Arial"/>
                <w:b/>
                <w:bCs/>
              </w:rPr>
              <w:t>1.64</w:t>
            </w:r>
          </w:p>
        </w:tc>
      </w:tr>
      <w:tr w:rsidR="008E4797" w:rsidRPr="007A1B07" w14:paraId="6531ECFE" w14:textId="77777777">
        <w:trPr>
          <w:trHeight w:val="201"/>
        </w:trPr>
        <w:tc>
          <w:tcPr>
            <w:tcW w:w="6924" w:type="dxa"/>
          </w:tcPr>
          <w:p w14:paraId="37742EDB" w14:textId="77777777" w:rsidR="008E4797" w:rsidRPr="007A1B07" w:rsidRDefault="004F3FE9">
            <w:pPr>
              <w:rPr>
                <w:rFonts w:ascii="Arial" w:eastAsia="Arial" w:hAnsi="Arial" w:cs="Arial"/>
                <w:b/>
                <w:bCs/>
              </w:rPr>
            </w:pPr>
            <w:r w:rsidRPr="007A1B07">
              <w:rPr>
                <w:rFonts w:ascii="Arial" w:eastAsia="Arial" w:hAnsi="Arial" w:cs="Arial"/>
                <w:b/>
                <w:bCs/>
                <w:highlight w:val="white"/>
              </w:rPr>
              <w:t>Hyperarousal</w:t>
            </w:r>
          </w:p>
        </w:tc>
        <w:tc>
          <w:tcPr>
            <w:tcW w:w="1881" w:type="dxa"/>
          </w:tcPr>
          <w:p w14:paraId="7F36679D" w14:textId="77777777" w:rsidR="008E4797" w:rsidRPr="007A1B07" w:rsidRDefault="008E4797">
            <w:pPr>
              <w:jc w:val="center"/>
              <w:rPr>
                <w:rFonts w:ascii="Arial" w:eastAsia="Arial" w:hAnsi="Arial" w:cs="Arial"/>
                <w:b/>
                <w:bCs/>
              </w:rPr>
            </w:pPr>
          </w:p>
        </w:tc>
      </w:tr>
      <w:tr w:rsidR="008E4797" w:rsidRPr="007A1B07" w14:paraId="61161A7D" w14:textId="77777777">
        <w:trPr>
          <w:trHeight w:val="233"/>
        </w:trPr>
        <w:tc>
          <w:tcPr>
            <w:tcW w:w="6924" w:type="dxa"/>
            <w:vAlign w:val="center"/>
          </w:tcPr>
          <w:p w14:paraId="475DA8F6" w14:textId="77777777" w:rsidR="008E4797" w:rsidRPr="007A1B07" w:rsidRDefault="004F3FE9">
            <w:pPr>
              <w:rPr>
                <w:rFonts w:ascii="Arial" w:eastAsia="Arial" w:hAnsi="Arial" w:cs="Arial"/>
              </w:rPr>
            </w:pPr>
            <w:r w:rsidRPr="007A1B07">
              <w:rPr>
                <w:rFonts w:ascii="Arial" w:eastAsia="Arial" w:hAnsi="Arial" w:cs="Arial"/>
              </w:rPr>
              <w:t>I had trouble concentrating.</w:t>
            </w:r>
          </w:p>
        </w:tc>
        <w:tc>
          <w:tcPr>
            <w:tcW w:w="1881" w:type="dxa"/>
            <w:vAlign w:val="center"/>
          </w:tcPr>
          <w:p w14:paraId="6F27B34A" w14:textId="77777777" w:rsidR="008E4797" w:rsidRPr="007A1B07" w:rsidRDefault="004F3FE9">
            <w:pPr>
              <w:jc w:val="center"/>
              <w:rPr>
                <w:rFonts w:ascii="Arial" w:eastAsia="Arial" w:hAnsi="Arial" w:cs="Arial"/>
              </w:rPr>
            </w:pPr>
            <w:r w:rsidRPr="007A1B07">
              <w:rPr>
                <w:rFonts w:ascii="Arial" w:eastAsia="Arial" w:hAnsi="Arial" w:cs="Arial"/>
              </w:rPr>
              <w:t>1.31</w:t>
            </w:r>
          </w:p>
        </w:tc>
      </w:tr>
      <w:tr w:rsidR="008E4797" w:rsidRPr="007A1B07" w14:paraId="27366231" w14:textId="77777777">
        <w:trPr>
          <w:trHeight w:val="274"/>
        </w:trPr>
        <w:tc>
          <w:tcPr>
            <w:tcW w:w="6924" w:type="dxa"/>
            <w:vAlign w:val="center"/>
          </w:tcPr>
          <w:p w14:paraId="280309F3" w14:textId="77777777" w:rsidR="008E4797" w:rsidRPr="007A1B07" w:rsidRDefault="004F3FE9">
            <w:pPr>
              <w:rPr>
                <w:rFonts w:ascii="Arial" w:eastAsia="Arial" w:hAnsi="Arial" w:cs="Arial"/>
              </w:rPr>
            </w:pPr>
            <w:r w:rsidRPr="007A1B07">
              <w:rPr>
                <w:rFonts w:ascii="Arial" w:eastAsia="Arial" w:hAnsi="Arial" w:cs="Arial"/>
              </w:rPr>
              <w:t>I had trouble falling asleep.</w:t>
            </w:r>
          </w:p>
        </w:tc>
        <w:tc>
          <w:tcPr>
            <w:tcW w:w="1881" w:type="dxa"/>
            <w:vAlign w:val="center"/>
          </w:tcPr>
          <w:p w14:paraId="17A16F45" w14:textId="77777777" w:rsidR="008E4797" w:rsidRPr="007A1B07" w:rsidRDefault="004F3FE9">
            <w:pPr>
              <w:jc w:val="center"/>
              <w:rPr>
                <w:rFonts w:ascii="Arial" w:eastAsia="Arial" w:hAnsi="Arial" w:cs="Arial"/>
              </w:rPr>
            </w:pPr>
            <w:r w:rsidRPr="007A1B07">
              <w:rPr>
                <w:rFonts w:ascii="Arial" w:eastAsia="Arial" w:hAnsi="Arial" w:cs="Arial"/>
              </w:rPr>
              <w:t>1.28</w:t>
            </w:r>
          </w:p>
        </w:tc>
      </w:tr>
      <w:tr w:rsidR="008E4797" w:rsidRPr="007A1B07" w14:paraId="7D5E13F5" w14:textId="77777777">
        <w:trPr>
          <w:trHeight w:val="282"/>
        </w:trPr>
        <w:tc>
          <w:tcPr>
            <w:tcW w:w="6924" w:type="dxa"/>
            <w:vAlign w:val="center"/>
          </w:tcPr>
          <w:p w14:paraId="6C61A726" w14:textId="77777777" w:rsidR="008E4797" w:rsidRPr="007A1B07" w:rsidRDefault="004F3FE9">
            <w:pPr>
              <w:rPr>
                <w:rFonts w:ascii="Arial" w:eastAsia="Arial" w:hAnsi="Arial" w:cs="Arial"/>
              </w:rPr>
            </w:pPr>
            <w:r w:rsidRPr="007A1B07">
              <w:rPr>
                <w:rFonts w:ascii="Arial" w:eastAsia="Arial" w:hAnsi="Arial" w:cs="Arial"/>
              </w:rPr>
              <w:t>I feel irritable and angry.</w:t>
            </w:r>
          </w:p>
        </w:tc>
        <w:tc>
          <w:tcPr>
            <w:tcW w:w="1881" w:type="dxa"/>
            <w:vAlign w:val="center"/>
          </w:tcPr>
          <w:p w14:paraId="7956433A" w14:textId="77777777" w:rsidR="008E4797" w:rsidRPr="007A1B07" w:rsidRDefault="004F3FE9">
            <w:pPr>
              <w:jc w:val="center"/>
              <w:rPr>
                <w:rFonts w:ascii="Arial" w:eastAsia="Arial" w:hAnsi="Arial" w:cs="Arial"/>
              </w:rPr>
            </w:pPr>
            <w:r w:rsidRPr="007A1B07">
              <w:rPr>
                <w:rFonts w:ascii="Arial" w:eastAsia="Arial" w:hAnsi="Arial" w:cs="Arial"/>
              </w:rPr>
              <w:t>1.27</w:t>
            </w:r>
          </w:p>
        </w:tc>
      </w:tr>
      <w:tr w:rsidR="008E4797" w:rsidRPr="007A1B07" w14:paraId="49F63E5C" w14:textId="77777777">
        <w:trPr>
          <w:trHeight w:val="249"/>
        </w:trPr>
        <w:tc>
          <w:tcPr>
            <w:tcW w:w="6924" w:type="dxa"/>
            <w:vAlign w:val="center"/>
          </w:tcPr>
          <w:p w14:paraId="1D30A301" w14:textId="77777777" w:rsidR="008E4797" w:rsidRPr="007A1B07" w:rsidRDefault="004F3FE9">
            <w:pPr>
              <w:rPr>
                <w:rFonts w:ascii="Arial" w:eastAsia="Arial" w:hAnsi="Arial" w:cs="Arial"/>
              </w:rPr>
            </w:pPr>
            <w:r w:rsidRPr="007A1B07">
              <w:rPr>
                <w:rFonts w:ascii="Arial" w:eastAsia="Arial" w:hAnsi="Arial" w:cs="Arial"/>
              </w:rPr>
              <w:t>I felt watchful and on-guard.</w:t>
            </w:r>
          </w:p>
        </w:tc>
        <w:tc>
          <w:tcPr>
            <w:tcW w:w="1881" w:type="dxa"/>
            <w:vAlign w:val="center"/>
          </w:tcPr>
          <w:p w14:paraId="6DEA20B9" w14:textId="77777777" w:rsidR="008E4797" w:rsidRPr="007A1B07" w:rsidRDefault="004F3FE9">
            <w:pPr>
              <w:jc w:val="center"/>
              <w:rPr>
                <w:rFonts w:ascii="Arial" w:eastAsia="Arial" w:hAnsi="Arial" w:cs="Arial"/>
              </w:rPr>
            </w:pPr>
            <w:r w:rsidRPr="007A1B07">
              <w:rPr>
                <w:rFonts w:ascii="Arial" w:eastAsia="Arial" w:hAnsi="Arial" w:cs="Arial"/>
              </w:rPr>
              <w:t>1.21</w:t>
            </w:r>
          </w:p>
        </w:tc>
      </w:tr>
      <w:tr w:rsidR="008E4797" w:rsidRPr="007A1B07" w14:paraId="1151BD3D" w14:textId="77777777">
        <w:trPr>
          <w:trHeight w:val="193"/>
        </w:trPr>
        <w:tc>
          <w:tcPr>
            <w:tcW w:w="6924" w:type="dxa"/>
            <w:vAlign w:val="center"/>
          </w:tcPr>
          <w:p w14:paraId="06C331A8" w14:textId="77777777" w:rsidR="008E4797" w:rsidRPr="007A1B07" w:rsidRDefault="004F3FE9">
            <w:pPr>
              <w:rPr>
                <w:rFonts w:ascii="Arial" w:eastAsia="Arial" w:hAnsi="Arial" w:cs="Arial"/>
              </w:rPr>
            </w:pPr>
            <w:r w:rsidRPr="007A1B07">
              <w:rPr>
                <w:rFonts w:ascii="Arial" w:eastAsia="Arial" w:hAnsi="Arial" w:cs="Arial"/>
              </w:rPr>
              <w:t>I was jumpy and easily startled.</w:t>
            </w:r>
          </w:p>
        </w:tc>
        <w:tc>
          <w:tcPr>
            <w:tcW w:w="1881" w:type="dxa"/>
            <w:vAlign w:val="center"/>
          </w:tcPr>
          <w:p w14:paraId="0954B288" w14:textId="77777777" w:rsidR="008E4797" w:rsidRPr="007A1B07" w:rsidRDefault="004F3FE9">
            <w:pPr>
              <w:jc w:val="center"/>
              <w:rPr>
                <w:rFonts w:ascii="Arial" w:eastAsia="Arial" w:hAnsi="Arial" w:cs="Arial"/>
              </w:rPr>
            </w:pPr>
            <w:r w:rsidRPr="007A1B07">
              <w:rPr>
                <w:rFonts w:ascii="Arial" w:eastAsia="Arial" w:hAnsi="Arial" w:cs="Arial"/>
              </w:rPr>
              <w:t>1.19</w:t>
            </w:r>
          </w:p>
        </w:tc>
      </w:tr>
      <w:tr w:rsidR="008E4797" w:rsidRPr="007A1B07" w14:paraId="2D9DA18E" w14:textId="77777777">
        <w:trPr>
          <w:trHeight w:val="266"/>
        </w:trPr>
        <w:tc>
          <w:tcPr>
            <w:tcW w:w="6924" w:type="dxa"/>
            <w:vAlign w:val="center"/>
          </w:tcPr>
          <w:p w14:paraId="07D5789F" w14:textId="77777777" w:rsidR="008E4797" w:rsidRPr="007A1B07" w:rsidRDefault="004F3FE9">
            <w:pPr>
              <w:rPr>
                <w:rFonts w:ascii="Arial" w:eastAsia="Arial" w:hAnsi="Arial" w:cs="Arial"/>
              </w:rPr>
            </w:pPr>
            <w:r w:rsidRPr="007A1B07">
              <w:rPr>
                <w:rFonts w:ascii="Arial" w:eastAsia="Arial" w:hAnsi="Arial" w:cs="Arial"/>
              </w:rPr>
              <w:t>Reminders of it caused me to have physical reactions, such as sweating and trouble breathing.</w:t>
            </w:r>
          </w:p>
        </w:tc>
        <w:tc>
          <w:tcPr>
            <w:tcW w:w="1881" w:type="dxa"/>
            <w:vAlign w:val="center"/>
          </w:tcPr>
          <w:p w14:paraId="23812CBA" w14:textId="77777777" w:rsidR="008E4797" w:rsidRPr="007A1B07" w:rsidRDefault="004F3FE9">
            <w:pPr>
              <w:jc w:val="center"/>
              <w:rPr>
                <w:rFonts w:ascii="Arial" w:eastAsia="Arial" w:hAnsi="Arial" w:cs="Arial"/>
              </w:rPr>
            </w:pPr>
            <w:r w:rsidRPr="007A1B07">
              <w:rPr>
                <w:rFonts w:ascii="Arial" w:eastAsia="Arial" w:hAnsi="Arial" w:cs="Arial"/>
              </w:rPr>
              <w:t>1.09</w:t>
            </w:r>
          </w:p>
        </w:tc>
      </w:tr>
      <w:tr w:rsidR="008E4797" w:rsidRPr="007A1B07" w14:paraId="7787C8EA" w14:textId="77777777">
        <w:trPr>
          <w:trHeight w:val="266"/>
        </w:trPr>
        <w:tc>
          <w:tcPr>
            <w:tcW w:w="6924" w:type="dxa"/>
            <w:tcBorders>
              <w:bottom w:val="single" w:sz="4" w:space="0" w:color="000000"/>
            </w:tcBorders>
            <w:vAlign w:val="center"/>
          </w:tcPr>
          <w:p w14:paraId="134B9117" w14:textId="77777777" w:rsidR="008E4797" w:rsidRPr="007A1B07" w:rsidRDefault="004F3FE9">
            <w:pPr>
              <w:jc w:val="center"/>
              <w:rPr>
                <w:rFonts w:ascii="Arial" w:eastAsia="Arial" w:hAnsi="Arial" w:cs="Arial"/>
                <w:b/>
                <w:bCs/>
              </w:rPr>
            </w:pPr>
            <w:r w:rsidRPr="007A1B07">
              <w:rPr>
                <w:rFonts w:ascii="Arial" w:eastAsia="Arial" w:hAnsi="Arial" w:cs="Arial"/>
                <w:b/>
                <w:bCs/>
              </w:rPr>
              <w:t>Mean Hyperarousal Score</w:t>
            </w:r>
          </w:p>
        </w:tc>
        <w:tc>
          <w:tcPr>
            <w:tcW w:w="1881" w:type="dxa"/>
            <w:tcBorders>
              <w:bottom w:val="single" w:sz="4" w:space="0" w:color="000000"/>
            </w:tcBorders>
            <w:vAlign w:val="center"/>
          </w:tcPr>
          <w:p w14:paraId="5509E44A" w14:textId="77777777" w:rsidR="008E4797" w:rsidRPr="007A1B07" w:rsidRDefault="004F3FE9">
            <w:pPr>
              <w:jc w:val="center"/>
              <w:rPr>
                <w:rFonts w:ascii="Arial" w:eastAsia="Arial" w:hAnsi="Arial" w:cs="Arial"/>
                <w:b/>
                <w:bCs/>
              </w:rPr>
            </w:pPr>
            <w:r w:rsidRPr="007A1B07">
              <w:rPr>
                <w:rFonts w:ascii="Arial" w:eastAsia="Arial" w:hAnsi="Arial" w:cs="Arial"/>
                <w:b/>
                <w:bCs/>
              </w:rPr>
              <w:t>1.22</w:t>
            </w:r>
          </w:p>
        </w:tc>
      </w:tr>
      <w:tr w:rsidR="008E4797" w:rsidRPr="007A1B07" w14:paraId="46B6E64F" w14:textId="77777777">
        <w:trPr>
          <w:trHeight w:val="266"/>
        </w:trPr>
        <w:tc>
          <w:tcPr>
            <w:tcW w:w="6924" w:type="dxa"/>
            <w:tcBorders>
              <w:top w:val="single" w:sz="4" w:space="0" w:color="000000"/>
              <w:bottom w:val="single" w:sz="4" w:space="0" w:color="000000"/>
            </w:tcBorders>
            <w:vAlign w:val="center"/>
          </w:tcPr>
          <w:p w14:paraId="2F33B7A3" w14:textId="77777777" w:rsidR="008E4797" w:rsidRPr="007A1B07" w:rsidRDefault="004F3FE9">
            <w:pPr>
              <w:jc w:val="center"/>
              <w:rPr>
                <w:rFonts w:ascii="Arial" w:eastAsia="Arial" w:hAnsi="Arial" w:cs="Arial"/>
                <w:b/>
                <w:bCs/>
              </w:rPr>
            </w:pPr>
            <w:r w:rsidRPr="007A1B07">
              <w:rPr>
                <w:rFonts w:ascii="Arial" w:eastAsia="Arial" w:hAnsi="Arial" w:cs="Arial"/>
                <w:b/>
                <w:bCs/>
              </w:rPr>
              <w:lastRenderedPageBreak/>
              <w:t>Overall Traumatic Clinical Experience Mean</w:t>
            </w:r>
          </w:p>
        </w:tc>
        <w:tc>
          <w:tcPr>
            <w:tcW w:w="1881" w:type="dxa"/>
            <w:tcBorders>
              <w:top w:val="single" w:sz="4" w:space="0" w:color="000000"/>
              <w:bottom w:val="single" w:sz="4" w:space="0" w:color="000000"/>
            </w:tcBorders>
            <w:vAlign w:val="center"/>
          </w:tcPr>
          <w:p w14:paraId="6E18C127" w14:textId="77777777" w:rsidR="008E4797" w:rsidRPr="007A1B07" w:rsidRDefault="004F3FE9">
            <w:pPr>
              <w:jc w:val="center"/>
              <w:rPr>
                <w:rFonts w:ascii="Arial" w:eastAsia="Arial" w:hAnsi="Arial" w:cs="Arial"/>
                <w:b/>
                <w:bCs/>
              </w:rPr>
            </w:pPr>
            <w:r w:rsidRPr="007A1B07">
              <w:rPr>
                <w:rFonts w:ascii="Arial" w:eastAsia="Arial" w:hAnsi="Arial" w:cs="Arial"/>
                <w:b/>
                <w:bCs/>
              </w:rPr>
              <w:t xml:space="preserve">1.44 out of 3.00 </w:t>
            </w:r>
          </w:p>
        </w:tc>
      </w:tr>
    </w:tbl>
    <w:p w14:paraId="71AE4953" w14:textId="77777777" w:rsidR="008E4797" w:rsidRPr="007A1B07" w:rsidRDefault="004F3FE9">
      <w:pPr>
        <w:rPr>
          <w:rFonts w:ascii="Arial" w:eastAsia="Arial" w:hAnsi="Arial" w:cs="Arial"/>
          <w:u w:val="single"/>
        </w:rPr>
      </w:pPr>
      <w:r w:rsidRPr="007A1B07">
        <w:rPr>
          <w:rFonts w:ascii="Arial" w:eastAsia="Arial" w:hAnsi="Arial" w:cs="Arial"/>
          <w:i/>
          <w:iCs/>
          <w:sz w:val="16"/>
          <w:szCs w:val="16"/>
        </w:rPr>
        <w:t>*Legend: Low (1.08 and below), Clinically Significant (1.09 – 1.4), Probable (1.5 – 1.6), Extreme (1.7 and above</w:t>
      </w:r>
    </w:p>
    <w:p w14:paraId="463FF32F" w14:textId="77777777" w:rsidR="008E4797" w:rsidRPr="007A1B07" w:rsidRDefault="008E4797">
      <w:pPr>
        <w:rPr>
          <w:rFonts w:ascii="Arial" w:eastAsia="Arial" w:hAnsi="Arial" w:cs="Arial"/>
          <w:b/>
          <w:bCs/>
        </w:rPr>
      </w:pPr>
    </w:p>
    <w:p w14:paraId="1E6119A2" w14:textId="77777777" w:rsidR="008E4797" w:rsidRPr="007A1B07" w:rsidRDefault="004F3FE9">
      <w:pPr>
        <w:rPr>
          <w:rFonts w:ascii="Arial" w:eastAsia="Arial" w:hAnsi="Arial" w:cs="Arial"/>
          <w:b/>
          <w:bCs/>
        </w:rPr>
      </w:pPr>
      <w:r w:rsidRPr="007A1B07">
        <w:rPr>
          <w:rFonts w:ascii="Arial" w:eastAsia="Arial" w:hAnsi="Arial" w:cs="Arial"/>
          <w:b/>
          <w:bCs/>
        </w:rPr>
        <w:t>Table 2b.</w:t>
      </w:r>
      <w:r w:rsidRPr="007A1B07">
        <w:rPr>
          <w:rFonts w:ascii="Arial" w:eastAsia="Arial" w:hAnsi="Arial" w:cs="Arial"/>
        </w:rPr>
        <w:t xml:space="preserve"> </w:t>
      </w:r>
      <w:r w:rsidRPr="007A1B07">
        <w:rPr>
          <w:rFonts w:ascii="Arial" w:eastAsia="Arial" w:hAnsi="Arial" w:cs="Arial"/>
          <w:b/>
          <w:bCs/>
        </w:rPr>
        <w:t xml:space="preserve">Level of Traumatic Clinical Experience Among the Respondents (n = 275) </w:t>
      </w:r>
    </w:p>
    <w:tbl>
      <w:tblPr>
        <w:tblStyle w:val="ab"/>
        <w:tblW w:w="8670" w:type="dxa"/>
        <w:tblLayout w:type="fixed"/>
        <w:tblLook w:val="0400" w:firstRow="0" w:lastRow="0" w:firstColumn="0" w:lastColumn="0" w:noHBand="0" w:noVBand="1"/>
      </w:tblPr>
      <w:tblGrid>
        <w:gridCol w:w="2940"/>
        <w:gridCol w:w="2940"/>
        <w:gridCol w:w="2790"/>
      </w:tblGrid>
      <w:tr w:rsidR="008E4797" w:rsidRPr="007A1B07" w14:paraId="174708B4" w14:textId="77777777">
        <w:trPr>
          <w:trHeight w:val="315"/>
        </w:trPr>
        <w:tc>
          <w:tcPr>
            <w:tcW w:w="2940" w:type="dxa"/>
            <w:tcBorders>
              <w:top w:val="single" w:sz="4" w:space="0" w:color="000000"/>
              <w:bottom w:val="single" w:sz="4" w:space="0" w:color="000000"/>
            </w:tcBorders>
            <w:tcMar>
              <w:top w:w="30" w:type="dxa"/>
              <w:left w:w="45" w:type="dxa"/>
              <w:bottom w:w="30" w:type="dxa"/>
              <w:right w:w="45" w:type="dxa"/>
            </w:tcMar>
            <w:vAlign w:val="bottom"/>
          </w:tcPr>
          <w:p w14:paraId="0E21213D" w14:textId="77777777" w:rsidR="008E4797" w:rsidRPr="007A1B07" w:rsidRDefault="004F3FE9">
            <w:pPr>
              <w:jc w:val="center"/>
              <w:rPr>
                <w:rFonts w:ascii="Arial" w:eastAsia="Arial" w:hAnsi="Arial" w:cs="Arial"/>
                <w:b/>
                <w:bCs/>
              </w:rPr>
            </w:pPr>
            <w:r w:rsidRPr="007A1B07">
              <w:rPr>
                <w:rFonts w:ascii="Arial" w:eastAsia="Arial" w:hAnsi="Arial" w:cs="Arial"/>
                <w:b/>
                <w:bCs/>
              </w:rPr>
              <w:t>Level of Traumatic Clinical Experience</w:t>
            </w:r>
          </w:p>
        </w:tc>
        <w:tc>
          <w:tcPr>
            <w:tcW w:w="2940" w:type="dxa"/>
            <w:tcBorders>
              <w:top w:val="single" w:sz="4" w:space="0" w:color="000000"/>
              <w:bottom w:val="single" w:sz="4" w:space="0" w:color="000000"/>
            </w:tcBorders>
            <w:tcMar>
              <w:top w:w="30" w:type="dxa"/>
              <w:left w:w="45" w:type="dxa"/>
              <w:bottom w:w="30" w:type="dxa"/>
              <w:right w:w="45" w:type="dxa"/>
            </w:tcMar>
            <w:vAlign w:val="bottom"/>
          </w:tcPr>
          <w:p w14:paraId="2804DC48" w14:textId="77777777" w:rsidR="008E4797" w:rsidRPr="007A1B07" w:rsidRDefault="004F3FE9">
            <w:pPr>
              <w:jc w:val="center"/>
              <w:rPr>
                <w:rFonts w:ascii="Arial" w:eastAsia="Arial" w:hAnsi="Arial" w:cs="Arial"/>
                <w:b/>
                <w:bCs/>
                <w:i/>
                <w:iCs/>
              </w:rPr>
            </w:pPr>
            <w:r w:rsidRPr="007A1B07">
              <w:rPr>
                <w:rFonts w:ascii="Arial" w:eastAsia="Arial" w:hAnsi="Arial" w:cs="Arial"/>
                <w:b/>
                <w:bCs/>
                <w:i/>
                <w:iCs/>
              </w:rPr>
              <w:t xml:space="preserve">              f</w:t>
            </w:r>
          </w:p>
        </w:tc>
        <w:tc>
          <w:tcPr>
            <w:tcW w:w="2790" w:type="dxa"/>
            <w:tcBorders>
              <w:top w:val="single" w:sz="4" w:space="0" w:color="000000"/>
              <w:bottom w:val="single" w:sz="4" w:space="0" w:color="000000"/>
            </w:tcBorders>
            <w:tcMar>
              <w:top w:w="30" w:type="dxa"/>
              <w:left w:w="45" w:type="dxa"/>
              <w:bottom w:w="30" w:type="dxa"/>
              <w:right w:w="45" w:type="dxa"/>
            </w:tcMar>
            <w:vAlign w:val="bottom"/>
          </w:tcPr>
          <w:p w14:paraId="5D8375B2" w14:textId="77777777" w:rsidR="008E4797" w:rsidRPr="007A1B07" w:rsidRDefault="004F3FE9">
            <w:pPr>
              <w:jc w:val="center"/>
              <w:rPr>
                <w:rFonts w:ascii="Arial" w:eastAsia="Arial" w:hAnsi="Arial" w:cs="Arial"/>
                <w:b/>
                <w:bCs/>
              </w:rPr>
            </w:pPr>
            <w:r w:rsidRPr="007A1B07">
              <w:rPr>
                <w:rFonts w:ascii="Arial" w:eastAsia="Arial" w:hAnsi="Arial" w:cs="Arial"/>
                <w:b/>
                <w:bCs/>
              </w:rPr>
              <w:t xml:space="preserve">                    %</w:t>
            </w:r>
          </w:p>
        </w:tc>
      </w:tr>
      <w:tr w:rsidR="008E4797" w:rsidRPr="007A1B07" w14:paraId="6803CBEB" w14:textId="77777777">
        <w:trPr>
          <w:trHeight w:val="315"/>
        </w:trPr>
        <w:tc>
          <w:tcPr>
            <w:tcW w:w="2940" w:type="dxa"/>
            <w:tcBorders>
              <w:top w:val="single" w:sz="4" w:space="0" w:color="000000"/>
            </w:tcBorders>
            <w:tcMar>
              <w:top w:w="30" w:type="dxa"/>
              <w:left w:w="45" w:type="dxa"/>
              <w:bottom w:w="30" w:type="dxa"/>
              <w:right w:w="45" w:type="dxa"/>
            </w:tcMar>
            <w:vAlign w:val="bottom"/>
          </w:tcPr>
          <w:p w14:paraId="1B25AF78" w14:textId="77777777" w:rsidR="008E4797" w:rsidRPr="007A1B07" w:rsidRDefault="004F3FE9">
            <w:pPr>
              <w:rPr>
                <w:rFonts w:ascii="Arial" w:eastAsia="Arial" w:hAnsi="Arial" w:cs="Arial"/>
              </w:rPr>
            </w:pPr>
            <w:r w:rsidRPr="007A1B07">
              <w:rPr>
                <w:rFonts w:ascii="Arial" w:eastAsia="Arial" w:hAnsi="Arial" w:cs="Arial"/>
              </w:rPr>
              <w:t>Low (0 – 23)</w:t>
            </w:r>
          </w:p>
        </w:tc>
        <w:tc>
          <w:tcPr>
            <w:tcW w:w="2940" w:type="dxa"/>
            <w:tcBorders>
              <w:top w:val="single" w:sz="4" w:space="0" w:color="000000"/>
            </w:tcBorders>
            <w:tcMar>
              <w:top w:w="30" w:type="dxa"/>
              <w:left w:w="45" w:type="dxa"/>
              <w:bottom w:w="30" w:type="dxa"/>
              <w:right w:w="45" w:type="dxa"/>
            </w:tcMar>
            <w:vAlign w:val="bottom"/>
          </w:tcPr>
          <w:p w14:paraId="0FC94C6A" w14:textId="77777777" w:rsidR="008E4797" w:rsidRPr="007A1B07" w:rsidRDefault="004F3FE9">
            <w:pPr>
              <w:ind w:right="850"/>
              <w:jc w:val="right"/>
              <w:rPr>
                <w:rFonts w:ascii="Arial" w:eastAsia="Arial" w:hAnsi="Arial" w:cs="Arial"/>
              </w:rPr>
            </w:pPr>
            <w:r w:rsidRPr="007A1B07">
              <w:rPr>
                <w:rFonts w:ascii="Arial" w:eastAsia="Arial" w:hAnsi="Arial" w:cs="Arial"/>
              </w:rPr>
              <w:t>105</w:t>
            </w:r>
          </w:p>
        </w:tc>
        <w:tc>
          <w:tcPr>
            <w:tcW w:w="2790" w:type="dxa"/>
            <w:tcBorders>
              <w:top w:val="single" w:sz="4" w:space="0" w:color="000000"/>
            </w:tcBorders>
            <w:tcMar>
              <w:top w:w="30" w:type="dxa"/>
              <w:left w:w="45" w:type="dxa"/>
              <w:bottom w:w="30" w:type="dxa"/>
              <w:right w:w="45" w:type="dxa"/>
            </w:tcMar>
            <w:vAlign w:val="bottom"/>
          </w:tcPr>
          <w:p w14:paraId="38852C5D" w14:textId="77777777" w:rsidR="008E4797" w:rsidRPr="007A1B07" w:rsidRDefault="004F3FE9">
            <w:pPr>
              <w:ind w:right="579"/>
              <w:jc w:val="right"/>
              <w:rPr>
                <w:rFonts w:ascii="Arial" w:eastAsia="Arial" w:hAnsi="Arial" w:cs="Arial"/>
              </w:rPr>
            </w:pPr>
            <w:r w:rsidRPr="007A1B07">
              <w:rPr>
                <w:rFonts w:ascii="Arial" w:eastAsia="Arial" w:hAnsi="Arial" w:cs="Arial"/>
              </w:rPr>
              <w:t>38.20</w:t>
            </w:r>
          </w:p>
        </w:tc>
      </w:tr>
      <w:tr w:rsidR="008E4797" w:rsidRPr="007A1B07" w14:paraId="40B59130" w14:textId="77777777">
        <w:trPr>
          <w:trHeight w:val="315"/>
        </w:trPr>
        <w:tc>
          <w:tcPr>
            <w:tcW w:w="2940" w:type="dxa"/>
            <w:tcMar>
              <w:top w:w="30" w:type="dxa"/>
              <w:left w:w="45" w:type="dxa"/>
              <w:bottom w:w="30" w:type="dxa"/>
              <w:right w:w="45" w:type="dxa"/>
            </w:tcMar>
            <w:vAlign w:val="bottom"/>
          </w:tcPr>
          <w:p w14:paraId="74B2D1EE" w14:textId="77777777" w:rsidR="008E4797" w:rsidRPr="007A1B07" w:rsidRDefault="004F3FE9">
            <w:pPr>
              <w:rPr>
                <w:rFonts w:ascii="Arial" w:eastAsia="Arial" w:hAnsi="Arial" w:cs="Arial"/>
              </w:rPr>
            </w:pPr>
            <w:r w:rsidRPr="007A1B07">
              <w:rPr>
                <w:rFonts w:ascii="Arial" w:eastAsia="Arial" w:hAnsi="Arial" w:cs="Arial"/>
              </w:rPr>
              <w:t>Clinically Significant (24 – 32)</w:t>
            </w:r>
          </w:p>
        </w:tc>
        <w:tc>
          <w:tcPr>
            <w:tcW w:w="2940" w:type="dxa"/>
            <w:tcMar>
              <w:top w:w="30" w:type="dxa"/>
              <w:left w:w="45" w:type="dxa"/>
              <w:bottom w:w="30" w:type="dxa"/>
              <w:right w:w="45" w:type="dxa"/>
            </w:tcMar>
            <w:vAlign w:val="bottom"/>
          </w:tcPr>
          <w:p w14:paraId="0B2C9651" w14:textId="77777777" w:rsidR="008E4797" w:rsidRPr="007A1B07" w:rsidRDefault="004F3FE9">
            <w:pPr>
              <w:ind w:right="850"/>
              <w:jc w:val="right"/>
              <w:rPr>
                <w:rFonts w:ascii="Arial" w:eastAsia="Arial" w:hAnsi="Arial" w:cs="Arial"/>
              </w:rPr>
            </w:pPr>
            <w:r w:rsidRPr="007A1B07">
              <w:rPr>
                <w:rFonts w:ascii="Arial" w:eastAsia="Arial" w:hAnsi="Arial" w:cs="Arial"/>
              </w:rPr>
              <w:t>37</w:t>
            </w:r>
          </w:p>
        </w:tc>
        <w:tc>
          <w:tcPr>
            <w:tcW w:w="2790" w:type="dxa"/>
            <w:tcMar>
              <w:top w:w="30" w:type="dxa"/>
              <w:left w:w="45" w:type="dxa"/>
              <w:bottom w:w="30" w:type="dxa"/>
              <w:right w:w="45" w:type="dxa"/>
            </w:tcMar>
            <w:vAlign w:val="bottom"/>
          </w:tcPr>
          <w:p w14:paraId="488F68D5" w14:textId="77777777" w:rsidR="008E4797" w:rsidRPr="007A1B07" w:rsidRDefault="004F3FE9">
            <w:pPr>
              <w:ind w:right="579"/>
              <w:jc w:val="right"/>
              <w:rPr>
                <w:rFonts w:ascii="Arial" w:eastAsia="Arial" w:hAnsi="Arial" w:cs="Arial"/>
              </w:rPr>
            </w:pPr>
            <w:r w:rsidRPr="007A1B07">
              <w:rPr>
                <w:rFonts w:ascii="Arial" w:eastAsia="Arial" w:hAnsi="Arial" w:cs="Arial"/>
              </w:rPr>
              <w:t>13.50</w:t>
            </w:r>
          </w:p>
        </w:tc>
      </w:tr>
      <w:tr w:rsidR="008E4797" w:rsidRPr="007A1B07" w14:paraId="62AAB80C" w14:textId="77777777">
        <w:trPr>
          <w:trHeight w:val="315"/>
        </w:trPr>
        <w:tc>
          <w:tcPr>
            <w:tcW w:w="2940" w:type="dxa"/>
            <w:tcMar>
              <w:top w:w="30" w:type="dxa"/>
              <w:left w:w="45" w:type="dxa"/>
              <w:bottom w:w="30" w:type="dxa"/>
              <w:right w:w="45" w:type="dxa"/>
            </w:tcMar>
            <w:vAlign w:val="bottom"/>
          </w:tcPr>
          <w:p w14:paraId="108FC82A" w14:textId="77777777" w:rsidR="008E4797" w:rsidRPr="007A1B07" w:rsidRDefault="004F3FE9">
            <w:pPr>
              <w:rPr>
                <w:rFonts w:ascii="Arial" w:eastAsia="Arial" w:hAnsi="Arial" w:cs="Arial"/>
              </w:rPr>
            </w:pPr>
            <w:r w:rsidRPr="007A1B07">
              <w:rPr>
                <w:rFonts w:ascii="Arial" w:eastAsia="Arial" w:hAnsi="Arial" w:cs="Arial"/>
              </w:rPr>
              <w:t xml:space="preserve">Probable (33 – 36) </w:t>
            </w:r>
          </w:p>
        </w:tc>
        <w:tc>
          <w:tcPr>
            <w:tcW w:w="2940" w:type="dxa"/>
            <w:tcMar>
              <w:top w:w="30" w:type="dxa"/>
              <w:left w:w="45" w:type="dxa"/>
              <w:bottom w:w="30" w:type="dxa"/>
              <w:right w:w="45" w:type="dxa"/>
            </w:tcMar>
            <w:vAlign w:val="bottom"/>
          </w:tcPr>
          <w:p w14:paraId="76FEB20B" w14:textId="77777777" w:rsidR="008E4797" w:rsidRPr="007A1B07" w:rsidRDefault="004F3FE9">
            <w:pPr>
              <w:ind w:right="850"/>
              <w:jc w:val="right"/>
              <w:rPr>
                <w:rFonts w:ascii="Arial" w:eastAsia="Arial" w:hAnsi="Arial" w:cs="Arial"/>
              </w:rPr>
            </w:pPr>
            <w:r w:rsidRPr="007A1B07">
              <w:rPr>
                <w:rFonts w:ascii="Arial" w:eastAsia="Arial" w:hAnsi="Arial" w:cs="Arial"/>
              </w:rPr>
              <w:t>22</w:t>
            </w:r>
          </w:p>
        </w:tc>
        <w:tc>
          <w:tcPr>
            <w:tcW w:w="2790" w:type="dxa"/>
            <w:tcMar>
              <w:top w:w="30" w:type="dxa"/>
              <w:left w:w="45" w:type="dxa"/>
              <w:bottom w:w="30" w:type="dxa"/>
              <w:right w:w="45" w:type="dxa"/>
            </w:tcMar>
            <w:vAlign w:val="bottom"/>
          </w:tcPr>
          <w:p w14:paraId="24015871" w14:textId="77777777" w:rsidR="008E4797" w:rsidRPr="007A1B07" w:rsidRDefault="004F3FE9">
            <w:pPr>
              <w:ind w:right="579"/>
              <w:jc w:val="right"/>
              <w:rPr>
                <w:rFonts w:ascii="Arial" w:eastAsia="Arial" w:hAnsi="Arial" w:cs="Arial"/>
              </w:rPr>
            </w:pPr>
            <w:r w:rsidRPr="007A1B07">
              <w:rPr>
                <w:rFonts w:ascii="Arial" w:eastAsia="Arial" w:hAnsi="Arial" w:cs="Arial"/>
              </w:rPr>
              <w:t>8.00</w:t>
            </w:r>
          </w:p>
        </w:tc>
      </w:tr>
      <w:tr w:rsidR="008E4797" w:rsidRPr="007A1B07" w14:paraId="41B43F4C" w14:textId="77777777">
        <w:trPr>
          <w:trHeight w:val="315"/>
        </w:trPr>
        <w:tc>
          <w:tcPr>
            <w:tcW w:w="2940" w:type="dxa"/>
            <w:tcBorders>
              <w:bottom w:val="single" w:sz="4" w:space="0" w:color="000000"/>
            </w:tcBorders>
            <w:tcMar>
              <w:top w:w="30" w:type="dxa"/>
              <w:left w:w="45" w:type="dxa"/>
              <w:bottom w:w="30" w:type="dxa"/>
              <w:right w:w="45" w:type="dxa"/>
            </w:tcMar>
            <w:vAlign w:val="bottom"/>
          </w:tcPr>
          <w:p w14:paraId="4A638BC3" w14:textId="77777777" w:rsidR="008E4797" w:rsidRPr="007A1B07" w:rsidRDefault="004F3FE9">
            <w:pPr>
              <w:rPr>
                <w:rFonts w:ascii="Arial" w:eastAsia="Arial" w:hAnsi="Arial" w:cs="Arial"/>
              </w:rPr>
            </w:pPr>
            <w:r w:rsidRPr="007A1B07">
              <w:rPr>
                <w:rFonts w:ascii="Arial" w:eastAsia="Arial" w:hAnsi="Arial" w:cs="Arial"/>
              </w:rPr>
              <w:t>Extreme (37 and above)</w:t>
            </w:r>
          </w:p>
        </w:tc>
        <w:tc>
          <w:tcPr>
            <w:tcW w:w="2940" w:type="dxa"/>
            <w:tcBorders>
              <w:bottom w:val="single" w:sz="4" w:space="0" w:color="000000"/>
            </w:tcBorders>
            <w:tcMar>
              <w:top w:w="30" w:type="dxa"/>
              <w:left w:w="45" w:type="dxa"/>
              <w:bottom w:w="30" w:type="dxa"/>
              <w:right w:w="45" w:type="dxa"/>
            </w:tcMar>
            <w:vAlign w:val="bottom"/>
          </w:tcPr>
          <w:p w14:paraId="67F584CA" w14:textId="77777777" w:rsidR="008E4797" w:rsidRPr="007A1B07" w:rsidRDefault="004F3FE9">
            <w:pPr>
              <w:ind w:right="850"/>
              <w:jc w:val="right"/>
              <w:rPr>
                <w:rFonts w:ascii="Arial" w:eastAsia="Arial" w:hAnsi="Arial" w:cs="Arial"/>
              </w:rPr>
            </w:pPr>
            <w:r w:rsidRPr="007A1B07">
              <w:rPr>
                <w:rFonts w:ascii="Arial" w:eastAsia="Arial" w:hAnsi="Arial" w:cs="Arial"/>
              </w:rPr>
              <w:t>111</w:t>
            </w:r>
          </w:p>
        </w:tc>
        <w:tc>
          <w:tcPr>
            <w:tcW w:w="2790" w:type="dxa"/>
            <w:tcBorders>
              <w:bottom w:val="single" w:sz="4" w:space="0" w:color="000000"/>
            </w:tcBorders>
            <w:tcMar>
              <w:top w:w="30" w:type="dxa"/>
              <w:left w:w="45" w:type="dxa"/>
              <w:bottom w:w="30" w:type="dxa"/>
              <w:right w:w="45" w:type="dxa"/>
            </w:tcMar>
            <w:vAlign w:val="bottom"/>
          </w:tcPr>
          <w:p w14:paraId="50F42820" w14:textId="77777777" w:rsidR="008E4797" w:rsidRPr="007A1B07" w:rsidRDefault="004F3FE9">
            <w:pPr>
              <w:ind w:right="579"/>
              <w:jc w:val="right"/>
              <w:rPr>
                <w:rFonts w:ascii="Arial" w:eastAsia="Arial" w:hAnsi="Arial" w:cs="Arial"/>
              </w:rPr>
            </w:pPr>
            <w:r w:rsidRPr="007A1B07">
              <w:rPr>
                <w:rFonts w:ascii="Arial" w:eastAsia="Arial" w:hAnsi="Arial" w:cs="Arial"/>
              </w:rPr>
              <w:t>40.40</w:t>
            </w:r>
          </w:p>
        </w:tc>
      </w:tr>
      <w:tr w:rsidR="008E4797" w:rsidRPr="007A1B07" w14:paraId="7EA087AB" w14:textId="77777777">
        <w:trPr>
          <w:trHeight w:val="315"/>
        </w:trPr>
        <w:tc>
          <w:tcPr>
            <w:tcW w:w="2940" w:type="dxa"/>
            <w:tcBorders>
              <w:top w:val="single" w:sz="4" w:space="0" w:color="000000"/>
              <w:bottom w:val="single" w:sz="4" w:space="0" w:color="000000"/>
            </w:tcBorders>
            <w:tcMar>
              <w:top w:w="30" w:type="dxa"/>
              <w:left w:w="45" w:type="dxa"/>
              <w:bottom w:w="30" w:type="dxa"/>
              <w:right w:w="45" w:type="dxa"/>
            </w:tcMar>
            <w:vAlign w:val="bottom"/>
          </w:tcPr>
          <w:p w14:paraId="3AED2120" w14:textId="77777777" w:rsidR="008E4797" w:rsidRPr="007A1B07" w:rsidRDefault="004F3FE9">
            <w:pPr>
              <w:jc w:val="center"/>
              <w:rPr>
                <w:rFonts w:ascii="Arial" w:eastAsia="Arial" w:hAnsi="Arial" w:cs="Arial"/>
                <w:b/>
                <w:bCs/>
              </w:rPr>
            </w:pPr>
            <w:r w:rsidRPr="007A1B07">
              <w:rPr>
                <w:rFonts w:ascii="Arial" w:eastAsia="Arial" w:hAnsi="Arial" w:cs="Arial"/>
                <w:b/>
                <w:bCs/>
              </w:rPr>
              <w:t>Total</w:t>
            </w:r>
          </w:p>
        </w:tc>
        <w:tc>
          <w:tcPr>
            <w:tcW w:w="2940" w:type="dxa"/>
            <w:tcBorders>
              <w:top w:val="single" w:sz="4" w:space="0" w:color="000000"/>
              <w:bottom w:val="single" w:sz="4" w:space="0" w:color="000000"/>
            </w:tcBorders>
            <w:tcMar>
              <w:top w:w="30" w:type="dxa"/>
              <w:left w:w="45" w:type="dxa"/>
              <w:bottom w:w="30" w:type="dxa"/>
              <w:right w:w="45" w:type="dxa"/>
            </w:tcMar>
            <w:vAlign w:val="bottom"/>
          </w:tcPr>
          <w:p w14:paraId="361C8C49" w14:textId="77777777" w:rsidR="008E4797" w:rsidRPr="007A1B07" w:rsidRDefault="004F3FE9">
            <w:pPr>
              <w:ind w:right="850"/>
              <w:jc w:val="right"/>
              <w:rPr>
                <w:rFonts w:ascii="Arial" w:eastAsia="Arial" w:hAnsi="Arial" w:cs="Arial"/>
                <w:b/>
                <w:bCs/>
              </w:rPr>
            </w:pPr>
            <w:r w:rsidRPr="007A1B07">
              <w:rPr>
                <w:rFonts w:ascii="Arial" w:eastAsia="Arial" w:hAnsi="Arial" w:cs="Arial"/>
                <w:b/>
                <w:bCs/>
              </w:rPr>
              <w:t>275</w:t>
            </w:r>
          </w:p>
        </w:tc>
        <w:tc>
          <w:tcPr>
            <w:tcW w:w="2790" w:type="dxa"/>
            <w:tcBorders>
              <w:top w:val="single" w:sz="4" w:space="0" w:color="000000"/>
              <w:bottom w:val="single" w:sz="4" w:space="0" w:color="000000"/>
            </w:tcBorders>
            <w:tcMar>
              <w:top w:w="30" w:type="dxa"/>
              <w:left w:w="45" w:type="dxa"/>
              <w:bottom w:w="30" w:type="dxa"/>
              <w:right w:w="45" w:type="dxa"/>
            </w:tcMar>
            <w:vAlign w:val="bottom"/>
          </w:tcPr>
          <w:p w14:paraId="003EA730" w14:textId="77777777" w:rsidR="008E4797" w:rsidRPr="007A1B07" w:rsidRDefault="004F3FE9">
            <w:pPr>
              <w:ind w:right="579"/>
              <w:jc w:val="right"/>
              <w:rPr>
                <w:rFonts w:ascii="Arial" w:eastAsia="Arial" w:hAnsi="Arial" w:cs="Arial"/>
                <w:b/>
                <w:bCs/>
              </w:rPr>
            </w:pPr>
            <w:r w:rsidRPr="007A1B07">
              <w:rPr>
                <w:rFonts w:ascii="Arial" w:eastAsia="Arial" w:hAnsi="Arial" w:cs="Arial"/>
                <w:b/>
                <w:bCs/>
              </w:rPr>
              <w:t>100.00</w:t>
            </w:r>
          </w:p>
        </w:tc>
      </w:tr>
    </w:tbl>
    <w:p w14:paraId="6F81A3E8" w14:textId="77777777" w:rsidR="008E4797" w:rsidRPr="007A1B07" w:rsidRDefault="008E4797">
      <w:pPr>
        <w:rPr>
          <w:rFonts w:ascii="Arial" w:eastAsia="Arial" w:hAnsi="Arial" w:cs="Arial"/>
          <w:b/>
          <w:bCs/>
        </w:rPr>
      </w:pPr>
    </w:p>
    <w:p w14:paraId="5B79DC03" w14:textId="77777777" w:rsidR="008E4797" w:rsidRPr="007A1B07" w:rsidRDefault="008E4797">
      <w:pPr>
        <w:rPr>
          <w:rFonts w:ascii="Arial" w:eastAsia="Arial" w:hAnsi="Arial" w:cs="Arial"/>
          <w:b/>
          <w:bCs/>
        </w:rPr>
      </w:pPr>
    </w:p>
    <w:p w14:paraId="6CFA4C1C" w14:textId="77777777" w:rsidR="008E4797" w:rsidRPr="007A1B07" w:rsidRDefault="004F3FE9">
      <w:pPr>
        <w:rPr>
          <w:rFonts w:ascii="Arial" w:eastAsia="Arial" w:hAnsi="Arial" w:cs="Arial"/>
          <w:b/>
          <w:bCs/>
        </w:rPr>
      </w:pPr>
      <w:r w:rsidRPr="007A1B07">
        <w:rPr>
          <w:rFonts w:ascii="Arial" w:eastAsia="Arial" w:hAnsi="Arial" w:cs="Arial"/>
          <w:b/>
          <w:bCs/>
        </w:rPr>
        <w:t>Table 3a. Level of Anxiety Among the Respondents (n=275)</w:t>
      </w:r>
    </w:p>
    <w:tbl>
      <w:tblPr>
        <w:tblStyle w:val="ac"/>
        <w:tblW w:w="8550" w:type="dxa"/>
        <w:tblLayout w:type="fixed"/>
        <w:tblLook w:val="0000" w:firstRow="0" w:lastRow="0" w:firstColumn="0" w:lastColumn="0" w:noHBand="0" w:noVBand="0"/>
      </w:tblPr>
      <w:tblGrid>
        <w:gridCol w:w="7305"/>
        <w:gridCol w:w="1245"/>
      </w:tblGrid>
      <w:tr w:rsidR="008E4797" w:rsidRPr="007A1B07" w14:paraId="540A3BE6" w14:textId="77777777">
        <w:trPr>
          <w:trHeight w:val="322"/>
        </w:trPr>
        <w:tc>
          <w:tcPr>
            <w:tcW w:w="7305" w:type="dxa"/>
            <w:tcBorders>
              <w:top w:val="single" w:sz="4" w:space="0" w:color="000000"/>
              <w:bottom w:val="single" w:sz="4" w:space="0" w:color="000000"/>
            </w:tcBorders>
          </w:tcPr>
          <w:p w14:paraId="5946B306" w14:textId="77777777" w:rsidR="008E4797" w:rsidRPr="007A1B07" w:rsidRDefault="004F3FE9">
            <w:pPr>
              <w:jc w:val="center"/>
              <w:rPr>
                <w:rFonts w:ascii="Arial" w:eastAsia="Arial" w:hAnsi="Arial" w:cs="Arial"/>
                <w:b/>
                <w:bCs/>
              </w:rPr>
            </w:pPr>
            <w:r w:rsidRPr="007A1B07">
              <w:rPr>
                <w:rFonts w:ascii="Arial" w:eastAsia="Arial" w:hAnsi="Arial" w:cs="Arial"/>
                <w:b/>
                <w:bCs/>
              </w:rPr>
              <w:t>GAD-7 Items</w:t>
            </w:r>
          </w:p>
        </w:tc>
        <w:tc>
          <w:tcPr>
            <w:tcW w:w="1245" w:type="dxa"/>
            <w:tcBorders>
              <w:top w:val="single" w:sz="4" w:space="0" w:color="000000"/>
              <w:bottom w:val="single" w:sz="4" w:space="0" w:color="000000"/>
            </w:tcBorders>
          </w:tcPr>
          <w:p w14:paraId="084ED9E8" w14:textId="77777777" w:rsidR="008E4797" w:rsidRPr="007A1B07" w:rsidRDefault="004F3FE9">
            <w:pPr>
              <w:jc w:val="center"/>
              <w:rPr>
                <w:rFonts w:ascii="Arial" w:eastAsia="Arial" w:hAnsi="Arial" w:cs="Arial"/>
                <w:b/>
                <w:bCs/>
              </w:rPr>
            </w:pPr>
            <w:r w:rsidRPr="007A1B07">
              <w:rPr>
                <w:rFonts w:ascii="Arial" w:eastAsia="Arial" w:hAnsi="Arial" w:cs="Arial"/>
                <w:b/>
                <w:bCs/>
              </w:rPr>
              <w:t>Mean</w:t>
            </w:r>
          </w:p>
        </w:tc>
      </w:tr>
      <w:tr w:rsidR="008E4797" w:rsidRPr="007A1B07" w14:paraId="7C2BCDC3" w14:textId="77777777">
        <w:trPr>
          <w:trHeight w:val="233"/>
        </w:trPr>
        <w:tc>
          <w:tcPr>
            <w:tcW w:w="7305" w:type="dxa"/>
            <w:tcBorders>
              <w:top w:val="single" w:sz="4" w:space="0" w:color="000000"/>
            </w:tcBorders>
          </w:tcPr>
          <w:p w14:paraId="27A8BD40" w14:textId="77777777" w:rsidR="008E4797" w:rsidRPr="007A1B07" w:rsidRDefault="004F3FE9">
            <w:pPr>
              <w:rPr>
                <w:rFonts w:ascii="Arial" w:eastAsia="Arial" w:hAnsi="Arial" w:cs="Arial"/>
              </w:rPr>
            </w:pPr>
            <w:r w:rsidRPr="007A1B07">
              <w:rPr>
                <w:rFonts w:ascii="Arial" w:eastAsia="Arial" w:hAnsi="Arial" w:cs="Arial"/>
              </w:rPr>
              <w:t>Feeling nervous, anxious, or on edge</w:t>
            </w:r>
          </w:p>
        </w:tc>
        <w:tc>
          <w:tcPr>
            <w:tcW w:w="1245" w:type="dxa"/>
            <w:tcBorders>
              <w:top w:val="single" w:sz="4" w:space="0" w:color="000000"/>
            </w:tcBorders>
            <w:vAlign w:val="bottom"/>
          </w:tcPr>
          <w:p w14:paraId="0F70F9CC" w14:textId="77777777" w:rsidR="008E4797" w:rsidRPr="007A1B07" w:rsidRDefault="004F3FE9">
            <w:pPr>
              <w:jc w:val="center"/>
              <w:rPr>
                <w:rFonts w:ascii="Arial" w:eastAsia="Arial" w:hAnsi="Arial" w:cs="Arial"/>
              </w:rPr>
            </w:pPr>
            <w:r w:rsidRPr="007A1B07">
              <w:rPr>
                <w:rFonts w:ascii="Arial" w:eastAsia="Arial" w:hAnsi="Arial" w:cs="Arial"/>
              </w:rPr>
              <w:t>1.00</w:t>
            </w:r>
          </w:p>
        </w:tc>
      </w:tr>
      <w:tr w:rsidR="008E4797" w:rsidRPr="007A1B07" w14:paraId="0AC5042F" w14:textId="77777777">
        <w:trPr>
          <w:trHeight w:val="201"/>
        </w:trPr>
        <w:tc>
          <w:tcPr>
            <w:tcW w:w="7305" w:type="dxa"/>
          </w:tcPr>
          <w:p w14:paraId="3781BD0F" w14:textId="77777777" w:rsidR="008E4797" w:rsidRPr="007A1B07" w:rsidRDefault="004F3FE9">
            <w:pPr>
              <w:rPr>
                <w:rFonts w:ascii="Arial" w:eastAsia="Arial" w:hAnsi="Arial" w:cs="Arial"/>
              </w:rPr>
            </w:pPr>
            <w:r w:rsidRPr="007A1B07">
              <w:rPr>
                <w:rFonts w:ascii="Arial" w:eastAsia="Arial" w:hAnsi="Arial" w:cs="Arial"/>
              </w:rPr>
              <w:t>Not being able to stop or control worrying</w:t>
            </w:r>
          </w:p>
        </w:tc>
        <w:tc>
          <w:tcPr>
            <w:tcW w:w="1245" w:type="dxa"/>
            <w:vAlign w:val="bottom"/>
          </w:tcPr>
          <w:p w14:paraId="073EAED0" w14:textId="77777777" w:rsidR="008E4797" w:rsidRPr="007A1B07" w:rsidRDefault="004F3FE9">
            <w:pPr>
              <w:jc w:val="center"/>
              <w:rPr>
                <w:rFonts w:ascii="Arial" w:eastAsia="Arial" w:hAnsi="Arial" w:cs="Arial"/>
              </w:rPr>
            </w:pPr>
            <w:r w:rsidRPr="007A1B07">
              <w:rPr>
                <w:rFonts w:ascii="Arial" w:eastAsia="Arial" w:hAnsi="Arial" w:cs="Arial"/>
              </w:rPr>
              <w:t>1.01</w:t>
            </w:r>
          </w:p>
        </w:tc>
      </w:tr>
      <w:tr w:rsidR="008E4797" w:rsidRPr="007A1B07" w14:paraId="6DA1F72C" w14:textId="77777777">
        <w:trPr>
          <w:trHeight w:val="241"/>
        </w:trPr>
        <w:tc>
          <w:tcPr>
            <w:tcW w:w="7305" w:type="dxa"/>
          </w:tcPr>
          <w:p w14:paraId="433E2F67" w14:textId="77777777" w:rsidR="008E4797" w:rsidRPr="007A1B07" w:rsidRDefault="004F3FE9">
            <w:pPr>
              <w:rPr>
                <w:rFonts w:ascii="Arial" w:eastAsia="Arial" w:hAnsi="Arial" w:cs="Arial"/>
              </w:rPr>
            </w:pPr>
            <w:r w:rsidRPr="007A1B07">
              <w:rPr>
                <w:rFonts w:ascii="Arial" w:eastAsia="Arial" w:hAnsi="Arial" w:cs="Arial"/>
              </w:rPr>
              <w:t>Worrying too much about different things</w:t>
            </w:r>
          </w:p>
        </w:tc>
        <w:tc>
          <w:tcPr>
            <w:tcW w:w="1245" w:type="dxa"/>
            <w:vAlign w:val="bottom"/>
          </w:tcPr>
          <w:p w14:paraId="43AD6254" w14:textId="77777777" w:rsidR="008E4797" w:rsidRPr="007A1B07" w:rsidRDefault="004F3FE9">
            <w:pPr>
              <w:jc w:val="center"/>
              <w:rPr>
                <w:rFonts w:ascii="Arial" w:eastAsia="Arial" w:hAnsi="Arial" w:cs="Arial"/>
              </w:rPr>
            </w:pPr>
            <w:r w:rsidRPr="007A1B07">
              <w:rPr>
                <w:rFonts w:ascii="Arial" w:eastAsia="Arial" w:hAnsi="Arial" w:cs="Arial"/>
              </w:rPr>
              <w:t>1.22</w:t>
            </w:r>
          </w:p>
        </w:tc>
      </w:tr>
      <w:tr w:rsidR="008E4797" w:rsidRPr="007A1B07" w14:paraId="1325134A" w14:textId="77777777">
        <w:trPr>
          <w:trHeight w:val="185"/>
        </w:trPr>
        <w:tc>
          <w:tcPr>
            <w:tcW w:w="7305" w:type="dxa"/>
          </w:tcPr>
          <w:p w14:paraId="799437D6" w14:textId="77777777" w:rsidR="008E4797" w:rsidRPr="007A1B07" w:rsidRDefault="004F3FE9">
            <w:pPr>
              <w:rPr>
                <w:rFonts w:ascii="Arial" w:eastAsia="Arial" w:hAnsi="Arial" w:cs="Arial"/>
              </w:rPr>
            </w:pPr>
            <w:r w:rsidRPr="007A1B07">
              <w:rPr>
                <w:rFonts w:ascii="Arial" w:eastAsia="Arial" w:hAnsi="Arial" w:cs="Arial"/>
              </w:rPr>
              <w:t>Trouble relaxing</w:t>
            </w:r>
          </w:p>
        </w:tc>
        <w:tc>
          <w:tcPr>
            <w:tcW w:w="1245" w:type="dxa"/>
            <w:vAlign w:val="bottom"/>
          </w:tcPr>
          <w:p w14:paraId="462EF977" w14:textId="77777777" w:rsidR="008E4797" w:rsidRPr="007A1B07" w:rsidRDefault="004F3FE9">
            <w:pPr>
              <w:jc w:val="center"/>
              <w:rPr>
                <w:rFonts w:ascii="Arial" w:eastAsia="Arial" w:hAnsi="Arial" w:cs="Arial"/>
              </w:rPr>
            </w:pPr>
            <w:r w:rsidRPr="007A1B07">
              <w:rPr>
                <w:rFonts w:ascii="Arial" w:eastAsia="Arial" w:hAnsi="Arial" w:cs="Arial"/>
              </w:rPr>
              <w:t>0.92</w:t>
            </w:r>
          </w:p>
        </w:tc>
      </w:tr>
      <w:tr w:rsidR="008E4797" w:rsidRPr="007A1B07" w14:paraId="6A24D288" w14:textId="77777777">
        <w:trPr>
          <w:trHeight w:val="257"/>
        </w:trPr>
        <w:tc>
          <w:tcPr>
            <w:tcW w:w="7305" w:type="dxa"/>
          </w:tcPr>
          <w:p w14:paraId="1061B52F" w14:textId="77777777" w:rsidR="008E4797" w:rsidRPr="007A1B07" w:rsidRDefault="004F3FE9">
            <w:pPr>
              <w:rPr>
                <w:rFonts w:ascii="Arial" w:eastAsia="Arial" w:hAnsi="Arial" w:cs="Arial"/>
              </w:rPr>
            </w:pPr>
            <w:r w:rsidRPr="007A1B07">
              <w:rPr>
                <w:rFonts w:ascii="Arial" w:eastAsia="Arial" w:hAnsi="Arial" w:cs="Arial"/>
              </w:rPr>
              <w:t>Being so restless that it is hard to sit still</w:t>
            </w:r>
          </w:p>
        </w:tc>
        <w:tc>
          <w:tcPr>
            <w:tcW w:w="1245" w:type="dxa"/>
            <w:vAlign w:val="bottom"/>
          </w:tcPr>
          <w:p w14:paraId="0F708180" w14:textId="77777777" w:rsidR="008E4797" w:rsidRPr="007A1B07" w:rsidRDefault="004F3FE9">
            <w:pPr>
              <w:jc w:val="center"/>
              <w:rPr>
                <w:rFonts w:ascii="Arial" w:eastAsia="Arial" w:hAnsi="Arial" w:cs="Arial"/>
              </w:rPr>
            </w:pPr>
            <w:r w:rsidRPr="007A1B07">
              <w:rPr>
                <w:rFonts w:ascii="Arial" w:eastAsia="Arial" w:hAnsi="Arial" w:cs="Arial"/>
              </w:rPr>
              <w:t>0.80</w:t>
            </w:r>
          </w:p>
        </w:tc>
      </w:tr>
      <w:tr w:rsidR="008E4797" w:rsidRPr="007A1B07" w14:paraId="1AF40B68" w14:textId="77777777">
        <w:trPr>
          <w:trHeight w:val="265"/>
        </w:trPr>
        <w:tc>
          <w:tcPr>
            <w:tcW w:w="7305" w:type="dxa"/>
          </w:tcPr>
          <w:p w14:paraId="21AD8CBE" w14:textId="77777777" w:rsidR="008E4797" w:rsidRPr="007A1B07" w:rsidRDefault="004F3FE9">
            <w:pPr>
              <w:rPr>
                <w:rFonts w:ascii="Arial" w:eastAsia="Arial" w:hAnsi="Arial" w:cs="Arial"/>
              </w:rPr>
            </w:pPr>
            <w:r w:rsidRPr="007A1B07">
              <w:rPr>
                <w:rFonts w:ascii="Arial" w:eastAsia="Arial" w:hAnsi="Arial" w:cs="Arial"/>
              </w:rPr>
              <w:t>Becoming easily annoyed or irritable</w:t>
            </w:r>
          </w:p>
        </w:tc>
        <w:tc>
          <w:tcPr>
            <w:tcW w:w="1245" w:type="dxa"/>
            <w:vAlign w:val="bottom"/>
          </w:tcPr>
          <w:p w14:paraId="19FD06A1" w14:textId="77777777" w:rsidR="008E4797" w:rsidRPr="007A1B07" w:rsidRDefault="004F3FE9">
            <w:pPr>
              <w:jc w:val="center"/>
              <w:rPr>
                <w:rFonts w:ascii="Arial" w:eastAsia="Arial" w:hAnsi="Arial" w:cs="Arial"/>
              </w:rPr>
            </w:pPr>
            <w:r w:rsidRPr="007A1B07">
              <w:rPr>
                <w:rFonts w:ascii="Arial" w:eastAsia="Arial" w:hAnsi="Arial" w:cs="Arial"/>
              </w:rPr>
              <w:t>1.12</w:t>
            </w:r>
          </w:p>
        </w:tc>
      </w:tr>
      <w:tr w:rsidR="008E4797" w:rsidRPr="007A1B07" w14:paraId="509EB6F9" w14:textId="77777777">
        <w:trPr>
          <w:trHeight w:val="499"/>
        </w:trPr>
        <w:tc>
          <w:tcPr>
            <w:tcW w:w="7305" w:type="dxa"/>
            <w:tcBorders>
              <w:bottom w:val="single" w:sz="4" w:space="0" w:color="000000"/>
            </w:tcBorders>
          </w:tcPr>
          <w:p w14:paraId="1F66621C" w14:textId="77777777" w:rsidR="008E4797" w:rsidRPr="007A1B07" w:rsidRDefault="004F3FE9">
            <w:pPr>
              <w:rPr>
                <w:rFonts w:ascii="Arial" w:eastAsia="Arial" w:hAnsi="Arial" w:cs="Arial"/>
              </w:rPr>
            </w:pPr>
            <w:r w:rsidRPr="007A1B07">
              <w:rPr>
                <w:rFonts w:ascii="Arial" w:eastAsia="Arial" w:hAnsi="Arial" w:cs="Arial"/>
              </w:rPr>
              <w:t>Feeling afraid, as if something awful might happen</w:t>
            </w:r>
          </w:p>
        </w:tc>
        <w:tc>
          <w:tcPr>
            <w:tcW w:w="1245" w:type="dxa"/>
            <w:tcBorders>
              <w:bottom w:val="single" w:sz="4" w:space="0" w:color="000000"/>
            </w:tcBorders>
            <w:vAlign w:val="bottom"/>
          </w:tcPr>
          <w:p w14:paraId="35CE9108" w14:textId="77777777" w:rsidR="008E4797" w:rsidRPr="007A1B07" w:rsidRDefault="004F3FE9">
            <w:pPr>
              <w:jc w:val="center"/>
              <w:rPr>
                <w:rFonts w:ascii="Arial" w:eastAsia="Arial" w:hAnsi="Arial" w:cs="Arial"/>
              </w:rPr>
            </w:pPr>
            <w:r w:rsidRPr="007A1B07">
              <w:rPr>
                <w:rFonts w:ascii="Arial" w:eastAsia="Arial" w:hAnsi="Arial" w:cs="Arial"/>
              </w:rPr>
              <w:t>1.13</w:t>
            </w:r>
          </w:p>
        </w:tc>
      </w:tr>
      <w:tr w:rsidR="008E4797" w:rsidRPr="007A1B07" w14:paraId="7CC97CD3" w14:textId="77777777">
        <w:trPr>
          <w:trHeight w:val="499"/>
        </w:trPr>
        <w:tc>
          <w:tcPr>
            <w:tcW w:w="7305" w:type="dxa"/>
            <w:tcBorders>
              <w:top w:val="single" w:sz="4" w:space="0" w:color="000000"/>
              <w:bottom w:val="single" w:sz="4" w:space="0" w:color="000000"/>
            </w:tcBorders>
          </w:tcPr>
          <w:p w14:paraId="73DE4AD7" w14:textId="77777777" w:rsidR="008E4797" w:rsidRPr="007A1B07" w:rsidRDefault="004F3FE9">
            <w:pPr>
              <w:rPr>
                <w:rFonts w:ascii="Arial" w:eastAsia="Arial" w:hAnsi="Arial" w:cs="Arial"/>
                <w:b/>
                <w:bCs/>
              </w:rPr>
            </w:pPr>
            <w:r w:rsidRPr="007A1B07">
              <w:rPr>
                <w:rFonts w:ascii="Arial" w:eastAsia="Arial" w:hAnsi="Arial" w:cs="Arial"/>
                <w:b/>
                <w:bCs/>
              </w:rPr>
              <w:t>Overall Mean</w:t>
            </w:r>
          </w:p>
        </w:tc>
        <w:tc>
          <w:tcPr>
            <w:tcW w:w="1245" w:type="dxa"/>
            <w:tcBorders>
              <w:top w:val="single" w:sz="4" w:space="0" w:color="000000"/>
              <w:bottom w:val="single" w:sz="4" w:space="0" w:color="000000"/>
            </w:tcBorders>
            <w:vAlign w:val="bottom"/>
          </w:tcPr>
          <w:p w14:paraId="31EA18E3" w14:textId="77777777" w:rsidR="008E4797" w:rsidRPr="007A1B07" w:rsidRDefault="004F3FE9">
            <w:pPr>
              <w:jc w:val="center"/>
              <w:rPr>
                <w:rFonts w:ascii="Arial" w:eastAsia="Arial" w:hAnsi="Arial" w:cs="Arial"/>
                <w:b/>
                <w:bCs/>
              </w:rPr>
            </w:pPr>
            <w:r w:rsidRPr="007A1B07">
              <w:rPr>
                <w:rFonts w:ascii="Arial" w:eastAsia="Arial" w:hAnsi="Arial" w:cs="Arial"/>
                <w:b/>
                <w:bCs/>
              </w:rPr>
              <w:t>1.03</w:t>
            </w:r>
          </w:p>
        </w:tc>
      </w:tr>
    </w:tbl>
    <w:p w14:paraId="58C6ABFA" w14:textId="77777777" w:rsidR="008E4797" w:rsidRPr="007A1B07" w:rsidRDefault="004F3FE9">
      <w:pPr>
        <w:rPr>
          <w:rFonts w:ascii="Arial" w:eastAsia="Arial" w:hAnsi="Arial" w:cs="Arial"/>
          <w:i/>
          <w:iCs/>
          <w:sz w:val="16"/>
          <w:szCs w:val="16"/>
        </w:rPr>
      </w:pPr>
      <w:r w:rsidRPr="007A1B07">
        <w:rPr>
          <w:rFonts w:ascii="Arial" w:eastAsia="Arial" w:hAnsi="Arial" w:cs="Arial"/>
          <w:i/>
          <w:iCs/>
          <w:sz w:val="16"/>
          <w:szCs w:val="16"/>
        </w:rPr>
        <w:t>*Legend: Minimal (0.70 and below), Mild (0.71-1.42), Moderate (1.43-2.13), Severe (2.13-3.00)</w:t>
      </w:r>
    </w:p>
    <w:p w14:paraId="58C08370" w14:textId="77777777" w:rsidR="008E4797" w:rsidRPr="007A1B07" w:rsidRDefault="008E4797">
      <w:pPr>
        <w:rPr>
          <w:rFonts w:ascii="Arial" w:eastAsia="Arial" w:hAnsi="Arial" w:cs="Arial"/>
          <w:b/>
          <w:bCs/>
        </w:rPr>
      </w:pPr>
    </w:p>
    <w:p w14:paraId="6C7F55EC" w14:textId="77777777" w:rsidR="008E4797" w:rsidRPr="007A1B07" w:rsidRDefault="008E4797">
      <w:pPr>
        <w:rPr>
          <w:rFonts w:ascii="Arial" w:eastAsia="Arial" w:hAnsi="Arial" w:cs="Arial"/>
          <w:b/>
          <w:bCs/>
        </w:rPr>
      </w:pPr>
    </w:p>
    <w:p w14:paraId="6C1030B3" w14:textId="77777777" w:rsidR="008E4797" w:rsidRPr="007A1B07" w:rsidRDefault="004F3FE9">
      <w:pPr>
        <w:rPr>
          <w:rFonts w:ascii="Arial" w:eastAsia="Arial" w:hAnsi="Arial" w:cs="Arial"/>
          <w:b/>
          <w:bCs/>
        </w:rPr>
      </w:pPr>
      <w:r w:rsidRPr="007A1B07">
        <w:rPr>
          <w:rFonts w:ascii="Arial" w:eastAsia="Arial" w:hAnsi="Arial" w:cs="Arial"/>
          <w:b/>
          <w:bCs/>
        </w:rPr>
        <w:t>Table 3b. Level of Anxiety Among the Respondents (n=275)</w:t>
      </w:r>
    </w:p>
    <w:tbl>
      <w:tblPr>
        <w:tblStyle w:val="ad"/>
        <w:tblW w:w="8580" w:type="dxa"/>
        <w:tblLayout w:type="fixed"/>
        <w:tblLook w:val="0000" w:firstRow="0" w:lastRow="0" w:firstColumn="0" w:lastColumn="0" w:noHBand="0" w:noVBand="0"/>
      </w:tblPr>
      <w:tblGrid>
        <w:gridCol w:w="3165"/>
        <w:gridCol w:w="4125"/>
        <w:gridCol w:w="1290"/>
      </w:tblGrid>
      <w:tr w:rsidR="008E4797" w:rsidRPr="007A1B07" w14:paraId="3F1D229F" w14:textId="77777777">
        <w:trPr>
          <w:trHeight w:val="275"/>
        </w:trPr>
        <w:tc>
          <w:tcPr>
            <w:tcW w:w="3165" w:type="dxa"/>
            <w:tcBorders>
              <w:top w:val="single" w:sz="4" w:space="0" w:color="000000"/>
              <w:bottom w:val="single" w:sz="4" w:space="0" w:color="000000"/>
            </w:tcBorders>
          </w:tcPr>
          <w:p w14:paraId="44292782" w14:textId="77777777" w:rsidR="008E4797" w:rsidRPr="007A1B07" w:rsidRDefault="004F3FE9">
            <w:pPr>
              <w:rPr>
                <w:rFonts w:ascii="Arial" w:eastAsia="Arial" w:hAnsi="Arial" w:cs="Arial"/>
                <w:b/>
                <w:bCs/>
              </w:rPr>
            </w:pPr>
            <w:r w:rsidRPr="007A1B07">
              <w:rPr>
                <w:rFonts w:ascii="Arial" w:eastAsia="Arial" w:hAnsi="Arial" w:cs="Arial"/>
                <w:b/>
                <w:bCs/>
              </w:rPr>
              <w:t>Level of Anxiety</w:t>
            </w:r>
          </w:p>
        </w:tc>
        <w:tc>
          <w:tcPr>
            <w:tcW w:w="4125" w:type="dxa"/>
            <w:tcBorders>
              <w:top w:val="single" w:sz="4" w:space="0" w:color="000000"/>
              <w:bottom w:val="single" w:sz="4" w:space="0" w:color="000000"/>
            </w:tcBorders>
          </w:tcPr>
          <w:p w14:paraId="79DD7007" w14:textId="77777777" w:rsidR="008E4797" w:rsidRPr="007A1B07" w:rsidRDefault="004F3FE9">
            <w:pPr>
              <w:rPr>
                <w:rFonts w:ascii="Arial" w:eastAsia="Arial" w:hAnsi="Arial" w:cs="Arial"/>
                <w:b/>
                <w:bCs/>
              </w:rPr>
            </w:pPr>
            <w:r w:rsidRPr="007A1B07">
              <w:rPr>
                <w:rFonts w:ascii="Arial" w:eastAsia="Arial" w:hAnsi="Arial" w:cs="Arial"/>
                <w:b/>
                <w:bCs/>
                <w:i/>
                <w:iCs/>
              </w:rPr>
              <w:t xml:space="preserve">                           f</w:t>
            </w:r>
          </w:p>
        </w:tc>
        <w:tc>
          <w:tcPr>
            <w:tcW w:w="1290" w:type="dxa"/>
            <w:tcBorders>
              <w:top w:val="single" w:sz="4" w:space="0" w:color="000000"/>
              <w:bottom w:val="single" w:sz="4" w:space="0" w:color="000000"/>
            </w:tcBorders>
          </w:tcPr>
          <w:p w14:paraId="3F1FB986" w14:textId="77777777" w:rsidR="008E4797" w:rsidRPr="007A1B07" w:rsidRDefault="004F3FE9">
            <w:pPr>
              <w:jc w:val="center"/>
              <w:rPr>
                <w:rFonts w:ascii="Arial" w:eastAsia="Arial" w:hAnsi="Arial" w:cs="Arial"/>
                <w:b/>
                <w:bCs/>
              </w:rPr>
            </w:pPr>
            <w:r w:rsidRPr="007A1B07">
              <w:rPr>
                <w:rFonts w:ascii="Arial" w:eastAsia="Arial" w:hAnsi="Arial" w:cs="Arial"/>
                <w:b/>
                <w:bCs/>
              </w:rPr>
              <w:t>%</w:t>
            </w:r>
          </w:p>
        </w:tc>
      </w:tr>
      <w:tr w:rsidR="008E4797" w:rsidRPr="007A1B07" w14:paraId="3BFEB8DA" w14:textId="77777777">
        <w:trPr>
          <w:trHeight w:val="275"/>
        </w:trPr>
        <w:tc>
          <w:tcPr>
            <w:tcW w:w="3165" w:type="dxa"/>
            <w:tcBorders>
              <w:top w:val="single" w:sz="4" w:space="0" w:color="000000"/>
            </w:tcBorders>
          </w:tcPr>
          <w:p w14:paraId="5BC5F88A" w14:textId="77777777" w:rsidR="008E4797" w:rsidRPr="007A1B07" w:rsidRDefault="004F3FE9">
            <w:pPr>
              <w:rPr>
                <w:rFonts w:ascii="Arial" w:eastAsia="Arial" w:hAnsi="Arial" w:cs="Arial"/>
              </w:rPr>
            </w:pPr>
            <w:r w:rsidRPr="007A1B07">
              <w:rPr>
                <w:rFonts w:ascii="Arial" w:eastAsia="Arial" w:hAnsi="Arial" w:cs="Arial"/>
              </w:rPr>
              <w:t>Minimal</w:t>
            </w:r>
          </w:p>
        </w:tc>
        <w:tc>
          <w:tcPr>
            <w:tcW w:w="4125" w:type="dxa"/>
            <w:tcBorders>
              <w:top w:val="single" w:sz="4" w:space="0" w:color="000000"/>
            </w:tcBorders>
          </w:tcPr>
          <w:p w14:paraId="54DCAA9C" w14:textId="77777777" w:rsidR="008E4797" w:rsidRPr="007A1B07" w:rsidRDefault="004F3FE9">
            <w:pPr>
              <w:ind w:right="807"/>
              <w:jc w:val="center"/>
              <w:rPr>
                <w:rFonts w:ascii="Arial" w:eastAsia="Arial" w:hAnsi="Arial" w:cs="Arial"/>
              </w:rPr>
            </w:pPr>
            <w:r w:rsidRPr="007A1B07">
              <w:rPr>
                <w:rFonts w:ascii="Arial" w:eastAsia="Arial" w:hAnsi="Arial" w:cs="Arial"/>
              </w:rPr>
              <w:t>103</w:t>
            </w:r>
          </w:p>
        </w:tc>
        <w:tc>
          <w:tcPr>
            <w:tcW w:w="1290" w:type="dxa"/>
            <w:tcBorders>
              <w:top w:val="single" w:sz="4" w:space="0" w:color="000000"/>
            </w:tcBorders>
          </w:tcPr>
          <w:p w14:paraId="308A12C4" w14:textId="77777777" w:rsidR="008E4797" w:rsidRPr="007A1B07" w:rsidRDefault="004F3FE9">
            <w:pPr>
              <w:jc w:val="center"/>
              <w:rPr>
                <w:rFonts w:ascii="Arial" w:eastAsia="Arial" w:hAnsi="Arial" w:cs="Arial"/>
                <w:i/>
                <w:iCs/>
              </w:rPr>
            </w:pPr>
            <w:r w:rsidRPr="007A1B07">
              <w:rPr>
                <w:rFonts w:ascii="Arial" w:eastAsia="Arial" w:hAnsi="Arial" w:cs="Arial"/>
                <w:i/>
                <w:iCs/>
              </w:rPr>
              <w:t>37.5</w:t>
            </w:r>
          </w:p>
        </w:tc>
      </w:tr>
      <w:tr w:rsidR="008E4797" w:rsidRPr="007A1B07" w14:paraId="05388D80" w14:textId="77777777">
        <w:trPr>
          <w:trHeight w:val="275"/>
        </w:trPr>
        <w:tc>
          <w:tcPr>
            <w:tcW w:w="3165" w:type="dxa"/>
          </w:tcPr>
          <w:p w14:paraId="36066042" w14:textId="77777777" w:rsidR="008E4797" w:rsidRPr="007A1B07" w:rsidRDefault="004F3FE9">
            <w:pPr>
              <w:rPr>
                <w:rFonts w:ascii="Arial" w:eastAsia="Arial" w:hAnsi="Arial" w:cs="Arial"/>
              </w:rPr>
            </w:pPr>
            <w:r w:rsidRPr="007A1B07">
              <w:rPr>
                <w:rFonts w:ascii="Arial" w:eastAsia="Arial" w:hAnsi="Arial" w:cs="Arial"/>
              </w:rPr>
              <w:t>Mild</w:t>
            </w:r>
          </w:p>
        </w:tc>
        <w:tc>
          <w:tcPr>
            <w:tcW w:w="4125" w:type="dxa"/>
          </w:tcPr>
          <w:p w14:paraId="2DA78E62" w14:textId="77777777" w:rsidR="008E4797" w:rsidRPr="007A1B07" w:rsidRDefault="004F3FE9">
            <w:pPr>
              <w:ind w:right="807"/>
              <w:jc w:val="center"/>
              <w:rPr>
                <w:rFonts w:ascii="Arial" w:eastAsia="Arial" w:hAnsi="Arial" w:cs="Arial"/>
              </w:rPr>
            </w:pPr>
            <w:r w:rsidRPr="007A1B07">
              <w:rPr>
                <w:rFonts w:ascii="Arial" w:eastAsia="Arial" w:hAnsi="Arial" w:cs="Arial"/>
              </w:rPr>
              <w:t>84</w:t>
            </w:r>
          </w:p>
        </w:tc>
        <w:tc>
          <w:tcPr>
            <w:tcW w:w="1290" w:type="dxa"/>
          </w:tcPr>
          <w:p w14:paraId="100E073E" w14:textId="77777777" w:rsidR="008E4797" w:rsidRPr="007A1B07" w:rsidRDefault="004F3FE9">
            <w:pPr>
              <w:jc w:val="center"/>
              <w:rPr>
                <w:rFonts w:ascii="Arial" w:eastAsia="Arial" w:hAnsi="Arial" w:cs="Arial"/>
                <w:i/>
                <w:iCs/>
              </w:rPr>
            </w:pPr>
            <w:r w:rsidRPr="007A1B07">
              <w:rPr>
                <w:rFonts w:ascii="Arial" w:eastAsia="Arial" w:hAnsi="Arial" w:cs="Arial"/>
              </w:rPr>
              <w:t>30.5</w:t>
            </w:r>
          </w:p>
        </w:tc>
      </w:tr>
      <w:tr w:rsidR="008E4797" w:rsidRPr="007A1B07" w14:paraId="504DA1D6" w14:textId="77777777">
        <w:trPr>
          <w:trHeight w:val="275"/>
        </w:trPr>
        <w:tc>
          <w:tcPr>
            <w:tcW w:w="3165" w:type="dxa"/>
          </w:tcPr>
          <w:p w14:paraId="65990EE9" w14:textId="77777777" w:rsidR="008E4797" w:rsidRPr="007A1B07" w:rsidRDefault="004F3FE9">
            <w:pPr>
              <w:rPr>
                <w:rFonts w:ascii="Arial" w:eastAsia="Arial" w:hAnsi="Arial" w:cs="Arial"/>
              </w:rPr>
            </w:pPr>
            <w:r w:rsidRPr="007A1B07">
              <w:rPr>
                <w:rFonts w:ascii="Arial" w:eastAsia="Arial" w:hAnsi="Arial" w:cs="Arial"/>
              </w:rPr>
              <w:t>Moderate</w:t>
            </w:r>
          </w:p>
        </w:tc>
        <w:tc>
          <w:tcPr>
            <w:tcW w:w="4125" w:type="dxa"/>
          </w:tcPr>
          <w:p w14:paraId="3BDDEF50" w14:textId="77777777" w:rsidR="008E4797" w:rsidRPr="007A1B07" w:rsidRDefault="004F3FE9">
            <w:pPr>
              <w:ind w:right="807"/>
              <w:jc w:val="center"/>
              <w:rPr>
                <w:rFonts w:ascii="Arial" w:eastAsia="Arial" w:hAnsi="Arial" w:cs="Arial"/>
              </w:rPr>
            </w:pPr>
            <w:r w:rsidRPr="007A1B07">
              <w:rPr>
                <w:rFonts w:ascii="Arial" w:eastAsia="Arial" w:hAnsi="Arial" w:cs="Arial"/>
              </w:rPr>
              <w:t>56</w:t>
            </w:r>
          </w:p>
        </w:tc>
        <w:tc>
          <w:tcPr>
            <w:tcW w:w="1290" w:type="dxa"/>
          </w:tcPr>
          <w:p w14:paraId="4C32B4C4" w14:textId="77777777" w:rsidR="008E4797" w:rsidRPr="007A1B07" w:rsidRDefault="004F3FE9">
            <w:pPr>
              <w:jc w:val="center"/>
              <w:rPr>
                <w:rFonts w:ascii="Arial" w:eastAsia="Arial" w:hAnsi="Arial" w:cs="Arial"/>
                <w:i/>
                <w:iCs/>
              </w:rPr>
            </w:pPr>
            <w:r w:rsidRPr="007A1B07">
              <w:rPr>
                <w:rFonts w:ascii="Arial" w:eastAsia="Arial" w:hAnsi="Arial" w:cs="Arial"/>
              </w:rPr>
              <w:t>20.4</w:t>
            </w:r>
          </w:p>
        </w:tc>
      </w:tr>
      <w:tr w:rsidR="008E4797" w:rsidRPr="007A1B07" w14:paraId="40F6C94B" w14:textId="77777777">
        <w:trPr>
          <w:trHeight w:val="275"/>
        </w:trPr>
        <w:tc>
          <w:tcPr>
            <w:tcW w:w="3165" w:type="dxa"/>
            <w:tcBorders>
              <w:bottom w:val="single" w:sz="4" w:space="0" w:color="000000"/>
            </w:tcBorders>
          </w:tcPr>
          <w:p w14:paraId="4D467864" w14:textId="77777777" w:rsidR="008E4797" w:rsidRPr="007A1B07" w:rsidRDefault="004F3FE9">
            <w:pPr>
              <w:rPr>
                <w:rFonts w:ascii="Arial" w:eastAsia="Arial" w:hAnsi="Arial" w:cs="Arial"/>
              </w:rPr>
            </w:pPr>
            <w:r w:rsidRPr="007A1B07">
              <w:rPr>
                <w:rFonts w:ascii="Arial" w:eastAsia="Arial" w:hAnsi="Arial" w:cs="Arial"/>
              </w:rPr>
              <w:t>Severe</w:t>
            </w:r>
          </w:p>
        </w:tc>
        <w:tc>
          <w:tcPr>
            <w:tcW w:w="4125" w:type="dxa"/>
            <w:tcBorders>
              <w:bottom w:val="single" w:sz="4" w:space="0" w:color="000000"/>
            </w:tcBorders>
          </w:tcPr>
          <w:p w14:paraId="23857284" w14:textId="77777777" w:rsidR="008E4797" w:rsidRPr="007A1B07" w:rsidRDefault="004F3FE9">
            <w:pPr>
              <w:ind w:right="807"/>
              <w:jc w:val="center"/>
              <w:rPr>
                <w:rFonts w:ascii="Arial" w:eastAsia="Arial" w:hAnsi="Arial" w:cs="Arial"/>
              </w:rPr>
            </w:pPr>
            <w:r w:rsidRPr="007A1B07">
              <w:rPr>
                <w:rFonts w:ascii="Arial" w:eastAsia="Arial" w:hAnsi="Arial" w:cs="Arial"/>
              </w:rPr>
              <w:t>32</w:t>
            </w:r>
          </w:p>
        </w:tc>
        <w:tc>
          <w:tcPr>
            <w:tcW w:w="1290" w:type="dxa"/>
            <w:tcBorders>
              <w:bottom w:val="single" w:sz="4" w:space="0" w:color="000000"/>
            </w:tcBorders>
          </w:tcPr>
          <w:p w14:paraId="5186F1CB" w14:textId="77777777" w:rsidR="008E4797" w:rsidRPr="007A1B07" w:rsidRDefault="004F3FE9">
            <w:pPr>
              <w:jc w:val="center"/>
              <w:rPr>
                <w:rFonts w:ascii="Arial" w:eastAsia="Arial" w:hAnsi="Arial" w:cs="Arial"/>
                <w:i/>
                <w:iCs/>
              </w:rPr>
            </w:pPr>
            <w:r w:rsidRPr="007A1B07">
              <w:rPr>
                <w:rFonts w:ascii="Arial" w:eastAsia="Arial" w:hAnsi="Arial" w:cs="Arial"/>
              </w:rPr>
              <w:t>11.6</w:t>
            </w:r>
          </w:p>
        </w:tc>
      </w:tr>
      <w:tr w:rsidR="008E4797" w:rsidRPr="007A1B07" w14:paraId="70684367" w14:textId="77777777">
        <w:trPr>
          <w:trHeight w:val="275"/>
        </w:trPr>
        <w:tc>
          <w:tcPr>
            <w:tcW w:w="3165" w:type="dxa"/>
            <w:tcBorders>
              <w:top w:val="single" w:sz="4" w:space="0" w:color="000000"/>
              <w:bottom w:val="single" w:sz="4" w:space="0" w:color="000000"/>
            </w:tcBorders>
          </w:tcPr>
          <w:p w14:paraId="56952633" w14:textId="77777777" w:rsidR="008E4797" w:rsidRPr="007A1B07" w:rsidRDefault="008E4797">
            <w:pPr>
              <w:rPr>
                <w:rFonts w:ascii="Arial" w:eastAsia="Arial" w:hAnsi="Arial" w:cs="Arial"/>
              </w:rPr>
            </w:pPr>
          </w:p>
        </w:tc>
        <w:tc>
          <w:tcPr>
            <w:tcW w:w="4125" w:type="dxa"/>
            <w:tcBorders>
              <w:top w:val="single" w:sz="4" w:space="0" w:color="000000"/>
              <w:bottom w:val="single" w:sz="4" w:space="0" w:color="000000"/>
            </w:tcBorders>
          </w:tcPr>
          <w:p w14:paraId="32E75835" w14:textId="77777777" w:rsidR="008E4797" w:rsidRPr="007A1B07" w:rsidRDefault="004F3FE9">
            <w:pPr>
              <w:ind w:right="807"/>
              <w:jc w:val="center"/>
              <w:rPr>
                <w:rFonts w:ascii="Arial" w:eastAsia="Arial" w:hAnsi="Arial" w:cs="Arial"/>
                <w:b/>
                <w:bCs/>
              </w:rPr>
            </w:pPr>
            <w:r w:rsidRPr="007A1B07">
              <w:rPr>
                <w:rFonts w:ascii="Arial" w:eastAsia="Arial" w:hAnsi="Arial" w:cs="Arial"/>
                <w:b/>
                <w:bCs/>
              </w:rPr>
              <w:t>275</w:t>
            </w:r>
          </w:p>
        </w:tc>
        <w:tc>
          <w:tcPr>
            <w:tcW w:w="1290" w:type="dxa"/>
            <w:tcBorders>
              <w:top w:val="single" w:sz="4" w:space="0" w:color="000000"/>
              <w:bottom w:val="single" w:sz="4" w:space="0" w:color="000000"/>
            </w:tcBorders>
          </w:tcPr>
          <w:p w14:paraId="702FAF62" w14:textId="77777777" w:rsidR="008E4797" w:rsidRPr="007A1B07" w:rsidRDefault="004F3FE9">
            <w:pPr>
              <w:jc w:val="center"/>
              <w:rPr>
                <w:rFonts w:ascii="Arial" w:eastAsia="Arial" w:hAnsi="Arial" w:cs="Arial"/>
                <w:b/>
                <w:bCs/>
              </w:rPr>
            </w:pPr>
            <w:r w:rsidRPr="007A1B07">
              <w:rPr>
                <w:rFonts w:ascii="Arial" w:eastAsia="Arial" w:hAnsi="Arial" w:cs="Arial"/>
                <w:b/>
                <w:bCs/>
              </w:rPr>
              <w:t>100</w:t>
            </w:r>
          </w:p>
        </w:tc>
      </w:tr>
    </w:tbl>
    <w:p w14:paraId="6AEEA98C" w14:textId="77777777" w:rsidR="008E4797" w:rsidRPr="007A1B07" w:rsidRDefault="004F3FE9">
      <w:pPr>
        <w:rPr>
          <w:rFonts w:ascii="Arial" w:eastAsia="Arial" w:hAnsi="Arial" w:cs="Arial"/>
          <w:b/>
          <w:bCs/>
          <w:sz w:val="16"/>
          <w:szCs w:val="16"/>
        </w:rPr>
      </w:pPr>
      <w:r w:rsidRPr="007A1B07">
        <w:rPr>
          <w:rFonts w:ascii="Arial" w:eastAsia="Arial" w:hAnsi="Arial" w:cs="Arial"/>
          <w:i/>
          <w:iCs/>
          <w:sz w:val="16"/>
          <w:szCs w:val="16"/>
        </w:rPr>
        <w:t>*Legend: Minimal (0-4), Mild (5-9), Moderate (10-14), Severe (15-21)</w:t>
      </w:r>
    </w:p>
    <w:p w14:paraId="60EB45AF" w14:textId="77777777" w:rsidR="008E4797" w:rsidRPr="007A1B07" w:rsidRDefault="008E4797">
      <w:pPr>
        <w:rPr>
          <w:rFonts w:ascii="Arial" w:eastAsia="Arial" w:hAnsi="Arial" w:cs="Arial"/>
          <w:b/>
          <w:bCs/>
        </w:rPr>
      </w:pPr>
    </w:p>
    <w:p w14:paraId="3CDD4515" w14:textId="77777777" w:rsidR="008E4797" w:rsidRPr="007A1B07" w:rsidRDefault="008E4797">
      <w:pPr>
        <w:rPr>
          <w:rFonts w:ascii="Arial" w:eastAsia="Arial" w:hAnsi="Arial" w:cs="Arial"/>
          <w:b/>
          <w:bCs/>
        </w:rPr>
      </w:pPr>
    </w:p>
    <w:p w14:paraId="0FB00FCC" w14:textId="77777777" w:rsidR="008E4797" w:rsidRPr="007A1B07" w:rsidRDefault="008E4797">
      <w:pPr>
        <w:rPr>
          <w:rFonts w:ascii="Arial" w:eastAsia="Arial" w:hAnsi="Arial" w:cs="Arial"/>
          <w:b/>
          <w:bCs/>
        </w:rPr>
      </w:pPr>
    </w:p>
    <w:p w14:paraId="705ABE6D" w14:textId="77777777" w:rsidR="008E4797" w:rsidRPr="007A1B07" w:rsidRDefault="008E4797">
      <w:pPr>
        <w:rPr>
          <w:rFonts w:ascii="Arial" w:eastAsia="Arial" w:hAnsi="Arial" w:cs="Arial"/>
          <w:b/>
          <w:bCs/>
        </w:rPr>
      </w:pPr>
    </w:p>
    <w:p w14:paraId="64485A13" w14:textId="77777777" w:rsidR="008E4797" w:rsidRPr="007A1B07" w:rsidRDefault="008E4797">
      <w:pPr>
        <w:rPr>
          <w:rFonts w:ascii="Arial" w:eastAsia="Arial" w:hAnsi="Arial" w:cs="Arial"/>
          <w:b/>
          <w:bCs/>
        </w:rPr>
      </w:pPr>
    </w:p>
    <w:p w14:paraId="46B47C1E" w14:textId="77777777" w:rsidR="008E4797" w:rsidRPr="007A1B07" w:rsidRDefault="008E4797">
      <w:pPr>
        <w:rPr>
          <w:rFonts w:ascii="Arial" w:eastAsia="Arial" w:hAnsi="Arial" w:cs="Arial"/>
          <w:b/>
          <w:bCs/>
        </w:rPr>
      </w:pPr>
    </w:p>
    <w:p w14:paraId="150A7659" w14:textId="77777777" w:rsidR="008E4797" w:rsidRPr="007A1B07" w:rsidRDefault="008E4797">
      <w:pPr>
        <w:rPr>
          <w:rFonts w:ascii="Arial" w:eastAsia="Arial" w:hAnsi="Arial" w:cs="Arial"/>
          <w:b/>
          <w:bCs/>
        </w:rPr>
      </w:pPr>
    </w:p>
    <w:p w14:paraId="4D6AF9F1" w14:textId="77777777" w:rsidR="008E4797" w:rsidRPr="007A1B07" w:rsidRDefault="008E4797">
      <w:pPr>
        <w:rPr>
          <w:rFonts w:ascii="Arial" w:eastAsia="Arial" w:hAnsi="Arial" w:cs="Arial"/>
          <w:b/>
          <w:bCs/>
        </w:rPr>
      </w:pPr>
    </w:p>
    <w:p w14:paraId="1C036294" w14:textId="77777777" w:rsidR="008E4797" w:rsidRPr="007A1B07" w:rsidRDefault="008E4797">
      <w:pPr>
        <w:rPr>
          <w:rFonts w:ascii="Arial" w:eastAsia="Arial" w:hAnsi="Arial" w:cs="Arial"/>
          <w:b/>
          <w:bCs/>
        </w:rPr>
      </w:pPr>
    </w:p>
    <w:p w14:paraId="48E97AF1" w14:textId="77777777" w:rsidR="008E4797" w:rsidRPr="007A1B07" w:rsidRDefault="008E4797">
      <w:pPr>
        <w:rPr>
          <w:rFonts w:ascii="Arial" w:eastAsia="Arial" w:hAnsi="Arial" w:cs="Arial"/>
          <w:b/>
          <w:bCs/>
        </w:rPr>
      </w:pPr>
    </w:p>
    <w:p w14:paraId="401E4BB7" w14:textId="77777777" w:rsidR="008E4797" w:rsidRPr="007A1B07" w:rsidRDefault="008E4797">
      <w:pPr>
        <w:rPr>
          <w:rFonts w:ascii="Arial" w:eastAsia="Arial" w:hAnsi="Arial" w:cs="Arial"/>
          <w:b/>
          <w:bCs/>
        </w:rPr>
      </w:pPr>
    </w:p>
    <w:p w14:paraId="654B6EFD" w14:textId="77777777" w:rsidR="008E4797" w:rsidRPr="007A1B07" w:rsidRDefault="008E4797">
      <w:pPr>
        <w:rPr>
          <w:rFonts w:ascii="Arial" w:eastAsia="Arial" w:hAnsi="Arial" w:cs="Arial"/>
          <w:b/>
          <w:bCs/>
        </w:rPr>
      </w:pPr>
    </w:p>
    <w:p w14:paraId="19EDD301" w14:textId="77777777" w:rsidR="008E4797" w:rsidRPr="007A1B07" w:rsidRDefault="008E4797">
      <w:pPr>
        <w:rPr>
          <w:rFonts w:ascii="Arial" w:eastAsia="Arial" w:hAnsi="Arial" w:cs="Arial"/>
          <w:b/>
          <w:bCs/>
        </w:rPr>
      </w:pPr>
    </w:p>
    <w:p w14:paraId="53C480D7" w14:textId="77777777" w:rsidR="008E4797" w:rsidRPr="007A1B07" w:rsidRDefault="008E4797">
      <w:pPr>
        <w:rPr>
          <w:rFonts w:ascii="Arial" w:eastAsia="Arial" w:hAnsi="Arial" w:cs="Arial"/>
          <w:b/>
          <w:bCs/>
        </w:rPr>
      </w:pPr>
    </w:p>
    <w:p w14:paraId="348F89C7" w14:textId="77777777" w:rsidR="008E4797" w:rsidRPr="007A1B07" w:rsidRDefault="008E4797">
      <w:pPr>
        <w:rPr>
          <w:rFonts w:ascii="Arial" w:eastAsia="Arial" w:hAnsi="Arial" w:cs="Arial"/>
          <w:b/>
          <w:bCs/>
        </w:rPr>
      </w:pPr>
    </w:p>
    <w:p w14:paraId="01A570B0" w14:textId="77777777" w:rsidR="008E4797" w:rsidRPr="007A1B07" w:rsidRDefault="008E4797">
      <w:pPr>
        <w:rPr>
          <w:rFonts w:ascii="Arial" w:eastAsia="Arial" w:hAnsi="Arial" w:cs="Arial"/>
          <w:b/>
          <w:bCs/>
        </w:rPr>
      </w:pPr>
    </w:p>
    <w:p w14:paraId="42E0B7CD" w14:textId="77777777" w:rsidR="008E4797" w:rsidRPr="007A1B07" w:rsidRDefault="004F3FE9">
      <w:pPr>
        <w:rPr>
          <w:rFonts w:ascii="Arial" w:eastAsia="Arial" w:hAnsi="Arial" w:cs="Arial"/>
          <w:b/>
          <w:bCs/>
        </w:rPr>
      </w:pPr>
      <w:r w:rsidRPr="007A1B07">
        <w:rPr>
          <w:rFonts w:ascii="Arial" w:eastAsia="Arial" w:hAnsi="Arial" w:cs="Arial"/>
          <w:b/>
          <w:bCs/>
        </w:rPr>
        <w:t xml:space="preserve">Table 4. </w:t>
      </w:r>
    </w:p>
    <w:p w14:paraId="41F7FF3A" w14:textId="77777777" w:rsidR="008E4797" w:rsidRPr="007A1B07" w:rsidRDefault="004F3FE9">
      <w:pPr>
        <w:rPr>
          <w:rFonts w:ascii="Arial" w:eastAsia="Arial" w:hAnsi="Arial" w:cs="Arial"/>
          <w:b/>
          <w:bCs/>
        </w:rPr>
      </w:pPr>
      <w:r w:rsidRPr="007A1B07">
        <w:rPr>
          <w:rFonts w:ascii="Arial" w:eastAsia="Arial" w:hAnsi="Arial" w:cs="Arial"/>
          <w:b/>
          <w:bCs/>
        </w:rPr>
        <w:t>Level of Debriefing Received Among the Respondents (n=275)</w:t>
      </w:r>
    </w:p>
    <w:tbl>
      <w:tblPr>
        <w:tblStyle w:val="ae"/>
        <w:tblW w:w="8745" w:type="dxa"/>
        <w:tblInd w:w="21" w:type="dxa"/>
        <w:tblLayout w:type="fixed"/>
        <w:tblLook w:val="0000" w:firstRow="0" w:lastRow="0" w:firstColumn="0" w:lastColumn="0" w:noHBand="0" w:noVBand="0"/>
      </w:tblPr>
      <w:tblGrid>
        <w:gridCol w:w="7110"/>
        <w:gridCol w:w="1635"/>
      </w:tblGrid>
      <w:tr w:rsidR="008E4797" w:rsidRPr="007A1B07" w14:paraId="1F666151" w14:textId="77777777">
        <w:trPr>
          <w:trHeight w:val="144"/>
        </w:trPr>
        <w:tc>
          <w:tcPr>
            <w:tcW w:w="7110" w:type="dxa"/>
            <w:tcBorders>
              <w:top w:val="single" w:sz="4" w:space="0" w:color="000000"/>
              <w:bottom w:val="single" w:sz="4" w:space="0" w:color="000000"/>
            </w:tcBorders>
            <w:tcMar>
              <w:left w:w="0" w:type="dxa"/>
              <w:right w:w="0" w:type="dxa"/>
            </w:tcMar>
          </w:tcPr>
          <w:p w14:paraId="62072B83" w14:textId="77777777" w:rsidR="008E4797" w:rsidRPr="007A1B07" w:rsidRDefault="004F3FE9">
            <w:pPr>
              <w:ind w:left="720"/>
              <w:jc w:val="center"/>
              <w:rPr>
                <w:rFonts w:ascii="Arial" w:eastAsia="Arial" w:hAnsi="Arial" w:cs="Arial"/>
                <w:b/>
                <w:bCs/>
              </w:rPr>
            </w:pPr>
            <w:r w:rsidRPr="007A1B07">
              <w:rPr>
                <w:rFonts w:ascii="Arial" w:eastAsia="Arial" w:hAnsi="Arial" w:cs="Arial"/>
                <w:b/>
                <w:bCs/>
              </w:rPr>
              <w:t xml:space="preserve">Items </w:t>
            </w:r>
          </w:p>
        </w:tc>
        <w:tc>
          <w:tcPr>
            <w:tcW w:w="1635" w:type="dxa"/>
            <w:tcBorders>
              <w:top w:val="single" w:sz="4" w:space="0" w:color="000000"/>
              <w:bottom w:val="single" w:sz="4" w:space="0" w:color="000000"/>
            </w:tcBorders>
            <w:tcMar>
              <w:left w:w="0" w:type="dxa"/>
              <w:right w:w="0" w:type="dxa"/>
            </w:tcMar>
          </w:tcPr>
          <w:p w14:paraId="481D1974" w14:textId="77777777" w:rsidR="008E4797" w:rsidRPr="007A1B07" w:rsidRDefault="004F3FE9">
            <w:pPr>
              <w:rPr>
                <w:rFonts w:ascii="Arial" w:eastAsia="Arial" w:hAnsi="Arial" w:cs="Arial"/>
                <w:b/>
                <w:bCs/>
              </w:rPr>
            </w:pPr>
            <w:r w:rsidRPr="007A1B07">
              <w:rPr>
                <w:rFonts w:ascii="Arial" w:eastAsia="Arial" w:hAnsi="Arial" w:cs="Arial"/>
                <w:b/>
                <w:bCs/>
              </w:rPr>
              <w:t xml:space="preserve">            Mean</w:t>
            </w:r>
          </w:p>
        </w:tc>
      </w:tr>
      <w:tr w:rsidR="008E4797" w:rsidRPr="007A1B07" w14:paraId="344E34B5" w14:textId="77777777">
        <w:trPr>
          <w:trHeight w:val="144"/>
        </w:trPr>
        <w:tc>
          <w:tcPr>
            <w:tcW w:w="7110" w:type="dxa"/>
            <w:tcBorders>
              <w:top w:val="nil"/>
              <w:left w:val="nil"/>
              <w:bottom w:val="nil"/>
              <w:right w:val="nil"/>
            </w:tcBorders>
            <w:tcMar>
              <w:left w:w="0" w:type="dxa"/>
              <w:right w:w="0" w:type="dxa"/>
            </w:tcMar>
          </w:tcPr>
          <w:p w14:paraId="35B022AA" w14:textId="77777777" w:rsidR="008E4797" w:rsidRPr="007A1B07" w:rsidRDefault="004F3FE9">
            <w:pPr>
              <w:rPr>
                <w:rFonts w:ascii="Arial" w:eastAsia="Arial" w:hAnsi="Arial" w:cs="Arial"/>
              </w:rPr>
            </w:pPr>
            <w:r w:rsidRPr="007A1B07">
              <w:rPr>
                <w:rFonts w:ascii="Arial" w:eastAsia="Arial" w:hAnsi="Arial" w:cs="Arial"/>
              </w:rPr>
              <w:t>Debriefing helps improve my clinical judgement and critical thinking skills.</w:t>
            </w:r>
          </w:p>
        </w:tc>
        <w:tc>
          <w:tcPr>
            <w:tcW w:w="1635" w:type="dxa"/>
            <w:tcBorders>
              <w:top w:val="nil"/>
              <w:left w:val="nil"/>
              <w:bottom w:val="nil"/>
              <w:right w:val="nil"/>
            </w:tcBorders>
            <w:tcMar>
              <w:left w:w="0" w:type="dxa"/>
              <w:right w:w="0" w:type="dxa"/>
            </w:tcMar>
          </w:tcPr>
          <w:p w14:paraId="412E9D1D" w14:textId="77777777" w:rsidR="008E4797" w:rsidRPr="007A1B07" w:rsidRDefault="004F3FE9">
            <w:pPr>
              <w:rPr>
                <w:rFonts w:ascii="Arial" w:eastAsia="Arial" w:hAnsi="Arial" w:cs="Arial"/>
              </w:rPr>
            </w:pPr>
            <w:r w:rsidRPr="007A1B07">
              <w:rPr>
                <w:rFonts w:ascii="Arial" w:eastAsia="Arial" w:hAnsi="Arial" w:cs="Arial"/>
              </w:rPr>
              <w:t xml:space="preserve">             3.88</w:t>
            </w:r>
          </w:p>
        </w:tc>
      </w:tr>
      <w:tr w:rsidR="008E4797" w:rsidRPr="007A1B07" w14:paraId="44AF826E" w14:textId="77777777">
        <w:trPr>
          <w:trHeight w:val="144"/>
        </w:trPr>
        <w:tc>
          <w:tcPr>
            <w:tcW w:w="7110" w:type="dxa"/>
            <w:tcBorders>
              <w:top w:val="nil"/>
              <w:left w:val="nil"/>
              <w:bottom w:val="nil"/>
              <w:right w:val="nil"/>
            </w:tcBorders>
            <w:tcMar>
              <w:left w:w="0" w:type="dxa"/>
              <w:right w:w="0" w:type="dxa"/>
            </w:tcMar>
          </w:tcPr>
          <w:p w14:paraId="3748CF0F" w14:textId="77777777" w:rsidR="008E4797" w:rsidRPr="007A1B07" w:rsidRDefault="004F3FE9">
            <w:pPr>
              <w:rPr>
                <w:rFonts w:ascii="Arial" w:eastAsia="Arial" w:hAnsi="Arial" w:cs="Arial"/>
              </w:rPr>
            </w:pPr>
            <w:r w:rsidRPr="007A1B07">
              <w:rPr>
                <w:rFonts w:ascii="Arial" w:eastAsia="Arial" w:hAnsi="Arial" w:cs="Arial"/>
              </w:rPr>
              <w:t>Debriefing helps me learn from the traumatic experience.</w:t>
            </w:r>
          </w:p>
        </w:tc>
        <w:tc>
          <w:tcPr>
            <w:tcW w:w="1635" w:type="dxa"/>
            <w:tcBorders>
              <w:top w:val="nil"/>
              <w:left w:val="nil"/>
              <w:bottom w:val="nil"/>
              <w:right w:val="nil"/>
            </w:tcBorders>
            <w:tcMar>
              <w:left w:w="0" w:type="dxa"/>
              <w:right w:w="0" w:type="dxa"/>
            </w:tcMar>
          </w:tcPr>
          <w:p w14:paraId="7F3C3AFA" w14:textId="77777777" w:rsidR="008E4797" w:rsidRPr="007A1B07" w:rsidRDefault="004F3FE9">
            <w:pPr>
              <w:rPr>
                <w:rFonts w:ascii="Arial" w:eastAsia="Arial" w:hAnsi="Arial" w:cs="Arial"/>
              </w:rPr>
            </w:pPr>
            <w:r w:rsidRPr="007A1B07">
              <w:rPr>
                <w:rFonts w:ascii="Arial" w:eastAsia="Arial" w:hAnsi="Arial" w:cs="Arial"/>
              </w:rPr>
              <w:t xml:space="preserve">             3.86</w:t>
            </w:r>
          </w:p>
        </w:tc>
      </w:tr>
      <w:tr w:rsidR="008E4797" w:rsidRPr="007A1B07" w14:paraId="54A470C3" w14:textId="77777777">
        <w:trPr>
          <w:trHeight w:val="144"/>
        </w:trPr>
        <w:tc>
          <w:tcPr>
            <w:tcW w:w="7110" w:type="dxa"/>
            <w:tcBorders>
              <w:top w:val="nil"/>
              <w:left w:val="nil"/>
              <w:bottom w:val="nil"/>
              <w:right w:val="nil"/>
            </w:tcBorders>
            <w:tcMar>
              <w:left w:w="0" w:type="dxa"/>
              <w:right w:w="0" w:type="dxa"/>
            </w:tcMar>
          </w:tcPr>
          <w:p w14:paraId="1C2B884F" w14:textId="77777777" w:rsidR="008E4797" w:rsidRPr="007A1B07" w:rsidRDefault="004F3FE9">
            <w:pPr>
              <w:rPr>
                <w:rFonts w:ascii="Arial" w:eastAsia="Arial" w:hAnsi="Arial" w:cs="Arial"/>
              </w:rPr>
            </w:pPr>
            <w:r w:rsidRPr="007A1B07">
              <w:rPr>
                <w:rFonts w:ascii="Arial" w:eastAsia="Arial" w:hAnsi="Arial" w:cs="Arial"/>
              </w:rPr>
              <w:t>Debriefing helps me improve my communication skills in dealing with my patients.</w:t>
            </w:r>
          </w:p>
        </w:tc>
        <w:tc>
          <w:tcPr>
            <w:tcW w:w="1635" w:type="dxa"/>
            <w:tcBorders>
              <w:top w:val="nil"/>
              <w:left w:val="nil"/>
              <w:bottom w:val="nil"/>
              <w:right w:val="nil"/>
            </w:tcBorders>
            <w:tcMar>
              <w:left w:w="0" w:type="dxa"/>
              <w:right w:w="0" w:type="dxa"/>
            </w:tcMar>
          </w:tcPr>
          <w:p w14:paraId="4D190A14" w14:textId="77777777" w:rsidR="008E4797" w:rsidRPr="007A1B07" w:rsidRDefault="004F3FE9">
            <w:pPr>
              <w:ind w:left="720"/>
              <w:rPr>
                <w:rFonts w:ascii="Arial" w:eastAsia="Arial" w:hAnsi="Arial" w:cs="Arial"/>
              </w:rPr>
            </w:pPr>
            <w:r w:rsidRPr="007A1B07">
              <w:rPr>
                <w:rFonts w:ascii="Arial" w:eastAsia="Arial" w:hAnsi="Arial" w:cs="Arial"/>
              </w:rPr>
              <w:t>3.86</w:t>
            </w:r>
          </w:p>
        </w:tc>
      </w:tr>
      <w:tr w:rsidR="008E4797" w:rsidRPr="007A1B07" w14:paraId="71AE7F25" w14:textId="77777777">
        <w:trPr>
          <w:trHeight w:val="144"/>
        </w:trPr>
        <w:tc>
          <w:tcPr>
            <w:tcW w:w="7110" w:type="dxa"/>
            <w:tcBorders>
              <w:top w:val="nil"/>
              <w:left w:val="nil"/>
              <w:bottom w:val="nil"/>
              <w:right w:val="nil"/>
            </w:tcBorders>
            <w:tcMar>
              <w:left w:w="0" w:type="dxa"/>
              <w:right w:w="0" w:type="dxa"/>
            </w:tcMar>
          </w:tcPr>
          <w:p w14:paraId="4386DE54" w14:textId="77777777" w:rsidR="008E4797" w:rsidRPr="007A1B07" w:rsidRDefault="004F3FE9">
            <w:pPr>
              <w:rPr>
                <w:rFonts w:ascii="Arial" w:eastAsia="Arial" w:hAnsi="Arial" w:cs="Arial"/>
              </w:rPr>
            </w:pPr>
            <w:r w:rsidRPr="007A1B07">
              <w:rPr>
                <w:rFonts w:ascii="Arial" w:eastAsia="Arial" w:hAnsi="Arial" w:cs="Arial"/>
              </w:rPr>
              <w:t>With a formal debriefing session, I would feel less overwhelmed.</w:t>
            </w:r>
          </w:p>
        </w:tc>
        <w:tc>
          <w:tcPr>
            <w:tcW w:w="1635" w:type="dxa"/>
            <w:tcBorders>
              <w:top w:val="nil"/>
              <w:left w:val="nil"/>
              <w:bottom w:val="nil"/>
              <w:right w:val="nil"/>
            </w:tcBorders>
            <w:tcMar>
              <w:left w:w="0" w:type="dxa"/>
              <w:right w:w="0" w:type="dxa"/>
            </w:tcMar>
          </w:tcPr>
          <w:p w14:paraId="280C0F2A" w14:textId="77777777" w:rsidR="008E4797" w:rsidRPr="007A1B07" w:rsidRDefault="004F3FE9">
            <w:pPr>
              <w:ind w:left="720"/>
              <w:rPr>
                <w:rFonts w:ascii="Arial" w:eastAsia="Arial" w:hAnsi="Arial" w:cs="Arial"/>
              </w:rPr>
            </w:pPr>
            <w:r w:rsidRPr="007A1B07">
              <w:rPr>
                <w:rFonts w:ascii="Arial" w:eastAsia="Arial" w:hAnsi="Arial" w:cs="Arial"/>
              </w:rPr>
              <w:t>3.81</w:t>
            </w:r>
          </w:p>
        </w:tc>
      </w:tr>
      <w:tr w:rsidR="008E4797" w:rsidRPr="007A1B07" w14:paraId="33C34870" w14:textId="77777777">
        <w:trPr>
          <w:trHeight w:val="144"/>
        </w:trPr>
        <w:tc>
          <w:tcPr>
            <w:tcW w:w="7110" w:type="dxa"/>
            <w:tcBorders>
              <w:top w:val="nil"/>
              <w:left w:val="nil"/>
              <w:bottom w:val="nil"/>
              <w:right w:val="nil"/>
            </w:tcBorders>
            <w:tcMar>
              <w:left w:w="0" w:type="dxa"/>
              <w:right w:w="0" w:type="dxa"/>
            </w:tcMar>
          </w:tcPr>
          <w:p w14:paraId="4E5093D2" w14:textId="77777777" w:rsidR="008E4797" w:rsidRPr="007A1B07" w:rsidRDefault="004F3FE9">
            <w:pPr>
              <w:rPr>
                <w:rFonts w:ascii="Arial" w:eastAsia="Arial" w:hAnsi="Arial" w:cs="Arial"/>
              </w:rPr>
            </w:pPr>
            <w:r w:rsidRPr="007A1B07">
              <w:rPr>
                <w:rFonts w:ascii="Arial" w:eastAsia="Arial" w:hAnsi="Arial" w:cs="Arial"/>
              </w:rPr>
              <w:t>Debriefing reduces my feelings of anxiety or distress.</w:t>
            </w:r>
          </w:p>
        </w:tc>
        <w:tc>
          <w:tcPr>
            <w:tcW w:w="1635" w:type="dxa"/>
            <w:tcBorders>
              <w:top w:val="nil"/>
              <w:left w:val="nil"/>
              <w:bottom w:val="nil"/>
              <w:right w:val="nil"/>
            </w:tcBorders>
            <w:tcMar>
              <w:left w:w="0" w:type="dxa"/>
              <w:right w:w="0" w:type="dxa"/>
            </w:tcMar>
          </w:tcPr>
          <w:p w14:paraId="0443AFFE" w14:textId="77777777" w:rsidR="008E4797" w:rsidRPr="007A1B07" w:rsidRDefault="004F3FE9">
            <w:pPr>
              <w:ind w:left="720"/>
              <w:rPr>
                <w:rFonts w:ascii="Arial" w:eastAsia="Arial" w:hAnsi="Arial" w:cs="Arial"/>
              </w:rPr>
            </w:pPr>
            <w:r w:rsidRPr="007A1B07">
              <w:rPr>
                <w:rFonts w:ascii="Arial" w:eastAsia="Arial" w:hAnsi="Arial" w:cs="Arial"/>
              </w:rPr>
              <w:t>3.78</w:t>
            </w:r>
          </w:p>
        </w:tc>
      </w:tr>
      <w:tr w:rsidR="008E4797" w:rsidRPr="007A1B07" w14:paraId="7F14169E" w14:textId="77777777">
        <w:trPr>
          <w:trHeight w:val="144"/>
        </w:trPr>
        <w:tc>
          <w:tcPr>
            <w:tcW w:w="7110" w:type="dxa"/>
            <w:tcBorders>
              <w:top w:val="nil"/>
              <w:left w:val="nil"/>
              <w:bottom w:val="nil"/>
              <w:right w:val="nil"/>
            </w:tcBorders>
            <w:tcMar>
              <w:left w:w="0" w:type="dxa"/>
              <w:right w:w="0" w:type="dxa"/>
            </w:tcMar>
          </w:tcPr>
          <w:p w14:paraId="65BECE1F" w14:textId="77777777" w:rsidR="008E4797" w:rsidRPr="007A1B07" w:rsidRDefault="004F3FE9">
            <w:pPr>
              <w:rPr>
                <w:rFonts w:ascii="Arial" w:eastAsia="Arial" w:hAnsi="Arial" w:cs="Arial"/>
              </w:rPr>
            </w:pPr>
            <w:r w:rsidRPr="007A1B07">
              <w:rPr>
                <w:rFonts w:ascii="Arial" w:eastAsia="Arial" w:hAnsi="Arial" w:cs="Arial"/>
              </w:rPr>
              <w:t>I feel supported by my clinical instructor during and after the debriefing.</w:t>
            </w:r>
          </w:p>
        </w:tc>
        <w:tc>
          <w:tcPr>
            <w:tcW w:w="1635" w:type="dxa"/>
            <w:tcBorders>
              <w:top w:val="nil"/>
              <w:left w:val="nil"/>
              <w:bottom w:val="nil"/>
              <w:right w:val="nil"/>
            </w:tcBorders>
            <w:tcMar>
              <w:left w:w="0" w:type="dxa"/>
              <w:right w:w="0" w:type="dxa"/>
            </w:tcMar>
          </w:tcPr>
          <w:p w14:paraId="63F66881" w14:textId="77777777" w:rsidR="008E4797" w:rsidRPr="007A1B07" w:rsidRDefault="004F3FE9">
            <w:pPr>
              <w:ind w:left="720"/>
              <w:rPr>
                <w:rFonts w:ascii="Arial" w:eastAsia="Arial" w:hAnsi="Arial" w:cs="Arial"/>
              </w:rPr>
            </w:pPr>
            <w:r w:rsidRPr="007A1B07">
              <w:rPr>
                <w:rFonts w:ascii="Arial" w:eastAsia="Arial" w:hAnsi="Arial" w:cs="Arial"/>
              </w:rPr>
              <w:t>3.77</w:t>
            </w:r>
          </w:p>
        </w:tc>
      </w:tr>
      <w:tr w:rsidR="008E4797" w:rsidRPr="007A1B07" w14:paraId="2DA7237F" w14:textId="77777777">
        <w:trPr>
          <w:trHeight w:val="144"/>
        </w:trPr>
        <w:tc>
          <w:tcPr>
            <w:tcW w:w="7110" w:type="dxa"/>
            <w:tcBorders>
              <w:top w:val="nil"/>
              <w:left w:val="nil"/>
              <w:bottom w:val="nil"/>
              <w:right w:val="nil"/>
            </w:tcBorders>
            <w:tcMar>
              <w:left w:w="0" w:type="dxa"/>
              <w:right w:w="0" w:type="dxa"/>
            </w:tcMar>
          </w:tcPr>
          <w:p w14:paraId="40B4B1F8" w14:textId="77777777" w:rsidR="008E4797" w:rsidRPr="007A1B07" w:rsidRDefault="004F3FE9">
            <w:pPr>
              <w:rPr>
                <w:rFonts w:ascii="Arial" w:eastAsia="Arial" w:hAnsi="Arial" w:cs="Arial"/>
              </w:rPr>
            </w:pPr>
            <w:r w:rsidRPr="007A1B07">
              <w:rPr>
                <w:rFonts w:ascii="Arial" w:eastAsia="Arial" w:hAnsi="Arial" w:cs="Arial"/>
              </w:rPr>
              <w:t>I am able to anticipate and manage challenging situations in the clinical area.</w:t>
            </w:r>
          </w:p>
        </w:tc>
        <w:tc>
          <w:tcPr>
            <w:tcW w:w="1635" w:type="dxa"/>
            <w:tcBorders>
              <w:top w:val="nil"/>
              <w:left w:val="nil"/>
              <w:bottom w:val="nil"/>
              <w:right w:val="nil"/>
            </w:tcBorders>
            <w:tcMar>
              <w:left w:w="0" w:type="dxa"/>
              <w:right w:w="0" w:type="dxa"/>
            </w:tcMar>
          </w:tcPr>
          <w:p w14:paraId="6F1C599F" w14:textId="77777777" w:rsidR="008E4797" w:rsidRPr="007A1B07" w:rsidRDefault="004F3FE9">
            <w:pPr>
              <w:ind w:left="720"/>
              <w:rPr>
                <w:rFonts w:ascii="Arial" w:eastAsia="Arial" w:hAnsi="Arial" w:cs="Arial"/>
              </w:rPr>
            </w:pPr>
            <w:r w:rsidRPr="007A1B07">
              <w:rPr>
                <w:rFonts w:ascii="Arial" w:eastAsia="Arial" w:hAnsi="Arial" w:cs="Arial"/>
              </w:rPr>
              <w:t>3.77</w:t>
            </w:r>
          </w:p>
        </w:tc>
      </w:tr>
      <w:tr w:rsidR="008E4797" w:rsidRPr="007A1B07" w14:paraId="15D0F568" w14:textId="77777777">
        <w:trPr>
          <w:trHeight w:val="144"/>
        </w:trPr>
        <w:tc>
          <w:tcPr>
            <w:tcW w:w="7110" w:type="dxa"/>
            <w:tcBorders>
              <w:top w:val="nil"/>
              <w:left w:val="nil"/>
              <w:bottom w:val="nil"/>
              <w:right w:val="nil"/>
            </w:tcBorders>
            <w:tcMar>
              <w:left w:w="0" w:type="dxa"/>
              <w:right w:w="0" w:type="dxa"/>
            </w:tcMar>
          </w:tcPr>
          <w:p w14:paraId="000986FF" w14:textId="77777777" w:rsidR="008E4797" w:rsidRPr="007A1B07" w:rsidRDefault="004F3FE9">
            <w:pPr>
              <w:rPr>
                <w:rFonts w:ascii="Arial" w:eastAsia="Arial" w:hAnsi="Arial" w:cs="Arial"/>
              </w:rPr>
            </w:pPr>
            <w:r w:rsidRPr="007A1B07">
              <w:rPr>
                <w:rFonts w:ascii="Arial" w:eastAsia="Arial" w:hAnsi="Arial" w:cs="Arial"/>
              </w:rPr>
              <w:t>I feel more confident facing future clinical challenges when debriefing is available.</w:t>
            </w:r>
          </w:p>
        </w:tc>
        <w:tc>
          <w:tcPr>
            <w:tcW w:w="1635" w:type="dxa"/>
            <w:tcBorders>
              <w:top w:val="nil"/>
              <w:left w:val="nil"/>
              <w:bottom w:val="nil"/>
              <w:right w:val="nil"/>
            </w:tcBorders>
            <w:tcMar>
              <w:left w:w="0" w:type="dxa"/>
              <w:right w:w="0" w:type="dxa"/>
            </w:tcMar>
          </w:tcPr>
          <w:p w14:paraId="088C9F89" w14:textId="77777777" w:rsidR="008E4797" w:rsidRPr="007A1B07" w:rsidRDefault="004F3FE9">
            <w:pPr>
              <w:ind w:left="720"/>
              <w:rPr>
                <w:rFonts w:ascii="Arial" w:eastAsia="Arial" w:hAnsi="Arial" w:cs="Arial"/>
              </w:rPr>
            </w:pPr>
            <w:r w:rsidRPr="007A1B07">
              <w:rPr>
                <w:rFonts w:ascii="Arial" w:eastAsia="Arial" w:hAnsi="Arial" w:cs="Arial"/>
              </w:rPr>
              <w:t>3.77</w:t>
            </w:r>
          </w:p>
        </w:tc>
      </w:tr>
      <w:tr w:rsidR="008E4797" w:rsidRPr="007A1B07" w14:paraId="0844557B" w14:textId="77777777">
        <w:trPr>
          <w:trHeight w:val="144"/>
        </w:trPr>
        <w:tc>
          <w:tcPr>
            <w:tcW w:w="7110" w:type="dxa"/>
            <w:tcBorders>
              <w:top w:val="nil"/>
              <w:left w:val="nil"/>
              <w:bottom w:val="nil"/>
              <w:right w:val="nil"/>
            </w:tcBorders>
            <w:tcMar>
              <w:left w:w="0" w:type="dxa"/>
              <w:right w:w="0" w:type="dxa"/>
            </w:tcMar>
          </w:tcPr>
          <w:p w14:paraId="0C63657A" w14:textId="77777777" w:rsidR="008E4797" w:rsidRPr="007A1B07" w:rsidRDefault="004F3FE9">
            <w:pPr>
              <w:rPr>
                <w:rFonts w:ascii="Arial" w:eastAsia="Arial" w:hAnsi="Arial" w:cs="Arial"/>
              </w:rPr>
            </w:pPr>
            <w:r w:rsidRPr="007A1B07">
              <w:rPr>
                <w:rFonts w:ascii="Arial" w:eastAsia="Arial" w:hAnsi="Arial" w:cs="Arial"/>
              </w:rPr>
              <w:t>The debriefing session is being conducted at an appropriate time after the traumatic event.</w:t>
            </w:r>
          </w:p>
        </w:tc>
        <w:tc>
          <w:tcPr>
            <w:tcW w:w="1635" w:type="dxa"/>
            <w:tcBorders>
              <w:top w:val="nil"/>
              <w:left w:val="nil"/>
              <w:bottom w:val="nil"/>
              <w:right w:val="nil"/>
            </w:tcBorders>
            <w:tcMar>
              <w:left w:w="0" w:type="dxa"/>
              <w:right w:w="0" w:type="dxa"/>
            </w:tcMar>
          </w:tcPr>
          <w:p w14:paraId="5C38C0AB" w14:textId="77777777" w:rsidR="008E4797" w:rsidRPr="007A1B07" w:rsidRDefault="004F3FE9">
            <w:pPr>
              <w:ind w:left="720"/>
              <w:rPr>
                <w:rFonts w:ascii="Arial" w:eastAsia="Arial" w:hAnsi="Arial" w:cs="Arial"/>
              </w:rPr>
            </w:pPr>
            <w:r w:rsidRPr="007A1B07">
              <w:rPr>
                <w:rFonts w:ascii="Arial" w:eastAsia="Arial" w:hAnsi="Arial" w:cs="Arial"/>
              </w:rPr>
              <w:t>3.76</w:t>
            </w:r>
          </w:p>
        </w:tc>
      </w:tr>
      <w:tr w:rsidR="008E4797" w:rsidRPr="007A1B07" w14:paraId="5A350166" w14:textId="77777777">
        <w:trPr>
          <w:trHeight w:val="144"/>
        </w:trPr>
        <w:tc>
          <w:tcPr>
            <w:tcW w:w="7110" w:type="dxa"/>
            <w:tcBorders>
              <w:top w:val="nil"/>
              <w:left w:val="nil"/>
              <w:bottom w:val="nil"/>
              <w:right w:val="nil"/>
            </w:tcBorders>
            <w:tcMar>
              <w:left w:w="0" w:type="dxa"/>
              <w:right w:w="0" w:type="dxa"/>
            </w:tcMar>
          </w:tcPr>
          <w:p w14:paraId="40900C87" w14:textId="77777777" w:rsidR="008E4797" w:rsidRPr="007A1B07" w:rsidRDefault="004F3FE9">
            <w:pPr>
              <w:rPr>
                <w:rFonts w:ascii="Arial" w:eastAsia="Arial" w:hAnsi="Arial" w:cs="Arial"/>
              </w:rPr>
            </w:pPr>
            <w:r w:rsidRPr="007A1B07">
              <w:rPr>
                <w:rFonts w:ascii="Arial" w:eastAsia="Arial" w:hAnsi="Arial" w:cs="Arial"/>
              </w:rPr>
              <w:t>The debriefing session helps me understand and process what happened.</w:t>
            </w:r>
          </w:p>
        </w:tc>
        <w:tc>
          <w:tcPr>
            <w:tcW w:w="1635" w:type="dxa"/>
            <w:tcBorders>
              <w:top w:val="nil"/>
              <w:left w:val="nil"/>
              <w:bottom w:val="nil"/>
              <w:right w:val="nil"/>
            </w:tcBorders>
            <w:tcMar>
              <w:left w:w="0" w:type="dxa"/>
              <w:right w:w="0" w:type="dxa"/>
            </w:tcMar>
          </w:tcPr>
          <w:p w14:paraId="713D5D66" w14:textId="77777777" w:rsidR="008E4797" w:rsidRPr="007A1B07" w:rsidRDefault="004F3FE9">
            <w:pPr>
              <w:ind w:left="720"/>
              <w:rPr>
                <w:rFonts w:ascii="Arial" w:eastAsia="Arial" w:hAnsi="Arial" w:cs="Arial"/>
              </w:rPr>
            </w:pPr>
            <w:r w:rsidRPr="007A1B07">
              <w:rPr>
                <w:rFonts w:ascii="Arial" w:eastAsia="Arial" w:hAnsi="Arial" w:cs="Arial"/>
              </w:rPr>
              <w:t>3.75</w:t>
            </w:r>
          </w:p>
        </w:tc>
      </w:tr>
      <w:tr w:rsidR="008E4797" w:rsidRPr="007A1B07" w14:paraId="2A5A7D0D" w14:textId="77777777">
        <w:trPr>
          <w:trHeight w:val="144"/>
        </w:trPr>
        <w:tc>
          <w:tcPr>
            <w:tcW w:w="7110" w:type="dxa"/>
            <w:tcBorders>
              <w:top w:val="nil"/>
              <w:left w:val="nil"/>
              <w:bottom w:val="nil"/>
              <w:right w:val="nil"/>
            </w:tcBorders>
            <w:tcMar>
              <w:left w:w="0" w:type="dxa"/>
              <w:right w:w="0" w:type="dxa"/>
            </w:tcMar>
          </w:tcPr>
          <w:p w14:paraId="3E837CE6" w14:textId="77777777" w:rsidR="008E4797" w:rsidRPr="007A1B07" w:rsidRDefault="004F3FE9">
            <w:pPr>
              <w:rPr>
                <w:rFonts w:ascii="Arial" w:eastAsia="Arial" w:hAnsi="Arial" w:cs="Arial"/>
              </w:rPr>
            </w:pPr>
            <w:r w:rsidRPr="007A1B07">
              <w:rPr>
                <w:rFonts w:ascii="Arial" w:eastAsia="Arial" w:hAnsi="Arial" w:cs="Arial"/>
              </w:rPr>
              <w:t>The debriefing makes it easier for me to return to my clinical duties.</w:t>
            </w:r>
          </w:p>
        </w:tc>
        <w:tc>
          <w:tcPr>
            <w:tcW w:w="1635" w:type="dxa"/>
            <w:tcBorders>
              <w:top w:val="nil"/>
              <w:left w:val="nil"/>
              <w:bottom w:val="nil"/>
              <w:right w:val="nil"/>
            </w:tcBorders>
            <w:tcMar>
              <w:left w:w="0" w:type="dxa"/>
              <w:right w:w="0" w:type="dxa"/>
            </w:tcMar>
          </w:tcPr>
          <w:p w14:paraId="555B4B09" w14:textId="77777777" w:rsidR="008E4797" w:rsidRPr="007A1B07" w:rsidRDefault="004F3FE9">
            <w:pPr>
              <w:ind w:left="720"/>
              <w:rPr>
                <w:rFonts w:ascii="Arial" w:eastAsia="Arial" w:hAnsi="Arial" w:cs="Arial"/>
              </w:rPr>
            </w:pPr>
            <w:r w:rsidRPr="007A1B07">
              <w:rPr>
                <w:rFonts w:ascii="Arial" w:eastAsia="Arial" w:hAnsi="Arial" w:cs="Arial"/>
              </w:rPr>
              <w:t>3.75</w:t>
            </w:r>
          </w:p>
        </w:tc>
      </w:tr>
      <w:tr w:rsidR="008E4797" w:rsidRPr="007A1B07" w14:paraId="11B113D4" w14:textId="77777777">
        <w:trPr>
          <w:trHeight w:val="144"/>
        </w:trPr>
        <w:tc>
          <w:tcPr>
            <w:tcW w:w="7110" w:type="dxa"/>
            <w:tcBorders>
              <w:top w:val="nil"/>
              <w:left w:val="nil"/>
              <w:bottom w:val="nil"/>
              <w:right w:val="nil"/>
            </w:tcBorders>
            <w:tcMar>
              <w:left w:w="0" w:type="dxa"/>
              <w:right w:w="0" w:type="dxa"/>
            </w:tcMar>
          </w:tcPr>
          <w:p w14:paraId="6C7C1AF6" w14:textId="77777777" w:rsidR="008E4797" w:rsidRPr="007A1B07" w:rsidRDefault="004F3FE9">
            <w:pPr>
              <w:rPr>
                <w:rFonts w:ascii="Arial" w:eastAsia="Arial" w:hAnsi="Arial" w:cs="Arial"/>
              </w:rPr>
            </w:pPr>
            <w:r w:rsidRPr="007A1B07">
              <w:rPr>
                <w:rFonts w:ascii="Arial" w:eastAsia="Arial" w:hAnsi="Arial" w:cs="Arial"/>
              </w:rPr>
              <w:t>I feel that the information I share during the debriefing is treated with confidentiality.</w:t>
            </w:r>
          </w:p>
        </w:tc>
        <w:tc>
          <w:tcPr>
            <w:tcW w:w="1635" w:type="dxa"/>
            <w:tcBorders>
              <w:top w:val="nil"/>
              <w:left w:val="nil"/>
              <w:bottom w:val="nil"/>
              <w:right w:val="nil"/>
            </w:tcBorders>
            <w:tcMar>
              <w:left w:w="0" w:type="dxa"/>
              <w:right w:w="0" w:type="dxa"/>
            </w:tcMar>
          </w:tcPr>
          <w:p w14:paraId="702334E4" w14:textId="77777777" w:rsidR="008E4797" w:rsidRPr="007A1B07" w:rsidRDefault="004F3FE9">
            <w:pPr>
              <w:ind w:left="720"/>
              <w:rPr>
                <w:rFonts w:ascii="Arial" w:eastAsia="Arial" w:hAnsi="Arial" w:cs="Arial"/>
              </w:rPr>
            </w:pPr>
            <w:r w:rsidRPr="007A1B07">
              <w:rPr>
                <w:rFonts w:ascii="Arial" w:eastAsia="Arial" w:hAnsi="Arial" w:cs="Arial"/>
              </w:rPr>
              <w:t>3.74</w:t>
            </w:r>
          </w:p>
        </w:tc>
      </w:tr>
      <w:tr w:rsidR="008E4797" w:rsidRPr="007A1B07" w14:paraId="07533DA1" w14:textId="77777777">
        <w:trPr>
          <w:trHeight w:val="144"/>
        </w:trPr>
        <w:tc>
          <w:tcPr>
            <w:tcW w:w="7110" w:type="dxa"/>
            <w:tcBorders>
              <w:top w:val="nil"/>
              <w:left w:val="nil"/>
              <w:bottom w:val="nil"/>
              <w:right w:val="nil"/>
            </w:tcBorders>
            <w:tcMar>
              <w:left w:w="0" w:type="dxa"/>
              <w:right w:w="0" w:type="dxa"/>
            </w:tcMar>
          </w:tcPr>
          <w:p w14:paraId="51526F60" w14:textId="77777777" w:rsidR="008E4797" w:rsidRPr="007A1B07" w:rsidRDefault="004F3FE9">
            <w:pPr>
              <w:rPr>
                <w:rFonts w:ascii="Arial" w:eastAsia="Arial" w:hAnsi="Arial" w:cs="Arial"/>
              </w:rPr>
            </w:pPr>
            <w:r w:rsidRPr="007A1B07">
              <w:rPr>
                <w:rFonts w:ascii="Arial" w:eastAsia="Arial" w:hAnsi="Arial" w:cs="Arial"/>
              </w:rPr>
              <w:t>Debriefing with my clinical instructor helps me to feel calmer after the traumatic event.</w:t>
            </w:r>
          </w:p>
        </w:tc>
        <w:tc>
          <w:tcPr>
            <w:tcW w:w="1635" w:type="dxa"/>
            <w:tcBorders>
              <w:top w:val="nil"/>
              <w:left w:val="nil"/>
              <w:bottom w:val="nil"/>
              <w:right w:val="nil"/>
            </w:tcBorders>
            <w:tcMar>
              <w:left w:w="0" w:type="dxa"/>
              <w:right w:w="0" w:type="dxa"/>
            </w:tcMar>
          </w:tcPr>
          <w:p w14:paraId="62879B07" w14:textId="77777777" w:rsidR="008E4797" w:rsidRPr="007A1B07" w:rsidRDefault="004F3FE9">
            <w:pPr>
              <w:ind w:left="720"/>
              <w:rPr>
                <w:rFonts w:ascii="Arial" w:eastAsia="Arial" w:hAnsi="Arial" w:cs="Arial"/>
              </w:rPr>
            </w:pPr>
            <w:r w:rsidRPr="007A1B07">
              <w:rPr>
                <w:rFonts w:ascii="Arial" w:eastAsia="Arial" w:hAnsi="Arial" w:cs="Arial"/>
              </w:rPr>
              <w:t>3.65</w:t>
            </w:r>
          </w:p>
        </w:tc>
      </w:tr>
      <w:tr w:rsidR="008E4797" w:rsidRPr="007A1B07" w14:paraId="7F124CD1" w14:textId="77777777">
        <w:trPr>
          <w:trHeight w:val="144"/>
        </w:trPr>
        <w:tc>
          <w:tcPr>
            <w:tcW w:w="7110" w:type="dxa"/>
            <w:tcBorders>
              <w:top w:val="nil"/>
              <w:left w:val="nil"/>
              <w:bottom w:val="nil"/>
              <w:right w:val="nil"/>
            </w:tcBorders>
            <w:tcMar>
              <w:left w:w="0" w:type="dxa"/>
              <w:right w:w="0" w:type="dxa"/>
            </w:tcMar>
          </w:tcPr>
          <w:p w14:paraId="1F6FF40D" w14:textId="77777777" w:rsidR="008E4797" w:rsidRPr="007A1B07" w:rsidRDefault="004F3FE9">
            <w:pPr>
              <w:rPr>
                <w:rFonts w:ascii="Arial" w:eastAsia="Arial" w:hAnsi="Arial" w:cs="Arial"/>
              </w:rPr>
            </w:pPr>
            <w:r w:rsidRPr="007A1B07">
              <w:rPr>
                <w:rFonts w:ascii="Arial" w:eastAsia="Arial" w:hAnsi="Arial" w:cs="Arial"/>
              </w:rPr>
              <w:t>The debriefing lasts long enough for me to process my emotions and thoughts.</w:t>
            </w:r>
          </w:p>
        </w:tc>
        <w:tc>
          <w:tcPr>
            <w:tcW w:w="1635" w:type="dxa"/>
            <w:tcBorders>
              <w:top w:val="nil"/>
              <w:left w:val="nil"/>
              <w:bottom w:val="nil"/>
              <w:right w:val="nil"/>
            </w:tcBorders>
            <w:tcMar>
              <w:left w:w="0" w:type="dxa"/>
              <w:right w:w="0" w:type="dxa"/>
            </w:tcMar>
          </w:tcPr>
          <w:p w14:paraId="24F250CB" w14:textId="77777777" w:rsidR="008E4797" w:rsidRPr="007A1B07" w:rsidRDefault="004F3FE9">
            <w:pPr>
              <w:ind w:left="720"/>
              <w:rPr>
                <w:rFonts w:ascii="Arial" w:eastAsia="Arial" w:hAnsi="Arial" w:cs="Arial"/>
              </w:rPr>
            </w:pPr>
            <w:r w:rsidRPr="007A1B07">
              <w:rPr>
                <w:rFonts w:ascii="Arial" w:eastAsia="Arial" w:hAnsi="Arial" w:cs="Arial"/>
              </w:rPr>
              <w:t>3.63</w:t>
            </w:r>
          </w:p>
        </w:tc>
      </w:tr>
      <w:tr w:rsidR="008E4797" w:rsidRPr="007A1B07" w14:paraId="352A4FC1" w14:textId="77777777">
        <w:trPr>
          <w:trHeight w:val="144"/>
        </w:trPr>
        <w:tc>
          <w:tcPr>
            <w:tcW w:w="7110" w:type="dxa"/>
            <w:tcBorders>
              <w:top w:val="nil"/>
              <w:left w:val="nil"/>
              <w:bottom w:val="nil"/>
              <w:right w:val="nil"/>
            </w:tcBorders>
            <w:tcMar>
              <w:left w:w="0" w:type="dxa"/>
              <w:right w:w="0" w:type="dxa"/>
            </w:tcMar>
          </w:tcPr>
          <w:p w14:paraId="7C19DC4B" w14:textId="77777777" w:rsidR="008E4797" w:rsidRPr="007A1B07" w:rsidRDefault="004F3FE9">
            <w:pPr>
              <w:rPr>
                <w:rFonts w:ascii="Arial" w:eastAsia="Arial" w:hAnsi="Arial" w:cs="Arial"/>
              </w:rPr>
            </w:pPr>
            <w:r w:rsidRPr="007A1B07">
              <w:rPr>
                <w:rFonts w:ascii="Arial" w:eastAsia="Arial" w:hAnsi="Arial" w:cs="Arial"/>
              </w:rPr>
              <w:t>I feel comfortable sharing my thoughts and emotions during the debriefing.</w:t>
            </w:r>
          </w:p>
        </w:tc>
        <w:tc>
          <w:tcPr>
            <w:tcW w:w="1635" w:type="dxa"/>
            <w:tcBorders>
              <w:top w:val="nil"/>
              <w:left w:val="nil"/>
              <w:bottom w:val="nil"/>
              <w:right w:val="nil"/>
            </w:tcBorders>
            <w:tcMar>
              <w:left w:w="0" w:type="dxa"/>
              <w:right w:w="0" w:type="dxa"/>
            </w:tcMar>
          </w:tcPr>
          <w:p w14:paraId="07251885" w14:textId="77777777" w:rsidR="008E4797" w:rsidRPr="007A1B07" w:rsidRDefault="004F3FE9">
            <w:pPr>
              <w:ind w:left="720"/>
              <w:rPr>
                <w:rFonts w:ascii="Arial" w:eastAsia="Arial" w:hAnsi="Arial" w:cs="Arial"/>
              </w:rPr>
            </w:pPr>
            <w:r w:rsidRPr="007A1B07">
              <w:rPr>
                <w:rFonts w:ascii="Arial" w:eastAsia="Arial" w:hAnsi="Arial" w:cs="Arial"/>
              </w:rPr>
              <w:t>3.59</w:t>
            </w:r>
          </w:p>
        </w:tc>
      </w:tr>
      <w:tr w:rsidR="008E4797" w:rsidRPr="007A1B07" w14:paraId="42869965" w14:textId="77777777">
        <w:trPr>
          <w:trHeight w:val="144"/>
        </w:trPr>
        <w:tc>
          <w:tcPr>
            <w:tcW w:w="7110" w:type="dxa"/>
            <w:tcBorders>
              <w:top w:val="nil"/>
              <w:left w:val="nil"/>
              <w:bottom w:val="nil"/>
              <w:right w:val="nil"/>
            </w:tcBorders>
            <w:tcMar>
              <w:left w:w="0" w:type="dxa"/>
              <w:right w:w="0" w:type="dxa"/>
            </w:tcMar>
          </w:tcPr>
          <w:p w14:paraId="334263C0" w14:textId="77777777" w:rsidR="008E4797" w:rsidRPr="007A1B07" w:rsidRDefault="004F3FE9">
            <w:pPr>
              <w:rPr>
                <w:rFonts w:ascii="Arial" w:eastAsia="Arial" w:hAnsi="Arial" w:cs="Arial"/>
              </w:rPr>
            </w:pPr>
            <w:r w:rsidRPr="007A1B07">
              <w:rPr>
                <w:rFonts w:ascii="Arial" w:eastAsia="Arial" w:hAnsi="Arial" w:cs="Arial"/>
              </w:rPr>
              <w:t>I am able to express my emotions freely during the debriefing.</w:t>
            </w:r>
          </w:p>
        </w:tc>
        <w:tc>
          <w:tcPr>
            <w:tcW w:w="1635" w:type="dxa"/>
            <w:tcBorders>
              <w:top w:val="nil"/>
              <w:left w:val="nil"/>
              <w:bottom w:val="nil"/>
              <w:right w:val="nil"/>
            </w:tcBorders>
            <w:tcMar>
              <w:left w:w="0" w:type="dxa"/>
              <w:right w:w="0" w:type="dxa"/>
            </w:tcMar>
          </w:tcPr>
          <w:p w14:paraId="14F97EEA" w14:textId="77777777" w:rsidR="008E4797" w:rsidRPr="007A1B07" w:rsidRDefault="004F3FE9">
            <w:pPr>
              <w:ind w:left="720"/>
              <w:rPr>
                <w:rFonts w:ascii="Arial" w:eastAsia="Arial" w:hAnsi="Arial" w:cs="Arial"/>
              </w:rPr>
            </w:pPr>
            <w:r w:rsidRPr="007A1B07">
              <w:rPr>
                <w:rFonts w:ascii="Arial" w:eastAsia="Arial" w:hAnsi="Arial" w:cs="Arial"/>
              </w:rPr>
              <w:t>3.49</w:t>
            </w:r>
          </w:p>
        </w:tc>
      </w:tr>
      <w:tr w:rsidR="008E4797" w:rsidRPr="007A1B07" w14:paraId="4385285F" w14:textId="77777777">
        <w:trPr>
          <w:trHeight w:val="144"/>
        </w:trPr>
        <w:tc>
          <w:tcPr>
            <w:tcW w:w="7110" w:type="dxa"/>
            <w:tcBorders>
              <w:top w:val="single" w:sz="4" w:space="0" w:color="000000"/>
              <w:bottom w:val="single" w:sz="4" w:space="0" w:color="000000"/>
            </w:tcBorders>
            <w:tcMar>
              <w:left w:w="0" w:type="dxa"/>
              <w:right w:w="0" w:type="dxa"/>
            </w:tcMar>
          </w:tcPr>
          <w:p w14:paraId="40B78EFC" w14:textId="77777777" w:rsidR="008E4797" w:rsidRPr="007A1B07" w:rsidRDefault="008E4797">
            <w:pPr>
              <w:ind w:left="720"/>
              <w:rPr>
                <w:rFonts w:ascii="Arial" w:eastAsia="Arial" w:hAnsi="Arial" w:cs="Arial"/>
                <w:i/>
                <w:iCs/>
              </w:rPr>
            </w:pPr>
          </w:p>
        </w:tc>
        <w:tc>
          <w:tcPr>
            <w:tcW w:w="1635" w:type="dxa"/>
            <w:tcBorders>
              <w:top w:val="single" w:sz="4" w:space="0" w:color="000000"/>
              <w:bottom w:val="single" w:sz="4" w:space="0" w:color="000000"/>
            </w:tcBorders>
            <w:tcMar>
              <w:left w:w="0" w:type="dxa"/>
              <w:right w:w="0" w:type="dxa"/>
            </w:tcMar>
          </w:tcPr>
          <w:p w14:paraId="5CF52479" w14:textId="77777777" w:rsidR="008E4797" w:rsidRPr="007A1B07" w:rsidRDefault="004F3FE9">
            <w:pPr>
              <w:ind w:left="720"/>
              <w:rPr>
                <w:rFonts w:ascii="Arial" w:eastAsia="Arial" w:hAnsi="Arial" w:cs="Arial"/>
                <w:b/>
                <w:bCs/>
              </w:rPr>
            </w:pPr>
            <w:r w:rsidRPr="007A1B07">
              <w:rPr>
                <w:rFonts w:ascii="Arial" w:eastAsia="Arial" w:hAnsi="Arial" w:cs="Arial"/>
                <w:b/>
                <w:bCs/>
              </w:rPr>
              <w:t>3.74 / 5.00</w:t>
            </w:r>
          </w:p>
        </w:tc>
      </w:tr>
    </w:tbl>
    <w:p w14:paraId="666AAC5C" w14:textId="77777777" w:rsidR="008E4797" w:rsidRPr="007A1B07" w:rsidRDefault="008E4797">
      <w:pPr>
        <w:rPr>
          <w:rFonts w:ascii="Arial" w:eastAsia="Arial" w:hAnsi="Arial" w:cs="Arial"/>
          <w:b/>
          <w:bCs/>
        </w:rPr>
      </w:pPr>
    </w:p>
    <w:p w14:paraId="25633C2F" w14:textId="77777777" w:rsidR="008E4797" w:rsidRPr="007A1B07" w:rsidRDefault="008E4797">
      <w:pPr>
        <w:rPr>
          <w:rFonts w:ascii="Arial" w:eastAsia="Arial" w:hAnsi="Arial" w:cs="Arial"/>
          <w:b/>
          <w:bCs/>
        </w:rPr>
      </w:pPr>
    </w:p>
    <w:p w14:paraId="6B08AD17" w14:textId="77777777" w:rsidR="008E4797" w:rsidRPr="007A1B07" w:rsidRDefault="004F3FE9">
      <w:pPr>
        <w:rPr>
          <w:rFonts w:ascii="Arial" w:eastAsia="Arial" w:hAnsi="Arial" w:cs="Arial"/>
          <w:b/>
          <w:bCs/>
        </w:rPr>
      </w:pPr>
      <w:r w:rsidRPr="007A1B07">
        <w:rPr>
          <w:rFonts w:ascii="Arial" w:eastAsia="Arial" w:hAnsi="Arial" w:cs="Arial"/>
          <w:b/>
          <w:bCs/>
        </w:rPr>
        <w:t>Table 5.  Spearman’s rho Results for Relationship between Impact of Traumatic Clinical Experience, Anxiety, Debriefing Received Among Student Nurses (n=275)</w:t>
      </w:r>
    </w:p>
    <w:tbl>
      <w:tblPr>
        <w:tblStyle w:val="af"/>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75"/>
        <w:gridCol w:w="4155"/>
        <w:gridCol w:w="1110"/>
      </w:tblGrid>
      <w:tr w:rsidR="008E4797" w:rsidRPr="007A1B07" w14:paraId="201665D0" w14:textId="77777777">
        <w:tc>
          <w:tcPr>
            <w:tcW w:w="3375"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46E53946" w14:textId="77777777" w:rsidR="008E4797" w:rsidRPr="007A1B07" w:rsidRDefault="008E4797">
            <w:pPr>
              <w:widowControl w:val="0"/>
              <w:spacing w:line="276" w:lineRule="auto"/>
              <w:jc w:val="center"/>
              <w:rPr>
                <w:rFonts w:ascii="Arial" w:eastAsia="Arial" w:hAnsi="Arial" w:cs="Arial"/>
                <w:b/>
                <w:bCs/>
              </w:rPr>
            </w:pPr>
          </w:p>
        </w:tc>
        <w:tc>
          <w:tcPr>
            <w:tcW w:w="4155"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62D31E40" w14:textId="77777777" w:rsidR="008E4797" w:rsidRPr="007A1B07" w:rsidRDefault="008E4797">
            <w:pPr>
              <w:widowControl w:val="0"/>
              <w:spacing w:line="276" w:lineRule="auto"/>
              <w:jc w:val="center"/>
              <w:rPr>
                <w:rFonts w:ascii="Arial" w:eastAsia="Arial" w:hAnsi="Arial" w:cs="Arial"/>
                <w:b/>
                <w:bCs/>
              </w:rPr>
            </w:pPr>
          </w:p>
        </w:tc>
        <w:tc>
          <w:tcPr>
            <w:tcW w:w="1110" w:type="dxa"/>
            <w:tcBorders>
              <w:left w:val="single" w:sz="8" w:space="0" w:color="FFFFFF"/>
              <w:right w:val="single" w:sz="8" w:space="0" w:color="FFFFFF"/>
            </w:tcBorders>
            <w:shd w:val="clear" w:color="auto" w:fill="FFFFFF"/>
            <w:tcMar>
              <w:top w:w="100" w:type="dxa"/>
              <w:left w:w="100" w:type="dxa"/>
              <w:bottom w:w="100" w:type="dxa"/>
              <w:right w:w="100" w:type="dxa"/>
            </w:tcMar>
            <w:vAlign w:val="bottom"/>
          </w:tcPr>
          <w:p w14:paraId="583C65B3" w14:textId="77777777" w:rsidR="008E4797" w:rsidRPr="007A1B07" w:rsidRDefault="004F3FE9">
            <w:pPr>
              <w:widowControl w:val="0"/>
              <w:spacing w:line="276" w:lineRule="auto"/>
              <w:jc w:val="center"/>
              <w:rPr>
                <w:rFonts w:ascii="Arial" w:eastAsia="Arial" w:hAnsi="Arial" w:cs="Arial"/>
                <w:b/>
                <w:bCs/>
              </w:rPr>
            </w:pPr>
            <w:r w:rsidRPr="007A1B07">
              <w:rPr>
                <w:rFonts w:ascii="Arial" w:eastAsia="Arial" w:hAnsi="Arial" w:cs="Arial"/>
                <w:b/>
                <w:bCs/>
              </w:rPr>
              <w:t>Anxiety</w:t>
            </w:r>
          </w:p>
        </w:tc>
      </w:tr>
      <w:tr w:rsidR="008E4797" w:rsidRPr="007A1B07" w14:paraId="0BB4700F" w14:textId="77777777">
        <w:trPr>
          <w:trHeight w:val="802"/>
        </w:trPr>
        <w:tc>
          <w:tcPr>
            <w:tcW w:w="337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164C919D" w14:textId="77777777" w:rsidR="008E4797" w:rsidRPr="007A1B07" w:rsidRDefault="004F3FE9">
            <w:pPr>
              <w:widowControl w:val="0"/>
              <w:spacing w:line="276" w:lineRule="auto"/>
              <w:rPr>
                <w:rFonts w:ascii="Arial" w:eastAsia="Arial" w:hAnsi="Arial" w:cs="Arial"/>
              </w:rPr>
            </w:pPr>
            <w:r w:rsidRPr="007A1B07">
              <w:rPr>
                <w:rFonts w:ascii="Arial" w:eastAsia="Arial" w:hAnsi="Arial" w:cs="Arial"/>
                <w:b/>
                <w:bCs/>
              </w:rPr>
              <w:t>Traumatic Clinical Experience</w:t>
            </w:r>
          </w:p>
        </w:tc>
        <w:tc>
          <w:tcPr>
            <w:tcW w:w="415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127AFE98" w14:textId="77777777" w:rsidR="008E4797" w:rsidRPr="007A1B07" w:rsidRDefault="004F3FE9">
            <w:pPr>
              <w:widowControl w:val="0"/>
              <w:spacing w:line="276" w:lineRule="auto"/>
              <w:rPr>
                <w:rFonts w:ascii="Arial" w:eastAsia="Arial" w:hAnsi="Arial" w:cs="Arial"/>
              </w:rPr>
            </w:pPr>
            <w:r w:rsidRPr="007A1B07">
              <w:rPr>
                <w:rFonts w:ascii="Arial" w:eastAsia="Arial" w:hAnsi="Arial" w:cs="Arial"/>
              </w:rPr>
              <w:t xml:space="preserve">Correlation Coefficient </w:t>
            </w:r>
          </w:p>
        </w:tc>
        <w:tc>
          <w:tcPr>
            <w:tcW w:w="111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1385B66F" w14:textId="77777777" w:rsidR="008E4797" w:rsidRPr="007A1B07" w:rsidRDefault="004F3FE9">
            <w:pPr>
              <w:widowControl w:val="0"/>
              <w:spacing w:line="276" w:lineRule="auto"/>
              <w:jc w:val="center"/>
              <w:rPr>
                <w:rFonts w:ascii="Arial" w:eastAsia="Arial" w:hAnsi="Arial" w:cs="Arial"/>
              </w:rPr>
            </w:pPr>
            <w:r w:rsidRPr="007A1B07">
              <w:rPr>
                <w:rFonts w:ascii="Arial" w:eastAsia="Arial" w:hAnsi="Arial" w:cs="Arial"/>
                <w:i/>
                <w:iCs/>
              </w:rPr>
              <w:t>r</w:t>
            </w:r>
            <w:r w:rsidRPr="007A1B07">
              <w:rPr>
                <w:rFonts w:ascii="Cambria Math" w:eastAsia="Arial" w:hAnsi="Cambria Math" w:cs="Cambria Math"/>
                <w:i/>
                <w:iCs/>
                <w:highlight w:val="white"/>
              </w:rPr>
              <w:t>ₛ</w:t>
            </w:r>
            <w:r w:rsidRPr="007A1B07">
              <w:rPr>
                <w:rFonts w:ascii="Arial" w:eastAsia="Arial" w:hAnsi="Arial" w:cs="Arial"/>
                <w:highlight w:val="white"/>
              </w:rPr>
              <w:t>=</w:t>
            </w:r>
            <w:r w:rsidRPr="007A1B07">
              <w:rPr>
                <w:rFonts w:ascii="Arial" w:eastAsia="Arial" w:hAnsi="Arial" w:cs="Arial"/>
              </w:rPr>
              <w:t>.587</w:t>
            </w:r>
          </w:p>
        </w:tc>
      </w:tr>
      <w:tr w:rsidR="008E4797" w:rsidRPr="007A1B07" w14:paraId="15F4439D" w14:textId="77777777">
        <w:tc>
          <w:tcPr>
            <w:tcW w:w="337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243B979D" w14:textId="77777777" w:rsidR="008E4797" w:rsidRPr="007A1B07" w:rsidRDefault="008E4797">
            <w:pPr>
              <w:widowControl w:val="0"/>
              <w:spacing w:line="276" w:lineRule="auto"/>
              <w:rPr>
                <w:rFonts w:ascii="Arial" w:eastAsia="Arial" w:hAnsi="Arial" w:cs="Arial"/>
              </w:rPr>
            </w:pPr>
          </w:p>
        </w:tc>
        <w:tc>
          <w:tcPr>
            <w:tcW w:w="415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1D34234D" w14:textId="77777777" w:rsidR="008E4797" w:rsidRPr="007A1B07" w:rsidRDefault="004F3FE9">
            <w:pPr>
              <w:widowControl w:val="0"/>
              <w:spacing w:line="276" w:lineRule="auto"/>
              <w:rPr>
                <w:rFonts w:ascii="Arial" w:eastAsia="Arial" w:hAnsi="Arial" w:cs="Arial"/>
              </w:rPr>
            </w:pPr>
            <w:r w:rsidRPr="007A1B07">
              <w:rPr>
                <w:rFonts w:ascii="Arial" w:eastAsia="Arial" w:hAnsi="Arial" w:cs="Arial"/>
              </w:rPr>
              <w:t>Sig. (2-tailed)</w:t>
            </w:r>
          </w:p>
        </w:tc>
        <w:tc>
          <w:tcPr>
            <w:tcW w:w="1110"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743AFC76" w14:textId="77777777" w:rsidR="008E4797" w:rsidRPr="007A1B07" w:rsidRDefault="004F3FE9">
            <w:pPr>
              <w:widowControl w:val="0"/>
              <w:spacing w:line="276" w:lineRule="auto"/>
              <w:jc w:val="center"/>
              <w:rPr>
                <w:rFonts w:ascii="Arial" w:eastAsia="Arial" w:hAnsi="Arial" w:cs="Arial"/>
              </w:rPr>
            </w:pPr>
            <w:r w:rsidRPr="007A1B07">
              <w:rPr>
                <w:rFonts w:ascii="Arial" w:eastAsia="Arial" w:hAnsi="Arial" w:cs="Arial"/>
                <w:i/>
                <w:iCs/>
              </w:rPr>
              <w:t>P=</w:t>
            </w:r>
            <w:r w:rsidRPr="007A1B07">
              <w:rPr>
                <w:rFonts w:ascii="Arial" w:eastAsia="Arial" w:hAnsi="Arial" w:cs="Arial"/>
              </w:rPr>
              <w:t xml:space="preserve"> .001</w:t>
            </w:r>
          </w:p>
        </w:tc>
      </w:tr>
      <w:tr w:rsidR="008E4797" w:rsidRPr="007A1B07" w14:paraId="62A8FEA9" w14:textId="77777777">
        <w:tc>
          <w:tcPr>
            <w:tcW w:w="3375" w:type="dxa"/>
            <w:tcBorders>
              <w:left w:val="single" w:sz="8" w:space="0" w:color="FFFFFF"/>
              <w:bottom w:val="single" w:sz="4" w:space="0" w:color="FFFFFF"/>
              <w:right w:val="single" w:sz="8" w:space="0" w:color="FFFFFF"/>
            </w:tcBorders>
          </w:tcPr>
          <w:p w14:paraId="56D2A48B" w14:textId="77777777" w:rsidR="008E4797" w:rsidRPr="007A1B07" w:rsidRDefault="004F3FE9">
            <w:pPr>
              <w:rPr>
                <w:rFonts w:ascii="Arial" w:eastAsia="Arial" w:hAnsi="Arial" w:cs="Arial"/>
                <w:b/>
                <w:bCs/>
              </w:rPr>
            </w:pPr>
            <w:r w:rsidRPr="007A1B07">
              <w:rPr>
                <w:rFonts w:ascii="Arial" w:eastAsia="Arial" w:hAnsi="Arial" w:cs="Arial"/>
                <w:b/>
                <w:bCs/>
              </w:rPr>
              <w:t xml:space="preserve">Debriefing </w:t>
            </w:r>
          </w:p>
        </w:tc>
        <w:tc>
          <w:tcPr>
            <w:tcW w:w="415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69FF3F69" w14:textId="77777777" w:rsidR="008E4797" w:rsidRPr="007A1B07" w:rsidRDefault="004F3FE9">
            <w:pPr>
              <w:widowControl w:val="0"/>
              <w:spacing w:line="276" w:lineRule="auto"/>
              <w:rPr>
                <w:rFonts w:ascii="Arial" w:eastAsia="Arial" w:hAnsi="Arial" w:cs="Arial"/>
              </w:rPr>
            </w:pPr>
            <w:r w:rsidRPr="007A1B07">
              <w:rPr>
                <w:rFonts w:ascii="Arial" w:eastAsia="Arial" w:hAnsi="Arial" w:cs="Arial"/>
              </w:rPr>
              <w:t>Correlation Coefficient</w:t>
            </w:r>
          </w:p>
        </w:tc>
        <w:tc>
          <w:tcPr>
            <w:tcW w:w="111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vAlign w:val="bottom"/>
          </w:tcPr>
          <w:p w14:paraId="003093F6" w14:textId="77777777" w:rsidR="008E4797" w:rsidRPr="007A1B07" w:rsidRDefault="004F3FE9">
            <w:pPr>
              <w:widowControl w:val="0"/>
              <w:spacing w:line="276" w:lineRule="auto"/>
              <w:jc w:val="center"/>
              <w:rPr>
                <w:rFonts w:ascii="Arial" w:eastAsia="Arial" w:hAnsi="Arial" w:cs="Arial"/>
              </w:rPr>
            </w:pPr>
            <w:r w:rsidRPr="007A1B07">
              <w:rPr>
                <w:rFonts w:ascii="Arial" w:eastAsia="Arial" w:hAnsi="Arial" w:cs="Arial"/>
                <w:i/>
                <w:iCs/>
              </w:rPr>
              <w:t>r</w:t>
            </w:r>
            <w:r w:rsidRPr="007A1B07">
              <w:rPr>
                <w:rFonts w:ascii="Cambria Math" w:eastAsia="Arial" w:hAnsi="Cambria Math" w:cs="Cambria Math"/>
                <w:i/>
                <w:iCs/>
                <w:highlight w:val="white"/>
              </w:rPr>
              <w:t>ₛ</w:t>
            </w:r>
            <w:r w:rsidRPr="007A1B07">
              <w:rPr>
                <w:rFonts w:ascii="Arial" w:eastAsia="Arial" w:hAnsi="Arial" w:cs="Arial"/>
                <w:highlight w:val="white"/>
              </w:rPr>
              <w:t xml:space="preserve">= </w:t>
            </w:r>
            <w:r w:rsidRPr="007A1B07">
              <w:rPr>
                <w:rFonts w:ascii="Arial" w:eastAsia="Arial" w:hAnsi="Arial" w:cs="Arial"/>
              </w:rPr>
              <w:t>-0.049</w:t>
            </w:r>
          </w:p>
        </w:tc>
      </w:tr>
      <w:tr w:rsidR="008E4797" w:rsidRPr="007A1B07" w14:paraId="5EFA87A0" w14:textId="77777777">
        <w:tc>
          <w:tcPr>
            <w:tcW w:w="3375" w:type="dxa"/>
            <w:tcBorders>
              <w:top w:val="single" w:sz="4"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083E7F61" w14:textId="77777777" w:rsidR="008E4797" w:rsidRPr="007A1B07" w:rsidRDefault="008E4797">
            <w:pPr>
              <w:widowControl w:val="0"/>
              <w:spacing w:line="276" w:lineRule="auto"/>
              <w:rPr>
                <w:rFonts w:ascii="Arial" w:eastAsia="Arial" w:hAnsi="Arial" w:cs="Arial"/>
              </w:rPr>
            </w:pPr>
          </w:p>
        </w:tc>
        <w:tc>
          <w:tcPr>
            <w:tcW w:w="4155"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60A94FE7" w14:textId="77777777" w:rsidR="008E4797" w:rsidRPr="007A1B07" w:rsidRDefault="004F3FE9">
            <w:pPr>
              <w:widowControl w:val="0"/>
              <w:spacing w:line="276" w:lineRule="auto"/>
              <w:rPr>
                <w:rFonts w:ascii="Arial" w:eastAsia="Arial" w:hAnsi="Arial" w:cs="Arial"/>
              </w:rPr>
            </w:pPr>
            <w:r w:rsidRPr="007A1B07">
              <w:rPr>
                <w:rFonts w:ascii="Arial" w:eastAsia="Arial" w:hAnsi="Arial" w:cs="Arial"/>
              </w:rPr>
              <w:t>Sig. (2-tailed)</w:t>
            </w:r>
          </w:p>
        </w:tc>
        <w:tc>
          <w:tcPr>
            <w:tcW w:w="1110" w:type="dxa"/>
            <w:tcBorders>
              <w:top w:val="single" w:sz="8" w:space="0" w:color="FFFFFF"/>
              <w:left w:val="single" w:sz="8" w:space="0" w:color="FFFFFF"/>
              <w:right w:val="single" w:sz="8" w:space="0" w:color="FFFFFF"/>
            </w:tcBorders>
            <w:shd w:val="clear" w:color="auto" w:fill="FFFFFF"/>
            <w:tcMar>
              <w:top w:w="100" w:type="dxa"/>
              <w:left w:w="100" w:type="dxa"/>
              <w:bottom w:w="100" w:type="dxa"/>
              <w:right w:w="100" w:type="dxa"/>
            </w:tcMar>
            <w:vAlign w:val="bottom"/>
          </w:tcPr>
          <w:p w14:paraId="5A6B3C70" w14:textId="77777777" w:rsidR="008E4797" w:rsidRPr="007A1B07" w:rsidRDefault="004F3FE9">
            <w:pPr>
              <w:widowControl w:val="0"/>
              <w:spacing w:line="276" w:lineRule="auto"/>
              <w:jc w:val="center"/>
              <w:rPr>
                <w:rFonts w:ascii="Arial" w:eastAsia="Arial" w:hAnsi="Arial" w:cs="Arial"/>
              </w:rPr>
            </w:pPr>
            <w:r w:rsidRPr="007A1B07">
              <w:rPr>
                <w:rFonts w:ascii="Arial" w:eastAsia="Arial" w:hAnsi="Arial" w:cs="Arial"/>
                <w:i/>
                <w:iCs/>
              </w:rPr>
              <w:t>P=</w:t>
            </w:r>
            <w:r w:rsidRPr="007A1B07">
              <w:rPr>
                <w:rFonts w:ascii="Arial" w:eastAsia="Arial" w:hAnsi="Arial" w:cs="Arial"/>
              </w:rPr>
              <w:t xml:space="preserve"> 0.415</w:t>
            </w:r>
          </w:p>
        </w:tc>
      </w:tr>
    </w:tbl>
    <w:p w14:paraId="4C31F764" w14:textId="77777777" w:rsidR="008E4797" w:rsidRPr="007A1B07" w:rsidRDefault="004F3FE9">
      <w:pPr>
        <w:keepLines/>
        <w:spacing w:before="240"/>
        <w:rPr>
          <w:rFonts w:ascii="Arial" w:eastAsia="Arial" w:hAnsi="Arial" w:cs="Arial"/>
          <w:sz w:val="16"/>
          <w:szCs w:val="16"/>
        </w:rPr>
      </w:pPr>
      <w:r w:rsidRPr="007A1B07">
        <w:rPr>
          <w:rFonts w:ascii="Arial" w:eastAsia="Arial" w:hAnsi="Arial" w:cs="Arial"/>
          <w:i/>
          <w:iCs/>
          <w:sz w:val="16"/>
          <w:szCs w:val="16"/>
        </w:rPr>
        <w:t>Correlation is significant at the 0.01 level (2-tailed</w:t>
      </w:r>
      <w:r w:rsidRPr="007A1B07">
        <w:rPr>
          <w:rFonts w:ascii="Arial" w:eastAsia="Arial" w:hAnsi="Arial" w:cs="Arial"/>
          <w:b/>
          <w:bCs/>
          <w:i/>
          <w:iCs/>
          <w:sz w:val="16"/>
          <w:szCs w:val="16"/>
        </w:rPr>
        <w:t>)</w:t>
      </w:r>
    </w:p>
    <w:p w14:paraId="33EC913E" w14:textId="77777777" w:rsidR="008E4797" w:rsidRPr="007A1B07" w:rsidRDefault="008E4797">
      <w:pPr>
        <w:rPr>
          <w:rFonts w:ascii="Arial" w:eastAsia="Arial" w:hAnsi="Arial" w:cs="Arial"/>
          <w:b/>
          <w:bCs/>
        </w:rPr>
      </w:pPr>
    </w:p>
    <w:p w14:paraId="158CD02B" w14:textId="77777777" w:rsidR="008E4797" w:rsidRPr="007A1B07" w:rsidRDefault="008E4797">
      <w:pPr>
        <w:rPr>
          <w:rFonts w:ascii="Arial" w:eastAsia="Arial" w:hAnsi="Arial" w:cs="Arial"/>
          <w:b/>
          <w:bCs/>
        </w:rPr>
      </w:pPr>
    </w:p>
    <w:p w14:paraId="561AB086" w14:textId="77777777" w:rsidR="008E4797" w:rsidRPr="007A1B07" w:rsidRDefault="008E4797">
      <w:pPr>
        <w:rPr>
          <w:rFonts w:ascii="Arial" w:eastAsia="Arial" w:hAnsi="Arial" w:cs="Arial"/>
          <w:b/>
          <w:bCs/>
        </w:rPr>
      </w:pPr>
    </w:p>
    <w:p w14:paraId="58F2F9A4" w14:textId="77777777" w:rsidR="008E4797" w:rsidRPr="007A1B07" w:rsidRDefault="008E4797">
      <w:pPr>
        <w:rPr>
          <w:rFonts w:ascii="Arial" w:eastAsia="Arial" w:hAnsi="Arial" w:cs="Arial"/>
          <w:b/>
          <w:bCs/>
        </w:rPr>
      </w:pPr>
    </w:p>
    <w:p w14:paraId="7C5FF72B" w14:textId="77777777" w:rsidR="008E4797" w:rsidRPr="007A1B07" w:rsidRDefault="008E4797">
      <w:pPr>
        <w:rPr>
          <w:rFonts w:ascii="Arial" w:eastAsia="Arial" w:hAnsi="Arial" w:cs="Arial"/>
          <w:b/>
          <w:bCs/>
        </w:rPr>
      </w:pPr>
    </w:p>
    <w:p w14:paraId="089A30B9" w14:textId="77777777" w:rsidR="008E4797" w:rsidRPr="007A1B07" w:rsidRDefault="008E4797">
      <w:pPr>
        <w:rPr>
          <w:rFonts w:ascii="Arial" w:eastAsia="Arial" w:hAnsi="Arial" w:cs="Arial"/>
          <w:b/>
          <w:bCs/>
        </w:rPr>
      </w:pPr>
    </w:p>
    <w:p w14:paraId="1E4BE5AD" w14:textId="77777777" w:rsidR="008E4797" w:rsidRPr="007A1B07" w:rsidRDefault="008E4797">
      <w:pPr>
        <w:rPr>
          <w:rFonts w:ascii="Arial" w:eastAsia="Arial" w:hAnsi="Arial" w:cs="Arial"/>
          <w:b/>
          <w:bCs/>
        </w:rPr>
      </w:pPr>
    </w:p>
    <w:p w14:paraId="60B6E7BA" w14:textId="77777777" w:rsidR="008E4797" w:rsidRPr="007A1B07" w:rsidRDefault="008E4797">
      <w:pPr>
        <w:rPr>
          <w:rFonts w:ascii="Arial" w:eastAsia="Arial" w:hAnsi="Arial" w:cs="Arial"/>
          <w:b/>
          <w:bCs/>
        </w:rPr>
      </w:pPr>
    </w:p>
    <w:p w14:paraId="63E4A827" w14:textId="77777777" w:rsidR="008E4797" w:rsidRPr="007A1B07" w:rsidRDefault="008E4797">
      <w:pPr>
        <w:rPr>
          <w:rFonts w:ascii="Arial" w:eastAsia="Arial" w:hAnsi="Arial" w:cs="Arial"/>
          <w:b/>
          <w:bCs/>
        </w:rPr>
      </w:pPr>
    </w:p>
    <w:p w14:paraId="5613DB59" w14:textId="77777777" w:rsidR="008E4797" w:rsidRPr="007A1B07" w:rsidRDefault="004F3FE9">
      <w:pPr>
        <w:rPr>
          <w:rFonts w:ascii="Arial" w:eastAsia="Arial" w:hAnsi="Arial" w:cs="Arial"/>
          <w:b/>
          <w:bCs/>
        </w:rPr>
      </w:pPr>
      <w:r w:rsidRPr="007A1B07">
        <w:rPr>
          <w:rFonts w:ascii="Arial" w:eastAsia="Arial" w:hAnsi="Arial" w:cs="Arial"/>
          <w:b/>
          <w:bCs/>
        </w:rPr>
        <w:t>Table 6. Profile of the Participants</w:t>
      </w:r>
    </w:p>
    <w:tbl>
      <w:tblPr>
        <w:tblStyle w:val="af0"/>
        <w:tblW w:w="8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4710"/>
        <w:gridCol w:w="600"/>
        <w:gridCol w:w="1575"/>
      </w:tblGrid>
      <w:tr w:rsidR="008E4797" w:rsidRPr="007A1B07" w14:paraId="5359CE18" w14:textId="77777777">
        <w:tc>
          <w:tcPr>
            <w:tcW w:w="1665" w:type="dxa"/>
            <w:tcBorders>
              <w:left w:val="nil"/>
              <w:right w:val="nil"/>
            </w:tcBorders>
            <w:shd w:val="clear" w:color="auto" w:fill="FFFFFF"/>
            <w:tcMar>
              <w:top w:w="100" w:type="dxa"/>
              <w:left w:w="100" w:type="dxa"/>
              <w:bottom w:w="100" w:type="dxa"/>
              <w:right w:w="100" w:type="dxa"/>
            </w:tcMar>
            <w:vAlign w:val="bottom"/>
          </w:tcPr>
          <w:p w14:paraId="52D2D6D9" w14:textId="77777777" w:rsidR="008E4797" w:rsidRPr="007A1B07" w:rsidRDefault="004F3FE9">
            <w:pPr>
              <w:rPr>
                <w:rFonts w:ascii="Arial" w:eastAsia="Arial" w:hAnsi="Arial" w:cs="Arial"/>
              </w:rPr>
            </w:pPr>
            <w:r w:rsidRPr="007A1B07">
              <w:rPr>
                <w:rFonts w:ascii="Arial" w:eastAsia="Arial" w:hAnsi="Arial" w:cs="Arial"/>
              </w:rPr>
              <w:t>Participant ID</w:t>
            </w:r>
          </w:p>
        </w:tc>
        <w:tc>
          <w:tcPr>
            <w:tcW w:w="4710" w:type="dxa"/>
            <w:tcBorders>
              <w:left w:val="nil"/>
              <w:right w:val="nil"/>
            </w:tcBorders>
            <w:shd w:val="clear" w:color="auto" w:fill="FFFFFF"/>
            <w:tcMar>
              <w:top w:w="100" w:type="dxa"/>
              <w:left w:w="100" w:type="dxa"/>
              <w:bottom w:w="100" w:type="dxa"/>
              <w:right w:w="100" w:type="dxa"/>
            </w:tcMar>
            <w:vAlign w:val="bottom"/>
          </w:tcPr>
          <w:p w14:paraId="7D8923C9" w14:textId="77777777" w:rsidR="008E4797" w:rsidRPr="007A1B07" w:rsidRDefault="004F3FE9">
            <w:pPr>
              <w:jc w:val="center"/>
              <w:rPr>
                <w:rFonts w:ascii="Arial" w:eastAsia="Arial" w:hAnsi="Arial" w:cs="Arial"/>
              </w:rPr>
            </w:pPr>
            <w:r w:rsidRPr="007A1B07">
              <w:rPr>
                <w:rFonts w:ascii="Arial" w:eastAsia="Arial" w:hAnsi="Arial" w:cs="Arial"/>
              </w:rPr>
              <w:t>Age</w:t>
            </w:r>
          </w:p>
        </w:tc>
        <w:tc>
          <w:tcPr>
            <w:tcW w:w="600" w:type="dxa"/>
            <w:tcBorders>
              <w:left w:val="nil"/>
              <w:right w:val="nil"/>
            </w:tcBorders>
            <w:shd w:val="clear" w:color="auto" w:fill="FFFFFF"/>
            <w:tcMar>
              <w:top w:w="100" w:type="dxa"/>
              <w:left w:w="100" w:type="dxa"/>
              <w:bottom w:w="100" w:type="dxa"/>
              <w:right w:w="100" w:type="dxa"/>
            </w:tcMar>
            <w:vAlign w:val="bottom"/>
          </w:tcPr>
          <w:p w14:paraId="112ED7E0" w14:textId="77777777" w:rsidR="008E4797" w:rsidRPr="007A1B07" w:rsidRDefault="008E4797">
            <w:pPr>
              <w:jc w:val="center"/>
              <w:rPr>
                <w:rFonts w:ascii="Arial" w:eastAsia="Arial" w:hAnsi="Arial" w:cs="Arial"/>
              </w:rPr>
            </w:pPr>
          </w:p>
        </w:tc>
        <w:tc>
          <w:tcPr>
            <w:tcW w:w="1575" w:type="dxa"/>
            <w:tcBorders>
              <w:left w:val="nil"/>
              <w:right w:val="nil"/>
            </w:tcBorders>
            <w:shd w:val="clear" w:color="auto" w:fill="FFFFFF"/>
            <w:tcMar>
              <w:top w:w="100" w:type="dxa"/>
              <w:left w:w="100" w:type="dxa"/>
              <w:bottom w:w="100" w:type="dxa"/>
              <w:right w:w="100" w:type="dxa"/>
            </w:tcMar>
            <w:vAlign w:val="bottom"/>
          </w:tcPr>
          <w:p w14:paraId="4D1C579C" w14:textId="77777777" w:rsidR="008E4797" w:rsidRPr="007A1B07" w:rsidRDefault="004F3FE9">
            <w:pPr>
              <w:jc w:val="center"/>
              <w:rPr>
                <w:rFonts w:ascii="Arial" w:eastAsia="Arial" w:hAnsi="Arial" w:cs="Arial"/>
              </w:rPr>
            </w:pPr>
            <w:r w:rsidRPr="007A1B07">
              <w:rPr>
                <w:rFonts w:ascii="Arial" w:eastAsia="Arial" w:hAnsi="Arial" w:cs="Arial"/>
              </w:rPr>
              <w:t>Year Level</w:t>
            </w:r>
          </w:p>
        </w:tc>
      </w:tr>
      <w:tr w:rsidR="008E4797" w:rsidRPr="007A1B07" w14:paraId="62D0F38B" w14:textId="77777777">
        <w:tc>
          <w:tcPr>
            <w:tcW w:w="1665" w:type="dxa"/>
            <w:tcBorders>
              <w:left w:val="nil"/>
              <w:bottom w:val="nil"/>
              <w:right w:val="nil"/>
            </w:tcBorders>
            <w:shd w:val="clear" w:color="auto" w:fill="FFFFFF"/>
            <w:tcMar>
              <w:top w:w="100" w:type="dxa"/>
              <w:left w:w="100" w:type="dxa"/>
              <w:bottom w:w="100" w:type="dxa"/>
              <w:right w:w="100" w:type="dxa"/>
            </w:tcMar>
            <w:vAlign w:val="bottom"/>
          </w:tcPr>
          <w:p w14:paraId="37444111" w14:textId="77777777" w:rsidR="008E4797" w:rsidRPr="007A1B07" w:rsidRDefault="004F3FE9">
            <w:pPr>
              <w:rPr>
                <w:rFonts w:ascii="Arial" w:eastAsia="Arial" w:hAnsi="Arial" w:cs="Arial"/>
              </w:rPr>
            </w:pPr>
            <w:r w:rsidRPr="007A1B07">
              <w:rPr>
                <w:rFonts w:ascii="Arial" w:eastAsia="Arial" w:hAnsi="Arial" w:cs="Arial"/>
              </w:rPr>
              <w:t>P1</w:t>
            </w:r>
          </w:p>
        </w:tc>
        <w:tc>
          <w:tcPr>
            <w:tcW w:w="4710" w:type="dxa"/>
            <w:tcBorders>
              <w:left w:val="nil"/>
              <w:bottom w:val="nil"/>
              <w:right w:val="nil"/>
            </w:tcBorders>
            <w:shd w:val="clear" w:color="auto" w:fill="FFFFFF"/>
            <w:tcMar>
              <w:top w:w="100" w:type="dxa"/>
              <w:left w:w="100" w:type="dxa"/>
              <w:bottom w:w="100" w:type="dxa"/>
              <w:right w:w="100" w:type="dxa"/>
            </w:tcMar>
            <w:vAlign w:val="bottom"/>
          </w:tcPr>
          <w:p w14:paraId="5080F48E" w14:textId="77777777" w:rsidR="008E4797" w:rsidRPr="007A1B07" w:rsidRDefault="004F3FE9">
            <w:pPr>
              <w:jc w:val="center"/>
              <w:rPr>
                <w:rFonts w:ascii="Arial" w:eastAsia="Arial" w:hAnsi="Arial" w:cs="Arial"/>
              </w:rPr>
            </w:pPr>
            <w:r w:rsidRPr="007A1B07">
              <w:rPr>
                <w:rFonts w:ascii="Arial" w:eastAsia="Arial" w:hAnsi="Arial" w:cs="Arial"/>
              </w:rPr>
              <w:t>21</w:t>
            </w:r>
          </w:p>
        </w:tc>
        <w:tc>
          <w:tcPr>
            <w:tcW w:w="600" w:type="dxa"/>
            <w:tcBorders>
              <w:left w:val="nil"/>
              <w:bottom w:val="nil"/>
              <w:right w:val="nil"/>
            </w:tcBorders>
            <w:shd w:val="clear" w:color="auto" w:fill="FFFFFF"/>
            <w:tcMar>
              <w:top w:w="100" w:type="dxa"/>
              <w:left w:w="100" w:type="dxa"/>
              <w:bottom w:w="100" w:type="dxa"/>
              <w:right w:w="100" w:type="dxa"/>
            </w:tcMar>
            <w:vAlign w:val="bottom"/>
          </w:tcPr>
          <w:p w14:paraId="7E32BB15" w14:textId="77777777" w:rsidR="008E4797" w:rsidRPr="007A1B07" w:rsidRDefault="008E4797">
            <w:pPr>
              <w:jc w:val="center"/>
              <w:rPr>
                <w:rFonts w:ascii="Arial" w:eastAsia="Arial" w:hAnsi="Arial" w:cs="Arial"/>
              </w:rPr>
            </w:pPr>
          </w:p>
        </w:tc>
        <w:tc>
          <w:tcPr>
            <w:tcW w:w="1575" w:type="dxa"/>
            <w:tcBorders>
              <w:left w:val="nil"/>
              <w:bottom w:val="nil"/>
              <w:right w:val="nil"/>
            </w:tcBorders>
            <w:shd w:val="clear" w:color="auto" w:fill="FFFFFF"/>
            <w:tcMar>
              <w:top w:w="100" w:type="dxa"/>
              <w:left w:w="100" w:type="dxa"/>
              <w:bottom w:w="100" w:type="dxa"/>
              <w:right w:w="100" w:type="dxa"/>
            </w:tcMar>
            <w:vAlign w:val="bottom"/>
          </w:tcPr>
          <w:p w14:paraId="7B400A1D" w14:textId="77777777" w:rsidR="008E4797" w:rsidRPr="007A1B07" w:rsidRDefault="004F3FE9">
            <w:pPr>
              <w:jc w:val="center"/>
              <w:rPr>
                <w:rFonts w:ascii="Arial" w:eastAsia="Arial" w:hAnsi="Arial" w:cs="Arial"/>
              </w:rPr>
            </w:pPr>
            <w:r w:rsidRPr="007A1B07">
              <w:rPr>
                <w:rFonts w:ascii="Arial" w:eastAsia="Arial" w:hAnsi="Arial" w:cs="Arial"/>
              </w:rPr>
              <w:t>Third Year</w:t>
            </w:r>
          </w:p>
        </w:tc>
      </w:tr>
      <w:tr w:rsidR="008E4797" w:rsidRPr="007A1B07" w14:paraId="1AB4A255" w14:textId="77777777">
        <w:tc>
          <w:tcPr>
            <w:tcW w:w="1665" w:type="dxa"/>
            <w:tcBorders>
              <w:top w:val="nil"/>
              <w:left w:val="nil"/>
              <w:bottom w:val="nil"/>
              <w:right w:val="nil"/>
            </w:tcBorders>
            <w:shd w:val="clear" w:color="auto" w:fill="FFFFFF"/>
            <w:tcMar>
              <w:top w:w="100" w:type="dxa"/>
              <w:left w:w="100" w:type="dxa"/>
              <w:bottom w:w="100" w:type="dxa"/>
              <w:right w:w="100" w:type="dxa"/>
            </w:tcMar>
            <w:vAlign w:val="bottom"/>
          </w:tcPr>
          <w:p w14:paraId="051C02D3" w14:textId="77777777" w:rsidR="008E4797" w:rsidRPr="007A1B07" w:rsidRDefault="004F3FE9">
            <w:pPr>
              <w:rPr>
                <w:rFonts w:ascii="Arial" w:eastAsia="Arial" w:hAnsi="Arial" w:cs="Arial"/>
              </w:rPr>
            </w:pPr>
            <w:r w:rsidRPr="007A1B07">
              <w:rPr>
                <w:rFonts w:ascii="Arial" w:eastAsia="Arial" w:hAnsi="Arial" w:cs="Arial"/>
              </w:rPr>
              <w:t>P2</w:t>
            </w:r>
          </w:p>
        </w:tc>
        <w:tc>
          <w:tcPr>
            <w:tcW w:w="4710" w:type="dxa"/>
            <w:tcBorders>
              <w:top w:val="nil"/>
              <w:left w:val="nil"/>
              <w:bottom w:val="nil"/>
              <w:right w:val="nil"/>
            </w:tcBorders>
            <w:shd w:val="clear" w:color="auto" w:fill="FFFFFF"/>
            <w:tcMar>
              <w:top w:w="100" w:type="dxa"/>
              <w:left w:w="100" w:type="dxa"/>
              <w:bottom w:w="100" w:type="dxa"/>
              <w:right w:w="100" w:type="dxa"/>
            </w:tcMar>
            <w:vAlign w:val="bottom"/>
          </w:tcPr>
          <w:p w14:paraId="1EA51EA3" w14:textId="77777777" w:rsidR="008E4797" w:rsidRPr="007A1B07" w:rsidRDefault="004F3FE9">
            <w:pPr>
              <w:jc w:val="center"/>
              <w:rPr>
                <w:rFonts w:ascii="Arial" w:eastAsia="Arial" w:hAnsi="Arial" w:cs="Arial"/>
              </w:rPr>
            </w:pPr>
            <w:r w:rsidRPr="007A1B07">
              <w:rPr>
                <w:rFonts w:ascii="Arial" w:eastAsia="Arial" w:hAnsi="Arial" w:cs="Arial"/>
              </w:rPr>
              <w:t>22</w:t>
            </w:r>
          </w:p>
        </w:tc>
        <w:tc>
          <w:tcPr>
            <w:tcW w:w="600" w:type="dxa"/>
            <w:tcBorders>
              <w:top w:val="nil"/>
              <w:left w:val="nil"/>
              <w:bottom w:val="nil"/>
              <w:right w:val="nil"/>
            </w:tcBorders>
            <w:shd w:val="clear" w:color="auto" w:fill="FFFFFF"/>
            <w:tcMar>
              <w:top w:w="100" w:type="dxa"/>
              <w:left w:w="100" w:type="dxa"/>
              <w:bottom w:w="100" w:type="dxa"/>
              <w:right w:w="100" w:type="dxa"/>
            </w:tcMar>
            <w:vAlign w:val="bottom"/>
          </w:tcPr>
          <w:p w14:paraId="3F951FB8" w14:textId="77777777" w:rsidR="008E4797" w:rsidRPr="007A1B07" w:rsidRDefault="008E4797">
            <w:pPr>
              <w:jc w:val="center"/>
              <w:rPr>
                <w:rFonts w:ascii="Arial" w:eastAsia="Arial" w:hAnsi="Arial" w:cs="Arial"/>
              </w:rPr>
            </w:pPr>
          </w:p>
        </w:tc>
        <w:tc>
          <w:tcPr>
            <w:tcW w:w="1575" w:type="dxa"/>
            <w:tcBorders>
              <w:top w:val="nil"/>
              <w:left w:val="nil"/>
              <w:bottom w:val="nil"/>
              <w:right w:val="nil"/>
            </w:tcBorders>
            <w:shd w:val="clear" w:color="auto" w:fill="FFFFFF"/>
            <w:tcMar>
              <w:top w:w="100" w:type="dxa"/>
              <w:left w:w="100" w:type="dxa"/>
              <w:bottom w:w="100" w:type="dxa"/>
              <w:right w:w="100" w:type="dxa"/>
            </w:tcMar>
            <w:vAlign w:val="bottom"/>
          </w:tcPr>
          <w:p w14:paraId="56EE9AC7" w14:textId="77777777" w:rsidR="008E4797" w:rsidRPr="007A1B07" w:rsidRDefault="004F3FE9">
            <w:pPr>
              <w:jc w:val="center"/>
              <w:rPr>
                <w:rFonts w:ascii="Arial" w:eastAsia="Arial" w:hAnsi="Arial" w:cs="Arial"/>
              </w:rPr>
            </w:pPr>
            <w:r w:rsidRPr="007A1B07">
              <w:rPr>
                <w:rFonts w:ascii="Arial" w:eastAsia="Arial" w:hAnsi="Arial" w:cs="Arial"/>
              </w:rPr>
              <w:t>Fourth Year</w:t>
            </w:r>
          </w:p>
        </w:tc>
      </w:tr>
      <w:tr w:rsidR="008E4797" w:rsidRPr="007A1B07" w14:paraId="2E2DF53E" w14:textId="77777777">
        <w:tc>
          <w:tcPr>
            <w:tcW w:w="1665" w:type="dxa"/>
            <w:tcBorders>
              <w:top w:val="nil"/>
              <w:left w:val="nil"/>
              <w:bottom w:val="nil"/>
              <w:right w:val="nil"/>
            </w:tcBorders>
            <w:shd w:val="clear" w:color="auto" w:fill="FFFFFF"/>
            <w:tcMar>
              <w:top w:w="100" w:type="dxa"/>
              <w:left w:w="100" w:type="dxa"/>
              <w:bottom w:w="100" w:type="dxa"/>
              <w:right w:w="100" w:type="dxa"/>
            </w:tcMar>
            <w:vAlign w:val="bottom"/>
          </w:tcPr>
          <w:p w14:paraId="1EC448C9" w14:textId="77777777" w:rsidR="008E4797" w:rsidRPr="007A1B07" w:rsidRDefault="004F3FE9">
            <w:pPr>
              <w:rPr>
                <w:rFonts w:ascii="Arial" w:eastAsia="Arial" w:hAnsi="Arial" w:cs="Arial"/>
              </w:rPr>
            </w:pPr>
            <w:r w:rsidRPr="007A1B07">
              <w:rPr>
                <w:rFonts w:ascii="Arial" w:eastAsia="Arial" w:hAnsi="Arial" w:cs="Arial"/>
              </w:rPr>
              <w:t>P3</w:t>
            </w:r>
          </w:p>
        </w:tc>
        <w:tc>
          <w:tcPr>
            <w:tcW w:w="4710" w:type="dxa"/>
            <w:tcBorders>
              <w:top w:val="nil"/>
              <w:left w:val="nil"/>
              <w:bottom w:val="nil"/>
              <w:right w:val="nil"/>
            </w:tcBorders>
            <w:shd w:val="clear" w:color="auto" w:fill="FFFFFF"/>
            <w:tcMar>
              <w:top w:w="100" w:type="dxa"/>
              <w:left w:w="100" w:type="dxa"/>
              <w:bottom w:w="100" w:type="dxa"/>
              <w:right w:w="100" w:type="dxa"/>
            </w:tcMar>
            <w:vAlign w:val="bottom"/>
          </w:tcPr>
          <w:p w14:paraId="6B28F972" w14:textId="77777777" w:rsidR="008E4797" w:rsidRPr="007A1B07" w:rsidRDefault="004F3FE9">
            <w:pPr>
              <w:jc w:val="center"/>
              <w:rPr>
                <w:rFonts w:ascii="Arial" w:eastAsia="Arial" w:hAnsi="Arial" w:cs="Arial"/>
              </w:rPr>
            </w:pPr>
            <w:r w:rsidRPr="007A1B07">
              <w:rPr>
                <w:rFonts w:ascii="Arial" w:eastAsia="Arial" w:hAnsi="Arial" w:cs="Arial"/>
              </w:rPr>
              <w:t>21</w:t>
            </w:r>
          </w:p>
        </w:tc>
        <w:tc>
          <w:tcPr>
            <w:tcW w:w="600" w:type="dxa"/>
            <w:tcBorders>
              <w:top w:val="nil"/>
              <w:left w:val="nil"/>
              <w:bottom w:val="nil"/>
              <w:right w:val="nil"/>
            </w:tcBorders>
            <w:shd w:val="clear" w:color="auto" w:fill="FFFFFF"/>
            <w:tcMar>
              <w:top w:w="100" w:type="dxa"/>
              <w:left w:w="100" w:type="dxa"/>
              <w:bottom w:w="100" w:type="dxa"/>
              <w:right w:w="100" w:type="dxa"/>
            </w:tcMar>
            <w:vAlign w:val="bottom"/>
          </w:tcPr>
          <w:p w14:paraId="1DF66D9F" w14:textId="77777777" w:rsidR="008E4797" w:rsidRPr="007A1B07" w:rsidRDefault="008E4797">
            <w:pPr>
              <w:jc w:val="center"/>
              <w:rPr>
                <w:rFonts w:ascii="Arial" w:eastAsia="Arial" w:hAnsi="Arial" w:cs="Arial"/>
              </w:rPr>
            </w:pPr>
          </w:p>
        </w:tc>
        <w:tc>
          <w:tcPr>
            <w:tcW w:w="1575" w:type="dxa"/>
            <w:tcBorders>
              <w:top w:val="nil"/>
              <w:left w:val="nil"/>
              <w:bottom w:val="nil"/>
              <w:right w:val="nil"/>
            </w:tcBorders>
            <w:shd w:val="clear" w:color="auto" w:fill="FFFFFF"/>
            <w:tcMar>
              <w:top w:w="100" w:type="dxa"/>
              <w:left w:w="100" w:type="dxa"/>
              <w:bottom w:w="100" w:type="dxa"/>
              <w:right w:w="100" w:type="dxa"/>
            </w:tcMar>
            <w:vAlign w:val="bottom"/>
          </w:tcPr>
          <w:p w14:paraId="11D8331F" w14:textId="77777777" w:rsidR="008E4797" w:rsidRPr="007A1B07" w:rsidRDefault="004F3FE9">
            <w:pPr>
              <w:jc w:val="center"/>
              <w:rPr>
                <w:rFonts w:ascii="Arial" w:eastAsia="Arial" w:hAnsi="Arial" w:cs="Arial"/>
              </w:rPr>
            </w:pPr>
            <w:r w:rsidRPr="007A1B07">
              <w:rPr>
                <w:rFonts w:ascii="Arial" w:eastAsia="Arial" w:hAnsi="Arial" w:cs="Arial"/>
              </w:rPr>
              <w:t>Third Year</w:t>
            </w:r>
          </w:p>
        </w:tc>
      </w:tr>
      <w:tr w:rsidR="008E4797" w:rsidRPr="007A1B07" w14:paraId="083DE521" w14:textId="77777777">
        <w:tc>
          <w:tcPr>
            <w:tcW w:w="1665" w:type="dxa"/>
            <w:tcBorders>
              <w:top w:val="nil"/>
              <w:left w:val="nil"/>
              <w:bottom w:val="nil"/>
              <w:right w:val="nil"/>
            </w:tcBorders>
            <w:shd w:val="clear" w:color="auto" w:fill="FFFFFF"/>
            <w:tcMar>
              <w:top w:w="100" w:type="dxa"/>
              <w:left w:w="100" w:type="dxa"/>
              <w:bottom w:w="100" w:type="dxa"/>
              <w:right w:w="100" w:type="dxa"/>
            </w:tcMar>
            <w:vAlign w:val="bottom"/>
          </w:tcPr>
          <w:p w14:paraId="34262237" w14:textId="77777777" w:rsidR="008E4797" w:rsidRPr="007A1B07" w:rsidRDefault="004F3FE9">
            <w:pPr>
              <w:rPr>
                <w:rFonts w:ascii="Arial" w:eastAsia="Arial" w:hAnsi="Arial" w:cs="Arial"/>
              </w:rPr>
            </w:pPr>
            <w:r w:rsidRPr="007A1B07">
              <w:rPr>
                <w:rFonts w:ascii="Arial" w:eastAsia="Arial" w:hAnsi="Arial" w:cs="Arial"/>
              </w:rPr>
              <w:t>P4</w:t>
            </w:r>
          </w:p>
        </w:tc>
        <w:tc>
          <w:tcPr>
            <w:tcW w:w="4710" w:type="dxa"/>
            <w:tcBorders>
              <w:top w:val="nil"/>
              <w:left w:val="nil"/>
              <w:bottom w:val="nil"/>
              <w:right w:val="nil"/>
            </w:tcBorders>
            <w:shd w:val="clear" w:color="auto" w:fill="FFFFFF"/>
            <w:tcMar>
              <w:top w:w="100" w:type="dxa"/>
              <w:left w:w="100" w:type="dxa"/>
              <w:bottom w:w="100" w:type="dxa"/>
              <w:right w:w="100" w:type="dxa"/>
            </w:tcMar>
            <w:vAlign w:val="bottom"/>
          </w:tcPr>
          <w:p w14:paraId="35FB77E4" w14:textId="77777777" w:rsidR="008E4797" w:rsidRPr="007A1B07" w:rsidRDefault="004F3FE9">
            <w:pPr>
              <w:jc w:val="center"/>
              <w:rPr>
                <w:rFonts w:ascii="Arial" w:eastAsia="Arial" w:hAnsi="Arial" w:cs="Arial"/>
              </w:rPr>
            </w:pPr>
            <w:r w:rsidRPr="007A1B07">
              <w:rPr>
                <w:rFonts w:ascii="Arial" w:eastAsia="Arial" w:hAnsi="Arial" w:cs="Arial"/>
              </w:rPr>
              <w:t>22</w:t>
            </w:r>
          </w:p>
        </w:tc>
        <w:tc>
          <w:tcPr>
            <w:tcW w:w="600" w:type="dxa"/>
            <w:tcBorders>
              <w:top w:val="nil"/>
              <w:left w:val="nil"/>
              <w:bottom w:val="nil"/>
              <w:right w:val="nil"/>
            </w:tcBorders>
            <w:shd w:val="clear" w:color="auto" w:fill="FFFFFF"/>
            <w:tcMar>
              <w:top w:w="100" w:type="dxa"/>
              <w:left w:w="100" w:type="dxa"/>
              <w:bottom w:w="100" w:type="dxa"/>
              <w:right w:w="100" w:type="dxa"/>
            </w:tcMar>
            <w:vAlign w:val="bottom"/>
          </w:tcPr>
          <w:p w14:paraId="0B332C7D" w14:textId="77777777" w:rsidR="008E4797" w:rsidRPr="007A1B07" w:rsidRDefault="008E4797">
            <w:pPr>
              <w:jc w:val="center"/>
              <w:rPr>
                <w:rFonts w:ascii="Arial" w:eastAsia="Arial" w:hAnsi="Arial" w:cs="Arial"/>
              </w:rPr>
            </w:pPr>
          </w:p>
        </w:tc>
        <w:tc>
          <w:tcPr>
            <w:tcW w:w="1575" w:type="dxa"/>
            <w:tcBorders>
              <w:top w:val="nil"/>
              <w:left w:val="nil"/>
              <w:bottom w:val="nil"/>
              <w:right w:val="nil"/>
            </w:tcBorders>
            <w:shd w:val="clear" w:color="auto" w:fill="FFFFFF"/>
            <w:tcMar>
              <w:top w:w="100" w:type="dxa"/>
              <w:left w:w="100" w:type="dxa"/>
              <w:bottom w:w="100" w:type="dxa"/>
              <w:right w:w="100" w:type="dxa"/>
            </w:tcMar>
            <w:vAlign w:val="bottom"/>
          </w:tcPr>
          <w:p w14:paraId="453E75E6" w14:textId="77777777" w:rsidR="008E4797" w:rsidRPr="007A1B07" w:rsidRDefault="004F3FE9">
            <w:pPr>
              <w:jc w:val="center"/>
              <w:rPr>
                <w:rFonts w:ascii="Arial" w:eastAsia="Arial" w:hAnsi="Arial" w:cs="Arial"/>
              </w:rPr>
            </w:pPr>
            <w:r w:rsidRPr="007A1B07">
              <w:rPr>
                <w:rFonts w:ascii="Arial" w:eastAsia="Arial" w:hAnsi="Arial" w:cs="Arial"/>
              </w:rPr>
              <w:t>Fourth Year</w:t>
            </w:r>
          </w:p>
        </w:tc>
      </w:tr>
      <w:tr w:rsidR="008E4797" w:rsidRPr="007A1B07" w14:paraId="3E9D3F1E" w14:textId="77777777">
        <w:tc>
          <w:tcPr>
            <w:tcW w:w="1665" w:type="dxa"/>
            <w:tcBorders>
              <w:top w:val="nil"/>
              <w:left w:val="nil"/>
              <w:bottom w:val="nil"/>
              <w:right w:val="nil"/>
            </w:tcBorders>
            <w:shd w:val="clear" w:color="auto" w:fill="FFFFFF"/>
            <w:tcMar>
              <w:top w:w="100" w:type="dxa"/>
              <w:left w:w="100" w:type="dxa"/>
              <w:bottom w:w="100" w:type="dxa"/>
              <w:right w:w="100" w:type="dxa"/>
            </w:tcMar>
            <w:vAlign w:val="bottom"/>
          </w:tcPr>
          <w:p w14:paraId="498BDE08" w14:textId="77777777" w:rsidR="008E4797" w:rsidRPr="007A1B07" w:rsidRDefault="004F3FE9">
            <w:pPr>
              <w:rPr>
                <w:rFonts w:ascii="Arial" w:eastAsia="Arial" w:hAnsi="Arial" w:cs="Arial"/>
              </w:rPr>
            </w:pPr>
            <w:r w:rsidRPr="007A1B07">
              <w:rPr>
                <w:rFonts w:ascii="Arial" w:eastAsia="Arial" w:hAnsi="Arial" w:cs="Arial"/>
              </w:rPr>
              <w:t>P5</w:t>
            </w:r>
          </w:p>
        </w:tc>
        <w:tc>
          <w:tcPr>
            <w:tcW w:w="4710" w:type="dxa"/>
            <w:tcBorders>
              <w:top w:val="nil"/>
              <w:left w:val="nil"/>
              <w:bottom w:val="nil"/>
              <w:right w:val="nil"/>
            </w:tcBorders>
            <w:shd w:val="clear" w:color="auto" w:fill="FFFFFF"/>
            <w:tcMar>
              <w:top w:w="100" w:type="dxa"/>
              <w:left w:w="100" w:type="dxa"/>
              <w:bottom w:w="100" w:type="dxa"/>
              <w:right w:w="100" w:type="dxa"/>
            </w:tcMar>
            <w:vAlign w:val="bottom"/>
          </w:tcPr>
          <w:p w14:paraId="15D1B7D8" w14:textId="77777777" w:rsidR="008E4797" w:rsidRPr="007A1B07" w:rsidRDefault="004F3FE9">
            <w:pPr>
              <w:jc w:val="center"/>
              <w:rPr>
                <w:rFonts w:ascii="Arial" w:eastAsia="Arial" w:hAnsi="Arial" w:cs="Arial"/>
              </w:rPr>
            </w:pPr>
            <w:r w:rsidRPr="007A1B07">
              <w:rPr>
                <w:rFonts w:ascii="Arial" w:eastAsia="Arial" w:hAnsi="Arial" w:cs="Arial"/>
              </w:rPr>
              <w:t>21</w:t>
            </w:r>
          </w:p>
        </w:tc>
        <w:tc>
          <w:tcPr>
            <w:tcW w:w="600" w:type="dxa"/>
            <w:tcBorders>
              <w:top w:val="nil"/>
              <w:left w:val="nil"/>
              <w:bottom w:val="nil"/>
              <w:right w:val="nil"/>
            </w:tcBorders>
            <w:shd w:val="clear" w:color="auto" w:fill="FFFFFF"/>
            <w:tcMar>
              <w:top w:w="100" w:type="dxa"/>
              <w:left w:w="100" w:type="dxa"/>
              <w:bottom w:w="100" w:type="dxa"/>
              <w:right w:w="100" w:type="dxa"/>
            </w:tcMar>
            <w:vAlign w:val="bottom"/>
          </w:tcPr>
          <w:p w14:paraId="29869244" w14:textId="77777777" w:rsidR="008E4797" w:rsidRPr="007A1B07" w:rsidRDefault="008E4797">
            <w:pPr>
              <w:jc w:val="center"/>
              <w:rPr>
                <w:rFonts w:ascii="Arial" w:eastAsia="Arial" w:hAnsi="Arial" w:cs="Arial"/>
              </w:rPr>
            </w:pPr>
          </w:p>
        </w:tc>
        <w:tc>
          <w:tcPr>
            <w:tcW w:w="1575" w:type="dxa"/>
            <w:tcBorders>
              <w:top w:val="nil"/>
              <w:left w:val="nil"/>
              <w:bottom w:val="nil"/>
              <w:right w:val="nil"/>
            </w:tcBorders>
            <w:shd w:val="clear" w:color="auto" w:fill="FFFFFF"/>
            <w:tcMar>
              <w:top w:w="100" w:type="dxa"/>
              <w:left w:w="100" w:type="dxa"/>
              <w:bottom w:w="100" w:type="dxa"/>
              <w:right w:w="100" w:type="dxa"/>
            </w:tcMar>
            <w:vAlign w:val="bottom"/>
          </w:tcPr>
          <w:p w14:paraId="2AA60868" w14:textId="77777777" w:rsidR="008E4797" w:rsidRPr="007A1B07" w:rsidRDefault="004F3FE9">
            <w:pPr>
              <w:jc w:val="center"/>
              <w:rPr>
                <w:rFonts w:ascii="Arial" w:eastAsia="Arial" w:hAnsi="Arial" w:cs="Arial"/>
              </w:rPr>
            </w:pPr>
            <w:r w:rsidRPr="007A1B07">
              <w:rPr>
                <w:rFonts w:ascii="Arial" w:eastAsia="Arial" w:hAnsi="Arial" w:cs="Arial"/>
              </w:rPr>
              <w:t>Third Year</w:t>
            </w:r>
          </w:p>
        </w:tc>
      </w:tr>
      <w:tr w:rsidR="008E4797" w:rsidRPr="007A1B07" w14:paraId="53D160CC" w14:textId="77777777">
        <w:tc>
          <w:tcPr>
            <w:tcW w:w="1665" w:type="dxa"/>
            <w:tcBorders>
              <w:top w:val="nil"/>
              <w:left w:val="nil"/>
              <w:bottom w:val="nil"/>
              <w:right w:val="nil"/>
            </w:tcBorders>
            <w:shd w:val="clear" w:color="auto" w:fill="FFFFFF"/>
            <w:tcMar>
              <w:top w:w="100" w:type="dxa"/>
              <w:left w:w="100" w:type="dxa"/>
              <w:bottom w:w="100" w:type="dxa"/>
              <w:right w:w="100" w:type="dxa"/>
            </w:tcMar>
            <w:vAlign w:val="bottom"/>
          </w:tcPr>
          <w:p w14:paraId="318B4AB9" w14:textId="77777777" w:rsidR="008E4797" w:rsidRPr="007A1B07" w:rsidRDefault="004F3FE9">
            <w:pPr>
              <w:rPr>
                <w:rFonts w:ascii="Arial" w:eastAsia="Arial" w:hAnsi="Arial" w:cs="Arial"/>
              </w:rPr>
            </w:pPr>
            <w:r w:rsidRPr="007A1B07">
              <w:rPr>
                <w:rFonts w:ascii="Arial" w:eastAsia="Arial" w:hAnsi="Arial" w:cs="Arial"/>
              </w:rPr>
              <w:t>P6</w:t>
            </w:r>
          </w:p>
        </w:tc>
        <w:tc>
          <w:tcPr>
            <w:tcW w:w="4710" w:type="dxa"/>
            <w:tcBorders>
              <w:top w:val="nil"/>
              <w:left w:val="nil"/>
              <w:bottom w:val="nil"/>
              <w:right w:val="nil"/>
            </w:tcBorders>
            <w:shd w:val="clear" w:color="auto" w:fill="FFFFFF"/>
            <w:tcMar>
              <w:top w:w="100" w:type="dxa"/>
              <w:left w:w="100" w:type="dxa"/>
              <w:bottom w:w="100" w:type="dxa"/>
              <w:right w:w="100" w:type="dxa"/>
            </w:tcMar>
            <w:vAlign w:val="bottom"/>
          </w:tcPr>
          <w:p w14:paraId="47BE7977" w14:textId="77777777" w:rsidR="008E4797" w:rsidRPr="007A1B07" w:rsidRDefault="004F3FE9">
            <w:pPr>
              <w:jc w:val="center"/>
              <w:rPr>
                <w:rFonts w:ascii="Arial" w:eastAsia="Arial" w:hAnsi="Arial" w:cs="Arial"/>
              </w:rPr>
            </w:pPr>
            <w:r w:rsidRPr="007A1B07">
              <w:rPr>
                <w:rFonts w:ascii="Arial" w:eastAsia="Arial" w:hAnsi="Arial" w:cs="Arial"/>
              </w:rPr>
              <w:t>21</w:t>
            </w:r>
          </w:p>
        </w:tc>
        <w:tc>
          <w:tcPr>
            <w:tcW w:w="600" w:type="dxa"/>
            <w:tcBorders>
              <w:top w:val="nil"/>
              <w:left w:val="nil"/>
              <w:bottom w:val="nil"/>
              <w:right w:val="nil"/>
            </w:tcBorders>
            <w:shd w:val="clear" w:color="auto" w:fill="FFFFFF"/>
            <w:tcMar>
              <w:top w:w="100" w:type="dxa"/>
              <w:left w:w="100" w:type="dxa"/>
              <w:bottom w:w="100" w:type="dxa"/>
              <w:right w:w="100" w:type="dxa"/>
            </w:tcMar>
            <w:vAlign w:val="bottom"/>
          </w:tcPr>
          <w:p w14:paraId="7146B766" w14:textId="77777777" w:rsidR="008E4797" w:rsidRPr="007A1B07" w:rsidRDefault="008E4797">
            <w:pPr>
              <w:jc w:val="center"/>
              <w:rPr>
                <w:rFonts w:ascii="Arial" w:eastAsia="Arial" w:hAnsi="Arial" w:cs="Arial"/>
              </w:rPr>
            </w:pPr>
          </w:p>
        </w:tc>
        <w:tc>
          <w:tcPr>
            <w:tcW w:w="1575" w:type="dxa"/>
            <w:tcBorders>
              <w:top w:val="nil"/>
              <w:left w:val="nil"/>
              <w:bottom w:val="nil"/>
              <w:right w:val="nil"/>
            </w:tcBorders>
            <w:shd w:val="clear" w:color="auto" w:fill="FFFFFF"/>
            <w:tcMar>
              <w:top w:w="100" w:type="dxa"/>
              <w:left w:w="100" w:type="dxa"/>
              <w:bottom w:w="100" w:type="dxa"/>
              <w:right w:w="100" w:type="dxa"/>
            </w:tcMar>
            <w:vAlign w:val="bottom"/>
          </w:tcPr>
          <w:p w14:paraId="40F6B6D8" w14:textId="77777777" w:rsidR="008E4797" w:rsidRPr="007A1B07" w:rsidRDefault="004F3FE9">
            <w:pPr>
              <w:jc w:val="center"/>
              <w:rPr>
                <w:rFonts w:ascii="Arial" w:eastAsia="Arial" w:hAnsi="Arial" w:cs="Arial"/>
              </w:rPr>
            </w:pPr>
            <w:r w:rsidRPr="007A1B07">
              <w:rPr>
                <w:rFonts w:ascii="Arial" w:eastAsia="Arial" w:hAnsi="Arial" w:cs="Arial"/>
              </w:rPr>
              <w:t>Fourth Year</w:t>
            </w:r>
          </w:p>
        </w:tc>
      </w:tr>
      <w:tr w:rsidR="008E4797" w:rsidRPr="007A1B07" w14:paraId="0229770C" w14:textId="77777777">
        <w:tc>
          <w:tcPr>
            <w:tcW w:w="1665" w:type="dxa"/>
            <w:tcBorders>
              <w:top w:val="nil"/>
              <w:left w:val="nil"/>
              <w:right w:val="nil"/>
            </w:tcBorders>
            <w:shd w:val="clear" w:color="auto" w:fill="FFFFFF"/>
            <w:tcMar>
              <w:top w:w="100" w:type="dxa"/>
              <w:left w:w="100" w:type="dxa"/>
              <w:bottom w:w="100" w:type="dxa"/>
              <w:right w:w="100" w:type="dxa"/>
            </w:tcMar>
            <w:vAlign w:val="bottom"/>
          </w:tcPr>
          <w:p w14:paraId="227B5444" w14:textId="77777777" w:rsidR="008E4797" w:rsidRPr="007A1B07" w:rsidRDefault="004F3FE9">
            <w:pPr>
              <w:rPr>
                <w:rFonts w:ascii="Arial" w:eastAsia="Arial" w:hAnsi="Arial" w:cs="Arial"/>
              </w:rPr>
            </w:pPr>
            <w:r w:rsidRPr="007A1B07">
              <w:rPr>
                <w:rFonts w:ascii="Arial" w:eastAsia="Arial" w:hAnsi="Arial" w:cs="Arial"/>
              </w:rPr>
              <w:t>P7</w:t>
            </w:r>
          </w:p>
        </w:tc>
        <w:tc>
          <w:tcPr>
            <w:tcW w:w="4710" w:type="dxa"/>
            <w:tcBorders>
              <w:top w:val="nil"/>
              <w:left w:val="nil"/>
              <w:right w:val="nil"/>
            </w:tcBorders>
            <w:shd w:val="clear" w:color="auto" w:fill="FFFFFF"/>
            <w:tcMar>
              <w:top w:w="100" w:type="dxa"/>
              <w:left w:w="100" w:type="dxa"/>
              <w:bottom w:w="100" w:type="dxa"/>
              <w:right w:w="100" w:type="dxa"/>
            </w:tcMar>
            <w:vAlign w:val="bottom"/>
          </w:tcPr>
          <w:p w14:paraId="705C8C97" w14:textId="77777777" w:rsidR="008E4797" w:rsidRPr="007A1B07" w:rsidRDefault="004F3FE9">
            <w:pPr>
              <w:jc w:val="center"/>
              <w:rPr>
                <w:rFonts w:ascii="Arial" w:eastAsia="Arial" w:hAnsi="Arial" w:cs="Arial"/>
              </w:rPr>
            </w:pPr>
            <w:r w:rsidRPr="007A1B07">
              <w:rPr>
                <w:rFonts w:ascii="Arial" w:eastAsia="Arial" w:hAnsi="Arial" w:cs="Arial"/>
              </w:rPr>
              <w:t>21</w:t>
            </w:r>
          </w:p>
        </w:tc>
        <w:tc>
          <w:tcPr>
            <w:tcW w:w="600" w:type="dxa"/>
            <w:tcBorders>
              <w:top w:val="nil"/>
              <w:left w:val="nil"/>
              <w:right w:val="nil"/>
            </w:tcBorders>
            <w:shd w:val="clear" w:color="auto" w:fill="FFFFFF"/>
            <w:tcMar>
              <w:top w:w="100" w:type="dxa"/>
              <w:left w:w="100" w:type="dxa"/>
              <w:bottom w:w="100" w:type="dxa"/>
              <w:right w:w="100" w:type="dxa"/>
            </w:tcMar>
            <w:vAlign w:val="bottom"/>
          </w:tcPr>
          <w:p w14:paraId="298A7F88" w14:textId="77777777" w:rsidR="008E4797" w:rsidRPr="007A1B07" w:rsidRDefault="008E4797">
            <w:pPr>
              <w:jc w:val="center"/>
              <w:rPr>
                <w:rFonts w:ascii="Arial" w:eastAsia="Arial" w:hAnsi="Arial" w:cs="Arial"/>
              </w:rPr>
            </w:pPr>
          </w:p>
        </w:tc>
        <w:tc>
          <w:tcPr>
            <w:tcW w:w="1575" w:type="dxa"/>
            <w:tcBorders>
              <w:top w:val="nil"/>
              <w:left w:val="nil"/>
              <w:right w:val="nil"/>
            </w:tcBorders>
            <w:shd w:val="clear" w:color="auto" w:fill="FFFFFF"/>
            <w:tcMar>
              <w:top w:w="100" w:type="dxa"/>
              <w:left w:w="100" w:type="dxa"/>
              <w:bottom w:w="100" w:type="dxa"/>
              <w:right w:w="100" w:type="dxa"/>
            </w:tcMar>
            <w:vAlign w:val="bottom"/>
          </w:tcPr>
          <w:p w14:paraId="414B55DB" w14:textId="77777777" w:rsidR="008E4797" w:rsidRPr="007A1B07" w:rsidRDefault="004F3FE9">
            <w:pPr>
              <w:jc w:val="center"/>
              <w:rPr>
                <w:rFonts w:ascii="Arial" w:eastAsia="Arial" w:hAnsi="Arial" w:cs="Arial"/>
              </w:rPr>
            </w:pPr>
            <w:r w:rsidRPr="007A1B07">
              <w:rPr>
                <w:rFonts w:ascii="Arial" w:eastAsia="Arial" w:hAnsi="Arial" w:cs="Arial"/>
              </w:rPr>
              <w:t>Third Year</w:t>
            </w:r>
          </w:p>
        </w:tc>
      </w:tr>
    </w:tbl>
    <w:p w14:paraId="0BC8BB97" w14:textId="77777777" w:rsidR="008E4797" w:rsidRPr="007A1B07" w:rsidRDefault="008E4797">
      <w:pPr>
        <w:rPr>
          <w:rFonts w:ascii="Arial" w:eastAsia="Arial" w:hAnsi="Arial" w:cs="Arial"/>
          <w:b/>
          <w:bCs/>
          <w:smallCaps/>
          <w:sz w:val="22"/>
          <w:szCs w:val="22"/>
        </w:rPr>
      </w:pPr>
    </w:p>
    <w:p w14:paraId="2ED13420" w14:textId="77777777" w:rsidR="008E4797" w:rsidRPr="007A1B07" w:rsidRDefault="008E4797">
      <w:pPr>
        <w:pBdr>
          <w:top w:val="nil"/>
          <w:left w:val="nil"/>
          <w:bottom w:val="nil"/>
          <w:right w:val="nil"/>
          <w:between w:val="nil"/>
        </w:pBdr>
        <w:rPr>
          <w:rFonts w:ascii="Arial" w:eastAsia="Arial" w:hAnsi="Arial" w:cs="Arial"/>
          <w:b/>
          <w:bCs/>
        </w:rPr>
      </w:pPr>
    </w:p>
    <w:p w14:paraId="2AC976CD" w14:textId="77777777" w:rsidR="008E4797" w:rsidRPr="007A1B07" w:rsidRDefault="004F3FE9">
      <w:pPr>
        <w:pBdr>
          <w:top w:val="nil"/>
          <w:left w:val="nil"/>
          <w:bottom w:val="nil"/>
          <w:right w:val="nil"/>
          <w:between w:val="nil"/>
        </w:pBdr>
        <w:rPr>
          <w:rFonts w:ascii="Arial" w:eastAsia="Arial" w:hAnsi="Arial" w:cs="Arial"/>
          <w:b/>
          <w:bCs/>
        </w:rPr>
      </w:pPr>
      <w:r w:rsidRPr="007A1B07">
        <w:rPr>
          <w:rFonts w:ascii="Arial" w:eastAsia="Arial" w:hAnsi="Arial" w:cs="Arial"/>
          <w:b/>
          <w:bCs/>
        </w:rPr>
        <w:t xml:space="preserve">Table 7. Joint Display of Inferences and </w:t>
      </w:r>
      <w:proofErr w:type="spellStart"/>
      <w:r w:rsidRPr="007A1B07">
        <w:rPr>
          <w:rFonts w:ascii="Arial" w:eastAsia="Arial" w:hAnsi="Arial" w:cs="Arial"/>
          <w:b/>
          <w:bCs/>
        </w:rPr>
        <w:t>Metainferences</w:t>
      </w:r>
      <w:proofErr w:type="spellEnd"/>
    </w:p>
    <w:tbl>
      <w:tblPr>
        <w:tblStyle w:val="af1"/>
        <w:tblW w:w="8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3"/>
        <w:gridCol w:w="2164"/>
        <w:gridCol w:w="2164"/>
        <w:gridCol w:w="2164"/>
      </w:tblGrid>
      <w:tr w:rsidR="008E4797" w:rsidRPr="007A1B07" w14:paraId="6D146B17" w14:textId="77777777">
        <w:trPr>
          <w:trHeight w:val="420"/>
        </w:trPr>
        <w:tc>
          <w:tcPr>
            <w:tcW w:w="2163" w:type="dxa"/>
            <w:shd w:val="clear" w:color="auto" w:fill="FFFFFF"/>
            <w:tcMar>
              <w:top w:w="100" w:type="dxa"/>
              <w:left w:w="100" w:type="dxa"/>
              <w:bottom w:w="100" w:type="dxa"/>
              <w:right w:w="100" w:type="dxa"/>
            </w:tcMar>
          </w:tcPr>
          <w:p w14:paraId="0DDF5022" w14:textId="77777777" w:rsidR="008E4797" w:rsidRPr="007A1B07" w:rsidRDefault="004F3FE9">
            <w:pPr>
              <w:pBdr>
                <w:top w:val="nil"/>
                <w:left w:val="nil"/>
                <w:bottom w:val="nil"/>
                <w:right w:val="nil"/>
                <w:between w:val="nil"/>
              </w:pBdr>
              <w:jc w:val="center"/>
              <w:rPr>
                <w:rFonts w:ascii="Arial" w:hAnsi="Arial" w:cs="Arial"/>
                <w:b/>
                <w:bCs/>
              </w:rPr>
            </w:pPr>
            <w:r w:rsidRPr="007A1B07">
              <w:rPr>
                <w:rFonts w:ascii="Arial" w:hAnsi="Arial" w:cs="Arial"/>
                <w:b/>
                <w:bCs/>
              </w:rPr>
              <w:t>Overarching Themes</w:t>
            </w:r>
          </w:p>
        </w:tc>
        <w:tc>
          <w:tcPr>
            <w:tcW w:w="2163" w:type="dxa"/>
            <w:shd w:val="clear" w:color="auto" w:fill="FFFFFF"/>
            <w:tcMar>
              <w:top w:w="100" w:type="dxa"/>
              <w:left w:w="100" w:type="dxa"/>
              <w:bottom w:w="100" w:type="dxa"/>
              <w:right w:w="100" w:type="dxa"/>
            </w:tcMar>
          </w:tcPr>
          <w:p w14:paraId="4B11E648" w14:textId="77777777" w:rsidR="008E4797" w:rsidRPr="007A1B07" w:rsidRDefault="004F3FE9">
            <w:pPr>
              <w:pBdr>
                <w:top w:val="nil"/>
                <w:left w:val="nil"/>
                <w:bottom w:val="nil"/>
                <w:right w:val="nil"/>
                <w:between w:val="nil"/>
              </w:pBdr>
              <w:jc w:val="center"/>
              <w:rPr>
                <w:rFonts w:ascii="Arial" w:hAnsi="Arial" w:cs="Arial"/>
                <w:b/>
                <w:bCs/>
              </w:rPr>
            </w:pPr>
            <w:r w:rsidRPr="007A1B07">
              <w:rPr>
                <w:rFonts w:ascii="Arial" w:hAnsi="Arial" w:cs="Arial"/>
                <w:b/>
                <w:bCs/>
              </w:rPr>
              <w:t>Quantitative Findings</w:t>
            </w:r>
          </w:p>
        </w:tc>
        <w:tc>
          <w:tcPr>
            <w:tcW w:w="2163" w:type="dxa"/>
            <w:shd w:val="clear" w:color="auto" w:fill="FFFFFF"/>
            <w:tcMar>
              <w:top w:w="100" w:type="dxa"/>
              <w:left w:w="100" w:type="dxa"/>
              <w:bottom w:w="100" w:type="dxa"/>
              <w:right w:w="100" w:type="dxa"/>
            </w:tcMar>
          </w:tcPr>
          <w:p w14:paraId="08BC23A6" w14:textId="77777777" w:rsidR="008E4797" w:rsidRPr="007A1B07" w:rsidRDefault="004F3FE9">
            <w:pPr>
              <w:pBdr>
                <w:top w:val="nil"/>
                <w:left w:val="nil"/>
                <w:bottom w:val="nil"/>
                <w:right w:val="nil"/>
                <w:between w:val="nil"/>
              </w:pBdr>
              <w:jc w:val="center"/>
              <w:rPr>
                <w:rFonts w:ascii="Arial" w:hAnsi="Arial" w:cs="Arial"/>
                <w:b/>
                <w:bCs/>
              </w:rPr>
            </w:pPr>
            <w:r w:rsidRPr="007A1B07">
              <w:rPr>
                <w:rFonts w:ascii="Arial" w:hAnsi="Arial" w:cs="Arial"/>
                <w:b/>
                <w:bCs/>
              </w:rPr>
              <w:t>Qualitative Findings</w:t>
            </w:r>
          </w:p>
        </w:tc>
        <w:tc>
          <w:tcPr>
            <w:tcW w:w="2163" w:type="dxa"/>
            <w:shd w:val="clear" w:color="auto" w:fill="FFFFFF"/>
            <w:tcMar>
              <w:top w:w="100" w:type="dxa"/>
              <w:left w:w="100" w:type="dxa"/>
              <w:bottom w:w="100" w:type="dxa"/>
              <w:right w:w="100" w:type="dxa"/>
            </w:tcMar>
          </w:tcPr>
          <w:p w14:paraId="34B05E0A" w14:textId="77777777" w:rsidR="008E4797" w:rsidRPr="007A1B07" w:rsidRDefault="004F3FE9">
            <w:pPr>
              <w:pBdr>
                <w:top w:val="nil"/>
                <w:left w:val="nil"/>
                <w:bottom w:val="nil"/>
                <w:right w:val="nil"/>
                <w:between w:val="nil"/>
              </w:pBdr>
              <w:jc w:val="center"/>
              <w:rPr>
                <w:rFonts w:ascii="Arial" w:hAnsi="Arial" w:cs="Arial"/>
                <w:b/>
                <w:bCs/>
              </w:rPr>
            </w:pPr>
            <w:proofErr w:type="spellStart"/>
            <w:r w:rsidRPr="007A1B07">
              <w:rPr>
                <w:rFonts w:ascii="Arial" w:hAnsi="Arial" w:cs="Arial"/>
                <w:b/>
                <w:bCs/>
              </w:rPr>
              <w:t>Metainference</w:t>
            </w:r>
            <w:proofErr w:type="spellEnd"/>
          </w:p>
        </w:tc>
      </w:tr>
      <w:tr w:rsidR="008E4797" w:rsidRPr="007A1B07" w14:paraId="480EA864" w14:textId="77777777">
        <w:trPr>
          <w:trHeight w:val="420"/>
        </w:trPr>
        <w:tc>
          <w:tcPr>
            <w:tcW w:w="2163" w:type="dxa"/>
            <w:shd w:val="clear" w:color="auto" w:fill="FFFFFF"/>
            <w:tcMar>
              <w:top w:w="100" w:type="dxa"/>
              <w:left w:w="100" w:type="dxa"/>
              <w:bottom w:w="100" w:type="dxa"/>
              <w:right w:w="100" w:type="dxa"/>
            </w:tcMar>
          </w:tcPr>
          <w:p w14:paraId="435D39CE" w14:textId="77777777" w:rsidR="008E4797" w:rsidRPr="007A1B07" w:rsidRDefault="004F3FE9">
            <w:pPr>
              <w:pBdr>
                <w:top w:val="nil"/>
                <w:left w:val="nil"/>
                <w:bottom w:val="nil"/>
                <w:right w:val="nil"/>
                <w:between w:val="nil"/>
              </w:pBdr>
              <w:rPr>
                <w:rFonts w:ascii="Arial" w:hAnsi="Arial" w:cs="Arial"/>
                <w:b/>
                <w:bCs/>
              </w:rPr>
            </w:pPr>
            <w:r w:rsidRPr="007A1B07">
              <w:rPr>
                <w:rFonts w:ascii="Arial" w:hAnsi="Arial" w:cs="Arial"/>
                <w:b/>
                <w:bCs/>
              </w:rPr>
              <w:t>Burden of Clinical Trauma</w:t>
            </w:r>
          </w:p>
        </w:tc>
        <w:tc>
          <w:tcPr>
            <w:tcW w:w="2163" w:type="dxa"/>
            <w:shd w:val="clear" w:color="auto" w:fill="FFFFFF"/>
            <w:tcMar>
              <w:top w:w="100" w:type="dxa"/>
              <w:left w:w="100" w:type="dxa"/>
              <w:bottom w:w="100" w:type="dxa"/>
              <w:right w:w="100" w:type="dxa"/>
            </w:tcMar>
          </w:tcPr>
          <w:p w14:paraId="6A7F75C4"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The overall mean for traumatic clinical experiences was 1.44, it is clinically significant and approaching the probable trauma threshold of 1.50. This indicates that on average, students experienced trauma-related symptoms at a level that requires psychological attention.</w:t>
            </w:r>
          </w:p>
          <w:p w14:paraId="36D5C98E"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The Avoidance subscale (M = 1.64) was the highest, classified as probable–extreme levels. Importantly, 40.40% of respondents reported extreme distress, 13.5% were clinically </w:t>
            </w:r>
            <w:r w:rsidRPr="007A1B07">
              <w:rPr>
                <w:rFonts w:ascii="Arial" w:hAnsi="Arial" w:cs="Arial"/>
              </w:rPr>
              <w:lastRenderedPageBreak/>
              <w:t xml:space="preserve">significant, and 8% were at probable trauma levels, demonstrating that a substantial proportion of students experienced severe </w:t>
            </w:r>
          </w:p>
          <w:p w14:paraId="42A20EE6" w14:textId="3CC72F2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psychological disruption. Consequently, correlation analysis </w:t>
            </w:r>
            <w:proofErr w:type="gramStart"/>
            <w:r w:rsidRPr="007A1B07">
              <w:rPr>
                <w:rFonts w:ascii="Arial" w:hAnsi="Arial" w:cs="Arial"/>
              </w:rPr>
              <w:t>also  demonstrated</w:t>
            </w:r>
            <w:proofErr w:type="gramEnd"/>
            <w:r w:rsidRPr="007A1B07">
              <w:rPr>
                <w:rFonts w:ascii="Arial" w:hAnsi="Arial" w:cs="Arial"/>
              </w:rPr>
              <w:t xml:space="preserve"> a moderate positive relationship between traumatic experiences and anxiety (r</w:t>
            </w:r>
            <w:r w:rsidRPr="007A1B07">
              <w:rPr>
                <w:rFonts w:ascii="Cambria Math" w:hAnsi="Cambria Math" w:cs="Cambria Math"/>
              </w:rPr>
              <w:t>ₛ</w:t>
            </w:r>
            <w:r w:rsidRPr="007A1B07">
              <w:rPr>
                <w:rFonts w:ascii="Arial" w:hAnsi="Arial" w:cs="Arial"/>
              </w:rPr>
              <w:t xml:space="preserve"> = .587, p = .001). This statistically significant finding </w:t>
            </w:r>
            <w:r w:rsidR="007855CC">
              <w:rPr>
                <w:rFonts w:ascii="Arial" w:hAnsi="Arial" w:cs="Arial"/>
              </w:rPr>
              <w:t xml:space="preserve">suggests that </w:t>
            </w:r>
            <w:r w:rsidRPr="007A1B07">
              <w:rPr>
                <w:rFonts w:ascii="Arial" w:hAnsi="Arial" w:cs="Arial"/>
              </w:rPr>
              <w:t>higher trauma symptom severity is associated with higher anxiety levels. The strength of the relationship reflects a meaningful psychological interdependence between trauma exposure and anxiety response.</w:t>
            </w:r>
          </w:p>
        </w:tc>
        <w:tc>
          <w:tcPr>
            <w:tcW w:w="2163" w:type="dxa"/>
            <w:shd w:val="clear" w:color="auto" w:fill="FFFFFF"/>
            <w:tcMar>
              <w:top w:w="99" w:type="dxa"/>
              <w:left w:w="99" w:type="dxa"/>
              <w:bottom w:w="99" w:type="dxa"/>
              <w:right w:w="99" w:type="dxa"/>
            </w:tcMar>
          </w:tcPr>
          <w:p w14:paraId="5E225DE0"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State of Shock. The qualitative findings explain why the quantitative data showed a high Intrusion mean. The students don't just remember the event; they relive it. This shock is both physiological (autonomic nervous system arousal) and cognitive (disorientation).</w:t>
            </w:r>
          </w:p>
          <w:p w14:paraId="67784FC9"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​P1: “</w:t>
            </w:r>
            <w:proofErr w:type="spellStart"/>
            <w:r w:rsidRPr="007A1B07">
              <w:rPr>
                <w:rFonts w:ascii="Arial" w:hAnsi="Arial" w:cs="Arial"/>
              </w:rPr>
              <w:t>Daw</w:t>
            </w:r>
            <w:proofErr w:type="spellEnd"/>
            <w:r w:rsidRPr="007A1B07">
              <w:rPr>
                <w:rFonts w:ascii="Arial" w:hAnsi="Arial" w:cs="Arial"/>
              </w:rPr>
              <w:t xml:space="preserve"> ma-</w:t>
            </w:r>
            <w:proofErr w:type="spellStart"/>
            <w:r w:rsidRPr="007A1B07">
              <w:rPr>
                <w:rFonts w:ascii="Arial" w:hAnsi="Arial" w:cs="Arial"/>
              </w:rPr>
              <w:t>lipong</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lang</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wrecked </w:t>
            </w:r>
            <w:proofErr w:type="spellStart"/>
            <w:r w:rsidRPr="007A1B07">
              <w:rPr>
                <w:rFonts w:ascii="Arial" w:hAnsi="Arial" w:cs="Arial"/>
              </w:rPr>
              <w:t>gid</w:t>
            </w:r>
            <w:proofErr w:type="spellEnd"/>
            <w:r w:rsidRPr="007A1B07">
              <w:rPr>
                <w:rFonts w:ascii="Arial" w:hAnsi="Arial" w:cs="Arial"/>
              </w:rPr>
              <w:t xml:space="preserve"> </w:t>
            </w:r>
            <w:proofErr w:type="spellStart"/>
            <w:r w:rsidRPr="007A1B07">
              <w:rPr>
                <w:rFonts w:ascii="Arial" w:hAnsi="Arial" w:cs="Arial"/>
              </w:rPr>
              <w:t>imo</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all the walls </w:t>
            </w:r>
            <w:proofErr w:type="spellStart"/>
            <w:r w:rsidRPr="007A1B07">
              <w:rPr>
                <w:rFonts w:ascii="Arial" w:hAnsi="Arial" w:cs="Arial"/>
              </w:rPr>
              <w:t>daw</w:t>
            </w:r>
            <w:proofErr w:type="spellEnd"/>
            <w:r w:rsidRPr="007A1B07">
              <w:rPr>
                <w:rFonts w:ascii="Arial" w:hAnsi="Arial" w:cs="Arial"/>
              </w:rPr>
              <w:t xml:space="preserve"> ma-collapse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w:t>
            </w:r>
            <w:proofErr w:type="spellStart"/>
            <w:r w:rsidRPr="007A1B07">
              <w:rPr>
                <w:rFonts w:ascii="Arial" w:hAnsi="Arial" w:cs="Arial"/>
              </w:rPr>
              <w:t>Gakurog</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gamuko</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oh, </w:t>
            </w:r>
            <w:proofErr w:type="spellStart"/>
            <w:r w:rsidRPr="007A1B07">
              <w:rPr>
                <w:rFonts w:ascii="Arial" w:hAnsi="Arial" w:cs="Arial"/>
              </w:rPr>
              <w:t>gakurog</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…”[It’s like I’m about to faint, like… like you’re wrecked, </w:t>
            </w:r>
            <w:r w:rsidRPr="007A1B07">
              <w:rPr>
                <w:rFonts w:ascii="Arial" w:hAnsi="Arial" w:cs="Arial"/>
              </w:rPr>
              <w:lastRenderedPageBreak/>
              <w:t>like all the walls are about to collapse; I’m shaking, my hands are like this, I’m shaking…]</w:t>
            </w:r>
          </w:p>
          <w:p w14:paraId="0D99C410"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​P3: “Ah that time </w:t>
            </w:r>
            <w:proofErr w:type="spellStart"/>
            <w:r w:rsidRPr="007A1B07">
              <w:rPr>
                <w:rFonts w:ascii="Arial" w:hAnsi="Arial" w:cs="Arial"/>
              </w:rPr>
              <w:t>daw</w:t>
            </w:r>
            <w:proofErr w:type="spellEnd"/>
            <w:r w:rsidRPr="007A1B07">
              <w:rPr>
                <w:rFonts w:ascii="Arial" w:hAnsi="Arial" w:cs="Arial"/>
              </w:rPr>
              <w:t xml:space="preserve"> </w:t>
            </w:r>
            <w:proofErr w:type="spellStart"/>
            <w:r w:rsidRPr="007A1B07">
              <w:rPr>
                <w:rFonts w:ascii="Arial" w:hAnsi="Arial" w:cs="Arial"/>
              </w:rPr>
              <w:t>grabe</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to, </w:t>
            </w:r>
            <w:proofErr w:type="spellStart"/>
            <w:r w:rsidRPr="007A1B07">
              <w:rPr>
                <w:rFonts w:ascii="Arial" w:hAnsi="Arial" w:cs="Arial"/>
              </w:rPr>
              <w:t>grabe</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to </w:t>
            </w:r>
            <w:proofErr w:type="spellStart"/>
            <w:r w:rsidRPr="007A1B07">
              <w:rPr>
                <w:rFonts w:ascii="Arial" w:hAnsi="Arial" w:cs="Arial"/>
              </w:rPr>
              <w:t>ang</w:t>
            </w:r>
            <w:proofErr w:type="spellEnd"/>
            <w:r w:rsidRPr="007A1B07">
              <w:rPr>
                <w:rFonts w:ascii="Arial" w:hAnsi="Arial" w:cs="Arial"/>
              </w:rPr>
              <w:t xml:space="preserve"> anxiety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w:t>
            </w:r>
            <w:proofErr w:type="spellStart"/>
            <w:r w:rsidRPr="007A1B07">
              <w:rPr>
                <w:rFonts w:ascii="Arial" w:hAnsi="Arial" w:cs="Arial"/>
              </w:rPr>
              <w:t>nadula</w:t>
            </w:r>
            <w:proofErr w:type="spellEnd"/>
            <w:r w:rsidRPr="007A1B07">
              <w:rPr>
                <w:rFonts w:ascii="Arial" w:hAnsi="Arial" w:cs="Arial"/>
              </w:rPr>
              <w:t xml:space="preserve"> trigger </w:t>
            </w:r>
            <w:proofErr w:type="spellStart"/>
            <w:r w:rsidRPr="007A1B07">
              <w:rPr>
                <w:rFonts w:ascii="Arial" w:hAnsi="Arial" w:cs="Arial"/>
              </w:rPr>
              <w:t>gid</w:t>
            </w:r>
            <w:proofErr w:type="spellEnd"/>
            <w:r w:rsidRPr="007A1B07">
              <w:rPr>
                <w:rFonts w:ascii="Arial" w:hAnsi="Arial" w:cs="Arial"/>
              </w:rPr>
              <w:t xml:space="preserve"> </w:t>
            </w:r>
            <w:proofErr w:type="spellStart"/>
            <w:r w:rsidRPr="007A1B07">
              <w:rPr>
                <w:rFonts w:ascii="Arial" w:hAnsi="Arial" w:cs="Arial"/>
              </w:rPr>
              <w:t>bala</w:t>
            </w:r>
            <w:proofErr w:type="spellEnd"/>
            <w:r w:rsidRPr="007A1B07">
              <w:rPr>
                <w:rFonts w:ascii="Arial" w:hAnsi="Arial" w:cs="Arial"/>
              </w:rPr>
              <w:t xml:space="preserve"> </w:t>
            </w:r>
            <w:proofErr w:type="spellStart"/>
            <w:r w:rsidRPr="007A1B07">
              <w:rPr>
                <w:rFonts w:ascii="Arial" w:hAnsi="Arial" w:cs="Arial"/>
              </w:rPr>
              <w:t>ang</w:t>
            </w:r>
            <w:proofErr w:type="spellEnd"/>
            <w:r w:rsidRPr="007A1B07">
              <w:rPr>
                <w:rFonts w:ascii="Arial" w:hAnsi="Arial" w:cs="Arial"/>
              </w:rPr>
              <w:t xml:space="preserve"> anxiety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w:t>
            </w:r>
            <w:proofErr w:type="spellStart"/>
            <w:r w:rsidRPr="007A1B07">
              <w:rPr>
                <w:rFonts w:ascii="Arial" w:hAnsi="Arial" w:cs="Arial"/>
              </w:rPr>
              <w:t>naano</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ko during that time </w:t>
            </w:r>
            <w:proofErr w:type="spellStart"/>
            <w:r w:rsidRPr="007A1B07">
              <w:rPr>
                <w:rFonts w:ascii="Arial" w:hAnsi="Arial" w:cs="Arial"/>
              </w:rPr>
              <w:t>tapos</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w:t>
            </w:r>
            <w:proofErr w:type="spellStart"/>
            <w:r w:rsidRPr="007A1B07">
              <w:rPr>
                <w:rFonts w:ascii="Arial" w:hAnsi="Arial" w:cs="Arial"/>
              </w:rPr>
              <w:t>indi</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bala</w:t>
            </w:r>
            <w:proofErr w:type="spellEnd"/>
            <w:r w:rsidRPr="007A1B07">
              <w:rPr>
                <w:rFonts w:ascii="Arial" w:hAnsi="Arial" w:cs="Arial"/>
              </w:rPr>
              <w:t xml:space="preserve"> </w:t>
            </w:r>
            <w:proofErr w:type="spellStart"/>
            <w:r w:rsidRPr="007A1B07">
              <w:rPr>
                <w:rFonts w:ascii="Arial" w:hAnsi="Arial" w:cs="Arial"/>
              </w:rPr>
              <w:t>ka</w:t>
            </w:r>
            <w:proofErr w:type="spellEnd"/>
            <w:r w:rsidRPr="007A1B07">
              <w:rPr>
                <w:rFonts w:ascii="Arial" w:hAnsi="Arial" w:cs="Arial"/>
              </w:rPr>
              <w:t xml:space="preserve"> focus </w:t>
            </w:r>
            <w:proofErr w:type="spellStart"/>
            <w:r w:rsidRPr="007A1B07">
              <w:rPr>
                <w:rFonts w:ascii="Arial" w:hAnsi="Arial" w:cs="Arial"/>
              </w:rPr>
              <w:t>sa</w:t>
            </w:r>
            <w:proofErr w:type="spellEnd"/>
            <w:r w:rsidRPr="007A1B07">
              <w:rPr>
                <w:rFonts w:ascii="Arial" w:hAnsi="Arial" w:cs="Arial"/>
              </w:rPr>
              <w:t xml:space="preserve"> </w:t>
            </w:r>
            <w:proofErr w:type="spellStart"/>
            <w:r w:rsidRPr="007A1B07">
              <w:rPr>
                <w:rFonts w:ascii="Arial" w:hAnsi="Arial" w:cs="Arial"/>
              </w:rPr>
              <w:t>ila</w:t>
            </w:r>
            <w:proofErr w:type="spellEnd"/>
            <w:r w:rsidRPr="007A1B07">
              <w:rPr>
                <w:rFonts w:ascii="Arial" w:hAnsi="Arial" w:cs="Arial"/>
              </w:rPr>
              <w:t xml:space="preserve"> gin </w:t>
            </w:r>
            <w:proofErr w:type="spellStart"/>
            <w:r w:rsidRPr="007A1B07">
              <w:rPr>
                <w:rFonts w:ascii="Arial" w:hAnsi="Arial" w:cs="Arial"/>
              </w:rPr>
              <w:t>istorya</w:t>
            </w:r>
            <w:proofErr w:type="spellEnd"/>
            <w:r w:rsidRPr="007A1B07">
              <w:rPr>
                <w:rFonts w:ascii="Arial" w:hAnsi="Arial" w:cs="Arial"/>
              </w:rPr>
              <w:t>...</w:t>
            </w:r>
            <w:proofErr w:type="gramStart"/>
            <w:r w:rsidRPr="007A1B07">
              <w:rPr>
                <w:rFonts w:ascii="Arial" w:hAnsi="Arial" w:cs="Arial"/>
              </w:rPr>
              <w:t>”[</w:t>
            </w:r>
            <w:proofErr w:type="gramEnd"/>
            <w:r w:rsidRPr="007A1B07">
              <w:rPr>
                <w:rFonts w:ascii="Arial" w:hAnsi="Arial" w:cs="Arial"/>
              </w:rPr>
              <w:t>Ah, that time it was really intense, my anxiety was so bad, it was triggered so much during that time, and then I couldn't focus on what they were saying.]</w:t>
            </w:r>
          </w:p>
        </w:tc>
        <w:tc>
          <w:tcPr>
            <w:tcW w:w="2163" w:type="dxa"/>
            <w:shd w:val="clear" w:color="auto" w:fill="FFFFFF"/>
            <w:tcMar>
              <w:top w:w="100" w:type="dxa"/>
              <w:left w:w="100" w:type="dxa"/>
              <w:bottom w:w="100" w:type="dxa"/>
              <w:right w:w="100" w:type="dxa"/>
            </w:tcMar>
          </w:tcPr>
          <w:p w14:paraId="5F035ED2"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Confirmation and Expansion. The high frequency of extreme scores in the survey is validated by the intense descriptions of physical and mental collapse in the interviews. Furthermore, The statistical association between trauma and anxiety is enriched by narratives showing both heightened vulnerability and adaptive coping mechanisms.</w:t>
            </w:r>
          </w:p>
          <w:p w14:paraId="1F59834B" w14:textId="77777777" w:rsidR="008E4797" w:rsidRPr="007A1B07" w:rsidRDefault="008E4797">
            <w:pPr>
              <w:pBdr>
                <w:top w:val="nil"/>
                <w:left w:val="nil"/>
                <w:bottom w:val="nil"/>
                <w:right w:val="nil"/>
                <w:between w:val="nil"/>
              </w:pBdr>
              <w:rPr>
                <w:rFonts w:ascii="Arial" w:hAnsi="Arial" w:cs="Arial"/>
              </w:rPr>
            </w:pPr>
          </w:p>
        </w:tc>
      </w:tr>
      <w:tr w:rsidR="008E4797" w:rsidRPr="007A1B07" w14:paraId="5EA0DA88" w14:textId="77777777">
        <w:trPr>
          <w:trHeight w:val="420"/>
        </w:trPr>
        <w:tc>
          <w:tcPr>
            <w:tcW w:w="2163" w:type="dxa"/>
            <w:shd w:val="clear" w:color="auto" w:fill="FFFFFF"/>
            <w:tcMar>
              <w:top w:w="100" w:type="dxa"/>
              <w:left w:w="100" w:type="dxa"/>
              <w:bottom w:w="100" w:type="dxa"/>
              <w:right w:w="100" w:type="dxa"/>
            </w:tcMar>
          </w:tcPr>
          <w:p w14:paraId="755EDD7D" w14:textId="77777777" w:rsidR="008E4797" w:rsidRPr="007A1B07" w:rsidRDefault="004F3FE9">
            <w:pPr>
              <w:pBdr>
                <w:top w:val="nil"/>
                <w:left w:val="nil"/>
                <w:bottom w:val="nil"/>
                <w:right w:val="nil"/>
                <w:between w:val="nil"/>
              </w:pBdr>
              <w:rPr>
                <w:rFonts w:ascii="Arial" w:hAnsi="Arial" w:cs="Arial"/>
                <w:b/>
                <w:bCs/>
              </w:rPr>
            </w:pPr>
            <w:r w:rsidRPr="007A1B07">
              <w:rPr>
                <w:rFonts w:ascii="Arial" w:hAnsi="Arial" w:cs="Arial"/>
                <w:b/>
                <w:bCs/>
              </w:rPr>
              <w:t>The Professional Mask</w:t>
            </w:r>
          </w:p>
        </w:tc>
        <w:tc>
          <w:tcPr>
            <w:tcW w:w="2163" w:type="dxa"/>
            <w:shd w:val="clear" w:color="auto" w:fill="FFFFFF"/>
            <w:tcMar>
              <w:top w:w="100" w:type="dxa"/>
              <w:left w:w="100" w:type="dxa"/>
              <w:bottom w:w="100" w:type="dxa"/>
              <w:right w:w="100" w:type="dxa"/>
            </w:tcMar>
          </w:tcPr>
          <w:p w14:paraId="53640A75"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The Avoidance scale (M = 1.64</w:t>
            </w:r>
            <w:proofErr w:type="gramStart"/>
            <w:r w:rsidRPr="007A1B07">
              <w:rPr>
                <w:rFonts w:ascii="Arial" w:hAnsi="Arial" w:cs="Arial"/>
              </w:rPr>
              <w:t>)  was</w:t>
            </w:r>
            <w:proofErr w:type="gramEnd"/>
            <w:r w:rsidRPr="007A1B07">
              <w:rPr>
                <w:rFonts w:ascii="Arial" w:hAnsi="Arial" w:cs="Arial"/>
              </w:rPr>
              <w:t xml:space="preserve"> the highest trauma domain. Emotional suppression specifically reached an extreme mean of 1.89, indicating frequent and deliberate suppression of emotional responses. Avoidance of thoughts (M = 1.84) and avoidance of discussing the event (M = 1.68) further confirm a consistent behavioral and </w:t>
            </w:r>
            <w:r w:rsidRPr="007A1B07">
              <w:rPr>
                <w:rFonts w:ascii="Arial" w:hAnsi="Arial" w:cs="Arial"/>
              </w:rPr>
              <w:lastRenderedPageBreak/>
              <w:t>cognitive pattern of concealment.</w:t>
            </w:r>
          </w:p>
        </w:tc>
        <w:tc>
          <w:tcPr>
            <w:tcW w:w="2163" w:type="dxa"/>
            <w:shd w:val="clear" w:color="auto" w:fill="FFFFFF"/>
            <w:tcMar>
              <w:top w:w="100" w:type="dxa"/>
              <w:left w:w="100" w:type="dxa"/>
              <w:bottom w:w="100" w:type="dxa"/>
              <w:right w:w="100" w:type="dxa"/>
            </w:tcMar>
            <w:vAlign w:val="bottom"/>
          </w:tcPr>
          <w:p w14:paraId="3FF202B2"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Wearing the "Professional Mask." This theme is a direct explanation for the avoidance scores in the quantitative phase. Students are conditioned to believe that emotional expression is a sign of clinical incompetence. This creates a dual identity where the student performs the role of a nurse while suppressing their humanity.</w:t>
            </w:r>
          </w:p>
          <w:p w14:paraId="425E387C"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​P5: "</w:t>
            </w:r>
            <w:proofErr w:type="spellStart"/>
            <w:r w:rsidRPr="007A1B07">
              <w:rPr>
                <w:rFonts w:ascii="Arial" w:hAnsi="Arial" w:cs="Arial"/>
              </w:rPr>
              <w:t>Kinahanglan</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mag-</w:t>
            </w:r>
            <w:proofErr w:type="spellStart"/>
            <w:r w:rsidRPr="007A1B07">
              <w:rPr>
                <w:rFonts w:ascii="Arial" w:hAnsi="Arial" w:cs="Arial"/>
              </w:rPr>
              <w:t>suksok</w:t>
            </w:r>
            <w:proofErr w:type="spellEnd"/>
            <w:r w:rsidRPr="007A1B07">
              <w:rPr>
                <w:rFonts w:ascii="Arial" w:hAnsi="Arial" w:cs="Arial"/>
              </w:rPr>
              <w:t xml:space="preserve"> sang </w:t>
            </w:r>
            <w:r w:rsidRPr="007A1B07">
              <w:rPr>
                <w:rFonts w:ascii="Arial" w:hAnsi="Arial" w:cs="Arial"/>
              </w:rPr>
              <w:lastRenderedPageBreak/>
              <w:t xml:space="preserve">professional mask... </w:t>
            </w:r>
            <w:proofErr w:type="spellStart"/>
            <w:r w:rsidRPr="007A1B07">
              <w:rPr>
                <w:rFonts w:ascii="Arial" w:hAnsi="Arial" w:cs="Arial"/>
              </w:rPr>
              <w:t>bisan</w:t>
            </w:r>
            <w:proofErr w:type="spellEnd"/>
            <w:r w:rsidRPr="007A1B07">
              <w:rPr>
                <w:rFonts w:ascii="Arial" w:hAnsi="Arial" w:cs="Arial"/>
              </w:rPr>
              <w:t xml:space="preserve"> </w:t>
            </w:r>
            <w:proofErr w:type="spellStart"/>
            <w:r w:rsidRPr="007A1B07">
              <w:rPr>
                <w:rFonts w:ascii="Arial" w:hAnsi="Arial" w:cs="Arial"/>
              </w:rPr>
              <w:t>sakit</w:t>
            </w:r>
            <w:proofErr w:type="spellEnd"/>
            <w:r w:rsidRPr="007A1B07">
              <w:rPr>
                <w:rFonts w:ascii="Arial" w:hAnsi="Arial" w:cs="Arial"/>
              </w:rPr>
              <w:t xml:space="preserve"> </w:t>
            </w:r>
            <w:proofErr w:type="spellStart"/>
            <w:r w:rsidRPr="007A1B07">
              <w:rPr>
                <w:rFonts w:ascii="Arial" w:hAnsi="Arial" w:cs="Arial"/>
              </w:rPr>
              <w:t>bala</w:t>
            </w:r>
            <w:proofErr w:type="spellEnd"/>
            <w:r w:rsidRPr="007A1B07">
              <w:rPr>
                <w:rFonts w:ascii="Arial" w:hAnsi="Arial" w:cs="Arial"/>
              </w:rPr>
              <w:t xml:space="preserve"> </w:t>
            </w:r>
            <w:proofErr w:type="spellStart"/>
            <w:r w:rsidRPr="007A1B07">
              <w:rPr>
                <w:rFonts w:ascii="Arial" w:hAnsi="Arial" w:cs="Arial"/>
              </w:rPr>
              <w:t>sa</w:t>
            </w:r>
            <w:proofErr w:type="spellEnd"/>
            <w:r w:rsidRPr="007A1B07">
              <w:rPr>
                <w:rFonts w:ascii="Arial" w:hAnsi="Arial" w:cs="Arial"/>
              </w:rPr>
              <w:t xml:space="preserve"> </w:t>
            </w:r>
            <w:proofErr w:type="spellStart"/>
            <w:r w:rsidRPr="007A1B07">
              <w:rPr>
                <w:rFonts w:ascii="Arial" w:hAnsi="Arial" w:cs="Arial"/>
              </w:rPr>
              <w:t>akon</w:t>
            </w:r>
            <w:proofErr w:type="spellEnd"/>
            <w:r w:rsidRPr="007A1B07">
              <w:rPr>
                <w:rFonts w:ascii="Arial" w:hAnsi="Arial" w:cs="Arial"/>
              </w:rPr>
              <w:t xml:space="preserve"> </w:t>
            </w:r>
            <w:proofErr w:type="spellStart"/>
            <w:r w:rsidRPr="007A1B07">
              <w:rPr>
                <w:rFonts w:ascii="Arial" w:hAnsi="Arial" w:cs="Arial"/>
              </w:rPr>
              <w:t>sa</w:t>
            </w:r>
            <w:proofErr w:type="spellEnd"/>
            <w:r w:rsidRPr="007A1B07">
              <w:rPr>
                <w:rFonts w:ascii="Arial" w:hAnsi="Arial" w:cs="Arial"/>
              </w:rPr>
              <w:t xml:space="preserve"> </w:t>
            </w:r>
            <w:proofErr w:type="spellStart"/>
            <w:r w:rsidRPr="007A1B07">
              <w:rPr>
                <w:rFonts w:ascii="Arial" w:hAnsi="Arial" w:cs="Arial"/>
              </w:rPr>
              <w:t>sulod</w:t>
            </w:r>
            <w:proofErr w:type="spellEnd"/>
            <w:r w:rsidRPr="007A1B07">
              <w:rPr>
                <w:rFonts w:ascii="Arial" w:hAnsi="Arial" w:cs="Arial"/>
              </w:rPr>
              <w:t xml:space="preserve">, like </w:t>
            </w:r>
            <w:proofErr w:type="spellStart"/>
            <w:r w:rsidRPr="007A1B07">
              <w:rPr>
                <w:rFonts w:ascii="Arial" w:hAnsi="Arial" w:cs="Arial"/>
              </w:rPr>
              <w:t>hindi</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bala</w:t>
            </w:r>
            <w:proofErr w:type="spellEnd"/>
            <w:r w:rsidRPr="007A1B07">
              <w:rPr>
                <w:rFonts w:ascii="Arial" w:hAnsi="Arial" w:cs="Arial"/>
              </w:rPr>
              <w:t xml:space="preserve"> </w:t>
            </w:r>
            <w:proofErr w:type="spellStart"/>
            <w:r w:rsidRPr="007A1B07">
              <w:rPr>
                <w:rFonts w:ascii="Arial" w:hAnsi="Arial" w:cs="Arial"/>
              </w:rPr>
              <w:t>ginpakita</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nakulbaan</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bala</w:t>
            </w:r>
            <w:proofErr w:type="spellEnd"/>
            <w:r w:rsidRPr="007A1B07">
              <w:rPr>
                <w:rFonts w:ascii="Arial" w:hAnsi="Arial" w:cs="Arial"/>
              </w:rPr>
              <w:t xml:space="preserve"> or </w:t>
            </w:r>
            <w:proofErr w:type="spellStart"/>
            <w:r w:rsidRPr="007A1B07">
              <w:rPr>
                <w:rFonts w:ascii="Arial" w:hAnsi="Arial" w:cs="Arial"/>
              </w:rPr>
              <w:t>nagakasubo</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tungod</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nahadlok</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kasigusgahan</w:t>
            </w:r>
            <w:proofErr w:type="spellEnd"/>
            <w:r w:rsidRPr="007A1B07">
              <w:rPr>
                <w:rFonts w:ascii="Arial" w:hAnsi="Arial" w:cs="Arial"/>
              </w:rPr>
              <w:t xml:space="preserve"> </w:t>
            </w:r>
            <w:proofErr w:type="spellStart"/>
            <w:r w:rsidRPr="007A1B07">
              <w:rPr>
                <w:rFonts w:ascii="Arial" w:hAnsi="Arial" w:cs="Arial"/>
              </w:rPr>
              <w:t>naman</w:t>
            </w:r>
            <w:proofErr w:type="spellEnd"/>
            <w:r w:rsidRPr="007A1B07">
              <w:rPr>
                <w:rFonts w:ascii="Arial" w:hAnsi="Arial" w:cs="Arial"/>
              </w:rPr>
              <w:t xml:space="preserve"> </w:t>
            </w:r>
            <w:proofErr w:type="spellStart"/>
            <w:r w:rsidRPr="007A1B07">
              <w:rPr>
                <w:rFonts w:ascii="Arial" w:hAnsi="Arial" w:cs="Arial"/>
              </w:rPr>
              <w:t>ako</w:t>
            </w:r>
            <w:proofErr w:type="spellEnd"/>
            <w:r w:rsidRPr="007A1B07">
              <w:rPr>
                <w:rFonts w:ascii="Arial" w:hAnsi="Arial" w:cs="Arial"/>
              </w:rPr>
              <w:t>.” [I really needed to wear a professional mask... even if it hurt inside, I didn't show that I was nervous or sad because I was afraid I would be scolded again.]</w:t>
            </w:r>
          </w:p>
          <w:p w14:paraId="33A9D460" w14:textId="77777777" w:rsidR="008E4797" w:rsidRPr="007A1B07" w:rsidRDefault="008E4797">
            <w:pPr>
              <w:pBdr>
                <w:top w:val="nil"/>
                <w:left w:val="nil"/>
                <w:bottom w:val="nil"/>
                <w:right w:val="nil"/>
                <w:between w:val="nil"/>
              </w:pBdr>
              <w:rPr>
                <w:rFonts w:ascii="Arial" w:hAnsi="Arial" w:cs="Arial"/>
              </w:rPr>
            </w:pPr>
          </w:p>
          <w:p w14:paraId="15452CDC"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​P2: "Ok, based on that experience, empathetic, kay </w:t>
            </w:r>
            <w:proofErr w:type="spellStart"/>
            <w:r w:rsidRPr="007A1B07">
              <w:rPr>
                <w:rFonts w:ascii="Arial" w:hAnsi="Arial" w:cs="Arial"/>
              </w:rPr>
              <w:t>dapat</w:t>
            </w:r>
            <w:proofErr w:type="spellEnd"/>
            <w:r w:rsidRPr="007A1B07">
              <w:rPr>
                <w:rFonts w:ascii="Arial" w:hAnsi="Arial" w:cs="Arial"/>
              </w:rPr>
              <w:t xml:space="preserve"> as a nurse </w:t>
            </w:r>
            <w:proofErr w:type="spellStart"/>
            <w:r w:rsidRPr="007A1B07">
              <w:rPr>
                <w:rFonts w:ascii="Arial" w:hAnsi="Arial" w:cs="Arial"/>
              </w:rPr>
              <w:t>gina</w:t>
            </w:r>
            <w:proofErr w:type="spellEnd"/>
            <w:r w:rsidRPr="007A1B07">
              <w:rPr>
                <w:rFonts w:ascii="Arial" w:hAnsi="Arial" w:cs="Arial"/>
              </w:rPr>
              <w:t xml:space="preserve"> set aside </w:t>
            </w:r>
            <w:proofErr w:type="spellStart"/>
            <w:r w:rsidRPr="007A1B07">
              <w:rPr>
                <w:rFonts w:ascii="Arial" w:hAnsi="Arial" w:cs="Arial"/>
              </w:rPr>
              <w:t>mo</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w:t>
            </w:r>
            <w:proofErr w:type="spellStart"/>
            <w:r w:rsidRPr="007A1B07">
              <w:rPr>
                <w:rFonts w:ascii="Arial" w:hAnsi="Arial" w:cs="Arial"/>
              </w:rPr>
              <w:t>ang</w:t>
            </w:r>
            <w:proofErr w:type="spellEnd"/>
            <w:r w:rsidRPr="007A1B07">
              <w:rPr>
                <w:rFonts w:ascii="Arial" w:hAnsi="Arial" w:cs="Arial"/>
              </w:rPr>
              <w:t xml:space="preserve"> emotions </w:t>
            </w:r>
            <w:proofErr w:type="spellStart"/>
            <w:r w:rsidRPr="007A1B07">
              <w:rPr>
                <w:rFonts w:ascii="Arial" w:hAnsi="Arial" w:cs="Arial"/>
              </w:rPr>
              <w:t>mo</w:t>
            </w:r>
            <w:proofErr w:type="spellEnd"/>
            <w:r w:rsidRPr="007A1B07">
              <w:rPr>
                <w:rFonts w:ascii="Arial" w:hAnsi="Arial" w:cs="Arial"/>
              </w:rPr>
              <w:t xml:space="preserve">, especially </w:t>
            </w:r>
            <w:proofErr w:type="spellStart"/>
            <w:r w:rsidRPr="007A1B07">
              <w:rPr>
                <w:rFonts w:ascii="Arial" w:hAnsi="Arial" w:cs="Arial"/>
              </w:rPr>
              <w:t>sa</w:t>
            </w:r>
            <w:proofErr w:type="spellEnd"/>
            <w:r w:rsidRPr="007A1B07">
              <w:rPr>
                <w:rFonts w:ascii="Arial" w:hAnsi="Arial" w:cs="Arial"/>
              </w:rPr>
              <w:t xml:space="preserve"> </w:t>
            </w:r>
            <w:proofErr w:type="spellStart"/>
            <w:r w:rsidRPr="007A1B07">
              <w:rPr>
                <w:rFonts w:ascii="Arial" w:hAnsi="Arial" w:cs="Arial"/>
              </w:rPr>
              <w:t>amo</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sitwasyon</w:t>
            </w:r>
            <w:proofErr w:type="spellEnd"/>
            <w:r w:rsidRPr="007A1B07">
              <w:rPr>
                <w:rFonts w:ascii="Arial" w:hAnsi="Arial" w:cs="Arial"/>
              </w:rPr>
              <w:t>…” [Ok, based on that experience, empathetic, because as a nurse you really have to set aside your emotions, especially in that situation...]</w:t>
            </w:r>
          </w:p>
        </w:tc>
        <w:tc>
          <w:tcPr>
            <w:tcW w:w="2163" w:type="dxa"/>
            <w:shd w:val="clear" w:color="auto" w:fill="FFFFFF"/>
            <w:tcMar>
              <w:top w:w="100" w:type="dxa"/>
              <w:left w:w="100" w:type="dxa"/>
              <w:bottom w:w="100" w:type="dxa"/>
              <w:right w:w="100" w:type="dxa"/>
            </w:tcMar>
          </w:tcPr>
          <w:p w14:paraId="19D6C06D"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Confirmation. The extreme quantitative score for emotional suppression is directly validated by narratives of deliberate emotional masking and deferred expression</w:t>
            </w:r>
          </w:p>
        </w:tc>
      </w:tr>
      <w:tr w:rsidR="008E4797" w:rsidRPr="007A1B07" w14:paraId="0336EDA2" w14:textId="77777777">
        <w:trPr>
          <w:trHeight w:val="420"/>
        </w:trPr>
        <w:tc>
          <w:tcPr>
            <w:tcW w:w="2163" w:type="dxa"/>
            <w:shd w:val="clear" w:color="auto" w:fill="FFFFFF"/>
            <w:tcMar>
              <w:top w:w="100" w:type="dxa"/>
              <w:left w:w="100" w:type="dxa"/>
              <w:bottom w:w="100" w:type="dxa"/>
              <w:right w:w="100" w:type="dxa"/>
            </w:tcMar>
          </w:tcPr>
          <w:p w14:paraId="5BEC7171" w14:textId="77777777" w:rsidR="008E4797" w:rsidRPr="007A1B07" w:rsidRDefault="004F3FE9">
            <w:pPr>
              <w:pBdr>
                <w:top w:val="nil"/>
                <w:left w:val="nil"/>
                <w:bottom w:val="nil"/>
                <w:right w:val="nil"/>
                <w:between w:val="nil"/>
              </w:pBdr>
              <w:rPr>
                <w:rFonts w:ascii="Arial" w:hAnsi="Arial" w:cs="Arial"/>
                <w:b/>
                <w:bCs/>
              </w:rPr>
            </w:pPr>
            <w:r w:rsidRPr="007A1B07">
              <w:rPr>
                <w:rFonts w:ascii="Arial" w:hAnsi="Arial" w:cs="Arial"/>
                <w:b/>
                <w:bCs/>
              </w:rPr>
              <w:t>Evaluation Fear as a Barrier</w:t>
            </w:r>
          </w:p>
        </w:tc>
        <w:tc>
          <w:tcPr>
            <w:tcW w:w="2163" w:type="dxa"/>
            <w:shd w:val="clear" w:color="auto" w:fill="FFFFFF"/>
            <w:tcMar>
              <w:top w:w="100" w:type="dxa"/>
              <w:left w:w="100" w:type="dxa"/>
              <w:bottom w:w="100" w:type="dxa"/>
              <w:right w:w="100" w:type="dxa"/>
            </w:tcMar>
          </w:tcPr>
          <w:p w14:paraId="18C8D452"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The overall anxiety mean was 1.03, categorized as mild. However, distribution analysis revealed 20.4% moderate anxiety and 11.6% severe anxiety, indicating that nearly one-third of respondents experienced clinically concerning anxiety levels.</w:t>
            </w:r>
          </w:p>
          <w:p w14:paraId="6B860037" w14:textId="77777777" w:rsidR="008E4797" w:rsidRPr="007A1B07" w:rsidRDefault="008E4797">
            <w:pPr>
              <w:pBdr>
                <w:top w:val="nil"/>
                <w:left w:val="nil"/>
                <w:bottom w:val="nil"/>
                <w:right w:val="nil"/>
                <w:between w:val="nil"/>
              </w:pBdr>
              <w:rPr>
                <w:rFonts w:ascii="Arial" w:hAnsi="Arial" w:cs="Arial"/>
              </w:rPr>
            </w:pPr>
          </w:p>
          <w:p w14:paraId="0EC32130"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The highest anxiety indicators were </w:t>
            </w:r>
            <w:r w:rsidRPr="007A1B07">
              <w:rPr>
                <w:rFonts w:ascii="Arial" w:hAnsi="Arial" w:cs="Arial"/>
              </w:rPr>
              <w:lastRenderedPageBreak/>
              <w:t>excessive worry (M = 1.22) and fear that something awful might happen (M = 1.13), suggesting anxiety was predominantly cognitive and anticipatory in nature.</w:t>
            </w:r>
          </w:p>
          <w:p w14:paraId="6EDCF4CB"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Spearman’s </w:t>
            </w:r>
            <w:proofErr w:type="spellStart"/>
            <w:r w:rsidRPr="007A1B07">
              <w:rPr>
                <w:rFonts w:ascii="Arial" w:hAnsi="Arial" w:cs="Arial"/>
              </w:rPr>
              <w:t>rhoCorrelation</w:t>
            </w:r>
            <w:proofErr w:type="spellEnd"/>
            <w:r w:rsidRPr="007A1B07">
              <w:rPr>
                <w:rFonts w:ascii="Arial" w:hAnsi="Arial" w:cs="Arial"/>
              </w:rPr>
              <w:t xml:space="preserve"> Test revealed a moderate positive relationship between TCE and anxiety (r</w:t>
            </w:r>
            <w:r w:rsidRPr="007A1B07">
              <w:rPr>
                <w:rFonts w:ascii="Cambria Math" w:hAnsi="Cambria Math" w:cs="Cambria Math"/>
              </w:rPr>
              <w:t>ₛ</w:t>
            </w:r>
            <w:r w:rsidRPr="007A1B07">
              <w:rPr>
                <w:rFonts w:ascii="Arial" w:hAnsi="Arial" w:cs="Arial"/>
              </w:rPr>
              <w:t xml:space="preserve"> = .</w:t>
            </w:r>
            <w:proofErr w:type="gramStart"/>
            <w:r w:rsidRPr="007A1B07">
              <w:rPr>
                <w:rFonts w:ascii="Arial" w:hAnsi="Arial" w:cs="Arial"/>
              </w:rPr>
              <w:t>587 ;</w:t>
            </w:r>
            <w:proofErr w:type="gramEnd"/>
            <w:r w:rsidRPr="007A1B07">
              <w:rPr>
                <w:rFonts w:ascii="Arial" w:hAnsi="Arial" w:cs="Arial"/>
              </w:rPr>
              <w:t xml:space="preserve"> p = .001).</w:t>
            </w:r>
          </w:p>
        </w:tc>
        <w:tc>
          <w:tcPr>
            <w:tcW w:w="2163" w:type="dxa"/>
            <w:shd w:val="clear" w:color="auto" w:fill="FFFFFF"/>
            <w:tcMar>
              <w:top w:w="100" w:type="dxa"/>
              <w:left w:w="100" w:type="dxa"/>
              <w:bottom w:w="100" w:type="dxa"/>
              <w:right w:w="100" w:type="dxa"/>
            </w:tcMar>
          </w:tcPr>
          <w:p w14:paraId="2DA7FF17"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Evaluation Anxiety. This is perhaps the most critical finding. The clinical instructor (CI), who is supposed to be the source of debriefing, is also the source of the grade. This power dynamic turns debriefing into a high-pressure evaluation rather than a therapeutic session.</w:t>
            </w:r>
          </w:p>
          <w:p w14:paraId="20F1EC33"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​P4: “I think </w:t>
            </w:r>
            <w:proofErr w:type="spellStart"/>
            <w:r w:rsidRPr="007A1B07">
              <w:rPr>
                <w:rFonts w:ascii="Arial" w:hAnsi="Arial" w:cs="Arial"/>
              </w:rPr>
              <w:t>dapat</w:t>
            </w:r>
            <w:proofErr w:type="spellEnd"/>
            <w:r w:rsidRPr="007A1B07">
              <w:rPr>
                <w:rFonts w:ascii="Arial" w:hAnsi="Arial" w:cs="Arial"/>
              </w:rPr>
              <w:t xml:space="preserve">, um–uh–would like being a more hesitant </w:t>
            </w:r>
            <w:proofErr w:type="spellStart"/>
            <w:r w:rsidRPr="007A1B07">
              <w:rPr>
                <w:rFonts w:ascii="Arial" w:hAnsi="Arial" w:cs="Arial"/>
              </w:rPr>
              <w:t>siguro</w:t>
            </w:r>
            <w:proofErr w:type="spellEnd"/>
            <w:r w:rsidRPr="007A1B07">
              <w:rPr>
                <w:rFonts w:ascii="Arial" w:hAnsi="Arial" w:cs="Arial"/>
              </w:rPr>
              <w:t xml:space="preserve"> mag-share </w:t>
            </w:r>
            <w:r w:rsidRPr="007A1B07">
              <w:rPr>
                <w:rFonts w:ascii="Arial" w:hAnsi="Arial" w:cs="Arial"/>
              </w:rPr>
              <w:lastRenderedPageBreak/>
              <w:t xml:space="preserve">openly kay they might worry </w:t>
            </w:r>
            <w:proofErr w:type="spellStart"/>
            <w:r w:rsidRPr="007A1B07">
              <w:rPr>
                <w:rFonts w:ascii="Arial" w:hAnsi="Arial" w:cs="Arial"/>
              </w:rPr>
              <w:t>naman</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that expressing strong emotions like mag-admit sang </w:t>
            </w:r>
            <w:proofErr w:type="spellStart"/>
            <w:r w:rsidRPr="007A1B07">
              <w:rPr>
                <w:rFonts w:ascii="Arial" w:hAnsi="Arial" w:cs="Arial"/>
              </w:rPr>
              <w:t>sala</w:t>
            </w:r>
            <w:proofErr w:type="spellEnd"/>
            <w:r w:rsidRPr="007A1B07">
              <w:rPr>
                <w:rFonts w:ascii="Arial" w:hAnsi="Arial" w:cs="Arial"/>
              </w:rPr>
              <w:t xml:space="preserve"> </w:t>
            </w:r>
            <w:proofErr w:type="spellStart"/>
            <w:r w:rsidRPr="007A1B07">
              <w:rPr>
                <w:rFonts w:ascii="Arial" w:hAnsi="Arial" w:cs="Arial"/>
              </w:rPr>
              <w:t>nila</w:t>
            </w:r>
            <w:proofErr w:type="spellEnd"/>
            <w:r w:rsidRPr="007A1B07">
              <w:rPr>
                <w:rFonts w:ascii="Arial" w:hAnsi="Arial" w:cs="Arial"/>
              </w:rPr>
              <w:t xml:space="preserve"> or showing of vulnerability could be perceived as negative and affect </w:t>
            </w:r>
            <w:proofErr w:type="spellStart"/>
            <w:r w:rsidRPr="007A1B07">
              <w:rPr>
                <w:rFonts w:ascii="Arial" w:hAnsi="Arial" w:cs="Arial"/>
              </w:rPr>
              <w:t>yung</w:t>
            </w:r>
            <w:proofErr w:type="spellEnd"/>
            <w:r w:rsidRPr="007A1B07">
              <w:rPr>
                <w:rFonts w:ascii="Arial" w:hAnsi="Arial" w:cs="Arial"/>
              </w:rPr>
              <w:t xml:space="preserve"> evaluation. This could lead like to parang uh limiting honest reflection and emotional processing.” [I think they would be more hesitant to share openly because they might worry that expressing strong emotions like admitting their mistakes or showing vulnerability could be perceived as negative and affect the evaluation. This could lead to limiting honest reflection and emotional processing.]</w:t>
            </w:r>
          </w:p>
          <w:p w14:paraId="7BFF2801" w14:textId="77777777" w:rsidR="008E4797" w:rsidRPr="007A1B07" w:rsidRDefault="008E4797">
            <w:pPr>
              <w:pBdr>
                <w:top w:val="nil"/>
                <w:left w:val="nil"/>
                <w:bottom w:val="nil"/>
                <w:right w:val="nil"/>
                <w:between w:val="nil"/>
              </w:pBdr>
              <w:rPr>
                <w:rFonts w:ascii="Arial" w:hAnsi="Arial" w:cs="Arial"/>
              </w:rPr>
            </w:pPr>
          </w:p>
          <w:p w14:paraId="06AEB982"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​P1: “</w:t>
            </w:r>
            <w:proofErr w:type="spellStart"/>
            <w:r w:rsidRPr="007A1B07">
              <w:rPr>
                <w:rFonts w:ascii="Arial" w:hAnsi="Arial" w:cs="Arial"/>
              </w:rPr>
              <w:t>Amuna</w:t>
            </w:r>
            <w:proofErr w:type="spellEnd"/>
            <w:r w:rsidRPr="007A1B07">
              <w:rPr>
                <w:rFonts w:ascii="Arial" w:hAnsi="Arial" w:cs="Arial"/>
              </w:rPr>
              <w:t xml:space="preserve"> </w:t>
            </w:r>
            <w:proofErr w:type="spellStart"/>
            <w:r w:rsidRPr="007A1B07">
              <w:rPr>
                <w:rFonts w:ascii="Arial" w:hAnsi="Arial" w:cs="Arial"/>
              </w:rPr>
              <w:t>gani</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isa</w:t>
            </w:r>
            <w:proofErr w:type="spellEnd"/>
            <w:r w:rsidRPr="007A1B07">
              <w:rPr>
                <w:rFonts w:ascii="Arial" w:hAnsi="Arial" w:cs="Arial"/>
              </w:rPr>
              <w:t xml:space="preserve"> pa </w:t>
            </w:r>
            <w:proofErr w:type="spellStart"/>
            <w:r w:rsidRPr="007A1B07">
              <w:rPr>
                <w:rFonts w:ascii="Arial" w:hAnsi="Arial" w:cs="Arial"/>
              </w:rPr>
              <w:t>gid</w:t>
            </w:r>
            <w:proofErr w:type="spellEnd"/>
            <w:r w:rsidRPr="007A1B07">
              <w:rPr>
                <w:rFonts w:ascii="Arial" w:hAnsi="Arial" w:cs="Arial"/>
              </w:rPr>
              <w:t xml:space="preserve"> </w:t>
            </w:r>
            <w:proofErr w:type="spellStart"/>
            <w:r w:rsidRPr="007A1B07">
              <w:rPr>
                <w:rFonts w:ascii="Arial" w:hAnsi="Arial" w:cs="Arial"/>
              </w:rPr>
              <w:t>ka</w:t>
            </w:r>
            <w:proofErr w:type="spellEnd"/>
            <w:r w:rsidRPr="007A1B07">
              <w:rPr>
                <w:rFonts w:ascii="Arial" w:hAnsi="Arial" w:cs="Arial"/>
              </w:rPr>
              <w:t xml:space="preserve"> overwhelming </w:t>
            </w:r>
            <w:proofErr w:type="spellStart"/>
            <w:r w:rsidRPr="007A1B07">
              <w:rPr>
                <w:rFonts w:ascii="Arial" w:hAnsi="Arial" w:cs="Arial"/>
              </w:rPr>
              <w:t>nga</w:t>
            </w:r>
            <w:proofErr w:type="spellEnd"/>
            <w:r w:rsidRPr="007A1B07">
              <w:rPr>
                <w:rFonts w:ascii="Arial" w:hAnsi="Arial" w:cs="Arial"/>
              </w:rPr>
              <w:t xml:space="preserve"> feeling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daw</w:t>
            </w:r>
            <w:proofErr w:type="spellEnd"/>
            <w:r w:rsidRPr="007A1B07">
              <w:rPr>
                <w:rFonts w:ascii="Arial" w:hAnsi="Arial" w:cs="Arial"/>
              </w:rPr>
              <w:t xml:space="preserve"> </w:t>
            </w:r>
            <w:proofErr w:type="spellStart"/>
            <w:r w:rsidRPr="007A1B07">
              <w:rPr>
                <w:rFonts w:ascii="Arial" w:hAnsi="Arial" w:cs="Arial"/>
              </w:rPr>
              <w:t>ka</w:t>
            </w:r>
            <w:proofErr w:type="spellEnd"/>
            <w:r w:rsidRPr="007A1B07">
              <w:rPr>
                <w:rFonts w:ascii="Arial" w:hAnsi="Arial" w:cs="Arial"/>
              </w:rPr>
              <w:t xml:space="preserve"> traumatizing </w:t>
            </w:r>
            <w:proofErr w:type="spellStart"/>
            <w:r w:rsidRPr="007A1B07">
              <w:rPr>
                <w:rFonts w:ascii="Arial" w:hAnsi="Arial" w:cs="Arial"/>
              </w:rPr>
              <w:t>paano</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lang</w:t>
            </w:r>
            <w:proofErr w:type="spellEnd"/>
            <w:r w:rsidRPr="007A1B07">
              <w:rPr>
                <w:rFonts w:ascii="Arial" w:hAnsi="Arial" w:cs="Arial"/>
              </w:rPr>
              <w:t xml:space="preserve"> </w:t>
            </w:r>
            <w:proofErr w:type="spellStart"/>
            <w:r w:rsidRPr="007A1B07">
              <w:rPr>
                <w:rFonts w:ascii="Arial" w:hAnsi="Arial" w:cs="Arial"/>
              </w:rPr>
              <w:t>ang</w:t>
            </w:r>
            <w:proofErr w:type="spellEnd"/>
            <w:r w:rsidRPr="007A1B07">
              <w:rPr>
                <w:rFonts w:ascii="Arial" w:hAnsi="Arial" w:cs="Arial"/>
              </w:rPr>
              <w:t xml:space="preserve"> performance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paano</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lang</w:t>
            </w:r>
            <w:proofErr w:type="spellEnd"/>
            <w:r w:rsidRPr="007A1B07">
              <w:rPr>
                <w:rFonts w:ascii="Arial" w:hAnsi="Arial" w:cs="Arial"/>
              </w:rPr>
              <w:t xml:space="preserve"> </w:t>
            </w:r>
            <w:proofErr w:type="spellStart"/>
            <w:r w:rsidRPr="007A1B07">
              <w:rPr>
                <w:rFonts w:ascii="Arial" w:hAnsi="Arial" w:cs="Arial"/>
              </w:rPr>
              <w:t>ni</w:t>
            </w:r>
            <w:proofErr w:type="spellEnd"/>
            <w:r w:rsidRPr="007A1B07">
              <w:rPr>
                <w:rFonts w:ascii="Arial" w:hAnsi="Arial" w:cs="Arial"/>
              </w:rPr>
              <w:t xml:space="preserve"> </w:t>
            </w:r>
            <w:proofErr w:type="spellStart"/>
            <w:r w:rsidRPr="007A1B07">
              <w:rPr>
                <w:rFonts w:ascii="Arial" w:hAnsi="Arial" w:cs="Arial"/>
              </w:rPr>
              <w:t>akon</w:t>
            </w:r>
            <w:proofErr w:type="spellEnd"/>
            <w:r w:rsidRPr="007A1B07">
              <w:rPr>
                <w:rFonts w:ascii="Arial" w:hAnsi="Arial" w:cs="Arial"/>
              </w:rPr>
              <w:t xml:space="preserve"> </w:t>
            </w:r>
            <w:proofErr w:type="spellStart"/>
            <w:r w:rsidRPr="007A1B07">
              <w:rPr>
                <w:rFonts w:ascii="Arial" w:hAnsi="Arial" w:cs="Arial"/>
              </w:rPr>
              <w:t>ya</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ano</w:t>
            </w:r>
            <w:proofErr w:type="spellEnd"/>
            <w:r w:rsidRPr="007A1B07">
              <w:rPr>
                <w:rFonts w:ascii="Arial" w:hAnsi="Arial" w:cs="Arial"/>
              </w:rPr>
              <w:t xml:space="preserve"> kay nag-</w:t>
            </w:r>
            <w:proofErr w:type="spellStart"/>
            <w:r w:rsidRPr="007A1B07">
              <w:rPr>
                <w:rFonts w:ascii="Arial" w:hAnsi="Arial" w:cs="Arial"/>
              </w:rPr>
              <w:t>amo</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to…” [That’s one more overwhelming feeling that is traumatizing—what will happen to my performance, what will happen to my (grade) because I acted like that…]</w:t>
            </w:r>
          </w:p>
        </w:tc>
        <w:tc>
          <w:tcPr>
            <w:tcW w:w="2163" w:type="dxa"/>
            <w:shd w:val="clear" w:color="auto" w:fill="FFFFFF"/>
            <w:tcMar>
              <w:top w:w="100" w:type="dxa"/>
              <w:left w:w="100" w:type="dxa"/>
              <w:bottom w:w="100" w:type="dxa"/>
              <w:right w:w="100" w:type="dxa"/>
            </w:tcMar>
          </w:tcPr>
          <w:p w14:paraId="780F6F8A"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Expansion. While the overall anxiety mean suggests mild levels, qualitative accounts expand understanding by revealing that anxiety is deeply rooted in performance pressure and fear of academic consequences.</w:t>
            </w:r>
          </w:p>
        </w:tc>
      </w:tr>
      <w:tr w:rsidR="008E4797" w:rsidRPr="007A1B07" w14:paraId="5F713A26" w14:textId="77777777">
        <w:trPr>
          <w:trHeight w:val="420"/>
        </w:trPr>
        <w:tc>
          <w:tcPr>
            <w:tcW w:w="2163" w:type="dxa"/>
            <w:shd w:val="clear" w:color="auto" w:fill="FFFFFF"/>
            <w:tcMar>
              <w:top w:w="100" w:type="dxa"/>
              <w:left w:w="100" w:type="dxa"/>
              <w:bottom w:w="100" w:type="dxa"/>
              <w:right w:w="100" w:type="dxa"/>
            </w:tcMar>
          </w:tcPr>
          <w:p w14:paraId="6D4713ED" w14:textId="77777777" w:rsidR="008E4797" w:rsidRPr="007A1B07" w:rsidRDefault="004F3FE9">
            <w:pPr>
              <w:pBdr>
                <w:top w:val="nil"/>
                <w:left w:val="nil"/>
                <w:bottom w:val="nil"/>
                <w:right w:val="nil"/>
                <w:between w:val="nil"/>
              </w:pBdr>
              <w:rPr>
                <w:rFonts w:ascii="Arial" w:hAnsi="Arial" w:cs="Arial"/>
                <w:b/>
                <w:bCs/>
              </w:rPr>
            </w:pPr>
            <w:r w:rsidRPr="007A1B07">
              <w:rPr>
                <w:rFonts w:ascii="Arial" w:hAnsi="Arial" w:cs="Arial"/>
                <w:b/>
                <w:bCs/>
              </w:rPr>
              <w:lastRenderedPageBreak/>
              <w:t>The Inefficacy of Current Debriefing</w:t>
            </w:r>
          </w:p>
        </w:tc>
        <w:tc>
          <w:tcPr>
            <w:tcW w:w="2163" w:type="dxa"/>
            <w:shd w:val="clear" w:color="auto" w:fill="FFFFFF"/>
            <w:tcMar>
              <w:top w:w="100" w:type="dxa"/>
              <w:left w:w="100" w:type="dxa"/>
              <w:bottom w:w="100" w:type="dxa"/>
              <w:right w:w="100" w:type="dxa"/>
            </w:tcMar>
          </w:tcPr>
          <w:p w14:paraId="5AD44E27"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Students agree that debriefing should help clinical judgment (M=3.88) and reduce distress (M=3.78). This indicates a positive perception of debriefing with an overall mean of 3.74 out of 5, in which the students are in agreement that debriefing has its benefits.</w:t>
            </w:r>
          </w:p>
          <w:p w14:paraId="1DC72408" w14:textId="77777777" w:rsidR="008E4797" w:rsidRPr="007A1B07" w:rsidRDefault="008E4797">
            <w:pPr>
              <w:pBdr>
                <w:top w:val="nil"/>
                <w:left w:val="nil"/>
                <w:bottom w:val="nil"/>
                <w:right w:val="nil"/>
                <w:between w:val="nil"/>
              </w:pBdr>
              <w:rPr>
                <w:rFonts w:ascii="Arial" w:hAnsi="Arial" w:cs="Arial"/>
              </w:rPr>
            </w:pPr>
          </w:p>
          <w:p w14:paraId="7BBE1607"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However, correlation analysis showed no significant relationship between debriefing perception and anxiety (r</w:t>
            </w:r>
            <w:r w:rsidRPr="007A1B07">
              <w:rPr>
                <w:rFonts w:ascii="Cambria Math" w:hAnsi="Cambria Math" w:cs="Cambria Math"/>
              </w:rPr>
              <w:t>ₛ</w:t>
            </w:r>
            <w:r w:rsidRPr="007A1B07">
              <w:rPr>
                <w:rFonts w:ascii="Arial" w:hAnsi="Arial" w:cs="Arial"/>
              </w:rPr>
              <w:t xml:space="preserve"> = –.049, p = .415), suggesting that perceived usefulness of debriefing does not statistically reduce anxiety levels. </w:t>
            </w:r>
          </w:p>
          <w:p w14:paraId="4660038D" w14:textId="77777777" w:rsidR="008E4797" w:rsidRPr="007A1B07" w:rsidRDefault="008E4797">
            <w:pPr>
              <w:pBdr>
                <w:top w:val="nil"/>
                <w:left w:val="nil"/>
                <w:bottom w:val="nil"/>
                <w:right w:val="nil"/>
                <w:between w:val="nil"/>
              </w:pBdr>
              <w:rPr>
                <w:rFonts w:ascii="Arial" w:hAnsi="Arial" w:cs="Arial"/>
              </w:rPr>
            </w:pPr>
          </w:p>
        </w:tc>
        <w:tc>
          <w:tcPr>
            <w:tcW w:w="2163" w:type="dxa"/>
            <w:shd w:val="clear" w:color="auto" w:fill="FFFFFF"/>
            <w:tcMar>
              <w:top w:w="100" w:type="dxa"/>
              <w:left w:w="100" w:type="dxa"/>
              <w:bottom w:w="100" w:type="dxa"/>
              <w:right w:w="100" w:type="dxa"/>
            </w:tcMar>
          </w:tcPr>
          <w:p w14:paraId="6C751F8C"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Trying to Adapt. Because the informal system (debriefing) is viewed with pressure or anxiety, students turn to each other. This trauma bonding serves as an unofficial, peer-led debriefing that is more effective at lowering anxiety than the instructor-led sessions.</w:t>
            </w:r>
          </w:p>
          <w:p w14:paraId="64482A34"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​P5: "</w:t>
            </w:r>
            <w:proofErr w:type="spellStart"/>
            <w:r w:rsidRPr="007A1B07">
              <w:rPr>
                <w:rFonts w:ascii="Arial" w:hAnsi="Arial" w:cs="Arial"/>
              </w:rPr>
              <w:t>Nabatyagan</w:t>
            </w:r>
            <w:proofErr w:type="spellEnd"/>
            <w:r w:rsidRPr="007A1B07">
              <w:rPr>
                <w:rFonts w:ascii="Arial" w:hAnsi="Arial" w:cs="Arial"/>
              </w:rPr>
              <w:t xml:space="preserve">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ang</w:t>
            </w:r>
            <w:proofErr w:type="spellEnd"/>
            <w:r w:rsidRPr="007A1B07">
              <w:rPr>
                <w:rFonts w:ascii="Arial" w:hAnsi="Arial" w:cs="Arial"/>
              </w:rPr>
              <w:t xml:space="preserve"> trauma bonding </w:t>
            </w:r>
            <w:proofErr w:type="spellStart"/>
            <w:r w:rsidRPr="007A1B07">
              <w:rPr>
                <w:rFonts w:ascii="Arial" w:hAnsi="Arial" w:cs="Arial"/>
              </w:rPr>
              <w:t>bala</w:t>
            </w:r>
            <w:proofErr w:type="spellEnd"/>
            <w:r w:rsidRPr="007A1B07">
              <w:rPr>
                <w:rFonts w:ascii="Arial" w:hAnsi="Arial" w:cs="Arial"/>
              </w:rPr>
              <w:t xml:space="preserve"> </w:t>
            </w:r>
            <w:proofErr w:type="spellStart"/>
            <w:r w:rsidRPr="007A1B07">
              <w:rPr>
                <w:rFonts w:ascii="Arial" w:hAnsi="Arial" w:cs="Arial"/>
              </w:rPr>
              <w:t>labi</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sa</w:t>
            </w:r>
            <w:proofErr w:type="spellEnd"/>
            <w:r w:rsidRPr="007A1B07">
              <w:rPr>
                <w:rFonts w:ascii="Arial" w:hAnsi="Arial" w:cs="Arial"/>
              </w:rPr>
              <w:t xml:space="preserve"> </w:t>
            </w:r>
            <w:proofErr w:type="spellStart"/>
            <w:r w:rsidRPr="007A1B07">
              <w:rPr>
                <w:rFonts w:ascii="Arial" w:hAnsi="Arial" w:cs="Arial"/>
              </w:rPr>
              <w:t>mga</w:t>
            </w:r>
            <w:proofErr w:type="spellEnd"/>
            <w:r w:rsidRPr="007A1B07">
              <w:rPr>
                <w:rFonts w:ascii="Arial" w:hAnsi="Arial" w:cs="Arial"/>
              </w:rPr>
              <w:t xml:space="preserve"> classmates or group mates </w:t>
            </w:r>
            <w:proofErr w:type="spellStart"/>
            <w:r w:rsidRPr="007A1B07">
              <w:rPr>
                <w:rFonts w:ascii="Arial" w:hAnsi="Arial" w:cs="Arial"/>
              </w:rPr>
              <w:t>ko</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may </w:t>
            </w:r>
            <w:proofErr w:type="spellStart"/>
            <w:r w:rsidRPr="007A1B07">
              <w:rPr>
                <w:rFonts w:ascii="Arial" w:hAnsi="Arial" w:cs="Arial"/>
              </w:rPr>
              <w:t>pareho</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experience... mas </w:t>
            </w:r>
            <w:proofErr w:type="spellStart"/>
            <w:r w:rsidRPr="007A1B07">
              <w:rPr>
                <w:rFonts w:ascii="Arial" w:hAnsi="Arial" w:cs="Arial"/>
              </w:rPr>
              <w:t>nagi-suportahanay</w:t>
            </w:r>
            <w:proofErr w:type="spellEnd"/>
            <w:r w:rsidRPr="007A1B07">
              <w:rPr>
                <w:rFonts w:ascii="Arial" w:hAnsi="Arial" w:cs="Arial"/>
              </w:rPr>
              <w:t xml:space="preserve"> kami </w:t>
            </w:r>
            <w:proofErr w:type="spellStart"/>
            <w:r w:rsidRPr="007A1B07">
              <w:rPr>
                <w:rFonts w:ascii="Arial" w:hAnsi="Arial" w:cs="Arial"/>
              </w:rPr>
              <w:t>bala</w:t>
            </w:r>
            <w:proofErr w:type="spellEnd"/>
            <w:r w:rsidRPr="007A1B07">
              <w:rPr>
                <w:rFonts w:ascii="Arial" w:hAnsi="Arial" w:cs="Arial"/>
              </w:rPr>
              <w:t xml:space="preserve"> </w:t>
            </w:r>
            <w:proofErr w:type="spellStart"/>
            <w:r w:rsidRPr="007A1B07">
              <w:rPr>
                <w:rFonts w:ascii="Arial" w:hAnsi="Arial" w:cs="Arial"/>
              </w:rPr>
              <w:t>sa</w:t>
            </w:r>
            <w:proofErr w:type="spellEnd"/>
            <w:r w:rsidRPr="007A1B07">
              <w:rPr>
                <w:rFonts w:ascii="Arial" w:hAnsi="Arial" w:cs="Arial"/>
              </w:rPr>
              <w:t xml:space="preserve"> </w:t>
            </w:r>
            <w:proofErr w:type="spellStart"/>
            <w:r w:rsidRPr="007A1B07">
              <w:rPr>
                <w:rFonts w:ascii="Arial" w:hAnsi="Arial" w:cs="Arial"/>
              </w:rPr>
              <w:t>amo</w:t>
            </w:r>
            <w:proofErr w:type="spellEnd"/>
            <w:r w:rsidRPr="007A1B07">
              <w:rPr>
                <w:rFonts w:ascii="Arial" w:hAnsi="Arial" w:cs="Arial"/>
              </w:rPr>
              <w:t xml:space="preserve"> </w:t>
            </w:r>
            <w:proofErr w:type="spellStart"/>
            <w:r w:rsidRPr="007A1B07">
              <w:rPr>
                <w:rFonts w:ascii="Arial" w:hAnsi="Arial" w:cs="Arial"/>
              </w:rPr>
              <w:t>na</w:t>
            </w:r>
            <w:proofErr w:type="spellEnd"/>
            <w:r w:rsidRPr="007A1B07">
              <w:rPr>
                <w:rFonts w:ascii="Arial" w:hAnsi="Arial" w:cs="Arial"/>
              </w:rPr>
              <w:t xml:space="preserve">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tini</w:t>
            </w:r>
            <w:proofErr w:type="spellEnd"/>
            <w:r w:rsidRPr="007A1B07">
              <w:rPr>
                <w:rFonts w:ascii="Arial" w:hAnsi="Arial" w:cs="Arial"/>
              </w:rPr>
              <w:t>-on." [I felt the trauma bonding especially with my classmates or groupmates who had the same experience... we supported each other more during those times.]</w:t>
            </w:r>
          </w:p>
        </w:tc>
        <w:tc>
          <w:tcPr>
            <w:tcW w:w="2163" w:type="dxa"/>
            <w:shd w:val="clear" w:color="auto" w:fill="FFFFFF"/>
            <w:tcMar>
              <w:top w:w="100" w:type="dxa"/>
              <w:left w:w="100" w:type="dxa"/>
              <w:bottom w:w="100" w:type="dxa"/>
              <w:right w:w="100" w:type="dxa"/>
            </w:tcMar>
          </w:tcPr>
          <w:p w14:paraId="3F87FFE8"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Discordance. Although debriefing is positively perceived, statistical findings indicate it does not significantly reduce anxiety, suggesting that current strategies may not fully address emotional distress.</w:t>
            </w:r>
          </w:p>
        </w:tc>
      </w:tr>
      <w:tr w:rsidR="008E4797" w:rsidRPr="007A1B07" w14:paraId="555CC5E8" w14:textId="77777777">
        <w:trPr>
          <w:trHeight w:val="420"/>
        </w:trPr>
        <w:tc>
          <w:tcPr>
            <w:tcW w:w="2163" w:type="dxa"/>
            <w:shd w:val="clear" w:color="auto" w:fill="FFFFFF"/>
            <w:tcMar>
              <w:top w:w="100" w:type="dxa"/>
              <w:left w:w="100" w:type="dxa"/>
              <w:bottom w:w="100" w:type="dxa"/>
              <w:right w:w="100" w:type="dxa"/>
            </w:tcMar>
          </w:tcPr>
          <w:p w14:paraId="15D0BFF7" w14:textId="77777777" w:rsidR="008E4797" w:rsidRPr="007A1B07" w:rsidRDefault="004F3FE9">
            <w:pPr>
              <w:pBdr>
                <w:top w:val="nil"/>
                <w:left w:val="nil"/>
                <w:bottom w:val="nil"/>
                <w:right w:val="nil"/>
                <w:between w:val="nil"/>
              </w:pBdr>
              <w:rPr>
                <w:rFonts w:ascii="Arial" w:hAnsi="Arial" w:cs="Arial"/>
                <w:b/>
                <w:bCs/>
              </w:rPr>
            </w:pPr>
            <w:r w:rsidRPr="007A1B07">
              <w:rPr>
                <w:rFonts w:ascii="Arial" w:hAnsi="Arial" w:cs="Arial"/>
                <w:b/>
                <w:bCs/>
              </w:rPr>
              <w:t>Desired Support Structures</w:t>
            </w:r>
          </w:p>
        </w:tc>
        <w:tc>
          <w:tcPr>
            <w:tcW w:w="2163" w:type="dxa"/>
            <w:shd w:val="clear" w:color="auto" w:fill="FFFFFF"/>
            <w:tcMar>
              <w:top w:w="100" w:type="dxa"/>
              <w:left w:w="100" w:type="dxa"/>
              <w:bottom w:w="100" w:type="dxa"/>
              <w:right w:w="100" w:type="dxa"/>
            </w:tcMar>
          </w:tcPr>
          <w:p w14:paraId="04611963"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Students demonstrated a generally positive perception of debriefing with an overall mean of 3.74 out of 5, indicating agreement that debriefing is beneficial. The improvement of clinical judgment (M = 3.88) has the highest mean, while emotional expression received a comparatively lower mean (M = 3.49).</w:t>
            </w:r>
          </w:p>
        </w:tc>
        <w:tc>
          <w:tcPr>
            <w:tcW w:w="2163" w:type="dxa"/>
            <w:shd w:val="clear" w:color="auto" w:fill="FFFFFF"/>
            <w:tcMar>
              <w:top w:w="100" w:type="dxa"/>
              <w:left w:w="100" w:type="dxa"/>
              <w:bottom w:w="100" w:type="dxa"/>
              <w:right w:w="100" w:type="dxa"/>
            </w:tcMar>
            <w:vAlign w:val="bottom"/>
          </w:tcPr>
          <w:p w14:paraId="1C17965A"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Preferences. Students relied on internal and peer support, spiritual coping, and guided debriefing for resilience and recovery.</w:t>
            </w:r>
          </w:p>
          <w:p w14:paraId="4FEFB4B0"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t xml:space="preserve">P4: “For me </w:t>
            </w:r>
            <w:proofErr w:type="spellStart"/>
            <w:r w:rsidRPr="007A1B07">
              <w:rPr>
                <w:rFonts w:ascii="Arial" w:hAnsi="Arial" w:cs="Arial"/>
              </w:rPr>
              <w:t>ano</w:t>
            </w:r>
            <w:proofErr w:type="spellEnd"/>
            <w:r w:rsidRPr="007A1B07">
              <w:rPr>
                <w:rFonts w:ascii="Arial" w:hAnsi="Arial" w:cs="Arial"/>
              </w:rPr>
              <w:t xml:space="preserve"> </w:t>
            </w:r>
            <w:proofErr w:type="spellStart"/>
            <w:r w:rsidRPr="007A1B07">
              <w:rPr>
                <w:rFonts w:ascii="Arial" w:hAnsi="Arial" w:cs="Arial"/>
              </w:rPr>
              <w:t>gid</w:t>
            </w:r>
            <w:proofErr w:type="spellEnd"/>
            <w:r w:rsidRPr="007A1B07">
              <w:rPr>
                <w:rFonts w:ascii="Arial" w:hAnsi="Arial" w:cs="Arial"/>
              </w:rPr>
              <w:t xml:space="preserve"> </w:t>
            </w:r>
            <w:proofErr w:type="spellStart"/>
            <w:r w:rsidRPr="007A1B07">
              <w:rPr>
                <w:rFonts w:ascii="Arial" w:hAnsi="Arial" w:cs="Arial"/>
              </w:rPr>
              <w:t>yung</w:t>
            </w:r>
            <w:proofErr w:type="spellEnd"/>
            <w:r w:rsidRPr="007A1B07">
              <w:rPr>
                <w:rFonts w:ascii="Arial" w:hAnsi="Arial" w:cs="Arial"/>
              </w:rPr>
              <w:t xml:space="preserve"> clinical instructor which is uh para </w:t>
            </w:r>
            <w:proofErr w:type="spellStart"/>
            <w:r w:rsidRPr="007A1B07">
              <w:rPr>
                <w:rFonts w:ascii="Arial" w:hAnsi="Arial" w:cs="Arial"/>
              </w:rPr>
              <w:t>sa</w:t>
            </w:r>
            <w:proofErr w:type="spellEnd"/>
            <w:r w:rsidRPr="007A1B07">
              <w:rPr>
                <w:rFonts w:ascii="Arial" w:hAnsi="Arial" w:cs="Arial"/>
              </w:rPr>
              <w:t xml:space="preserve"> best </w:t>
            </w:r>
            <w:proofErr w:type="spellStart"/>
            <w:r w:rsidRPr="007A1B07">
              <w:rPr>
                <w:rFonts w:ascii="Arial" w:hAnsi="Arial" w:cs="Arial"/>
              </w:rPr>
              <w:t>nga</w:t>
            </w:r>
            <w:proofErr w:type="spellEnd"/>
            <w:r w:rsidRPr="007A1B07">
              <w:rPr>
                <w:rFonts w:ascii="Arial" w:hAnsi="Arial" w:cs="Arial"/>
              </w:rPr>
              <w:t xml:space="preserve"> </w:t>
            </w:r>
            <w:proofErr w:type="spellStart"/>
            <w:r w:rsidRPr="007A1B07">
              <w:rPr>
                <w:rFonts w:ascii="Arial" w:hAnsi="Arial" w:cs="Arial"/>
              </w:rPr>
              <w:t>posisyon</w:t>
            </w:r>
            <w:proofErr w:type="spellEnd"/>
            <w:r w:rsidRPr="007A1B07">
              <w:rPr>
                <w:rFonts w:ascii="Arial" w:hAnsi="Arial" w:cs="Arial"/>
              </w:rPr>
              <w:t xml:space="preserve"> gid kay um because they understand </w:t>
            </w:r>
            <w:proofErr w:type="spellStart"/>
            <w:r w:rsidRPr="007A1B07">
              <w:rPr>
                <w:rFonts w:ascii="Arial" w:hAnsi="Arial" w:cs="Arial"/>
              </w:rPr>
              <w:t>yung</w:t>
            </w:r>
            <w:proofErr w:type="spellEnd"/>
            <w:r w:rsidRPr="007A1B07">
              <w:rPr>
                <w:rFonts w:ascii="Arial" w:hAnsi="Arial" w:cs="Arial"/>
              </w:rPr>
              <w:t xml:space="preserve"> clinical context, </w:t>
            </w:r>
            <w:proofErr w:type="spellStart"/>
            <w:r w:rsidRPr="007A1B07">
              <w:rPr>
                <w:rFonts w:ascii="Arial" w:hAnsi="Arial" w:cs="Arial"/>
              </w:rPr>
              <w:t>paano</w:t>
            </w:r>
            <w:proofErr w:type="spellEnd"/>
            <w:r w:rsidRPr="007A1B07">
              <w:rPr>
                <w:rFonts w:ascii="Arial" w:hAnsi="Arial" w:cs="Arial"/>
              </w:rPr>
              <w:t xml:space="preserve"> mag-</w:t>
            </w:r>
            <w:proofErr w:type="spellStart"/>
            <w:r w:rsidRPr="007A1B07">
              <w:rPr>
                <w:rFonts w:ascii="Arial" w:hAnsi="Arial" w:cs="Arial"/>
              </w:rPr>
              <w:t>ano</w:t>
            </w:r>
            <w:proofErr w:type="spellEnd"/>
            <w:r w:rsidRPr="007A1B07">
              <w:rPr>
                <w:rFonts w:ascii="Arial" w:hAnsi="Arial" w:cs="Arial"/>
              </w:rPr>
              <w:t xml:space="preserve"> </w:t>
            </w:r>
            <w:proofErr w:type="spellStart"/>
            <w:r w:rsidRPr="007A1B07">
              <w:rPr>
                <w:rFonts w:ascii="Arial" w:hAnsi="Arial" w:cs="Arial"/>
              </w:rPr>
              <w:t>ka</w:t>
            </w:r>
            <w:proofErr w:type="spellEnd"/>
            <w:r w:rsidRPr="007A1B07">
              <w:rPr>
                <w:rFonts w:ascii="Arial" w:hAnsi="Arial" w:cs="Arial"/>
              </w:rPr>
              <w:t xml:space="preserve"> patient care decisions </w:t>
            </w:r>
            <w:r w:rsidRPr="007A1B07">
              <w:rPr>
                <w:rFonts w:ascii="Arial" w:hAnsi="Arial" w:cs="Arial"/>
              </w:rPr>
              <w:lastRenderedPageBreak/>
              <w:t>and the emotional demands for the situation gid...” [For me, the clinical instructor is in the best position because they understand the clinical context, how to make patient care decisions, and the emotional demands of the situation…]</w:t>
            </w:r>
          </w:p>
        </w:tc>
        <w:tc>
          <w:tcPr>
            <w:tcW w:w="2163" w:type="dxa"/>
            <w:shd w:val="clear" w:color="auto" w:fill="FFFFFF"/>
            <w:tcMar>
              <w:top w:w="100" w:type="dxa"/>
              <w:left w:w="100" w:type="dxa"/>
              <w:bottom w:w="100" w:type="dxa"/>
              <w:right w:w="100" w:type="dxa"/>
            </w:tcMar>
          </w:tcPr>
          <w:p w14:paraId="39F3B468" w14:textId="77777777" w:rsidR="008E4797" w:rsidRPr="007A1B07" w:rsidRDefault="004F3FE9">
            <w:pPr>
              <w:pBdr>
                <w:top w:val="nil"/>
                <w:left w:val="nil"/>
                <w:bottom w:val="nil"/>
                <w:right w:val="nil"/>
                <w:between w:val="nil"/>
              </w:pBdr>
              <w:rPr>
                <w:rFonts w:ascii="Arial" w:hAnsi="Arial" w:cs="Arial"/>
              </w:rPr>
            </w:pPr>
            <w:r w:rsidRPr="007A1B07">
              <w:rPr>
                <w:rFonts w:ascii="Arial" w:hAnsi="Arial" w:cs="Arial"/>
              </w:rPr>
              <w:lastRenderedPageBreak/>
              <w:t xml:space="preserve">Expansion. While students value the concert of debriefing, they seek a shift toward </w:t>
            </w:r>
            <w:proofErr w:type="spellStart"/>
            <w:r w:rsidRPr="007A1B07">
              <w:rPr>
                <w:rFonts w:ascii="Arial" w:hAnsi="Arial" w:cs="Arial"/>
              </w:rPr>
              <w:t>non-judgemental</w:t>
            </w:r>
            <w:proofErr w:type="spellEnd"/>
            <w:r w:rsidRPr="007A1B07">
              <w:rPr>
                <w:rFonts w:ascii="Arial" w:hAnsi="Arial" w:cs="Arial"/>
              </w:rPr>
              <w:t>, structured emotional support rather than just clinical correction.</w:t>
            </w:r>
          </w:p>
        </w:tc>
      </w:tr>
    </w:tbl>
    <w:p w14:paraId="63214419" w14:textId="77777777" w:rsidR="008E4797" w:rsidRPr="007A1B07" w:rsidRDefault="008E4797">
      <w:pPr>
        <w:pBdr>
          <w:top w:val="nil"/>
          <w:left w:val="nil"/>
          <w:bottom w:val="nil"/>
          <w:right w:val="nil"/>
          <w:between w:val="nil"/>
        </w:pBdr>
        <w:jc w:val="both"/>
        <w:rPr>
          <w:rFonts w:ascii="Arial" w:hAnsi="Arial" w:cs="Arial"/>
        </w:rPr>
      </w:pPr>
    </w:p>
    <w:p w14:paraId="0E3E65BA" w14:textId="77777777" w:rsidR="008E4797" w:rsidRPr="007A1B07" w:rsidRDefault="004F3FE9">
      <w:pPr>
        <w:rPr>
          <w:rFonts w:ascii="Arial" w:eastAsia="Arial" w:hAnsi="Arial" w:cs="Arial"/>
          <w:b/>
          <w:bCs/>
          <w:sz w:val="24"/>
          <w:szCs w:val="24"/>
        </w:rPr>
      </w:pPr>
      <w:r w:rsidRPr="007A1B07">
        <w:rPr>
          <w:rFonts w:ascii="Arial" w:eastAsia="Arial" w:hAnsi="Arial" w:cs="Arial"/>
          <w:b/>
          <w:bCs/>
          <w:sz w:val="24"/>
          <w:szCs w:val="24"/>
        </w:rPr>
        <w:t>4. DISCUSSION</w:t>
      </w:r>
    </w:p>
    <w:p w14:paraId="6E66AC19" w14:textId="77777777" w:rsidR="00CB1FE9" w:rsidRPr="00CB1FE9" w:rsidRDefault="00CB1FE9" w:rsidP="007855CC">
      <w:pPr>
        <w:jc w:val="both"/>
        <w:rPr>
          <w:rFonts w:ascii="Arial" w:hAnsi="Arial" w:cs="Arial"/>
        </w:rPr>
      </w:pPr>
    </w:p>
    <w:p w14:paraId="7593B58F" w14:textId="5AF7C5A8" w:rsidR="007855CC" w:rsidRPr="00CB1FE9" w:rsidRDefault="007855CC" w:rsidP="007855CC">
      <w:pPr>
        <w:jc w:val="both"/>
        <w:rPr>
          <w:rFonts w:ascii="Arial" w:hAnsi="Arial" w:cs="Arial"/>
        </w:rPr>
      </w:pPr>
      <w:r w:rsidRPr="00CB1FE9">
        <w:rPr>
          <w:rFonts w:ascii="Arial" w:hAnsi="Arial" w:cs="Arial"/>
        </w:rPr>
        <w:t xml:space="preserve">The findings can be interpreted through Betty Neuman’s Systems Model (1972), which conceptualizes individuals as open systems in constant interaction with environmental stressors. In this framework, traumatic clinical experiences reported by student nurses function as intrapersonal, interpersonal, and </w:t>
      </w:r>
      <w:proofErr w:type="spellStart"/>
      <w:r w:rsidRPr="00CB1FE9">
        <w:rPr>
          <w:rFonts w:ascii="Arial" w:hAnsi="Arial" w:cs="Arial"/>
        </w:rPr>
        <w:t>extrapersonal</w:t>
      </w:r>
      <w:proofErr w:type="spellEnd"/>
      <w:r w:rsidRPr="00CB1FE9">
        <w:rPr>
          <w:rFonts w:ascii="Arial" w:hAnsi="Arial" w:cs="Arial"/>
        </w:rPr>
        <w:t xml:space="preserve"> stressors that penetrate the flexible line of defense, resulting in observable system reactions such as avoidance, intrusion, and hyperarousal. The prominence of avoidance behaviors reflects an attempt to reinforce the system’s defenses; however, the persistence of intrusive thoughts and physiological arousal indicates that these stressors have disrupted system stability and overwhelmed the lines of resistance, placing the system in a vulnerable state.</w:t>
      </w:r>
    </w:p>
    <w:p w14:paraId="45809845" w14:textId="77777777" w:rsidR="00CB1FE9" w:rsidRPr="00CB1FE9" w:rsidRDefault="00CB1FE9" w:rsidP="007855CC">
      <w:pPr>
        <w:jc w:val="both"/>
        <w:rPr>
          <w:rFonts w:ascii="Arial" w:hAnsi="Arial" w:cs="Arial"/>
        </w:rPr>
      </w:pPr>
    </w:p>
    <w:p w14:paraId="3EA9367F" w14:textId="6EF8451F" w:rsidR="007855CC" w:rsidRPr="00CB1FE9" w:rsidRDefault="007855CC" w:rsidP="007855CC">
      <w:pPr>
        <w:jc w:val="both"/>
        <w:rPr>
          <w:rFonts w:ascii="Arial" w:hAnsi="Arial" w:cs="Arial"/>
        </w:rPr>
      </w:pPr>
      <w:r w:rsidRPr="00CB1FE9">
        <w:rPr>
          <w:rFonts w:ascii="Arial" w:hAnsi="Arial" w:cs="Arial"/>
        </w:rPr>
        <w:t>The significant positive relationship between traumatic clinical experiences and anxiety aligns with the progression of system instability, where increased stressor intensity corresponds to heightened anxiety as a manifestation of disrupted equilibrium. Anxiety, particularly its cognitive form, reflects disturbance within the system’s core processes, characterized by persistent worry and anticipatory fear that indicate compromised stability. Meanwhile, the negligible relationship between anxiety and debriefing suggests that debriefing, as currently implemented, does not effectively function as a mitigating mechanism. This implies that, although debriefing exists within the system, it may not adequately activate internal resources to restore balance, thereby limiting its effectiveness as a stabilizing intervention.</w:t>
      </w:r>
    </w:p>
    <w:p w14:paraId="6B05DCE2" w14:textId="77777777" w:rsidR="00CB1FE9" w:rsidRPr="00CB1FE9" w:rsidRDefault="00CB1FE9" w:rsidP="007855CC">
      <w:pPr>
        <w:jc w:val="both"/>
        <w:rPr>
          <w:rFonts w:ascii="Arial" w:hAnsi="Arial" w:cs="Arial"/>
        </w:rPr>
      </w:pPr>
    </w:p>
    <w:p w14:paraId="7C9C703D" w14:textId="0730825D" w:rsidR="007855CC" w:rsidRPr="00CB1FE9" w:rsidRDefault="007855CC" w:rsidP="007855CC">
      <w:pPr>
        <w:jc w:val="both"/>
        <w:rPr>
          <w:rFonts w:ascii="Arial" w:hAnsi="Arial" w:cs="Arial"/>
        </w:rPr>
      </w:pPr>
      <w:r w:rsidRPr="00CB1FE9">
        <w:rPr>
          <w:rFonts w:ascii="Arial" w:hAnsi="Arial" w:cs="Arial"/>
        </w:rPr>
        <w:t>Qualitative findings further illustrate how system disruption manifests in lived experiences. The “state of shock” represents an acute response to stressor penetration, while the “professional mask” reflects compensatory behavior aimed at maintaining system stability through emotional regulation. Evaluation anxiety introduces additional stressors that further challenge system integrity by intensifying fear of judgment and perceived incompetence. In response, students engage in adaptive coping mechanisms such as cognitive reframing, peer support, and spirituality, which function as protective resources that support system reconstitution. These strategies demonstrate the system’s dynamic effort to maintain stability despite ongoing exposure to stressors.</w:t>
      </w:r>
    </w:p>
    <w:p w14:paraId="4B89F95F" w14:textId="77777777" w:rsidR="00CB1FE9" w:rsidRPr="00CB1FE9" w:rsidRDefault="00CB1FE9" w:rsidP="007855CC">
      <w:pPr>
        <w:jc w:val="both"/>
        <w:rPr>
          <w:rFonts w:ascii="Arial" w:hAnsi="Arial" w:cs="Arial"/>
        </w:rPr>
      </w:pPr>
    </w:p>
    <w:p w14:paraId="188AC6A7" w14:textId="715E5905" w:rsidR="007855CC" w:rsidRPr="00CB1FE9" w:rsidRDefault="007855CC" w:rsidP="007855CC">
      <w:pPr>
        <w:jc w:val="both"/>
        <w:rPr>
          <w:rFonts w:ascii="Arial" w:hAnsi="Arial" w:cs="Arial"/>
        </w:rPr>
      </w:pPr>
      <w:r w:rsidRPr="00CB1FE9">
        <w:rPr>
          <w:rFonts w:ascii="Arial" w:hAnsi="Arial" w:cs="Arial"/>
        </w:rPr>
        <w:t xml:space="preserve">The integration of findings highlights a critical imbalance between stressor exposure and system support mechanisms. While students demonstrate resilience and continue to function within the clinical environment, the limited effectiveness of debriefing indicates a gap in structured support, particularly in addressing emotional processing. Consequently, students rely more heavily on informal coping strategies to achieve system reconstitution. This suggests the need to strengthen supportive interventions within the clinical setting to better align with </w:t>
      </w:r>
      <w:r w:rsidRPr="00CB1FE9">
        <w:rPr>
          <w:rFonts w:ascii="Arial" w:hAnsi="Arial" w:cs="Arial"/>
        </w:rPr>
        <w:lastRenderedPageBreak/>
        <w:t>the system’s needs, ensuring that both cognitive and emotional dimensions are addressed to promote overall stability and prevent long-term system depletion.</w:t>
      </w:r>
    </w:p>
    <w:p w14:paraId="723F6160" w14:textId="77777777" w:rsidR="007A1B07" w:rsidRDefault="007A1B07">
      <w:pPr>
        <w:rPr>
          <w:rFonts w:ascii="Arial" w:eastAsia="Arial" w:hAnsi="Arial" w:cs="Arial"/>
          <w:b/>
          <w:bCs/>
          <w:sz w:val="24"/>
          <w:szCs w:val="24"/>
        </w:rPr>
      </w:pPr>
    </w:p>
    <w:p w14:paraId="1E26FD86" w14:textId="0B69BB34" w:rsidR="008E4797" w:rsidRPr="007A1B07" w:rsidRDefault="004F3FE9">
      <w:pPr>
        <w:rPr>
          <w:rFonts w:ascii="Arial" w:eastAsia="Arial" w:hAnsi="Arial" w:cs="Arial"/>
          <w:b/>
          <w:bCs/>
          <w:sz w:val="24"/>
          <w:szCs w:val="24"/>
        </w:rPr>
      </w:pPr>
      <w:r w:rsidRPr="007A1B07">
        <w:rPr>
          <w:rFonts w:ascii="Arial" w:eastAsia="Arial" w:hAnsi="Arial" w:cs="Arial"/>
          <w:b/>
          <w:bCs/>
          <w:sz w:val="24"/>
          <w:szCs w:val="24"/>
        </w:rPr>
        <w:t xml:space="preserve">5. </w:t>
      </w:r>
      <w:r w:rsidRPr="007A1B07">
        <w:rPr>
          <w:rFonts w:ascii="Arial" w:eastAsia="Arial" w:hAnsi="Arial" w:cs="Arial"/>
          <w:b/>
          <w:bCs/>
          <w:smallCaps/>
          <w:sz w:val="22"/>
          <w:szCs w:val="22"/>
        </w:rPr>
        <w:t>Conclusion</w:t>
      </w:r>
    </w:p>
    <w:p w14:paraId="58D8BE6B" w14:textId="77777777" w:rsidR="008E4797" w:rsidRPr="007A1B07" w:rsidRDefault="008E4797">
      <w:pPr>
        <w:rPr>
          <w:rFonts w:ascii="Arial" w:hAnsi="Arial" w:cs="Arial"/>
        </w:rPr>
      </w:pPr>
    </w:p>
    <w:p w14:paraId="0E0DE651" w14:textId="2FE0644B" w:rsidR="008E4797" w:rsidRDefault="004F3FE9">
      <w:pPr>
        <w:jc w:val="both"/>
        <w:rPr>
          <w:rFonts w:ascii="Arial" w:hAnsi="Arial" w:cs="Arial"/>
        </w:rPr>
      </w:pPr>
      <w:r w:rsidRPr="007A1B07">
        <w:rPr>
          <w:rFonts w:ascii="Arial" w:hAnsi="Arial" w:cs="Arial"/>
        </w:rPr>
        <w:t xml:space="preserve">​It is concluded that traumatic clinical experiences are a constant reality for student nurses and have an extreme psychological impact on a number of students in the population. A direct relationship exists where increased exposure to clinical trauma results in higher levels of anxiety and secondary traumatic stress. Furthermore, the study concludes that there is no significant relationship between debriefing and anxiety. This </w:t>
      </w:r>
      <w:r w:rsidR="007855CC" w:rsidRPr="007A1B07">
        <w:rPr>
          <w:rFonts w:ascii="Arial" w:hAnsi="Arial" w:cs="Arial"/>
        </w:rPr>
        <w:t>advises</w:t>
      </w:r>
      <w:r w:rsidRPr="007A1B07">
        <w:rPr>
          <w:rFonts w:ascii="Arial" w:hAnsi="Arial" w:cs="Arial"/>
        </w:rPr>
        <w:t xml:space="preserve"> that while debriefing is truly comforting and useful for learning, its current implementation lacks the formal structure, timeliness, and depth required to produce reduced anxiety. Lastly, the shame linked to mental health struggles prevents students from seeking help, indicating that institutional support must change from informal sessions toward standardized, culturally relevant debriefing frameworks.</w:t>
      </w:r>
    </w:p>
    <w:p w14:paraId="4E745A27" w14:textId="60B359E4" w:rsidR="00AF2B61" w:rsidRDefault="00AF2B61">
      <w:pPr>
        <w:jc w:val="both"/>
        <w:rPr>
          <w:rFonts w:ascii="Arial" w:hAnsi="Arial" w:cs="Arial"/>
        </w:rPr>
      </w:pPr>
    </w:p>
    <w:p w14:paraId="698A6432" w14:textId="77777777" w:rsidR="00AF2B61" w:rsidRPr="00AF2B61" w:rsidRDefault="00AF2B61" w:rsidP="00AF2B61">
      <w:pPr>
        <w:jc w:val="both"/>
        <w:rPr>
          <w:rFonts w:ascii="Arial" w:hAnsi="Arial" w:cs="Arial"/>
        </w:rPr>
      </w:pPr>
      <w:r w:rsidRPr="00AF2B61">
        <w:rPr>
          <w:rFonts w:ascii="Arial" w:hAnsi="Arial" w:cs="Arial"/>
        </w:rPr>
        <w:t>LIMITATIONS</w:t>
      </w:r>
    </w:p>
    <w:p w14:paraId="7D32B584" w14:textId="77777777" w:rsidR="00AF2B61" w:rsidRPr="00AF2B61" w:rsidRDefault="00AF2B61" w:rsidP="00AF2B61">
      <w:pPr>
        <w:jc w:val="both"/>
        <w:rPr>
          <w:rFonts w:ascii="Arial" w:hAnsi="Arial" w:cs="Arial"/>
        </w:rPr>
      </w:pPr>
    </w:p>
    <w:p w14:paraId="5B8C63DB" w14:textId="1A47DEDA" w:rsidR="00AF2B61" w:rsidRDefault="00AF2B61" w:rsidP="00AF2B61">
      <w:pPr>
        <w:jc w:val="both"/>
        <w:rPr>
          <w:rFonts w:ascii="Arial" w:hAnsi="Arial" w:cs="Arial"/>
        </w:rPr>
      </w:pPr>
      <w:r w:rsidRPr="00AF2B61">
        <w:rPr>
          <w:rFonts w:ascii="Arial" w:hAnsi="Arial" w:cs="Arial"/>
        </w:rPr>
        <w:t>Future researchers should address the limitations of this study, such as having the study conducted at a single institution and the lack of a significant statistical connection between debriefing and anxiety. This can be achieved by conducting longitudinal studies. It is recommended that future studies test the effectiveness of specific standardized frameworks, like the Debriefing for Meaningful Learning (DML) among more diverse nursing populations to have a stronger evidence base for mental health interventions in nursing education.</w:t>
      </w:r>
    </w:p>
    <w:p w14:paraId="523D093E" w14:textId="77777777" w:rsidR="00AF2B61" w:rsidRPr="007A1B07" w:rsidRDefault="00AF2B61" w:rsidP="00AF2B61">
      <w:pPr>
        <w:jc w:val="both"/>
        <w:rPr>
          <w:rFonts w:ascii="Arial" w:hAnsi="Arial" w:cs="Arial"/>
        </w:rPr>
      </w:pPr>
    </w:p>
    <w:p w14:paraId="464963ED" w14:textId="77777777" w:rsidR="008E4797" w:rsidRPr="007A1B07" w:rsidRDefault="008E4797">
      <w:pPr>
        <w:pBdr>
          <w:top w:val="nil"/>
          <w:left w:val="nil"/>
          <w:bottom w:val="nil"/>
          <w:right w:val="nil"/>
          <w:between w:val="nil"/>
        </w:pBdr>
        <w:jc w:val="both"/>
        <w:rPr>
          <w:rFonts w:ascii="Arial" w:eastAsia="Arial" w:hAnsi="Arial" w:cs="Arial"/>
          <w:color w:val="000000"/>
        </w:rPr>
      </w:pPr>
    </w:p>
    <w:p w14:paraId="088B6546" w14:textId="77777777" w:rsidR="008E4797" w:rsidRPr="007A1B07" w:rsidRDefault="004F3FE9">
      <w:pPr>
        <w:keepNext/>
        <w:pBdr>
          <w:top w:val="nil"/>
          <w:left w:val="nil"/>
          <w:bottom w:val="nil"/>
          <w:right w:val="nil"/>
          <w:between w:val="nil"/>
        </w:pBdr>
        <w:jc w:val="both"/>
        <w:rPr>
          <w:rFonts w:ascii="Arial" w:eastAsia="Arial" w:hAnsi="Arial" w:cs="Arial"/>
          <w:b/>
          <w:bCs/>
          <w:smallCaps/>
          <w:color w:val="000000"/>
          <w:sz w:val="22"/>
          <w:szCs w:val="22"/>
        </w:rPr>
      </w:pPr>
      <w:r w:rsidRPr="007A1B07">
        <w:rPr>
          <w:rFonts w:ascii="Arial" w:eastAsia="Arial" w:hAnsi="Arial" w:cs="Arial"/>
          <w:b/>
          <w:bCs/>
          <w:smallCaps/>
          <w:color w:val="000000"/>
          <w:sz w:val="22"/>
          <w:szCs w:val="22"/>
        </w:rPr>
        <w:t>Competing interests</w:t>
      </w:r>
    </w:p>
    <w:p w14:paraId="66B8F0AA" w14:textId="77777777" w:rsidR="008E4797" w:rsidRPr="007A1B07" w:rsidRDefault="008E4797">
      <w:pPr>
        <w:keepNext/>
        <w:pBdr>
          <w:top w:val="nil"/>
          <w:left w:val="nil"/>
          <w:bottom w:val="nil"/>
          <w:right w:val="nil"/>
          <w:between w:val="nil"/>
        </w:pBdr>
        <w:jc w:val="both"/>
        <w:rPr>
          <w:rFonts w:ascii="Arial" w:eastAsia="Arial" w:hAnsi="Arial" w:cs="Arial"/>
          <w:b/>
          <w:bCs/>
          <w:smallCaps/>
          <w:color w:val="000000"/>
          <w:sz w:val="22"/>
          <w:szCs w:val="22"/>
        </w:rPr>
      </w:pPr>
    </w:p>
    <w:p w14:paraId="5FF59979" w14:textId="77777777" w:rsidR="008E4797" w:rsidRPr="007A1B07" w:rsidRDefault="004F3FE9">
      <w:pPr>
        <w:pBdr>
          <w:top w:val="nil"/>
          <w:left w:val="nil"/>
          <w:bottom w:val="nil"/>
          <w:right w:val="nil"/>
          <w:between w:val="nil"/>
        </w:pBdr>
        <w:jc w:val="both"/>
        <w:rPr>
          <w:rFonts w:ascii="Arial" w:hAnsi="Arial" w:cs="Arial"/>
        </w:rPr>
      </w:pPr>
      <w:r w:rsidRPr="007A1B07">
        <w:rPr>
          <w:rFonts w:ascii="Arial" w:hAnsi="Arial" w:cs="Arial"/>
        </w:rPr>
        <w:t>Authors have declared that they have no known competing financial interests OR non-financial interests OR personal relationships that could have appeared to influence the work reported in this paper.</w:t>
      </w:r>
    </w:p>
    <w:p w14:paraId="6C0DB07D" w14:textId="77777777" w:rsidR="008E4797" w:rsidRPr="007A1B07" w:rsidRDefault="008E4797">
      <w:pPr>
        <w:keepNext/>
        <w:pBdr>
          <w:top w:val="nil"/>
          <w:left w:val="nil"/>
          <w:bottom w:val="nil"/>
          <w:right w:val="nil"/>
          <w:between w:val="nil"/>
        </w:pBdr>
        <w:jc w:val="both"/>
        <w:rPr>
          <w:rFonts w:ascii="Arial" w:eastAsia="Arial" w:hAnsi="Arial" w:cs="Arial"/>
          <w:color w:val="000000"/>
        </w:rPr>
      </w:pPr>
    </w:p>
    <w:p w14:paraId="64389D13" w14:textId="77777777" w:rsidR="008E4797" w:rsidRPr="007A1B07" w:rsidRDefault="004F3FE9">
      <w:pPr>
        <w:keepNext/>
        <w:pBdr>
          <w:top w:val="nil"/>
          <w:left w:val="nil"/>
          <w:bottom w:val="nil"/>
          <w:right w:val="nil"/>
          <w:between w:val="nil"/>
        </w:pBdr>
        <w:jc w:val="both"/>
        <w:rPr>
          <w:rFonts w:ascii="Arial" w:eastAsia="Arial" w:hAnsi="Arial" w:cs="Arial"/>
          <w:b/>
          <w:bCs/>
          <w:smallCaps/>
          <w:sz w:val="22"/>
          <w:szCs w:val="22"/>
        </w:rPr>
      </w:pPr>
      <w:r w:rsidRPr="007A1B07">
        <w:rPr>
          <w:rFonts w:ascii="Arial" w:eastAsia="Arial" w:hAnsi="Arial" w:cs="Arial"/>
          <w:b/>
          <w:bCs/>
          <w:smallCaps/>
          <w:color w:val="000000"/>
          <w:sz w:val="22"/>
          <w:szCs w:val="22"/>
        </w:rPr>
        <w:t xml:space="preserve">Consent </w:t>
      </w:r>
    </w:p>
    <w:p w14:paraId="6AEED0DE" w14:textId="77777777" w:rsidR="008E4797" w:rsidRPr="007A1B07" w:rsidRDefault="008E4797">
      <w:pPr>
        <w:keepNext/>
        <w:pBdr>
          <w:top w:val="nil"/>
          <w:left w:val="nil"/>
          <w:bottom w:val="nil"/>
          <w:right w:val="nil"/>
          <w:between w:val="nil"/>
        </w:pBdr>
        <w:jc w:val="both"/>
        <w:rPr>
          <w:rFonts w:ascii="Arial" w:eastAsia="Arial" w:hAnsi="Arial" w:cs="Arial"/>
          <w:b/>
          <w:bCs/>
          <w:smallCaps/>
          <w:sz w:val="22"/>
          <w:szCs w:val="22"/>
        </w:rPr>
      </w:pPr>
    </w:p>
    <w:p w14:paraId="66CFD539" w14:textId="77777777" w:rsidR="008E4797" w:rsidRPr="007A1B07" w:rsidRDefault="004F3FE9">
      <w:pPr>
        <w:keepNext/>
        <w:pBdr>
          <w:top w:val="nil"/>
          <w:left w:val="nil"/>
          <w:bottom w:val="nil"/>
          <w:right w:val="nil"/>
          <w:between w:val="nil"/>
        </w:pBdr>
        <w:jc w:val="both"/>
        <w:rPr>
          <w:rFonts w:ascii="Arial" w:eastAsia="Arial" w:hAnsi="Arial" w:cs="Arial"/>
        </w:rPr>
      </w:pPr>
      <w:r w:rsidRPr="007A1B07">
        <w:rPr>
          <w:rFonts w:ascii="Arial" w:eastAsia="Arial" w:hAnsi="Arial" w:cs="Arial"/>
        </w:rPr>
        <w:t>Prior to data collection, all participants were provided with a comprehensive explanation regarding the study’s purpose, procedures, potential risks, and their right to withdraw at any time without penalty. The participants in this study read and voluntarily signed a written informed consent form. To ensure confidentiality and anonymity, all personal identifiers were removed from the data during analysis and reporting.</w:t>
      </w:r>
    </w:p>
    <w:p w14:paraId="4E33E038" w14:textId="77777777" w:rsidR="008E4797" w:rsidRPr="007A1B07" w:rsidRDefault="008E4797">
      <w:pPr>
        <w:keepNext/>
        <w:pBdr>
          <w:top w:val="nil"/>
          <w:left w:val="nil"/>
          <w:bottom w:val="nil"/>
          <w:right w:val="nil"/>
          <w:between w:val="nil"/>
        </w:pBdr>
        <w:jc w:val="both"/>
        <w:rPr>
          <w:rFonts w:ascii="Arial" w:eastAsia="Arial" w:hAnsi="Arial" w:cs="Arial"/>
          <w:u w:val="single"/>
        </w:rPr>
      </w:pPr>
    </w:p>
    <w:p w14:paraId="372DAF7E" w14:textId="77777777" w:rsidR="008E4797" w:rsidRPr="007A1B07" w:rsidRDefault="004F3FE9">
      <w:pPr>
        <w:keepNext/>
        <w:pBdr>
          <w:top w:val="nil"/>
          <w:left w:val="nil"/>
          <w:bottom w:val="nil"/>
          <w:right w:val="nil"/>
          <w:between w:val="nil"/>
        </w:pBdr>
        <w:jc w:val="both"/>
        <w:rPr>
          <w:rFonts w:ascii="Arial" w:eastAsia="Arial" w:hAnsi="Arial" w:cs="Arial"/>
          <w:b/>
          <w:bCs/>
          <w:smallCaps/>
          <w:sz w:val="22"/>
          <w:szCs w:val="22"/>
        </w:rPr>
      </w:pPr>
      <w:r w:rsidRPr="007A1B07">
        <w:rPr>
          <w:rFonts w:ascii="Arial" w:eastAsia="Arial" w:hAnsi="Arial" w:cs="Arial"/>
          <w:b/>
          <w:bCs/>
          <w:smallCaps/>
          <w:color w:val="000000"/>
          <w:sz w:val="22"/>
          <w:szCs w:val="22"/>
        </w:rPr>
        <w:t>Ethical approval</w:t>
      </w:r>
    </w:p>
    <w:p w14:paraId="6EB244DF" w14:textId="77777777" w:rsidR="008E4797" w:rsidRPr="007A1B07" w:rsidRDefault="008E4797">
      <w:pPr>
        <w:keepNext/>
        <w:pBdr>
          <w:top w:val="nil"/>
          <w:left w:val="nil"/>
          <w:bottom w:val="nil"/>
          <w:right w:val="nil"/>
          <w:between w:val="nil"/>
        </w:pBdr>
        <w:jc w:val="both"/>
        <w:rPr>
          <w:rFonts w:ascii="Arial" w:eastAsia="Arial" w:hAnsi="Arial" w:cs="Arial"/>
          <w:b/>
          <w:bCs/>
          <w:smallCaps/>
          <w:sz w:val="22"/>
          <w:szCs w:val="22"/>
        </w:rPr>
      </w:pPr>
    </w:p>
    <w:p w14:paraId="4808FF85" w14:textId="2B2A975D" w:rsidR="008E4797" w:rsidRPr="007A1B07" w:rsidRDefault="004F3FE9">
      <w:pPr>
        <w:keepNext/>
        <w:jc w:val="both"/>
        <w:rPr>
          <w:rFonts w:ascii="Arial" w:eastAsia="Arial" w:hAnsi="Arial" w:cs="Arial"/>
        </w:rPr>
      </w:pPr>
      <w:r w:rsidRPr="007A1B07">
        <w:rPr>
          <w:rFonts w:ascii="Arial" w:eastAsia="Arial" w:hAnsi="Arial" w:cs="Arial"/>
        </w:rPr>
        <w:t xml:space="preserve">Ethical clearance was reviewed and secured from Iloilo Doctors’ Institutional Research Ethics Committee (IDIREC) with the code IDIREC-2025-OI-196.  This was to ensure participant protection and research integrity prior to data collection. </w:t>
      </w:r>
      <w:bookmarkStart w:id="0" w:name="_GoBack"/>
      <w:bookmarkEnd w:id="0"/>
      <w:r w:rsidRPr="007A1B07">
        <w:rPr>
          <w:rFonts w:ascii="Arial" w:eastAsia="Arial" w:hAnsi="Arial" w:cs="Arial"/>
        </w:rPr>
        <w:t xml:space="preserve">The study was categorized as minimal risk. To address potential psychological distress from discussing traumatic events, a professional counselor or clinical instructor was on standby to provide support or referrals if needed. Confidentiality was strictly maintained by limiting data access to the research team. Anonymity was ensured by using pseudonyms or codes for qualitative transcripts and keeping quantitative surveys anonymous. All personal data were collected and handled in accordance </w:t>
      </w:r>
      <w:r w:rsidRPr="007A1B07">
        <w:rPr>
          <w:rFonts w:ascii="Arial" w:eastAsia="Arial" w:hAnsi="Arial" w:cs="Arial"/>
        </w:rPr>
        <w:lastRenderedPageBreak/>
        <w:t>with RA 10173 (Data Privacy Act of 2012). Digital data were encrypted, and all records are to be stored securely for two years following the study’s completion.</w:t>
      </w:r>
    </w:p>
    <w:p w14:paraId="1C3F695C" w14:textId="77777777" w:rsidR="008E4797" w:rsidRPr="007A1B07" w:rsidRDefault="008E4797">
      <w:pPr>
        <w:keepNext/>
        <w:jc w:val="both"/>
        <w:rPr>
          <w:rFonts w:ascii="Arial" w:eastAsia="Arial" w:hAnsi="Arial" w:cs="Arial"/>
        </w:rPr>
      </w:pPr>
    </w:p>
    <w:p w14:paraId="4E23B17F" w14:textId="77777777" w:rsidR="008E4797" w:rsidRPr="007A1B07" w:rsidRDefault="008E4797">
      <w:pPr>
        <w:keepNext/>
        <w:pBdr>
          <w:top w:val="nil"/>
          <w:left w:val="nil"/>
          <w:bottom w:val="nil"/>
          <w:right w:val="nil"/>
          <w:between w:val="nil"/>
        </w:pBdr>
        <w:jc w:val="both"/>
        <w:rPr>
          <w:rFonts w:ascii="Arial" w:eastAsia="Arial" w:hAnsi="Arial" w:cs="Arial"/>
        </w:rPr>
      </w:pPr>
    </w:p>
    <w:p w14:paraId="607FA352" w14:textId="77777777" w:rsidR="007A1B07" w:rsidRDefault="007A1B07">
      <w:pPr>
        <w:rPr>
          <w:rFonts w:ascii="Arial" w:eastAsia="Arial" w:hAnsi="Arial" w:cs="Arial"/>
          <w:b/>
          <w:bCs/>
          <w:smallCaps/>
          <w:sz w:val="22"/>
          <w:szCs w:val="22"/>
        </w:rPr>
      </w:pPr>
    </w:p>
    <w:p w14:paraId="4DE3A32E" w14:textId="77777777" w:rsidR="007A1B07" w:rsidRDefault="007A1B07">
      <w:pPr>
        <w:rPr>
          <w:rFonts w:ascii="Arial" w:eastAsia="Arial" w:hAnsi="Arial" w:cs="Arial"/>
          <w:b/>
          <w:bCs/>
          <w:smallCaps/>
          <w:sz w:val="22"/>
          <w:szCs w:val="22"/>
        </w:rPr>
      </w:pPr>
    </w:p>
    <w:p w14:paraId="4A5D4348" w14:textId="1BA96DBD" w:rsidR="008E4797" w:rsidRPr="007A1B07" w:rsidRDefault="004F3FE9">
      <w:pPr>
        <w:rPr>
          <w:rFonts w:ascii="Arial" w:hAnsi="Arial" w:cs="Arial"/>
          <w:b/>
          <w:bCs/>
        </w:rPr>
      </w:pPr>
      <w:r w:rsidRPr="007A1B07">
        <w:rPr>
          <w:rFonts w:ascii="Arial" w:eastAsia="Arial" w:hAnsi="Arial" w:cs="Arial"/>
          <w:b/>
          <w:bCs/>
          <w:smallCaps/>
          <w:sz w:val="22"/>
          <w:szCs w:val="22"/>
        </w:rPr>
        <w:t>DISCLAIMER (ARTIFICIAL INTELLIGENC</w:t>
      </w:r>
      <w:r w:rsidRPr="007A1B07">
        <w:rPr>
          <w:rFonts w:ascii="Arial" w:hAnsi="Arial" w:cs="Arial"/>
          <w:b/>
          <w:bCs/>
        </w:rPr>
        <w:t>E)</w:t>
      </w:r>
    </w:p>
    <w:p w14:paraId="76EAFB71" w14:textId="77777777" w:rsidR="008E4797" w:rsidRPr="007A1B07" w:rsidRDefault="004F3FE9">
      <w:pPr>
        <w:rPr>
          <w:rFonts w:ascii="Arial" w:hAnsi="Arial" w:cs="Arial"/>
        </w:rPr>
      </w:pPr>
      <w:r w:rsidRPr="007A1B07">
        <w:rPr>
          <w:rFonts w:ascii="Arial" w:hAnsi="Arial" w:cs="Arial"/>
        </w:rPr>
        <w:t>Authors hereby declare that NO generative AI technologies such as Large Language Models (</w:t>
      </w:r>
      <w:proofErr w:type="spellStart"/>
      <w:r w:rsidRPr="007A1B07">
        <w:rPr>
          <w:rFonts w:ascii="Arial" w:hAnsi="Arial" w:cs="Arial"/>
        </w:rPr>
        <w:t>ChatGPT</w:t>
      </w:r>
      <w:proofErr w:type="spellEnd"/>
      <w:r w:rsidRPr="007A1B07">
        <w:rPr>
          <w:rFonts w:ascii="Arial" w:hAnsi="Arial" w:cs="Arial"/>
        </w:rPr>
        <w:t xml:space="preserve">, COPILOT, etc.) and text-to-image generators have been used during the writing or editing of this manuscript. </w:t>
      </w:r>
    </w:p>
    <w:p w14:paraId="2FBD1989" w14:textId="77777777" w:rsidR="008E4797" w:rsidRPr="007A1B07" w:rsidRDefault="008E4797">
      <w:pPr>
        <w:keepNext/>
        <w:pBdr>
          <w:top w:val="nil"/>
          <w:left w:val="nil"/>
          <w:bottom w:val="nil"/>
          <w:right w:val="nil"/>
          <w:between w:val="nil"/>
        </w:pBdr>
        <w:jc w:val="both"/>
        <w:rPr>
          <w:rFonts w:ascii="Arial" w:eastAsia="Arial" w:hAnsi="Arial" w:cs="Arial"/>
          <w:b/>
          <w:bCs/>
          <w:smallCaps/>
        </w:rPr>
      </w:pPr>
    </w:p>
    <w:p w14:paraId="04895D70" w14:textId="77777777" w:rsidR="008E4797" w:rsidRPr="007A1B07" w:rsidRDefault="004F3FE9">
      <w:pPr>
        <w:keepNext/>
        <w:pBdr>
          <w:top w:val="nil"/>
          <w:left w:val="nil"/>
          <w:bottom w:val="nil"/>
          <w:right w:val="nil"/>
          <w:between w:val="nil"/>
        </w:pBdr>
        <w:jc w:val="both"/>
        <w:rPr>
          <w:rFonts w:ascii="Arial" w:eastAsia="Arial" w:hAnsi="Arial" w:cs="Arial"/>
          <w:color w:val="000000"/>
        </w:rPr>
      </w:pPr>
      <w:r w:rsidRPr="007A1B07">
        <w:rPr>
          <w:rFonts w:ascii="Arial" w:eastAsia="Arial" w:hAnsi="Arial" w:cs="Arial"/>
          <w:b/>
          <w:bCs/>
          <w:smallCaps/>
          <w:color w:val="000000"/>
          <w:sz w:val="22"/>
          <w:szCs w:val="22"/>
        </w:rPr>
        <w:t>References</w:t>
      </w:r>
    </w:p>
    <w:p w14:paraId="24D23BCD" w14:textId="77777777" w:rsidR="008E4797" w:rsidRPr="007A1B07" w:rsidRDefault="008E4797">
      <w:pPr>
        <w:pBdr>
          <w:top w:val="nil"/>
          <w:left w:val="nil"/>
          <w:bottom w:val="nil"/>
          <w:right w:val="nil"/>
          <w:between w:val="nil"/>
        </w:pBdr>
        <w:jc w:val="both"/>
        <w:rPr>
          <w:rFonts w:ascii="Arial" w:eastAsia="Arial" w:hAnsi="Arial" w:cs="Arial"/>
          <w:i/>
          <w:iCs/>
          <w:u w:val="single"/>
        </w:rPr>
      </w:pPr>
    </w:p>
    <w:p w14:paraId="304CDE19" w14:textId="77777777" w:rsidR="008E4797" w:rsidRPr="004C6C9C" w:rsidRDefault="004F3FE9" w:rsidP="004C6C9C">
      <w:pPr>
        <w:pStyle w:val="ListParagraph"/>
        <w:numPr>
          <w:ilvl w:val="0"/>
          <w:numId w:val="1"/>
        </w:numPr>
        <w:rPr>
          <w:rFonts w:ascii="Arial" w:hAnsi="Arial" w:cs="Arial"/>
        </w:rPr>
      </w:pPr>
      <w:proofErr w:type="spellStart"/>
      <w:r w:rsidRPr="004C6C9C">
        <w:rPr>
          <w:rFonts w:ascii="Arial" w:hAnsi="Arial" w:cs="Arial"/>
        </w:rPr>
        <w:t>Albulescu</w:t>
      </w:r>
      <w:proofErr w:type="spellEnd"/>
      <w:r w:rsidRPr="004C6C9C">
        <w:rPr>
          <w:rFonts w:ascii="Arial" w:hAnsi="Arial" w:cs="Arial"/>
        </w:rPr>
        <w:t xml:space="preserve">, I., </w:t>
      </w:r>
      <w:proofErr w:type="spellStart"/>
      <w:r w:rsidRPr="004C6C9C">
        <w:rPr>
          <w:rFonts w:ascii="Arial" w:hAnsi="Arial" w:cs="Arial"/>
        </w:rPr>
        <w:t>Labar</w:t>
      </w:r>
      <w:proofErr w:type="spellEnd"/>
      <w:r w:rsidRPr="004C6C9C">
        <w:rPr>
          <w:rFonts w:ascii="Arial" w:hAnsi="Arial" w:cs="Arial"/>
        </w:rPr>
        <w:t xml:space="preserve">, A., </w:t>
      </w:r>
      <w:proofErr w:type="spellStart"/>
      <w:r w:rsidRPr="004C6C9C">
        <w:rPr>
          <w:rFonts w:ascii="Arial" w:hAnsi="Arial" w:cs="Arial"/>
        </w:rPr>
        <w:t>Manea</w:t>
      </w:r>
      <w:proofErr w:type="spellEnd"/>
      <w:r w:rsidRPr="004C6C9C">
        <w:rPr>
          <w:rFonts w:ascii="Arial" w:hAnsi="Arial" w:cs="Arial"/>
        </w:rPr>
        <w:t xml:space="preserve">, A. D., &amp; Stan, C. (2023). The Mediating Role of Anxiety between Parenting Styles and Academic Performance among Primary School Students in the Context of Sustainable Education. Sustainability, 15(2), 1539. </w:t>
      </w:r>
      <w:hyperlink r:id="rId14">
        <w:r w:rsidRPr="004C6C9C">
          <w:rPr>
            <w:rFonts w:ascii="Arial" w:hAnsi="Arial" w:cs="Arial"/>
          </w:rPr>
          <w:t>https://doi.org/10.3390/su15021539</w:t>
        </w:r>
      </w:hyperlink>
    </w:p>
    <w:p w14:paraId="0FF12885" w14:textId="77777777" w:rsidR="008E4797" w:rsidRPr="007A1B07" w:rsidRDefault="008E4797">
      <w:pPr>
        <w:rPr>
          <w:rFonts w:ascii="Arial" w:hAnsi="Arial" w:cs="Arial"/>
        </w:rPr>
      </w:pPr>
    </w:p>
    <w:p w14:paraId="31AC3C13"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Al-</w:t>
      </w:r>
      <w:proofErr w:type="spellStart"/>
      <w:r w:rsidRPr="004C6C9C">
        <w:rPr>
          <w:rFonts w:ascii="Arial" w:hAnsi="Arial" w:cs="Arial"/>
        </w:rPr>
        <w:t>Najdi</w:t>
      </w:r>
      <w:proofErr w:type="spellEnd"/>
      <w:r w:rsidRPr="004C6C9C">
        <w:rPr>
          <w:rFonts w:ascii="Arial" w:hAnsi="Arial" w:cs="Arial"/>
        </w:rPr>
        <w:t>, S., Mansoor, A., Hayk, O. A., Al-</w:t>
      </w:r>
      <w:proofErr w:type="spellStart"/>
      <w:r w:rsidRPr="004C6C9C">
        <w:rPr>
          <w:rFonts w:ascii="Arial" w:hAnsi="Arial" w:cs="Arial"/>
        </w:rPr>
        <w:t>Hashimi</w:t>
      </w:r>
      <w:proofErr w:type="spellEnd"/>
      <w:r w:rsidRPr="004C6C9C">
        <w:rPr>
          <w:rFonts w:ascii="Arial" w:hAnsi="Arial" w:cs="Arial"/>
        </w:rPr>
        <w:t>, N., Ali, K., &amp; Daud, A. (2025).</w:t>
      </w:r>
    </w:p>
    <w:p w14:paraId="378982DD" w14:textId="77777777" w:rsidR="008E4797" w:rsidRPr="004C6C9C" w:rsidRDefault="004F3FE9" w:rsidP="004C6C9C">
      <w:pPr>
        <w:pStyle w:val="ListParagraph"/>
        <w:rPr>
          <w:rFonts w:ascii="Arial" w:hAnsi="Arial" w:cs="Arial"/>
        </w:rPr>
      </w:pPr>
      <w:r w:rsidRPr="004C6C9C">
        <w:rPr>
          <w:rFonts w:ascii="Arial" w:hAnsi="Arial" w:cs="Arial"/>
        </w:rPr>
        <w:t xml:space="preserve">Silent struggles: a qualitative study exploring mental health challenges of undergraduate healthcare students. </w:t>
      </w:r>
      <w:r w:rsidRPr="004C6C9C">
        <w:rPr>
          <w:rFonts w:ascii="Arial" w:hAnsi="Arial" w:cs="Arial"/>
          <w:i/>
          <w:iCs/>
        </w:rPr>
        <w:t>BMC Medical Education, 25</w:t>
      </w:r>
      <w:r w:rsidRPr="004C6C9C">
        <w:rPr>
          <w:rFonts w:ascii="Arial" w:hAnsi="Arial" w:cs="Arial"/>
        </w:rPr>
        <w:t>(1). https://doi.org/10.1186/s12909-025-06740-8</w:t>
      </w:r>
    </w:p>
    <w:p w14:paraId="316E2995" w14:textId="77777777" w:rsidR="008E4797" w:rsidRPr="007A1B07" w:rsidRDefault="008E4797">
      <w:pPr>
        <w:rPr>
          <w:rFonts w:ascii="Arial" w:hAnsi="Arial" w:cs="Arial"/>
        </w:rPr>
      </w:pPr>
    </w:p>
    <w:p w14:paraId="6A3E160A"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Araújo, A. a. C., De Godoy, S., Ventura, C. a. A., Silva, Í. R., De Almeida, E. W. S., &amp; Mendes, </w:t>
      </w:r>
      <w:proofErr w:type="spellStart"/>
      <w:r w:rsidRPr="004C6C9C">
        <w:rPr>
          <w:rFonts w:ascii="Arial" w:hAnsi="Arial" w:cs="Arial"/>
        </w:rPr>
        <w:t>I.a</w:t>
      </w:r>
      <w:proofErr w:type="spellEnd"/>
      <w:r w:rsidRPr="004C6C9C">
        <w:rPr>
          <w:rFonts w:ascii="Arial" w:hAnsi="Arial" w:cs="Arial"/>
        </w:rPr>
        <w:t>. C. (2022). Reflections on nursing students’ fear and anxiety arising from clinical practicums.</w:t>
      </w:r>
      <w:r w:rsidRPr="004C6C9C">
        <w:rPr>
          <w:rFonts w:ascii="Arial" w:hAnsi="Arial" w:cs="Arial"/>
          <w:i/>
          <w:iCs/>
        </w:rPr>
        <w:t xml:space="preserve"> </w:t>
      </w:r>
      <w:proofErr w:type="spellStart"/>
      <w:r w:rsidRPr="004C6C9C">
        <w:rPr>
          <w:rFonts w:ascii="Arial" w:hAnsi="Arial" w:cs="Arial"/>
          <w:i/>
          <w:iCs/>
        </w:rPr>
        <w:t>Investigación</w:t>
      </w:r>
      <w:proofErr w:type="spellEnd"/>
      <w:r w:rsidRPr="004C6C9C">
        <w:rPr>
          <w:rFonts w:ascii="Arial" w:hAnsi="Arial" w:cs="Arial"/>
          <w:i/>
          <w:iCs/>
        </w:rPr>
        <w:t xml:space="preserve"> Y </w:t>
      </w:r>
      <w:proofErr w:type="spellStart"/>
      <w:r w:rsidRPr="004C6C9C">
        <w:rPr>
          <w:rFonts w:ascii="Arial" w:hAnsi="Arial" w:cs="Arial"/>
          <w:i/>
          <w:iCs/>
        </w:rPr>
        <w:t>Educación</w:t>
      </w:r>
      <w:proofErr w:type="spellEnd"/>
      <w:r w:rsidRPr="004C6C9C">
        <w:rPr>
          <w:rFonts w:ascii="Arial" w:hAnsi="Arial" w:cs="Arial"/>
          <w:i/>
          <w:iCs/>
        </w:rPr>
        <w:t xml:space="preserve"> </w:t>
      </w:r>
      <w:proofErr w:type="spellStart"/>
      <w:r w:rsidRPr="004C6C9C">
        <w:rPr>
          <w:rFonts w:ascii="Arial" w:hAnsi="Arial" w:cs="Arial"/>
          <w:i/>
          <w:iCs/>
        </w:rPr>
        <w:t>En</w:t>
      </w:r>
      <w:proofErr w:type="spellEnd"/>
      <w:r w:rsidRPr="004C6C9C">
        <w:rPr>
          <w:rFonts w:ascii="Arial" w:hAnsi="Arial" w:cs="Arial"/>
          <w:i/>
          <w:iCs/>
        </w:rPr>
        <w:t xml:space="preserve"> </w:t>
      </w:r>
      <w:proofErr w:type="spellStart"/>
      <w:r w:rsidRPr="004C6C9C">
        <w:rPr>
          <w:rFonts w:ascii="Arial" w:hAnsi="Arial" w:cs="Arial"/>
          <w:i/>
          <w:iCs/>
        </w:rPr>
        <w:t>Enfermería</w:t>
      </w:r>
      <w:proofErr w:type="spellEnd"/>
      <w:r w:rsidRPr="004C6C9C">
        <w:rPr>
          <w:rFonts w:ascii="Arial" w:hAnsi="Arial" w:cs="Arial"/>
          <w:i/>
          <w:iCs/>
        </w:rPr>
        <w:t>, 40</w:t>
      </w:r>
      <w:r w:rsidRPr="004C6C9C">
        <w:rPr>
          <w:rFonts w:ascii="Arial" w:hAnsi="Arial" w:cs="Arial"/>
        </w:rPr>
        <w:t>(3). https://doi.org/10.17533/udea.iee.v40n3e13</w:t>
      </w:r>
    </w:p>
    <w:p w14:paraId="6AE06076" w14:textId="77777777" w:rsidR="008E4797" w:rsidRPr="007A1B07" w:rsidRDefault="008E4797">
      <w:pPr>
        <w:rPr>
          <w:rFonts w:ascii="Arial" w:hAnsi="Arial" w:cs="Arial"/>
        </w:rPr>
      </w:pPr>
    </w:p>
    <w:p w14:paraId="3CE17F1C"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Bae, J., Lee, J., Jang, Y., &amp; Lee, Y. (2019). Development of simulation education debriefing protocol with faculty guide for enhancement clinical reasoning. </w:t>
      </w:r>
      <w:r w:rsidRPr="004C6C9C">
        <w:rPr>
          <w:rFonts w:ascii="Arial" w:hAnsi="Arial" w:cs="Arial"/>
          <w:i/>
          <w:iCs/>
        </w:rPr>
        <w:t>BMC Medical Education, 19</w:t>
      </w:r>
      <w:r w:rsidRPr="004C6C9C">
        <w:rPr>
          <w:rFonts w:ascii="Arial" w:hAnsi="Arial" w:cs="Arial"/>
        </w:rPr>
        <w:t>(1). https://doi.org/10.1186/s12909-019-1633-8</w:t>
      </w:r>
    </w:p>
    <w:p w14:paraId="31D632E9" w14:textId="77777777" w:rsidR="008E4797" w:rsidRPr="007A1B07" w:rsidRDefault="008E4797">
      <w:pPr>
        <w:rPr>
          <w:rFonts w:ascii="Arial" w:hAnsi="Arial" w:cs="Arial"/>
        </w:rPr>
      </w:pPr>
    </w:p>
    <w:p w14:paraId="016BD10A"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Beck, C. T., </w:t>
      </w:r>
      <w:proofErr w:type="spellStart"/>
      <w:r w:rsidRPr="004C6C9C">
        <w:rPr>
          <w:rFonts w:ascii="Arial" w:hAnsi="Arial" w:cs="Arial"/>
        </w:rPr>
        <w:t>Cusson</w:t>
      </w:r>
      <w:proofErr w:type="spellEnd"/>
      <w:r w:rsidRPr="004C6C9C">
        <w:rPr>
          <w:rFonts w:ascii="Arial" w:hAnsi="Arial" w:cs="Arial"/>
        </w:rPr>
        <w:t xml:space="preserve">, R. M., &amp; Gable, R. K. (2017). Secondary Traumatic Stress in NICU Nurses: A Mixed-Methods Study. Advances in neonatal </w:t>
      </w:r>
      <w:proofErr w:type="gramStart"/>
      <w:r w:rsidRPr="004C6C9C">
        <w:rPr>
          <w:rFonts w:ascii="Arial" w:hAnsi="Arial" w:cs="Arial"/>
        </w:rPr>
        <w:t>care :</w:t>
      </w:r>
      <w:proofErr w:type="gramEnd"/>
      <w:r w:rsidRPr="004C6C9C">
        <w:rPr>
          <w:rFonts w:ascii="Arial" w:hAnsi="Arial" w:cs="Arial"/>
        </w:rPr>
        <w:t xml:space="preserve"> official journal of the National Association of Neonatal Nurses, 17(6), 478–488. </w:t>
      </w:r>
      <w:hyperlink r:id="rId15">
        <w:r w:rsidRPr="004C6C9C">
          <w:rPr>
            <w:rFonts w:ascii="Arial" w:hAnsi="Arial" w:cs="Arial"/>
          </w:rPr>
          <w:t>https://doi.org/10.1097/ANC.0000000000000428</w:t>
        </w:r>
      </w:hyperlink>
    </w:p>
    <w:p w14:paraId="203F2F8C" w14:textId="77777777" w:rsidR="008E4797" w:rsidRPr="007A1B07" w:rsidRDefault="008E4797">
      <w:pPr>
        <w:rPr>
          <w:rFonts w:ascii="Arial" w:hAnsi="Arial" w:cs="Arial"/>
        </w:rPr>
      </w:pPr>
    </w:p>
    <w:p w14:paraId="330FC934" w14:textId="77777777" w:rsidR="008E4797" w:rsidRPr="004C6C9C" w:rsidRDefault="004F3FE9" w:rsidP="004C6C9C">
      <w:pPr>
        <w:pStyle w:val="ListParagraph"/>
        <w:numPr>
          <w:ilvl w:val="0"/>
          <w:numId w:val="1"/>
        </w:numPr>
        <w:rPr>
          <w:rFonts w:ascii="Arial" w:eastAsia="Arial" w:hAnsi="Arial" w:cs="Arial"/>
          <w:sz w:val="16"/>
          <w:szCs w:val="16"/>
        </w:rPr>
      </w:pPr>
      <w:r w:rsidRPr="004C6C9C">
        <w:rPr>
          <w:rFonts w:ascii="Arial" w:eastAsia="Arial" w:hAnsi="Arial" w:cs="Arial"/>
        </w:rPr>
        <w:t xml:space="preserve">Beck C. T. (2011). Secondary traumatic stress in nurses: a systematic review. Archives of psychiatric nursing, 25(1), 1–10. </w:t>
      </w:r>
      <w:hyperlink r:id="rId16">
        <w:r w:rsidRPr="004C6C9C">
          <w:rPr>
            <w:rFonts w:ascii="Arial" w:eastAsia="Arial" w:hAnsi="Arial" w:cs="Arial"/>
          </w:rPr>
          <w:t>https://doi.org/10.1016/j.apnu.2010.05.005</w:t>
        </w:r>
      </w:hyperlink>
    </w:p>
    <w:p w14:paraId="7FA6AFD5" w14:textId="77777777" w:rsidR="008E4797" w:rsidRPr="007A1B07" w:rsidRDefault="008E4797">
      <w:pPr>
        <w:ind w:left="720"/>
        <w:rPr>
          <w:rFonts w:ascii="Arial" w:hAnsi="Arial" w:cs="Arial"/>
        </w:rPr>
      </w:pPr>
    </w:p>
    <w:p w14:paraId="38B48211"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eastAsia="Times New Roman" w:hAnsi="Arial" w:cs="Arial"/>
          <w:sz w:val="24"/>
          <w:szCs w:val="24"/>
        </w:rPr>
      </w:pPr>
      <w:r w:rsidRPr="004C6C9C">
        <w:rPr>
          <w:rFonts w:ascii="Arial" w:hAnsi="Arial" w:cs="Arial"/>
        </w:rPr>
        <w:t xml:space="preserve">Cambridge, P., </w:t>
      </w:r>
      <w:proofErr w:type="spellStart"/>
      <w:r w:rsidRPr="004C6C9C">
        <w:rPr>
          <w:rFonts w:ascii="Arial" w:hAnsi="Arial" w:cs="Arial"/>
        </w:rPr>
        <w:t>Brockenshire</w:t>
      </w:r>
      <w:proofErr w:type="spellEnd"/>
      <w:r w:rsidRPr="004C6C9C">
        <w:rPr>
          <w:rFonts w:ascii="Arial" w:hAnsi="Arial" w:cs="Arial"/>
        </w:rPr>
        <w:t xml:space="preserve">, N., Bridge, N., &amp; Jarden, R. J. (2023). Entry to practice nursing students' experiences of debriefing during clinical practice: A qualitative meta-synthesis. </w:t>
      </w:r>
      <w:r w:rsidRPr="004C6C9C">
        <w:rPr>
          <w:rFonts w:ascii="Arial" w:hAnsi="Arial" w:cs="Arial"/>
          <w:i/>
          <w:iCs/>
        </w:rPr>
        <w:t>Nurse education today</w:t>
      </w:r>
      <w:r w:rsidRPr="004C6C9C">
        <w:rPr>
          <w:rFonts w:ascii="Arial" w:hAnsi="Arial" w:cs="Arial"/>
        </w:rPr>
        <w:t xml:space="preserve">, 128, 105871. </w:t>
      </w:r>
      <w:hyperlink r:id="rId17">
        <w:r w:rsidRPr="004C6C9C">
          <w:rPr>
            <w:rFonts w:ascii="Arial" w:hAnsi="Arial" w:cs="Arial"/>
          </w:rPr>
          <w:t>https://doi.org/10.1016/j.nedt.2023.105871</w:t>
        </w:r>
      </w:hyperlink>
    </w:p>
    <w:p w14:paraId="7FEE95D2" w14:textId="77777777" w:rsidR="008E4797" w:rsidRPr="007A1B07" w:rsidRDefault="008E4797">
      <w:pPr>
        <w:pBdr>
          <w:top w:val="nil"/>
          <w:left w:val="nil"/>
          <w:bottom w:val="nil"/>
          <w:right w:val="nil"/>
          <w:between w:val="nil"/>
        </w:pBdr>
        <w:jc w:val="both"/>
        <w:rPr>
          <w:rFonts w:ascii="Arial" w:eastAsia="Times New Roman" w:hAnsi="Arial" w:cs="Arial"/>
          <w:sz w:val="24"/>
          <w:szCs w:val="24"/>
        </w:rPr>
      </w:pPr>
    </w:p>
    <w:p w14:paraId="7EF69CB6"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proofErr w:type="spellStart"/>
      <w:r w:rsidRPr="004C6C9C">
        <w:rPr>
          <w:rFonts w:ascii="Arial" w:hAnsi="Arial" w:cs="Arial"/>
        </w:rPr>
        <w:t>Chachula</w:t>
      </w:r>
      <w:proofErr w:type="spellEnd"/>
      <w:r w:rsidRPr="004C6C9C">
        <w:rPr>
          <w:rFonts w:ascii="Arial" w:hAnsi="Arial" w:cs="Arial"/>
        </w:rPr>
        <w:t>, K. M., &amp; Varley, E. (2022). Perceptions and experiences of psychological trauma in nursing and psychiatric nursing students: A small scale qualitative case study.</w:t>
      </w:r>
      <w:r w:rsidRPr="004C6C9C">
        <w:rPr>
          <w:rFonts w:ascii="Arial" w:hAnsi="Arial" w:cs="Arial"/>
          <w:i/>
          <w:iCs/>
        </w:rPr>
        <w:t xml:space="preserve"> PLOS ONE, 17</w:t>
      </w:r>
      <w:r w:rsidRPr="004C6C9C">
        <w:rPr>
          <w:rFonts w:ascii="Arial" w:hAnsi="Arial" w:cs="Arial"/>
        </w:rPr>
        <w:t xml:space="preserve">(11), e0277195. </w:t>
      </w:r>
      <w:hyperlink r:id="rId18">
        <w:r w:rsidRPr="004C6C9C">
          <w:rPr>
            <w:rFonts w:ascii="Arial" w:hAnsi="Arial" w:cs="Arial"/>
          </w:rPr>
          <w:t>https://doi.org/10.1371/journal.pone.0277195</w:t>
        </w:r>
      </w:hyperlink>
    </w:p>
    <w:p w14:paraId="55E6E308" w14:textId="77777777" w:rsidR="008E4797" w:rsidRPr="007A1B07" w:rsidRDefault="008E4797">
      <w:pPr>
        <w:pBdr>
          <w:top w:val="nil"/>
          <w:left w:val="nil"/>
          <w:bottom w:val="nil"/>
          <w:right w:val="nil"/>
          <w:between w:val="nil"/>
        </w:pBdr>
        <w:jc w:val="both"/>
        <w:rPr>
          <w:rFonts w:ascii="Arial" w:hAnsi="Arial" w:cs="Arial"/>
        </w:rPr>
      </w:pPr>
    </w:p>
    <w:p w14:paraId="15A09FEC"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Ching, S. S. Y., &amp; Cheung, K. (2021). Factors affecting resilience of nursing, optometry, radiography and medical laboratory science students. </w:t>
      </w:r>
      <w:r w:rsidRPr="004C6C9C">
        <w:rPr>
          <w:rFonts w:ascii="Arial" w:hAnsi="Arial" w:cs="Arial"/>
          <w:i/>
          <w:iCs/>
        </w:rPr>
        <w:t xml:space="preserve">International </w:t>
      </w:r>
      <w:r w:rsidRPr="004C6C9C">
        <w:rPr>
          <w:rFonts w:ascii="Arial" w:hAnsi="Arial" w:cs="Arial"/>
          <w:i/>
          <w:iCs/>
        </w:rPr>
        <w:lastRenderedPageBreak/>
        <w:t>Journal of Environmental Research and Public Health</w:t>
      </w:r>
      <w:r w:rsidRPr="004C6C9C">
        <w:rPr>
          <w:rFonts w:ascii="Arial" w:hAnsi="Arial" w:cs="Arial"/>
        </w:rPr>
        <w:t xml:space="preserve">, </w:t>
      </w:r>
      <w:r w:rsidRPr="004C6C9C">
        <w:rPr>
          <w:rFonts w:ascii="Arial" w:hAnsi="Arial" w:cs="Arial"/>
          <w:i/>
          <w:iCs/>
        </w:rPr>
        <w:t>18</w:t>
      </w:r>
      <w:r w:rsidRPr="004C6C9C">
        <w:rPr>
          <w:rFonts w:ascii="Arial" w:hAnsi="Arial" w:cs="Arial"/>
        </w:rPr>
        <w:t>(8), 3867.</w:t>
      </w:r>
      <w:hyperlink r:id="rId19">
        <w:r w:rsidRPr="004C6C9C">
          <w:rPr>
            <w:rFonts w:ascii="Arial" w:hAnsi="Arial" w:cs="Arial"/>
          </w:rPr>
          <w:t>https://pmc.ncbi.nlm.nih.gov/articles/PMC8067740/</w:t>
        </w:r>
      </w:hyperlink>
    </w:p>
    <w:p w14:paraId="4E23D76E" w14:textId="77777777" w:rsidR="008E4797" w:rsidRPr="007A1B07" w:rsidRDefault="008E4797">
      <w:pPr>
        <w:rPr>
          <w:rFonts w:ascii="Arial" w:hAnsi="Arial" w:cs="Arial"/>
        </w:rPr>
      </w:pPr>
    </w:p>
    <w:p w14:paraId="500C87BA"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Dias, J. M., </w:t>
      </w:r>
      <w:proofErr w:type="spellStart"/>
      <w:r w:rsidRPr="004C6C9C">
        <w:rPr>
          <w:rFonts w:ascii="Arial" w:hAnsi="Arial" w:cs="Arial"/>
        </w:rPr>
        <w:t>Subu</w:t>
      </w:r>
      <w:proofErr w:type="spellEnd"/>
      <w:r w:rsidRPr="004C6C9C">
        <w:rPr>
          <w:rFonts w:ascii="Arial" w:hAnsi="Arial" w:cs="Arial"/>
        </w:rPr>
        <w:t>, M. A., Al-</w:t>
      </w:r>
      <w:proofErr w:type="spellStart"/>
      <w:r w:rsidRPr="004C6C9C">
        <w:rPr>
          <w:rFonts w:ascii="Arial" w:hAnsi="Arial" w:cs="Arial"/>
        </w:rPr>
        <w:t>Yateem</w:t>
      </w:r>
      <w:proofErr w:type="spellEnd"/>
      <w:r w:rsidRPr="004C6C9C">
        <w:rPr>
          <w:rFonts w:ascii="Arial" w:hAnsi="Arial" w:cs="Arial"/>
        </w:rPr>
        <w:t xml:space="preserve">, N., Ahmed, F. R., Rahman, S. A., Abraham, M. S. </w:t>
      </w:r>
      <w:proofErr w:type="spellStart"/>
      <w:r w:rsidRPr="004C6C9C">
        <w:rPr>
          <w:rFonts w:ascii="Arial" w:hAnsi="Arial" w:cs="Arial"/>
        </w:rPr>
        <w:t>Forootan</w:t>
      </w:r>
      <w:proofErr w:type="spellEnd"/>
      <w:r w:rsidRPr="004C6C9C">
        <w:rPr>
          <w:rFonts w:ascii="Arial" w:hAnsi="Arial" w:cs="Arial"/>
        </w:rPr>
        <w:t xml:space="preserve">, S. M., </w:t>
      </w:r>
      <w:proofErr w:type="spellStart"/>
      <w:r w:rsidRPr="004C6C9C">
        <w:rPr>
          <w:rFonts w:ascii="Arial" w:hAnsi="Arial" w:cs="Arial"/>
        </w:rPr>
        <w:t>Sarkhosh</w:t>
      </w:r>
      <w:proofErr w:type="spellEnd"/>
      <w:r w:rsidRPr="004C6C9C">
        <w:rPr>
          <w:rFonts w:ascii="Arial" w:hAnsi="Arial" w:cs="Arial"/>
        </w:rPr>
        <w:t xml:space="preserve">, F. A., &amp; </w:t>
      </w:r>
      <w:proofErr w:type="spellStart"/>
      <w:r w:rsidRPr="004C6C9C">
        <w:rPr>
          <w:rFonts w:ascii="Arial" w:hAnsi="Arial" w:cs="Arial"/>
        </w:rPr>
        <w:t>Javanbakh</w:t>
      </w:r>
      <w:proofErr w:type="spellEnd"/>
      <w:r w:rsidRPr="004C6C9C">
        <w:rPr>
          <w:rFonts w:ascii="Arial" w:hAnsi="Arial" w:cs="Arial"/>
        </w:rPr>
        <w:t>, F. (2024). Nursing students’ stressors and coping strategies during their first clinical training: a qualitative study in the United Arab Emirates.</w:t>
      </w:r>
      <w:r w:rsidRPr="004C6C9C">
        <w:rPr>
          <w:rFonts w:ascii="Arial" w:hAnsi="Arial" w:cs="Arial"/>
          <w:i/>
          <w:iCs/>
        </w:rPr>
        <w:t xml:space="preserve"> BMC Nursing, 23</w:t>
      </w:r>
      <w:r w:rsidRPr="004C6C9C">
        <w:rPr>
          <w:rFonts w:ascii="Arial" w:hAnsi="Arial" w:cs="Arial"/>
        </w:rPr>
        <w:t>(1). https://doi.org/10.1186/s12912-024-01962-5</w:t>
      </w:r>
    </w:p>
    <w:p w14:paraId="0BBFD293" w14:textId="77777777" w:rsidR="008E4797" w:rsidRPr="007A1B07" w:rsidRDefault="008E4797">
      <w:pPr>
        <w:pBdr>
          <w:top w:val="nil"/>
          <w:left w:val="nil"/>
          <w:bottom w:val="nil"/>
          <w:right w:val="nil"/>
          <w:between w:val="nil"/>
        </w:pBdr>
        <w:jc w:val="both"/>
        <w:rPr>
          <w:rFonts w:ascii="Arial" w:hAnsi="Arial" w:cs="Arial"/>
        </w:rPr>
      </w:pPr>
    </w:p>
    <w:p w14:paraId="58FE095F"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Duffy, E., Avalos, G., &amp; Dowling, M. (2015). Secondary traumatic stress among emergency nurses: a cross-sectional study. </w:t>
      </w:r>
      <w:r w:rsidRPr="004C6C9C">
        <w:rPr>
          <w:rFonts w:ascii="Arial" w:hAnsi="Arial" w:cs="Arial"/>
          <w:i/>
          <w:iCs/>
        </w:rPr>
        <w:t xml:space="preserve">International emergency nursing, </w:t>
      </w:r>
      <w:r w:rsidRPr="004C6C9C">
        <w:rPr>
          <w:rFonts w:ascii="Arial" w:hAnsi="Arial" w:cs="Arial"/>
        </w:rPr>
        <w:t>23(2), 53–58. https://doi.org/10.1016/j.ienj.2014.05.001</w:t>
      </w:r>
    </w:p>
    <w:p w14:paraId="24BA75A7" w14:textId="77777777" w:rsidR="008E4797" w:rsidRPr="007A1B07" w:rsidRDefault="008E4797">
      <w:pPr>
        <w:pBdr>
          <w:top w:val="nil"/>
          <w:left w:val="nil"/>
          <w:bottom w:val="nil"/>
          <w:right w:val="nil"/>
          <w:between w:val="nil"/>
        </w:pBdr>
        <w:jc w:val="both"/>
        <w:rPr>
          <w:rFonts w:ascii="Arial" w:hAnsi="Arial" w:cs="Arial"/>
        </w:rPr>
      </w:pPr>
    </w:p>
    <w:p w14:paraId="20404FFA" w14:textId="77777777" w:rsidR="008E4797" w:rsidRPr="004C6C9C" w:rsidRDefault="004F3FE9" w:rsidP="004C6C9C">
      <w:pPr>
        <w:pStyle w:val="ListParagraph"/>
        <w:numPr>
          <w:ilvl w:val="0"/>
          <w:numId w:val="1"/>
        </w:numPr>
        <w:rPr>
          <w:rFonts w:ascii="Arial" w:hAnsi="Arial" w:cs="Arial"/>
          <w:highlight w:val="white"/>
        </w:rPr>
      </w:pPr>
      <w:r w:rsidRPr="004C6C9C">
        <w:rPr>
          <w:rFonts w:ascii="Arial" w:hAnsi="Arial" w:cs="Arial"/>
        </w:rPr>
        <w:t>Fetters, M. D., Curry, L. A., &amp; Creswell, J. W. (2013). Achieving Integration in Mixed Methods Designs—Principles and Practices.</w:t>
      </w:r>
      <w:r w:rsidRPr="004C6C9C">
        <w:rPr>
          <w:rFonts w:ascii="Arial" w:hAnsi="Arial" w:cs="Arial"/>
          <w:i/>
          <w:iCs/>
        </w:rPr>
        <w:t xml:space="preserve"> Health Services Research, 48</w:t>
      </w:r>
      <w:r w:rsidRPr="004C6C9C">
        <w:rPr>
          <w:rFonts w:ascii="Arial" w:hAnsi="Arial" w:cs="Arial"/>
        </w:rPr>
        <w:t xml:space="preserve">(6pt2), 2134–2156. </w:t>
      </w:r>
      <w:hyperlink r:id="rId20">
        <w:r w:rsidRPr="004C6C9C">
          <w:rPr>
            <w:rFonts w:ascii="Arial" w:hAnsi="Arial" w:cs="Arial"/>
          </w:rPr>
          <w:t>https://doi.org/10.1111/1475-6773.12117</w:t>
        </w:r>
      </w:hyperlink>
    </w:p>
    <w:p w14:paraId="5E48E829" w14:textId="77777777" w:rsidR="008E4797" w:rsidRPr="007A1B07" w:rsidRDefault="008E4797">
      <w:pPr>
        <w:rPr>
          <w:rFonts w:ascii="Arial" w:hAnsi="Arial" w:cs="Arial"/>
        </w:rPr>
      </w:pPr>
    </w:p>
    <w:p w14:paraId="2DFF4B88"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highlight w:val="white"/>
        </w:rPr>
        <w:t xml:space="preserve">Fisher, R. A. (1950). </w:t>
      </w:r>
      <w:r w:rsidRPr="004C6C9C">
        <w:rPr>
          <w:rFonts w:ascii="Arial" w:hAnsi="Arial" w:cs="Arial"/>
          <w:i/>
          <w:iCs/>
          <w:highlight w:val="white"/>
        </w:rPr>
        <w:t>Statistical methods for research workers</w:t>
      </w:r>
      <w:r w:rsidRPr="004C6C9C">
        <w:rPr>
          <w:rFonts w:ascii="Arial" w:hAnsi="Arial" w:cs="Arial"/>
          <w:highlight w:val="white"/>
        </w:rPr>
        <w:t xml:space="preserve"> (11th ed.). Oliver and Boyd. Retrieved from </w:t>
      </w:r>
      <w:hyperlink r:id="rId21">
        <w:r w:rsidRPr="004C6C9C">
          <w:rPr>
            <w:rFonts w:ascii="Arial" w:hAnsi="Arial" w:cs="Arial"/>
            <w:highlight w:val="white"/>
          </w:rPr>
          <w:t>https://digital.library.adelaide.edu.au/dspace/handle/2440/15227</w:t>
        </w:r>
      </w:hyperlink>
    </w:p>
    <w:p w14:paraId="360163B1" w14:textId="77777777" w:rsidR="008E4797" w:rsidRPr="007A1B07" w:rsidRDefault="008E4797">
      <w:pPr>
        <w:rPr>
          <w:rFonts w:ascii="Arial" w:hAnsi="Arial" w:cs="Arial"/>
        </w:rPr>
      </w:pPr>
    </w:p>
    <w:p w14:paraId="6E5A5B7C"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Franco-</w:t>
      </w:r>
      <w:proofErr w:type="spellStart"/>
      <w:r w:rsidRPr="004C6C9C">
        <w:rPr>
          <w:rFonts w:ascii="Arial" w:hAnsi="Arial" w:cs="Arial"/>
        </w:rPr>
        <w:t>Tantuico</w:t>
      </w:r>
      <w:proofErr w:type="spellEnd"/>
      <w:r w:rsidRPr="004C6C9C">
        <w:rPr>
          <w:rFonts w:ascii="Arial" w:hAnsi="Arial" w:cs="Arial"/>
        </w:rPr>
        <w:t xml:space="preserve">, M. A., &amp; </w:t>
      </w:r>
      <w:proofErr w:type="spellStart"/>
      <w:r w:rsidRPr="004C6C9C">
        <w:rPr>
          <w:rFonts w:ascii="Arial" w:hAnsi="Arial" w:cs="Arial"/>
        </w:rPr>
        <w:t>Btoush</w:t>
      </w:r>
      <w:proofErr w:type="spellEnd"/>
      <w:r w:rsidRPr="004C6C9C">
        <w:rPr>
          <w:rFonts w:ascii="Arial" w:hAnsi="Arial" w:cs="Arial"/>
        </w:rPr>
        <w:t xml:space="preserve">, R. (2025). Simulation Debriefing in Graduate Nursing Education: A literature review. Nursing Education Perspectives, 46(5), 278–283. </w:t>
      </w:r>
      <w:hyperlink r:id="rId22">
        <w:r w:rsidRPr="004C6C9C">
          <w:rPr>
            <w:rFonts w:ascii="Arial" w:hAnsi="Arial" w:cs="Arial"/>
          </w:rPr>
          <w:t>https://doi.org/10.1097/01.nep.0000000000001434</w:t>
        </w:r>
      </w:hyperlink>
    </w:p>
    <w:p w14:paraId="1B748A40" w14:textId="77777777" w:rsidR="008E4797" w:rsidRPr="007A1B07" w:rsidRDefault="008E4797">
      <w:pPr>
        <w:ind w:right="1080"/>
        <w:rPr>
          <w:rFonts w:ascii="Arial" w:hAnsi="Arial" w:cs="Arial"/>
        </w:rPr>
      </w:pPr>
    </w:p>
    <w:p w14:paraId="60E889CC" w14:textId="00AD1BB7" w:rsidR="008E4797" w:rsidRPr="004C6C9C" w:rsidRDefault="004F3FE9" w:rsidP="004C6C9C">
      <w:pPr>
        <w:pStyle w:val="ListParagraph"/>
        <w:numPr>
          <w:ilvl w:val="0"/>
          <w:numId w:val="1"/>
        </w:numPr>
        <w:ind w:right="1080"/>
        <w:rPr>
          <w:rFonts w:ascii="Arial" w:hAnsi="Arial" w:cs="Arial"/>
        </w:rPr>
      </w:pPr>
      <w:r w:rsidRPr="004C6C9C">
        <w:rPr>
          <w:rFonts w:ascii="Arial" w:hAnsi="Arial" w:cs="Arial"/>
        </w:rPr>
        <w:t xml:space="preserve">Goffman, E. (1959). The presentation of self in everyday </w:t>
      </w:r>
      <w:proofErr w:type="spellStart"/>
      <w:r w:rsidRPr="004C6C9C">
        <w:rPr>
          <w:rFonts w:ascii="Arial" w:hAnsi="Arial" w:cs="Arial"/>
        </w:rPr>
        <w:t>life.Doubleday</w:t>
      </w:r>
      <w:proofErr w:type="spellEnd"/>
      <w:r w:rsidRPr="004C6C9C">
        <w:rPr>
          <w:rFonts w:ascii="Arial" w:hAnsi="Arial" w:cs="Arial"/>
        </w:rPr>
        <w:t xml:space="preserve">. </w:t>
      </w:r>
      <w:hyperlink r:id="rId23">
        <w:r w:rsidRPr="004C6C9C">
          <w:rPr>
            <w:rFonts w:ascii="Arial" w:hAnsi="Arial" w:cs="Arial"/>
          </w:rPr>
          <w:t>https://archive.org/details/presentationofs00goff</w:t>
        </w:r>
      </w:hyperlink>
    </w:p>
    <w:p w14:paraId="53FB3B10" w14:textId="77777777" w:rsidR="008E4797" w:rsidRPr="007A1B07" w:rsidRDefault="008E4797">
      <w:pPr>
        <w:rPr>
          <w:rFonts w:ascii="Arial" w:hAnsi="Arial" w:cs="Arial"/>
        </w:rPr>
      </w:pPr>
    </w:p>
    <w:p w14:paraId="6815BA7D"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González-Tejerina, B., Pérez-Corrales, J., Palacios-</w:t>
      </w:r>
      <w:proofErr w:type="spellStart"/>
      <w:r w:rsidRPr="004C6C9C">
        <w:rPr>
          <w:rFonts w:ascii="Arial" w:hAnsi="Arial" w:cs="Arial"/>
        </w:rPr>
        <w:t>Ceña</w:t>
      </w:r>
      <w:proofErr w:type="spellEnd"/>
      <w:r w:rsidRPr="004C6C9C">
        <w:rPr>
          <w:rFonts w:ascii="Arial" w:hAnsi="Arial" w:cs="Arial"/>
        </w:rPr>
        <w:t xml:space="preserve">, D., Abad-Valle, J., Gómez, P. R., González-Toledo, B., </w:t>
      </w:r>
      <w:proofErr w:type="spellStart"/>
      <w:r w:rsidRPr="004C6C9C">
        <w:rPr>
          <w:rFonts w:ascii="Arial" w:hAnsi="Arial" w:cs="Arial"/>
        </w:rPr>
        <w:t>García-Carpintero</w:t>
      </w:r>
      <w:proofErr w:type="spellEnd"/>
      <w:r w:rsidRPr="004C6C9C">
        <w:rPr>
          <w:rFonts w:ascii="Arial" w:hAnsi="Arial" w:cs="Arial"/>
        </w:rPr>
        <w:t xml:space="preserve"> Blas, E., &amp; Garrigues-Ramón, M. (2025). Nursing Students' Perceptions of Clinical Debriefing TALK©: A Qualitative Case Study. </w:t>
      </w:r>
      <w:r w:rsidRPr="004C6C9C">
        <w:rPr>
          <w:rFonts w:ascii="Arial" w:hAnsi="Arial" w:cs="Arial"/>
          <w:i/>
          <w:iCs/>
        </w:rPr>
        <w:t>Nursing reports</w:t>
      </w:r>
      <w:r w:rsidRPr="004C6C9C">
        <w:rPr>
          <w:rFonts w:ascii="Arial" w:hAnsi="Arial" w:cs="Arial"/>
        </w:rPr>
        <w:t xml:space="preserve"> (Pavia, Italy), 15(6), 194. </w:t>
      </w:r>
      <w:hyperlink r:id="rId24">
        <w:r w:rsidRPr="004C6C9C">
          <w:rPr>
            <w:rFonts w:ascii="Arial" w:hAnsi="Arial" w:cs="Arial"/>
          </w:rPr>
          <w:t>https://doi.org/10.3390/nursrep15060194</w:t>
        </w:r>
      </w:hyperlink>
    </w:p>
    <w:p w14:paraId="24A039E9" w14:textId="77777777" w:rsidR="008E4797" w:rsidRPr="007A1B07" w:rsidRDefault="008E4797">
      <w:pPr>
        <w:ind w:left="720"/>
        <w:rPr>
          <w:rFonts w:ascii="Arial" w:hAnsi="Arial" w:cs="Arial"/>
        </w:rPr>
      </w:pPr>
    </w:p>
    <w:p w14:paraId="31DA53B9"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Gupta, A., Mishra, P., Pandey, C., Singh, U., </w:t>
      </w:r>
      <w:proofErr w:type="spellStart"/>
      <w:r w:rsidRPr="004C6C9C">
        <w:rPr>
          <w:rFonts w:ascii="Arial" w:hAnsi="Arial" w:cs="Arial"/>
        </w:rPr>
        <w:t>Sahu</w:t>
      </w:r>
      <w:proofErr w:type="spellEnd"/>
      <w:r w:rsidRPr="004C6C9C">
        <w:rPr>
          <w:rFonts w:ascii="Arial" w:hAnsi="Arial" w:cs="Arial"/>
        </w:rPr>
        <w:t xml:space="preserve">, C., &amp; </w:t>
      </w:r>
      <w:proofErr w:type="spellStart"/>
      <w:r w:rsidRPr="004C6C9C">
        <w:rPr>
          <w:rFonts w:ascii="Arial" w:hAnsi="Arial" w:cs="Arial"/>
        </w:rPr>
        <w:t>Keshri</w:t>
      </w:r>
      <w:proofErr w:type="spellEnd"/>
      <w:r w:rsidRPr="004C6C9C">
        <w:rPr>
          <w:rFonts w:ascii="Arial" w:hAnsi="Arial" w:cs="Arial"/>
        </w:rPr>
        <w:t xml:space="preserve">, A. (2019). Descriptive statistics and normality tests for statistical data. </w:t>
      </w:r>
      <w:r w:rsidRPr="004C6C9C">
        <w:rPr>
          <w:rFonts w:ascii="Arial" w:hAnsi="Arial" w:cs="Arial"/>
          <w:i/>
          <w:iCs/>
        </w:rPr>
        <w:t xml:space="preserve">Annals of Cardiac </w:t>
      </w:r>
      <w:proofErr w:type="spellStart"/>
      <w:r w:rsidRPr="004C6C9C">
        <w:rPr>
          <w:rFonts w:ascii="Arial" w:hAnsi="Arial" w:cs="Arial"/>
          <w:i/>
          <w:iCs/>
        </w:rPr>
        <w:t>Anaesthesia</w:t>
      </w:r>
      <w:proofErr w:type="spellEnd"/>
      <w:r w:rsidRPr="004C6C9C">
        <w:rPr>
          <w:rFonts w:ascii="Arial" w:hAnsi="Arial" w:cs="Arial"/>
        </w:rPr>
        <w:t xml:space="preserve">, 22(1), 67. </w:t>
      </w:r>
      <w:hyperlink r:id="rId25">
        <w:r w:rsidRPr="004C6C9C">
          <w:rPr>
            <w:rFonts w:ascii="Arial" w:hAnsi="Arial" w:cs="Arial"/>
          </w:rPr>
          <w:t>https://doi.org/10.4103/aca.aca_157_18</w:t>
        </w:r>
      </w:hyperlink>
    </w:p>
    <w:p w14:paraId="1FCA9CE7" w14:textId="77777777" w:rsidR="008E4797" w:rsidRPr="007A1B07" w:rsidRDefault="008E4797">
      <w:pPr>
        <w:rPr>
          <w:rFonts w:ascii="Arial" w:hAnsi="Arial" w:cs="Arial"/>
        </w:rPr>
      </w:pPr>
    </w:p>
    <w:p w14:paraId="3AF20257" w14:textId="77777777" w:rsidR="008E4797" w:rsidRPr="004C6C9C" w:rsidRDefault="004F3FE9" w:rsidP="004C6C9C">
      <w:pPr>
        <w:pStyle w:val="ListParagraph"/>
        <w:numPr>
          <w:ilvl w:val="0"/>
          <w:numId w:val="1"/>
        </w:numPr>
        <w:pBdr>
          <w:top w:val="nil"/>
          <w:left w:val="nil"/>
          <w:bottom w:val="nil"/>
          <w:right w:val="nil"/>
          <w:between w:val="nil"/>
        </w:pBdr>
        <w:rPr>
          <w:rFonts w:ascii="Arial" w:hAnsi="Arial" w:cs="Arial"/>
        </w:rPr>
      </w:pPr>
      <w:proofErr w:type="spellStart"/>
      <w:r w:rsidRPr="004C6C9C">
        <w:rPr>
          <w:rFonts w:ascii="Arial" w:hAnsi="Arial" w:cs="Arial"/>
        </w:rPr>
        <w:t>Handayani</w:t>
      </w:r>
      <w:proofErr w:type="spellEnd"/>
      <w:r w:rsidRPr="004C6C9C">
        <w:rPr>
          <w:rFonts w:ascii="Arial" w:hAnsi="Arial" w:cs="Arial"/>
        </w:rPr>
        <w:t xml:space="preserve">, F., Jonathan, B., </w:t>
      </w:r>
      <w:proofErr w:type="spellStart"/>
      <w:r w:rsidRPr="004C6C9C">
        <w:rPr>
          <w:rFonts w:ascii="Arial" w:hAnsi="Arial" w:cs="Arial"/>
        </w:rPr>
        <w:t>Joshuar</w:t>
      </w:r>
      <w:proofErr w:type="spellEnd"/>
      <w:r w:rsidRPr="004C6C9C">
        <w:rPr>
          <w:rFonts w:ascii="Arial" w:hAnsi="Arial" w:cs="Arial"/>
        </w:rPr>
        <w:t xml:space="preserve">, W., Mark, E., &amp; Halim, C. (2024). Coping strategies in overcoming academic stress among high school students. </w:t>
      </w:r>
      <w:r w:rsidRPr="004C6C9C">
        <w:rPr>
          <w:rFonts w:ascii="Arial" w:hAnsi="Arial" w:cs="Arial"/>
          <w:i/>
          <w:iCs/>
        </w:rPr>
        <w:t xml:space="preserve">Journal </w:t>
      </w:r>
      <w:proofErr w:type="spellStart"/>
      <w:r w:rsidRPr="004C6C9C">
        <w:rPr>
          <w:rFonts w:ascii="Arial" w:hAnsi="Arial" w:cs="Arial"/>
          <w:i/>
          <w:iCs/>
        </w:rPr>
        <w:t>Neosantara</w:t>
      </w:r>
      <w:proofErr w:type="spellEnd"/>
      <w:r w:rsidRPr="004C6C9C">
        <w:rPr>
          <w:rFonts w:ascii="Arial" w:hAnsi="Arial" w:cs="Arial"/>
          <w:i/>
          <w:iCs/>
        </w:rPr>
        <w:t xml:space="preserve"> Hybrid Learning, 2</w:t>
      </w:r>
      <w:r w:rsidRPr="004C6C9C">
        <w:rPr>
          <w:rFonts w:ascii="Arial" w:hAnsi="Arial" w:cs="Arial"/>
        </w:rPr>
        <w:t>(1), 426–441. https://doi.org/10.55849/jnhl.v2i1.939</w:t>
      </w:r>
    </w:p>
    <w:p w14:paraId="715094D3" w14:textId="77777777" w:rsidR="008E4797" w:rsidRPr="007A1B07" w:rsidRDefault="008E4797">
      <w:pPr>
        <w:rPr>
          <w:rFonts w:ascii="Arial" w:hAnsi="Arial" w:cs="Arial"/>
        </w:rPr>
      </w:pPr>
    </w:p>
    <w:p w14:paraId="3B6A5EF6"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Hochschild, A. R. (2012). The managed heart: Commercialization of human feeling (3rd ed.). University of California Press. </w:t>
      </w:r>
      <w:hyperlink r:id="rId26">
        <w:r w:rsidRPr="004C6C9C">
          <w:rPr>
            <w:rFonts w:ascii="Arial" w:hAnsi="Arial" w:cs="Arial"/>
          </w:rPr>
          <w:t>https://www.ucpress.edu/books/the-managed-heart/paper</w:t>
        </w:r>
      </w:hyperlink>
    </w:p>
    <w:p w14:paraId="7AC9C407" w14:textId="77777777" w:rsidR="008E4797" w:rsidRPr="007A1B07" w:rsidRDefault="008E4797">
      <w:pPr>
        <w:ind w:left="720"/>
        <w:rPr>
          <w:rFonts w:ascii="Arial" w:hAnsi="Arial" w:cs="Arial"/>
        </w:rPr>
      </w:pPr>
    </w:p>
    <w:p w14:paraId="29723762"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Hood, T. L., &amp; Copeland, D. (2021). Student Nurses’ Experiences of Critical Events in the Clinical Setting: A Grounded Theory. </w:t>
      </w:r>
      <w:r w:rsidRPr="004C6C9C">
        <w:rPr>
          <w:rFonts w:ascii="Arial" w:hAnsi="Arial" w:cs="Arial"/>
          <w:i/>
          <w:iCs/>
        </w:rPr>
        <w:t>Journal of Professional Nursing, 37</w:t>
      </w:r>
      <w:r w:rsidRPr="004C6C9C">
        <w:rPr>
          <w:rFonts w:ascii="Arial" w:hAnsi="Arial" w:cs="Arial"/>
        </w:rPr>
        <w:t xml:space="preserve">(5), 885–893. </w:t>
      </w:r>
      <w:hyperlink r:id="rId27">
        <w:r w:rsidRPr="004C6C9C">
          <w:rPr>
            <w:rFonts w:ascii="Arial" w:hAnsi="Arial" w:cs="Arial"/>
          </w:rPr>
          <w:t>https://doi.org/10.1016/j.profnurs.2021.07.007</w:t>
        </w:r>
      </w:hyperlink>
    </w:p>
    <w:p w14:paraId="1DC36160" w14:textId="77777777" w:rsidR="008E4797" w:rsidRPr="007A1B07" w:rsidRDefault="008E4797">
      <w:pPr>
        <w:ind w:left="720"/>
        <w:rPr>
          <w:rFonts w:ascii="Arial" w:hAnsi="Arial" w:cs="Arial"/>
        </w:rPr>
      </w:pPr>
    </w:p>
    <w:p w14:paraId="6B7B713F" w14:textId="77777777" w:rsidR="008E4797" w:rsidRPr="004C6C9C" w:rsidRDefault="004F3FE9" w:rsidP="004C6C9C">
      <w:pPr>
        <w:pStyle w:val="ListParagraph"/>
        <w:numPr>
          <w:ilvl w:val="0"/>
          <w:numId w:val="1"/>
        </w:numPr>
        <w:rPr>
          <w:rFonts w:ascii="Arial" w:hAnsi="Arial" w:cs="Arial"/>
        </w:rPr>
      </w:pPr>
      <w:proofErr w:type="spellStart"/>
      <w:r w:rsidRPr="004C6C9C">
        <w:rPr>
          <w:rFonts w:ascii="Arial" w:hAnsi="Arial" w:cs="Arial"/>
        </w:rPr>
        <w:t>Hoying</w:t>
      </w:r>
      <w:proofErr w:type="spellEnd"/>
      <w:r w:rsidRPr="004C6C9C">
        <w:rPr>
          <w:rFonts w:ascii="Arial" w:hAnsi="Arial" w:cs="Arial"/>
        </w:rPr>
        <w:t xml:space="preserve">, J., Melnyk, B. M., Hutson, E., &amp; Tan, A. (2020). Prevalence and Correlates of Depression, Anxiety, Stress, Healthy Beliefs, and Lifestyle Behaviors in First-Year </w:t>
      </w:r>
      <w:r w:rsidRPr="004C6C9C">
        <w:rPr>
          <w:rFonts w:ascii="Arial" w:hAnsi="Arial" w:cs="Arial"/>
        </w:rPr>
        <w:lastRenderedPageBreak/>
        <w:t xml:space="preserve">Graduate Health Sciences Students. </w:t>
      </w:r>
      <w:r w:rsidRPr="004C6C9C">
        <w:rPr>
          <w:rFonts w:ascii="Arial" w:hAnsi="Arial" w:cs="Arial"/>
          <w:i/>
          <w:iCs/>
        </w:rPr>
        <w:t>Worldviews on evidence-based nursing</w:t>
      </w:r>
      <w:r w:rsidRPr="004C6C9C">
        <w:rPr>
          <w:rFonts w:ascii="Arial" w:hAnsi="Arial" w:cs="Arial"/>
        </w:rPr>
        <w:t xml:space="preserve">, 17(1), 49–59. </w:t>
      </w:r>
      <w:hyperlink r:id="rId28">
        <w:r w:rsidRPr="004C6C9C">
          <w:rPr>
            <w:rFonts w:ascii="Arial" w:hAnsi="Arial" w:cs="Arial"/>
          </w:rPr>
          <w:t>https://doi.org/10.1111/wvn.12415</w:t>
        </w:r>
      </w:hyperlink>
    </w:p>
    <w:p w14:paraId="79B461C3" w14:textId="77777777" w:rsidR="008E4797" w:rsidRPr="007A1B07" w:rsidRDefault="008E4797">
      <w:pPr>
        <w:rPr>
          <w:rFonts w:ascii="Arial" w:hAnsi="Arial" w:cs="Arial"/>
        </w:rPr>
      </w:pPr>
    </w:p>
    <w:p w14:paraId="18177AFD"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Hurley, M., &amp; </w:t>
      </w:r>
      <w:proofErr w:type="spellStart"/>
      <w:r w:rsidRPr="004C6C9C">
        <w:rPr>
          <w:rFonts w:ascii="Arial" w:hAnsi="Arial" w:cs="Arial"/>
        </w:rPr>
        <w:t>Tenny</w:t>
      </w:r>
      <w:proofErr w:type="spellEnd"/>
      <w:r w:rsidRPr="004C6C9C">
        <w:rPr>
          <w:rFonts w:ascii="Arial" w:hAnsi="Arial" w:cs="Arial"/>
        </w:rPr>
        <w:t xml:space="preserve">, S. (2023, July 17). </w:t>
      </w:r>
      <w:r w:rsidRPr="004C6C9C">
        <w:rPr>
          <w:rFonts w:ascii="Arial" w:hAnsi="Arial" w:cs="Arial"/>
          <w:i/>
          <w:iCs/>
        </w:rPr>
        <w:t>Mean</w:t>
      </w:r>
      <w:r w:rsidRPr="004C6C9C">
        <w:rPr>
          <w:rFonts w:ascii="Arial" w:hAnsi="Arial" w:cs="Arial"/>
        </w:rPr>
        <w:t xml:space="preserve">. </w:t>
      </w:r>
      <w:proofErr w:type="spellStart"/>
      <w:r w:rsidRPr="004C6C9C">
        <w:rPr>
          <w:rFonts w:ascii="Arial" w:hAnsi="Arial" w:cs="Arial"/>
        </w:rPr>
        <w:t>StatPearls</w:t>
      </w:r>
      <w:proofErr w:type="spellEnd"/>
      <w:r w:rsidRPr="004C6C9C">
        <w:rPr>
          <w:rFonts w:ascii="Arial" w:hAnsi="Arial" w:cs="Arial"/>
        </w:rPr>
        <w:t xml:space="preserve"> - NCBI Bookshelf. https://www.ncbi.nlm.nih.gov/sites/books/NBK546702/</w:t>
      </w:r>
    </w:p>
    <w:p w14:paraId="57D60D35" w14:textId="77777777" w:rsidR="008E4797" w:rsidRPr="007A1B07" w:rsidRDefault="008E4797">
      <w:pPr>
        <w:rPr>
          <w:rFonts w:ascii="Arial" w:hAnsi="Arial" w:cs="Arial"/>
        </w:rPr>
      </w:pPr>
    </w:p>
    <w:p w14:paraId="39DF3917" w14:textId="572D51EF" w:rsidR="008E4797" w:rsidRPr="004C6C9C" w:rsidRDefault="004F3FE9" w:rsidP="004C6C9C">
      <w:pPr>
        <w:pStyle w:val="ListParagraph"/>
        <w:numPr>
          <w:ilvl w:val="0"/>
          <w:numId w:val="1"/>
        </w:numPr>
        <w:rPr>
          <w:rFonts w:ascii="Arial" w:hAnsi="Arial" w:cs="Arial"/>
        </w:rPr>
      </w:pPr>
      <w:proofErr w:type="spellStart"/>
      <w:r w:rsidRPr="004C6C9C">
        <w:rPr>
          <w:rFonts w:ascii="Arial" w:hAnsi="Arial" w:cs="Arial"/>
        </w:rPr>
        <w:t>Kotera</w:t>
      </w:r>
      <w:proofErr w:type="spellEnd"/>
      <w:r w:rsidRPr="004C6C9C">
        <w:rPr>
          <w:rFonts w:ascii="Arial" w:hAnsi="Arial" w:cs="Arial"/>
        </w:rPr>
        <w:t xml:space="preserve">, Y., Jackson, J. E., Kirkman, A., Edwards, A., Colman, R., Underhill, A., </w:t>
      </w:r>
      <w:proofErr w:type="spellStart"/>
      <w:r w:rsidRPr="004C6C9C">
        <w:rPr>
          <w:rFonts w:ascii="Arial" w:hAnsi="Arial" w:cs="Arial"/>
        </w:rPr>
        <w:t>Jackson,J</w:t>
      </w:r>
      <w:proofErr w:type="spellEnd"/>
      <w:r w:rsidRPr="004C6C9C">
        <w:rPr>
          <w:rFonts w:ascii="Arial" w:hAnsi="Arial" w:cs="Arial"/>
        </w:rPr>
        <w:t xml:space="preserve">. G., Baker, D., &amp; Ozaki, A. (2023). Comparing the mental health of healthcare students: Mental health shame and self-compassion in counselling, occupational therapy, nursing and social work students. </w:t>
      </w:r>
      <w:r w:rsidRPr="004C6C9C">
        <w:rPr>
          <w:rFonts w:ascii="Arial" w:hAnsi="Arial" w:cs="Arial"/>
          <w:i/>
          <w:iCs/>
        </w:rPr>
        <w:t>International Journal of Mental Health and Addiction.</w:t>
      </w:r>
      <w:r w:rsidRPr="004C6C9C">
        <w:rPr>
          <w:rFonts w:ascii="Arial" w:hAnsi="Arial" w:cs="Arial"/>
        </w:rPr>
        <w:t xml:space="preserve"> Advance online publication.</w:t>
      </w:r>
    </w:p>
    <w:p w14:paraId="439DF13C" w14:textId="77777777" w:rsidR="008E4797" w:rsidRPr="004C6C9C" w:rsidRDefault="004F3FE9" w:rsidP="004C6C9C">
      <w:pPr>
        <w:pStyle w:val="ListParagraph"/>
        <w:rPr>
          <w:rFonts w:ascii="Arial" w:hAnsi="Arial" w:cs="Arial"/>
        </w:rPr>
      </w:pPr>
      <w:r w:rsidRPr="004C6C9C">
        <w:rPr>
          <w:rFonts w:ascii="Arial" w:hAnsi="Arial" w:cs="Arial"/>
        </w:rPr>
        <w:t>https://doi.org/10.1007/s11469-023-01018-w</w:t>
      </w:r>
    </w:p>
    <w:p w14:paraId="1D3C6862" w14:textId="77777777" w:rsidR="008E4797" w:rsidRPr="007A1B07" w:rsidRDefault="008E4797">
      <w:pPr>
        <w:rPr>
          <w:rFonts w:ascii="Arial" w:hAnsi="Arial" w:cs="Arial"/>
        </w:rPr>
      </w:pPr>
    </w:p>
    <w:p w14:paraId="317D4C6C" w14:textId="77777777" w:rsidR="008E4797" w:rsidRPr="004C6C9C" w:rsidRDefault="004F3FE9" w:rsidP="004C6C9C">
      <w:pPr>
        <w:pStyle w:val="ListParagraph"/>
        <w:numPr>
          <w:ilvl w:val="0"/>
          <w:numId w:val="1"/>
        </w:numPr>
        <w:rPr>
          <w:rFonts w:ascii="Arial" w:hAnsi="Arial" w:cs="Arial"/>
        </w:rPr>
      </w:pPr>
      <w:proofErr w:type="spellStart"/>
      <w:r w:rsidRPr="004C6C9C">
        <w:rPr>
          <w:rFonts w:ascii="Arial" w:hAnsi="Arial" w:cs="Arial"/>
        </w:rPr>
        <w:t>Labrague</w:t>
      </w:r>
      <w:proofErr w:type="spellEnd"/>
      <w:r w:rsidRPr="004C6C9C">
        <w:rPr>
          <w:rFonts w:ascii="Arial" w:hAnsi="Arial" w:cs="Arial"/>
        </w:rPr>
        <w:t>, L. J., McEnroe-</w:t>
      </w:r>
      <w:proofErr w:type="spellStart"/>
      <w:r w:rsidRPr="004C6C9C">
        <w:rPr>
          <w:rFonts w:ascii="Arial" w:hAnsi="Arial" w:cs="Arial"/>
        </w:rPr>
        <w:t>Petitte</w:t>
      </w:r>
      <w:proofErr w:type="spellEnd"/>
      <w:r w:rsidRPr="004C6C9C">
        <w:rPr>
          <w:rFonts w:ascii="Arial" w:hAnsi="Arial" w:cs="Arial"/>
        </w:rPr>
        <w:t xml:space="preserve">, D. M., Al Amri, M., </w:t>
      </w:r>
      <w:proofErr w:type="spellStart"/>
      <w:r w:rsidRPr="004C6C9C">
        <w:rPr>
          <w:rFonts w:ascii="Arial" w:hAnsi="Arial" w:cs="Arial"/>
        </w:rPr>
        <w:t>Fronda</w:t>
      </w:r>
      <w:proofErr w:type="spellEnd"/>
      <w:r w:rsidRPr="004C6C9C">
        <w:rPr>
          <w:rFonts w:ascii="Arial" w:hAnsi="Arial" w:cs="Arial"/>
        </w:rPr>
        <w:t xml:space="preserve">, D. C., &amp; </w:t>
      </w:r>
      <w:proofErr w:type="spellStart"/>
      <w:r w:rsidRPr="004C6C9C">
        <w:rPr>
          <w:rFonts w:ascii="Arial" w:hAnsi="Arial" w:cs="Arial"/>
        </w:rPr>
        <w:t>Obeidat</w:t>
      </w:r>
      <w:proofErr w:type="spellEnd"/>
      <w:r w:rsidRPr="004C6C9C">
        <w:rPr>
          <w:rFonts w:ascii="Arial" w:hAnsi="Arial" w:cs="Arial"/>
        </w:rPr>
        <w:t xml:space="preserve">, A. A. (2018). An integrative review on coping skills in nursing students: implications for policymaking. </w:t>
      </w:r>
      <w:r w:rsidRPr="004C6C9C">
        <w:rPr>
          <w:rFonts w:ascii="Arial" w:hAnsi="Arial" w:cs="Arial"/>
          <w:i/>
          <w:iCs/>
        </w:rPr>
        <w:t xml:space="preserve">International nursing review, </w:t>
      </w:r>
      <w:r w:rsidRPr="004C6C9C">
        <w:rPr>
          <w:rFonts w:ascii="Arial" w:hAnsi="Arial" w:cs="Arial"/>
        </w:rPr>
        <w:t xml:space="preserve">65(2), 279–291. </w:t>
      </w:r>
      <w:hyperlink r:id="rId29">
        <w:r w:rsidRPr="004C6C9C">
          <w:rPr>
            <w:rFonts w:ascii="Arial" w:hAnsi="Arial" w:cs="Arial"/>
          </w:rPr>
          <w:t>https://doi.org/10.1111/inr.12393</w:t>
        </w:r>
      </w:hyperlink>
    </w:p>
    <w:p w14:paraId="2EE99664" w14:textId="77777777" w:rsidR="008E4797" w:rsidRPr="007A1B07" w:rsidRDefault="008E4797">
      <w:pPr>
        <w:ind w:left="720"/>
        <w:rPr>
          <w:rFonts w:ascii="Arial" w:hAnsi="Arial" w:cs="Arial"/>
        </w:rPr>
      </w:pPr>
    </w:p>
    <w:p w14:paraId="523B34EC" w14:textId="77777777" w:rsidR="008E4797" w:rsidRPr="004C6C9C" w:rsidRDefault="004F3FE9" w:rsidP="004C6C9C">
      <w:pPr>
        <w:pStyle w:val="ListParagraph"/>
        <w:numPr>
          <w:ilvl w:val="0"/>
          <w:numId w:val="1"/>
        </w:numPr>
        <w:rPr>
          <w:rFonts w:ascii="Arial" w:hAnsi="Arial" w:cs="Arial"/>
        </w:rPr>
      </w:pPr>
      <w:proofErr w:type="spellStart"/>
      <w:r w:rsidRPr="004C6C9C">
        <w:rPr>
          <w:rFonts w:ascii="Arial" w:hAnsi="Arial" w:cs="Arial"/>
        </w:rPr>
        <w:t>Labrague</w:t>
      </w:r>
      <w:proofErr w:type="spellEnd"/>
      <w:r w:rsidRPr="004C6C9C">
        <w:rPr>
          <w:rFonts w:ascii="Arial" w:hAnsi="Arial" w:cs="Arial"/>
        </w:rPr>
        <w:t xml:space="preserve">, L. J. (2024). Umbrella review: Stress levels, sources of stress, and coping mechanisms among student nurses. </w:t>
      </w:r>
      <w:r w:rsidRPr="004C6C9C">
        <w:rPr>
          <w:rFonts w:ascii="Arial" w:hAnsi="Arial" w:cs="Arial"/>
          <w:i/>
          <w:iCs/>
        </w:rPr>
        <w:t>Nursing Reports</w:t>
      </w:r>
      <w:r w:rsidRPr="004C6C9C">
        <w:rPr>
          <w:rFonts w:ascii="Arial" w:hAnsi="Arial" w:cs="Arial"/>
        </w:rPr>
        <w:t xml:space="preserve">, </w:t>
      </w:r>
      <w:r w:rsidRPr="004C6C9C">
        <w:rPr>
          <w:rFonts w:ascii="Arial" w:hAnsi="Arial" w:cs="Arial"/>
          <w:i/>
          <w:iCs/>
        </w:rPr>
        <w:t>14</w:t>
      </w:r>
      <w:r w:rsidRPr="004C6C9C">
        <w:rPr>
          <w:rFonts w:ascii="Arial" w:hAnsi="Arial" w:cs="Arial"/>
        </w:rPr>
        <w:t>(1), 362–375.</w:t>
      </w:r>
      <w:hyperlink r:id="rId30">
        <w:r w:rsidRPr="004C6C9C">
          <w:rPr>
            <w:rFonts w:ascii="Arial" w:hAnsi="Arial" w:cs="Arial"/>
          </w:rPr>
          <w:t>https://www.mdpi.com/2039-4403/14/1/2</w:t>
        </w:r>
      </w:hyperlink>
      <w:r w:rsidRPr="004C6C9C">
        <w:rPr>
          <w:rFonts w:ascii="Arial" w:hAnsi="Arial" w:cs="Arial"/>
        </w:rPr>
        <w:t>8</w:t>
      </w:r>
    </w:p>
    <w:p w14:paraId="446A1D39" w14:textId="77777777" w:rsidR="008E4797" w:rsidRPr="007A1B07" w:rsidRDefault="008E4797">
      <w:pPr>
        <w:ind w:left="720"/>
        <w:rPr>
          <w:rFonts w:ascii="Arial" w:hAnsi="Arial" w:cs="Arial"/>
        </w:rPr>
      </w:pPr>
    </w:p>
    <w:p w14:paraId="35EFE53B"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Lee, J., Lee, H., Kim, S., Kim, S., Choi, M., Ko, I. S., Bae, J., Kim, S. H., &amp; Kim, S. H. (2020). Debriefing methods and learning outcomes in simulation nursing education: A systematic review and meta-analysis. Nurse Education Today, 87, 104345. </w:t>
      </w:r>
      <w:hyperlink r:id="rId31">
        <w:r w:rsidRPr="004C6C9C">
          <w:rPr>
            <w:rFonts w:ascii="Arial" w:hAnsi="Arial" w:cs="Arial"/>
          </w:rPr>
          <w:t>https://doi.org/10.1016/j.nedt.2020.104345</w:t>
        </w:r>
      </w:hyperlink>
    </w:p>
    <w:p w14:paraId="4F39D3E3" w14:textId="77777777" w:rsidR="008E4797" w:rsidRPr="007A1B07" w:rsidRDefault="008E4797">
      <w:pPr>
        <w:rPr>
          <w:rFonts w:ascii="Arial" w:hAnsi="Arial" w:cs="Arial"/>
        </w:rPr>
      </w:pPr>
    </w:p>
    <w:p w14:paraId="788281EE" w14:textId="77777777" w:rsidR="008E4797" w:rsidRPr="004C6C9C" w:rsidRDefault="004F3FE9" w:rsidP="004C6C9C">
      <w:pPr>
        <w:pStyle w:val="ListParagraph"/>
        <w:numPr>
          <w:ilvl w:val="0"/>
          <w:numId w:val="1"/>
        </w:numPr>
        <w:rPr>
          <w:rFonts w:ascii="Arial" w:hAnsi="Arial" w:cs="Arial"/>
        </w:rPr>
      </w:pPr>
      <w:r w:rsidRPr="004C6C9C">
        <w:rPr>
          <w:rFonts w:ascii="Arial" w:hAnsi="Arial" w:cs="Arial"/>
        </w:rPr>
        <w:t xml:space="preserve">Lombardo, B., &amp; Eyre, C. (2011). Compassion fatigue: a nurse’s primer. </w:t>
      </w:r>
      <w:r w:rsidRPr="004C6C9C">
        <w:rPr>
          <w:rFonts w:ascii="Arial" w:hAnsi="Arial" w:cs="Arial"/>
          <w:i/>
          <w:iCs/>
        </w:rPr>
        <w:t xml:space="preserve">OJIN the Online Journal of Issues in Nursing, </w:t>
      </w:r>
      <w:r w:rsidRPr="004C6C9C">
        <w:rPr>
          <w:rFonts w:ascii="Arial" w:hAnsi="Arial" w:cs="Arial"/>
        </w:rPr>
        <w:t>16(1), 3. https://doi.org/10.3912/ojin.vol16no01man03</w:t>
      </w:r>
    </w:p>
    <w:p w14:paraId="41BF78D4" w14:textId="77777777" w:rsidR="008E4797" w:rsidRPr="007A1B07" w:rsidRDefault="008E4797">
      <w:pPr>
        <w:rPr>
          <w:rFonts w:ascii="Arial" w:hAnsi="Arial" w:cs="Arial"/>
        </w:rPr>
      </w:pPr>
    </w:p>
    <w:p w14:paraId="698B301C" w14:textId="77777777" w:rsidR="008E4797" w:rsidRPr="004C6C9C" w:rsidRDefault="004F3FE9" w:rsidP="004C6C9C">
      <w:pPr>
        <w:pStyle w:val="ListParagraph"/>
        <w:numPr>
          <w:ilvl w:val="0"/>
          <w:numId w:val="1"/>
        </w:numPr>
        <w:rPr>
          <w:rFonts w:ascii="Arial" w:hAnsi="Arial" w:cs="Arial"/>
        </w:rPr>
      </w:pPr>
      <w:proofErr w:type="spellStart"/>
      <w:r w:rsidRPr="004C6C9C">
        <w:rPr>
          <w:rFonts w:ascii="Arial" w:hAnsi="Arial" w:cs="Arial"/>
        </w:rPr>
        <w:t>Mahinay</w:t>
      </w:r>
      <w:proofErr w:type="spellEnd"/>
      <w:r w:rsidRPr="004C6C9C">
        <w:rPr>
          <w:rFonts w:ascii="Arial" w:hAnsi="Arial" w:cs="Arial"/>
        </w:rPr>
        <w:t xml:space="preserve">, S. D., Jr, </w:t>
      </w:r>
      <w:proofErr w:type="spellStart"/>
      <w:r w:rsidRPr="004C6C9C">
        <w:rPr>
          <w:rFonts w:ascii="Arial" w:hAnsi="Arial" w:cs="Arial"/>
        </w:rPr>
        <w:t>Mostrales-Laco</w:t>
      </w:r>
      <w:proofErr w:type="spellEnd"/>
      <w:r w:rsidRPr="004C6C9C">
        <w:rPr>
          <w:rFonts w:ascii="Arial" w:hAnsi="Arial" w:cs="Arial"/>
        </w:rPr>
        <w:t xml:space="preserve">, R., Jaramillo, J. M., </w:t>
      </w:r>
      <w:proofErr w:type="spellStart"/>
      <w:r w:rsidRPr="004C6C9C">
        <w:rPr>
          <w:rFonts w:ascii="Arial" w:hAnsi="Arial" w:cs="Arial"/>
        </w:rPr>
        <w:t>Mosanip</w:t>
      </w:r>
      <w:proofErr w:type="spellEnd"/>
      <w:r w:rsidRPr="004C6C9C">
        <w:rPr>
          <w:rFonts w:ascii="Arial" w:hAnsi="Arial" w:cs="Arial"/>
        </w:rPr>
        <w:t xml:space="preserve">, Z., &amp; </w:t>
      </w:r>
      <w:proofErr w:type="spellStart"/>
      <w:r w:rsidRPr="004C6C9C">
        <w:rPr>
          <w:rFonts w:ascii="Arial" w:hAnsi="Arial" w:cs="Arial"/>
        </w:rPr>
        <w:t>Panigon</w:t>
      </w:r>
      <w:proofErr w:type="spellEnd"/>
      <w:r w:rsidRPr="004C6C9C">
        <w:rPr>
          <w:rFonts w:ascii="Arial" w:hAnsi="Arial" w:cs="Arial"/>
        </w:rPr>
        <w:t xml:space="preserve">, J. (2025). Exploring Psychological Well-Being of Nursing Students after Traumatic Experiences in Clinical Area. </w:t>
      </w:r>
      <w:r w:rsidRPr="004C6C9C">
        <w:rPr>
          <w:rFonts w:ascii="Arial" w:hAnsi="Arial" w:cs="Arial"/>
          <w:i/>
          <w:iCs/>
        </w:rPr>
        <w:t>International Journal of Research and Innovation in Social Science,</w:t>
      </w:r>
      <w:r w:rsidRPr="004C6C9C">
        <w:rPr>
          <w:rFonts w:ascii="Arial" w:hAnsi="Arial" w:cs="Arial"/>
        </w:rPr>
        <w:t xml:space="preserve"> IX(IIIS), 4492–4509. https://doi.org/10.47772/ijriss.2025.903sedu0322</w:t>
      </w:r>
    </w:p>
    <w:p w14:paraId="1BC18CDF" w14:textId="77777777" w:rsidR="008E4797" w:rsidRPr="007A1B07" w:rsidRDefault="008E4797">
      <w:pPr>
        <w:pBdr>
          <w:top w:val="nil"/>
          <w:left w:val="nil"/>
          <w:bottom w:val="nil"/>
          <w:right w:val="nil"/>
          <w:between w:val="nil"/>
        </w:pBdr>
        <w:jc w:val="both"/>
        <w:rPr>
          <w:rFonts w:ascii="Arial" w:hAnsi="Arial" w:cs="Arial"/>
        </w:rPr>
      </w:pPr>
    </w:p>
    <w:p w14:paraId="6B4613A9"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r w:rsidRPr="004C6C9C">
        <w:rPr>
          <w:rFonts w:ascii="Arial" w:hAnsi="Arial" w:cs="Arial"/>
        </w:rPr>
        <w:t xml:space="preserve">Miller, S., &amp; Miller, M. A. (2020). Mind the Gap! a strategy to bridge the time between simulation and debriefing. </w:t>
      </w:r>
      <w:r w:rsidRPr="004C6C9C">
        <w:rPr>
          <w:rFonts w:ascii="Arial" w:hAnsi="Arial" w:cs="Arial"/>
          <w:i/>
          <w:iCs/>
        </w:rPr>
        <w:t>Clinical Simulation in Nursing</w:t>
      </w:r>
      <w:r w:rsidRPr="004C6C9C">
        <w:rPr>
          <w:rFonts w:ascii="Arial" w:hAnsi="Arial" w:cs="Arial"/>
        </w:rPr>
        <w:t xml:space="preserve">, 51, 10–13. </w:t>
      </w:r>
      <w:hyperlink r:id="rId32">
        <w:r w:rsidRPr="004C6C9C">
          <w:rPr>
            <w:rFonts w:ascii="Arial" w:hAnsi="Arial" w:cs="Arial"/>
          </w:rPr>
          <w:t>https://doi.org/10.1016/j.ecns.2020.11.004</w:t>
        </w:r>
      </w:hyperlink>
    </w:p>
    <w:p w14:paraId="7A6D33A0" w14:textId="77777777" w:rsidR="008E4797" w:rsidRPr="007A1B07" w:rsidRDefault="008E4797">
      <w:pPr>
        <w:pBdr>
          <w:top w:val="nil"/>
          <w:left w:val="nil"/>
          <w:bottom w:val="nil"/>
          <w:right w:val="nil"/>
          <w:between w:val="nil"/>
        </w:pBdr>
        <w:jc w:val="both"/>
        <w:rPr>
          <w:rFonts w:ascii="Arial" w:hAnsi="Arial" w:cs="Arial"/>
        </w:rPr>
      </w:pPr>
    </w:p>
    <w:p w14:paraId="4A627D6E"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r w:rsidRPr="004C6C9C">
        <w:rPr>
          <w:rFonts w:ascii="Arial" w:hAnsi="Arial" w:cs="Arial"/>
        </w:rPr>
        <w:t xml:space="preserve">Mishra, P., Pandey, C. M., Singh, U., Gupta, A., </w:t>
      </w:r>
      <w:proofErr w:type="spellStart"/>
      <w:r w:rsidRPr="004C6C9C">
        <w:rPr>
          <w:rFonts w:ascii="Arial" w:hAnsi="Arial" w:cs="Arial"/>
        </w:rPr>
        <w:t>Sahu</w:t>
      </w:r>
      <w:proofErr w:type="spellEnd"/>
      <w:r w:rsidRPr="004C6C9C">
        <w:rPr>
          <w:rFonts w:ascii="Arial" w:hAnsi="Arial" w:cs="Arial"/>
        </w:rPr>
        <w:t xml:space="preserve">, C., &amp; </w:t>
      </w:r>
      <w:proofErr w:type="spellStart"/>
      <w:r w:rsidRPr="004C6C9C">
        <w:rPr>
          <w:rFonts w:ascii="Arial" w:hAnsi="Arial" w:cs="Arial"/>
        </w:rPr>
        <w:t>Keshri</w:t>
      </w:r>
      <w:proofErr w:type="spellEnd"/>
      <w:r w:rsidRPr="004C6C9C">
        <w:rPr>
          <w:rFonts w:ascii="Arial" w:hAnsi="Arial" w:cs="Arial"/>
        </w:rPr>
        <w:t xml:space="preserve">, A. (2019). Descriptive statistics and normality tests for statistical data. </w:t>
      </w:r>
      <w:r w:rsidRPr="004C6C9C">
        <w:rPr>
          <w:rFonts w:ascii="Arial" w:hAnsi="Arial" w:cs="Arial"/>
          <w:i/>
          <w:iCs/>
        </w:rPr>
        <w:t xml:space="preserve">Annals of Cardiac </w:t>
      </w:r>
      <w:proofErr w:type="spellStart"/>
      <w:r w:rsidRPr="004C6C9C">
        <w:rPr>
          <w:rFonts w:ascii="Arial" w:hAnsi="Arial" w:cs="Arial"/>
          <w:i/>
          <w:iCs/>
        </w:rPr>
        <w:t>Anaesthesia</w:t>
      </w:r>
      <w:proofErr w:type="spellEnd"/>
      <w:r w:rsidRPr="004C6C9C">
        <w:rPr>
          <w:rFonts w:ascii="Arial" w:hAnsi="Arial" w:cs="Arial"/>
        </w:rPr>
        <w:t xml:space="preserve">, </w:t>
      </w:r>
      <w:r w:rsidRPr="004C6C9C">
        <w:rPr>
          <w:rFonts w:ascii="Arial" w:hAnsi="Arial" w:cs="Arial"/>
          <w:i/>
          <w:iCs/>
        </w:rPr>
        <w:t>22</w:t>
      </w:r>
      <w:r w:rsidRPr="004C6C9C">
        <w:rPr>
          <w:rFonts w:ascii="Arial" w:hAnsi="Arial" w:cs="Arial"/>
        </w:rPr>
        <w:t>(1), 67–72.</w:t>
      </w:r>
      <w:hyperlink r:id="rId33">
        <w:r w:rsidRPr="004C6C9C">
          <w:rPr>
            <w:rFonts w:ascii="Arial" w:hAnsi="Arial" w:cs="Arial"/>
          </w:rPr>
          <w:t xml:space="preserve"> https://doi.org/10.4103/aca.ACA_157_18</w:t>
        </w:r>
      </w:hyperlink>
    </w:p>
    <w:p w14:paraId="3F72CBFD" w14:textId="77777777" w:rsidR="008E4797" w:rsidRPr="007A1B07" w:rsidRDefault="008E4797">
      <w:pPr>
        <w:pBdr>
          <w:top w:val="nil"/>
          <w:left w:val="nil"/>
          <w:bottom w:val="nil"/>
          <w:right w:val="nil"/>
          <w:between w:val="nil"/>
        </w:pBdr>
        <w:jc w:val="both"/>
        <w:rPr>
          <w:rFonts w:ascii="Arial" w:hAnsi="Arial" w:cs="Arial"/>
        </w:rPr>
      </w:pPr>
    </w:p>
    <w:p w14:paraId="32087962"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highlight w:val="white"/>
        </w:rPr>
      </w:pPr>
      <w:r w:rsidRPr="004C6C9C">
        <w:rPr>
          <w:rFonts w:ascii="Arial" w:hAnsi="Arial" w:cs="Arial"/>
        </w:rPr>
        <w:t xml:space="preserve">Oakley, K. N., </w:t>
      </w:r>
      <w:proofErr w:type="spellStart"/>
      <w:r w:rsidRPr="004C6C9C">
        <w:rPr>
          <w:rFonts w:ascii="Arial" w:hAnsi="Arial" w:cs="Arial"/>
        </w:rPr>
        <w:t>Copel</w:t>
      </w:r>
      <w:proofErr w:type="spellEnd"/>
      <w:r w:rsidRPr="004C6C9C">
        <w:rPr>
          <w:rFonts w:ascii="Arial" w:hAnsi="Arial" w:cs="Arial"/>
        </w:rPr>
        <w:t xml:space="preserve">, L. C., &amp; Ross, J. G. (2024). Secondary traumatic stress in nursing students: An integrative review. </w:t>
      </w:r>
      <w:r w:rsidRPr="004C6C9C">
        <w:rPr>
          <w:rFonts w:ascii="Arial" w:hAnsi="Arial" w:cs="Arial"/>
          <w:i/>
          <w:iCs/>
        </w:rPr>
        <w:t>Nurse Educator</w:t>
      </w:r>
      <w:r w:rsidRPr="004C6C9C">
        <w:rPr>
          <w:rFonts w:ascii="Arial" w:hAnsi="Arial" w:cs="Arial"/>
        </w:rPr>
        <w:t>. Advance online publication.</w:t>
      </w:r>
      <w:hyperlink r:id="rId34">
        <w:r w:rsidRPr="004C6C9C">
          <w:rPr>
            <w:rFonts w:ascii="Arial" w:hAnsi="Arial" w:cs="Arial"/>
          </w:rPr>
          <w:t xml:space="preserve"> https://doi.org/10.1097/NNE.0000000000001716</w:t>
        </w:r>
      </w:hyperlink>
    </w:p>
    <w:p w14:paraId="0A258197" w14:textId="77777777" w:rsidR="008E4797" w:rsidRPr="007A1B07" w:rsidRDefault="008E4797">
      <w:pPr>
        <w:pBdr>
          <w:top w:val="nil"/>
          <w:left w:val="nil"/>
          <w:bottom w:val="nil"/>
          <w:right w:val="nil"/>
          <w:between w:val="nil"/>
        </w:pBdr>
        <w:jc w:val="both"/>
        <w:rPr>
          <w:rFonts w:ascii="Arial" w:hAnsi="Arial" w:cs="Arial"/>
        </w:rPr>
      </w:pPr>
    </w:p>
    <w:p w14:paraId="5BE9414A"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proofErr w:type="spellStart"/>
      <w:r w:rsidRPr="004C6C9C">
        <w:rPr>
          <w:rFonts w:ascii="Arial" w:hAnsi="Arial" w:cs="Arial"/>
          <w:highlight w:val="white"/>
        </w:rPr>
        <w:t>O'Cathain</w:t>
      </w:r>
      <w:proofErr w:type="spellEnd"/>
      <w:r w:rsidRPr="004C6C9C">
        <w:rPr>
          <w:rFonts w:ascii="Arial" w:hAnsi="Arial" w:cs="Arial"/>
          <w:highlight w:val="white"/>
        </w:rPr>
        <w:t xml:space="preserve">, A., Murphy, E., &amp; Nicholl, J. (2008). The quality of mixed methods studies in health services research. </w:t>
      </w:r>
      <w:r w:rsidRPr="004C6C9C">
        <w:rPr>
          <w:rFonts w:ascii="Arial" w:hAnsi="Arial" w:cs="Arial"/>
          <w:i/>
          <w:iCs/>
          <w:highlight w:val="white"/>
        </w:rPr>
        <w:t>Journal of health services research &amp; policy</w:t>
      </w:r>
      <w:r w:rsidRPr="004C6C9C">
        <w:rPr>
          <w:rFonts w:ascii="Arial" w:hAnsi="Arial" w:cs="Arial"/>
          <w:highlight w:val="white"/>
        </w:rPr>
        <w:t xml:space="preserve">, </w:t>
      </w:r>
      <w:r w:rsidRPr="004C6C9C">
        <w:rPr>
          <w:rFonts w:ascii="Arial" w:hAnsi="Arial" w:cs="Arial"/>
          <w:i/>
          <w:iCs/>
          <w:highlight w:val="white"/>
        </w:rPr>
        <w:t>13</w:t>
      </w:r>
      <w:r w:rsidRPr="004C6C9C">
        <w:rPr>
          <w:rFonts w:ascii="Arial" w:hAnsi="Arial" w:cs="Arial"/>
          <w:highlight w:val="white"/>
        </w:rPr>
        <w:t xml:space="preserve">(2), 92–98. </w:t>
      </w:r>
      <w:hyperlink r:id="rId35">
        <w:r w:rsidRPr="004C6C9C">
          <w:rPr>
            <w:rFonts w:ascii="Arial" w:hAnsi="Arial" w:cs="Arial"/>
            <w:highlight w:val="white"/>
          </w:rPr>
          <w:t>https://doi.org/10.1258/jhsrp.2007.007074</w:t>
        </w:r>
      </w:hyperlink>
    </w:p>
    <w:p w14:paraId="1E7AA002" w14:textId="77777777" w:rsidR="008E4797" w:rsidRPr="007A1B07" w:rsidRDefault="008E4797">
      <w:pPr>
        <w:pBdr>
          <w:top w:val="nil"/>
          <w:left w:val="nil"/>
          <w:bottom w:val="nil"/>
          <w:right w:val="nil"/>
          <w:between w:val="nil"/>
        </w:pBdr>
        <w:jc w:val="both"/>
        <w:rPr>
          <w:rFonts w:ascii="Arial" w:hAnsi="Arial" w:cs="Arial"/>
        </w:rPr>
      </w:pPr>
    </w:p>
    <w:p w14:paraId="61592452"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proofErr w:type="spellStart"/>
      <w:r w:rsidRPr="004C6C9C">
        <w:rPr>
          <w:rFonts w:ascii="Arial" w:hAnsi="Arial" w:cs="Arial"/>
        </w:rPr>
        <w:lastRenderedPageBreak/>
        <w:t>Onieva-Zafra</w:t>
      </w:r>
      <w:proofErr w:type="spellEnd"/>
      <w:r w:rsidRPr="004C6C9C">
        <w:rPr>
          <w:rFonts w:ascii="Arial" w:hAnsi="Arial" w:cs="Arial"/>
        </w:rPr>
        <w:t xml:space="preserve">, M. D., Fernández-Muñoz, J. J., Fernández-Martínez, E., García-Sánchez, F. J., Abreu-Sánchez, A., &amp; Parra-Fernández, M. L. (2020). Anxiety, perceived stress and coping strategies in nursing students: a cross-sectional, correlational, descriptive study. </w:t>
      </w:r>
      <w:r w:rsidRPr="004C6C9C">
        <w:rPr>
          <w:rFonts w:ascii="Arial" w:hAnsi="Arial" w:cs="Arial"/>
          <w:i/>
          <w:iCs/>
        </w:rPr>
        <w:t>BMC Medical Education</w:t>
      </w:r>
      <w:r w:rsidRPr="004C6C9C">
        <w:rPr>
          <w:rFonts w:ascii="Arial" w:hAnsi="Arial" w:cs="Arial"/>
        </w:rPr>
        <w:t xml:space="preserve">, 20(1), 370. </w:t>
      </w:r>
      <w:hyperlink r:id="rId36">
        <w:r w:rsidRPr="004C6C9C">
          <w:rPr>
            <w:rFonts w:ascii="Arial" w:hAnsi="Arial" w:cs="Arial"/>
          </w:rPr>
          <w:t>https://doi.org/10.1186/s12909-020-02294-z</w:t>
        </w:r>
      </w:hyperlink>
    </w:p>
    <w:p w14:paraId="33D35573" w14:textId="77777777" w:rsidR="008E4797" w:rsidRPr="007A1B07" w:rsidRDefault="008E4797">
      <w:pPr>
        <w:pBdr>
          <w:top w:val="nil"/>
          <w:left w:val="nil"/>
          <w:bottom w:val="nil"/>
          <w:right w:val="nil"/>
          <w:between w:val="nil"/>
        </w:pBdr>
        <w:jc w:val="both"/>
        <w:rPr>
          <w:rFonts w:ascii="Arial" w:hAnsi="Arial" w:cs="Arial"/>
        </w:rPr>
      </w:pPr>
    </w:p>
    <w:p w14:paraId="4D81F9B0"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r w:rsidRPr="004C6C9C">
        <w:rPr>
          <w:rFonts w:ascii="Arial" w:hAnsi="Arial" w:cs="Arial"/>
        </w:rPr>
        <w:t xml:space="preserve">Qi, Y., </w:t>
      </w:r>
      <w:proofErr w:type="spellStart"/>
      <w:r w:rsidRPr="004C6C9C">
        <w:rPr>
          <w:rFonts w:ascii="Arial" w:hAnsi="Arial" w:cs="Arial"/>
        </w:rPr>
        <w:t>Manchuk</w:t>
      </w:r>
      <w:proofErr w:type="spellEnd"/>
      <w:r w:rsidRPr="004C6C9C">
        <w:rPr>
          <w:rFonts w:ascii="Arial" w:hAnsi="Arial" w:cs="Arial"/>
        </w:rPr>
        <w:t xml:space="preserve">, V., </w:t>
      </w:r>
      <w:proofErr w:type="spellStart"/>
      <w:r w:rsidRPr="004C6C9C">
        <w:rPr>
          <w:rFonts w:ascii="Arial" w:hAnsi="Arial" w:cs="Arial"/>
        </w:rPr>
        <w:t>Korylchuk</w:t>
      </w:r>
      <w:proofErr w:type="spellEnd"/>
      <w:r w:rsidRPr="004C6C9C">
        <w:rPr>
          <w:rFonts w:ascii="Arial" w:hAnsi="Arial" w:cs="Arial"/>
        </w:rPr>
        <w:t xml:space="preserve">, N., </w:t>
      </w:r>
      <w:proofErr w:type="spellStart"/>
      <w:r w:rsidRPr="004C6C9C">
        <w:rPr>
          <w:rFonts w:ascii="Arial" w:hAnsi="Arial" w:cs="Arial"/>
        </w:rPr>
        <w:t>Kabitska</w:t>
      </w:r>
      <w:proofErr w:type="spellEnd"/>
      <w:r w:rsidRPr="004C6C9C">
        <w:rPr>
          <w:rFonts w:ascii="Arial" w:hAnsi="Arial" w:cs="Arial"/>
        </w:rPr>
        <w:t xml:space="preserve">, O., &amp; </w:t>
      </w:r>
      <w:proofErr w:type="spellStart"/>
      <w:r w:rsidRPr="004C6C9C">
        <w:rPr>
          <w:rFonts w:ascii="Arial" w:hAnsi="Arial" w:cs="Arial"/>
        </w:rPr>
        <w:t>Sydorovych</w:t>
      </w:r>
      <w:proofErr w:type="spellEnd"/>
      <w:r w:rsidRPr="004C6C9C">
        <w:rPr>
          <w:rFonts w:ascii="Arial" w:hAnsi="Arial" w:cs="Arial"/>
        </w:rPr>
        <w:t xml:space="preserve">, O. (2025). Students’ coping strategies in response to academic stress: A study of psychological mechanisms and their effects on adaptation. </w:t>
      </w:r>
      <w:r w:rsidRPr="004C6C9C">
        <w:rPr>
          <w:rFonts w:ascii="Arial" w:hAnsi="Arial" w:cs="Arial"/>
          <w:i/>
          <w:iCs/>
        </w:rPr>
        <w:t>Futurity of Social Sciences., 3</w:t>
      </w:r>
      <w:r w:rsidRPr="004C6C9C">
        <w:rPr>
          <w:rFonts w:ascii="Arial" w:hAnsi="Arial" w:cs="Arial"/>
        </w:rPr>
        <w:t>(3), 24–45. https://doi.org/10.57125/fs.2025.09.20.02</w:t>
      </w:r>
    </w:p>
    <w:p w14:paraId="0E54B7C5" w14:textId="77777777" w:rsidR="008E4797" w:rsidRPr="007A1B07" w:rsidRDefault="008E4797">
      <w:pPr>
        <w:pBdr>
          <w:top w:val="nil"/>
          <w:left w:val="nil"/>
          <w:bottom w:val="nil"/>
          <w:right w:val="nil"/>
          <w:between w:val="nil"/>
        </w:pBdr>
        <w:jc w:val="both"/>
        <w:rPr>
          <w:rFonts w:ascii="Arial" w:hAnsi="Arial" w:cs="Arial"/>
        </w:rPr>
      </w:pPr>
    </w:p>
    <w:p w14:paraId="631ACA72" w14:textId="77777777" w:rsidR="008E4797" w:rsidRPr="007A1B07" w:rsidRDefault="008E4797">
      <w:pPr>
        <w:pBdr>
          <w:top w:val="nil"/>
          <w:left w:val="nil"/>
          <w:bottom w:val="nil"/>
          <w:right w:val="nil"/>
          <w:between w:val="nil"/>
        </w:pBdr>
        <w:jc w:val="both"/>
        <w:rPr>
          <w:rFonts w:ascii="Arial" w:hAnsi="Arial" w:cs="Arial"/>
        </w:rPr>
      </w:pPr>
    </w:p>
    <w:p w14:paraId="342AB5D2" w14:textId="042F3F5F" w:rsidR="008E4797" w:rsidRPr="004C6C9C" w:rsidRDefault="004F3FE9" w:rsidP="004C6C9C">
      <w:pPr>
        <w:pStyle w:val="ListParagraph"/>
        <w:numPr>
          <w:ilvl w:val="0"/>
          <w:numId w:val="1"/>
        </w:numPr>
        <w:pBdr>
          <w:top w:val="nil"/>
          <w:left w:val="nil"/>
          <w:bottom w:val="nil"/>
          <w:right w:val="nil"/>
          <w:between w:val="nil"/>
        </w:pBdr>
        <w:jc w:val="both"/>
        <w:rPr>
          <w:rFonts w:ascii="Arial" w:hAnsi="Arial" w:cs="Arial"/>
        </w:rPr>
      </w:pPr>
      <w:r w:rsidRPr="004C6C9C">
        <w:rPr>
          <w:rFonts w:ascii="Arial" w:hAnsi="Arial" w:cs="Arial"/>
        </w:rPr>
        <w:t xml:space="preserve">Spitzer, R. L., Kroenke, K., Williams, J. B., &amp; Lowe, B. (2006). A brief measure for assessing generalized anxiety disorder: The GAD-7. </w:t>
      </w:r>
      <w:r w:rsidRPr="004C6C9C">
        <w:rPr>
          <w:rFonts w:ascii="Arial" w:hAnsi="Arial" w:cs="Arial"/>
          <w:i/>
          <w:iCs/>
        </w:rPr>
        <w:t>Archives of Internal Medicine</w:t>
      </w:r>
      <w:r w:rsidRPr="004C6C9C">
        <w:rPr>
          <w:rFonts w:ascii="Arial" w:hAnsi="Arial" w:cs="Arial"/>
        </w:rPr>
        <w:t xml:space="preserve">, </w:t>
      </w:r>
      <w:r w:rsidRPr="004C6C9C">
        <w:rPr>
          <w:rFonts w:ascii="Arial" w:hAnsi="Arial" w:cs="Arial"/>
          <w:i/>
          <w:iCs/>
        </w:rPr>
        <w:t>166</w:t>
      </w:r>
      <w:r w:rsidRPr="004C6C9C">
        <w:rPr>
          <w:rFonts w:ascii="Arial" w:hAnsi="Arial" w:cs="Arial"/>
        </w:rPr>
        <w:t>(10), 1092–1097. Retrieved fro</w:t>
      </w:r>
      <w:hyperlink r:id="rId37" w:history="1">
        <w:r w:rsidR="004C6C9C" w:rsidRPr="008C69BE">
          <w:rPr>
            <w:rStyle w:val="Hyperlink"/>
            <w:rFonts w:ascii="Arial" w:hAnsi="Arial" w:cs="Arial"/>
          </w:rPr>
          <w:t>https://novopsych.com/wp-content/uploads/2023/03/Generalised-Anxiety-Disorder-Assesment-GAD-7.pdf</w:t>
        </w:r>
      </w:hyperlink>
    </w:p>
    <w:p w14:paraId="658E0471" w14:textId="77777777" w:rsidR="008E4797" w:rsidRPr="007A1B07" w:rsidRDefault="008E4797">
      <w:pPr>
        <w:pBdr>
          <w:top w:val="nil"/>
          <w:left w:val="nil"/>
          <w:bottom w:val="nil"/>
          <w:right w:val="nil"/>
          <w:between w:val="nil"/>
        </w:pBdr>
        <w:jc w:val="both"/>
        <w:rPr>
          <w:rFonts w:ascii="Arial" w:hAnsi="Arial" w:cs="Arial"/>
        </w:rPr>
      </w:pPr>
    </w:p>
    <w:p w14:paraId="144D4403" w14:textId="77777777" w:rsidR="008E4797" w:rsidRPr="004C6C9C" w:rsidRDefault="004F3FE9" w:rsidP="004C6C9C">
      <w:pPr>
        <w:pStyle w:val="ListParagraph"/>
        <w:numPr>
          <w:ilvl w:val="0"/>
          <w:numId w:val="1"/>
        </w:numPr>
        <w:jc w:val="both"/>
        <w:rPr>
          <w:rFonts w:ascii="Arial" w:hAnsi="Arial" w:cs="Arial"/>
        </w:rPr>
      </w:pPr>
      <w:r w:rsidRPr="004C6C9C">
        <w:rPr>
          <w:rFonts w:ascii="Arial" w:hAnsi="Arial" w:cs="Arial"/>
        </w:rPr>
        <w:t>van der Kolk, B. A. (2014). The body keeps the score: Brain, mind, and body in the healing of trauma. Viking.</w:t>
      </w:r>
    </w:p>
    <w:p w14:paraId="7336DC36" w14:textId="77777777" w:rsidR="008E4797" w:rsidRPr="007A1B07" w:rsidRDefault="008E4797">
      <w:pPr>
        <w:pBdr>
          <w:top w:val="nil"/>
          <w:left w:val="nil"/>
          <w:bottom w:val="nil"/>
          <w:right w:val="nil"/>
          <w:between w:val="nil"/>
        </w:pBdr>
        <w:jc w:val="both"/>
        <w:rPr>
          <w:rFonts w:ascii="Arial" w:hAnsi="Arial" w:cs="Arial"/>
        </w:rPr>
      </w:pPr>
    </w:p>
    <w:p w14:paraId="1AAAFB81" w14:textId="77777777" w:rsidR="008E4797" w:rsidRPr="004C6C9C" w:rsidRDefault="004F3FE9" w:rsidP="004C6C9C">
      <w:pPr>
        <w:pStyle w:val="ListParagraph"/>
        <w:numPr>
          <w:ilvl w:val="0"/>
          <w:numId w:val="1"/>
        </w:numPr>
        <w:pBdr>
          <w:top w:val="nil"/>
          <w:left w:val="nil"/>
          <w:bottom w:val="nil"/>
          <w:right w:val="nil"/>
          <w:between w:val="nil"/>
        </w:pBdr>
        <w:jc w:val="both"/>
        <w:rPr>
          <w:rFonts w:ascii="Arial" w:eastAsia="Arial" w:hAnsi="Arial" w:cs="Arial"/>
        </w:rPr>
      </w:pPr>
      <w:r w:rsidRPr="004C6C9C">
        <w:rPr>
          <w:rFonts w:ascii="Arial" w:hAnsi="Arial" w:cs="Arial"/>
        </w:rPr>
        <w:t xml:space="preserve">Younas, A., </w:t>
      </w:r>
      <w:proofErr w:type="spellStart"/>
      <w:r w:rsidRPr="004C6C9C">
        <w:rPr>
          <w:rFonts w:ascii="Arial" w:hAnsi="Arial" w:cs="Arial"/>
        </w:rPr>
        <w:t>Fàbregues</w:t>
      </w:r>
      <w:proofErr w:type="spellEnd"/>
      <w:r w:rsidRPr="004C6C9C">
        <w:rPr>
          <w:rFonts w:ascii="Arial" w:hAnsi="Arial" w:cs="Arial"/>
        </w:rPr>
        <w:t xml:space="preserve">, S., &amp; Creswell, J. W. (2023). Generating </w:t>
      </w:r>
      <w:proofErr w:type="spellStart"/>
      <w:r w:rsidRPr="004C6C9C">
        <w:rPr>
          <w:rFonts w:ascii="Arial" w:hAnsi="Arial" w:cs="Arial"/>
        </w:rPr>
        <w:t>metainferences</w:t>
      </w:r>
      <w:proofErr w:type="spellEnd"/>
      <w:r w:rsidRPr="004C6C9C">
        <w:rPr>
          <w:rFonts w:ascii="Arial" w:hAnsi="Arial" w:cs="Arial"/>
        </w:rPr>
        <w:t xml:space="preserve"> in mixed methods research: A worked example in convergent mixed methods designs. </w:t>
      </w:r>
      <w:r w:rsidRPr="004C6C9C">
        <w:rPr>
          <w:rFonts w:ascii="Arial" w:hAnsi="Arial" w:cs="Arial"/>
          <w:i/>
          <w:iCs/>
        </w:rPr>
        <w:t>Methodological Innovations,</w:t>
      </w:r>
      <w:r w:rsidRPr="004C6C9C">
        <w:rPr>
          <w:rFonts w:ascii="Arial" w:hAnsi="Arial" w:cs="Arial"/>
        </w:rPr>
        <w:t xml:space="preserve"> 16(3), 276–291. </w:t>
      </w:r>
      <w:hyperlink r:id="rId38">
        <w:r w:rsidRPr="004C6C9C">
          <w:rPr>
            <w:rFonts w:ascii="Arial" w:hAnsi="Arial" w:cs="Arial"/>
          </w:rPr>
          <w:t>https://doi.org/10.1177/20597991231188121</w:t>
        </w:r>
      </w:hyperlink>
    </w:p>
    <w:p w14:paraId="2C7F4F51" w14:textId="77777777" w:rsidR="008E4797" w:rsidRPr="007A1B07" w:rsidRDefault="008E4797">
      <w:pPr>
        <w:keepNext/>
        <w:pBdr>
          <w:top w:val="nil"/>
          <w:left w:val="nil"/>
          <w:bottom w:val="nil"/>
          <w:right w:val="nil"/>
          <w:between w:val="nil"/>
        </w:pBdr>
        <w:jc w:val="both"/>
        <w:rPr>
          <w:rFonts w:ascii="Arial" w:eastAsia="Arial" w:hAnsi="Arial" w:cs="Arial"/>
          <w:smallCaps/>
          <w:sz w:val="22"/>
          <w:szCs w:val="22"/>
        </w:rPr>
      </w:pPr>
    </w:p>
    <w:sectPr w:rsidR="008E4797" w:rsidRPr="007A1B07">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46778" w14:textId="77777777" w:rsidR="008C18E1" w:rsidRDefault="008C18E1">
      <w:r>
        <w:separator/>
      </w:r>
    </w:p>
  </w:endnote>
  <w:endnote w:type="continuationSeparator" w:id="0">
    <w:p w14:paraId="7A32611C" w14:textId="77777777" w:rsidR="008C18E1" w:rsidRDefault="008C1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charset w:val="00"/>
    <w:family w:val="auto"/>
    <w:pitch w:val="default"/>
    <w:embedRegular r:id="rId1" w:fontKey="{9F253E2B-0C45-4165-9885-A09AA2A6EE95}"/>
    <w:embedBold r:id="rId2" w:fontKey="{8326F8E1-CCCE-4123-8EBC-27A7C2AE13A4}"/>
    <w:embedItalic r:id="rId3" w:fontKey="{E70D8BC6-F519-4206-89DA-7F15AF23543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EA40B65-B5A6-4731-B424-36923610BA5E}"/>
  </w:font>
  <w:font w:name="Cambria Math">
    <w:panose1 w:val="02040503050406030204"/>
    <w:charset w:val="00"/>
    <w:family w:val="roman"/>
    <w:pitch w:val="variable"/>
    <w:sig w:usb0="E00006FF" w:usb1="420024FF" w:usb2="02000000" w:usb3="00000000" w:csb0="0000019F" w:csb1="00000000"/>
    <w:embedRegular r:id="rId5" w:fontKey="{DD813CBE-2A12-4AC9-B13F-1C511A3190FD}"/>
    <w:embedItalic r:id="rId6" w:fontKey="{606F8941-5784-4CAC-9C50-6A8EC37D9D3F}"/>
  </w:font>
  <w:font w:name="Arial Unicode MS">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3D071D67-A997-4449-A28C-5286208A059C}"/>
  </w:font>
  <w:font w:name="Cambria">
    <w:panose1 w:val="02040503050406030204"/>
    <w:charset w:val="00"/>
    <w:family w:val="roman"/>
    <w:pitch w:val="variable"/>
    <w:sig w:usb0="E00006FF" w:usb1="420024FF" w:usb2="02000000" w:usb3="00000000" w:csb0="0000019F" w:csb1="00000000"/>
    <w:embedRegular r:id="rId8" w:fontKey="{0886B572-5CBD-4E3F-A65D-AF7B3A2512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26732" w14:textId="77777777" w:rsidR="008E4797" w:rsidRDefault="008E479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64F63" w14:textId="77777777" w:rsidR="008E4797" w:rsidRDefault="008E479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84053" w14:textId="77777777" w:rsidR="008E4797" w:rsidRDefault="008E47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1B7B2" w14:textId="77777777" w:rsidR="008C18E1" w:rsidRDefault="008C18E1">
      <w:r>
        <w:separator/>
      </w:r>
    </w:p>
  </w:footnote>
  <w:footnote w:type="continuationSeparator" w:id="0">
    <w:p w14:paraId="1FBFC5DE" w14:textId="77777777" w:rsidR="008C18E1" w:rsidRDefault="008C18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7AF9D" w14:textId="77777777" w:rsidR="008E4797" w:rsidRDefault="004E1C66">
    <w:pPr>
      <w:pBdr>
        <w:top w:val="nil"/>
        <w:left w:val="nil"/>
        <w:bottom w:val="nil"/>
        <w:right w:val="nil"/>
        <w:between w:val="nil"/>
      </w:pBdr>
      <w:tabs>
        <w:tab w:val="center" w:pos="4320"/>
        <w:tab w:val="right" w:pos="8640"/>
      </w:tabs>
      <w:rPr>
        <w:color w:val="000000"/>
      </w:rPr>
    </w:pPr>
    <w:r>
      <w:pict w14:anchorId="1649A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16.9pt;height:63.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3390D" w14:textId="77777777" w:rsidR="008E4797" w:rsidRDefault="004E1C66">
    <w:pPr>
      <w:pBdr>
        <w:top w:val="nil"/>
        <w:left w:val="nil"/>
        <w:bottom w:val="nil"/>
        <w:right w:val="nil"/>
        <w:between w:val="nil"/>
      </w:pBdr>
      <w:tabs>
        <w:tab w:val="center" w:pos="4320"/>
        <w:tab w:val="right" w:pos="8640"/>
      </w:tabs>
      <w:rPr>
        <w:color w:val="000000"/>
      </w:rPr>
    </w:pPr>
    <w:r>
      <w:pict w14:anchorId="23DB7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16.9pt;height:63.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08AA3" w14:textId="77777777" w:rsidR="008E4797" w:rsidRDefault="004E1C66">
    <w:pPr>
      <w:ind w:left="2160"/>
      <w:jc w:val="center"/>
      <w:rPr>
        <w:rFonts w:ascii="Times New Roman" w:eastAsia="Times New Roman" w:hAnsi="Times New Roman" w:cs="Times New Roman"/>
        <w:i/>
        <w:iCs/>
        <w:sz w:val="18"/>
        <w:szCs w:val="18"/>
      </w:rPr>
    </w:pPr>
    <w:r>
      <w:pict w14:anchorId="36594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16.9pt;height:63.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775375F0" w14:textId="77777777" w:rsidR="008E4797" w:rsidRDefault="004F3FE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7E07996" w14:textId="77777777" w:rsidR="008E4797" w:rsidRDefault="004F3F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59A56401" w14:textId="77777777" w:rsidR="008E4797" w:rsidRDefault="004F3FE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38FA6583" w14:textId="77777777" w:rsidR="008E4797" w:rsidRDefault="004F3F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91522AF" w14:textId="77777777" w:rsidR="008E4797" w:rsidRDefault="004F3FE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AE09A72" w14:textId="77777777" w:rsidR="008E4797" w:rsidRDefault="004F3FE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CE500" w14:textId="77777777" w:rsidR="008E4797" w:rsidRDefault="004E1C66">
    <w:pPr>
      <w:pBdr>
        <w:top w:val="nil"/>
        <w:left w:val="nil"/>
        <w:bottom w:val="nil"/>
        <w:right w:val="nil"/>
        <w:between w:val="nil"/>
      </w:pBdr>
      <w:tabs>
        <w:tab w:val="center" w:pos="4513"/>
        <w:tab w:val="right" w:pos="9026"/>
      </w:tabs>
      <w:rPr>
        <w:color w:val="000000"/>
      </w:rPr>
    </w:pPr>
    <w:r>
      <w:rPr>
        <w:color w:val="000000"/>
      </w:rPr>
      <w:pict w14:anchorId="1AC9E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6.9pt;height:63.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CF46E" w14:textId="77777777" w:rsidR="008E4797" w:rsidRDefault="004E1C66">
    <w:pPr>
      <w:pBdr>
        <w:top w:val="nil"/>
        <w:left w:val="nil"/>
        <w:bottom w:val="nil"/>
        <w:right w:val="nil"/>
        <w:between w:val="nil"/>
      </w:pBdr>
      <w:tabs>
        <w:tab w:val="center" w:pos="4513"/>
        <w:tab w:val="right" w:pos="9026"/>
      </w:tabs>
      <w:rPr>
        <w:color w:val="000000"/>
      </w:rPr>
    </w:pPr>
    <w:r>
      <w:rPr>
        <w:color w:val="000000"/>
      </w:rPr>
      <w:pict w14:anchorId="4DA56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16.9pt;height:63.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5E69" w14:textId="77777777" w:rsidR="008E4797" w:rsidRDefault="004E1C66">
    <w:pPr>
      <w:pBdr>
        <w:top w:val="nil"/>
        <w:left w:val="nil"/>
        <w:bottom w:val="nil"/>
        <w:right w:val="nil"/>
        <w:between w:val="nil"/>
      </w:pBdr>
      <w:tabs>
        <w:tab w:val="center" w:pos="4513"/>
        <w:tab w:val="right" w:pos="9026"/>
      </w:tabs>
      <w:rPr>
        <w:color w:val="000000"/>
      </w:rPr>
    </w:pPr>
    <w:r>
      <w:rPr>
        <w:color w:val="000000"/>
      </w:rPr>
      <w:pict w14:anchorId="5E2E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16.9pt;height:63.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E227ED"/>
    <w:multiLevelType w:val="hybridMultilevel"/>
    <w:tmpl w:val="C6FC60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jQ0MTA3MzcyMDY2tTBR0lEKTi0uzszPAykwrAUA9QmBJywAAAA="/>
  </w:docVars>
  <w:rsids>
    <w:rsidRoot w:val="008E4797"/>
    <w:rsid w:val="00095BA7"/>
    <w:rsid w:val="000C42B7"/>
    <w:rsid w:val="00482B23"/>
    <w:rsid w:val="004C5AF3"/>
    <w:rsid w:val="004C6C9C"/>
    <w:rsid w:val="004E1C66"/>
    <w:rsid w:val="004F3FE9"/>
    <w:rsid w:val="006F7DDA"/>
    <w:rsid w:val="007855CC"/>
    <w:rsid w:val="007A1B07"/>
    <w:rsid w:val="008C18E1"/>
    <w:rsid w:val="008E4797"/>
    <w:rsid w:val="00913D46"/>
    <w:rsid w:val="0092143E"/>
    <w:rsid w:val="00A10B23"/>
    <w:rsid w:val="00AE34AA"/>
    <w:rsid w:val="00AF2B61"/>
    <w:rsid w:val="00CB1F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64F628"/>
  <w15:docId w15:val="{2C7AAB35-1856-416B-89EC-82E3376DC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character" w:styleId="LineNumber">
    <w:name w:val="line number"/>
    <w:basedOn w:val="DefaultParagraphFont"/>
    <w:uiPriority w:val="99"/>
    <w:semiHidden/>
    <w:unhideWhenUsed/>
    <w:rsid w:val="00452E77"/>
  </w:style>
  <w:style w:type="character" w:styleId="Hyperlink">
    <w:name w:val="Hyperlink"/>
    <w:basedOn w:val="DefaultParagraphFont"/>
    <w:uiPriority w:val="99"/>
    <w:unhideWhenUsed/>
    <w:rsid w:val="00452E77"/>
    <w:rPr>
      <w:color w:val="0000FF" w:themeColor="hyperlink"/>
      <w:u w:val="single"/>
    </w:rPr>
  </w:style>
  <w:style w:type="character" w:customStyle="1" w:styleId="UnresolvedMention">
    <w:name w:val="Unresolved Mention"/>
    <w:basedOn w:val="DefaultParagraphFont"/>
    <w:uiPriority w:val="99"/>
    <w:semiHidden/>
    <w:unhideWhenUsed/>
    <w:rsid w:val="00452E77"/>
    <w:rPr>
      <w:color w:val="605E5C"/>
      <w:shd w:val="clear" w:color="auto" w:fill="E1DFDD"/>
    </w:rPr>
  </w:style>
  <w:style w:type="paragraph" w:styleId="Footer">
    <w:name w:val="footer"/>
    <w:basedOn w:val="Normal"/>
    <w:link w:val="FooterChar"/>
    <w:uiPriority w:val="99"/>
    <w:unhideWhenUsed/>
    <w:rsid w:val="000B5D7D"/>
    <w:pPr>
      <w:tabs>
        <w:tab w:val="center" w:pos="4680"/>
        <w:tab w:val="right" w:pos="9360"/>
      </w:tabs>
    </w:pPr>
  </w:style>
  <w:style w:type="character" w:customStyle="1" w:styleId="FooterChar">
    <w:name w:val="Footer Char"/>
    <w:basedOn w:val="DefaultParagraphFont"/>
    <w:link w:val="Footer"/>
    <w:uiPriority w:val="99"/>
    <w:rsid w:val="000B5D7D"/>
  </w:style>
  <w:style w:type="paragraph" w:styleId="ListParagraph">
    <w:name w:val="List Paragraph"/>
    <w:basedOn w:val="Normal"/>
    <w:uiPriority w:val="34"/>
    <w:qFormat/>
    <w:rsid w:val="00237494"/>
    <w:pPr>
      <w:ind w:left="720"/>
      <w:contextualSpacing/>
    </w:pPr>
  </w:style>
  <w:style w:type="paragraph" w:styleId="Header">
    <w:name w:val="header"/>
    <w:basedOn w:val="Normal"/>
    <w:link w:val="HeaderChar"/>
    <w:uiPriority w:val="99"/>
    <w:unhideWhenUsed/>
    <w:rsid w:val="00896F64"/>
    <w:pPr>
      <w:tabs>
        <w:tab w:val="center" w:pos="4513"/>
        <w:tab w:val="right" w:pos="9026"/>
      </w:tabs>
    </w:pPr>
  </w:style>
  <w:style w:type="character" w:customStyle="1" w:styleId="HeaderChar">
    <w:name w:val="Header Char"/>
    <w:basedOn w:val="DefaultParagraphFont"/>
    <w:link w:val="Header"/>
    <w:uiPriority w:val="99"/>
    <w:rsid w:val="00896F6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paragraph" w:styleId="NormalWeb">
    <w:name w:val="Normal (Web)"/>
    <w:basedOn w:val="Normal"/>
    <w:uiPriority w:val="99"/>
    <w:semiHidden/>
    <w:unhideWhenUsed/>
    <w:rsid w:val="007855CC"/>
    <w:pPr>
      <w:spacing w:before="100" w:beforeAutospacing="1" w:after="100" w:afterAutospacing="1"/>
    </w:pPr>
    <w:rPr>
      <w:rFonts w:ascii="Times New Roman" w:eastAsia="Times New Roman" w:hAnsi="Times New Roman" w:cs="Times New Roman"/>
      <w:sz w:val="24"/>
      <w:szCs w:val="24"/>
      <w:lang w:val="en-PH"/>
    </w:rPr>
  </w:style>
  <w:style w:type="character" w:styleId="Strong">
    <w:name w:val="Strong"/>
    <w:basedOn w:val="DefaultParagraphFont"/>
    <w:uiPriority w:val="22"/>
    <w:qFormat/>
    <w:rsid w:val="007855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6620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1371/journal.pone.0277195" TargetMode="External"/><Relationship Id="rId26" Type="http://schemas.openxmlformats.org/officeDocument/2006/relationships/hyperlink" Target="https://www.ucpress.edu/books/the-managed-heart/paper" TargetMode="External"/><Relationship Id="rId39" Type="http://schemas.openxmlformats.org/officeDocument/2006/relationships/header" Target="header4.xml"/><Relationship Id="rId21" Type="http://schemas.openxmlformats.org/officeDocument/2006/relationships/hyperlink" Target="https://www.google.com/search?q=https://digital.library.adelaide.edu.au/dspace/handle/2440/15227" TargetMode="External"/><Relationship Id="rId34" Type="http://schemas.openxmlformats.org/officeDocument/2006/relationships/hyperlink" Target="https://doi.org/10.1097/NNE.0000000000001716"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pnu.2010.05.005" TargetMode="External"/><Relationship Id="rId20" Type="http://schemas.openxmlformats.org/officeDocument/2006/relationships/hyperlink" Target="https://doi.org/10.1111/1475-6773.12117" TargetMode="External"/><Relationship Id="rId29" Type="http://schemas.openxmlformats.org/officeDocument/2006/relationships/hyperlink" Target="https://doi.org/10.1111/inr.1239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3390/nursrep15060194" TargetMode="External"/><Relationship Id="rId32" Type="http://schemas.openxmlformats.org/officeDocument/2006/relationships/hyperlink" Target="https://doi.org/10.1016/j.ecns.2020.11.004" TargetMode="External"/><Relationship Id="rId37" Type="http://schemas.openxmlformats.org/officeDocument/2006/relationships/hyperlink" Target="https://novopsych.com/wp-content/uploads/2023/03/Generalised-Anxiety-Disorder-Assesment-GAD-7.pdf"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doi.org/10.1097/ANC.0000000000000428" TargetMode="External"/><Relationship Id="rId23" Type="http://schemas.openxmlformats.org/officeDocument/2006/relationships/hyperlink" Target="https://archive.org/details/presentationofs00goff" TargetMode="External"/><Relationship Id="rId28" Type="http://schemas.openxmlformats.org/officeDocument/2006/relationships/hyperlink" Target="https://doi.org/10.1111/wvn.12415" TargetMode="External"/><Relationship Id="rId36" Type="http://schemas.openxmlformats.org/officeDocument/2006/relationships/hyperlink" Target="https://doi.org/10.1186/s12909-020-02294-z" TargetMode="External"/><Relationship Id="rId10" Type="http://schemas.openxmlformats.org/officeDocument/2006/relationships/footer" Target="footer1.xml"/><Relationship Id="rId19" Type="http://schemas.openxmlformats.org/officeDocument/2006/relationships/hyperlink" Target="https://pmc.ncbi.nlm.nih.gov/articles/PMC8067740/" TargetMode="External"/><Relationship Id="rId31" Type="http://schemas.openxmlformats.org/officeDocument/2006/relationships/hyperlink" Target="https://doi.org/10.1016/j.nedt.2020.104345"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3390/su15021539" TargetMode="External"/><Relationship Id="rId22" Type="http://schemas.openxmlformats.org/officeDocument/2006/relationships/hyperlink" Target="https://doi.org/10.1097/01.nep.0000000000001434" TargetMode="External"/><Relationship Id="rId27" Type="http://schemas.openxmlformats.org/officeDocument/2006/relationships/hyperlink" Target="https://doi.org/10.1016/j.profnurs.2021.07.007" TargetMode="External"/><Relationship Id="rId30" Type="http://schemas.openxmlformats.org/officeDocument/2006/relationships/hyperlink" Target="https://www.mdpi.com/2039-4403/14/1/28" TargetMode="External"/><Relationship Id="rId35" Type="http://schemas.openxmlformats.org/officeDocument/2006/relationships/hyperlink" Target="https://doi.org/10.1258/jhsrp.2007.007074"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016/j.nedt.2023.105871" TargetMode="External"/><Relationship Id="rId25" Type="http://schemas.openxmlformats.org/officeDocument/2006/relationships/hyperlink" Target="https://doi.org/10.4103/aca.aca_157_18" TargetMode="External"/><Relationship Id="rId33" Type="http://schemas.openxmlformats.org/officeDocument/2006/relationships/hyperlink" Target="https://doi.org/10.4103/aca.ACA_157_18" TargetMode="External"/><Relationship Id="rId38" Type="http://schemas.openxmlformats.org/officeDocument/2006/relationships/hyperlink" Target="https://doi.org/10.1177/2059799123118812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2sCieMbdF3kunEOfDjI9HvUPZg==">CgMxLjAaJAoBMBIfCh0IB0IZCgVBcmltbxIQQXJpYWwgVW5pY29kZSBNUxokCgExEh8KHQgHQhkKBUFyaW1vEhBBcmlhbCBVbmljb2RlIE1TOAByITFBc2RFY1htdWdMdF9HWlk0eTYwRE5lVDZWOEI1VGxWXw==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26</Pages>
  <Words>11242</Words>
  <Characters>64086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1023</cp:lastModifiedBy>
  <cp:revision>15</cp:revision>
  <dcterms:created xsi:type="dcterms:W3CDTF">2026-03-30T07:11:00Z</dcterms:created>
  <dcterms:modified xsi:type="dcterms:W3CDTF">2026-04-20T06:42:00Z</dcterms:modified>
</cp:coreProperties>
</file>