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05BE1" w:rsidRDefault="00F07326">
      <w:pPr>
        <w:widowControl w:val="0"/>
        <w:pBdr>
          <w:top w:val="nil"/>
          <w:left w:val="nil"/>
          <w:bottom w:val="nil"/>
          <w:right w:val="nil"/>
          <w:between w:val="nil"/>
        </w:pBdr>
        <w:spacing w:line="276" w:lineRule="auto"/>
      </w:pPr>
      <w:r>
        <w:pict w14:anchorId="7F7C3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0pt;height:50pt;z-index:251653632;visibility:hidden">
            <o:lock v:ext="edit" selection="t"/>
          </v:shape>
        </w:pict>
      </w:r>
      <w:r>
        <w:pict w14:anchorId="5AC6A046">
          <v:shape id="_x0000_s1033" type="#_x0000_t136" style="position:absolute;margin-left:0;margin-top:0;width:50pt;height:50pt;z-index:251654656;visibility:hidden">
            <o:lock v:ext="edit" selection="t"/>
          </v:shape>
        </w:pict>
      </w:r>
      <w:r>
        <w:pict w14:anchorId="330569F2">
          <v:shape id="_x0000_s1032" type="#_x0000_t136" style="position:absolute;margin-left:0;margin-top:0;width:50pt;height:50pt;z-index:251655680;visibility:hidden">
            <o:lock v:ext="edit" selection="t"/>
          </v:shape>
        </w:pict>
      </w:r>
      <w:r>
        <w:pict w14:anchorId="2BE86E37">
          <v:shape id="_x0000_s1031" type="#_x0000_t136" style="position:absolute;margin-left:0;margin-top:0;width:50pt;height:50pt;z-index:251656704;visibility:hidden">
            <o:lock v:ext="edit" selection="t"/>
          </v:shape>
        </w:pict>
      </w:r>
      <w:r>
        <w:pict w14:anchorId="382D8060">
          <v:shape id="_x0000_s1030" type="#_x0000_t136" style="position:absolute;margin-left:0;margin-top:0;width:50pt;height:50pt;z-index:251657728;visibility:hidden">
            <o:lock v:ext="edit" selection="t"/>
          </v:shape>
        </w:pict>
      </w:r>
      <w:r>
        <w:pict w14:anchorId="3142D4C2">
          <v:shape id="_x0000_s1029" type="#_x0000_t136" style="position:absolute;margin-left:0;margin-top:0;width:50pt;height:50pt;z-index:251658752;visibility:hidden">
            <o:lock v:ext="edit" selection="t"/>
          </v:shape>
        </w:pict>
      </w:r>
      <w:r>
        <w:pict w14:anchorId="612D328C">
          <v:shape id="_x0000_s1028" type="#_x0000_t136" style="position:absolute;margin-left:0;margin-top:0;width:50pt;height:50pt;z-index:251659776;visibility:hidden">
            <o:lock v:ext="edit" selection="t"/>
          </v:shape>
        </w:pict>
      </w:r>
      <w:r>
        <w:pict w14:anchorId="75415FD5">
          <v:shape id="_x0000_s1027" type="#_x0000_t136" style="position:absolute;margin-left:0;margin-top:0;width:50pt;height:50pt;z-index:251660800;visibility:hidden">
            <o:lock v:ext="edit" selection="t"/>
          </v:shape>
        </w:pict>
      </w:r>
      <w:r>
        <w:pict w14:anchorId="59995E34">
          <v:shape id="_x0000_s1026" type="#_x0000_t136" style="position:absolute;margin-left:0;margin-top:0;width:50pt;height:50pt;z-index:251661824;visibility:hidden">
            <o:lock v:ext="edit" selection="t"/>
          </v:shape>
        </w:pict>
      </w:r>
    </w:p>
    <w:p w14:paraId="00000002" w14:textId="77777777" w:rsidR="00E05BE1" w:rsidRDefault="00F07326">
      <w:pPr>
        <w:pStyle w:val="Title"/>
        <w:spacing w:after="0"/>
        <w:jc w:val="both"/>
        <w:rPr>
          <w:rFonts w:ascii="Arial" w:eastAsia="Arial" w:hAnsi="Arial" w:cs="Arial"/>
          <w:sz w:val="20"/>
          <w:szCs w:val="20"/>
        </w:rPr>
      </w:pPr>
      <w:r>
        <w:rPr>
          <w:rFonts w:ascii="Arial" w:eastAsia="Arial" w:hAnsi="Arial" w:cs="Arial"/>
          <w:sz w:val="20"/>
          <w:szCs w:val="20"/>
        </w:rPr>
        <w:t>Original Research Article</w:t>
      </w:r>
    </w:p>
    <w:p w14:paraId="00000003" w14:textId="77777777" w:rsidR="00E05BE1" w:rsidRDefault="00E05BE1">
      <w:pPr>
        <w:pStyle w:val="Title"/>
        <w:spacing w:after="0"/>
        <w:jc w:val="both"/>
        <w:rPr>
          <w:rFonts w:ascii="Arial" w:eastAsia="Arial" w:hAnsi="Arial" w:cs="Arial"/>
          <w:sz w:val="20"/>
          <w:szCs w:val="20"/>
        </w:rPr>
      </w:pPr>
    </w:p>
    <w:p w14:paraId="00000004" w14:textId="77777777" w:rsidR="00E05BE1" w:rsidRDefault="00F07326">
      <w:pPr>
        <w:pBdr>
          <w:top w:val="nil"/>
          <w:left w:val="nil"/>
          <w:bottom w:val="nil"/>
          <w:right w:val="nil"/>
          <w:between w:val="nil"/>
        </w:pBdr>
        <w:jc w:val="right"/>
        <w:rPr>
          <w:rFonts w:ascii="Arial" w:eastAsia="Arial" w:hAnsi="Arial" w:cs="Arial"/>
          <w:b/>
          <w:bCs/>
          <w:color w:val="000000"/>
        </w:rPr>
      </w:pPr>
      <w:r>
        <w:rPr>
          <w:rFonts w:ascii="Arial" w:eastAsia="Arial" w:hAnsi="Arial" w:cs="Arial"/>
          <w:b/>
          <w:bCs/>
          <w:color w:val="000000"/>
        </w:rPr>
        <w:t xml:space="preserve">Knowledge, Perception, and Attitude of Student Nurses on the Care of Clients undergoing Chemotherapy </w:t>
      </w:r>
    </w:p>
    <w:p w14:paraId="00000005" w14:textId="77777777" w:rsidR="00E05BE1" w:rsidRDefault="00E05BE1">
      <w:pPr>
        <w:pBdr>
          <w:top w:val="nil"/>
          <w:left w:val="nil"/>
          <w:bottom w:val="nil"/>
          <w:right w:val="nil"/>
          <w:between w:val="nil"/>
        </w:pBdr>
        <w:jc w:val="both"/>
        <w:rPr>
          <w:rFonts w:ascii="Arial" w:eastAsia="Arial" w:hAnsi="Arial" w:cs="Arial"/>
          <w:color w:val="000000"/>
        </w:rPr>
      </w:pPr>
    </w:p>
    <w:p w14:paraId="00000006" w14:textId="77777777" w:rsidR="00E05BE1" w:rsidRDefault="00E05BE1">
      <w:pPr>
        <w:pBdr>
          <w:top w:val="nil"/>
          <w:left w:val="nil"/>
          <w:bottom w:val="nil"/>
          <w:right w:val="nil"/>
          <w:between w:val="nil"/>
        </w:pBdr>
        <w:jc w:val="both"/>
        <w:rPr>
          <w:rFonts w:ascii="Arial" w:eastAsia="Arial" w:hAnsi="Arial" w:cs="Arial"/>
          <w:color w:val="000000"/>
        </w:rPr>
      </w:pPr>
    </w:p>
    <w:p w14:paraId="00000007" w14:textId="77777777" w:rsidR="00E05BE1" w:rsidRDefault="00F07326">
      <w:pPr>
        <w:pBdr>
          <w:top w:val="nil"/>
          <w:left w:val="nil"/>
          <w:bottom w:val="nil"/>
          <w:right w:val="nil"/>
          <w:between w:val="nil"/>
        </w:pBdr>
        <w:jc w:val="both"/>
        <w:rPr>
          <w:rFonts w:ascii="Arial" w:eastAsia="Arial" w:hAnsi="Arial" w:cs="Arial"/>
          <w:color w:val="000000"/>
        </w:rPr>
        <w:sectPr w:rsidR="00E05BE1">
          <w:headerReference w:type="even" r:id="rId8"/>
          <w:headerReference w:type="default" r:id="rId9"/>
          <w:footerReference w:type="even" r:id="rId10"/>
          <w:footerReference w:type="default" r:id="rId11"/>
          <w:headerReference w:type="first" r:id="rId12"/>
          <w:pgSz w:w="12240" w:h="15840"/>
          <w:pgMar w:top="1440" w:right="2016" w:bottom="2016" w:left="2016" w:header="720" w:footer="1296" w:gutter="0"/>
          <w:pgNumType w:start="1"/>
          <w:cols w:space="720"/>
        </w:sectPr>
      </w:pPr>
      <w:r>
        <w:rPr>
          <w:rFonts w:ascii="Arial" w:eastAsia="Arial" w:hAnsi="Arial" w:cs="Arial"/>
          <w:noProof/>
          <w:color w:val="000000"/>
        </w:rPr>
        <mc:AlternateContent>
          <mc:Choice Requires="wps">
            <w:drawing>
              <wp:inline distT="0" distB="0" distL="0" distR="0" wp14:anchorId="11CFD065" wp14:editId="6C7A7AD8">
                <wp:extent cx="635" cy="19050"/>
                <wp:effectExtent l="0" t="0" r="0" b="0"/>
                <wp:docPr id="1032" name="Straight Arrow Connector 1032"/>
                <wp:cNvGraphicFramePr/>
                <a:graphic xmlns:a="http://schemas.openxmlformats.org/drawingml/2006/main">
                  <a:graphicData uri="http://schemas.microsoft.com/office/word/2010/wordprocessingShape">
                    <wps:wsp>
                      <wps:cNvCnPr/>
                      <wps:spPr>
                        <a:xfrm>
                          <a:off x="2694240" y="3779683"/>
                          <a:ext cx="5303520" cy="635"/>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103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rPr>
        <w:t>.</w:t>
      </w:r>
    </w:p>
    <w:p w14:paraId="00000008"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ABSTRACT </w:t>
      </w:r>
    </w:p>
    <w:p w14:paraId="00000009"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tbl>
      <w:tblPr>
        <w:tblStyle w:val="a2"/>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E05BE1" w14:paraId="75AA4156" w14:textId="77777777">
        <w:tc>
          <w:tcPr>
            <w:tcW w:w="8198" w:type="dxa"/>
            <w:shd w:val="clear" w:color="auto" w:fill="F2F2F2"/>
          </w:tcPr>
          <w:p w14:paraId="0000000A" w14:textId="77777777" w:rsidR="00E05BE1" w:rsidRDefault="00E05BE1">
            <w:pPr>
              <w:pBdr>
                <w:top w:val="nil"/>
                <w:left w:val="nil"/>
                <w:bottom w:val="nil"/>
                <w:right w:val="nil"/>
                <w:between w:val="nil"/>
              </w:pBdr>
              <w:jc w:val="both"/>
              <w:rPr>
                <w:rFonts w:ascii="Arial" w:eastAsia="Arial" w:hAnsi="Arial" w:cs="Arial"/>
                <w:b/>
                <w:bCs/>
                <w:color w:val="000000"/>
              </w:rPr>
            </w:pPr>
          </w:p>
          <w:p w14:paraId="0000000B" w14:textId="77777777" w:rsidR="00E05BE1" w:rsidRDefault="00F07326">
            <w:pPr>
              <w:jc w:val="both"/>
              <w:rPr>
                <w:rFonts w:ascii="Arial" w:eastAsia="Arial" w:hAnsi="Arial" w:cs="Arial"/>
              </w:rPr>
            </w:pPr>
            <w:r>
              <w:rPr>
                <w:rFonts w:ascii="Arial" w:eastAsia="Arial" w:hAnsi="Arial" w:cs="Arial"/>
                <w:b/>
                <w:bCs/>
              </w:rPr>
              <w:t xml:space="preserve">Introduction: </w:t>
            </w:r>
            <w:r>
              <w:rPr>
                <w:rFonts w:ascii="Arial" w:eastAsia="Arial" w:hAnsi="Arial" w:cs="Arial"/>
              </w:rPr>
              <w:t>Cancer is one of the leading health problems in the world. Nurses play a part in taking care of patients who have cancer. This study aimed to assess student nurses' level of knowledge, perception and attitude in taking care of clients undergoing chemothera</w:t>
            </w:r>
            <w:r>
              <w:rPr>
                <w:rFonts w:ascii="Arial" w:eastAsia="Arial" w:hAnsi="Arial" w:cs="Arial"/>
              </w:rPr>
              <w:t>py treatment categorized by year level, chemotherapy unit exposure and cancer patient exposure at a private college in Iloilo City, Philippines, enrolled in the second semester of Academic Year 2025–2026.</w:t>
            </w:r>
          </w:p>
          <w:p w14:paraId="0000000C" w14:textId="77777777" w:rsidR="00E05BE1" w:rsidRDefault="00F07326">
            <w:pPr>
              <w:jc w:val="both"/>
              <w:rPr>
                <w:rFonts w:ascii="Arial" w:eastAsia="Arial" w:hAnsi="Arial" w:cs="Arial"/>
              </w:rPr>
            </w:pPr>
            <w:r>
              <w:rPr>
                <w:rFonts w:ascii="Arial" w:eastAsia="Arial" w:hAnsi="Arial" w:cs="Arial"/>
                <w:b/>
                <w:bCs/>
              </w:rPr>
              <w:t xml:space="preserve">Methods: </w:t>
            </w:r>
            <w:r>
              <w:rPr>
                <w:rFonts w:ascii="Arial" w:eastAsia="Arial" w:hAnsi="Arial" w:cs="Arial"/>
              </w:rPr>
              <w:t>Utilizing a descriptive correlational rese</w:t>
            </w:r>
            <w:r>
              <w:rPr>
                <w:rFonts w:ascii="Arial" w:eastAsia="Arial" w:hAnsi="Arial" w:cs="Arial"/>
              </w:rPr>
              <w:t>arch design surveyed 275 of 960 student nurses, respondents were selected using a stratified random sampling among level 3 and level 4 for fair representation. The data utilized one research-made questionnaire on knowledge and two adopted questionnaires on</w:t>
            </w:r>
            <w:r>
              <w:rPr>
                <w:rFonts w:ascii="Arial" w:eastAsia="Arial" w:hAnsi="Arial" w:cs="Arial"/>
              </w:rPr>
              <w:t xml:space="preserve"> attitude and perception of student nurses. Descriptive statistics (mean, standard deviation, frequency, and percentage) described students’ knowledge, perception, and attitude. Kolmogorov-Smirnov test checked data normality, and Spearman’s rho assessed co</w:t>
            </w:r>
            <w:r>
              <w:rPr>
                <w:rFonts w:ascii="Arial" w:eastAsia="Arial" w:hAnsi="Arial" w:cs="Arial"/>
              </w:rPr>
              <w:t>rrelation at α = 0.05 given the non-normal data distribution.</w:t>
            </w:r>
          </w:p>
          <w:p w14:paraId="0000000D" w14:textId="77777777" w:rsidR="00E05BE1" w:rsidRDefault="00F07326">
            <w:pPr>
              <w:jc w:val="both"/>
              <w:rPr>
                <w:rFonts w:ascii="Arial" w:eastAsia="Arial" w:hAnsi="Arial" w:cs="Arial"/>
              </w:rPr>
            </w:pPr>
            <w:r>
              <w:rPr>
                <w:rFonts w:ascii="Arial" w:eastAsia="Arial" w:hAnsi="Arial" w:cs="Arial"/>
                <w:b/>
                <w:bCs/>
              </w:rPr>
              <w:t>Results:</w:t>
            </w:r>
            <w:r>
              <w:rPr>
                <w:rFonts w:ascii="Arial" w:eastAsia="Arial" w:hAnsi="Arial" w:cs="Arial"/>
              </w:rPr>
              <w:t xml:space="preserve"> The results revealed that student nurses showed high level of knowledge (M = 6.68), average level of perception (M = 2.73) and average level of attitude (M = 2.29). Analysis showed no s</w:t>
            </w:r>
            <w:r>
              <w:rPr>
                <w:rFonts w:ascii="Arial" w:eastAsia="Arial" w:hAnsi="Arial" w:cs="Arial"/>
              </w:rPr>
              <w:t>ignificant difference in the year level in knowledge (p=0.269), perception (p=0.814), and attitude (p=0.645). Analysis showed no significant difference in the chemotherapy exposure in knowledge (p=0.912), perception (p=0.430), and attitude (p=0.433). Analy</w:t>
            </w:r>
            <w:r>
              <w:rPr>
                <w:rFonts w:ascii="Arial" w:eastAsia="Arial" w:hAnsi="Arial" w:cs="Arial"/>
              </w:rPr>
              <w:t>sis showed no significant difference in the cancer patient exposure in knowledge (p=0.595), perception (p=0.410), and attitude (p=0.570). Furthermore, a very weak positive correlation between knowledge and attitude (p=0.429). A significant moderate positiv</w:t>
            </w:r>
            <w:r>
              <w:rPr>
                <w:rFonts w:ascii="Arial" w:eastAsia="Arial" w:hAnsi="Arial" w:cs="Arial"/>
              </w:rPr>
              <w:t>e correlation between perception and attitude (p=&lt;0.001).</w:t>
            </w:r>
          </w:p>
          <w:p w14:paraId="0000000E" w14:textId="77777777" w:rsidR="00E05BE1" w:rsidRDefault="00F07326">
            <w:pPr>
              <w:jc w:val="both"/>
              <w:rPr>
                <w:rFonts w:ascii="Arial" w:eastAsia="Arial" w:hAnsi="Arial" w:cs="Arial"/>
              </w:rPr>
            </w:pPr>
            <w:r>
              <w:rPr>
                <w:rFonts w:ascii="Arial" w:eastAsia="Arial" w:hAnsi="Arial" w:cs="Arial"/>
                <w:b/>
                <w:bCs/>
              </w:rPr>
              <w:t>Discussion and Recommendations:</w:t>
            </w:r>
            <w:r>
              <w:rPr>
                <w:rFonts w:ascii="Arial" w:eastAsia="Arial" w:hAnsi="Arial" w:cs="Arial"/>
              </w:rPr>
              <w:t xml:space="preserve"> The findings signify that student nurses showed high knowledge of chemotherapy care despite limited exposure. However, their perception and attitude were only average</w:t>
            </w:r>
            <w:r>
              <w:rPr>
                <w:rFonts w:ascii="Arial" w:eastAsia="Arial" w:hAnsi="Arial" w:cs="Arial"/>
              </w:rPr>
              <w:t>, with some fear, uncertainty, and concerns about safety and complexity. Overall, they were willing to care for patients but lacked full confidence. Student nurses should improve their knowledge, confidence, and emotional preparedness in chemotherapy care.</w:t>
            </w:r>
            <w:r>
              <w:rPr>
                <w:rFonts w:ascii="Arial" w:eastAsia="Arial" w:hAnsi="Arial" w:cs="Arial"/>
              </w:rPr>
              <w:t xml:space="preserve"> Educators and clinical instructors should enhance oncology training through better curriculum integration and clinical exposure. Future research should use larger samples and explore deeper experiences using additional variables and qualitative methods.</w:t>
            </w:r>
          </w:p>
          <w:p w14:paraId="0000000F" w14:textId="77777777" w:rsidR="00E05BE1" w:rsidRDefault="00E05BE1">
            <w:pPr>
              <w:pBdr>
                <w:top w:val="nil"/>
                <w:left w:val="nil"/>
                <w:bottom w:val="nil"/>
                <w:right w:val="nil"/>
                <w:between w:val="nil"/>
              </w:pBdr>
              <w:jc w:val="both"/>
              <w:rPr>
                <w:rFonts w:ascii="Arial" w:eastAsia="Arial" w:hAnsi="Arial" w:cs="Arial"/>
                <w:color w:val="000000"/>
              </w:rPr>
            </w:pPr>
          </w:p>
        </w:tc>
      </w:tr>
    </w:tbl>
    <w:p w14:paraId="00000010" w14:textId="77777777" w:rsidR="00E05BE1" w:rsidRDefault="00E05BE1">
      <w:pPr>
        <w:pBdr>
          <w:top w:val="nil"/>
          <w:left w:val="nil"/>
          <w:bottom w:val="nil"/>
          <w:right w:val="nil"/>
          <w:between w:val="nil"/>
        </w:pBdr>
        <w:jc w:val="both"/>
        <w:rPr>
          <w:rFonts w:ascii="Arial" w:eastAsia="Arial" w:hAnsi="Arial" w:cs="Arial"/>
          <w:i/>
          <w:iCs/>
          <w:color w:val="000000"/>
        </w:rPr>
      </w:pPr>
    </w:p>
    <w:p w14:paraId="00000011" w14:textId="77777777" w:rsidR="00E05BE1" w:rsidRDefault="00F07326">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Knowledge, Perception, Attitude, Chemotherapy, Student Nurses </w:t>
      </w:r>
    </w:p>
    <w:p w14:paraId="00000012" w14:textId="77777777" w:rsidR="00E05BE1" w:rsidRDefault="00E05BE1">
      <w:pPr>
        <w:pBdr>
          <w:top w:val="nil"/>
          <w:left w:val="nil"/>
          <w:bottom w:val="nil"/>
          <w:right w:val="nil"/>
          <w:between w:val="nil"/>
        </w:pBdr>
        <w:jc w:val="both"/>
        <w:rPr>
          <w:rFonts w:ascii="Arial" w:eastAsia="Arial" w:hAnsi="Arial" w:cs="Arial"/>
          <w:i/>
          <w:iCs/>
          <w:color w:val="000000"/>
        </w:rPr>
      </w:pPr>
    </w:p>
    <w:p w14:paraId="00000013"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1. INTRODUCTION </w:t>
      </w:r>
    </w:p>
    <w:p w14:paraId="00000014" w14:textId="77777777" w:rsidR="00E05BE1" w:rsidRDefault="00E05BE1">
      <w:pPr>
        <w:pBdr>
          <w:top w:val="nil"/>
          <w:left w:val="nil"/>
          <w:bottom w:val="nil"/>
          <w:right w:val="nil"/>
          <w:between w:val="nil"/>
        </w:pBdr>
        <w:shd w:val="clear" w:color="auto" w:fill="FFFFFF"/>
        <w:rPr>
          <w:rFonts w:ascii="Arial" w:eastAsia="Arial" w:hAnsi="Arial" w:cs="Arial"/>
          <w:color w:val="000000"/>
        </w:rPr>
      </w:pPr>
    </w:p>
    <w:p w14:paraId="00000015" w14:textId="6AD88820" w:rsidR="00E05BE1" w:rsidRDefault="00F07326">
      <w:p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 xml:space="preserve">Cancer is one of the leading health problems in the world. There are 19.3 million citizens in the population who </w:t>
      </w:r>
      <w:r w:rsidR="00834BB6">
        <w:rPr>
          <w:rFonts w:ascii="Arial" w:eastAsia="Arial" w:hAnsi="Arial" w:cs="Arial"/>
          <w:color w:val="000000"/>
        </w:rPr>
        <w:t>where</w:t>
      </w:r>
      <w:r>
        <w:rPr>
          <w:rFonts w:ascii="Arial" w:eastAsia="Arial" w:hAnsi="Arial" w:cs="Arial"/>
          <w:color w:val="000000"/>
        </w:rPr>
        <w:t xml:space="preserve"> been identified with cancer for the first time in 2020, and about 10 million people die from it (Sung et al., 2020). In the year 2022, the</w:t>
      </w:r>
      <w:r>
        <w:rPr>
          <w:rFonts w:ascii="Arial" w:eastAsia="Arial" w:hAnsi="Arial" w:cs="Arial"/>
          <w:color w:val="000000"/>
        </w:rPr>
        <w:t xml:space="preserve">re were 188,976 new cases of cancer and 111,299 deaths in the Philippines. With the rise of cancer cases, nurses </w:t>
      </w:r>
      <w:r>
        <w:rPr>
          <w:rFonts w:ascii="Arial" w:eastAsia="Arial" w:hAnsi="Arial" w:cs="Arial"/>
          <w:color w:val="000000"/>
        </w:rPr>
        <w:lastRenderedPageBreak/>
        <w:t>have essential roles in providing care through chemotherapy to patients. Nurses provide patient-centered care, especially in treatment, keeping</w:t>
      </w:r>
      <w:r>
        <w:rPr>
          <w:rFonts w:ascii="Arial" w:eastAsia="Arial" w:hAnsi="Arial" w:cs="Arial"/>
          <w:color w:val="000000"/>
        </w:rPr>
        <w:t xml:space="preserve"> track of patients’ history, physical and mental health, and working with other healthcare members for the treatment plans and checking their progress (</w:t>
      </w:r>
      <w:proofErr w:type="spellStart"/>
      <w:r>
        <w:rPr>
          <w:rFonts w:ascii="Arial" w:eastAsia="Arial" w:hAnsi="Arial" w:cs="Arial"/>
          <w:color w:val="000000"/>
        </w:rPr>
        <w:t>Guerro</w:t>
      </w:r>
      <w:proofErr w:type="spellEnd"/>
      <w:r>
        <w:rPr>
          <w:rFonts w:ascii="Arial" w:eastAsia="Arial" w:hAnsi="Arial" w:cs="Arial"/>
          <w:color w:val="000000"/>
        </w:rPr>
        <w:t xml:space="preserve"> et al., 2024).</w:t>
      </w:r>
    </w:p>
    <w:p w14:paraId="00000016" w14:textId="77777777" w:rsidR="00E05BE1" w:rsidRDefault="00F07326">
      <w:pPr>
        <w:pBdr>
          <w:top w:val="nil"/>
          <w:left w:val="nil"/>
          <w:bottom w:val="nil"/>
          <w:right w:val="nil"/>
          <w:between w:val="nil"/>
        </w:pBdr>
        <w:shd w:val="clear" w:color="auto" w:fill="FFFFFF"/>
        <w:ind w:firstLine="720"/>
        <w:rPr>
          <w:rFonts w:ascii="Arial" w:eastAsia="Arial" w:hAnsi="Arial" w:cs="Arial"/>
          <w:color w:val="000000"/>
        </w:rPr>
      </w:pPr>
      <w:r>
        <w:rPr>
          <w:rFonts w:ascii="Arial" w:eastAsia="Arial" w:hAnsi="Arial" w:cs="Arial"/>
          <w:color w:val="000000"/>
        </w:rPr>
        <w:t> </w:t>
      </w:r>
    </w:p>
    <w:p w14:paraId="00000017" w14:textId="77777777" w:rsidR="00E05BE1" w:rsidRDefault="00F07326">
      <w:p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A student nurse's perception of cancer care is often influenced by factors such as age, academic level, and prior exposure. While their experience typically fosters confidence and a positive outlook, many students still encounter fear, doubt, and emotional</w:t>
      </w:r>
      <w:r>
        <w:rPr>
          <w:rFonts w:ascii="Arial" w:eastAsia="Arial" w:hAnsi="Arial" w:cs="Arial"/>
          <w:color w:val="000000"/>
        </w:rPr>
        <w:t xml:space="preserve"> challenges in oncology practice (</w:t>
      </w:r>
      <w:proofErr w:type="spellStart"/>
      <w:r>
        <w:rPr>
          <w:rFonts w:ascii="Arial" w:eastAsia="Arial" w:hAnsi="Arial" w:cs="Arial"/>
          <w:color w:val="000000"/>
        </w:rPr>
        <w:t>Hedenstrom</w:t>
      </w:r>
      <w:proofErr w:type="spellEnd"/>
      <w:r>
        <w:rPr>
          <w:rFonts w:ascii="Arial" w:eastAsia="Arial" w:hAnsi="Arial" w:cs="Arial"/>
          <w:color w:val="000000"/>
        </w:rPr>
        <w:t xml:space="preserve"> et al., 2021). To help them face challenges, student nurses need effective teaching, guidance, and role models. Enhancing the student’s capability and readiness can resolve stress in performances and prevent ins</w:t>
      </w:r>
      <w:r>
        <w:rPr>
          <w:rFonts w:ascii="Arial" w:eastAsia="Arial" w:hAnsi="Arial" w:cs="Arial"/>
          <w:color w:val="000000"/>
        </w:rPr>
        <w:t>ufficient preparations (</w:t>
      </w:r>
      <w:proofErr w:type="spellStart"/>
      <w:r>
        <w:rPr>
          <w:rFonts w:ascii="Arial" w:eastAsia="Arial" w:hAnsi="Arial" w:cs="Arial"/>
          <w:color w:val="000000"/>
        </w:rPr>
        <w:t>Hedenstrom</w:t>
      </w:r>
      <w:proofErr w:type="spellEnd"/>
      <w:r>
        <w:rPr>
          <w:rFonts w:ascii="Arial" w:eastAsia="Arial" w:hAnsi="Arial" w:cs="Arial"/>
          <w:color w:val="000000"/>
        </w:rPr>
        <w:t xml:space="preserve"> et al., 2021).</w:t>
      </w:r>
    </w:p>
    <w:p w14:paraId="00000018" w14:textId="77777777" w:rsidR="00E05BE1" w:rsidRDefault="00F07326">
      <w:p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           </w:t>
      </w:r>
    </w:p>
    <w:p w14:paraId="00000019" w14:textId="77777777" w:rsidR="00E05BE1" w:rsidRDefault="00F07326">
      <w:p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Nurses have less knowledge about palliative care and do not have a good attitude based on a quantitative study conducted in PhilHealth-accredited hospitals in Manila. The results showed that the</w:t>
      </w:r>
      <w:r>
        <w:rPr>
          <w:rFonts w:ascii="Arial" w:eastAsia="Arial" w:hAnsi="Arial" w:cs="Arial"/>
          <w:color w:val="000000"/>
        </w:rPr>
        <w:t>y do not know how to manage pain and provide patient care for patients (Soriano, 2019). This proves education and clinical experience make nurses more competent and knowledgeable in palliative care. The current study is relevant since student nurses in the</w:t>
      </w:r>
      <w:r>
        <w:rPr>
          <w:rFonts w:ascii="Arial" w:eastAsia="Arial" w:hAnsi="Arial" w:cs="Arial"/>
          <w:color w:val="000000"/>
        </w:rPr>
        <w:t xml:space="preserve"> care of clients undergoing chemotherapy need proper knowledge, perceptions, and attitude to provide safe, compassionate and patient care centered (Soriano, 2019).</w:t>
      </w:r>
    </w:p>
    <w:p w14:paraId="0000001A" w14:textId="77777777" w:rsidR="00E05BE1" w:rsidRDefault="00E05BE1">
      <w:pPr>
        <w:pBdr>
          <w:top w:val="nil"/>
          <w:left w:val="nil"/>
          <w:bottom w:val="nil"/>
          <w:right w:val="nil"/>
          <w:between w:val="nil"/>
        </w:pBdr>
        <w:shd w:val="clear" w:color="auto" w:fill="FFFFFF"/>
        <w:ind w:firstLine="720"/>
        <w:rPr>
          <w:rFonts w:ascii="Arial" w:eastAsia="Arial" w:hAnsi="Arial" w:cs="Arial"/>
          <w:color w:val="000000"/>
        </w:rPr>
      </w:pPr>
    </w:p>
    <w:p w14:paraId="0000001B" w14:textId="77777777" w:rsidR="00E05BE1" w:rsidRDefault="00F07326">
      <w:p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The United Nations’ Sustainable Development Goal 3 which advocates good health and wellbein</w:t>
      </w:r>
      <w:r>
        <w:rPr>
          <w:rFonts w:ascii="Arial" w:eastAsia="Arial" w:hAnsi="Arial" w:cs="Arial"/>
          <w:color w:val="000000"/>
        </w:rPr>
        <w:t>g is applied in this study. Encouraging safe handling of procedures, and supporting high-quality cancer treatment can provide information about cancer, and make a better patient outcome. Knowledge, perception, and attitude of student nurses are critical co</w:t>
      </w:r>
      <w:r>
        <w:rPr>
          <w:rFonts w:ascii="Arial" w:eastAsia="Arial" w:hAnsi="Arial" w:cs="Arial"/>
          <w:color w:val="000000"/>
        </w:rPr>
        <w:t xml:space="preserve">mponents for ensuring effective chemotherapy care. Through comprehensive education programs that combine written and nurse-led instruction sessions, nurses can help patients prepare for chemotherapy and manage side effects, which improves patient outcomes </w:t>
      </w:r>
      <w:r>
        <w:rPr>
          <w:rFonts w:ascii="Arial" w:eastAsia="Arial" w:hAnsi="Arial" w:cs="Arial"/>
          <w:color w:val="000000"/>
        </w:rPr>
        <w:t>and satisfaction (</w:t>
      </w:r>
      <w:proofErr w:type="spellStart"/>
      <w:r>
        <w:rPr>
          <w:rFonts w:ascii="Arial" w:eastAsia="Arial" w:hAnsi="Arial" w:cs="Arial"/>
          <w:color w:val="000000"/>
        </w:rPr>
        <w:t>Viveiros</w:t>
      </w:r>
      <w:proofErr w:type="spellEnd"/>
      <w:r>
        <w:rPr>
          <w:rFonts w:ascii="Arial" w:eastAsia="Arial" w:hAnsi="Arial" w:cs="Arial"/>
          <w:color w:val="000000"/>
        </w:rPr>
        <w:t>, 2020).</w:t>
      </w:r>
    </w:p>
    <w:p w14:paraId="0000001C"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1E" w14:textId="62E0030E" w:rsidR="00E05BE1" w:rsidRDefault="002541EC">
      <w:pPr>
        <w:pBdr>
          <w:top w:val="nil"/>
          <w:left w:val="nil"/>
          <w:bottom w:val="nil"/>
          <w:right w:val="nil"/>
          <w:between w:val="nil"/>
        </w:pBdr>
        <w:jc w:val="both"/>
        <w:rPr>
          <w:rFonts w:ascii="Arial" w:hAnsi="Arial" w:cs="Arial"/>
          <w:color w:val="000000"/>
        </w:rPr>
      </w:pPr>
      <w:r>
        <w:rPr>
          <w:rFonts w:ascii="Arial" w:hAnsi="Arial" w:cs="Arial"/>
          <w:color w:val="000000"/>
        </w:rPr>
        <w:t>Understanding the cognitive and emotional experiences of student nurses in chemotherapy units is essential. This study addresses a critical gap in the literature concerning student knowledge, perceptions, and attitudes within this specialized field, contributing to the expanding body of local research. By identifying key training deficiencies, educators can better support students, ultimately mitigating clinical errors and enhancing their competence in managing complex oncological scenarios</w:t>
      </w:r>
    </w:p>
    <w:p w14:paraId="46E20F65" w14:textId="77777777" w:rsidR="002541EC" w:rsidRDefault="002541EC">
      <w:pPr>
        <w:pBdr>
          <w:top w:val="nil"/>
          <w:left w:val="nil"/>
          <w:bottom w:val="nil"/>
          <w:right w:val="nil"/>
          <w:between w:val="nil"/>
        </w:pBdr>
        <w:jc w:val="both"/>
        <w:rPr>
          <w:rFonts w:ascii="Arial" w:eastAsia="Arial" w:hAnsi="Arial" w:cs="Arial"/>
          <w:color w:val="000000"/>
        </w:rPr>
      </w:pPr>
    </w:p>
    <w:p w14:paraId="0000001F"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2. LITERATURE REVIEW</w:t>
      </w:r>
    </w:p>
    <w:p w14:paraId="00000020"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21" w14:textId="4E5A4ECF" w:rsidR="00E05BE1" w:rsidRDefault="00F07326">
      <w:pPr>
        <w:spacing w:before="240" w:after="240"/>
        <w:rPr>
          <w:rFonts w:ascii="Arial" w:eastAsia="Arial" w:hAnsi="Arial" w:cs="Arial"/>
        </w:rPr>
      </w:pPr>
      <w:bookmarkStart w:id="0" w:name="_Hlk226055478"/>
      <w:r>
        <w:rPr>
          <w:rFonts w:ascii="Arial" w:eastAsia="Arial" w:hAnsi="Arial" w:cs="Arial"/>
        </w:rPr>
        <w:t xml:space="preserve">Cancer can impact the patient’s life and can make it more difficult to deal with the side effects because of their illness and treatment. Research has been carried out to comprehend the opinions of medical professionals about the needs of cancer patients, </w:t>
      </w:r>
      <w:r>
        <w:rPr>
          <w:rFonts w:ascii="Arial" w:eastAsia="Arial" w:hAnsi="Arial" w:cs="Arial"/>
        </w:rPr>
        <w:t>as well as the mindsets that can be applied to enhance patient care and well-being. A nurse is essential to giving cancer patients high-quality care. Students of nursing must correct information, supportive role models, and guidance to take part in providi</w:t>
      </w:r>
      <w:r>
        <w:rPr>
          <w:rFonts w:ascii="Arial" w:eastAsia="Arial" w:hAnsi="Arial" w:cs="Arial"/>
        </w:rPr>
        <w:t>ng care for cancer sufferers (</w:t>
      </w:r>
      <w:proofErr w:type="spellStart"/>
      <w:r>
        <w:rPr>
          <w:rFonts w:ascii="Arial" w:eastAsia="Arial" w:hAnsi="Arial" w:cs="Arial"/>
        </w:rPr>
        <w:t>Hedenstrom</w:t>
      </w:r>
      <w:proofErr w:type="spellEnd"/>
      <w:r>
        <w:rPr>
          <w:rFonts w:ascii="Arial" w:eastAsia="Arial" w:hAnsi="Arial" w:cs="Arial"/>
        </w:rPr>
        <w:t xml:space="preserve"> et al., 2021). The more prepared student nurses are, the more comfortable nurses and student nurses are with providing care for patients with illness. Few prior </w:t>
      </w:r>
      <w:r w:rsidR="00834BB6">
        <w:rPr>
          <w:rFonts w:ascii="Arial" w:eastAsia="Arial" w:hAnsi="Arial" w:cs="Arial"/>
        </w:rPr>
        <w:t>researches</w:t>
      </w:r>
      <w:r>
        <w:rPr>
          <w:rFonts w:ascii="Arial" w:eastAsia="Arial" w:hAnsi="Arial" w:cs="Arial"/>
        </w:rPr>
        <w:t xml:space="preserve"> have looked at nurses' attitudes and knowledg</w:t>
      </w:r>
      <w:r>
        <w:rPr>
          <w:rFonts w:ascii="Arial" w:eastAsia="Arial" w:hAnsi="Arial" w:cs="Arial"/>
        </w:rPr>
        <w:t>e about cancer and services related to cancer</w:t>
      </w:r>
      <w:r>
        <w:rPr>
          <w:rFonts w:ascii="Arial" w:eastAsia="Arial" w:hAnsi="Arial" w:cs="Arial"/>
          <w:sz w:val="24"/>
          <w:szCs w:val="24"/>
        </w:rPr>
        <w:t xml:space="preserve"> </w:t>
      </w:r>
      <w:r>
        <w:rPr>
          <w:rFonts w:ascii="Arial" w:eastAsia="Arial" w:hAnsi="Arial" w:cs="Arial"/>
        </w:rPr>
        <w:t>care. Education and interventions to get them ready can enhance the standard of care provided to cancer patients (</w:t>
      </w:r>
      <w:proofErr w:type="spellStart"/>
      <w:r>
        <w:rPr>
          <w:rFonts w:ascii="Arial" w:eastAsia="Arial" w:hAnsi="Arial" w:cs="Arial"/>
        </w:rPr>
        <w:t>Hedenstrom</w:t>
      </w:r>
      <w:proofErr w:type="spellEnd"/>
      <w:r>
        <w:rPr>
          <w:rFonts w:ascii="Arial" w:eastAsia="Arial" w:hAnsi="Arial" w:cs="Arial"/>
        </w:rPr>
        <w:t xml:space="preserve"> et al., 2021). </w:t>
      </w:r>
    </w:p>
    <w:p w14:paraId="00000022" w14:textId="77777777" w:rsidR="00E05BE1" w:rsidRDefault="00F07326">
      <w:pPr>
        <w:rPr>
          <w:rFonts w:ascii="Arial" w:eastAsia="Arial" w:hAnsi="Arial" w:cs="Arial"/>
        </w:rPr>
      </w:pPr>
      <w:r>
        <w:rPr>
          <w:rFonts w:ascii="Arial" w:eastAsia="Arial" w:hAnsi="Arial" w:cs="Arial"/>
        </w:rPr>
        <w:lastRenderedPageBreak/>
        <w:t>A crucial component of nursing education, the clinical learning envir</w:t>
      </w:r>
      <w:r>
        <w:rPr>
          <w:rFonts w:ascii="Arial" w:eastAsia="Arial" w:hAnsi="Arial" w:cs="Arial"/>
        </w:rPr>
        <w:t>onment where student nurses spend a large portion of their time has a profound impact on their experiences and perspectives. One of the clinical learning environments for student nurses is the oncology unit, and receiving a cancer diagnosis is a distressin</w:t>
      </w:r>
      <w:r>
        <w:rPr>
          <w:rFonts w:ascii="Arial" w:eastAsia="Arial" w:hAnsi="Arial" w:cs="Arial"/>
        </w:rPr>
        <w:t>g event that has a detrimental impact on patients' and their families' quality of life. The experiences that student nurses have in cancer units might expose them to difficulties in providing care, elicit various feelings and ideas, and influence their att</w:t>
      </w:r>
      <w:r>
        <w:rPr>
          <w:rFonts w:ascii="Arial" w:eastAsia="Arial" w:hAnsi="Arial" w:cs="Arial"/>
        </w:rPr>
        <w:t>itudes and actions (Bagheri et al., 2023). As a result, both their good and bad experiences caring for cancer patients may have an impact on their capacity to carry out tasks, develop attitudes, and cultivate a desire to work in oncology wards. For student</w:t>
      </w:r>
      <w:r>
        <w:rPr>
          <w:rFonts w:ascii="Arial" w:eastAsia="Arial" w:hAnsi="Arial" w:cs="Arial"/>
        </w:rPr>
        <w:t xml:space="preserve"> nurses to work in oncology facilities, they must have a solid support network and theoretical expertise. This study displays the opinions of the students regarding the provision of care for patients with terminal illnesses who require both internal and ex</w:t>
      </w:r>
      <w:r>
        <w:rPr>
          <w:rFonts w:ascii="Arial" w:eastAsia="Arial" w:hAnsi="Arial" w:cs="Arial"/>
        </w:rPr>
        <w:t>ternal assistance (Bagheri et al., 2023).</w:t>
      </w:r>
    </w:p>
    <w:p w14:paraId="00000023" w14:textId="77777777" w:rsidR="00E05BE1" w:rsidRDefault="00F07326">
      <w:pPr>
        <w:spacing w:before="240"/>
        <w:rPr>
          <w:rFonts w:ascii="Arial" w:eastAsia="Arial" w:hAnsi="Arial" w:cs="Arial"/>
        </w:rPr>
      </w:pPr>
      <w:r>
        <w:rPr>
          <w:rFonts w:ascii="Arial" w:eastAsia="Arial" w:hAnsi="Arial" w:cs="Arial"/>
        </w:rPr>
        <w:t>Maintaining a neutral attitude in skills and wide knowledge shows the oncology nurses in handling chemotherapeutic drugs. In Luzon, there are 203 oncology nurses demonstrating excellent knowledge, with a mean of 16</w:t>
      </w:r>
      <w:r>
        <w:rPr>
          <w:rFonts w:ascii="Arial" w:eastAsia="Arial" w:hAnsi="Arial" w:cs="Arial"/>
        </w:rPr>
        <w:t>.18/20. There are personal concerns about the risks in handling chemotherapeutic drugs and the institution. It proves that psychological support and proper education can help the attitude of oncology nurses towards chemotherapy (</w:t>
      </w:r>
      <w:proofErr w:type="spellStart"/>
      <w:r>
        <w:rPr>
          <w:rFonts w:ascii="Arial" w:eastAsia="Arial" w:hAnsi="Arial" w:cs="Arial"/>
        </w:rPr>
        <w:t>Gasat</w:t>
      </w:r>
      <w:proofErr w:type="spellEnd"/>
      <w:r>
        <w:rPr>
          <w:rFonts w:ascii="Arial" w:eastAsia="Arial" w:hAnsi="Arial" w:cs="Arial"/>
        </w:rPr>
        <w:t xml:space="preserve"> and </w:t>
      </w:r>
      <w:proofErr w:type="spellStart"/>
      <w:r>
        <w:rPr>
          <w:rFonts w:ascii="Arial" w:eastAsia="Arial" w:hAnsi="Arial" w:cs="Arial"/>
        </w:rPr>
        <w:t>Remon</w:t>
      </w:r>
      <w:proofErr w:type="spellEnd"/>
      <w:r>
        <w:rPr>
          <w:rFonts w:ascii="Arial" w:eastAsia="Arial" w:hAnsi="Arial" w:cs="Arial"/>
        </w:rPr>
        <w:t xml:space="preserve"> 2023).</w:t>
      </w:r>
    </w:p>
    <w:p w14:paraId="00000024" w14:textId="77777777" w:rsidR="00E05BE1" w:rsidRDefault="00E05BE1">
      <w:pPr>
        <w:rPr>
          <w:rFonts w:ascii="Arial" w:eastAsia="Arial" w:hAnsi="Arial" w:cs="Arial"/>
        </w:rPr>
      </w:pPr>
    </w:p>
    <w:p w14:paraId="00000025" w14:textId="77777777" w:rsidR="00E05BE1" w:rsidRDefault="00F07326">
      <w:pPr>
        <w:rPr>
          <w:rFonts w:ascii="Arial" w:eastAsia="Arial" w:hAnsi="Arial" w:cs="Arial"/>
        </w:rPr>
      </w:pPr>
      <w:r>
        <w:rPr>
          <w:rFonts w:ascii="Arial" w:eastAsia="Arial" w:hAnsi="Arial" w:cs="Arial"/>
        </w:rPr>
        <w:t>The</w:t>
      </w:r>
      <w:r>
        <w:rPr>
          <w:rFonts w:ascii="Arial" w:eastAsia="Arial" w:hAnsi="Arial" w:cs="Arial"/>
        </w:rPr>
        <w:t xml:space="preserve"> majority of nurses demonstrate </w:t>
      </w:r>
      <w:proofErr w:type="gramStart"/>
      <w:r>
        <w:rPr>
          <w:rFonts w:ascii="Arial" w:eastAsia="Arial" w:hAnsi="Arial" w:cs="Arial"/>
        </w:rPr>
        <w:t>a</w:t>
      </w:r>
      <w:proofErr w:type="gramEnd"/>
      <w:r>
        <w:rPr>
          <w:rFonts w:ascii="Arial" w:eastAsia="Arial" w:hAnsi="Arial" w:cs="Arial"/>
        </w:rPr>
        <w:t xml:space="preserve"> 85.1% level of knowledge towards oncology patients undergoing chemotherapy with an overall mean of 1.67 (Ahmed, 2022). In another study, more than half of the nurses demonstrated a good knowledge in handling safe administr</w:t>
      </w:r>
      <w:r>
        <w:rPr>
          <w:rFonts w:ascii="Arial" w:eastAsia="Arial" w:hAnsi="Arial" w:cs="Arial"/>
        </w:rPr>
        <w:t>ation of intravenous chemotherapy (Zakaria et al., 2022). However, the gap insists on the understanding of adverse reaction management and emergency preparations. Simulation-based training and professional development is suggested in this study (Zakaria et</w:t>
      </w:r>
      <w:r>
        <w:rPr>
          <w:rFonts w:ascii="Arial" w:eastAsia="Arial" w:hAnsi="Arial" w:cs="Arial"/>
        </w:rPr>
        <w:t xml:space="preserve"> al., 2022).</w:t>
      </w:r>
    </w:p>
    <w:p w14:paraId="00000026" w14:textId="77777777" w:rsidR="00E05BE1" w:rsidRDefault="00E05BE1">
      <w:pPr>
        <w:shd w:val="clear" w:color="auto" w:fill="FFFFFF"/>
        <w:rPr>
          <w:rFonts w:ascii="Arial" w:eastAsia="Arial" w:hAnsi="Arial" w:cs="Arial"/>
        </w:rPr>
      </w:pPr>
    </w:p>
    <w:p w14:paraId="00000027" w14:textId="77777777" w:rsidR="00E05BE1" w:rsidRDefault="00F07326">
      <w:pPr>
        <w:shd w:val="clear" w:color="auto" w:fill="FFFFFF"/>
        <w:rPr>
          <w:rFonts w:ascii="Arial" w:eastAsia="Arial" w:hAnsi="Arial" w:cs="Arial"/>
        </w:rPr>
      </w:pPr>
      <w:r>
        <w:rPr>
          <w:rFonts w:ascii="Arial" w:eastAsia="Arial" w:hAnsi="Arial" w:cs="Arial"/>
        </w:rPr>
        <w:t>There are many studies in Southeast Asia and in the Philippines that examined the preparedness and the experiences of student nurses assigned to high-risk clinical and specialized areas such as oncology units and chemotherapy, where student n</w:t>
      </w:r>
      <w:r>
        <w:rPr>
          <w:rFonts w:ascii="Arial" w:eastAsia="Arial" w:hAnsi="Arial" w:cs="Arial"/>
        </w:rPr>
        <w:t>urses lack in their clinical experience and they experiences anxiety, emotional stress and doubt when handling cytotoxic medications and also when it comes to patient care (Dela Rosa et al. 2025)</w:t>
      </w:r>
      <w:r>
        <w:rPr>
          <w:rFonts w:ascii="Arial" w:eastAsia="Arial" w:hAnsi="Arial" w:cs="Arial"/>
          <w:b/>
          <w:bCs/>
        </w:rPr>
        <w:t>.</w:t>
      </w:r>
      <w:r>
        <w:rPr>
          <w:rFonts w:ascii="Arial" w:eastAsia="Arial" w:hAnsi="Arial" w:cs="Arial"/>
        </w:rPr>
        <w:t xml:space="preserve"> The findings of these studies imply that developing the con</w:t>
      </w:r>
      <w:r>
        <w:rPr>
          <w:rFonts w:ascii="Arial" w:eastAsia="Arial" w:hAnsi="Arial" w:cs="Arial"/>
        </w:rPr>
        <w:t>fidence and competence needed to care for cancer patients requires more than just theoretical education alone.</w:t>
      </w:r>
    </w:p>
    <w:bookmarkEnd w:id="0"/>
    <w:p w14:paraId="00000028" w14:textId="77777777" w:rsidR="00E05BE1" w:rsidRDefault="00E05BE1">
      <w:pPr>
        <w:spacing w:before="240" w:after="240"/>
        <w:rPr>
          <w:rFonts w:ascii="Arial" w:eastAsia="Arial" w:hAnsi="Arial" w:cs="Arial"/>
        </w:rPr>
      </w:pPr>
    </w:p>
    <w:p w14:paraId="00000029" w14:textId="77777777" w:rsidR="00E05BE1" w:rsidRDefault="00E05BE1">
      <w:pPr>
        <w:pBdr>
          <w:top w:val="nil"/>
          <w:left w:val="nil"/>
          <w:bottom w:val="nil"/>
          <w:right w:val="nil"/>
          <w:between w:val="nil"/>
        </w:pBdr>
        <w:jc w:val="both"/>
        <w:rPr>
          <w:rFonts w:ascii="Arial" w:eastAsia="Arial" w:hAnsi="Arial" w:cs="Arial"/>
        </w:rPr>
      </w:pPr>
    </w:p>
    <w:p w14:paraId="0000002A"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3. </w:t>
      </w:r>
      <w:r>
        <w:rPr>
          <w:rFonts w:ascii="Arial" w:eastAsia="Arial" w:hAnsi="Arial" w:cs="Arial"/>
          <w:b/>
          <w:bCs/>
        </w:rPr>
        <w:t>THEORETICAL UNDERPINNING</w:t>
      </w:r>
    </w:p>
    <w:p w14:paraId="0000002B" w14:textId="77777777" w:rsidR="00E05BE1" w:rsidRDefault="00E05BE1">
      <w:pPr>
        <w:pBdr>
          <w:top w:val="nil"/>
          <w:left w:val="nil"/>
          <w:bottom w:val="nil"/>
          <w:right w:val="nil"/>
          <w:between w:val="nil"/>
        </w:pBdr>
        <w:shd w:val="clear" w:color="auto" w:fill="FFFFFF"/>
        <w:rPr>
          <w:rFonts w:ascii="Arial" w:eastAsia="Arial" w:hAnsi="Arial" w:cs="Arial"/>
          <w:color w:val="000000"/>
          <w:highlight w:val="white"/>
        </w:rPr>
      </w:pPr>
    </w:p>
    <w:p w14:paraId="0000002C" w14:textId="77777777" w:rsidR="00E05BE1" w:rsidRDefault="00F07326">
      <w:pPr>
        <w:pBdr>
          <w:top w:val="nil"/>
          <w:left w:val="nil"/>
          <w:bottom w:val="nil"/>
          <w:right w:val="nil"/>
          <w:between w:val="nil"/>
        </w:pBdr>
        <w:shd w:val="clear" w:color="auto" w:fill="FFFFFF"/>
        <w:rPr>
          <w:rFonts w:ascii="Arial" w:eastAsia="Arial" w:hAnsi="Arial" w:cs="Arial"/>
          <w:color w:val="000000"/>
          <w:highlight w:val="white"/>
        </w:rPr>
      </w:pPr>
      <w:r>
        <w:rPr>
          <w:rFonts w:ascii="Arial" w:eastAsia="Arial" w:hAnsi="Arial" w:cs="Arial"/>
          <w:color w:val="000000"/>
          <w:highlight w:val="white"/>
        </w:rPr>
        <w:t>This study is anchored to the Health Belief Model (HBM), a psychological framework developed in the 1950s to explain and predict health behaviors. The model proposes to prevent and manage health problems through</w:t>
      </w:r>
      <w:r>
        <w:rPr>
          <w:rFonts w:ascii="Arial" w:eastAsia="Arial" w:hAnsi="Arial" w:cs="Arial"/>
          <w:color w:val="000000"/>
          <w:highlight w:val="white"/>
        </w:rPr>
        <w:t xml:space="preserve"> individuals' knowledge, perception, and beliefs about illness, as these are influences of health-related actions. The HBM has six key components: perceived susceptibility, perceived severity, perceived benefits, perceived barriers, cues to action, and sel</w:t>
      </w:r>
      <w:r>
        <w:rPr>
          <w:rFonts w:ascii="Arial" w:eastAsia="Arial" w:hAnsi="Arial" w:cs="Arial"/>
          <w:color w:val="000000"/>
          <w:highlight w:val="white"/>
        </w:rPr>
        <w:t>f-efficacy. These concepts explain why people choose to engage in or avoid behaviors that promote health. Originally it was created to demonstrate why people did or did not engage in public health programs such as screenings for tuberculosis (</w:t>
      </w:r>
      <w:proofErr w:type="spellStart"/>
      <w:r>
        <w:rPr>
          <w:rFonts w:ascii="Arial" w:eastAsia="Arial" w:hAnsi="Arial" w:cs="Arial"/>
          <w:color w:val="000000"/>
          <w:highlight w:val="white"/>
        </w:rPr>
        <w:t>Hochbaum</w:t>
      </w:r>
      <w:proofErr w:type="spellEnd"/>
      <w:r>
        <w:rPr>
          <w:rFonts w:ascii="Arial" w:eastAsia="Arial" w:hAnsi="Arial" w:cs="Arial"/>
          <w:color w:val="000000"/>
          <w:highlight w:val="white"/>
        </w:rPr>
        <w:t>, 195</w:t>
      </w:r>
      <w:r>
        <w:rPr>
          <w:rFonts w:ascii="Arial" w:eastAsia="Arial" w:hAnsi="Arial" w:cs="Arial"/>
          <w:color w:val="000000"/>
          <w:highlight w:val="white"/>
        </w:rPr>
        <w:t>8; Rosenstock, 1966).</w:t>
      </w:r>
    </w:p>
    <w:p w14:paraId="0000002D" w14:textId="77777777" w:rsidR="00E05BE1" w:rsidRDefault="00E05BE1">
      <w:pPr>
        <w:pBdr>
          <w:top w:val="nil"/>
          <w:left w:val="nil"/>
          <w:bottom w:val="nil"/>
          <w:right w:val="nil"/>
          <w:between w:val="nil"/>
        </w:pBdr>
        <w:shd w:val="clear" w:color="auto" w:fill="FFFFFF"/>
        <w:rPr>
          <w:rFonts w:ascii="Arial" w:eastAsia="Arial" w:hAnsi="Arial" w:cs="Arial"/>
          <w:highlight w:val="white"/>
        </w:rPr>
      </w:pPr>
    </w:p>
    <w:p w14:paraId="0000002E" w14:textId="77777777" w:rsidR="00E05BE1" w:rsidRDefault="00E05BE1">
      <w:pPr>
        <w:pBdr>
          <w:top w:val="nil"/>
          <w:left w:val="nil"/>
          <w:bottom w:val="nil"/>
          <w:right w:val="nil"/>
          <w:between w:val="nil"/>
        </w:pBdr>
        <w:shd w:val="clear" w:color="auto" w:fill="FFFFFF"/>
        <w:rPr>
          <w:rFonts w:ascii="Arial" w:eastAsia="Arial" w:hAnsi="Arial" w:cs="Arial"/>
          <w:highlight w:val="white"/>
        </w:rPr>
      </w:pPr>
    </w:p>
    <w:p w14:paraId="0000002F" w14:textId="77777777" w:rsidR="00E05BE1" w:rsidRDefault="00E05BE1">
      <w:pPr>
        <w:pBdr>
          <w:top w:val="nil"/>
          <w:left w:val="nil"/>
          <w:bottom w:val="nil"/>
          <w:right w:val="nil"/>
          <w:between w:val="nil"/>
        </w:pBdr>
        <w:jc w:val="both"/>
        <w:rPr>
          <w:rFonts w:ascii="Arial" w:eastAsia="Arial" w:hAnsi="Arial" w:cs="Arial"/>
          <w:color w:val="000000"/>
        </w:rPr>
      </w:pPr>
    </w:p>
    <w:p w14:paraId="00000030" w14:textId="77777777" w:rsidR="00E05BE1" w:rsidRDefault="00F07326">
      <w:pPr>
        <w:pBdr>
          <w:top w:val="nil"/>
          <w:left w:val="nil"/>
          <w:bottom w:val="nil"/>
          <w:right w:val="nil"/>
          <w:between w:val="nil"/>
        </w:pBdr>
        <w:jc w:val="both"/>
        <w:rPr>
          <w:rFonts w:ascii="Arial" w:eastAsia="Arial" w:hAnsi="Arial" w:cs="Arial"/>
          <w:b/>
          <w:bCs/>
          <w:color w:val="000000"/>
        </w:rPr>
      </w:pPr>
      <w:r>
        <w:rPr>
          <w:rFonts w:ascii="Arial" w:eastAsia="Arial" w:hAnsi="Arial" w:cs="Arial"/>
          <w:b/>
          <w:bCs/>
          <w:smallCaps/>
          <w:color w:val="000000"/>
        </w:rPr>
        <w:t xml:space="preserve">3.1 </w:t>
      </w:r>
      <w:r>
        <w:rPr>
          <w:rFonts w:ascii="Arial" w:eastAsia="Arial" w:hAnsi="Arial" w:cs="Arial"/>
          <w:b/>
          <w:bCs/>
          <w:color w:val="000000"/>
        </w:rPr>
        <w:t>OBJECTIVES OF THE STUDY</w:t>
      </w:r>
    </w:p>
    <w:p w14:paraId="00000031" w14:textId="77777777" w:rsidR="00E05BE1" w:rsidRDefault="00E05BE1">
      <w:pPr>
        <w:pBdr>
          <w:top w:val="nil"/>
          <w:left w:val="nil"/>
          <w:bottom w:val="nil"/>
          <w:right w:val="nil"/>
          <w:between w:val="nil"/>
        </w:pBdr>
        <w:jc w:val="both"/>
        <w:rPr>
          <w:rFonts w:ascii="Arial" w:eastAsia="Arial" w:hAnsi="Arial" w:cs="Arial"/>
          <w:color w:val="000000"/>
        </w:rPr>
      </w:pPr>
    </w:p>
    <w:p w14:paraId="00000032" w14:textId="77777777" w:rsidR="00E05BE1" w:rsidRDefault="00F07326">
      <w:pPr>
        <w:pBdr>
          <w:top w:val="nil"/>
          <w:left w:val="nil"/>
          <w:bottom w:val="nil"/>
          <w:right w:val="nil"/>
          <w:between w:val="nil"/>
        </w:pBdr>
        <w:jc w:val="both"/>
        <w:rPr>
          <w:rFonts w:ascii="Arial" w:eastAsia="Arial" w:hAnsi="Arial" w:cs="Arial"/>
          <w:color w:val="000000"/>
        </w:rPr>
      </w:pPr>
      <w:bookmarkStart w:id="1" w:name="_Hlk226055565"/>
      <w:r>
        <w:rPr>
          <w:rFonts w:ascii="Arial" w:eastAsia="Arial" w:hAnsi="Arial" w:cs="Arial"/>
          <w:color w:val="000000"/>
        </w:rPr>
        <w:t>This study aimed to determine whether student nurses' level of knowledge and perception influences their attitude towards providing nursing care for patients undergoing chemotherapy.</w:t>
      </w:r>
    </w:p>
    <w:p w14:paraId="00000033" w14:textId="77777777" w:rsidR="00E05BE1" w:rsidRDefault="00E05BE1">
      <w:pPr>
        <w:pBdr>
          <w:top w:val="nil"/>
          <w:left w:val="nil"/>
          <w:bottom w:val="nil"/>
          <w:right w:val="nil"/>
          <w:between w:val="nil"/>
        </w:pBdr>
        <w:jc w:val="both"/>
        <w:rPr>
          <w:rFonts w:ascii="Arial" w:eastAsia="Arial" w:hAnsi="Arial" w:cs="Arial"/>
        </w:rPr>
      </w:pPr>
    </w:p>
    <w:p w14:paraId="00000034" w14:textId="77777777" w:rsidR="00E05BE1" w:rsidRDefault="00F07326">
      <w:pPr>
        <w:pBdr>
          <w:top w:val="nil"/>
          <w:left w:val="nil"/>
          <w:bottom w:val="nil"/>
          <w:right w:val="nil"/>
          <w:between w:val="nil"/>
        </w:pBdr>
        <w:jc w:val="both"/>
        <w:rPr>
          <w:rFonts w:ascii="Arial" w:eastAsia="Arial" w:hAnsi="Arial" w:cs="Arial"/>
        </w:rPr>
      </w:pPr>
      <w:r>
        <w:rPr>
          <w:rFonts w:ascii="Arial" w:eastAsia="Arial" w:hAnsi="Arial" w:cs="Arial"/>
        </w:rPr>
        <w:t>Based on the state</w:t>
      </w:r>
      <w:r>
        <w:rPr>
          <w:rFonts w:ascii="Arial" w:eastAsia="Arial" w:hAnsi="Arial" w:cs="Arial"/>
        </w:rPr>
        <w:t>ment, the following hypotheses were tested:</w:t>
      </w:r>
    </w:p>
    <w:p w14:paraId="00000035" w14:textId="77777777" w:rsidR="00E05BE1" w:rsidRDefault="00F07326">
      <w:pPr>
        <w:shd w:val="clear" w:color="auto" w:fill="FFFFFF"/>
        <w:ind w:left="720"/>
        <w:jc w:val="both"/>
        <w:rPr>
          <w:rFonts w:ascii="Arial" w:eastAsia="Arial" w:hAnsi="Arial" w:cs="Arial"/>
        </w:rPr>
      </w:pPr>
      <w:r>
        <w:rPr>
          <w:rFonts w:ascii="Arial" w:eastAsia="Arial" w:hAnsi="Arial" w:cs="Arial"/>
        </w:rPr>
        <w:t>1. There is no significant difference in the level of knowledge, perception and attitude of student nurses when categorized according to year level, chemotherapy unit exposure, and cancer patient exposure.</w:t>
      </w:r>
    </w:p>
    <w:p w14:paraId="00000036" w14:textId="77777777" w:rsidR="00E05BE1" w:rsidRDefault="00F07326">
      <w:pPr>
        <w:shd w:val="clear" w:color="auto" w:fill="FFFFFF"/>
        <w:ind w:left="720"/>
        <w:jc w:val="both"/>
        <w:rPr>
          <w:rFonts w:ascii="Arial" w:eastAsia="Arial" w:hAnsi="Arial" w:cs="Arial"/>
        </w:rPr>
      </w:pPr>
      <w:r>
        <w:rPr>
          <w:rFonts w:ascii="Arial" w:eastAsia="Arial" w:hAnsi="Arial" w:cs="Arial"/>
        </w:rPr>
        <w:t>2. There is no significant relationship between the level of knowledge and the level of attitude among student nurses toward providing nursing care for patients undergoing chemotherapy.</w:t>
      </w:r>
    </w:p>
    <w:p w14:paraId="00000037" w14:textId="77777777" w:rsidR="00E05BE1" w:rsidRDefault="00F07326">
      <w:pPr>
        <w:shd w:val="clear" w:color="auto" w:fill="FFFFFF"/>
        <w:ind w:left="720"/>
        <w:jc w:val="both"/>
        <w:rPr>
          <w:rFonts w:ascii="Arial" w:eastAsia="Arial" w:hAnsi="Arial" w:cs="Arial"/>
        </w:rPr>
      </w:pPr>
      <w:r>
        <w:rPr>
          <w:rFonts w:ascii="Arial" w:eastAsia="Arial" w:hAnsi="Arial" w:cs="Arial"/>
        </w:rPr>
        <w:t>3.  There is no significant relationship between the level of percepti</w:t>
      </w:r>
      <w:r>
        <w:rPr>
          <w:rFonts w:ascii="Arial" w:eastAsia="Arial" w:hAnsi="Arial" w:cs="Arial"/>
        </w:rPr>
        <w:t>on and the level of attitude among student nurses toward providing nursing care for patients undergoing chemotherapy.</w:t>
      </w:r>
    </w:p>
    <w:bookmarkEnd w:id="1"/>
    <w:p w14:paraId="00000038" w14:textId="77777777" w:rsidR="00E05BE1" w:rsidRDefault="00E05BE1">
      <w:pPr>
        <w:pBdr>
          <w:top w:val="nil"/>
          <w:left w:val="nil"/>
          <w:bottom w:val="nil"/>
          <w:right w:val="nil"/>
          <w:between w:val="nil"/>
        </w:pBdr>
        <w:jc w:val="both"/>
        <w:rPr>
          <w:rFonts w:ascii="Arial" w:eastAsia="Arial" w:hAnsi="Arial" w:cs="Arial"/>
        </w:rPr>
      </w:pPr>
    </w:p>
    <w:p w14:paraId="00000039" w14:textId="77777777" w:rsidR="00E05BE1" w:rsidRDefault="00E05BE1">
      <w:pPr>
        <w:pBdr>
          <w:top w:val="nil"/>
          <w:left w:val="nil"/>
          <w:bottom w:val="nil"/>
          <w:right w:val="nil"/>
          <w:between w:val="nil"/>
        </w:pBdr>
        <w:jc w:val="both"/>
        <w:rPr>
          <w:rFonts w:ascii="Arial" w:eastAsia="Arial" w:hAnsi="Arial" w:cs="Arial"/>
          <w:b/>
          <w:bCs/>
          <w:color w:val="000000"/>
        </w:rPr>
      </w:pPr>
    </w:p>
    <w:p w14:paraId="0000003A" w14:textId="77777777" w:rsidR="00E05BE1" w:rsidRDefault="00F07326">
      <w:pPr>
        <w:pBdr>
          <w:top w:val="nil"/>
          <w:left w:val="nil"/>
          <w:bottom w:val="nil"/>
          <w:right w:val="nil"/>
          <w:between w:val="nil"/>
        </w:pBdr>
        <w:jc w:val="both"/>
        <w:rPr>
          <w:rFonts w:ascii="Arial" w:eastAsia="Arial" w:hAnsi="Arial" w:cs="Arial"/>
          <w:b/>
          <w:bCs/>
          <w:color w:val="000000"/>
        </w:rPr>
      </w:pPr>
      <w:bookmarkStart w:id="2" w:name="_Hlk226055594"/>
      <w:r>
        <w:rPr>
          <w:rFonts w:ascii="Arial" w:eastAsia="Arial" w:hAnsi="Arial" w:cs="Arial"/>
          <w:b/>
          <w:bCs/>
          <w:color w:val="000000"/>
        </w:rPr>
        <w:t>4. METHODOLOGY</w:t>
      </w:r>
    </w:p>
    <w:p w14:paraId="0000003B" w14:textId="77777777" w:rsidR="00E05BE1" w:rsidRDefault="00E05BE1">
      <w:pPr>
        <w:pBdr>
          <w:top w:val="nil"/>
          <w:left w:val="nil"/>
          <w:bottom w:val="nil"/>
          <w:right w:val="nil"/>
          <w:between w:val="nil"/>
        </w:pBdr>
        <w:jc w:val="both"/>
        <w:rPr>
          <w:rFonts w:ascii="Arial" w:eastAsia="Arial" w:hAnsi="Arial" w:cs="Arial"/>
          <w:b/>
          <w:bCs/>
          <w:color w:val="000000"/>
        </w:rPr>
      </w:pPr>
    </w:p>
    <w:p w14:paraId="0000003C" w14:textId="77777777" w:rsidR="00E05BE1" w:rsidRDefault="00F07326">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4.1 RESEARCH DESIGN</w:t>
      </w:r>
    </w:p>
    <w:p w14:paraId="0000003D" w14:textId="77777777" w:rsidR="00E05BE1" w:rsidRDefault="00E05BE1">
      <w:pPr>
        <w:pBdr>
          <w:top w:val="nil"/>
          <w:left w:val="nil"/>
          <w:bottom w:val="nil"/>
          <w:right w:val="nil"/>
          <w:between w:val="nil"/>
        </w:pBdr>
        <w:jc w:val="both"/>
        <w:rPr>
          <w:rFonts w:ascii="Arial" w:eastAsia="Arial" w:hAnsi="Arial" w:cs="Arial"/>
          <w:b/>
          <w:bCs/>
          <w:color w:val="000000"/>
        </w:rPr>
      </w:pPr>
    </w:p>
    <w:p w14:paraId="0000003E"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A descriptive correlational research design was applied. It aimed to measure and describe knowledge, perception, and attitude of student nurses on the care of clients undergoing chemotherapy through the use of standardized questionnaires. A descriptive cor</w:t>
      </w:r>
      <w:r>
        <w:rPr>
          <w:rFonts w:ascii="Arial" w:eastAsia="Arial" w:hAnsi="Arial" w:cs="Arial"/>
          <w:color w:val="000000"/>
        </w:rPr>
        <w:t>relational design allowed the researchers to describe existing variables and determine the strength and direction of relationships between variables without manipulation (Polit &amp; Beck, 2017).</w:t>
      </w:r>
    </w:p>
    <w:p w14:paraId="0000003F"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40"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4.2 INSTRUMENT </w:t>
      </w:r>
    </w:p>
    <w:p w14:paraId="00000041" w14:textId="77777777" w:rsidR="00E05BE1" w:rsidRDefault="00E05BE1">
      <w:pPr>
        <w:pBdr>
          <w:top w:val="nil"/>
          <w:left w:val="nil"/>
          <w:bottom w:val="nil"/>
          <w:right w:val="nil"/>
          <w:between w:val="nil"/>
        </w:pBdr>
        <w:rPr>
          <w:rFonts w:ascii="Arial" w:eastAsia="Arial" w:hAnsi="Arial" w:cs="Arial"/>
          <w:color w:val="000000"/>
        </w:rPr>
      </w:pPr>
    </w:p>
    <w:p w14:paraId="00000042"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This study employed a 39-item research instrum</w:t>
      </w:r>
      <w:r>
        <w:rPr>
          <w:rFonts w:ascii="Arial" w:eastAsia="Arial" w:hAnsi="Arial" w:cs="Arial"/>
          <w:color w:val="000000"/>
        </w:rPr>
        <w:t>ent consisting of both researcher-developed and adopted questionnaires, administered through Google Forms. The instrument included sections on respondents’ demographic profile, knowledge, perception, and attitude. Knowledge was assessed using a 7-item true</w:t>
      </w:r>
      <w:r>
        <w:rPr>
          <w:rFonts w:ascii="Arial" w:eastAsia="Arial" w:hAnsi="Arial" w:cs="Arial"/>
          <w:color w:val="000000"/>
        </w:rPr>
        <w:t xml:space="preserve"> or false questionnaire and categorized as high, moderate, or low. Perception was measured through a 22-item Likert-scale questionnaire adopted from </w:t>
      </w:r>
      <w:proofErr w:type="spellStart"/>
      <w:r>
        <w:rPr>
          <w:rFonts w:ascii="Arial" w:eastAsia="Arial" w:hAnsi="Arial" w:cs="Arial"/>
          <w:color w:val="000000"/>
        </w:rPr>
        <w:t>Erdemir</w:t>
      </w:r>
      <w:proofErr w:type="spellEnd"/>
      <w:r>
        <w:rPr>
          <w:rFonts w:ascii="Arial" w:eastAsia="Arial" w:hAnsi="Arial" w:cs="Arial"/>
          <w:color w:val="000000"/>
        </w:rPr>
        <w:t xml:space="preserve"> et al. (2012), while attitude was evaluated using a 10-item Likert-scale questionnaire adopted from</w:t>
      </w:r>
      <w:r>
        <w:rPr>
          <w:rFonts w:ascii="Arial" w:eastAsia="Arial" w:hAnsi="Arial" w:cs="Arial"/>
          <w:color w:val="000000"/>
        </w:rPr>
        <w:t xml:space="preserve"> Choudhary (2016). Both perception and attitude were classified into high, average, and low levels based on established scoring ranges.</w:t>
      </w:r>
    </w:p>
    <w:p w14:paraId="00000043" w14:textId="77777777" w:rsidR="00E05BE1" w:rsidRDefault="00E05BE1">
      <w:pPr>
        <w:pBdr>
          <w:top w:val="nil"/>
          <w:left w:val="nil"/>
          <w:bottom w:val="nil"/>
          <w:right w:val="nil"/>
          <w:between w:val="nil"/>
        </w:pBdr>
        <w:jc w:val="both"/>
        <w:rPr>
          <w:rFonts w:ascii="Arial" w:eastAsia="Arial" w:hAnsi="Arial" w:cs="Arial"/>
          <w:b/>
          <w:bCs/>
          <w:color w:val="000000"/>
        </w:rPr>
      </w:pPr>
    </w:p>
    <w:p w14:paraId="00000044" w14:textId="71FDC8C5"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The instrument underwent validity and reliability testing prior to data collection. Content validity required an averag</w:t>
      </w:r>
      <w:r>
        <w:rPr>
          <w:rFonts w:ascii="Arial" w:eastAsia="Arial" w:hAnsi="Arial" w:cs="Arial"/>
          <w:color w:val="000000"/>
        </w:rPr>
        <w:t>e rating of at least 3.41, and the instrument obtained an overall mean score of 4.406, indicating that it was valid and appropriate for use. Reliability was established through a pilot test involving 30 respondents, with internal consistency measured using</w:t>
      </w:r>
      <w:r>
        <w:rPr>
          <w:rFonts w:ascii="Arial" w:eastAsia="Arial" w:hAnsi="Arial" w:cs="Arial"/>
          <w:color w:val="000000"/>
        </w:rPr>
        <w:t xml:space="preserve"> Cronbach’s alpha and a minimum acceptable threshold of 0.70. The reliability testing showed that the knowledge component, measured as a dichotomous (True/False) test and analyzed using the Kuder-Richardson Formula 20 (KR-20), obtained a coefficient of 0.6</w:t>
      </w:r>
      <w:r>
        <w:rPr>
          <w:rFonts w:ascii="Arial" w:eastAsia="Arial" w:hAnsi="Arial" w:cs="Arial"/>
          <w:color w:val="000000"/>
        </w:rPr>
        <w:t xml:space="preserve">88, indicating marginal but acceptable reliability. This level was considered sufficient, as knowledge tests are not typically expected to have high internal </w:t>
      </w:r>
      <w:r w:rsidR="002261EB">
        <w:rPr>
          <w:rFonts w:ascii="Arial" w:eastAsia="Arial" w:hAnsi="Arial" w:cs="Arial"/>
          <w:color w:val="000000"/>
        </w:rPr>
        <w:t>consistency. Meanwhile</w:t>
      </w:r>
      <w:r>
        <w:rPr>
          <w:rFonts w:ascii="Arial" w:eastAsia="Arial" w:hAnsi="Arial" w:cs="Arial"/>
          <w:color w:val="000000"/>
        </w:rPr>
        <w:t>, perception (0.727) and attitude (0.707) both demonstrated acceptable intern</w:t>
      </w:r>
      <w:r>
        <w:rPr>
          <w:rFonts w:ascii="Arial" w:eastAsia="Arial" w:hAnsi="Arial" w:cs="Arial"/>
          <w:color w:val="000000"/>
        </w:rPr>
        <w:t>al consistency. Overall, the results indicate that the instrument has acceptable reliability across all variables.</w:t>
      </w:r>
    </w:p>
    <w:p w14:paraId="00000045" w14:textId="77777777" w:rsidR="00E05BE1" w:rsidRDefault="00E05BE1">
      <w:pPr>
        <w:pBdr>
          <w:top w:val="nil"/>
          <w:left w:val="nil"/>
          <w:bottom w:val="nil"/>
          <w:right w:val="nil"/>
          <w:between w:val="nil"/>
        </w:pBdr>
        <w:rPr>
          <w:rFonts w:ascii="Arial" w:eastAsia="Arial" w:hAnsi="Arial" w:cs="Arial"/>
        </w:rPr>
      </w:pPr>
    </w:p>
    <w:p w14:paraId="00000046" w14:textId="77777777" w:rsidR="00E05BE1" w:rsidRDefault="00E05BE1">
      <w:pPr>
        <w:pBdr>
          <w:top w:val="nil"/>
          <w:left w:val="nil"/>
          <w:bottom w:val="nil"/>
          <w:right w:val="nil"/>
          <w:between w:val="nil"/>
        </w:pBdr>
        <w:jc w:val="both"/>
        <w:rPr>
          <w:rFonts w:ascii="Arial" w:eastAsia="Arial" w:hAnsi="Arial" w:cs="Arial"/>
          <w:b/>
          <w:bCs/>
          <w:color w:val="000000"/>
        </w:rPr>
      </w:pPr>
    </w:p>
    <w:p w14:paraId="00000047"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lastRenderedPageBreak/>
        <w:t>4.3 PARTICIPANTS AND SAMPLING TECHNIQUE</w:t>
      </w:r>
    </w:p>
    <w:p w14:paraId="00000048" w14:textId="77777777" w:rsidR="00E05BE1" w:rsidRDefault="00E05BE1">
      <w:pPr>
        <w:pBdr>
          <w:top w:val="nil"/>
          <w:left w:val="nil"/>
          <w:bottom w:val="nil"/>
          <w:right w:val="nil"/>
          <w:between w:val="nil"/>
        </w:pBdr>
        <w:rPr>
          <w:rFonts w:ascii="Arial" w:eastAsia="Arial" w:hAnsi="Arial" w:cs="Arial"/>
          <w:color w:val="000000"/>
        </w:rPr>
      </w:pPr>
    </w:p>
    <w:p w14:paraId="00000049" w14:textId="77777777" w:rsidR="00E05BE1" w:rsidRDefault="00F07326">
      <w:pPr>
        <w:rPr>
          <w:rFonts w:ascii="Arial" w:eastAsia="Arial" w:hAnsi="Arial" w:cs="Arial"/>
        </w:rPr>
      </w:pPr>
      <w:r>
        <w:rPr>
          <w:rFonts w:ascii="Arial" w:eastAsia="Arial" w:hAnsi="Arial" w:cs="Arial"/>
        </w:rPr>
        <w:t>The total population was 960 student nurses from level 3 and level 4, as they were expected to have prior exposure to clinical settings and currently enrolled at a private college in Iloilo City for the Academic Year 2025-2026. The sample size of responden</w:t>
      </w:r>
      <w:r>
        <w:rPr>
          <w:rFonts w:ascii="Arial" w:eastAsia="Arial" w:hAnsi="Arial" w:cs="Arial"/>
        </w:rPr>
        <w:t xml:space="preserve">ts were 275 student nurses using a sample size calculator by </w:t>
      </w:r>
      <w:proofErr w:type="spellStart"/>
      <w:r>
        <w:rPr>
          <w:rFonts w:ascii="Arial" w:eastAsia="Arial" w:hAnsi="Arial" w:cs="Arial"/>
        </w:rPr>
        <w:t>Raosoft</w:t>
      </w:r>
      <w:proofErr w:type="spellEnd"/>
      <w:r>
        <w:rPr>
          <w:rFonts w:ascii="Arial" w:eastAsia="Arial" w:hAnsi="Arial" w:cs="Arial"/>
        </w:rPr>
        <w:t xml:space="preserve"> Inc., with a desired confidence level of 95% and a margin of error of 5%. </w:t>
      </w:r>
      <w:r>
        <w:rPr>
          <w:rFonts w:ascii="Arial" w:eastAsia="Arial" w:hAnsi="Arial" w:cs="Arial"/>
          <w:color w:val="000000"/>
        </w:rPr>
        <w:t>The sampling that was utilized was a stratified random sampling technique for fair representation.</w:t>
      </w:r>
    </w:p>
    <w:p w14:paraId="0000004A" w14:textId="77777777" w:rsidR="00E05BE1" w:rsidRDefault="00E05BE1">
      <w:pPr>
        <w:pBdr>
          <w:top w:val="nil"/>
          <w:left w:val="nil"/>
          <w:bottom w:val="nil"/>
          <w:right w:val="nil"/>
          <w:between w:val="nil"/>
        </w:pBdr>
        <w:rPr>
          <w:rFonts w:ascii="Arial" w:eastAsia="Arial" w:hAnsi="Arial" w:cs="Arial"/>
          <w:color w:val="000000"/>
        </w:rPr>
      </w:pPr>
    </w:p>
    <w:p w14:paraId="0000004B" w14:textId="77777777" w:rsidR="00E05BE1" w:rsidRDefault="00E05BE1">
      <w:pPr>
        <w:pBdr>
          <w:top w:val="nil"/>
          <w:left w:val="nil"/>
          <w:bottom w:val="nil"/>
          <w:right w:val="nil"/>
          <w:between w:val="nil"/>
        </w:pBdr>
        <w:jc w:val="both"/>
        <w:rPr>
          <w:rFonts w:ascii="Arial" w:eastAsia="Arial" w:hAnsi="Arial" w:cs="Arial"/>
          <w:b/>
          <w:bCs/>
          <w:color w:val="000000"/>
        </w:rPr>
      </w:pPr>
    </w:p>
    <w:p w14:paraId="0000004C"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4.4 RESEARCH SETTING</w:t>
      </w:r>
    </w:p>
    <w:p w14:paraId="0000004D" w14:textId="77777777" w:rsidR="00E05BE1" w:rsidRDefault="00E05BE1">
      <w:pPr>
        <w:rPr>
          <w:rFonts w:ascii="Arial" w:eastAsia="Arial" w:hAnsi="Arial" w:cs="Arial"/>
        </w:rPr>
      </w:pPr>
    </w:p>
    <w:p w14:paraId="0000004E" w14:textId="77777777" w:rsidR="00E05BE1" w:rsidRDefault="00F07326">
      <w:pPr>
        <w:rPr>
          <w:rFonts w:ascii="Arial" w:eastAsia="Arial" w:hAnsi="Arial" w:cs="Arial"/>
        </w:rPr>
      </w:pPr>
      <w:r>
        <w:rPr>
          <w:rFonts w:ascii="Arial" w:eastAsia="Arial" w:hAnsi="Arial" w:cs="Arial"/>
        </w:rPr>
        <w:t>The researchers chose a private college in Iloilo as the study site to further investigate the knowledge, perception, and attitude of student nurses on the care of clients undergoing chemotherapy. Their varied academic standings and c</w:t>
      </w:r>
      <w:r>
        <w:rPr>
          <w:rFonts w:ascii="Arial" w:eastAsia="Arial" w:hAnsi="Arial" w:cs="Arial"/>
        </w:rPr>
        <w:t>linical exposures provided valuable insights into knowledge, perception, and attitude of student nurses.</w:t>
      </w:r>
    </w:p>
    <w:p w14:paraId="0000004F"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50"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4.5 DATA GATHERING PROCEDURE</w:t>
      </w:r>
    </w:p>
    <w:p w14:paraId="00000051"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52" w14:textId="77777777" w:rsidR="00E05BE1" w:rsidRDefault="00F07326">
      <w:pPr>
        <w:rPr>
          <w:rFonts w:ascii="Arial" w:eastAsia="Arial" w:hAnsi="Arial" w:cs="Arial"/>
        </w:rPr>
      </w:pPr>
      <w:r>
        <w:rPr>
          <w:rFonts w:ascii="Arial" w:eastAsia="Arial" w:hAnsi="Arial" w:cs="Arial"/>
        </w:rPr>
        <w:t>This study received ethical clearance and permission from the Dean of the College of Nursing. Level 3 and 4 student nurs</w:t>
      </w:r>
      <w:r>
        <w:rPr>
          <w:rFonts w:ascii="Arial" w:eastAsia="Arial" w:hAnsi="Arial" w:cs="Arial"/>
        </w:rPr>
        <w:t>es were selected through stratified random sampling, and data were collected online via Google Forms during the second semester. An informed consent form outlined the study objectives, potential risks and benefits, and participants’ rights, while essential</w:t>
      </w:r>
      <w:r>
        <w:rPr>
          <w:rFonts w:ascii="Arial" w:eastAsia="Arial" w:hAnsi="Arial" w:cs="Arial"/>
        </w:rPr>
        <w:t xml:space="preserve"> information on year level, chemotherapy unit exposure, and cancer patient experience was required.</w:t>
      </w:r>
    </w:p>
    <w:p w14:paraId="00000053" w14:textId="77777777" w:rsidR="00E05BE1" w:rsidRDefault="00E05BE1">
      <w:pPr>
        <w:rPr>
          <w:rFonts w:ascii="Arial" w:eastAsia="Arial" w:hAnsi="Arial" w:cs="Arial"/>
        </w:rPr>
      </w:pPr>
    </w:p>
    <w:p w14:paraId="00000054" w14:textId="77777777" w:rsidR="00E05BE1" w:rsidRDefault="00F07326">
      <w:pPr>
        <w:rPr>
          <w:rFonts w:ascii="Arial" w:eastAsia="Arial" w:hAnsi="Arial" w:cs="Arial"/>
        </w:rPr>
      </w:pPr>
      <w:r>
        <w:rPr>
          <w:rFonts w:ascii="Arial" w:eastAsia="Arial" w:hAnsi="Arial" w:cs="Arial"/>
        </w:rPr>
        <w:t>Confidentiality and data security were maintained throughout, with researchers available for any participant concerns. The number of forms sent to students</w:t>
      </w:r>
      <w:r>
        <w:rPr>
          <w:rFonts w:ascii="Arial" w:eastAsia="Arial" w:hAnsi="Arial" w:cs="Arial"/>
        </w:rPr>
        <w:t xml:space="preserve"> were 275 and have been filled and responded by the respondents through their email. Questionnaires took 15–20 minutes to complete, and incomplete responses were excluded. Data were verified and analyzed using </w:t>
      </w:r>
      <w:proofErr w:type="spellStart"/>
      <w:r>
        <w:rPr>
          <w:rFonts w:ascii="Arial" w:eastAsia="Arial" w:hAnsi="Arial" w:cs="Arial"/>
        </w:rPr>
        <w:t>Jamovi</w:t>
      </w:r>
      <w:proofErr w:type="spellEnd"/>
      <w:r>
        <w:rPr>
          <w:rFonts w:ascii="Arial" w:eastAsia="Arial" w:hAnsi="Arial" w:cs="Arial"/>
        </w:rPr>
        <w:t xml:space="preserve"> software t</w:t>
      </w:r>
      <w:bookmarkStart w:id="3" w:name="_GoBack"/>
      <w:bookmarkEnd w:id="3"/>
      <w:r>
        <w:rPr>
          <w:rFonts w:ascii="Arial" w:eastAsia="Arial" w:hAnsi="Arial" w:cs="Arial"/>
        </w:rPr>
        <w:t>o ensure accuracy and reliabi</w:t>
      </w:r>
      <w:r>
        <w:rPr>
          <w:rFonts w:ascii="Arial" w:eastAsia="Arial" w:hAnsi="Arial" w:cs="Arial"/>
        </w:rPr>
        <w:t>lity.</w:t>
      </w:r>
    </w:p>
    <w:p w14:paraId="00000056" w14:textId="77777777" w:rsidR="00E05BE1" w:rsidRDefault="00E05BE1">
      <w:pPr>
        <w:rPr>
          <w:rFonts w:ascii="Arial" w:eastAsia="Arial" w:hAnsi="Arial" w:cs="Arial"/>
        </w:rPr>
      </w:pPr>
    </w:p>
    <w:p w14:paraId="00000057" w14:textId="77777777" w:rsidR="00E05BE1" w:rsidRDefault="00E05BE1">
      <w:pPr>
        <w:rPr>
          <w:rFonts w:ascii="Arial" w:eastAsia="Arial" w:hAnsi="Arial" w:cs="Arial"/>
        </w:rPr>
      </w:pPr>
    </w:p>
    <w:p w14:paraId="00000058"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4.6 DATA ANALYSIS</w:t>
      </w:r>
    </w:p>
    <w:p w14:paraId="00000059" w14:textId="77777777" w:rsidR="00E05BE1" w:rsidRDefault="00E05BE1">
      <w:pPr>
        <w:rPr>
          <w:rFonts w:ascii="Arial" w:eastAsia="Arial" w:hAnsi="Arial" w:cs="Arial"/>
        </w:rPr>
      </w:pPr>
    </w:p>
    <w:p w14:paraId="0000005A" w14:textId="77777777" w:rsidR="00E05BE1" w:rsidRDefault="00F07326">
      <w:pPr>
        <w:keepNext/>
        <w:jc w:val="both"/>
        <w:rPr>
          <w:rFonts w:ascii="Arial" w:eastAsia="Arial" w:hAnsi="Arial" w:cs="Arial"/>
          <w:smallCaps/>
        </w:rPr>
      </w:pPr>
      <w:r>
        <w:rPr>
          <w:rFonts w:ascii="Arial" w:eastAsia="Arial" w:hAnsi="Arial" w:cs="Arial"/>
        </w:rPr>
        <w:t xml:space="preserve">The data collected were organized and encoded in Google Sheets, then proceeded using </w:t>
      </w:r>
      <w:proofErr w:type="spellStart"/>
      <w:r>
        <w:rPr>
          <w:rFonts w:ascii="Arial" w:eastAsia="Arial" w:hAnsi="Arial" w:cs="Arial"/>
        </w:rPr>
        <w:t>Jamovi</w:t>
      </w:r>
      <w:proofErr w:type="spellEnd"/>
      <w:r>
        <w:rPr>
          <w:rFonts w:ascii="Arial" w:eastAsia="Arial" w:hAnsi="Arial" w:cs="Arial"/>
        </w:rPr>
        <w:t xml:space="preserve"> software. Descriptive statistics, specifically Mean, Standard Deviation, Frequencies, and Percentage, were employed to determine the levels of knowledge, perception</w:t>
      </w:r>
      <w:r>
        <w:rPr>
          <w:rFonts w:ascii="Arial" w:eastAsia="Arial" w:hAnsi="Arial" w:cs="Arial"/>
        </w:rPr>
        <w:t>, and attitude of student nurses on the care of clients undergoing chemotherapy. For inferential analysis, the Kolmogorov-Smirnov test was applied to assess normality. Since the variables did not meet the assumption of normality, Spearman’s rho correlation</w:t>
      </w:r>
      <w:r>
        <w:rPr>
          <w:rFonts w:ascii="Arial" w:eastAsia="Arial" w:hAnsi="Arial" w:cs="Arial"/>
        </w:rPr>
        <w:t xml:space="preserve"> was used to examine the relationship between the knowledge and attitude, and relationship between perception and attitude.</w:t>
      </w:r>
    </w:p>
    <w:bookmarkEnd w:id="2"/>
    <w:p w14:paraId="0000005B"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5C"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5. RESULTS AND DISCUSSION </w:t>
      </w:r>
    </w:p>
    <w:p w14:paraId="0000005D"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5E"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5.1 QUANTITATIVE INTERPRETATION OF THE RESULTS</w:t>
      </w:r>
    </w:p>
    <w:p w14:paraId="0000005F"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60"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5.1.1</w:t>
      </w:r>
      <w:r>
        <w:rPr>
          <w:rFonts w:ascii="Arial" w:eastAsia="Arial" w:hAnsi="Arial" w:cs="Arial"/>
          <w:b/>
          <w:bCs/>
          <w:smallCaps/>
        </w:rPr>
        <w:t xml:space="preserve"> PROFILE OF RESPONDENTS</w:t>
      </w:r>
    </w:p>
    <w:p w14:paraId="00000061" w14:textId="77777777" w:rsidR="00E05BE1" w:rsidRDefault="00E05BE1">
      <w:pPr>
        <w:rPr>
          <w:rFonts w:ascii="Arial" w:eastAsia="Arial" w:hAnsi="Arial" w:cs="Arial"/>
        </w:rPr>
      </w:pPr>
    </w:p>
    <w:p w14:paraId="00000062" w14:textId="77777777" w:rsidR="00E05BE1" w:rsidRDefault="00F07326">
      <w:pPr>
        <w:rPr>
          <w:rFonts w:ascii="Arial" w:eastAsia="Arial" w:hAnsi="Arial" w:cs="Arial"/>
          <w:color w:val="000000"/>
        </w:rPr>
      </w:pPr>
      <w:r>
        <w:rPr>
          <w:rFonts w:ascii="Arial" w:eastAsia="Arial" w:hAnsi="Arial" w:cs="Arial"/>
          <w:color w:val="000000"/>
          <w:highlight w:val="white"/>
        </w:rPr>
        <w:t>Table 1 presents the demo</w:t>
      </w:r>
      <w:r>
        <w:rPr>
          <w:rFonts w:ascii="Arial" w:eastAsia="Arial" w:hAnsi="Arial" w:cs="Arial"/>
          <w:color w:val="000000"/>
          <w:highlight w:val="white"/>
        </w:rPr>
        <w:t>graphic profile of the respondents with a total of 275 student nurses from level 3 and level 4. When categorized according to Year Level, the majority (53.8%)</w:t>
      </w:r>
      <w:r>
        <w:rPr>
          <w:rFonts w:ascii="Arial" w:eastAsia="Arial" w:hAnsi="Arial" w:cs="Arial"/>
          <w:i/>
          <w:iCs/>
          <w:color w:val="000000"/>
          <w:highlight w:val="white"/>
        </w:rPr>
        <w:t> </w:t>
      </w:r>
      <w:r>
        <w:rPr>
          <w:rFonts w:ascii="Arial" w:eastAsia="Arial" w:hAnsi="Arial" w:cs="Arial"/>
          <w:color w:val="000000"/>
          <w:highlight w:val="white"/>
        </w:rPr>
        <w:t xml:space="preserve">were level 4 student nurses, whereas a portion (46.2%) were level 3 student nurses. </w:t>
      </w:r>
      <w:r>
        <w:rPr>
          <w:rFonts w:ascii="Arial" w:eastAsia="Arial" w:hAnsi="Arial" w:cs="Arial"/>
          <w:color w:val="000000"/>
          <w:highlight w:val="white"/>
        </w:rPr>
        <w:lastRenderedPageBreak/>
        <w:t>In terms of chemotherapy unit exposure, the majority (81.1%) were not exposed, while the minority (18.9%) were exposed. For the cancer patient exposure majority (64.4%) had</w:t>
      </w:r>
      <w:r>
        <w:rPr>
          <w:rFonts w:ascii="Arial" w:eastAsia="Arial" w:hAnsi="Arial" w:cs="Arial"/>
          <w:color w:val="000000"/>
          <w:highlight w:val="white"/>
        </w:rPr>
        <w:t xml:space="preserve"> not handled cancer patients while (35.6%) had exposure on handling cancer patients</w:t>
      </w:r>
    </w:p>
    <w:p w14:paraId="00000063" w14:textId="77777777" w:rsidR="00E05BE1" w:rsidRDefault="00E05BE1">
      <w:pPr>
        <w:pBdr>
          <w:top w:val="nil"/>
          <w:left w:val="nil"/>
          <w:bottom w:val="nil"/>
          <w:right w:val="nil"/>
          <w:between w:val="nil"/>
        </w:pBdr>
        <w:jc w:val="both"/>
        <w:rPr>
          <w:rFonts w:ascii="Arial" w:eastAsia="Arial" w:hAnsi="Arial" w:cs="Arial"/>
          <w:b/>
          <w:bCs/>
          <w:color w:val="000000"/>
          <w:highlight w:val="white"/>
        </w:rPr>
      </w:pPr>
    </w:p>
    <w:p w14:paraId="00000064"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highlight w:val="white"/>
        </w:rPr>
        <w:t>Table 1. Demographics Profile of Respondents (n=275)</w:t>
      </w:r>
    </w:p>
    <w:p w14:paraId="00000065"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tbl>
      <w:tblPr>
        <w:tblStyle w:val="a3"/>
        <w:tblW w:w="8102" w:type="dxa"/>
        <w:tblInd w:w="8" w:type="dxa"/>
        <w:tblLayout w:type="fixed"/>
        <w:tblLook w:val="0400" w:firstRow="0" w:lastRow="0" w:firstColumn="0" w:lastColumn="0" w:noHBand="0" w:noVBand="1"/>
      </w:tblPr>
      <w:tblGrid>
        <w:gridCol w:w="5795"/>
        <w:gridCol w:w="1096"/>
        <w:gridCol w:w="1211"/>
      </w:tblGrid>
      <w:tr w:rsidR="00E05BE1" w14:paraId="0CABA9CA" w14:textId="77777777">
        <w:trPr>
          <w:trHeight w:val="223"/>
        </w:trPr>
        <w:tc>
          <w:tcPr>
            <w:tcW w:w="5795" w:type="dxa"/>
            <w:tcBorders>
              <w:top w:val="single" w:sz="8" w:space="0" w:color="000000"/>
              <w:left w:val="single" w:sz="6" w:space="0" w:color="FFFFFF"/>
              <w:bottom w:val="single" w:sz="6" w:space="0" w:color="000000"/>
              <w:right w:val="single" w:sz="6" w:space="0" w:color="FFFFFF"/>
            </w:tcBorders>
            <w:tcMar>
              <w:top w:w="0" w:type="dxa"/>
              <w:left w:w="100" w:type="dxa"/>
              <w:bottom w:w="0" w:type="dxa"/>
              <w:right w:w="100" w:type="dxa"/>
            </w:tcMar>
          </w:tcPr>
          <w:p w14:paraId="00000066"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Demographics</w:t>
            </w:r>
          </w:p>
        </w:tc>
        <w:tc>
          <w:tcPr>
            <w:tcW w:w="1096" w:type="dxa"/>
            <w:tcBorders>
              <w:top w:val="single" w:sz="8" w:space="0" w:color="000000"/>
              <w:left w:val="nil"/>
              <w:bottom w:val="single" w:sz="6" w:space="0" w:color="000000"/>
              <w:right w:val="single" w:sz="6" w:space="0" w:color="FFFFFF"/>
            </w:tcBorders>
            <w:tcMar>
              <w:top w:w="0" w:type="dxa"/>
              <w:left w:w="100" w:type="dxa"/>
              <w:bottom w:w="0" w:type="dxa"/>
              <w:right w:w="100" w:type="dxa"/>
            </w:tcMar>
          </w:tcPr>
          <w:p w14:paraId="00000067"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N</w:t>
            </w:r>
          </w:p>
        </w:tc>
        <w:tc>
          <w:tcPr>
            <w:tcW w:w="1211" w:type="dxa"/>
            <w:tcBorders>
              <w:top w:val="single" w:sz="8" w:space="0" w:color="000000"/>
              <w:left w:val="nil"/>
              <w:bottom w:val="single" w:sz="6" w:space="0" w:color="000000"/>
              <w:right w:val="single" w:sz="6" w:space="0" w:color="FFFFFF"/>
            </w:tcBorders>
            <w:tcMar>
              <w:top w:w="0" w:type="dxa"/>
              <w:left w:w="100" w:type="dxa"/>
              <w:bottom w:w="0" w:type="dxa"/>
              <w:right w:w="100" w:type="dxa"/>
            </w:tcMar>
          </w:tcPr>
          <w:p w14:paraId="00000068"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w:t>
            </w:r>
          </w:p>
        </w:tc>
      </w:tr>
      <w:tr w:rsidR="00E05BE1" w14:paraId="309D5E4F" w14:textId="77777777">
        <w:trPr>
          <w:trHeight w:val="259"/>
        </w:trPr>
        <w:tc>
          <w:tcPr>
            <w:tcW w:w="5795"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00000069"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Year Level</w:t>
            </w:r>
          </w:p>
        </w:tc>
        <w:tc>
          <w:tcPr>
            <w:tcW w:w="10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6A"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i/>
                <w:iCs/>
                <w:color w:val="000000"/>
                <w:highlight w:val="white"/>
              </w:rPr>
              <w:t> </w:t>
            </w:r>
          </w:p>
        </w:tc>
        <w:tc>
          <w:tcPr>
            <w:tcW w:w="1211"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6B"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i/>
                <w:iCs/>
                <w:color w:val="000000"/>
                <w:highlight w:val="white"/>
              </w:rPr>
              <w:t> </w:t>
            </w:r>
          </w:p>
        </w:tc>
      </w:tr>
      <w:tr w:rsidR="00E05BE1" w14:paraId="2037D1D2" w14:textId="77777777">
        <w:trPr>
          <w:trHeight w:val="314"/>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6C" w14:textId="77777777" w:rsidR="00E05BE1" w:rsidRDefault="00F07326">
            <w:pPr>
              <w:pBdr>
                <w:top w:val="nil"/>
                <w:left w:val="nil"/>
                <w:bottom w:val="nil"/>
                <w:right w:val="nil"/>
                <w:between w:val="nil"/>
              </w:pBdr>
              <w:ind w:firstLine="460"/>
              <w:jc w:val="both"/>
              <w:rPr>
                <w:rFonts w:ascii="Arial" w:eastAsia="Arial" w:hAnsi="Arial" w:cs="Arial"/>
                <w:color w:val="000000"/>
              </w:rPr>
            </w:pPr>
            <w:r>
              <w:rPr>
                <w:rFonts w:ascii="Arial" w:eastAsia="Arial" w:hAnsi="Arial" w:cs="Arial"/>
                <w:color w:val="000000"/>
                <w:highlight w:val="white"/>
              </w:rPr>
              <w:t>Level 3</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6D"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127</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6E"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46.2</w:t>
            </w:r>
          </w:p>
        </w:tc>
      </w:tr>
      <w:tr w:rsidR="00E05BE1" w14:paraId="187925F4" w14:textId="77777777">
        <w:trPr>
          <w:trHeight w:val="314"/>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6F" w14:textId="77777777" w:rsidR="00E05BE1" w:rsidRDefault="00F07326">
            <w:pPr>
              <w:pBdr>
                <w:top w:val="nil"/>
                <w:left w:val="nil"/>
                <w:bottom w:val="nil"/>
                <w:right w:val="nil"/>
                <w:between w:val="nil"/>
              </w:pBdr>
              <w:ind w:firstLine="460"/>
              <w:jc w:val="both"/>
              <w:rPr>
                <w:rFonts w:ascii="Arial" w:eastAsia="Arial" w:hAnsi="Arial" w:cs="Arial"/>
                <w:color w:val="000000"/>
              </w:rPr>
            </w:pPr>
            <w:r>
              <w:rPr>
                <w:rFonts w:ascii="Arial" w:eastAsia="Arial" w:hAnsi="Arial" w:cs="Arial"/>
                <w:color w:val="000000"/>
                <w:highlight w:val="white"/>
              </w:rPr>
              <w:t>Level 4</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70"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148</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71"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53.8</w:t>
            </w:r>
          </w:p>
        </w:tc>
      </w:tr>
      <w:tr w:rsidR="00E05BE1" w14:paraId="7AB1D21C" w14:textId="77777777">
        <w:trPr>
          <w:trHeight w:val="314"/>
        </w:trPr>
        <w:tc>
          <w:tcPr>
            <w:tcW w:w="5795"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00000072"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Total</w:t>
            </w:r>
          </w:p>
        </w:tc>
        <w:tc>
          <w:tcPr>
            <w:tcW w:w="10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73"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275</w:t>
            </w:r>
          </w:p>
        </w:tc>
        <w:tc>
          <w:tcPr>
            <w:tcW w:w="1211"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74"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100</w:t>
            </w:r>
          </w:p>
        </w:tc>
      </w:tr>
      <w:tr w:rsidR="00E05BE1" w14:paraId="12D67F86" w14:textId="77777777">
        <w:trPr>
          <w:trHeight w:val="329"/>
        </w:trPr>
        <w:tc>
          <w:tcPr>
            <w:tcW w:w="5795"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00000075"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Chemotherapy Unit Exposure</w:t>
            </w:r>
          </w:p>
        </w:tc>
        <w:tc>
          <w:tcPr>
            <w:tcW w:w="10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76"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w:t>
            </w:r>
          </w:p>
        </w:tc>
        <w:tc>
          <w:tcPr>
            <w:tcW w:w="1211"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77"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w:t>
            </w:r>
          </w:p>
        </w:tc>
      </w:tr>
      <w:tr w:rsidR="00E05BE1" w14:paraId="49E6FB31" w14:textId="77777777">
        <w:trPr>
          <w:trHeight w:val="259"/>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78" w14:textId="77777777" w:rsidR="00E05BE1" w:rsidRDefault="00F07326">
            <w:pPr>
              <w:pBdr>
                <w:top w:val="nil"/>
                <w:left w:val="nil"/>
                <w:bottom w:val="nil"/>
                <w:right w:val="nil"/>
                <w:between w:val="nil"/>
              </w:pBdr>
              <w:ind w:firstLine="380"/>
              <w:jc w:val="both"/>
              <w:rPr>
                <w:rFonts w:ascii="Arial" w:eastAsia="Arial" w:hAnsi="Arial" w:cs="Arial"/>
                <w:color w:val="000000"/>
              </w:rPr>
            </w:pPr>
            <w:r>
              <w:rPr>
                <w:rFonts w:ascii="Arial" w:eastAsia="Arial" w:hAnsi="Arial" w:cs="Arial"/>
                <w:color w:val="000000"/>
                <w:highlight w:val="white"/>
              </w:rPr>
              <w:t>Exposed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79"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52</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7A"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18.9</w:t>
            </w:r>
          </w:p>
        </w:tc>
      </w:tr>
      <w:tr w:rsidR="00E05BE1" w14:paraId="3D3F5387" w14:textId="77777777">
        <w:trPr>
          <w:trHeight w:val="259"/>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7B" w14:textId="77777777" w:rsidR="00E05BE1" w:rsidRDefault="00F07326">
            <w:pPr>
              <w:pBdr>
                <w:top w:val="nil"/>
                <w:left w:val="nil"/>
                <w:bottom w:val="nil"/>
                <w:right w:val="nil"/>
                <w:between w:val="nil"/>
              </w:pBdr>
              <w:ind w:firstLine="380"/>
              <w:jc w:val="both"/>
              <w:rPr>
                <w:rFonts w:ascii="Arial" w:eastAsia="Arial" w:hAnsi="Arial" w:cs="Arial"/>
                <w:color w:val="000000"/>
              </w:rPr>
            </w:pPr>
            <w:r>
              <w:rPr>
                <w:rFonts w:ascii="Arial" w:eastAsia="Arial" w:hAnsi="Arial" w:cs="Arial"/>
                <w:color w:val="000000"/>
                <w:highlight w:val="white"/>
              </w:rPr>
              <w:t>Not Exposed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7C"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223</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7D"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81.1</w:t>
            </w:r>
          </w:p>
        </w:tc>
      </w:tr>
      <w:tr w:rsidR="00E05BE1" w14:paraId="41743BE2" w14:textId="77777777">
        <w:trPr>
          <w:trHeight w:val="259"/>
        </w:trPr>
        <w:tc>
          <w:tcPr>
            <w:tcW w:w="5795"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0000007E"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Total</w:t>
            </w:r>
          </w:p>
        </w:tc>
        <w:tc>
          <w:tcPr>
            <w:tcW w:w="10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7F"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275</w:t>
            </w:r>
          </w:p>
        </w:tc>
        <w:tc>
          <w:tcPr>
            <w:tcW w:w="1211"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80"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100</w:t>
            </w:r>
          </w:p>
        </w:tc>
      </w:tr>
      <w:tr w:rsidR="00E05BE1" w14:paraId="232A1EC7" w14:textId="77777777">
        <w:trPr>
          <w:trHeight w:val="259"/>
        </w:trPr>
        <w:tc>
          <w:tcPr>
            <w:tcW w:w="5795"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00000081"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Handled cancer patient</w:t>
            </w:r>
          </w:p>
        </w:tc>
        <w:tc>
          <w:tcPr>
            <w:tcW w:w="10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82"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w:t>
            </w:r>
          </w:p>
        </w:tc>
        <w:tc>
          <w:tcPr>
            <w:tcW w:w="1211"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83"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w:t>
            </w:r>
          </w:p>
        </w:tc>
      </w:tr>
      <w:tr w:rsidR="00E05BE1" w14:paraId="21EB6B52" w14:textId="77777777">
        <w:trPr>
          <w:trHeight w:val="259"/>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84" w14:textId="77777777" w:rsidR="00E05BE1" w:rsidRDefault="00F07326">
            <w:pPr>
              <w:pBdr>
                <w:top w:val="nil"/>
                <w:left w:val="nil"/>
                <w:bottom w:val="nil"/>
                <w:right w:val="nil"/>
                <w:between w:val="nil"/>
              </w:pBdr>
              <w:ind w:firstLine="380"/>
              <w:jc w:val="both"/>
              <w:rPr>
                <w:rFonts w:ascii="Arial" w:eastAsia="Arial" w:hAnsi="Arial" w:cs="Arial"/>
                <w:color w:val="000000"/>
              </w:rPr>
            </w:pPr>
            <w:r>
              <w:rPr>
                <w:rFonts w:ascii="Arial" w:eastAsia="Arial" w:hAnsi="Arial" w:cs="Arial"/>
                <w:color w:val="000000"/>
                <w:highlight w:val="white"/>
              </w:rPr>
              <w:t>Handled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85"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98</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86"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35.6</w:t>
            </w:r>
          </w:p>
        </w:tc>
      </w:tr>
      <w:tr w:rsidR="00E05BE1" w14:paraId="5F80F703" w14:textId="77777777">
        <w:trPr>
          <w:trHeight w:val="247"/>
        </w:trPr>
        <w:tc>
          <w:tcPr>
            <w:tcW w:w="579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87" w14:textId="77777777" w:rsidR="00E05BE1" w:rsidRDefault="00F07326">
            <w:pPr>
              <w:pBdr>
                <w:top w:val="nil"/>
                <w:left w:val="nil"/>
                <w:bottom w:val="nil"/>
                <w:right w:val="nil"/>
                <w:between w:val="nil"/>
              </w:pBdr>
              <w:ind w:firstLine="380"/>
              <w:jc w:val="both"/>
              <w:rPr>
                <w:rFonts w:ascii="Arial" w:eastAsia="Arial" w:hAnsi="Arial" w:cs="Arial"/>
                <w:color w:val="000000"/>
              </w:rPr>
            </w:pPr>
            <w:r>
              <w:rPr>
                <w:rFonts w:ascii="Arial" w:eastAsia="Arial" w:hAnsi="Arial" w:cs="Arial"/>
                <w:color w:val="000000"/>
                <w:highlight w:val="white"/>
              </w:rPr>
              <w:t>Not Handled</w:t>
            </w:r>
          </w:p>
        </w:tc>
        <w:tc>
          <w:tcPr>
            <w:tcW w:w="10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88"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177</w:t>
            </w:r>
          </w:p>
        </w:tc>
        <w:tc>
          <w:tcPr>
            <w:tcW w:w="1211"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89"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64.4</w:t>
            </w:r>
          </w:p>
        </w:tc>
      </w:tr>
      <w:tr w:rsidR="00E05BE1" w14:paraId="71912034" w14:textId="77777777">
        <w:trPr>
          <w:trHeight w:val="247"/>
        </w:trPr>
        <w:tc>
          <w:tcPr>
            <w:tcW w:w="5795"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0000008A"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Total</w:t>
            </w:r>
          </w:p>
        </w:tc>
        <w:tc>
          <w:tcPr>
            <w:tcW w:w="10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8B"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275</w:t>
            </w:r>
          </w:p>
        </w:tc>
        <w:tc>
          <w:tcPr>
            <w:tcW w:w="1211"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8C"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100</w:t>
            </w:r>
          </w:p>
        </w:tc>
      </w:tr>
    </w:tbl>
    <w:p w14:paraId="0000008D"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8E"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5.1.2 LEVEL OF KNOWLEDGE of student nurses ON THE CARE OF CLIENTS IN THE CHEMOTHERAPY UNIT </w:t>
      </w:r>
    </w:p>
    <w:p w14:paraId="0000008F" w14:textId="77777777" w:rsidR="00E05BE1" w:rsidRDefault="00F07326">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highlight w:val="white"/>
        </w:rPr>
        <w:t>The table 2 shows the level of knowledge of student nurses on the care of clients in chemotherapy units. The overall mean was 6.68 out of 7 (High). Among this the h</w:t>
      </w:r>
      <w:r>
        <w:rPr>
          <w:rFonts w:ascii="Arial" w:eastAsia="Arial" w:hAnsi="Arial" w:cs="Arial"/>
          <w:color w:val="000000"/>
          <w:highlight w:val="white"/>
        </w:rPr>
        <w:t>ighest indicators that respondents answered correctly are nurses were responsible for educating patients and their families throughout chemo treatment (97.45%), chemo drugs require proper disposal in designated waste containers (97.45%), and common side ef</w:t>
      </w:r>
      <w:r>
        <w:rPr>
          <w:rFonts w:ascii="Arial" w:eastAsia="Arial" w:hAnsi="Arial" w:cs="Arial"/>
          <w:color w:val="000000"/>
          <w:highlight w:val="white"/>
        </w:rPr>
        <w:t>fects of chemotherapy include nausea, vomiting, hair loss, and fatigue (96.73%).</w:t>
      </w:r>
    </w:p>
    <w:p w14:paraId="00000090"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Meanwhile, the lowest indicators that respondents perceived correctly are that pain assessment is an important nursing responsibility since some chemo-agents can cause nephrop</w:t>
      </w:r>
      <w:r>
        <w:rPr>
          <w:rFonts w:ascii="Arial" w:eastAsia="Arial" w:hAnsi="Arial" w:cs="Arial"/>
          <w:color w:val="000000"/>
          <w:highlight w:val="white"/>
        </w:rPr>
        <w:t>athy (89.09%) and chemotherapy drugs may also affect healthy and rapidly dividing cells, causing side effects (94.91%).</w:t>
      </w:r>
    </w:p>
    <w:p w14:paraId="00000091"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092" w14:textId="77777777" w:rsidR="00E05BE1" w:rsidRDefault="00F07326">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 xml:space="preserve">The result showed that the findings of </w:t>
      </w:r>
      <w:proofErr w:type="spellStart"/>
      <w:r>
        <w:rPr>
          <w:rFonts w:ascii="Arial" w:eastAsia="Arial" w:hAnsi="Arial" w:cs="Arial"/>
          <w:color w:val="000000"/>
          <w:highlight w:val="white"/>
        </w:rPr>
        <w:t>Gasat</w:t>
      </w:r>
      <w:proofErr w:type="spellEnd"/>
      <w:r>
        <w:rPr>
          <w:rFonts w:ascii="Arial" w:eastAsia="Arial" w:hAnsi="Arial" w:cs="Arial"/>
          <w:color w:val="000000"/>
          <w:highlight w:val="white"/>
        </w:rPr>
        <w:t xml:space="preserve"> and </w:t>
      </w:r>
      <w:proofErr w:type="spellStart"/>
      <w:r>
        <w:rPr>
          <w:rFonts w:ascii="Arial" w:eastAsia="Arial" w:hAnsi="Arial" w:cs="Arial"/>
          <w:color w:val="000000"/>
          <w:highlight w:val="white"/>
        </w:rPr>
        <w:t>Remon</w:t>
      </w:r>
      <w:proofErr w:type="spellEnd"/>
      <w:r>
        <w:rPr>
          <w:rFonts w:ascii="Arial" w:eastAsia="Arial" w:hAnsi="Arial" w:cs="Arial"/>
          <w:color w:val="000000"/>
          <w:highlight w:val="white"/>
        </w:rPr>
        <w:t xml:space="preserve"> (2023) reported excellent knowledge about chemotherapy administration and safe </w:t>
      </w:r>
      <w:r>
        <w:rPr>
          <w:rFonts w:ascii="Arial" w:eastAsia="Arial" w:hAnsi="Arial" w:cs="Arial"/>
          <w:color w:val="000000"/>
          <w:highlight w:val="white"/>
        </w:rPr>
        <w:t xml:space="preserve">handling of cytotoxic drugs among oncology nurses in Luzon. It emphasized the importance of education to help build a high level of knowledge in chemotherapy practice. According to Ahmed (2022) nurses showed a good knowledge in chemotherapy and underlined </w:t>
      </w:r>
      <w:r>
        <w:rPr>
          <w:rFonts w:ascii="Arial" w:eastAsia="Arial" w:hAnsi="Arial" w:cs="Arial"/>
          <w:color w:val="000000"/>
          <w:highlight w:val="white"/>
        </w:rPr>
        <w:t xml:space="preserve">the theoretical preparation contributes to the knowledge in oncology setting. </w:t>
      </w:r>
    </w:p>
    <w:p w14:paraId="00000093" w14:textId="77777777" w:rsidR="00E05BE1" w:rsidRDefault="00F07326">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 xml:space="preserve"> </w:t>
      </w:r>
    </w:p>
    <w:p w14:paraId="00000094"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Despite the high rate, there is still a gap in understanding pharmacological and complication management. Zakaria et al. (2022) found out the gap in adverse reaction managemen</w:t>
      </w:r>
      <w:r>
        <w:rPr>
          <w:rFonts w:ascii="Arial" w:eastAsia="Arial" w:hAnsi="Arial" w:cs="Arial"/>
          <w:color w:val="000000"/>
          <w:highlight w:val="white"/>
        </w:rPr>
        <w:t xml:space="preserve">t and emergency preparedness, this aligns that despite the high knowledge it still needs clinical application for better improvement and preparedness. Furthermore, studies of Dela Rosa et al. (2025) and </w:t>
      </w:r>
      <w:proofErr w:type="spellStart"/>
      <w:r>
        <w:rPr>
          <w:rFonts w:ascii="Arial" w:eastAsia="Arial" w:hAnsi="Arial" w:cs="Arial"/>
          <w:color w:val="000000"/>
          <w:highlight w:val="white"/>
        </w:rPr>
        <w:t>Unabia</w:t>
      </w:r>
      <w:proofErr w:type="spellEnd"/>
      <w:r>
        <w:rPr>
          <w:rFonts w:ascii="Arial" w:eastAsia="Arial" w:hAnsi="Arial" w:cs="Arial"/>
          <w:color w:val="000000"/>
          <w:highlight w:val="white"/>
        </w:rPr>
        <w:t xml:space="preserve"> and </w:t>
      </w:r>
      <w:proofErr w:type="spellStart"/>
      <w:r>
        <w:rPr>
          <w:rFonts w:ascii="Arial" w:eastAsia="Arial" w:hAnsi="Arial" w:cs="Arial"/>
          <w:color w:val="000000"/>
          <w:highlight w:val="white"/>
        </w:rPr>
        <w:t>Bacarisas</w:t>
      </w:r>
      <w:proofErr w:type="spellEnd"/>
      <w:r>
        <w:rPr>
          <w:rFonts w:ascii="Arial" w:eastAsia="Arial" w:hAnsi="Arial" w:cs="Arial"/>
          <w:color w:val="000000"/>
          <w:highlight w:val="white"/>
        </w:rPr>
        <w:t xml:space="preserve"> (2024) presented that the Filipi</w:t>
      </w:r>
      <w:r>
        <w:rPr>
          <w:rFonts w:ascii="Arial" w:eastAsia="Arial" w:hAnsi="Arial" w:cs="Arial"/>
          <w:color w:val="000000"/>
          <w:highlight w:val="white"/>
        </w:rPr>
        <w:t xml:space="preserve">no </w:t>
      </w:r>
      <w:r>
        <w:rPr>
          <w:rFonts w:ascii="Arial" w:eastAsia="Arial" w:hAnsi="Arial" w:cs="Arial"/>
          <w:color w:val="000000"/>
        </w:rPr>
        <w:t>student nurses</w:t>
      </w:r>
      <w:r>
        <w:rPr>
          <w:rFonts w:ascii="Arial" w:eastAsia="Arial" w:hAnsi="Arial" w:cs="Arial"/>
          <w:color w:val="000000"/>
          <w:highlight w:val="white"/>
        </w:rPr>
        <w:t xml:space="preserve"> experienced underexposure to the chemotherapy setting and palliative care. This finding explained the gaps still appear despite the high knowledge rating through theoretical but there </w:t>
      </w:r>
      <w:proofErr w:type="gramStart"/>
      <w:r>
        <w:rPr>
          <w:rFonts w:ascii="Arial" w:eastAsia="Arial" w:hAnsi="Arial" w:cs="Arial"/>
          <w:color w:val="000000"/>
          <w:highlight w:val="white"/>
        </w:rPr>
        <w:t>were</w:t>
      </w:r>
      <w:proofErr w:type="gramEnd"/>
      <w:r>
        <w:rPr>
          <w:rFonts w:ascii="Arial" w:eastAsia="Arial" w:hAnsi="Arial" w:cs="Arial"/>
          <w:color w:val="000000"/>
          <w:highlight w:val="white"/>
        </w:rPr>
        <w:t xml:space="preserve"> less practical practice. </w:t>
      </w:r>
    </w:p>
    <w:p w14:paraId="00000095" w14:textId="77777777" w:rsidR="00E05BE1" w:rsidRDefault="00E05BE1">
      <w:pPr>
        <w:pBdr>
          <w:top w:val="nil"/>
          <w:left w:val="nil"/>
          <w:bottom w:val="nil"/>
          <w:right w:val="nil"/>
          <w:between w:val="nil"/>
        </w:pBdr>
        <w:jc w:val="center"/>
        <w:rPr>
          <w:rFonts w:ascii="Arial" w:eastAsia="Arial" w:hAnsi="Arial" w:cs="Arial"/>
          <w:color w:val="000000"/>
        </w:rPr>
      </w:pPr>
    </w:p>
    <w:p w14:paraId="00000096"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10205"/>
          <w:highlight w:val="white"/>
        </w:rPr>
        <w:t xml:space="preserve">Table 2.  Mean Responses on level of knowledge of Student Nurses on the Care of Clients in the Chemotherapy unit </w:t>
      </w:r>
      <w:r>
        <w:rPr>
          <w:rFonts w:ascii="Arial" w:eastAsia="Arial" w:hAnsi="Arial" w:cs="Arial"/>
          <w:b/>
          <w:bCs/>
          <w:color w:val="000000"/>
          <w:highlight w:val="white"/>
        </w:rPr>
        <w:t>(n=275)</w:t>
      </w:r>
    </w:p>
    <w:p w14:paraId="00000097"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tbl>
      <w:tblPr>
        <w:tblStyle w:val="a4"/>
        <w:tblW w:w="8095" w:type="dxa"/>
        <w:tblInd w:w="93" w:type="dxa"/>
        <w:tblLayout w:type="fixed"/>
        <w:tblLook w:val="0400" w:firstRow="0" w:lastRow="0" w:firstColumn="0" w:lastColumn="0" w:noHBand="0" w:noVBand="1"/>
      </w:tblPr>
      <w:tblGrid>
        <w:gridCol w:w="5261"/>
        <w:gridCol w:w="1158"/>
        <w:gridCol w:w="879"/>
        <w:gridCol w:w="797"/>
      </w:tblGrid>
      <w:tr w:rsidR="00E05BE1" w14:paraId="678D5D3B" w14:textId="77777777">
        <w:trPr>
          <w:trHeight w:val="440"/>
        </w:trPr>
        <w:tc>
          <w:tcPr>
            <w:tcW w:w="5261" w:type="dxa"/>
            <w:vMerge w:val="restart"/>
            <w:tcBorders>
              <w:top w:val="single" w:sz="8" w:space="0" w:color="000000"/>
              <w:left w:val="single" w:sz="8" w:space="0" w:color="FFFFFF"/>
              <w:bottom w:val="single" w:sz="8" w:space="0" w:color="000000"/>
              <w:right w:val="single" w:sz="4" w:space="0" w:color="FFFFFF"/>
            </w:tcBorders>
          </w:tcPr>
          <w:p w14:paraId="00000098" w14:textId="77777777" w:rsidR="00E05BE1" w:rsidRDefault="00E05BE1">
            <w:pPr>
              <w:pBdr>
                <w:top w:val="nil"/>
                <w:left w:val="nil"/>
                <w:bottom w:val="nil"/>
                <w:right w:val="nil"/>
                <w:between w:val="nil"/>
              </w:pBdr>
              <w:rPr>
                <w:rFonts w:ascii="Arial" w:eastAsia="Arial" w:hAnsi="Arial" w:cs="Arial"/>
                <w:b/>
                <w:bCs/>
                <w:color w:val="000000"/>
              </w:rPr>
            </w:pPr>
          </w:p>
          <w:p w14:paraId="00000099"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Knowledge Indicator</w:t>
            </w:r>
          </w:p>
        </w:tc>
        <w:tc>
          <w:tcPr>
            <w:tcW w:w="2037" w:type="dxa"/>
            <w:gridSpan w:val="2"/>
            <w:tcBorders>
              <w:top w:val="single" w:sz="8" w:space="0" w:color="000000"/>
              <w:left w:val="single" w:sz="4" w:space="0" w:color="FFFFFF"/>
              <w:right w:val="single" w:sz="4" w:space="0" w:color="FFFFFF"/>
            </w:tcBorders>
          </w:tcPr>
          <w:p w14:paraId="0000009A" w14:textId="77777777" w:rsidR="00E05BE1" w:rsidRDefault="00F07326">
            <w:pPr>
              <w:pBdr>
                <w:top w:val="nil"/>
                <w:left w:val="nil"/>
                <w:bottom w:val="nil"/>
                <w:right w:val="nil"/>
                <w:between w:val="nil"/>
              </w:pBdr>
              <w:jc w:val="center"/>
              <w:rPr>
                <w:rFonts w:ascii="Arial" w:eastAsia="Arial" w:hAnsi="Arial" w:cs="Arial"/>
                <w:b/>
                <w:bCs/>
                <w:color w:val="000000"/>
                <w:highlight w:val="white"/>
              </w:rPr>
            </w:pPr>
            <w:r>
              <w:rPr>
                <w:rFonts w:ascii="Arial" w:eastAsia="Arial" w:hAnsi="Arial" w:cs="Arial"/>
                <w:b/>
                <w:bCs/>
                <w:color w:val="000000"/>
                <w:highlight w:val="white"/>
              </w:rPr>
              <w:t xml:space="preserve">  Correct </w:t>
            </w:r>
          </w:p>
          <w:p w14:paraId="0000009B"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 xml:space="preserve">   Responses</w:t>
            </w:r>
          </w:p>
        </w:tc>
        <w:tc>
          <w:tcPr>
            <w:tcW w:w="797" w:type="dxa"/>
            <w:vMerge w:val="restart"/>
            <w:tcBorders>
              <w:top w:val="single" w:sz="8" w:space="0" w:color="000000"/>
              <w:left w:val="single" w:sz="4" w:space="0" w:color="FFFFFF"/>
              <w:bottom w:val="single" w:sz="8" w:space="0" w:color="000000"/>
              <w:right w:val="single" w:sz="8" w:space="0" w:color="FFFFFF"/>
            </w:tcBorders>
          </w:tcPr>
          <w:p w14:paraId="0000009D"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Correct </w:t>
            </w:r>
          </w:p>
          <w:p w14:paraId="0000009E"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Answer</w:t>
            </w:r>
          </w:p>
        </w:tc>
      </w:tr>
      <w:tr w:rsidR="00E05BE1" w14:paraId="353E8177" w14:textId="77777777">
        <w:trPr>
          <w:trHeight w:val="440"/>
        </w:trPr>
        <w:tc>
          <w:tcPr>
            <w:tcW w:w="5261" w:type="dxa"/>
            <w:vMerge/>
            <w:tcBorders>
              <w:top w:val="single" w:sz="8" w:space="0" w:color="000000"/>
              <w:left w:val="single" w:sz="8" w:space="0" w:color="FFFFFF"/>
              <w:bottom w:val="single" w:sz="8" w:space="0" w:color="000000"/>
              <w:right w:val="single" w:sz="4" w:space="0" w:color="FFFFFF"/>
            </w:tcBorders>
          </w:tcPr>
          <w:p w14:paraId="0000009F" w14:textId="77777777" w:rsidR="00E05BE1" w:rsidRDefault="00E05BE1">
            <w:pPr>
              <w:widowControl w:val="0"/>
              <w:pBdr>
                <w:top w:val="nil"/>
                <w:left w:val="nil"/>
                <w:bottom w:val="nil"/>
                <w:right w:val="nil"/>
                <w:between w:val="nil"/>
              </w:pBdr>
              <w:spacing w:line="276" w:lineRule="auto"/>
              <w:rPr>
                <w:rFonts w:ascii="Arial" w:eastAsia="Arial" w:hAnsi="Arial" w:cs="Arial"/>
                <w:b/>
                <w:bCs/>
                <w:color w:val="000000"/>
              </w:rPr>
            </w:pPr>
          </w:p>
        </w:tc>
        <w:tc>
          <w:tcPr>
            <w:tcW w:w="1158" w:type="dxa"/>
            <w:tcBorders>
              <w:left w:val="single" w:sz="4" w:space="0" w:color="FFFFFF"/>
              <w:bottom w:val="single" w:sz="8" w:space="0" w:color="000000"/>
              <w:right w:val="single" w:sz="8" w:space="0" w:color="FFFFFF"/>
            </w:tcBorders>
          </w:tcPr>
          <w:p w14:paraId="000000A0"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    f</w:t>
            </w:r>
          </w:p>
        </w:tc>
        <w:tc>
          <w:tcPr>
            <w:tcW w:w="879" w:type="dxa"/>
            <w:tcBorders>
              <w:top w:val="single" w:sz="8" w:space="0" w:color="FFFFFF"/>
              <w:left w:val="nil"/>
              <w:bottom w:val="single" w:sz="8" w:space="0" w:color="000000"/>
              <w:right w:val="single" w:sz="4" w:space="0" w:color="FFFFFF"/>
            </w:tcBorders>
          </w:tcPr>
          <w:p w14:paraId="000000A1"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w:t>
            </w:r>
          </w:p>
        </w:tc>
        <w:tc>
          <w:tcPr>
            <w:tcW w:w="797" w:type="dxa"/>
            <w:vMerge/>
            <w:tcBorders>
              <w:top w:val="single" w:sz="8" w:space="0" w:color="000000"/>
              <w:left w:val="single" w:sz="4" w:space="0" w:color="FFFFFF"/>
              <w:bottom w:val="single" w:sz="8" w:space="0" w:color="000000"/>
              <w:right w:val="single" w:sz="8" w:space="0" w:color="FFFFFF"/>
            </w:tcBorders>
          </w:tcPr>
          <w:p w14:paraId="000000A2" w14:textId="77777777" w:rsidR="00E05BE1" w:rsidRDefault="00E05BE1">
            <w:pPr>
              <w:widowControl w:val="0"/>
              <w:pBdr>
                <w:top w:val="nil"/>
                <w:left w:val="nil"/>
                <w:bottom w:val="nil"/>
                <w:right w:val="nil"/>
                <w:between w:val="nil"/>
              </w:pBdr>
              <w:spacing w:line="276" w:lineRule="auto"/>
              <w:rPr>
                <w:rFonts w:ascii="Arial" w:eastAsia="Arial" w:hAnsi="Arial" w:cs="Arial"/>
                <w:b/>
                <w:bCs/>
                <w:color w:val="000000"/>
              </w:rPr>
            </w:pPr>
          </w:p>
        </w:tc>
      </w:tr>
      <w:tr w:rsidR="00E05BE1" w14:paraId="39F994B0" w14:textId="77777777">
        <w:trPr>
          <w:trHeight w:val="528"/>
        </w:trPr>
        <w:tc>
          <w:tcPr>
            <w:tcW w:w="5261" w:type="dxa"/>
            <w:tcBorders>
              <w:top w:val="single" w:sz="8" w:space="0" w:color="000000"/>
              <w:left w:val="single" w:sz="8" w:space="0" w:color="FFFFFF"/>
              <w:bottom w:val="single" w:sz="8" w:space="0" w:color="FFFFFF"/>
              <w:right w:val="single" w:sz="4" w:space="0" w:color="FFFFFF"/>
            </w:tcBorders>
          </w:tcPr>
          <w:p w14:paraId="000000A3"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Nurses are responsible for educating patients and their families throughout chemo treatment.</w:t>
            </w:r>
          </w:p>
        </w:tc>
        <w:tc>
          <w:tcPr>
            <w:tcW w:w="1158" w:type="dxa"/>
            <w:tcBorders>
              <w:top w:val="single" w:sz="8" w:space="0" w:color="000000"/>
              <w:left w:val="single" w:sz="4" w:space="0" w:color="FFFFFF"/>
              <w:bottom w:val="single" w:sz="8" w:space="0" w:color="FFFFFF"/>
              <w:right w:val="single" w:sz="8" w:space="0" w:color="FFFFFF"/>
            </w:tcBorders>
          </w:tcPr>
          <w:p w14:paraId="000000A4"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268</w:t>
            </w:r>
          </w:p>
        </w:tc>
        <w:tc>
          <w:tcPr>
            <w:tcW w:w="879" w:type="dxa"/>
            <w:tcBorders>
              <w:top w:val="single" w:sz="8" w:space="0" w:color="000000"/>
              <w:left w:val="nil"/>
              <w:bottom w:val="single" w:sz="8" w:space="0" w:color="FFFFFF"/>
              <w:right w:val="single" w:sz="8" w:space="0" w:color="FFFFFF"/>
            </w:tcBorders>
          </w:tcPr>
          <w:p w14:paraId="000000A5"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97.45</w:t>
            </w:r>
          </w:p>
        </w:tc>
        <w:tc>
          <w:tcPr>
            <w:tcW w:w="797" w:type="dxa"/>
            <w:tcBorders>
              <w:top w:val="single" w:sz="8" w:space="0" w:color="000000"/>
              <w:left w:val="nil"/>
              <w:bottom w:val="single" w:sz="8" w:space="0" w:color="FFFFFF"/>
              <w:right w:val="single" w:sz="8" w:space="0" w:color="FFFFFF"/>
            </w:tcBorders>
          </w:tcPr>
          <w:p w14:paraId="000000A6"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36C9F157"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000000A7"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Chemo drugs require proper disposal in designated waste containers.</w:t>
            </w:r>
          </w:p>
        </w:tc>
        <w:tc>
          <w:tcPr>
            <w:tcW w:w="1158" w:type="dxa"/>
            <w:tcBorders>
              <w:top w:val="single" w:sz="8" w:space="0" w:color="FFFFFF"/>
              <w:left w:val="single" w:sz="4" w:space="0" w:color="FFFFFF"/>
              <w:bottom w:val="single" w:sz="8" w:space="0" w:color="FFFFFF"/>
              <w:right w:val="single" w:sz="8" w:space="0" w:color="FFFFFF"/>
            </w:tcBorders>
          </w:tcPr>
          <w:p w14:paraId="000000A8"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268</w:t>
            </w:r>
          </w:p>
        </w:tc>
        <w:tc>
          <w:tcPr>
            <w:tcW w:w="879" w:type="dxa"/>
            <w:tcBorders>
              <w:top w:val="single" w:sz="8" w:space="0" w:color="FFFFFF"/>
              <w:left w:val="nil"/>
              <w:bottom w:val="single" w:sz="8" w:space="0" w:color="FFFFFF"/>
              <w:right w:val="single" w:sz="8" w:space="0" w:color="FFFFFF"/>
            </w:tcBorders>
          </w:tcPr>
          <w:p w14:paraId="000000A9"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97.45</w:t>
            </w:r>
          </w:p>
        </w:tc>
        <w:tc>
          <w:tcPr>
            <w:tcW w:w="797" w:type="dxa"/>
            <w:tcBorders>
              <w:top w:val="single" w:sz="8" w:space="0" w:color="FFFFFF"/>
              <w:left w:val="nil"/>
              <w:bottom w:val="single" w:sz="8" w:space="0" w:color="FFFFFF"/>
              <w:right w:val="single" w:sz="8" w:space="0" w:color="FFFFFF"/>
            </w:tcBorders>
          </w:tcPr>
          <w:p w14:paraId="000000AA"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7C3C626E"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000000AB"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Common side effects of chemotherapy include nausea, vomiting, hair loss, and fatigue.</w:t>
            </w:r>
          </w:p>
        </w:tc>
        <w:tc>
          <w:tcPr>
            <w:tcW w:w="1158" w:type="dxa"/>
            <w:tcBorders>
              <w:top w:val="single" w:sz="8" w:space="0" w:color="FFFFFF"/>
              <w:left w:val="single" w:sz="4" w:space="0" w:color="FFFFFF"/>
              <w:bottom w:val="single" w:sz="8" w:space="0" w:color="FFFFFF"/>
              <w:right w:val="single" w:sz="8" w:space="0" w:color="FFFFFF"/>
            </w:tcBorders>
          </w:tcPr>
          <w:p w14:paraId="000000AC"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266</w:t>
            </w:r>
          </w:p>
        </w:tc>
        <w:tc>
          <w:tcPr>
            <w:tcW w:w="879" w:type="dxa"/>
            <w:tcBorders>
              <w:top w:val="single" w:sz="8" w:space="0" w:color="FFFFFF"/>
              <w:left w:val="nil"/>
              <w:bottom w:val="single" w:sz="8" w:space="0" w:color="FFFFFF"/>
              <w:right w:val="single" w:sz="8" w:space="0" w:color="FFFFFF"/>
            </w:tcBorders>
          </w:tcPr>
          <w:p w14:paraId="000000AD"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96.73</w:t>
            </w:r>
          </w:p>
        </w:tc>
        <w:tc>
          <w:tcPr>
            <w:tcW w:w="797" w:type="dxa"/>
            <w:tcBorders>
              <w:top w:val="single" w:sz="8" w:space="0" w:color="FFFFFF"/>
              <w:left w:val="nil"/>
              <w:bottom w:val="single" w:sz="8" w:space="0" w:color="FFFFFF"/>
              <w:right w:val="single" w:sz="8" w:space="0" w:color="FFFFFF"/>
            </w:tcBorders>
          </w:tcPr>
          <w:p w14:paraId="000000AE"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33990F45" w14:textId="77777777">
        <w:tc>
          <w:tcPr>
            <w:tcW w:w="5261" w:type="dxa"/>
            <w:tcBorders>
              <w:top w:val="single" w:sz="8" w:space="0" w:color="FFFFFF"/>
              <w:left w:val="single" w:sz="8" w:space="0" w:color="FFFFFF"/>
              <w:bottom w:val="single" w:sz="8" w:space="0" w:color="FFFFFF"/>
              <w:right w:val="single" w:sz="4" w:space="0" w:color="FFFFFF"/>
            </w:tcBorders>
          </w:tcPr>
          <w:p w14:paraId="000000AF"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Chemotherapy targets rapidly dividing cancer cells to kill or stop their growth</w:t>
            </w:r>
          </w:p>
        </w:tc>
        <w:tc>
          <w:tcPr>
            <w:tcW w:w="1158" w:type="dxa"/>
            <w:tcBorders>
              <w:top w:val="single" w:sz="8" w:space="0" w:color="FFFFFF"/>
              <w:left w:val="single" w:sz="4" w:space="0" w:color="FFFFFF"/>
              <w:bottom w:val="single" w:sz="8" w:space="0" w:color="FFFFFF"/>
              <w:right w:val="single" w:sz="8" w:space="0" w:color="FFFFFF"/>
            </w:tcBorders>
          </w:tcPr>
          <w:p w14:paraId="000000B0"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264    </w:t>
            </w:r>
          </w:p>
        </w:tc>
        <w:tc>
          <w:tcPr>
            <w:tcW w:w="879" w:type="dxa"/>
            <w:tcBorders>
              <w:top w:val="single" w:sz="8" w:space="0" w:color="FFFFFF"/>
              <w:left w:val="nil"/>
              <w:bottom w:val="single" w:sz="8" w:space="0" w:color="FFFFFF"/>
              <w:right w:val="single" w:sz="8" w:space="0" w:color="FFFFFF"/>
            </w:tcBorders>
          </w:tcPr>
          <w:p w14:paraId="000000B1"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96.00</w:t>
            </w:r>
          </w:p>
        </w:tc>
        <w:tc>
          <w:tcPr>
            <w:tcW w:w="797" w:type="dxa"/>
            <w:tcBorders>
              <w:top w:val="single" w:sz="8" w:space="0" w:color="FFFFFF"/>
              <w:left w:val="nil"/>
              <w:bottom w:val="single" w:sz="8" w:space="0" w:color="FFFFFF"/>
              <w:right w:val="single" w:sz="8" w:space="0" w:color="FFFFFF"/>
            </w:tcBorders>
          </w:tcPr>
          <w:p w14:paraId="000000B2"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11EBA6E8"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000000B3"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Patients should be encouraged to rest frequently and modify work demands to manage chemotherapy fatigue.</w:t>
            </w:r>
          </w:p>
        </w:tc>
        <w:tc>
          <w:tcPr>
            <w:tcW w:w="1158" w:type="dxa"/>
            <w:tcBorders>
              <w:top w:val="single" w:sz="8" w:space="0" w:color="FFFFFF"/>
              <w:left w:val="single" w:sz="4" w:space="0" w:color="FFFFFF"/>
              <w:bottom w:val="single" w:sz="8" w:space="0" w:color="FFFFFF"/>
              <w:right w:val="single" w:sz="8" w:space="0" w:color="FFFFFF"/>
            </w:tcBorders>
          </w:tcPr>
          <w:p w14:paraId="000000B4"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264</w:t>
            </w:r>
          </w:p>
        </w:tc>
        <w:tc>
          <w:tcPr>
            <w:tcW w:w="879" w:type="dxa"/>
            <w:tcBorders>
              <w:top w:val="single" w:sz="8" w:space="0" w:color="FFFFFF"/>
              <w:left w:val="nil"/>
              <w:bottom w:val="single" w:sz="8" w:space="0" w:color="FFFFFF"/>
              <w:right w:val="single" w:sz="8" w:space="0" w:color="FFFFFF"/>
            </w:tcBorders>
          </w:tcPr>
          <w:p w14:paraId="000000B5"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96.00</w:t>
            </w:r>
          </w:p>
        </w:tc>
        <w:tc>
          <w:tcPr>
            <w:tcW w:w="797" w:type="dxa"/>
            <w:tcBorders>
              <w:top w:val="single" w:sz="8" w:space="0" w:color="FFFFFF"/>
              <w:left w:val="nil"/>
              <w:bottom w:val="single" w:sz="8" w:space="0" w:color="FFFFFF"/>
              <w:right w:val="single" w:sz="8" w:space="0" w:color="FFFFFF"/>
            </w:tcBorders>
          </w:tcPr>
          <w:p w14:paraId="000000B6"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186EC7C8" w14:textId="77777777">
        <w:trPr>
          <w:trHeight w:val="440"/>
        </w:trPr>
        <w:tc>
          <w:tcPr>
            <w:tcW w:w="5261" w:type="dxa"/>
            <w:tcBorders>
              <w:top w:val="single" w:sz="8" w:space="0" w:color="FFFFFF"/>
              <w:left w:val="single" w:sz="8" w:space="0" w:color="FFFFFF"/>
              <w:bottom w:val="single" w:sz="8" w:space="0" w:color="FFFFFF"/>
              <w:right w:val="single" w:sz="4" w:space="0" w:color="FFFFFF"/>
            </w:tcBorders>
          </w:tcPr>
          <w:p w14:paraId="000000B7"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Chemotherapy drugs may also affect healthy and rapidly dividing cells, causing side effects</w:t>
            </w:r>
          </w:p>
        </w:tc>
        <w:tc>
          <w:tcPr>
            <w:tcW w:w="1158" w:type="dxa"/>
            <w:tcBorders>
              <w:top w:val="single" w:sz="8" w:space="0" w:color="FFFFFF"/>
              <w:left w:val="single" w:sz="4" w:space="0" w:color="FFFFFF"/>
              <w:bottom w:val="single" w:sz="8" w:space="0" w:color="FFFFFF"/>
              <w:right w:val="single" w:sz="8" w:space="0" w:color="FFFFFF"/>
            </w:tcBorders>
          </w:tcPr>
          <w:p w14:paraId="000000B8"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261</w:t>
            </w:r>
          </w:p>
        </w:tc>
        <w:tc>
          <w:tcPr>
            <w:tcW w:w="879" w:type="dxa"/>
            <w:tcBorders>
              <w:top w:val="single" w:sz="8" w:space="0" w:color="FFFFFF"/>
              <w:left w:val="nil"/>
              <w:bottom w:val="single" w:sz="8" w:space="0" w:color="FFFFFF"/>
              <w:right w:val="single" w:sz="8" w:space="0" w:color="FFFFFF"/>
            </w:tcBorders>
          </w:tcPr>
          <w:p w14:paraId="000000B9"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94.91</w:t>
            </w:r>
          </w:p>
        </w:tc>
        <w:tc>
          <w:tcPr>
            <w:tcW w:w="797" w:type="dxa"/>
            <w:tcBorders>
              <w:top w:val="single" w:sz="8" w:space="0" w:color="FFFFFF"/>
              <w:left w:val="nil"/>
              <w:bottom w:val="single" w:sz="8" w:space="0" w:color="FFFFFF"/>
              <w:right w:val="single" w:sz="8" w:space="0" w:color="FFFFFF"/>
            </w:tcBorders>
          </w:tcPr>
          <w:p w14:paraId="000000BA"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6CF311A7" w14:textId="77777777">
        <w:trPr>
          <w:trHeight w:val="568"/>
        </w:trPr>
        <w:tc>
          <w:tcPr>
            <w:tcW w:w="5261" w:type="dxa"/>
            <w:tcBorders>
              <w:top w:val="single" w:sz="8" w:space="0" w:color="FFFFFF"/>
              <w:left w:val="single" w:sz="8" w:space="0" w:color="FFFFFF"/>
              <w:bottom w:val="single" w:sz="8" w:space="0" w:color="000000"/>
              <w:right w:val="single" w:sz="4" w:space="0" w:color="FFFFFF"/>
            </w:tcBorders>
          </w:tcPr>
          <w:p w14:paraId="000000BB"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Pain assessment is an important nursing responsibility since some chemo-agents can cause nephropathy.</w:t>
            </w:r>
          </w:p>
        </w:tc>
        <w:tc>
          <w:tcPr>
            <w:tcW w:w="1158" w:type="dxa"/>
            <w:tcBorders>
              <w:top w:val="single" w:sz="8" w:space="0" w:color="FFFFFF"/>
              <w:left w:val="single" w:sz="4" w:space="0" w:color="FFFFFF"/>
              <w:bottom w:val="single" w:sz="8" w:space="0" w:color="000000"/>
              <w:right w:val="single" w:sz="8" w:space="0" w:color="FFFFFF"/>
            </w:tcBorders>
          </w:tcPr>
          <w:p w14:paraId="000000BC"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      245</w:t>
            </w:r>
          </w:p>
        </w:tc>
        <w:tc>
          <w:tcPr>
            <w:tcW w:w="879" w:type="dxa"/>
            <w:tcBorders>
              <w:top w:val="single" w:sz="8" w:space="0" w:color="FFFFFF"/>
              <w:left w:val="nil"/>
              <w:bottom w:val="single" w:sz="8" w:space="0" w:color="000000"/>
              <w:right w:val="single" w:sz="8" w:space="0" w:color="FFFFFF"/>
            </w:tcBorders>
          </w:tcPr>
          <w:p w14:paraId="000000BD"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89.09</w:t>
            </w:r>
          </w:p>
        </w:tc>
        <w:tc>
          <w:tcPr>
            <w:tcW w:w="797" w:type="dxa"/>
            <w:tcBorders>
              <w:top w:val="single" w:sz="8" w:space="0" w:color="FFFFFF"/>
              <w:left w:val="nil"/>
              <w:bottom w:val="single" w:sz="8" w:space="0" w:color="000000"/>
              <w:right w:val="single" w:sz="8" w:space="0" w:color="FFFFFF"/>
            </w:tcBorders>
          </w:tcPr>
          <w:p w14:paraId="000000BE"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True</w:t>
            </w:r>
          </w:p>
        </w:tc>
      </w:tr>
      <w:tr w:rsidR="00E05BE1" w14:paraId="43F9373E" w14:textId="77777777">
        <w:trPr>
          <w:trHeight w:val="315"/>
        </w:trPr>
        <w:tc>
          <w:tcPr>
            <w:tcW w:w="8095" w:type="dxa"/>
            <w:gridSpan w:val="4"/>
            <w:tcBorders>
              <w:top w:val="single" w:sz="8" w:space="0" w:color="000000"/>
              <w:left w:val="single" w:sz="8" w:space="0" w:color="FFFFFF"/>
              <w:bottom w:val="single" w:sz="8" w:space="0" w:color="000000"/>
              <w:right w:val="single" w:sz="4" w:space="0" w:color="FFFFFF"/>
            </w:tcBorders>
          </w:tcPr>
          <w:p w14:paraId="000000BF" w14:textId="77777777" w:rsidR="00E05BE1" w:rsidRDefault="00F07326">
            <w:pPr>
              <w:pBdr>
                <w:top w:val="nil"/>
                <w:left w:val="nil"/>
                <w:bottom w:val="nil"/>
                <w:right w:val="nil"/>
                <w:between w:val="nil"/>
              </w:pBdr>
              <w:rPr>
                <w:rFonts w:ascii="Arial" w:eastAsia="Arial" w:hAnsi="Arial" w:cs="Arial"/>
                <w:b/>
                <w:bCs/>
                <w:color w:val="000000"/>
              </w:rPr>
            </w:pPr>
            <w:r>
              <w:rPr>
                <w:rFonts w:ascii="Arial" w:eastAsia="Arial" w:hAnsi="Arial" w:cs="Arial"/>
                <w:color w:val="000000"/>
                <w:highlight w:val="white"/>
              </w:rPr>
              <w:t xml:space="preserve">                              </w:t>
            </w:r>
            <w:r>
              <w:rPr>
                <w:rFonts w:ascii="Arial" w:eastAsia="Arial" w:hAnsi="Arial" w:cs="Arial"/>
                <w:b/>
                <w:bCs/>
                <w:color w:val="000000"/>
                <w:highlight w:val="white"/>
              </w:rPr>
              <w:t>Overall Mean (</w:t>
            </w:r>
            <w:proofErr w:type="gramStart"/>
            <w:r>
              <w:rPr>
                <w:rFonts w:ascii="Arial" w:eastAsia="Arial" w:hAnsi="Arial" w:cs="Arial"/>
                <w:b/>
                <w:bCs/>
                <w:color w:val="000000"/>
                <w:highlight w:val="white"/>
              </w:rPr>
              <w:t xml:space="preserve">SD)   </w:t>
            </w:r>
            <w:proofErr w:type="gramEnd"/>
            <w:r>
              <w:rPr>
                <w:rFonts w:ascii="Arial" w:eastAsia="Arial" w:hAnsi="Arial" w:cs="Arial"/>
                <w:b/>
                <w:bCs/>
                <w:color w:val="000000"/>
                <w:highlight w:val="white"/>
              </w:rPr>
              <w:t xml:space="preserve">                          6.68/7 (SD=1.137)</w:t>
            </w:r>
          </w:p>
        </w:tc>
      </w:tr>
    </w:tbl>
    <w:p w14:paraId="000000C3"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C4"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 xml:space="preserve">Table 3 shows that the level of knowledge of student nurses on the care of clients undergoing chemotherapy was categorized to low (0-4 points), moderate (5 points), and high (6-7 points), based on the classification of </w:t>
      </w:r>
      <w:proofErr w:type="spellStart"/>
      <w:r>
        <w:rPr>
          <w:rFonts w:ascii="Arial" w:eastAsia="Arial" w:hAnsi="Arial" w:cs="Arial"/>
          <w:color w:val="000000"/>
          <w:highlight w:val="white"/>
        </w:rPr>
        <w:t>Alzahrani</w:t>
      </w:r>
      <w:proofErr w:type="spellEnd"/>
      <w:r>
        <w:rPr>
          <w:rFonts w:ascii="Arial" w:eastAsia="Arial" w:hAnsi="Arial" w:cs="Arial"/>
          <w:color w:val="000000"/>
          <w:highlight w:val="white"/>
        </w:rPr>
        <w:t xml:space="preserve"> et al. (2021). The results </w:t>
      </w:r>
      <w:r>
        <w:rPr>
          <w:rFonts w:ascii="Arial" w:eastAsia="Arial" w:hAnsi="Arial" w:cs="Arial"/>
          <w:color w:val="000000"/>
          <w:highlight w:val="white"/>
        </w:rPr>
        <w:t>indicated that the majority of respondents of 264 (96.0%) had a high level of knowledge for the respondents with moderate knowledge of 2 (0.7%), while only 9 (3.3%) of the respondents demonstrated a low level of knowledge. Overall, the descriptive findings</w:t>
      </w:r>
      <w:r>
        <w:rPr>
          <w:rFonts w:ascii="Arial" w:eastAsia="Arial" w:hAnsi="Arial" w:cs="Arial"/>
          <w:color w:val="000000"/>
          <w:highlight w:val="white"/>
        </w:rPr>
        <w:t xml:space="preserve"> show that the largest proportion of the respondents demonstrated high knowledge on the care of clients undergoing chemotherapy.</w:t>
      </w:r>
    </w:p>
    <w:p w14:paraId="000000C5" w14:textId="77777777" w:rsidR="00E05BE1" w:rsidRDefault="00E05BE1">
      <w:pPr>
        <w:pBdr>
          <w:top w:val="nil"/>
          <w:left w:val="nil"/>
          <w:bottom w:val="nil"/>
          <w:right w:val="nil"/>
          <w:between w:val="nil"/>
        </w:pBdr>
        <w:rPr>
          <w:rFonts w:ascii="Arial" w:eastAsia="Arial" w:hAnsi="Arial" w:cs="Arial"/>
          <w:b/>
          <w:bCs/>
          <w:color w:val="000000"/>
          <w:highlight w:val="white"/>
        </w:rPr>
      </w:pPr>
    </w:p>
    <w:p w14:paraId="000000C6" w14:textId="77777777" w:rsidR="00E05BE1" w:rsidRDefault="00F07326">
      <w:pPr>
        <w:pBdr>
          <w:top w:val="nil"/>
          <w:left w:val="nil"/>
          <w:bottom w:val="nil"/>
          <w:right w:val="nil"/>
          <w:between w:val="nil"/>
        </w:pBdr>
        <w:jc w:val="center"/>
        <w:rPr>
          <w:rFonts w:ascii="Arial" w:eastAsia="Arial" w:hAnsi="Arial" w:cs="Arial"/>
          <w:b/>
          <w:bCs/>
          <w:color w:val="000000"/>
          <w:highlight w:val="white"/>
        </w:rPr>
      </w:pPr>
      <w:r>
        <w:rPr>
          <w:rFonts w:ascii="Arial" w:eastAsia="Arial" w:hAnsi="Arial" w:cs="Arial"/>
          <w:b/>
          <w:bCs/>
          <w:color w:val="000000"/>
          <w:highlight w:val="white"/>
        </w:rPr>
        <w:t>Table 3. Distribution of Respondents according to Level of Knowledge</w:t>
      </w:r>
    </w:p>
    <w:p w14:paraId="000000C7" w14:textId="77777777" w:rsidR="00E05BE1" w:rsidRDefault="00E05BE1">
      <w:pPr>
        <w:pBdr>
          <w:top w:val="nil"/>
          <w:left w:val="nil"/>
          <w:bottom w:val="nil"/>
          <w:right w:val="nil"/>
          <w:between w:val="nil"/>
        </w:pBdr>
        <w:jc w:val="center"/>
        <w:rPr>
          <w:rFonts w:ascii="Arial" w:eastAsia="Arial" w:hAnsi="Arial" w:cs="Arial"/>
          <w:color w:val="000000"/>
        </w:rPr>
      </w:pPr>
    </w:p>
    <w:tbl>
      <w:tblPr>
        <w:tblStyle w:val="a5"/>
        <w:tblW w:w="8492" w:type="dxa"/>
        <w:tblInd w:w="8" w:type="dxa"/>
        <w:tblLayout w:type="fixed"/>
        <w:tblLook w:val="0400" w:firstRow="0" w:lastRow="0" w:firstColumn="0" w:lastColumn="0" w:noHBand="0" w:noVBand="1"/>
      </w:tblPr>
      <w:tblGrid>
        <w:gridCol w:w="5328"/>
        <w:gridCol w:w="1368"/>
        <w:gridCol w:w="1796"/>
      </w:tblGrid>
      <w:tr w:rsidR="00E05BE1" w14:paraId="4AC91DDD" w14:textId="77777777">
        <w:trPr>
          <w:trHeight w:val="321"/>
        </w:trPr>
        <w:tc>
          <w:tcPr>
            <w:tcW w:w="5328"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14:paraId="000000C8"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Level of Knowledge</w:t>
            </w:r>
          </w:p>
        </w:tc>
        <w:tc>
          <w:tcPr>
            <w:tcW w:w="1368"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000000C9"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i/>
                <w:iCs/>
                <w:color w:val="000000"/>
                <w:highlight w:val="white"/>
              </w:rPr>
              <w:t>f</w:t>
            </w:r>
          </w:p>
        </w:tc>
        <w:tc>
          <w:tcPr>
            <w:tcW w:w="1796"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000000CA"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i/>
                <w:iCs/>
                <w:color w:val="000000"/>
                <w:highlight w:val="white"/>
              </w:rPr>
              <w:t>%</w:t>
            </w:r>
          </w:p>
        </w:tc>
      </w:tr>
      <w:tr w:rsidR="00E05BE1" w14:paraId="208B870C" w14:textId="77777777">
        <w:trPr>
          <w:trHeight w:val="277"/>
        </w:trPr>
        <w:tc>
          <w:tcPr>
            <w:tcW w:w="5328"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000000CB"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High </w:t>
            </w:r>
          </w:p>
        </w:tc>
        <w:tc>
          <w:tcPr>
            <w:tcW w:w="1368"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CC"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264</w:t>
            </w:r>
          </w:p>
        </w:tc>
        <w:tc>
          <w:tcPr>
            <w:tcW w:w="1796"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0CD"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96.0</w:t>
            </w:r>
          </w:p>
        </w:tc>
      </w:tr>
      <w:tr w:rsidR="00E05BE1" w14:paraId="23C89015" w14:textId="77777777">
        <w:trPr>
          <w:trHeight w:val="277"/>
        </w:trPr>
        <w:tc>
          <w:tcPr>
            <w:tcW w:w="5328"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CE"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Moderate </w:t>
            </w:r>
          </w:p>
        </w:tc>
        <w:tc>
          <w:tcPr>
            <w:tcW w:w="1368"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CF"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2</w:t>
            </w:r>
          </w:p>
        </w:tc>
        <w:tc>
          <w:tcPr>
            <w:tcW w:w="1796"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0D0"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0.7</w:t>
            </w:r>
          </w:p>
        </w:tc>
      </w:tr>
      <w:tr w:rsidR="00E05BE1" w14:paraId="604C3C5C" w14:textId="77777777">
        <w:trPr>
          <w:trHeight w:val="277"/>
        </w:trPr>
        <w:tc>
          <w:tcPr>
            <w:tcW w:w="5328" w:type="dxa"/>
            <w:tcBorders>
              <w:top w:val="single" w:sz="6" w:space="0" w:color="FFFFFF"/>
              <w:left w:val="single" w:sz="6" w:space="0" w:color="FFFFFF"/>
              <w:bottom w:val="single" w:sz="6" w:space="0" w:color="000000"/>
              <w:right w:val="single" w:sz="6" w:space="0" w:color="FFFFFF"/>
            </w:tcBorders>
            <w:tcMar>
              <w:top w:w="0" w:type="dxa"/>
              <w:left w:w="100" w:type="dxa"/>
              <w:bottom w:w="0" w:type="dxa"/>
              <w:right w:w="100" w:type="dxa"/>
            </w:tcMar>
          </w:tcPr>
          <w:p w14:paraId="000000D1" w14:textId="77777777" w:rsidR="00E05BE1" w:rsidRDefault="00F07326">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Low </w:t>
            </w:r>
          </w:p>
        </w:tc>
        <w:tc>
          <w:tcPr>
            <w:tcW w:w="1368"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D2"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9</w:t>
            </w:r>
          </w:p>
        </w:tc>
        <w:tc>
          <w:tcPr>
            <w:tcW w:w="1796"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0D3" w14:textId="77777777" w:rsidR="00E05BE1" w:rsidRDefault="00F0732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highlight w:val="white"/>
              </w:rPr>
              <w:t>3.3</w:t>
            </w:r>
          </w:p>
        </w:tc>
      </w:tr>
      <w:tr w:rsidR="00E05BE1" w14:paraId="67B4813E" w14:textId="77777777">
        <w:trPr>
          <w:trHeight w:val="277"/>
        </w:trPr>
        <w:tc>
          <w:tcPr>
            <w:tcW w:w="5328"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14:paraId="000000D4"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Total</w:t>
            </w:r>
          </w:p>
        </w:tc>
        <w:tc>
          <w:tcPr>
            <w:tcW w:w="1368"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000000D5"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275</w:t>
            </w:r>
          </w:p>
        </w:tc>
        <w:tc>
          <w:tcPr>
            <w:tcW w:w="1796"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000000D6"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100.0</w:t>
            </w:r>
          </w:p>
        </w:tc>
      </w:tr>
    </w:tbl>
    <w:p w14:paraId="000000D7"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0D8"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5.1.3 LEVEL OF Perceptions OF STUDENT NURSES working in a chemotherapy unit</w:t>
      </w:r>
    </w:p>
    <w:p w14:paraId="000000D9" w14:textId="77777777" w:rsidR="00E05BE1" w:rsidRDefault="00F07326">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highlight w:val="white"/>
        </w:rPr>
        <w:t>Table 4 shows the level of perception of student nurses toward working in a chemotherapy unit. The overall mean was 2.73 (Average) out of 4. The top three highest indicators of res</w:t>
      </w:r>
      <w:r>
        <w:rPr>
          <w:rFonts w:ascii="Arial" w:eastAsia="Arial" w:hAnsi="Arial" w:cs="Arial"/>
          <w:color w:val="000000"/>
          <w:highlight w:val="white"/>
        </w:rPr>
        <w:t>pondents that they agreed to are they want to get more information about cancer (M=3.81), genetics is an important factor in the occurrence of cancer (M=3.77).  They also agree, cancer occurs by the effect of habits such as cigarettes and alcohol (M=3.61).</w:t>
      </w:r>
      <w:r>
        <w:rPr>
          <w:rFonts w:ascii="Arial" w:eastAsia="Arial" w:hAnsi="Arial" w:cs="Arial"/>
          <w:color w:val="000000"/>
          <w:highlight w:val="white"/>
        </w:rPr>
        <w:t xml:space="preserve">  </w:t>
      </w:r>
    </w:p>
    <w:p w14:paraId="000000DA"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lastRenderedPageBreak/>
        <w:t>In contrast, respondents slightly agreed to items of feeling of being uncomfortable when talking with a cancer patient and his family (M=1.71) and cancer is contagious (M=1.64) and agreed to item Cancer patients are punished by God (M=1.20), indicates that</w:t>
      </w:r>
      <w:r>
        <w:rPr>
          <w:rFonts w:ascii="Arial" w:eastAsia="Arial" w:hAnsi="Arial" w:cs="Arial"/>
          <w:color w:val="000000"/>
          <w:highlight w:val="white"/>
        </w:rPr>
        <w:t xml:space="preserve"> this negative statements are the top three lowest indicators with a reverse scoring.</w:t>
      </w:r>
    </w:p>
    <w:p w14:paraId="000000DB"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0DC"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 xml:space="preserve">The high rated items were aligned to the study of </w:t>
      </w:r>
      <w:proofErr w:type="spellStart"/>
      <w:r>
        <w:rPr>
          <w:rFonts w:ascii="Arial" w:eastAsia="Arial" w:hAnsi="Arial" w:cs="Arial"/>
          <w:color w:val="000000"/>
          <w:highlight w:val="white"/>
        </w:rPr>
        <w:t>Afiyanti</w:t>
      </w:r>
      <w:proofErr w:type="spellEnd"/>
      <w:r>
        <w:rPr>
          <w:rFonts w:ascii="Arial" w:eastAsia="Arial" w:hAnsi="Arial" w:cs="Arial"/>
          <w:color w:val="000000"/>
          <w:highlight w:val="white"/>
        </w:rPr>
        <w:t xml:space="preserve"> et al. (2023), who discovered that to help students understand and confidence in chemotherapy management it n</w:t>
      </w:r>
      <w:r>
        <w:rPr>
          <w:rFonts w:ascii="Arial" w:eastAsia="Arial" w:hAnsi="Arial" w:cs="Arial"/>
          <w:color w:val="000000"/>
          <w:highlight w:val="white"/>
        </w:rPr>
        <w:t>eeds structured oncology education programs. Their study showed that through knowledge it can enhance perception and outlook toward oncology. Fox (2024) reported that with the help of virtual simulation training it reduced anxiety and increased the trainin</w:t>
      </w:r>
      <w:r>
        <w:rPr>
          <w:rFonts w:ascii="Arial" w:eastAsia="Arial" w:hAnsi="Arial" w:cs="Arial"/>
          <w:color w:val="000000"/>
          <w:highlight w:val="white"/>
        </w:rPr>
        <w:t>g of student nurses when dealing with patients undergoing chemotherapy. With the help of their willingness, readiness, and openness to improve it reflects their action for professional growth.</w:t>
      </w:r>
    </w:p>
    <w:p w14:paraId="000000DD"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0DE"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However, the low scores regarding misconceptions aligned with</w:t>
      </w:r>
      <w:r>
        <w:rPr>
          <w:rFonts w:ascii="Arial" w:eastAsia="Arial" w:hAnsi="Arial" w:cs="Arial"/>
          <w:color w:val="000000"/>
          <w:highlight w:val="white"/>
        </w:rPr>
        <w:t xml:space="preserve"> the study of </w:t>
      </w:r>
      <w:proofErr w:type="spellStart"/>
      <w:r>
        <w:rPr>
          <w:rFonts w:ascii="Arial" w:eastAsia="Arial" w:hAnsi="Arial" w:cs="Arial"/>
          <w:color w:val="000000"/>
          <w:highlight w:val="white"/>
        </w:rPr>
        <w:t>Hedenstrom</w:t>
      </w:r>
      <w:proofErr w:type="spellEnd"/>
      <w:r>
        <w:rPr>
          <w:rFonts w:ascii="Arial" w:eastAsia="Arial" w:hAnsi="Arial" w:cs="Arial"/>
          <w:color w:val="000000"/>
          <w:highlight w:val="white"/>
        </w:rPr>
        <w:t xml:space="preserve"> et al. (2021) found that there were a fear-based and culturally influenced misconceptions about cancer but with the adequate education it helped to reduce it. </w:t>
      </w:r>
    </w:p>
    <w:p w14:paraId="000000DF" w14:textId="77777777" w:rsidR="00E05BE1" w:rsidRDefault="00E05BE1">
      <w:pPr>
        <w:pBdr>
          <w:top w:val="nil"/>
          <w:left w:val="nil"/>
          <w:bottom w:val="nil"/>
          <w:right w:val="nil"/>
          <w:between w:val="nil"/>
        </w:pBdr>
        <w:rPr>
          <w:rFonts w:ascii="Arial" w:eastAsia="Arial" w:hAnsi="Arial" w:cs="Arial"/>
          <w:color w:val="000000"/>
          <w:highlight w:val="white"/>
        </w:rPr>
      </w:pPr>
    </w:p>
    <w:p w14:paraId="000000E0"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The results showed that student nurses had scientifically grounded beliefs which are critical in providing a non-stigmatizing care. For the average perception it reflects moderate emotional readiness. Bagheri et al. (2023) experienced moderate and mixed em</w:t>
      </w:r>
      <w:r>
        <w:rPr>
          <w:rFonts w:ascii="Arial" w:eastAsia="Arial" w:hAnsi="Arial" w:cs="Arial"/>
          <w:color w:val="000000"/>
          <w:highlight w:val="white"/>
        </w:rPr>
        <w:t xml:space="preserve">otions when undergoing chemotherapy care to patients, which are anxiety and </w:t>
      </w:r>
      <w:proofErr w:type="spellStart"/>
      <w:r>
        <w:rPr>
          <w:rFonts w:ascii="Arial" w:eastAsia="Arial" w:hAnsi="Arial" w:cs="Arial"/>
          <w:color w:val="000000"/>
          <w:highlight w:val="white"/>
        </w:rPr>
        <w:t>doubtedness</w:t>
      </w:r>
      <w:proofErr w:type="spellEnd"/>
      <w:r>
        <w:rPr>
          <w:rFonts w:ascii="Arial" w:eastAsia="Arial" w:hAnsi="Arial" w:cs="Arial"/>
          <w:color w:val="000000"/>
          <w:highlight w:val="white"/>
        </w:rPr>
        <w:t>. It can be developed through guided teaching and repeated exposure to the area and can help the emotional resilience of student nurses.</w:t>
      </w:r>
    </w:p>
    <w:p w14:paraId="000000E1" w14:textId="77777777" w:rsidR="00E05BE1" w:rsidRDefault="00E05BE1">
      <w:pPr>
        <w:jc w:val="center"/>
        <w:rPr>
          <w:rFonts w:ascii="Arial" w:eastAsia="Arial" w:hAnsi="Arial" w:cs="Arial"/>
          <w:b/>
          <w:bCs/>
        </w:rPr>
      </w:pPr>
    </w:p>
    <w:p w14:paraId="000000E2" w14:textId="77777777" w:rsidR="00E05BE1" w:rsidRDefault="00F07326">
      <w:pPr>
        <w:jc w:val="center"/>
        <w:rPr>
          <w:rFonts w:ascii="Arial" w:eastAsia="Arial" w:hAnsi="Arial" w:cs="Arial"/>
          <w:b/>
          <w:bCs/>
        </w:rPr>
      </w:pPr>
      <w:r>
        <w:rPr>
          <w:rFonts w:ascii="Arial" w:eastAsia="Arial" w:hAnsi="Arial" w:cs="Arial"/>
          <w:b/>
          <w:bCs/>
        </w:rPr>
        <w:t>Table 4. Level of perception of</w:t>
      </w:r>
      <w:r>
        <w:rPr>
          <w:rFonts w:ascii="Arial" w:eastAsia="Arial" w:hAnsi="Arial" w:cs="Arial"/>
          <w:b/>
          <w:bCs/>
        </w:rPr>
        <w:t xml:space="preserve"> student nurses working in a chemotherapy unit</w:t>
      </w:r>
    </w:p>
    <w:p w14:paraId="000000E3" w14:textId="77777777" w:rsidR="00E05BE1" w:rsidRDefault="00F07326">
      <w:pPr>
        <w:jc w:val="center"/>
        <w:rPr>
          <w:rFonts w:ascii="Arial" w:eastAsia="Arial" w:hAnsi="Arial" w:cs="Arial"/>
          <w:b/>
          <w:bCs/>
        </w:rPr>
      </w:pPr>
      <w:r>
        <w:rPr>
          <w:rFonts w:ascii="Arial" w:eastAsia="Arial" w:hAnsi="Arial" w:cs="Arial"/>
          <w:b/>
          <w:bCs/>
        </w:rPr>
        <w:t>(n = 275)</w:t>
      </w:r>
    </w:p>
    <w:p w14:paraId="000000E4" w14:textId="77777777" w:rsidR="00E05BE1" w:rsidRDefault="00E05BE1">
      <w:pPr>
        <w:jc w:val="center"/>
        <w:rPr>
          <w:rFonts w:ascii="Arial" w:eastAsia="Arial" w:hAnsi="Arial" w:cs="Arial"/>
          <w:b/>
          <w:bCs/>
        </w:rPr>
      </w:pPr>
    </w:p>
    <w:tbl>
      <w:tblPr>
        <w:tblStyle w:val="a6"/>
        <w:tblW w:w="8115" w:type="dxa"/>
        <w:tblLayout w:type="fixed"/>
        <w:tblLook w:val="0400" w:firstRow="0" w:lastRow="0" w:firstColumn="0" w:lastColumn="0" w:noHBand="0" w:noVBand="1"/>
      </w:tblPr>
      <w:tblGrid>
        <w:gridCol w:w="1125"/>
        <w:gridCol w:w="4845"/>
        <w:gridCol w:w="1245"/>
        <w:gridCol w:w="900"/>
      </w:tblGrid>
      <w:tr w:rsidR="00E05BE1" w14:paraId="12CF0FFA" w14:textId="77777777">
        <w:trPr>
          <w:trHeight w:val="575"/>
        </w:trPr>
        <w:tc>
          <w:tcPr>
            <w:tcW w:w="5970" w:type="dxa"/>
            <w:gridSpan w:val="2"/>
            <w:tcBorders>
              <w:top w:val="single" w:sz="6" w:space="0" w:color="000000"/>
              <w:left w:val="single" w:sz="6" w:space="0" w:color="FFFFFF"/>
              <w:bottom w:val="single" w:sz="6" w:space="0" w:color="000000"/>
              <w:right w:val="single" w:sz="4" w:space="0" w:color="FFFFFF"/>
            </w:tcBorders>
            <w:tcMar>
              <w:top w:w="0" w:type="dxa"/>
              <w:left w:w="100" w:type="dxa"/>
              <w:bottom w:w="0" w:type="dxa"/>
              <w:right w:w="100" w:type="dxa"/>
            </w:tcMar>
          </w:tcPr>
          <w:p w14:paraId="000000E5" w14:textId="77777777" w:rsidR="00E05BE1" w:rsidRDefault="00E05BE1">
            <w:pPr>
              <w:spacing w:before="240" w:after="240"/>
              <w:jc w:val="center"/>
              <w:rPr>
                <w:rFonts w:ascii="Arial" w:eastAsia="Arial" w:hAnsi="Arial" w:cs="Arial"/>
                <w:b/>
                <w:bCs/>
                <w:highlight w:val="white"/>
              </w:rPr>
            </w:pPr>
          </w:p>
        </w:tc>
        <w:tc>
          <w:tcPr>
            <w:tcW w:w="1245" w:type="dxa"/>
            <w:tcBorders>
              <w:top w:val="single" w:sz="6" w:space="0" w:color="000000"/>
              <w:left w:val="single" w:sz="4" w:space="0" w:color="FFFFFF"/>
              <w:bottom w:val="single" w:sz="6" w:space="0" w:color="000000"/>
              <w:right w:val="single" w:sz="6" w:space="0" w:color="FFFFFF"/>
            </w:tcBorders>
            <w:tcMar>
              <w:top w:w="0" w:type="dxa"/>
              <w:left w:w="100" w:type="dxa"/>
              <w:bottom w:w="0" w:type="dxa"/>
              <w:right w:w="100" w:type="dxa"/>
            </w:tcMar>
          </w:tcPr>
          <w:p w14:paraId="000000E7" w14:textId="77777777" w:rsidR="00E05BE1" w:rsidRDefault="00F07326">
            <w:pPr>
              <w:spacing w:before="200"/>
              <w:ind w:left="60" w:right="60"/>
              <w:jc w:val="center"/>
              <w:rPr>
                <w:rFonts w:ascii="Arial" w:eastAsia="Arial" w:hAnsi="Arial" w:cs="Arial"/>
                <w:b/>
                <w:bCs/>
                <w:highlight w:val="white"/>
              </w:rPr>
            </w:pPr>
            <w:r>
              <w:rPr>
                <w:rFonts w:ascii="Arial" w:eastAsia="Arial" w:hAnsi="Arial" w:cs="Arial"/>
                <w:b/>
                <w:bCs/>
                <w:highlight w:val="white"/>
              </w:rPr>
              <w:t>Mean</w:t>
            </w:r>
          </w:p>
        </w:tc>
        <w:tc>
          <w:tcPr>
            <w:tcW w:w="90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14:paraId="000000E8" w14:textId="77777777" w:rsidR="00E05BE1" w:rsidRDefault="00F07326">
            <w:pPr>
              <w:spacing w:before="200"/>
              <w:ind w:left="60" w:right="60"/>
              <w:jc w:val="center"/>
              <w:rPr>
                <w:rFonts w:ascii="Arial" w:eastAsia="Arial" w:hAnsi="Arial" w:cs="Arial"/>
                <w:b/>
                <w:bCs/>
                <w:highlight w:val="white"/>
              </w:rPr>
            </w:pPr>
            <w:r>
              <w:rPr>
                <w:rFonts w:ascii="Arial" w:eastAsia="Arial" w:hAnsi="Arial" w:cs="Arial"/>
                <w:b/>
                <w:bCs/>
                <w:highlight w:val="white"/>
              </w:rPr>
              <w:t>SD</w:t>
            </w:r>
          </w:p>
        </w:tc>
      </w:tr>
      <w:tr w:rsidR="00E05BE1" w14:paraId="2CA4A53D" w14:textId="77777777">
        <w:trPr>
          <w:trHeight w:val="90"/>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0E9"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 want to get more information about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0EB"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3.81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0EC"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0.43</w:t>
            </w:r>
          </w:p>
        </w:tc>
      </w:tr>
      <w:tr w:rsidR="00E05BE1" w14:paraId="4363F093" w14:textId="77777777">
        <w:trPr>
          <w:trHeight w:val="369"/>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0ED"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 think genetics is an important factor in the occurrence of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0EF"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3.77</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0F0"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0.48</w:t>
            </w:r>
          </w:p>
        </w:tc>
      </w:tr>
      <w:tr w:rsidR="00E05BE1" w14:paraId="6C1101F4" w14:textId="77777777">
        <w:trPr>
          <w:trHeight w:val="31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0F1"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 think cancer occurs by the effect of habits such as cigarettes and alcohol.</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0F3"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3.61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0F4"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0.65</w:t>
            </w:r>
          </w:p>
        </w:tc>
      </w:tr>
      <w:tr w:rsidR="00E05BE1" w14:paraId="6384E393" w14:textId="77777777">
        <w:trPr>
          <w:trHeight w:val="1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0F5"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People with cancer can be married and may have children.</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0F7"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3.54</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0F8"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0.64</w:t>
            </w:r>
          </w:p>
        </w:tc>
      </w:tr>
      <w:tr w:rsidR="00E05BE1" w14:paraId="7C1B7B01" w14:textId="77777777">
        <w:trPr>
          <w:trHeight w:val="75"/>
        </w:trPr>
        <w:tc>
          <w:tcPr>
            <w:tcW w:w="5970" w:type="dxa"/>
            <w:gridSpan w:val="2"/>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0F9"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 think cancer is more serious than other diseases.</w:t>
            </w:r>
          </w:p>
        </w:tc>
        <w:tc>
          <w:tcPr>
            <w:tcW w:w="1245"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0FB"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3.45</w:t>
            </w:r>
          </w:p>
        </w:tc>
        <w:tc>
          <w:tcPr>
            <w:tcW w:w="9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0FC"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0.77</w:t>
            </w:r>
          </w:p>
        </w:tc>
      </w:tr>
      <w:tr w:rsidR="00E05BE1" w14:paraId="454AD830" w14:textId="77777777">
        <w:trPr>
          <w:trHeight w:val="13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0FD"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is a fatal disease.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0FF"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3.40</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00"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0.80</w:t>
            </w:r>
          </w:p>
        </w:tc>
      </w:tr>
      <w:tr w:rsidR="00E05BE1" w14:paraId="635488F8" w14:textId="77777777">
        <w:trPr>
          <w:trHeight w:val="7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01"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It scares me to think that I or someone from my family may be diagnosed with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03"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3.38</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04"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0.91</w:t>
            </w:r>
          </w:p>
        </w:tc>
      </w:tr>
      <w:tr w:rsidR="00E05BE1" w14:paraId="3D1782A3" w14:textId="77777777">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05"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is the worst thing for someone.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07"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3.12</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08"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0.95</w:t>
            </w:r>
          </w:p>
        </w:tc>
      </w:tr>
      <w:tr w:rsidR="00E05BE1" w14:paraId="49FB7A4F" w14:textId="77777777">
        <w:trPr>
          <w:trHeight w:val="10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09"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is a preventable illness.</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0B"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3.05</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0C"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0.88</w:t>
            </w:r>
          </w:p>
        </w:tc>
      </w:tr>
      <w:tr w:rsidR="00E05BE1" w14:paraId="4F901365" w14:textId="77777777">
        <w:trPr>
          <w:trHeight w:val="13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0D"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is an illness which can be curable/has got treatment.</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0F"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3.03</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10"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0.99</w:t>
            </w:r>
          </w:p>
        </w:tc>
      </w:tr>
      <w:tr w:rsidR="00E05BE1" w14:paraId="6544FCB4" w14:textId="77777777">
        <w:trPr>
          <w:trHeight w:val="28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11"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Working with cancer patients and his family is a developing and satisfying experience for the person.</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13"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3.02</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14"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0.86</w:t>
            </w:r>
          </w:p>
        </w:tc>
      </w:tr>
      <w:tr w:rsidR="00E05BE1" w14:paraId="229F7EA0" w14:textId="77777777">
        <w:trPr>
          <w:trHeight w:val="22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15"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patients can return to their normal life after treatment.</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17"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2.92</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18"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0.85</w:t>
            </w:r>
          </w:p>
        </w:tc>
      </w:tr>
      <w:tr w:rsidR="00E05BE1" w14:paraId="5BC995EB" w14:textId="77777777">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19"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experience helps people to maturate.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1B"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2.75</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1C"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0.93</w:t>
            </w:r>
          </w:p>
        </w:tc>
      </w:tr>
      <w:tr w:rsidR="00E05BE1" w14:paraId="5F893162" w14:textId="77777777">
        <w:trPr>
          <w:trHeight w:val="315"/>
        </w:trPr>
        <w:tc>
          <w:tcPr>
            <w:tcW w:w="5970" w:type="dxa"/>
            <w:gridSpan w:val="2"/>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1D"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Care needs of individuals with cancer are the same individuals and their families with other diseases.</w:t>
            </w:r>
          </w:p>
        </w:tc>
        <w:tc>
          <w:tcPr>
            <w:tcW w:w="1245"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1F"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2.67</w:t>
            </w:r>
          </w:p>
        </w:tc>
        <w:tc>
          <w:tcPr>
            <w:tcW w:w="9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14:paraId="00000120"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1.13</w:t>
            </w:r>
          </w:p>
        </w:tc>
      </w:tr>
      <w:tr w:rsidR="00E05BE1" w14:paraId="2D3874B7" w14:textId="77777777">
        <w:trPr>
          <w:trHeight w:val="55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21"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It's unexpected that people with cancer can go back to their normal life.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23"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2.41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24"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0.98</w:t>
            </w:r>
          </w:p>
        </w:tc>
      </w:tr>
      <w:tr w:rsidR="00E05BE1" w14:paraId="69E24A79" w14:textId="77777777">
        <w:trPr>
          <w:trHeight w:val="19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25"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Talking about cancer is disturbing me.</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27"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1.98</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28"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1.02</w:t>
            </w:r>
          </w:p>
        </w:tc>
      </w:tr>
      <w:tr w:rsidR="00E05BE1" w14:paraId="294FF46D" w14:textId="77777777">
        <w:trPr>
          <w:trHeight w:val="4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29"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lastRenderedPageBreak/>
              <w:t>I get depressed when I care for a cancer patient and his family.</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2B"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1.95</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2C"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0.93</w:t>
            </w:r>
          </w:p>
        </w:tc>
      </w:tr>
      <w:tr w:rsidR="00E05BE1" w14:paraId="7B60C5B9" w14:textId="77777777">
        <w:trPr>
          <w:trHeight w:val="7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2D"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 prefer to die from heart diseases except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2F"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1.93</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30"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0.91</w:t>
            </w:r>
          </w:p>
        </w:tc>
      </w:tr>
      <w:tr w:rsidR="00E05BE1" w14:paraId="4A8E3907" w14:textId="77777777">
        <w:trPr>
          <w:trHeight w:val="30"/>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31"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People cannot be told that they have cancer.</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33"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1.80</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34"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1.00</w:t>
            </w:r>
          </w:p>
        </w:tc>
      </w:tr>
      <w:tr w:rsidR="00E05BE1" w14:paraId="4D2E8DE5" w14:textId="77777777">
        <w:trPr>
          <w:trHeight w:val="315"/>
        </w:trPr>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35"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I feel uncomfortable when I’m talking with a cancer patient and his family. *</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37"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1.71</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38"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0.93</w:t>
            </w:r>
          </w:p>
        </w:tc>
      </w:tr>
      <w:tr w:rsidR="00E05BE1" w14:paraId="0E06678E" w14:textId="77777777">
        <w:tc>
          <w:tcPr>
            <w:tcW w:w="5970" w:type="dxa"/>
            <w:gridSpan w:val="2"/>
            <w:tcBorders>
              <w:top w:val="single" w:sz="6" w:space="0" w:color="FFFFFF"/>
              <w:left w:val="single" w:sz="6" w:space="0" w:color="FFFFFF"/>
              <w:bottom w:val="single" w:sz="6" w:space="0" w:color="FFFFFF"/>
              <w:right w:val="single" w:sz="4" w:space="0" w:color="FFFFFF"/>
            </w:tcBorders>
            <w:tcMar>
              <w:top w:w="0" w:type="dxa"/>
              <w:bottom w:w="0" w:type="dxa"/>
            </w:tcMar>
          </w:tcPr>
          <w:p w14:paraId="00000139" w14:textId="77777777" w:rsidR="00E05BE1" w:rsidRDefault="00F07326">
            <w:pPr>
              <w:ind w:left="777" w:right="57" w:hanging="720"/>
              <w:jc w:val="both"/>
              <w:rPr>
                <w:rFonts w:ascii="Arial" w:eastAsia="Arial" w:hAnsi="Arial" w:cs="Arial"/>
                <w:highlight w:val="white"/>
              </w:rPr>
            </w:pPr>
            <w:r>
              <w:rPr>
                <w:rFonts w:ascii="Arial" w:eastAsia="Arial" w:hAnsi="Arial" w:cs="Arial"/>
                <w:highlight w:val="white"/>
              </w:rPr>
              <w:t>Cancer is contagious. *</w:t>
            </w:r>
          </w:p>
        </w:tc>
        <w:tc>
          <w:tcPr>
            <w:tcW w:w="1245" w:type="dxa"/>
            <w:tcBorders>
              <w:top w:val="single" w:sz="6" w:space="0" w:color="FFFFFF"/>
              <w:left w:val="single" w:sz="4" w:space="0" w:color="FFFFFF"/>
              <w:bottom w:val="single" w:sz="6" w:space="0" w:color="FFFFFF"/>
              <w:right w:val="single" w:sz="6" w:space="0" w:color="FFFFFF"/>
            </w:tcBorders>
            <w:tcMar>
              <w:top w:w="0" w:type="dxa"/>
              <w:bottom w:w="0" w:type="dxa"/>
            </w:tcMar>
          </w:tcPr>
          <w:p w14:paraId="0000013B"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1.64</w:t>
            </w:r>
          </w:p>
        </w:tc>
        <w:tc>
          <w:tcPr>
            <w:tcW w:w="900" w:type="dxa"/>
            <w:tcBorders>
              <w:top w:val="single" w:sz="6" w:space="0" w:color="FFFFFF"/>
              <w:left w:val="single" w:sz="6" w:space="0" w:color="FFFFFF"/>
              <w:bottom w:val="single" w:sz="6" w:space="0" w:color="FFFFFF"/>
              <w:right w:val="single" w:sz="6" w:space="0" w:color="FFFFFF"/>
            </w:tcBorders>
            <w:tcMar>
              <w:top w:w="0" w:type="dxa"/>
              <w:bottom w:w="0" w:type="dxa"/>
            </w:tcMar>
          </w:tcPr>
          <w:p w14:paraId="0000013C"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1.04</w:t>
            </w:r>
          </w:p>
        </w:tc>
      </w:tr>
      <w:tr w:rsidR="00E05BE1" w14:paraId="26BF7280" w14:textId="77777777">
        <w:trPr>
          <w:trHeight w:val="390"/>
        </w:trPr>
        <w:tc>
          <w:tcPr>
            <w:tcW w:w="5970" w:type="dxa"/>
            <w:gridSpan w:val="2"/>
            <w:tcBorders>
              <w:top w:val="single" w:sz="6" w:space="0" w:color="FFFFFF"/>
              <w:left w:val="single" w:sz="6" w:space="0" w:color="FFFFFF"/>
              <w:bottom w:val="single" w:sz="6" w:space="0" w:color="000000"/>
              <w:right w:val="single" w:sz="4" w:space="0" w:color="FFFFFF"/>
            </w:tcBorders>
            <w:tcMar>
              <w:top w:w="0" w:type="dxa"/>
              <w:bottom w:w="0" w:type="dxa"/>
            </w:tcMar>
          </w:tcPr>
          <w:p w14:paraId="0000013D" w14:textId="77777777" w:rsidR="00E05BE1" w:rsidRDefault="00F07326">
            <w:pPr>
              <w:ind w:right="57"/>
              <w:jc w:val="both"/>
              <w:rPr>
                <w:rFonts w:ascii="Arial" w:eastAsia="Arial" w:hAnsi="Arial" w:cs="Arial"/>
                <w:highlight w:val="white"/>
              </w:rPr>
            </w:pPr>
            <w:r>
              <w:rPr>
                <w:rFonts w:ascii="Arial" w:eastAsia="Arial" w:hAnsi="Arial" w:cs="Arial"/>
                <w:highlight w:val="white"/>
              </w:rPr>
              <w:t xml:space="preserve"> I think cancer patients are punished by God. *</w:t>
            </w:r>
          </w:p>
        </w:tc>
        <w:tc>
          <w:tcPr>
            <w:tcW w:w="1245" w:type="dxa"/>
            <w:tcBorders>
              <w:top w:val="single" w:sz="6" w:space="0" w:color="FFFFFF"/>
              <w:left w:val="single" w:sz="4" w:space="0" w:color="FFFFFF"/>
              <w:bottom w:val="single" w:sz="6" w:space="0" w:color="000000"/>
              <w:right w:val="single" w:sz="6" w:space="0" w:color="FFFFFF"/>
            </w:tcBorders>
            <w:tcMar>
              <w:top w:w="0" w:type="dxa"/>
              <w:bottom w:w="0" w:type="dxa"/>
            </w:tcMar>
          </w:tcPr>
          <w:p w14:paraId="0000013F"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1.20</w:t>
            </w:r>
          </w:p>
        </w:tc>
        <w:tc>
          <w:tcPr>
            <w:tcW w:w="900" w:type="dxa"/>
            <w:tcBorders>
              <w:top w:val="single" w:sz="6" w:space="0" w:color="FFFFFF"/>
              <w:left w:val="single" w:sz="6" w:space="0" w:color="FFFFFF"/>
              <w:bottom w:val="single" w:sz="6" w:space="0" w:color="000000"/>
              <w:right w:val="single" w:sz="6" w:space="0" w:color="FFFFFF"/>
            </w:tcBorders>
            <w:tcMar>
              <w:top w:w="0" w:type="dxa"/>
              <w:bottom w:w="0" w:type="dxa"/>
            </w:tcMar>
          </w:tcPr>
          <w:p w14:paraId="00000140" w14:textId="77777777" w:rsidR="00E05BE1" w:rsidRDefault="00F07326">
            <w:pPr>
              <w:ind w:left="60" w:right="60"/>
              <w:jc w:val="center"/>
              <w:rPr>
                <w:rFonts w:ascii="Arial" w:eastAsia="Arial" w:hAnsi="Arial" w:cs="Arial"/>
                <w:highlight w:val="white"/>
              </w:rPr>
            </w:pPr>
            <w:r>
              <w:rPr>
                <w:rFonts w:ascii="Arial" w:eastAsia="Arial" w:hAnsi="Arial" w:cs="Arial"/>
                <w:highlight w:val="white"/>
              </w:rPr>
              <w:t>0.61</w:t>
            </w:r>
          </w:p>
        </w:tc>
      </w:tr>
      <w:tr w:rsidR="00E05BE1" w14:paraId="19987005" w14:textId="77777777">
        <w:trPr>
          <w:trHeight w:val="285"/>
        </w:trPr>
        <w:tc>
          <w:tcPr>
            <w:tcW w:w="1125" w:type="dxa"/>
            <w:tcBorders>
              <w:top w:val="nil"/>
              <w:left w:val="single" w:sz="6" w:space="0" w:color="FFFFFF"/>
              <w:bottom w:val="single" w:sz="6" w:space="0" w:color="000000"/>
              <w:right w:val="single" w:sz="6" w:space="0" w:color="FFFFFF"/>
            </w:tcBorders>
            <w:tcMar>
              <w:top w:w="0" w:type="dxa"/>
              <w:left w:w="100" w:type="dxa"/>
              <w:bottom w:w="0" w:type="dxa"/>
              <w:right w:w="100" w:type="dxa"/>
            </w:tcMar>
          </w:tcPr>
          <w:p w14:paraId="00000141" w14:textId="77777777" w:rsidR="00E05BE1" w:rsidRDefault="00F07326">
            <w:pPr>
              <w:ind w:left="60" w:right="60"/>
              <w:jc w:val="right"/>
              <w:rPr>
                <w:rFonts w:ascii="Arial" w:eastAsia="Arial" w:hAnsi="Arial" w:cs="Arial"/>
                <w:b/>
                <w:bCs/>
                <w:highlight w:val="white"/>
              </w:rPr>
            </w:pPr>
            <w:r>
              <w:rPr>
                <w:rFonts w:ascii="Arial" w:eastAsia="Arial" w:hAnsi="Arial" w:cs="Arial"/>
                <w:b/>
                <w:bCs/>
                <w:highlight w:val="white"/>
              </w:rPr>
              <w:t xml:space="preserve">       </w:t>
            </w:r>
          </w:p>
        </w:tc>
        <w:tc>
          <w:tcPr>
            <w:tcW w:w="6990" w:type="dxa"/>
            <w:gridSpan w:val="3"/>
            <w:tcBorders>
              <w:top w:val="nil"/>
              <w:left w:val="single" w:sz="6" w:space="0" w:color="FFFFFF"/>
              <w:bottom w:val="single" w:sz="6" w:space="0" w:color="000000"/>
              <w:right w:val="single" w:sz="4" w:space="0" w:color="FFFFFF"/>
            </w:tcBorders>
            <w:tcMar>
              <w:top w:w="0" w:type="dxa"/>
              <w:left w:w="100" w:type="dxa"/>
              <w:bottom w:w="0" w:type="dxa"/>
              <w:right w:w="100" w:type="dxa"/>
            </w:tcMar>
          </w:tcPr>
          <w:p w14:paraId="00000142" w14:textId="77777777" w:rsidR="00E05BE1" w:rsidRDefault="00F07326">
            <w:pPr>
              <w:ind w:right="60"/>
              <w:rPr>
                <w:rFonts w:ascii="Arial" w:eastAsia="Arial" w:hAnsi="Arial" w:cs="Arial"/>
                <w:b/>
                <w:bCs/>
                <w:highlight w:val="white"/>
              </w:rPr>
            </w:pPr>
            <w:r>
              <w:rPr>
                <w:rFonts w:ascii="Arial" w:eastAsia="Arial" w:hAnsi="Arial" w:cs="Arial"/>
                <w:b/>
                <w:bCs/>
                <w:highlight w:val="white"/>
              </w:rPr>
              <w:t xml:space="preserve">          Overall Mean (</w:t>
            </w:r>
            <w:proofErr w:type="gramStart"/>
            <w:r>
              <w:rPr>
                <w:rFonts w:ascii="Arial" w:eastAsia="Arial" w:hAnsi="Arial" w:cs="Arial"/>
                <w:b/>
                <w:bCs/>
                <w:highlight w:val="white"/>
              </w:rPr>
              <w:t xml:space="preserve">SD)   </w:t>
            </w:r>
            <w:proofErr w:type="gramEnd"/>
            <w:r>
              <w:rPr>
                <w:rFonts w:ascii="Arial" w:eastAsia="Arial" w:hAnsi="Arial" w:cs="Arial"/>
                <w:b/>
                <w:bCs/>
                <w:highlight w:val="white"/>
              </w:rPr>
              <w:t xml:space="preserve">                                               2.73/4 (SD= 0.30)       </w:t>
            </w:r>
          </w:p>
        </w:tc>
      </w:tr>
      <w:tr w:rsidR="00E05BE1" w14:paraId="080E294A" w14:textId="77777777">
        <w:trPr>
          <w:trHeight w:val="285"/>
        </w:trPr>
        <w:tc>
          <w:tcPr>
            <w:tcW w:w="8115" w:type="dxa"/>
            <w:gridSpan w:val="4"/>
            <w:tcBorders>
              <w:top w:val="nil"/>
              <w:left w:val="single" w:sz="6" w:space="0" w:color="FFFFFF"/>
              <w:bottom w:val="single" w:sz="6" w:space="0" w:color="FFFFFF"/>
              <w:right w:val="single" w:sz="6" w:space="0" w:color="FFFFFF"/>
            </w:tcBorders>
            <w:tcMar>
              <w:top w:w="0" w:type="dxa"/>
              <w:left w:w="100" w:type="dxa"/>
              <w:bottom w:w="0" w:type="dxa"/>
              <w:right w:w="100" w:type="dxa"/>
            </w:tcMar>
          </w:tcPr>
          <w:p w14:paraId="00000145" w14:textId="77777777" w:rsidR="00E05BE1" w:rsidRDefault="00F07326">
            <w:pPr>
              <w:ind w:left="60" w:right="60"/>
              <w:jc w:val="center"/>
              <w:rPr>
                <w:rFonts w:ascii="Arial" w:eastAsia="Arial" w:hAnsi="Arial" w:cs="Arial"/>
                <w:b/>
                <w:bCs/>
                <w:highlight w:val="white"/>
              </w:rPr>
            </w:pPr>
            <w:r>
              <w:rPr>
                <w:rFonts w:ascii="Arial" w:eastAsia="Arial" w:hAnsi="Arial" w:cs="Arial"/>
                <w:b/>
                <w:bCs/>
                <w:highlight w:val="white"/>
              </w:rPr>
              <w:t>*reversed item</w:t>
            </w:r>
          </w:p>
        </w:tc>
      </w:tr>
    </w:tbl>
    <w:p w14:paraId="00000149" w14:textId="77777777" w:rsidR="00E05BE1" w:rsidRDefault="00E05BE1">
      <w:pPr>
        <w:pBdr>
          <w:top w:val="nil"/>
          <w:left w:val="nil"/>
          <w:bottom w:val="nil"/>
          <w:right w:val="nil"/>
          <w:between w:val="nil"/>
        </w:pBdr>
        <w:rPr>
          <w:rFonts w:ascii="Arial" w:eastAsia="Arial" w:hAnsi="Arial" w:cs="Arial"/>
          <w:b/>
          <w:bCs/>
          <w:color w:val="000000"/>
        </w:rPr>
      </w:pPr>
    </w:p>
    <w:p w14:paraId="0000014A"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5.1.4 LEVEL OF ATTITUDE OF STUDENT NURSES TOWARDS PROVIDING NURSING CARE FOR PATIENTS UNDERGOING CHEMOTHERAPY</w:t>
      </w:r>
    </w:p>
    <w:p w14:paraId="0000014B" w14:textId="77777777" w:rsidR="00E05BE1" w:rsidRDefault="00E05BE1">
      <w:pPr>
        <w:pBdr>
          <w:top w:val="nil"/>
          <w:left w:val="nil"/>
          <w:bottom w:val="nil"/>
          <w:right w:val="nil"/>
          <w:between w:val="nil"/>
        </w:pBdr>
        <w:rPr>
          <w:rFonts w:ascii="Arial" w:eastAsia="Arial" w:hAnsi="Arial" w:cs="Arial"/>
          <w:color w:val="000000"/>
          <w:highlight w:val="white"/>
        </w:rPr>
      </w:pPr>
    </w:p>
    <w:p w14:paraId="0000014C"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Table 5 shows the level of attitude of student nurses in providing nursing care for patients undergoing chemotherapy. The overall mean is 2.29 (Average) out of 4.</w:t>
      </w:r>
    </w:p>
    <w:p w14:paraId="0000014D"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14E"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The three highest indicators respondents strongly agreed that knowledge given to patients r</w:t>
      </w:r>
      <w:r>
        <w:rPr>
          <w:rFonts w:ascii="Arial" w:eastAsia="Arial" w:hAnsi="Arial" w:cs="Arial"/>
          <w:color w:val="000000"/>
          <w:highlight w:val="white"/>
        </w:rPr>
        <w:t>egarding chemotherapy supports them emotionally (M=3.45), respondents disagree that it is more interesting to care for patients undergoing radiotherapy or surgery than chemotherapy (M=2.63), and other units are safer than chemotherapy units (M=2.62).</w:t>
      </w:r>
    </w:p>
    <w:p w14:paraId="0000014F"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150"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The lowest indicators respondents disagreed that they lost interest in work due to the poor outcome of chemotherapy (M=1.90) with a reverse scoring, meanwhile, respondents agreed that they avoid giving chemotherapy to patients with cancer as it can be risk</w:t>
      </w:r>
      <w:r>
        <w:rPr>
          <w:rFonts w:ascii="Arial" w:eastAsia="Arial" w:hAnsi="Arial" w:cs="Arial"/>
          <w:color w:val="000000"/>
          <w:highlight w:val="white"/>
        </w:rPr>
        <w:t xml:space="preserve">y (M=1.84) with a positive scoring, and disagreed to item they do not t like long discussions with attendants of chemotherapy patients because it is a waste of time (M=1.64) with a reverse scoring. </w:t>
      </w:r>
    </w:p>
    <w:p w14:paraId="00000151"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152"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The findings show that student nurses displayed an aver</w:t>
      </w:r>
      <w:r>
        <w:rPr>
          <w:rFonts w:ascii="Arial" w:eastAsia="Arial" w:hAnsi="Arial" w:cs="Arial"/>
          <w:color w:val="000000"/>
          <w:highlight w:val="white"/>
        </w:rPr>
        <w:t>age level of attitude towards providing care for patients undergoing chemotherapy. This states that there is still room for developing emotional readiness and confidence even when displaying acceptable professional attitude.</w:t>
      </w:r>
    </w:p>
    <w:p w14:paraId="00000153"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154"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This finding relates with Bar</w:t>
      </w:r>
      <w:r>
        <w:rPr>
          <w:rFonts w:ascii="Arial" w:eastAsia="Arial" w:hAnsi="Arial" w:cs="Arial"/>
          <w:color w:val="000000"/>
          <w:highlight w:val="white"/>
        </w:rPr>
        <w:t>roso et al. (2024) and Castells et al. (2023), who made a point that nurses are important in giving education and psychosocial support. The idea of education as a therapeutic intervention helps in promoting and developing professional maturity among studen</w:t>
      </w:r>
      <w:r>
        <w:rPr>
          <w:rFonts w:ascii="Arial" w:eastAsia="Arial" w:hAnsi="Arial" w:cs="Arial"/>
          <w:color w:val="000000"/>
          <w:highlight w:val="white"/>
        </w:rPr>
        <w:t>t nurses.</w:t>
      </w:r>
    </w:p>
    <w:p w14:paraId="00000155"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156"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 xml:space="preserve">On the other hand, items such as caring for patients undergoing radiotherapy or surgery are more interesting than chemotherapy and other units are safer than chemotherapy units both rated </w:t>
      </w:r>
      <w:proofErr w:type="gramStart"/>
      <w:r>
        <w:rPr>
          <w:rFonts w:ascii="Arial" w:eastAsia="Arial" w:hAnsi="Arial" w:cs="Arial"/>
          <w:color w:val="000000"/>
          <w:highlight w:val="white"/>
        </w:rPr>
        <w:t>average</w:t>
      </w:r>
      <w:proofErr w:type="gramEnd"/>
      <w:r>
        <w:rPr>
          <w:rFonts w:ascii="Arial" w:eastAsia="Arial" w:hAnsi="Arial" w:cs="Arial"/>
          <w:color w:val="000000"/>
          <w:highlight w:val="white"/>
        </w:rPr>
        <w:t>. These results propose that working in chemother</w:t>
      </w:r>
      <w:r>
        <w:rPr>
          <w:rFonts w:ascii="Arial" w:eastAsia="Arial" w:hAnsi="Arial" w:cs="Arial"/>
          <w:color w:val="000000"/>
          <w:highlight w:val="white"/>
        </w:rPr>
        <w:t>apy units is challenging or prone to danger compared to other clinical areas. This justifies the finding from Bagheri et al. (2023), who said that the clinical unit that has been recognized as emotionally and clinically demanding environments due to its hi</w:t>
      </w:r>
      <w:r>
        <w:rPr>
          <w:rFonts w:ascii="Arial" w:eastAsia="Arial" w:hAnsi="Arial" w:cs="Arial"/>
          <w:color w:val="000000"/>
          <w:highlight w:val="white"/>
        </w:rPr>
        <w:t xml:space="preserve">gh-acuity cases and exposure to life and death illnesses is the chemotherapy unit. </w:t>
      </w:r>
    </w:p>
    <w:p w14:paraId="00000157"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158" w14:textId="77777777" w:rsidR="00E05BE1" w:rsidRDefault="00F07326">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Low-rated items such as avoiding long discussions with attendants, avoiding drug administration due to risk, losing motivation due to poor outcomes. The shown low rated i</w:t>
      </w:r>
      <w:r>
        <w:rPr>
          <w:rFonts w:ascii="Arial" w:eastAsia="Arial" w:hAnsi="Arial" w:cs="Arial"/>
          <w:color w:val="000000"/>
          <w:highlight w:val="white"/>
        </w:rPr>
        <w:t xml:space="preserve">tems are commending findings as they portray that student nurses do not tolerate negative professional behaviors such as avoidance, disengagement, and emotional withdrawal. This favored the study of </w:t>
      </w:r>
      <w:proofErr w:type="spellStart"/>
      <w:r>
        <w:rPr>
          <w:rFonts w:ascii="Arial" w:eastAsia="Arial" w:hAnsi="Arial" w:cs="Arial"/>
          <w:color w:val="000000"/>
          <w:highlight w:val="white"/>
        </w:rPr>
        <w:t>Hendenstrom</w:t>
      </w:r>
      <w:proofErr w:type="spellEnd"/>
      <w:r>
        <w:rPr>
          <w:rFonts w:ascii="Arial" w:eastAsia="Arial" w:hAnsi="Arial" w:cs="Arial"/>
          <w:color w:val="000000"/>
          <w:highlight w:val="white"/>
        </w:rPr>
        <w:t xml:space="preserve"> et al. (2021), who highlighted that having ed</w:t>
      </w:r>
      <w:r>
        <w:rPr>
          <w:rFonts w:ascii="Arial" w:eastAsia="Arial" w:hAnsi="Arial" w:cs="Arial"/>
          <w:color w:val="000000"/>
          <w:highlight w:val="white"/>
        </w:rPr>
        <w:t xml:space="preserve">ucation in chemotherapy units reduces non-risk behaviors and promotes empathetic relationships with clients and their families. </w:t>
      </w:r>
    </w:p>
    <w:p w14:paraId="00000159" w14:textId="77777777" w:rsidR="00E05BE1" w:rsidRDefault="00F07326">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lastRenderedPageBreak/>
        <w:t xml:space="preserve"> </w:t>
      </w:r>
    </w:p>
    <w:p w14:paraId="0000015A" w14:textId="77777777" w:rsidR="00E05BE1" w:rsidRDefault="00F07326">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However, the resulting average attitude score conveys that confidence and emotional resilience may not be yet developed. This</w:t>
      </w:r>
      <w:r>
        <w:rPr>
          <w:rFonts w:ascii="Arial" w:eastAsia="Arial" w:hAnsi="Arial" w:cs="Arial"/>
          <w:color w:val="000000"/>
          <w:highlight w:val="white"/>
        </w:rPr>
        <w:t xml:space="preserve"> significantly aligns with </w:t>
      </w:r>
      <w:proofErr w:type="spellStart"/>
      <w:r>
        <w:rPr>
          <w:rFonts w:ascii="Arial" w:eastAsia="Arial" w:hAnsi="Arial" w:cs="Arial"/>
          <w:color w:val="000000"/>
          <w:highlight w:val="white"/>
        </w:rPr>
        <w:t>Unabia</w:t>
      </w:r>
      <w:proofErr w:type="spellEnd"/>
      <w:r>
        <w:rPr>
          <w:rFonts w:ascii="Arial" w:eastAsia="Arial" w:hAnsi="Arial" w:cs="Arial"/>
          <w:color w:val="000000"/>
          <w:highlight w:val="white"/>
        </w:rPr>
        <w:t xml:space="preserve"> and </w:t>
      </w:r>
      <w:proofErr w:type="spellStart"/>
      <w:r>
        <w:rPr>
          <w:rFonts w:ascii="Arial" w:eastAsia="Arial" w:hAnsi="Arial" w:cs="Arial"/>
          <w:color w:val="000000"/>
          <w:highlight w:val="white"/>
        </w:rPr>
        <w:t>Bacarisas</w:t>
      </w:r>
      <w:proofErr w:type="spellEnd"/>
      <w:r>
        <w:rPr>
          <w:rFonts w:ascii="Arial" w:eastAsia="Arial" w:hAnsi="Arial" w:cs="Arial"/>
          <w:color w:val="000000"/>
          <w:highlight w:val="white"/>
        </w:rPr>
        <w:t xml:space="preserve"> (2024), who stated that having limited exposure in oncology areas play a part in the level of confidence and readiness of student nurses in clinical areas. Therefore, the present study related literature clai</w:t>
      </w:r>
      <w:r>
        <w:rPr>
          <w:rFonts w:ascii="Arial" w:eastAsia="Arial" w:hAnsi="Arial" w:cs="Arial"/>
          <w:color w:val="000000"/>
          <w:highlight w:val="white"/>
        </w:rPr>
        <w:t>ms that student nurses develop and show professional responsibilities and willingness to care for chemotherapy patients, but their emotional comfort and perceived safety require developing through structured exposure and mentorship.</w:t>
      </w:r>
    </w:p>
    <w:p w14:paraId="0000015B" w14:textId="77777777" w:rsidR="00E05BE1" w:rsidRDefault="00F07326">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b/>
          <w:bCs/>
          <w:color w:val="000000"/>
          <w:highlight w:val="white"/>
        </w:rPr>
        <w:t>Table 5. Level of attit</w:t>
      </w:r>
      <w:r>
        <w:rPr>
          <w:rFonts w:ascii="Arial" w:eastAsia="Arial" w:hAnsi="Arial" w:cs="Arial"/>
          <w:b/>
          <w:bCs/>
          <w:color w:val="000000"/>
          <w:highlight w:val="white"/>
        </w:rPr>
        <w:t>ude of student nurses towards providing nursing care for patients undergoing chemotherapy (n = 275)</w:t>
      </w:r>
    </w:p>
    <w:tbl>
      <w:tblPr>
        <w:tblStyle w:val="a7"/>
        <w:tblW w:w="8183" w:type="dxa"/>
        <w:tblInd w:w="8" w:type="dxa"/>
        <w:tblLayout w:type="fixed"/>
        <w:tblLook w:val="0400" w:firstRow="0" w:lastRow="0" w:firstColumn="0" w:lastColumn="0" w:noHBand="0" w:noVBand="1"/>
      </w:tblPr>
      <w:tblGrid>
        <w:gridCol w:w="5872"/>
        <w:gridCol w:w="1118"/>
        <w:gridCol w:w="1193"/>
      </w:tblGrid>
      <w:tr w:rsidR="00E05BE1" w14:paraId="2252BB93" w14:textId="77777777">
        <w:trPr>
          <w:trHeight w:val="645"/>
        </w:trPr>
        <w:tc>
          <w:tcPr>
            <w:tcW w:w="5873" w:type="dxa"/>
            <w:tcBorders>
              <w:top w:val="single" w:sz="6" w:space="0" w:color="000000"/>
              <w:left w:val="single" w:sz="6" w:space="0" w:color="FFFFFF"/>
              <w:bottom w:val="single" w:sz="6" w:space="0" w:color="000000"/>
              <w:right w:val="single" w:sz="4" w:space="0" w:color="FFFFFF"/>
            </w:tcBorders>
            <w:tcMar>
              <w:top w:w="0" w:type="dxa"/>
              <w:left w:w="100" w:type="dxa"/>
              <w:bottom w:w="0" w:type="dxa"/>
              <w:right w:w="100" w:type="dxa"/>
            </w:tcMar>
          </w:tcPr>
          <w:p w14:paraId="0000015C" w14:textId="77777777" w:rsidR="00E05BE1" w:rsidRDefault="00F07326">
            <w:pPr>
              <w:pBdr>
                <w:top w:val="nil"/>
                <w:left w:val="nil"/>
                <w:bottom w:val="nil"/>
                <w:right w:val="nil"/>
                <w:between w:val="nil"/>
              </w:pBdr>
              <w:spacing w:before="240" w:after="240"/>
              <w:jc w:val="center"/>
              <w:rPr>
                <w:rFonts w:ascii="Arial" w:eastAsia="Arial" w:hAnsi="Arial" w:cs="Arial"/>
                <w:b/>
                <w:bCs/>
                <w:color w:val="000000"/>
              </w:rPr>
            </w:pPr>
            <w:r>
              <w:rPr>
                <w:rFonts w:ascii="Arial" w:eastAsia="Arial" w:hAnsi="Arial" w:cs="Arial"/>
                <w:b/>
                <w:bCs/>
                <w:color w:val="000000"/>
                <w:highlight w:val="white"/>
              </w:rPr>
              <w:t> </w:t>
            </w:r>
          </w:p>
        </w:tc>
        <w:tc>
          <w:tcPr>
            <w:tcW w:w="1118" w:type="dxa"/>
            <w:tcBorders>
              <w:top w:val="single" w:sz="6" w:space="0" w:color="000000"/>
              <w:left w:val="single" w:sz="4" w:space="0" w:color="FFFFFF"/>
              <w:bottom w:val="single" w:sz="6" w:space="0" w:color="000000"/>
              <w:right w:val="single" w:sz="6" w:space="0" w:color="FFFFFF"/>
            </w:tcBorders>
            <w:tcMar>
              <w:top w:w="0" w:type="dxa"/>
              <w:left w:w="100" w:type="dxa"/>
              <w:bottom w:w="0" w:type="dxa"/>
              <w:right w:w="100" w:type="dxa"/>
            </w:tcMar>
          </w:tcPr>
          <w:p w14:paraId="0000015D" w14:textId="77777777" w:rsidR="00E05BE1" w:rsidRDefault="00F07326">
            <w:pPr>
              <w:pBdr>
                <w:top w:val="nil"/>
                <w:left w:val="nil"/>
                <w:bottom w:val="nil"/>
                <w:right w:val="nil"/>
                <w:between w:val="nil"/>
              </w:pBdr>
              <w:spacing w:before="200"/>
              <w:ind w:left="60" w:right="60"/>
              <w:jc w:val="center"/>
              <w:rPr>
                <w:rFonts w:ascii="Arial" w:eastAsia="Arial" w:hAnsi="Arial" w:cs="Arial"/>
                <w:b/>
                <w:bCs/>
                <w:color w:val="000000"/>
              </w:rPr>
            </w:pPr>
            <w:r>
              <w:rPr>
                <w:rFonts w:ascii="Arial" w:eastAsia="Arial" w:hAnsi="Arial" w:cs="Arial"/>
                <w:b/>
                <w:bCs/>
                <w:color w:val="000000"/>
                <w:highlight w:val="white"/>
              </w:rPr>
              <w:t>Mean</w:t>
            </w:r>
          </w:p>
        </w:tc>
        <w:tc>
          <w:tcPr>
            <w:tcW w:w="1193"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0000015E" w14:textId="77777777" w:rsidR="00E05BE1" w:rsidRDefault="00F07326">
            <w:pPr>
              <w:pBdr>
                <w:top w:val="nil"/>
                <w:left w:val="nil"/>
                <w:bottom w:val="nil"/>
                <w:right w:val="nil"/>
                <w:between w:val="nil"/>
              </w:pBdr>
              <w:spacing w:before="200"/>
              <w:ind w:left="60" w:right="60"/>
              <w:jc w:val="center"/>
              <w:rPr>
                <w:rFonts w:ascii="Arial" w:eastAsia="Arial" w:hAnsi="Arial" w:cs="Arial"/>
                <w:b/>
                <w:bCs/>
                <w:color w:val="000000"/>
              </w:rPr>
            </w:pPr>
            <w:r>
              <w:rPr>
                <w:rFonts w:ascii="Arial" w:eastAsia="Arial" w:hAnsi="Arial" w:cs="Arial"/>
                <w:b/>
                <w:bCs/>
                <w:color w:val="000000"/>
                <w:highlight w:val="white"/>
              </w:rPr>
              <w:t>SD</w:t>
            </w:r>
          </w:p>
        </w:tc>
      </w:tr>
      <w:tr w:rsidR="00E05BE1" w14:paraId="5AF2B903" w14:textId="77777777">
        <w:trPr>
          <w:trHeight w:val="347"/>
        </w:trPr>
        <w:tc>
          <w:tcPr>
            <w:tcW w:w="5873" w:type="dxa"/>
            <w:tcBorders>
              <w:top w:val="single" w:sz="6" w:space="0" w:color="000000"/>
              <w:left w:val="single" w:sz="6" w:space="0" w:color="FFFFFF"/>
              <w:bottom w:val="single" w:sz="6" w:space="0" w:color="FFFFFF"/>
              <w:right w:val="single" w:sz="4" w:space="0" w:color="FFFFFF"/>
            </w:tcBorders>
            <w:tcMar>
              <w:top w:w="0" w:type="dxa"/>
              <w:left w:w="100" w:type="dxa"/>
              <w:bottom w:w="0" w:type="dxa"/>
              <w:right w:w="100" w:type="dxa"/>
            </w:tcMar>
          </w:tcPr>
          <w:p w14:paraId="0000015F"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Knowledge given to patients regarding chemotherapy supports them emotionally.</w:t>
            </w:r>
          </w:p>
        </w:tc>
        <w:tc>
          <w:tcPr>
            <w:tcW w:w="1118" w:type="dxa"/>
            <w:tcBorders>
              <w:top w:val="single" w:sz="6" w:space="0" w:color="000000"/>
              <w:left w:val="single" w:sz="4" w:space="0" w:color="FFFFFF"/>
              <w:bottom w:val="single" w:sz="6" w:space="0" w:color="FFFFFF"/>
              <w:right w:val="single" w:sz="6" w:space="0" w:color="FFFFFF"/>
            </w:tcBorders>
            <w:tcMar>
              <w:top w:w="0" w:type="dxa"/>
              <w:left w:w="100" w:type="dxa"/>
              <w:bottom w:w="0" w:type="dxa"/>
              <w:right w:w="100" w:type="dxa"/>
            </w:tcMar>
          </w:tcPr>
          <w:p w14:paraId="00000160"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3.45</w:t>
            </w:r>
          </w:p>
        </w:tc>
        <w:tc>
          <w:tcPr>
            <w:tcW w:w="1193" w:type="dxa"/>
            <w:tcBorders>
              <w:top w:val="single" w:sz="6" w:space="0" w:color="000000"/>
              <w:left w:val="nil"/>
              <w:bottom w:val="single" w:sz="6" w:space="0" w:color="FFFFFF"/>
              <w:right w:val="single" w:sz="6" w:space="0" w:color="FFFFFF"/>
            </w:tcBorders>
            <w:tcMar>
              <w:top w:w="0" w:type="dxa"/>
              <w:left w:w="100" w:type="dxa"/>
              <w:bottom w:w="0" w:type="dxa"/>
              <w:right w:w="100" w:type="dxa"/>
            </w:tcMar>
          </w:tcPr>
          <w:p w14:paraId="00000161"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0.77</w:t>
            </w:r>
          </w:p>
        </w:tc>
      </w:tr>
      <w:tr w:rsidR="00E05BE1" w14:paraId="2CB0944A" w14:textId="77777777">
        <w:trPr>
          <w:trHeight w:val="540"/>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62"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It is more interested to care for patient undergone radiotherapy/surgery than chemotherapy.</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63"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2.63</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64"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0.82</w:t>
            </w:r>
          </w:p>
        </w:tc>
      </w:tr>
      <w:tr w:rsidR="00E05BE1" w14:paraId="0D359974" w14:textId="77777777">
        <w:trPr>
          <w:trHeight w:val="285"/>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65"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 think other units are safer than chemotherapy unit.</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66"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2.62</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67"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0.76</w:t>
            </w:r>
          </w:p>
        </w:tc>
      </w:tr>
      <w:tr w:rsidR="00E05BE1" w14:paraId="5C4C9DF4" w14:textId="77777777">
        <w:trPr>
          <w:trHeight w:val="555"/>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68"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To work with chemotherapy patients and their family members is difficult as comparative to other patients.</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69"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2.36</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6A"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0.84</w:t>
            </w:r>
          </w:p>
        </w:tc>
      </w:tr>
      <w:tr w:rsidR="00E05BE1" w14:paraId="025476EE" w14:textId="77777777">
        <w:trPr>
          <w:trHeight w:val="843"/>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6B"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 think patient who are undergone chemotherapy are just like other patients they need not any type of nursing care.</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6C"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2.23</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6D"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0.97</w:t>
            </w:r>
          </w:p>
        </w:tc>
      </w:tr>
      <w:tr w:rsidR="00E05BE1" w14:paraId="7D634167" w14:textId="77777777">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6E"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 xml:space="preserve">It does not affect when again patient come with worst condition due to effect of chemotherapy because </w:t>
            </w:r>
            <w:proofErr w:type="spellStart"/>
            <w:r>
              <w:rPr>
                <w:rFonts w:ascii="Arial" w:eastAsia="Arial" w:hAnsi="Arial" w:cs="Arial"/>
                <w:color w:val="000000"/>
                <w:highlight w:val="white"/>
              </w:rPr>
              <w:t>i</w:t>
            </w:r>
            <w:proofErr w:type="spellEnd"/>
            <w:r>
              <w:rPr>
                <w:rFonts w:ascii="Arial" w:eastAsia="Arial" w:hAnsi="Arial" w:cs="Arial"/>
                <w:color w:val="000000"/>
                <w:highlight w:val="white"/>
              </w:rPr>
              <w:t xml:space="preserve"> feel confident in my competency to deal with that condition.</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6F"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2.22</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70"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0.84</w:t>
            </w:r>
          </w:p>
        </w:tc>
      </w:tr>
      <w:tr w:rsidR="00E05BE1" w14:paraId="63D10E6B" w14:textId="77777777">
        <w:trPr>
          <w:trHeight w:val="285"/>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71"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 feel staff need not to check CBC report before starting chemotherapy because doctor's already check this.</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72"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2.03</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73"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1.05</w:t>
            </w:r>
          </w:p>
        </w:tc>
      </w:tr>
      <w:tr w:rsidR="00E05BE1" w14:paraId="66231555" w14:textId="77777777">
        <w:trPr>
          <w:trHeight w:val="460"/>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74"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 lost my interest in work due to poor outcome of chemotherapy. *</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75"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1.90</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76"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0.82</w:t>
            </w:r>
          </w:p>
        </w:tc>
      </w:tr>
      <w:tr w:rsidR="00E05BE1" w14:paraId="6AF63E62" w14:textId="77777777">
        <w:trPr>
          <w:trHeight w:val="285"/>
        </w:trPr>
        <w:tc>
          <w:tcPr>
            <w:tcW w:w="5873" w:type="dxa"/>
            <w:tcBorders>
              <w:top w:val="single" w:sz="6" w:space="0" w:color="FFFFFF"/>
              <w:left w:val="single" w:sz="6" w:space="0" w:color="FFFFFF"/>
              <w:bottom w:val="single" w:sz="6" w:space="0" w:color="FFFFFF"/>
              <w:right w:val="single" w:sz="4" w:space="0" w:color="FFFFFF"/>
            </w:tcBorders>
            <w:tcMar>
              <w:top w:w="0" w:type="dxa"/>
              <w:left w:w="100" w:type="dxa"/>
              <w:bottom w:w="0" w:type="dxa"/>
              <w:right w:w="100" w:type="dxa"/>
            </w:tcMar>
          </w:tcPr>
          <w:p w14:paraId="00000177"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 avoid to give chemotherapy to patients with cancer as it can be risky.</w:t>
            </w:r>
          </w:p>
        </w:tc>
        <w:tc>
          <w:tcPr>
            <w:tcW w:w="1118" w:type="dxa"/>
            <w:tcBorders>
              <w:top w:val="single" w:sz="6" w:space="0" w:color="FFFFFF"/>
              <w:left w:val="single" w:sz="4" w:space="0" w:color="FFFFFF"/>
              <w:bottom w:val="single" w:sz="6" w:space="0" w:color="FFFFFF"/>
              <w:right w:val="single" w:sz="6" w:space="0" w:color="FFFFFF"/>
            </w:tcBorders>
            <w:tcMar>
              <w:top w:w="0" w:type="dxa"/>
              <w:left w:w="100" w:type="dxa"/>
              <w:bottom w:w="0" w:type="dxa"/>
              <w:right w:w="100" w:type="dxa"/>
            </w:tcMar>
          </w:tcPr>
          <w:p w14:paraId="00000178"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1.84</w:t>
            </w:r>
          </w:p>
        </w:tc>
        <w:tc>
          <w:tcPr>
            <w:tcW w:w="1193" w:type="dxa"/>
            <w:tcBorders>
              <w:top w:val="single" w:sz="6" w:space="0" w:color="FFFFFF"/>
              <w:left w:val="nil"/>
              <w:bottom w:val="single" w:sz="6" w:space="0" w:color="FFFFFF"/>
              <w:right w:val="single" w:sz="6" w:space="0" w:color="FFFFFF"/>
            </w:tcBorders>
            <w:tcMar>
              <w:top w:w="0" w:type="dxa"/>
              <w:left w:w="100" w:type="dxa"/>
              <w:bottom w:w="0" w:type="dxa"/>
              <w:right w:w="100" w:type="dxa"/>
            </w:tcMar>
          </w:tcPr>
          <w:p w14:paraId="00000179"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0.81</w:t>
            </w:r>
          </w:p>
        </w:tc>
      </w:tr>
      <w:tr w:rsidR="00E05BE1" w14:paraId="03C43402" w14:textId="77777777">
        <w:trPr>
          <w:trHeight w:val="555"/>
        </w:trPr>
        <w:tc>
          <w:tcPr>
            <w:tcW w:w="5873" w:type="dxa"/>
            <w:tcBorders>
              <w:top w:val="single" w:sz="6" w:space="0" w:color="FFFFFF"/>
              <w:left w:val="single" w:sz="6" w:space="0" w:color="FFFFFF"/>
              <w:bottom w:val="single" w:sz="6" w:space="0" w:color="000000"/>
              <w:right w:val="single" w:sz="4" w:space="0" w:color="FFFFFF"/>
            </w:tcBorders>
            <w:tcMar>
              <w:top w:w="0" w:type="dxa"/>
              <w:left w:w="100" w:type="dxa"/>
              <w:bottom w:w="0" w:type="dxa"/>
              <w:right w:w="100" w:type="dxa"/>
            </w:tcMar>
          </w:tcPr>
          <w:p w14:paraId="0000017A" w14:textId="77777777" w:rsidR="00E05BE1" w:rsidRDefault="00F07326">
            <w:pPr>
              <w:pBdr>
                <w:top w:val="nil"/>
                <w:left w:val="nil"/>
                <w:bottom w:val="nil"/>
                <w:right w:val="nil"/>
                <w:between w:val="nil"/>
              </w:pBdr>
              <w:ind w:left="720" w:right="58" w:hanging="720"/>
              <w:jc w:val="both"/>
              <w:rPr>
                <w:rFonts w:ascii="Arial" w:eastAsia="Arial" w:hAnsi="Arial" w:cs="Arial"/>
                <w:color w:val="000000"/>
              </w:rPr>
            </w:pPr>
            <w:r>
              <w:rPr>
                <w:rFonts w:ascii="Arial" w:eastAsia="Arial" w:hAnsi="Arial" w:cs="Arial"/>
                <w:color w:val="000000"/>
                <w:highlight w:val="white"/>
              </w:rPr>
              <w:t>I do not like long discussions with attendants of chemotherapy patients because it is a wastage of time. *</w:t>
            </w:r>
          </w:p>
        </w:tc>
        <w:tc>
          <w:tcPr>
            <w:tcW w:w="1118" w:type="dxa"/>
            <w:tcBorders>
              <w:top w:val="single" w:sz="6" w:space="0" w:color="FFFFFF"/>
              <w:left w:val="single" w:sz="4" w:space="0" w:color="FFFFFF"/>
              <w:bottom w:val="single" w:sz="6" w:space="0" w:color="000000"/>
              <w:right w:val="single" w:sz="6" w:space="0" w:color="FFFFFF"/>
            </w:tcBorders>
            <w:tcMar>
              <w:top w:w="0" w:type="dxa"/>
              <w:left w:w="100" w:type="dxa"/>
              <w:bottom w:w="0" w:type="dxa"/>
              <w:right w:w="100" w:type="dxa"/>
            </w:tcMar>
          </w:tcPr>
          <w:p w14:paraId="0000017B"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1.64</w:t>
            </w:r>
          </w:p>
        </w:tc>
        <w:tc>
          <w:tcPr>
            <w:tcW w:w="1193" w:type="dxa"/>
            <w:tcBorders>
              <w:top w:val="single" w:sz="6" w:space="0" w:color="FFFFFF"/>
              <w:left w:val="nil"/>
              <w:bottom w:val="single" w:sz="6" w:space="0" w:color="000000"/>
              <w:right w:val="single" w:sz="6" w:space="0" w:color="FFFFFF"/>
            </w:tcBorders>
            <w:tcMar>
              <w:top w:w="0" w:type="dxa"/>
              <w:left w:w="100" w:type="dxa"/>
              <w:bottom w:w="0" w:type="dxa"/>
              <w:right w:w="100" w:type="dxa"/>
            </w:tcMar>
          </w:tcPr>
          <w:p w14:paraId="0000017C" w14:textId="77777777" w:rsidR="00E05BE1" w:rsidRDefault="00F07326">
            <w:pPr>
              <w:pBdr>
                <w:top w:val="nil"/>
                <w:left w:val="nil"/>
                <w:bottom w:val="nil"/>
                <w:right w:val="nil"/>
                <w:between w:val="nil"/>
              </w:pBdr>
              <w:ind w:left="60" w:right="60"/>
              <w:jc w:val="center"/>
              <w:rPr>
                <w:rFonts w:ascii="Arial" w:eastAsia="Arial" w:hAnsi="Arial" w:cs="Arial"/>
                <w:color w:val="000000"/>
              </w:rPr>
            </w:pPr>
            <w:r>
              <w:rPr>
                <w:rFonts w:ascii="Arial" w:eastAsia="Arial" w:hAnsi="Arial" w:cs="Arial"/>
                <w:color w:val="000000"/>
                <w:highlight w:val="white"/>
              </w:rPr>
              <w:t>0.78</w:t>
            </w:r>
          </w:p>
        </w:tc>
      </w:tr>
      <w:tr w:rsidR="00E05BE1" w14:paraId="190BF4B0" w14:textId="77777777">
        <w:trPr>
          <w:trHeight w:val="285"/>
        </w:trPr>
        <w:tc>
          <w:tcPr>
            <w:tcW w:w="5873"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14:paraId="0000017D" w14:textId="77777777" w:rsidR="00E05BE1" w:rsidRDefault="00F07326">
            <w:pPr>
              <w:pBdr>
                <w:top w:val="nil"/>
                <w:left w:val="nil"/>
                <w:bottom w:val="nil"/>
                <w:right w:val="nil"/>
                <w:between w:val="nil"/>
              </w:pBdr>
              <w:ind w:left="60" w:right="60"/>
              <w:jc w:val="center"/>
              <w:rPr>
                <w:rFonts w:ascii="Arial" w:eastAsia="Arial" w:hAnsi="Arial" w:cs="Arial"/>
                <w:b/>
                <w:bCs/>
                <w:color w:val="000000"/>
              </w:rPr>
            </w:pPr>
            <w:r>
              <w:rPr>
                <w:rFonts w:ascii="Arial" w:eastAsia="Arial" w:hAnsi="Arial" w:cs="Arial"/>
                <w:b/>
                <w:bCs/>
                <w:color w:val="000000"/>
                <w:highlight w:val="white"/>
              </w:rPr>
              <w:t>Overall Mean (SD)</w:t>
            </w:r>
          </w:p>
        </w:tc>
        <w:tc>
          <w:tcPr>
            <w:tcW w:w="2311" w:type="dxa"/>
            <w:gridSpan w:val="2"/>
            <w:tcBorders>
              <w:top w:val="single" w:sz="6" w:space="0" w:color="000000"/>
              <w:left w:val="nil"/>
              <w:bottom w:val="single" w:sz="6" w:space="0" w:color="000000"/>
              <w:right w:val="single" w:sz="4" w:space="0" w:color="FFFFFF"/>
            </w:tcBorders>
            <w:tcMar>
              <w:top w:w="0" w:type="dxa"/>
              <w:left w:w="100" w:type="dxa"/>
              <w:bottom w:w="0" w:type="dxa"/>
              <w:right w:w="100" w:type="dxa"/>
            </w:tcMar>
          </w:tcPr>
          <w:p w14:paraId="0000017E" w14:textId="77777777" w:rsidR="00E05BE1" w:rsidRDefault="00F07326">
            <w:pPr>
              <w:pBdr>
                <w:top w:val="nil"/>
                <w:left w:val="nil"/>
                <w:bottom w:val="nil"/>
                <w:right w:val="nil"/>
                <w:between w:val="nil"/>
              </w:pBdr>
              <w:ind w:right="60"/>
              <w:rPr>
                <w:rFonts w:ascii="Arial" w:eastAsia="Arial" w:hAnsi="Arial" w:cs="Arial"/>
                <w:b/>
                <w:bCs/>
                <w:color w:val="000000"/>
              </w:rPr>
            </w:pPr>
            <w:r>
              <w:rPr>
                <w:rFonts w:ascii="Arial" w:eastAsia="Arial" w:hAnsi="Arial" w:cs="Arial"/>
                <w:b/>
                <w:bCs/>
                <w:color w:val="000000"/>
                <w:highlight w:val="white"/>
              </w:rPr>
              <w:t xml:space="preserve">     2.29/4 (SD=0.47)</w:t>
            </w:r>
          </w:p>
        </w:tc>
      </w:tr>
      <w:tr w:rsidR="00E05BE1" w14:paraId="7AB6D41C" w14:textId="77777777">
        <w:trPr>
          <w:trHeight w:val="80"/>
        </w:trPr>
        <w:tc>
          <w:tcPr>
            <w:tcW w:w="8184" w:type="dxa"/>
            <w:gridSpan w:val="3"/>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14:paraId="00000180" w14:textId="77777777" w:rsidR="00E05BE1" w:rsidRDefault="00F07326">
            <w:pPr>
              <w:pBdr>
                <w:top w:val="nil"/>
                <w:left w:val="nil"/>
                <w:bottom w:val="nil"/>
                <w:right w:val="nil"/>
                <w:between w:val="nil"/>
              </w:pBdr>
              <w:ind w:right="60"/>
              <w:jc w:val="center"/>
              <w:rPr>
                <w:rFonts w:ascii="Arial" w:eastAsia="Arial" w:hAnsi="Arial" w:cs="Arial"/>
                <w:b/>
                <w:bCs/>
                <w:color w:val="000000"/>
              </w:rPr>
            </w:pPr>
            <w:r>
              <w:rPr>
                <w:rFonts w:ascii="Arial" w:eastAsia="Arial" w:hAnsi="Arial" w:cs="Arial"/>
                <w:b/>
                <w:bCs/>
                <w:color w:val="000000"/>
                <w:highlight w:val="white"/>
              </w:rPr>
              <w:t>*reversed item</w:t>
            </w:r>
          </w:p>
        </w:tc>
      </w:tr>
    </w:tbl>
    <w:p w14:paraId="00000183" w14:textId="77777777" w:rsidR="00E05BE1" w:rsidRDefault="00E05BE1">
      <w:pPr>
        <w:rPr>
          <w:rFonts w:ascii="Arial" w:eastAsia="Arial" w:hAnsi="Arial" w:cs="Arial"/>
        </w:rPr>
      </w:pPr>
    </w:p>
    <w:p w14:paraId="00000184" w14:textId="77777777" w:rsidR="00E05BE1" w:rsidRDefault="00F07326">
      <w:pPr>
        <w:rPr>
          <w:rFonts w:ascii="Arial" w:eastAsia="Arial" w:hAnsi="Arial" w:cs="Arial"/>
          <w:b/>
          <w:bCs/>
        </w:rPr>
      </w:pPr>
      <w:r>
        <w:rPr>
          <w:rFonts w:ascii="Arial" w:eastAsia="Arial" w:hAnsi="Arial" w:cs="Arial"/>
          <w:b/>
          <w:bCs/>
        </w:rPr>
        <w:t>5.1.5 DIFFERENCES IN THE LEVEL OF KNOWLEDGE, PERCEPTION, AND ATTITUDE WHEN THEY ARE GROUPED ACCORDING TO SOCIODEMOGRAPHIC PROFILE</w:t>
      </w:r>
    </w:p>
    <w:p w14:paraId="00000185" w14:textId="77777777" w:rsidR="00E05BE1" w:rsidRDefault="00F07326">
      <w:pPr>
        <w:pBdr>
          <w:top w:val="nil"/>
          <w:left w:val="nil"/>
          <w:bottom w:val="nil"/>
          <w:right w:val="nil"/>
          <w:between w:val="nil"/>
        </w:pBdr>
        <w:spacing w:before="240" w:after="240"/>
        <w:rPr>
          <w:rFonts w:ascii="Arial" w:eastAsia="Arial" w:hAnsi="Arial" w:cs="Arial"/>
          <w:color w:val="000000"/>
        </w:rPr>
      </w:pPr>
      <w:bookmarkStart w:id="4" w:name="_Hlk226055642"/>
      <w:r>
        <w:rPr>
          <w:rFonts w:ascii="Arial" w:eastAsia="Arial" w:hAnsi="Arial" w:cs="Arial"/>
          <w:color w:val="000000"/>
          <w:highlight w:val="white"/>
        </w:rPr>
        <w:t>To assess the normality of data and determine the specific statistical tool the Kolmogorov-Smirnov test was used. The result showed knowledge, perception and attitude (p = &lt; 0.001) do follow normal distribution. Therefore, Mann-Whitney U test was used to t</w:t>
      </w:r>
      <w:r>
        <w:rPr>
          <w:rFonts w:ascii="Arial" w:eastAsia="Arial" w:hAnsi="Arial" w:cs="Arial"/>
          <w:color w:val="000000"/>
          <w:highlight w:val="white"/>
        </w:rPr>
        <w:t>est whether there is a significant difference between year level, chemotherapy unit exposure and cancer patient exposure.</w:t>
      </w:r>
    </w:p>
    <w:p w14:paraId="00000188" w14:textId="3BC2AD01" w:rsidR="00E05BE1" w:rsidRPr="002261EB" w:rsidRDefault="00F07326" w:rsidP="002261EB">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Table 6 shows differences in the level of Knowledge, Perception and Attitude of student nurses to Year Level, Chemotherapy unit exposu</w:t>
      </w:r>
      <w:r>
        <w:rPr>
          <w:rFonts w:ascii="Arial" w:eastAsia="Arial" w:hAnsi="Arial" w:cs="Arial"/>
          <w:color w:val="000000"/>
          <w:highlight w:val="white"/>
        </w:rPr>
        <w:t>re, Cancer patient exposure.</w:t>
      </w:r>
      <w:r w:rsidR="002261EB">
        <w:rPr>
          <w:rFonts w:ascii="Arial" w:eastAsia="Arial" w:hAnsi="Arial" w:cs="Arial"/>
          <w:color w:val="000000"/>
        </w:rPr>
        <w:t xml:space="preserve"> </w:t>
      </w:r>
      <w:r>
        <w:rPr>
          <w:rFonts w:ascii="Arial" w:eastAsia="Arial" w:hAnsi="Arial" w:cs="Arial"/>
          <w:highlight w:val="white"/>
        </w:rPr>
        <w:t xml:space="preserve">Mann-Whitney </w:t>
      </w:r>
      <w:r>
        <w:rPr>
          <w:rFonts w:ascii="Arial" w:eastAsia="Arial" w:hAnsi="Arial" w:cs="Arial"/>
          <w:highlight w:val="white"/>
        </w:rPr>
        <w:lastRenderedPageBreak/>
        <w:t>U test results indicated that year level has no significant difference in Knowledge (U = 8944, p = 0.269), Perception (U = 9243, p = 0.814), and Attitude (U = 9096, p = 0.645), while the test result in chemothera</w:t>
      </w:r>
      <w:r>
        <w:rPr>
          <w:rFonts w:ascii="Arial" w:eastAsia="Arial" w:hAnsi="Arial" w:cs="Arial"/>
          <w:highlight w:val="white"/>
        </w:rPr>
        <w:t>py unit exposure has no significant difference in knowledge (U = 5762, p = 0.912), perception (U = 5391, p = 0.430), and Attitude (U = 5394, p = 0.433) and in cancer patient exposure, the results showed no significant difference in knowledge (U = 8463, p =</w:t>
      </w:r>
      <w:r>
        <w:rPr>
          <w:rFonts w:ascii="Arial" w:eastAsia="Arial" w:hAnsi="Arial" w:cs="Arial"/>
          <w:highlight w:val="white"/>
        </w:rPr>
        <w:t xml:space="preserve"> 0.595), perception (U = 8153, p = 0.410), and Attitude (U = 8315, p = 0.570).</w:t>
      </w:r>
    </w:p>
    <w:p w14:paraId="00000189" w14:textId="77777777" w:rsidR="00E05BE1" w:rsidRDefault="00E05BE1">
      <w:pPr>
        <w:pBdr>
          <w:top w:val="nil"/>
          <w:left w:val="nil"/>
          <w:bottom w:val="nil"/>
          <w:right w:val="nil"/>
          <w:between w:val="nil"/>
        </w:pBdr>
        <w:rPr>
          <w:rFonts w:ascii="Arial" w:eastAsia="Arial" w:hAnsi="Arial" w:cs="Arial"/>
          <w:color w:val="000000"/>
        </w:rPr>
      </w:pPr>
    </w:p>
    <w:p w14:paraId="0000018A" w14:textId="5CFE38E6" w:rsidR="00E05BE1" w:rsidRDefault="00F07326">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The overall result showed greater than 0.05 thus accepting the null hypothesis resulting in finding there are no significant differences in knowledge, perception or attitude to</w:t>
      </w:r>
      <w:r>
        <w:rPr>
          <w:rFonts w:ascii="Arial" w:eastAsia="Arial" w:hAnsi="Arial" w:cs="Arial"/>
          <w:color w:val="000000"/>
          <w:highlight w:val="white"/>
        </w:rPr>
        <w:t xml:space="preserve">wards chemotherapy care when categorized by year level or clinical exposure, indicating that academic progression, limited clinical exposure and presence in specialized units are insufficient for developing clinical competence. </w:t>
      </w:r>
    </w:p>
    <w:bookmarkEnd w:id="4"/>
    <w:p w14:paraId="0000018B" w14:textId="77777777" w:rsidR="00E05BE1" w:rsidRDefault="00F07326">
      <w:pPr>
        <w:pBdr>
          <w:top w:val="nil"/>
          <w:left w:val="nil"/>
          <w:bottom w:val="nil"/>
          <w:right w:val="nil"/>
          <w:between w:val="nil"/>
        </w:pBdr>
        <w:spacing w:before="240" w:after="240"/>
        <w:jc w:val="center"/>
        <w:rPr>
          <w:rFonts w:ascii="Arial" w:eastAsia="Arial" w:hAnsi="Arial" w:cs="Arial"/>
          <w:b/>
          <w:bCs/>
          <w:color w:val="000000"/>
          <w:highlight w:val="white"/>
        </w:rPr>
      </w:pPr>
      <w:r>
        <w:rPr>
          <w:rFonts w:ascii="Arial" w:eastAsia="Arial" w:hAnsi="Arial" w:cs="Arial"/>
          <w:b/>
          <w:bCs/>
          <w:color w:val="000000"/>
          <w:highlight w:val="white"/>
        </w:rPr>
        <w:t>Table 6. Difference in the level of knowledge, perception and attitude of student nurses (df=273)</w:t>
      </w:r>
    </w:p>
    <w:tbl>
      <w:tblPr>
        <w:tblStyle w:val="a8"/>
        <w:tblW w:w="8610" w:type="dxa"/>
        <w:tblLayout w:type="fixed"/>
        <w:tblLook w:val="0400" w:firstRow="0" w:lastRow="0" w:firstColumn="0" w:lastColumn="0" w:noHBand="0" w:noVBand="1"/>
      </w:tblPr>
      <w:tblGrid>
        <w:gridCol w:w="3818"/>
        <w:gridCol w:w="838"/>
        <w:gridCol w:w="1302"/>
        <w:gridCol w:w="1482"/>
        <w:gridCol w:w="1170"/>
      </w:tblGrid>
      <w:tr w:rsidR="00E05BE1" w14:paraId="52F41DA6" w14:textId="77777777">
        <w:trPr>
          <w:trHeight w:val="306"/>
        </w:trPr>
        <w:tc>
          <w:tcPr>
            <w:tcW w:w="3818"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8C" w14:textId="77777777" w:rsidR="00E05BE1" w:rsidRDefault="00E05BE1">
            <w:pPr>
              <w:jc w:val="both"/>
              <w:rPr>
                <w:rFonts w:ascii="Arial" w:eastAsia="Arial" w:hAnsi="Arial" w:cs="Arial"/>
                <w:b/>
                <w:bCs/>
                <w:highlight w:val="white"/>
              </w:rPr>
            </w:pPr>
          </w:p>
        </w:tc>
        <w:tc>
          <w:tcPr>
            <w:tcW w:w="838"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8D" w14:textId="77777777" w:rsidR="00E05BE1" w:rsidRDefault="00F07326">
            <w:pPr>
              <w:jc w:val="center"/>
              <w:rPr>
                <w:rFonts w:ascii="Arial" w:eastAsia="Arial" w:hAnsi="Arial" w:cs="Arial"/>
                <w:b/>
                <w:bCs/>
                <w:highlight w:val="white"/>
              </w:rPr>
            </w:pPr>
            <w:r>
              <w:rPr>
                <w:rFonts w:ascii="Arial" w:eastAsia="Arial" w:hAnsi="Arial" w:cs="Arial"/>
                <w:b/>
                <w:bCs/>
                <w:highlight w:val="white"/>
              </w:rPr>
              <w:t xml:space="preserve"> Mean</w:t>
            </w:r>
          </w:p>
        </w:tc>
        <w:tc>
          <w:tcPr>
            <w:tcW w:w="1302"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8E" w14:textId="77777777" w:rsidR="00E05BE1" w:rsidRDefault="00F07326">
            <w:pPr>
              <w:jc w:val="center"/>
              <w:rPr>
                <w:rFonts w:ascii="Arial" w:eastAsia="Arial" w:hAnsi="Arial" w:cs="Arial"/>
                <w:b/>
                <w:bCs/>
                <w:highlight w:val="white"/>
              </w:rPr>
            </w:pPr>
            <w:r>
              <w:rPr>
                <w:rFonts w:ascii="Arial" w:eastAsia="Arial" w:hAnsi="Arial" w:cs="Arial"/>
                <w:b/>
                <w:bCs/>
                <w:highlight w:val="white"/>
              </w:rPr>
              <w:t>SD</w:t>
            </w:r>
          </w:p>
        </w:tc>
        <w:tc>
          <w:tcPr>
            <w:tcW w:w="1482"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8F" w14:textId="77777777" w:rsidR="00E05BE1" w:rsidRDefault="00F07326">
            <w:pPr>
              <w:jc w:val="center"/>
              <w:rPr>
                <w:rFonts w:ascii="Arial" w:eastAsia="Arial" w:hAnsi="Arial" w:cs="Arial"/>
                <w:b/>
                <w:bCs/>
                <w:highlight w:val="white"/>
              </w:rPr>
            </w:pPr>
            <w:r>
              <w:rPr>
                <w:rFonts w:ascii="Arial" w:eastAsia="Arial" w:hAnsi="Arial" w:cs="Arial"/>
                <w:b/>
                <w:bCs/>
                <w:highlight w:val="white"/>
              </w:rPr>
              <w:t>Test-statistics</w:t>
            </w:r>
          </w:p>
        </w:tc>
        <w:tc>
          <w:tcPr>
            <w:tcW w:w="1170" w:type="dxa"/>
            <w:tcBorders>
              <w:top w:val="single" w:sz="6" w:space="0" w:color="000000"/>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90" w14:textId="77777777" w:rsidR="00E05BE1" w:rsidRDefault="00F07326">
            <w:pPr>
              <w:jc w:val="center"/>
              <w:rPr>
                <w:rFonts w:ascii="Arial" w:eastAsia="Arial" w:hAnsi="Arial" w:cs="Arial"/>
                <w:b/>
                <w:bCs/>
                <w:highlight w:val="white"/>
              </w:rPr>
            </w:pPr>
            <w:r>
              <w:rPr>
                <w:rFonts w:ascii="Arial" w:eastAsia="Arial" w:hAnsi="Arial" w:cs="Arial"/>
                <w:b/>
                <w:bCs/>
                <w:highlight w:val="white"/>
              </w:rPr>
              <w:t>p-value</w:t>
            </w:r>
          </w:p>
        </w:tc>
      </w:tr>
      <w:tr w:rsidR="00E05BE1" w14:paraId="7A223D4C" w14:textId="77777777">
        <w:trPr>
          <w:trHeight w:val="292"/>
        </w:trPr>
        <w:tc>
          <w:tcPr>
            <w:tcW w:w="8610" w:type="dxa"/>
            <w:gridSpan w:val="5"/>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1" w14:textId="77777777" w:rsidR="00E05BE1" w:rsidRDefault="00F07326">
            <w:pPr>
              <w:jc w:val="center"/>
              <w:rPr>
                <w:rFonts w:ascii="Arial" w:eastAsia="Arial" w:hAnsi="Arial" w:cs="Arial"/>
                <w:b/>
                <w:bCs/>
                <w:highlight w:val="white"/>
              </w:rPr>
            </w:pPr>
            <w:r>
              <w:rPr>
                <w:rFonts w:ascii="Arial" w:eastAsia="Arial" w:hAnsi="Arial" w:cs="Arial"/>
                <w:b/>
                <w:bCs/>
                <w:highlight w:val="white"/>
              </w:rPr>
              <w:t xml:space="preserve">                  Knowledge</w:t>
            </w:r>
          </w:p>
          <w:p w14:paraId="00000192" w14:textId="77777777" w:rsidR="00E05BE1" w:rsidRDefault="00F07326">
            <w:pPr>
              <w:jc w:val="center"/>
              <w:rPr>
                <w:rFonts w:ascii="Arial" w:eastAsia="Arial" w:hAnsi="Arial" w:cs="Arial"/>
                <w:highlight w:val="white"/>
              </w:rPr>
            </w:pPr>
            <w:r>
              <w:rPr>
                <w:rFonts w:ascii="Arial" w:eastAsia="Arial" w:hAnsi="Arial" w:cs="Arial"/>
                <w:highlight w:val="white"/>
              </w:rPr>
              <w:t xml:space="preserve"> </w:t>
            </w:r>
          </w:p>
        </w:tc>
      </w:tr>
      <w:tr w:rsidR="00E05BE1" w14:paraId="0E967E34"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7" w14:textId="77777777" w:rsidR="00E05BE1" w:rsidRDefault="00F07326">
            <w:pPr>
              <w:jc w:val="both"/>
              <w:rPr>
                <w:rFonts w:ascii="Arial" w:eastAsia="Arial" w:hAnsi="Arial" w:cs="Arial"/>
                <w:highlight w:val="white"/>
              </w:rPr>
            </w:pPr>
            <w:r>
              <w:rPr>
                <w:rFonts w:ascii="Arial" w:eastAsia="Arial" w:hAnsi="Arial" w:cs="Arial"/>
                <w:highlight w:val="white"/>
              </w:rPr>
              <w:t>Year Level</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8"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9"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A"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B" w14:textId="77777777" w:rsidR="00E05BE1" w:rsidRDefault="00E05BE1">
            <w:pPr>
              <w:jc w:val="center"/>
              <w:rPr>
                <w:rFonts w:ascii="Arial" w:eastAsia="Arial" w:hAnsi="Arial" w:cs="Arial"/>
                <w:highlight w:val="white"/>
              </w:rPr>
            </w:pPr>
          </w:p>
        </w:tc>
      </w:tr>
      <w:tr w:rsidR="00E05BE1" w14:paraId="3E745274"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C" w14:textId="77777777" w:rsidR="00E05BE1" w:rsidRDefault="00F07326">
            <w:pPr>
              <w:jc w:val="both"/>
              <w:rPr>
                <w:rFonts w:ascii="Arial" w:eastAsia="Arial" w:hAnsi="Arial" w:cs="Arial"/>
                <w:highlight w:val="white"/>
              </w:rPr>
            </w:pPr>
            <w:r>
              <w:rPr>
                <w:rFonts w:ascii="Arial" w:eastAsia="Arial" w:hAnsi="Arial" w:cs="Arial"/>
                <w:highlight w:val="white"/>
              </w:rPr>
              <w:t xml:space="preserve">      Level 3</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D" w14:textId="77777777" w:rsidR="00E05BE1" w:rsidRDefault="00F07326">
            <w:pPr>
              <w:jc w:val="both"/>
              <w:rPr>
                <w:rFonts w:ascii="Arial" w:eastAsia="Arial" w:hAnsi="Arial" w:cs="Arial"/>
                <w:highlight w:val="white"/>
              </w:rPr>
            </w:pPr>
            <w:r>
              <w:rPr>
                <w:rFonts w:ascii="Arial" w:eastAsia="Arial" w:hAnsi="Arial" w:cs="Arial"/>
                <w:highlight w:val="white"/>
              </w:rPr>
              <w:t>6.73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E" w14:textId="77777777" w:rsidR="00E05BE1" w:rsidRDefault="00F07326">
            <w:pPr>
              <w:jc w:val="center"/>
              <w:rPr>
                <w:rFonts w:ascii="Arial" w:eastAsia="Arial" w:hAnsi="Arial" w:cs="Arial"/>
                <w:highlight w:val="white"/>
              </w:rPr>
            </w:pPr>
            <w:r>
              <w:rPr>
                <w:rFonts w:ascii="Arial" w:eastAsia="Arial" w:hAnsi="Arial" w:cs="Arial"/>
                <w:highlight w:val="white"/>
              </w:rPr>
              <w:t>1.011</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9F" w14:textId="77777777" w:rsidR="00E05BE1" w:rsidRDefault="00F07326">
            <w:pPr>
              <w:jc w:val="center"/>
              <w:rPr>
                <w:rFonts w:ascii="Arial" w:eastAsia="Arial" w:hAnsi="Arial" w:cs="Arial"/>
                <w:highlight w:val="white"/>
              </w:rPr>
            </w:pPr>
            <w:r>
              <w:rPr>
                <w:rFonts w:ascii="Arial" w:eastAsia="Arial" w:hAnsi="Arial" w:cs="Arial"/>
                <w:highlight w:val="white"/>
              </w:rPr>
              <w:t>U = 8944</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0" w14:textId="77777777" w:rsidR="00E05BE1" w:rsidRDefault="00F07326">
            <w:pPr>
              <w:jc w:val="center"/>
              <w:rPr>
                <w:rFonts w:ascii="Arial" w:eastAsia="Arial" w:hAnsi="Arial" w:cs="Arial"/>
                <w:highlight w:val="white"/>
              </w:rPr>
            </w:pPr>
            <w:r>
              <w:rPr>
                <w:rFonts w:ascii="Arial" w:eastAsia="Arial" w:hAnsi="Arial" w:cs="Arial"/>
                <w:highlight w:val="white"/>
              </w:rPr>
              <w:t xml:space="preserve">p = 0.269 </w:t>
            </w:r>
          </w:p>
        </w:tc>
      </w:tr>
      <w:tr w:rsidR="00E05BE1" w14:paraId="0F8C0383"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1" w14:textId="77777777" w:rsidR="00E05BE1" w:rsidRDefault="00F07326">
            <w:pPr>
              <w:jc w:val="both"/>
              <w:rPr>
                <w:rFonts w:ascii="Arial" w:eastAsia="Arial" w:hAnsi="Arial" w:cs="Arial"/>
                <w:highlight w:val="white"/>
              </w:rPr>
            </w:pPr>
            <w:r>
              <w:rPr>
                <w:rFonts w:ascii="Arial" w:eastAsia="Arial" w:hAnsi="Arial" w:cs="Arial"/>
                <w:highlight w:val="white"/>
              </w:rPr>
              <w:t xml:space="preserve">      Level 4</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2" w14:textId="77777777" w:rsidR="00E05BE1" w:rsidRDefault="00F07326">
            <w:pPr>
              <w:jc w:val="both"/>
              <w:rPr>
                <w:rFonts w:ascii="Arial" w:eastAsia="Arial" w:hAnsi="Arial" w:cs="Arial"/>
                <w:highlight w:val="white"/>
              </w:rPr>
            </w:pPr>
            <w:r>
              <w:rPr>
                <w:rFonts w:ascii="Arial" w:eastAsia="Arial" w:hAnsi="Arial" w:cs="Arial"/>
                <w:highlight w:val="white"/>
              </w:rPr>
              <w:t>6.63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3" w14:textId="77777777" w:rsidR="00E05BE1" w:rsidRDefault="00F07326">
            <w:pPr>
              <w:jc w:val="center"/>
              <w:rPr>
                <w:rFonts w:ascii="Arial" w:eastAsia="Arial" w:hAnsi="Arial" w:cs="Arial"/>
                <w:highlight w:val="white"/>
              </w:rPr>
            </w:pPr>
            <w:r>
              <w:rPr>
                <w:rFonts w:ascii="Arial" w:eastAsia="Arial" w:hAnsi="Arial" w:cs="Arial"/>
                <w:highlight w:val="white"/>
              </w:rPr>
              <w:t>1.236</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4"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5" w14:textId="77777777" w:rsidR="00E05BE1" w:rsidRDefault="00E05BE1">
            <w:pPr>
              <w:jc w:val="center"/>
              <w:rPr>
                <w:rFonts w:ascii="Arial" w:eastAsia="Arial" w:hAnsi="Arial" w:cs="Arial"/>
                <w:highlight w:val="white"/>
              </w:rPr>
            </w:pPr>
          </w:p>
        </w:tc>
      </w:tr>
      <w:tr w:rsidR="00E05BE1" w14:paraId="096F6420"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6" w14:textId="77777777" w:rsidR="00E05BE1" w:rsidRDefault="00F07326">
            <w:pPr>
              <w:jc w:val="both"/>
              <w:rPr>
                <w:rFonts w:ascii="Arial" w:eastAsia="Arial" w:hAnsi="Arial" w:cs="Arial"/>
                <w:highlight w:val="white"/>
              </w:rPr>
            </w:pPr>
            <w:r>
              <w:rPr>
                <w:rFonts w:ascii="Arial" w:eastAsia="Arial" w:hAnsi="Arial" w:cs="Arial"/>
                <w:highlight w:val="white"/>
              </w:rPr>
              <w:t>Chemotherapy Unit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7"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8"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9"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A" w14:textId="77777777" w:rsidR="00E05BE1" w:rsidRDefault="00E05BE1">
            <w:pPr>
              <w:jc w:val="center"/>
              <w:rPr>
                <w:rFonts w:ascii="Arial" w:eastAsia="Arial" w:hAnsi="Arial" w:cs="Arial"/>
                <w:highlight w:val="white"/>
              </w:rPr>
            </w:pPr>
          </w:p>
        </w:tc>
      </w:tr>
      <w:tr w:rsidR="00E05BE1" w14:paraId="1160E78F"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B" w14:textId="77777777" w:rsidR="00E05BE1" w:rsidRDefault="00F07326">
            <w:pPr>
              <w:jc w:val="both"/>
              <w:rPr>
                <w:rFonts w:ascii="Arial" w:eastAsia="Arial" w:hAnsi="Arial" w:cs="Arial"/>
                <w:highlight w:val="white"/>
              </w:rPr>
            </w:pPr>
            <w:r>
              <w:rPr>
                <w:rFonts w:ascii="Arial" w:eastAsia="Arial" w:hAnsi="Arial" w:cs="Arial"/>
                <w:highlight w:val="white"/>
              </w:rPr>
              <w:t xml:space="preserve">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C" w14:textId="77777777" w:rsidR="00E05BE1" w:rsidRDefault="00F07326">
            <w:pPr>
              <w:jc w:val="both"/>
              <w:rPr>
                <w:rFonts w:ascii="Arial" w:eastAsia="Arial" w:hAnsi="Arial" w:cs="Arial"/>
                <w:highlight w:val="white"/>
              </w:rPr>
            </w:pPr>
            <w:r>
              <w:rPr>
                <w:rFonts w:ascii="Arial" w:eastAsia="Arial" w:hAnsi="Arial" w:cs="Arial"/>
                <w:highlight w:val="white"/>
              </w:rPr>
              <w:t>6.85</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D" w14:textId="77777777" w:rsidR="00E05BE1" w:rsidRDefault="00F07326">
            <w:pPr>
              <w:jc w:val="center"/>
              <w:rPr>
                <w:rFonts w:ascii="Arial" w:eastAsia="Arial" w:hAnsi="Arial" w:cs="Arial"/>
                <w:highlight w:val="white"/>
              </w:rPr>
            </w:pPr>
            <w:r>
              <w:rPr>
                <w:rFonts w:ascii="Arial" w:eastAsia="Arial" w:hAnsi="Arial" w:cs="Arial"/>
                <w:highlight w:val="white"/>
              </w:rPr>
              <w:t>0.364</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E" w14:textId="77777777" w:rsidR="00E05BE1" w:rsidRDefault="00F07326">
            <w:pPr>
              <w:jc w:val="center"/>
              <w:rPr>
                <w:rFonts w:ascii="Arial" w:eastAsia="Arial" w:hAnsi="Arial" w:cs="Arial"/>
                <w:highlight w:val="white"/>
              </w:rPr>
            </w:pPr>
            <w:r>
              <w:rPr>
                <w:rFonts w:ascii="Arial" w:eastAsia="Arial" w:hAnsi="Arial" w:cs="Arial"/>
                <w:highlight w:val="white"/>
              </w:rPr>
              <w:t>U = 5762</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AF" w14:textId="77777777" w:rsidR="00E05BE1" w:rsidRDefault="00F07326">
            <w:pPr>
              <w:jc w:val="center"/>
              <w:rPr>
                <w:rFonts w:ascii="Arial" w:eastAsia="Arial" w:hAnsi="Arial" w:cs="Arial"/>
                <w:highlight w:val="white"/>
              </w:rPr>
            </w:pPr>
            <w:r>
              <w:rPr>
                <w:rFonts w:ascii="Arial" w:eastAsia="Arial" w:hAnsi="Arial" w:cs="Arial"/>
                <w:highlight w:val="white"/>
              </w:rPr>
              <w:t>p = 0.912</w:t>
            </w:r>
          </w:p>
        </w:tc>
      </w:tr>
      <w:tr w:rsidR="00E05BE1" w14:paraId="4DA01AD0"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0" w14:textId="77777777" w:rsidR="00E05BE1" w:rsidRDefault="00F07326">
            <w:pPr>
              <w:jc w:val="both"/>
              <w:rPr>
                <w:rFonts w:ascii="Arial" w:eastAsia="Arial" w:hAnsi="Arial" w:cs="Arial"/>
                <w:highlight w:val="white"/>
              </w:rPr>
            </w:pPr>
            <w:r>
              <w:rPr>
                <w:rFonts w:ascii="Arial" w:eastAsia="Arial" w:hAnsi="Arial" w:cs="Arial"/>
                <w:highlight w:val="white"/>
              </w:rPr>
              <w:t xml:space="preserve">       Not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1" w14:textId="77777777" w:rsidR="00E05BE1" w:rsidRDefault="00F07326">
            <w:pPr>
              <w:jc w:val="both"/>
              <w:rPr>
                <w:rFonts w:ascii="Arial" w:eastAsia="Arial" w:hAnsi="Arial" w:cs="Arial"/>
                <w:highlight w:val="white"/>
              </w:rPr>
            </w:pPr>
            <w:r>
              <w:rPr>
                <w:rFonts w:ascii="Arial" w:eastAsia="Arial" w:hAnsi="Arial" w:cs="Arial"/>
                <w:highlight w:val="white"/>
              </w:rPr>
              <w:t>6.64</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2" w14:textId="77777777" w:rsidR="00E05BE1" w:rsidRDefault="00F07326">
            <w:pPr>
              <w:jc w:val="center"/>
              <w:rPr>
                <w:rFonts w:ascii="Arial" w:eastAsia="Arial" w:hAnsi="Arial" w:cs="Arial"/>
                <w:highlight w:val="white"/>
              </w:rPr>
            </w:pPr>
            <w:r>
              <w:rPr>
                <w:rFonts w:ascii="Arial" w:eastAsia="Arial" w:hAnsi="Arial" w:cs="Arial"/>
                <w:highlight w:val="white"/>
              </w:rPr>
              <w:t>1.248</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3"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4" w14:textId="77777777" w:rsidR="00E05BE1" w:rsidRDefault="00E05BE1">
            <w:pPr>
              <w:jc w:val="center"/>
              <w:rPr>
                <w:rFonts w:ascii="Arial" w:eastAsia="Arial" w:hAnsi="Arial" w:cs="Arial"/>
                <w:highlight w:val="white"/>
              </w:rPr>
            </w:pPr>
          </w:p>
        </w:tc>
      </w:tr>
      <w:tr w:rsidR="00E05BE1" w14:paraId="12316A71"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5" w14:textId="77777777" w:rsidR="00E05BE1" w:rsidRDefault="00F07326">
            <w:pPr>
              <w:jc w:val="both"/>
              <w:rPr>
                <w:rFonts w:ascii="Arial" w:eastAsia="Arial" w:hAnsi="Arial" w:cs="Arial"/>
                <w:highlight w:val="white"/>
              </w:rPr>
            </w:pPr>
            <w:r>
              <w:rPr>
                <w:rFonts w:ascii="Arial" w:eastAsia="Arial" w:hAnsi="Arial" w:cs="Arial"/>
                <w:highlight w:val="white"/>
              </w:rPr>
              <w:t>Cancer Patient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6"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7"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8"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9" w14:textId="77777777" w:rsidR="00E05BE1" w:rsidRDefault="00E05BE1">
            <w:pPr>
              <w:jc w:val="center"/>
              <w:rPr>
                <w:rFonts w:ascii="Arial" w:eastAsia="Arial" w:hAnsi="Arial" w:cs="Arial"/>
                <w:highlight w:val="white"/>
              </w:rPr>
            </w:pPr>
          </w:p>
        </w:tc>
      </w:tr>
      <w:tr w:rsidR="00E05BE1" w14:paraId="0CCD3277" w14:textId="77777777">
        <w:trPr>
          <w:trHeight w:val="219"/>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A" w14:textId="77777777" w:rsidR="00E05BE1" w:rsidRDefault="00F07326">
            <w:pPr>
              <w:jc w:val="both"/>
              <w:rPr>
                <w:rFonts w:ascii="Arial" w:eastAsia="Arial" w:hAnsi="Arial" w:cs="Arial"/>
                <w:highlight w:val="white"/>
              </w:rPr>
            </w:pPr>
            <w:r>
              <w:rPr>
                <w:rFonts w:ascii="Arial" w:eastAsia="Arial" w:hAnsi="Arial" w:cs="Arial"/>
                <w:highlight w:val="white"/>
              </w:rPr>
              <w:t xml:space="preserve">       Handled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B" w14:textId="77777777" w:rsidR="00E05BE1" w:rsidRDefault="00F07326">
            <w:pPr>
              <w:jc w:val="both"/>
              <w:rPr>
                <w:rFonts w:ascii="Arial" w:eastAsia="Arial" w:hAnsi="Arial" w:cs="Arial"/>
                <w:highlight w:val="white"/>
              </w:rPr>
            </w:pPr>
            <w:r>
              <w:rPr>
                <w:rFonts w:ascii="Arial" w:eastAsia="Arial" w:hAnsi="Arial" w:cs="Arial"/>
                <w:highlight w:val="white"/>
              </w:rPr>
              <w:t>6.86</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C" w14:textId="77777777" w:rsidR="00E05BE1" w:rsidRDefault="00F07326">
            <w:pPr>
              <w:jc w:val="center"/>
              <w:rPr>
                <w:rFonts w:ascii="Arial" w:eastAsia="Arial" w:hAnsi="Arial" w:cs="Arial"/>
                <w:highlight w:val="white"/>
              </w:rPr>
            </w:pPr>
            <w:r>
              <w:rPr>
                <w:rFonts w:ascii="Arial" w:eastAsia="Arial" w:hAnsi="Arial" w:cs="Arial"/>
                <w:highlight w:val="white"/>
              </w:rPr>
              <w:t>0.352</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D" w14:textId="77777777" w:rsidR="00E05BE1" w:rsidRDefault="00F07326">
            <w:pPr>
              <w:jc w:val="center"/>
              <w:rPr>
                <w:rFonts w:ascii="Arial" w:eastAsia="Arial" w:hAnsi="Arial" w:cs="Arial"/>
                <w:highlight w:val="white"/>
              </w:rPr>
            </w:pPr>
            <w:r>
              <w:rPr>
                <w:rFonts w:ascii="Arial" w:eastAsia="Arial" w:hAnsi="Arial" w:cs="Arial"/>
                <w:highlight w:val="white"/>
              </w:rPr>
              <w:t>U = 8463</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BE" w14:textId="77777777" w:rsidR="00E05BE1" w:rsidRDefault="00F07326">
            <w:pPr>
              <w:jc w:val="center"/>
              <w:rPr>
                <w:rFonts w:ascii="Arial" w:eastAsia="Arial" w:hAnsi="Arial" w:cs="Arial"/>
                <w:highlight w:val="white"/>
              </w:rPr>
            </w:pPr>
            <w:r>
              <w:rPr>
                <w:rFonts w:ascii="Arial" w:eastAsia="Arial" w:hAnsi="Arial" w:cs="Arial"/>
                <w:highlight w:val="white"/>
              </w:rPr>
              <w:t>p = 0.595</w:t>
            </w:r>
          </w:p>
        </w:tc>
      </w:tr>
      <w:tr w:rsidR="00E05BE1" w14:paraId="3715C8A9" w14:textId="77777777">
        <w:trPr>
          <w:trHeight w:val="219"/>
        </w:trPr>
        <w:tc>
          <w:tcPr>
            <w:tcW w:w="381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BF" w14:textId="77777777" w:rsidR="00E05BE1" w:rsidRDefault="00F07326">
            <w:pPr>
              <w:jc w:val="both"/>
              <w:rPr>
                <w:rFonts w:ascii="Arial" w:eastAsia="Arial" w:hAnsi="Arial" w:cs="Arial"/>
                <w:highlight w:val="white"/>
              </w:rPr>
            </w:pPr>
            <w:r>
              <w:rPr>
                <w:rFonts w:ascii="Arial" w:eastAsia="Arial" w:hAnsi="Arial" w:cs="Arial"/>
                <w:highlight w:val="white"/>
              </w:rPr>
              <w:t xml:space="preserve">       Not Handled</w:t>
            </w:r>
          </w:p>
        </w:tc>
        <w:tc>
          <w:tcPr>
            <w:tcW w:w="83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C0" w14:textId="77777777" w:rsidR="00E05BE1" w:rsidRDefault="00F07326">
            <w:pPr>
              <w:jc w:val="both"/>
              <w:rPr>
                <w:rFonts w:ascii="Arial" w:eastAsia="Arial" w:hAnsi="Arial" w:cs="Arial"/>
                <w:highlight w:val="white"/>
              </w:rPr>
            </w:pPr>
            <w:r>
              <w:rPr>
                <w:rFonts w:ascii="Arial" w:eastAsia="Arial" w:hAnsi="Arial" w:cs="Arial"/>
                <w:highlight w:val="white"/>
              </w:rPr>
              <w:t>6.58</w:t>
            </w:r>
          </w:p>
        </w:tc>
        <w:tc>
          <w:tcPr>
            <w:tcW w:w="130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C1" w14:textId="77777777" w:rsidR="00E05BE1" w:rsidRDefault="00F07326">
            <w:pPr>
              <w:jc w:val="both"/>
              <w:rPr>
                <w:rFonts w:ascii="Arial" w:eastAsia="Arial" w:hAnsi="Arial" w:cs="Arial"/>
                <w:highlight w:val="white"/>
              </w:rPr>
            </w:pPr>
            <w:r>
              <w:rPr>
                <w:rFonts w:ascii="Arial" w:eastAsia="Arial" w:hAnsi="Arial" w:cs="Arial"/>
                <w:highlight w:val="white"/>
              </w:rPr>
              <w:t xml:space="preserve">     1.384</w:t>
            </w:r>
          </w:p>
        </w:tc>
        <w:tc>
          <w:tcPr>
            <w:tcW w:w="148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C2"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c>
          <w:tcPr>
            <w:tcW w:w="1170"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C3"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r>
      <w:tr w:rsidR="00E05BE1" w14:paraId="59BFD588" w14:textId="77777777">
        <w:trPr>
          <w:trHeight w:val="375"/>
        </w:trPr>
        <w:tc>
          <w:tcPr>
            <w:tcW w:w="8610" w:type="dxa"/>
            <w:gridSpan w:val="5"/>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4" w14:textId="77777777" w:rsidR="00E05BE1" w:rsidRDefault="00F07326">
            <w:pPr>
              <w:jc w:val="center"/>
              <w:rPr>
                <w:rFonts w:ascii="Arial" w:eastAsia="Arial" w:hAnsi="Arial" w:cs="Arial"/>
                <w:b/>
                <w:bCs/>
                <w:highlight w:val="white"/>
              </w:rPr>
            </w:pPr>
            <w:r>
              <w:rPr>
                <w:rFonts w:ascii="Arial" w:eastAsia="Arial" w:hAnsi="Arial" w:cs="Arial"/>
                <w:b/>
                <w:bCs/>
                <w:highlight w:val="white"/>
              </w:rPr>
              <w:t xml:space="preserve">              Perception</w:t>
            </w:r>
          </w:p>
          <w:p w14:paraId="000001C5" w14:textId="77777777" w:rsidR="00E05BE1" w:rsidRDefault="00F07326">
            <w:pPr>
              <w:jc w:val="center"/>
              <w:rPr>
                <w:rFonts w:ascii="Arial" w:eastAsia="Arial" w:hAnsi="Arial" w:cs="Arial"/>
                <w:highlight w:val="white"/>
              </w:rPr>
            </w:pPr>
            <w:r>
              <w:rPr>
                <w:rFonts w:ascii="Arial" w:eastAsia="Arial" w:hAnsi="Arial" w:cs="Arial"/>
                <w:highlight w:val="white"/>
              </w:rPr>
              <w:t xml:space="preserve"> </w:t>
            </w:r>
          </w:p>
        </w:tc>
      </w:tr>
      <w:tr w:rsidR="00E05BE1" w14:paraId="2F6FAFF4"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A" w14:textId="77777777" w:rsidR="00E05BE1" w:rsidRDefault="00F07326">
            <w:pPr>
              <w:jc w:val="both"/>
              <w:rPr>
                <w:rFonts w:ascii="Arial" w:eastAsia="Arial" w:hAnsi="Arial" w:cs="Arial"/>
                <w:highlight w:val="white"/>
              </w:rPr>
            </w:pPr>
            <w:r>
              <w:rPr>
                <w:rFonts w:ascii="Arial" w:eastAsia="Arial" w:hAnsi="Arial" w:cs="Arial"/>
                <w:highlight w:val="white"/>
              </w:rPr>
              <w:t>Year Level</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B"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C"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D"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E" w14:textId="77777777" w:rsidR="00E05BE1" w:rsidRDefault="00E05BE1">
            <w:pPr>
              <w:jc w:val="center"/>
              <w:rPr>
                <w:rFonts w:ascii="Arial" w:eastAsia="Arial" w:hAnsi="Arial" w:cs="Arial"/>
                <w:highlight w:val="white"/>
              </w:rPr>
            </w:pPr>
          </w:p>
        </w:tc>
      </w:tr>
      <w:tr w:rsidR="00E05BE1" w14:paraId="6ABDEC8B"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CF" w14:textId="77777777" w:rsidR="00E05BE1" w:rsidRDefault="00F07326">
            <w:pPr>
              <w:jc w:val="both"/>
              <w:rPr>
                <w:rFonts w:ascii="Arial" w:eastAsia="Arial" w:hAnsi="Arial" w:cs="Arial"/>
                <w:highlight w:val="white"/>
              </w:rPr>
            </w:pPr>
            <w:r>
              <w:rPr>
                <w:rFonts w:ascii="Arial" w:eastAsia="Arial" w:hAnsi="Arial" w:cs="Arial"/>
                <w:highlight w:val="white"/>
              </w:rPr>
              <w:t xml:space="preserve">      Level 3</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0" w14:textId="77777777" w:rsidR="00E05BE1" w:rsidRDefault="00F07326">
            <w:pPr>
              <w:jc w:val="both"/>
              <w:rPr>
                <w:rFonts w:ascii="Arial" w:eastAsia="Arial" w:hAnsi="Arial" w:cs="Arial"/>
                <w:highlight w:val="white"/>
              </w:rPr>
            </w:pPr>
            <w:r>
              <w:rPr>
                <w:rFonts w:ascii="Arial" w:eastAsia="Arial" w:hAnsi="Arial" w:cs="Arial"/>
                <w:highlight w:val="white"/>
              </w:rPr>
              <w:t>2.73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1" w14:textId="77777777" w:rsidR="00E05BE1" w:rsidRDefault="00F07326">
            <w:pPr>
              <w:jc w:val="center"/>
              <w:rPr>
                <w:rFonts w:ascii="Arial" w:eastAsia="Arial" w:hAnsi="Arial" w:cs="Arial"/>
                <w:highlight w:val="white"/>
              </w:rPr>
            </w:pPr>
            <w:r>
              <w:rPr>
                <w:rFonts w:ascii="Arial" w:eastAsia="Arial" w:hAnsi="Arial" w:cs="Arial"/>
                <w:highlight w:val="white"/>
              </w:rPr>
              <w:t>0.277</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2" w14:textId="77777777" w:rsidR="00E05BE1" w:rsidRDefault="00F07326">
            <w:pPr>
              <w:jc w:val="center"/>
              <w:rPr>
                <w:rFonts w:ascii="Arial" w:eastAsia="Arial" w:hAnsi="Arial" w:cs="Arial"/>
                <w:highlight w:val="white"/>
              </w:rPr>
            </w:pPr>
            <w:r>
              <w:rPr>
                <w:rFonts w:ascii="Arial" w:eastAsia="Arial" w:hAnsi="Arial" w:cs="Arial"/>
                <w:highlight w:val="white"/>
              </w:rPr>
              <w:t>U = 9243</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3" w14:textId="77777777" w:rsidR="00E05BE1" w:rsidRDefault="00F07326">
            <w:pPr>
              <w:jc w:val="center"/>
              <w:rPr>
                <w:rFonts w:ascii="Arial" w:eastAsia="Arial" w:hAnsi="Arial" w:cs="Arial"/>
                <w:highlight w:val="white"/>
              </w:rPr>
            </w:pPr>
            <w:r>
              <w:rPr>
                <w:rFonts w:ascii="Arial" w:eastAsia="Arial" w:hAnsi="Arial" w:cs="Arial"/>
                <w:highlight w:val="white"/>
              </w:rPr>
              <w:t>p = 0.814</w:t>
            </w:r>
          </w:p>
        </w:tc>
      </w:tr>
      <w:tr w:rsidR="00E05BE1" w14:paraId="13288696"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4" w14:textId="77777777" w:rsidR="00E05BE1" w:rsidRDefault="00F07326">
            <w:pPr>
              <w:jc w:val="both"/>
              <w:rPr>
                <w:rFonts w:ascii="Arial" w:eastAsia="Arial" w:hAnsi="Arial" w:cs="Arial"/>
                <w:highlight w:val="white"/>
              </w:rPr>
            </w:pPr>
            <w:r>
              <w:rPr>
                <w:rFonts w:ascii="Arial" w:eastAsia="Arial" w:hAnsi="Arial" w:cs="Arial"/>
                <w:highlight w:val="white"/>
              </w:rPr>
              <w:t xml:space="preserve">      Level 4</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5" w14:textId="77777777" w:rsidR="00E05BE1" w:rsidRDefault="00F07326">
            <w:pPr>
              <w:jc w:val="both"/>
              <w:rPr>
                <w:rFonts w:ascii="Arial" w:eastAsia="Arial" w:hAnsi="Arial" w:cs="Arial"/>
                <w:highlight w:val="white"/>
              </w:rPr>
            </w:pPr>
            <w:r>
              <w:rPr>
                <w:rFonts w:ascii="Arial" w:eastAsia="Arial" w:hAnsi="Arial" w:cs="Arial"/>
                <w:highlight w:val="white"/>
              </w:rPr>
              <w:t>2.74</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6" w14:textId="77777777" w:rsidR="00E05BE1" w:rsidRDefault="00F07326">
            <w:pPr>
              <w:jc w:val="center"/>
              <w:rPr>
                <w:rFonts w:ascii="Arial" w:eastAsia="Arial" w:hAnsi="Arial" w:cs="Arial"/>
                <w:highlight w:val="white"/>
              </w:rPr>
            </w:pPr>
            <w:r>
              <w:rPr>
                <w:rFonts w:ascii="Arial" w:eastAsia="Arial" w:hAnsi="Arial" w:cs="Arial"/>
                <w:highlight w:val="white"/>
              </w:rPr>
              <w:t>0.324</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7"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8"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r>
      <w:tr w:rsidR="00E05BE1" w14:paraId="14BFE629"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9" w14:textId="77777777" w:rsidR="00E05BE1" w:rsidRDefault="00F07326">
            <w:pPr>
              <w:jc w:val="both"/>
              <w:rPr>
                <w:rFonts w:ascii="Arial" w:eastAsia="Arial" w:hAnsi="Arial" w:cs="Arial"/>
                <w:highlight w:val="white"/>
              </w:rPr>
            </w:pPr>
            <w:r>
              <w:rPr>
                <w:rFonts w:ascii="Arial" w:eastAsia="Arial" w:hAnsi="Arial" w:cs="Arial"/>
                <w:highlight w:val="white"/>
              </w:rPr>
              <w:t>Chemotherapy Unit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A"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B"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C"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D" w14:textId="77777777" w:rsidR="00E05BE1" w:rsidRDefault="00E05BE1">
            <w:pPr>
              <w:jc w:val="center"/>
              <w:rPr>
                <w:rFonts w:ascii="Arial" w:eastAsia="Arial" w:hAnsi="Arial" w:cs="Arial"/>
                <w:highlight w:val="white"/>
              </w:rPr>
            </w:pPr>
          </w:p>
        </w:tc>
      </w:tr>
      <w:tr w:rsidR="00E05BE1" w14:paraId="20ED792E"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E" w14:textId="77777777" w:rsidR="00E05BE1" w:rsidRDefault="00F07326">
            <w:pPr>
              <w:jc w:val="both"/>
              <w:rPr>
                <w:rFonts w:ascii="Arial" w:eastAsia="Arial" w:hAnsi="Arial" w:cs="Arial"/>
                <w:highlight w:val="white"/>
              </w:rPr>
            </w:pPr>
            <w:r>
              <w:rPr>
                <w:rFonts w:ascii="Arial" w:eastAsia="Arial" w:hAnsi="Arial" w:cs="Arial"/>
                <w:highlight w:val="white"/>
              </w:rPr>
              <w:t xml:space="preserve">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DF" w14:textId="77777777" w:rsidR="00E05BE1" w:rsidRDefault="00F07326">
            <w:pPr>
              <w:jc w:val="both"/>
              <w:rPr>
                <w:rFonts w:ascii="Arial" w:eastAsia="Arial" w:hAnsi="Arial" w:cs="Arial"/>
                <w:highlight w:val="white"/>
              </w:rPr>
            </w:pPr>
            <w:r>
              <w:rPr>
                <w:rFonts w:ascii="Arial" w:eastAsia="Arial" w:hAnsi="Arial" w:cs="Arial"/>
                <w:highlight w:val="white"/>
              </w:rPr>
              <w:t>2.77</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0" w14:textId="77777777" w:rsidR="00E05BE1" w:rsidRDefault="00F07326">
            <w:pPr>
              <w:jc w:val="center"/>
              <w:rPr>
                <w:rFonts w:ascii="Arial" w:eastAsia="Arial" w:hAnsi="Arial" w:cs="Arial"/>
                <w:highlight w:val="white"/>
              </w:rPr>
            </w:pPr>
            <w:r>
              <w:rPr>
                <w:rFonts w:ascii="Arial" w:eastAsia="Arial" w:hAnsi="Arial" w:cs="Arial"/>
                <w:highlight w:val="white"/>
              </w:rPr>
              <w:t>0.320</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1" w14:textId="77777777" w:rsidR="00E05BE1" w:rsidRDefault="00F07326">
            <w:pPr>
              <w:jc w:val="center"/>
              <w:rPr>
                <w:rFonts w:ascii="Arial" w:eastAsia="Arial" w:hAnsi="Arial" w:cs="Arial"/>
                <w:highlight w:val="white"/>
              </w:rPr>
            </w:pPr>
            <w:r>
              <w:rPr>
                <w:rFonts w:ascii="Arial" w:eastAsia="Arial" w:hAnsi="Arial" w:cs="Arial"/>
                <w:highlight w:val="white"/>
              </w:rPr>
              <w:t>U = 5391</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2" w14:textId="77777777" w:rsidR="00E05BE1" w:rsidRDefault="00F07326">
            <w:pPr>
              <w:jc w:val="center"/>
              <w:rPr>
                <w:rFonts w:ascii="Arial" w:eastAsia="Arial" w:hAnsi="Arial" w:cs="Arial"/>
                <w:highlight w:val="white"/>
              </w:rPr>
            </w:pPr>
            <w:r>
              <w:rPr>
                <w:rFonts w:ascii="Arial" w:eastAsia="Arial" w:hAnsi="Arial" w:cs="Arial"/>
                <w:highlight w:val="white"/>
              </w:rPr>
              <w:t>p = 0.430</w:t>
            </w:r>
          </w:p>
        </w:tc>
      </w:tr>
      <w:tr w:rsidR="00E05BE1" w14:paraId="514E9BB9"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3" w14:textId="77777777" w:rsidR="00E05BE1" w:rsidRDefault="00F07326">
            <w:pPr>
              <w:jc w:val="both"/>
              <w:rPr>
                <w:rFonts w:ascii="Arial" w:eastAsia="Arial" w:hAnsi="Arial" w:cs="Arial"/>
                <w:highlight w:val="white"/>
              </w:rPr>
            </w:pPr>
            <w:r>
              <w:rPr>
                <w:rFonts w:ascii="Arial" w:eastAsia="Arial" w:hAnsi="Arial" w:cs="Arial"/>
                <w:highlight w:val="white"/>
              </w:rPr>
              <w:t xml:space="preserve">       Not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4" w14:textId="77777777" w:rsidR="00E05BE1" w:rsidRDefault="00F07326">
            <w:pPr>
              <w:jc w:val="both"/>
              <w:rPr>
                <w:rFonts w:ascii="Arial" w:eastAsia="Arial" w:hAnsi="Arial" w:cs="Arial"/>
                <w:highlight w:val="white"/>
              </w:rPr>
            </w:pPr>
            <w:r>
              <w:rPr>
                <w:rFonts w:ascii="Arial" w:eastAsia="Arial" w:hAnsi="Arial" w:cs="Arial"/>
                <w:highlight w:val="white"/>
              </w:rPr>
              <w:t>2.73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5" w14:textId="77777777" w:rsidR="00E05BE1" w:rsidRDefault="00F07326">
            <w:pPr>
              <w:jc w:val="center"/>
              <w:rPr>
                <w:rFonts w:ascii="Arial" w:eastAsia="Arial" w:hAnsi="Arial" w:cs="Arial"/>
                <w:highlight w:val="white"/>
              </w:rPr>
            </w:pPr>
            <w:r>
              <w:rPr>
                <w:rFonts w:ascii="Arial" w:eastAsia="Arial" w:hAnsi="Arial" w:cs="Arial"/>
                <w:highlight w:val="white"/>
              </w:rPr>
              <w:t>0.299</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6"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7"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r>
      <w:tr w:rsidR="00E05BE1" w14:paraId="4FB8E305"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8" w14:textId="77777777" w:rsidR="00E05BE1" w:rsidRDefault="00F07326">
            <w:pPr>
              <w:jc w:val="both"/>
              <w:rPr>
                <w:rFonts w:ascii="Arial" w:eastAsia="Arial" w:hAnsi="Arial" w:cs="Arial"/>
                <w:highlight w:val="white"/>
              </w:rPr>
            </w:pPr>
            <w:r>
              <w:rPr>
                <w:rFonts w:ascii="Arial" w:eastAsia="Arial" w:hAnsi="Arial" w:cs="Arial"/>
                <w:highlight w:val="white"/>
              </w:rPr>
              <w:t>Cancer Patient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9"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A"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B" w14:textId="77777777" w:rsidR="00E05BE1" w:rsidRDefault="00F07326">
            <w:pPr>
              <w:jc w:val="center"/>
              <w:rPr>
                <w:rFonts w:ascii="Arial" w:eastAsia="Arial" w:hAnsi="Arial" w:cs="Arial"/>
                <w:highlight w:val="white"/>
              </w:rPr>
            </w:pPr>
            <w:r>
              <w:rPr>
                <w:rFonts w:ascii="Arial" w:eastAsia="Arial" w:hAnsi="Arial" w:cs="Arial"/>
                <w:highlight w:val="white"/>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C" w14:textId="77777777" w:rsidR="00E05BE1" w:rsidRDefault="00F07326">
            <w:pPr>
              <w:jc w:val="center"/>
              <w:rPr>
                <w:rFonts w:ascii="Arial" w:eastAsia="Arial" w:hAnsi="Arial" w:cs="Arial"/>
                <w:highlight w:val="white"/>
              </w:rPr>
            </w:pPr>
            <w:r>
              <w:rPr>
                <w:rFonts w:ascii="Arial" w:eastAsia="Arial" w:hAnsi="Arial" w:cs="Arial"/>
                <w:highlight w:val="white"/>
              </w:rPr>
              <w:t xml:space="preserve"> </w:t>
            </w:r>
          </w:p>
        </w:tc>
      </w:tr>
      <w:tr w:rsidR="00E05BE1" w14:paraId="02EA165B"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D" w14:textId="77777777" w:rsidR="00E05BE1" w:rsidRDefault="00F07326">
            <w:pPr>
              <w:jc w:val="both"/>
              <w:rPr>
                <w:rFonts w:ascii="Arial" w:eastAsia="Arial" w:hAnsi="Arial" w:cs="Arial"/>
                <w:highlight w:val="white"/>
              </w:rPr>
            </w:pPr>
            <w:r>
              <w:rPr>
                <w:rFonts w:ascii="Arial" w:eastAsia="Arial" w:hAnsi="Arial" w:cs="Arial"/>
                <w:highlight w:val="white"/>
              </w:rPr>
              <w:t xml:space="preserve">       Handled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E" w14:textId="77777777" w:rsidR="00E05BE1" w:rsidRDefault="00F07326">
            <w:pPr>
              <w:jc w:val="both"/>
              <w:rPr>
                <w:rFonts w:ascii="Arial" w:eastAsia="Arial" w:hAnsi="Arial" w:cs="Arial"/>
                <w:highlight w:val="white"/>
              </w:rPr>
            </w:pPr>
            <w:r>
              <w:rPr>
                <w:rFonts w:ascii="Arial" w:eastAsia="Arial" w:hAnsi="Arial" w:cs="Arial"/>
                <w:highlight w:val="white"/>
              </w:rPr>
              <w:t>2.76</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EF" w14:textId="77777777" w:rsidR="00E05BE1" w:rsidRDefault="00F07326">
            <w:pPr>
              <w:jc w:val="center"/>
              <w:rPr>
                <w:rFonts w:ascii="Arial" w:eastAsia="Arial" w:hAnsi="Arial" w:cs="Arial"/>
                <w:highlight w:val="white"/>
              </w:rPr>
            </w:pPr>
            <w:r>
              <w:rPr>
                <w:rFonts w:ascii="Arial" w:eastAsia="Arial" w:hAnsi="Arial" w:cs="Arial"/>
                <w:highlight w:val="white"/>
              </w:rPr>
              <w:t>0.318</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0" w14:textId="77777777" w:rsidR="00E05BE1" w:rsidRDefault="00F07326">
            <w:pPr>
              <w:jc w:val="center"/>
              <w:rPr>
                <w:rFonts w:ascii="Arial" w:eastAsia="Arial" w:hAnsi="Arial" w:cs="Arial"/>
                <w:highlight w:val="white"/>
              </w:rPr>
            </w:pPr>
            <w:r>
              <w:rPr>
                <w:rFonts w:ascii="Arial" w:eastAsia="Arial" w:hAnsi="Arial" w:cs="Arial"/>
                <w:highlight w:val="white"/>
              </w:rPr>
              <w:t>U = 8153</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1" w14:textId="77777777" w:rsidR="00E05BE1" w:rsidRDefault="00F07326">
            <w:pPr>
              <w:jc w:val="center"/>
              <w:rPr>
                <w:rFonts w:ascii="Arial" w:eastAsia="Arial" w:hAnsi="Arial" w:cs="Arial"/>
                <w:highlight w:val="white"/>
              </w:rPr>
            </w:pPr>
            <w:r>
              <w:rPr>
                <w:rFonts w:ascii="Arial" w:eastAsia="Arial" w:hAnsi="Arial" w:cs="Arial"/>
                <w:highlight w:val="white"/>
              </w:rPr>
              <w:t>p = 0.410</w:t>
            </w:r>
          </w:p>
        </w:tc>
      </w:tr>
      <w:tr w:rsidR="00E05BE1" w14:paraId="696844DF" w14:textId="77777777">
        <w:trPr>
          <w:trHeight w:val="290"/>
        </w:trPr>
        <w:tc>
          <w:tcPr>
            <w:tcW w:w="381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F2" w14:textId="77777777" w:rsidR="00E05BE1" w:rsidRDefault="00F07326">
            <w:pPr>
              <w:jc w:val="both"/>
              <w:rPr>
                <w:rFonts w:ascii="Arial" w:eastAsia="Arial" w:hAnsi="Arial" w:cs="Arial"/>
                <w:highlight w:val="white"/>
              </w:rPr>
            </w:pPr>
            <w:r>
              <w:rPr>
                <w:rFonts w:ascii="Arial" w:eastAsia="Arial" w:hAnsi="Arial" w:cs="Arial"/>
                <w:highlight w:val="white"/>
              </w:rPr>
              <w:t xml:space="preserve">       Not Handled</w:t>
            </w:r>
          </w:p>
        </w:tc>
        <w:tc>
          <w:tcPr>
            <w:tcW w:w="83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F3" w14:textId="77777777" w:rsidR="00E05BE1" w:rsidRDefault="00F07326">
            <w:pPr>
              <w:jc w:val="both"/>
              <w:rPr>
                <w:rFonts w:ascii="Arial" w:eastAsia="Arial" w:hAnsi="Arial" w:cs="Arial"/>
                <w:highlight w:val="white"/>
              </w:rPr>
            </w:pPr>
            <w:r>
              <w:rPr>
                <w:rFonts w:ascii="Arial" w:eastAsia="Arial" w:hAnsi="Arial" w:cs="Arial"/>
                <w:highlight w:val="white"/>
              </w:rPr>
              <w:t>2.72</w:t>
            </w:r>
          </w:p>
        </w:tc>
        <w:tc>
          <w:tcPr>
            <w:tcW w:w="130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F4" w14:textId="77777777" w:rsidR="00E05BE1" w:rsidRDefault="00F07326">
            <w:pPr>
              <w:jc w:val="center"/>
              <w:rPr>
                <w:rFonts w:ascii="Arial" w:eastAsia="Arial" w:hAnsi="Arial" w:cs="Arial"/>
                <w:highlight w:val="white"/>
              </w:rPr>
            </w:pPr>
            <w:r>
              <w:rPr>
                <w:rFonts w:ascii="Arial" w:eastAsia="Arial" w:hAnsi="Arial" w:cs="Arial"/>
                <w:highlight w:val="white"/>
              </w:rPr>
              <w:t>0.294</w:t>
            </w:r>
          </w:p>
        </w:tc>
        <w:tc>
          <w:tcPr>
            <w:tcW w:w="148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F5"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1F6" w14:textId="77777777" w:rsidR="00E05BE1" w:rsidRDefault="00E05BE1">
            <w:pPr>
              <w:jc w:val="center"/>
              <w:rPr>
                <w:rFonts w:ascii="Arial" w:eastAsia="Arial" w:hAnsi="Arial" w:cs="Arial"/>
                <w:highlight w:val="white"/>
              </w:rPr>
            </w:pPr>
          </w:p>
        </w:tc>
      </w:tr>
      <w:tr w:rsidR="00E05BE1" w14:paraId="60271879" w14:textId="77777777">
        <w:trPr>
          <w:trHeight w:val="290"/>
        </w:trPr>
        <w:tc>
          <w:tcPr>
            <w:tcW w:w="8610" w:type="dxa"/>
            <w:gridSpan w:val="5"/>
            <w:tcBorders>
              <w:top w:val="single" w:sz="6" w:space="0" w:color="000000"/>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7" w14:textId="77777777" w:rsidR="00E05BE1" w:rsidRDefault="00F07326">
            <w:pPr>
              <w:jc w:val="center"/>
              <w:rPr>
                <w:rFonts w:ascii="Arial" w:eastAsia="Arial" w:hAnsi="Arial" w:cs="Arial"/>
                <w:b/>
                <w:bCs/>
                <w:highlight w:val="white"/>
              </w:rPr>
            </w:pPr>
            <w:r>
              <w:rPr>
                <w:rFonts w:ascii="Arial" w:eastAsia="Arial" w:hAnsi="Arial" w:cs="Arial"/>
                <w:b/>
                <w:bCs/>
                <w:highlight w:val="white"/>
              </w:rPr>
              <w:t xml:space="preserve">            Attitude </w:t>
            </w:r>
          </w:p>
        </w:tc>
      </w:tr>
      <w:tr w:rsidR="00E05BE1" w14:paraId="56E2B54B"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C" w14:textId="77777777" w:rsidR="00E05BE1" w:rsidRDefault="00F07326">
            <w:pPr>
              <w:jc w:val="both"/>
              <w:rPr>
                <w:rFonts w:ascii="Arial" w:eastAsia="Arial" w:hAnsi="Arial" w:cs="Arial"/>
                <w:highlight w:val="white"/>
              </w:rPr>
            </w:pPr>
            <w:r>
              <w:rPr>
                <w:rFonts w:ascii="Arial" w:eastAsia="Arial" w:hAnsi="Arial" w:cs="Arial"/>
                <w:highlight w:val="white"/>
              </w:rPr>
              <w:t>Year Level</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D"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E" w14:textId="77777777" w:rsidR="00E05BE1" w:rsidRDefault="00E05BE1">
            <w:pPr>
              <w:jc w:val="center"/>
              <w:rPr>
                <w:rFonts w:ascii="Arial" w:eastAsia="Arial" w:hAnsi="Arial" w:cs="Arial"/>
                <w:highlight w:val="white"/>
              </w:rPr>
            </w:pPr>
          </w:p>
        </w:tc>
        <w:tc>
          <w:tcPr>
            <w:tcW w:w="1482" w:type="dxa"/>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1FF" w14:textId="77777777" w:rsidR="00E05BE1" w:rsidRDefault="00F07326">
            <w:pPr>
              <w:jc w:val="center"/>
              <w:rPr>
                <w:rFonts w:ascii="Arial" w:eastAsia="Arial" w:hAnsi="Arial" w:cs="Arial"/>
                <w:highlight w:val="white"/>
              </w:rPr>
            </w:pPr>
            <w:r>
              <w:rPr>
                <w:rFonts w:ascii="Arial" w:eastAsia="Arial" w:hAnsi="Arial" w:cs="Arial"/>
                <w:highlight w:val="white"/>
              </w:rPr>
              <w:t xml:space="preserve"> </w:t>
            </w:r>
          </w:p>
        </w:tc>
        <w:tc>
          <w:tcPr>
            <w:tcW w:w="1170" w:type="dxa"/>
            <w:tcBorders>
              <w:top w:val="nil"/>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0" w14:textId="77777777" w:rsidR="00E05BE1" w:rsidRDefault="00F07326">
            <w:pPr>
              <w:jc w:val="center"/>
              <w:rPr>
                <w:rFonts w:ascii="Arial" w:eastAsia="Arial" w:hAnsi="Arial" w:cs="Arial"/>
                <w:highlight w:val="white"/>
              </w:rPr>
            </w:pPr>
            <w:r>
              <w:rPr>
                <w:rFonts w:ascii="Arial" w:eastAsia="Arial" w:hAnsi="Arial" w:cs="Arial"/>
                <w:highlight w:val="white"/>
              </w:rPr>
              <w:t xml:space="preserve"> </w:t>
            </w:r>
          </w:p>
        </w:tc>
      </w:tr>
      <w:tr w:rsidR="00E05BE1" w14:paraId="5251E832" w14:textId="77777777">
        <w:trPr>
          <w:trHeight w:val="290"/>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1" w14:textId="77777777" w:rsidR="00E05BE1" w:rsidRDefault="00F07326">
            <w:pPr>
              <w:jc w:val="both"/>
              <w:rPr>
                <w:rFonts w:ascii="Arial" w:eastAsia="Arial" w:hAnsi="Arial" w:cs="Arial"/>
                <w:highlight w:val="white"/>
              </w:rPr>
            </w:pPr>
            <w:r>
              <w:rPr>
                <w:rFonts w:ascii="Arial" w:eastAsia="Arial" w:hAnsi="Arial" w:cs="Arial"/>
                <w:highlight w:val="white"/>
              </w:rPr>
              <w:t xml:space="preserve">      Level 3</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2" w14:textId="77777777" w:rsidR="00E05BE1" w:rsidRDefault="00F07326">
            <w:pPr>
              <w:jc w:val="both"/>
              <w:rPr>
                <w:rFonts w:ascii="Arial" w:eastAsia="Arial" w:hAnsi="Arial" w:cs="Arial"/>
                <w:highlight w:val="white"/>
              </w:rPr>
            </w:pPr>
            <w:r>
              <w:rPr>
                <w:rFonts w:ascii="Arial" w:eastAsia="Arial" w:hAnsi="Arial" w:cs="Arial"/>
                <w:highlight w:val="white"/>
              </w:rPr>
              <w:t>2.27</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3" w14:textId="77777777" w:rsidR="00E05BE1" w:rsidRDefault="00F07326">
            <w:pPr>
              <w:jc w:val="center"/>
              <w:rPr>
                <w:rFonts w:ascii="Arial" w:eastAsia="Arial" w:hAnsi="Arial" w:cs="Arial"/>
                <w:highlight w:val="white"/>
              </w:rPr>
            </w:pPr>
            <w:r>
              <w:rPr>
                <w:rFonts w:ascii="Arial" w:eastAsia="Arial" w:hAnsi="Arial" w:cs="Arial"/>
                <w:highlight w:val="white"/>
              </w:rPr>
              <w:t>0.438</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4" w14:textId="77777777" w:rsidR="00E05BE1" w:rsidRDefault="00F07326">
            <w:pPr>
              <w:jc w:val="center"/>
              <w:rPr>
                <w:rFonts w:ascii="Arial" w:eastAsia="Arial" w:hAnsi="Arial" w:cs="Arial"/>
                <w:highlight w:val="white"/>
              </w:rPr>
            </w:pPr>
            <w:r>
              <w:rPr>
                <w:rFonts w:ascii="Arial" w:eastAsia="Arial" w:hAnsi="Arial" w:cs="Arial"/>
                <w:highlight w:val="white"/>
              </w:rPr>
              <w:t>U = 9096</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5" w14:textId="77777777" w:rsidR="00E05BE1" w:rsidRDefault="00F07326">
            <w:pPr>
              <w:jc w:val="center"/>
              <w:rPr>
                <w:rFonts w:ascii="Arial" w:eastAsia="Arial" w:hAnsi="Arial" w:cs="Arial"/>
                <w:highlight w:val="white"/>
              </w:rPr>
            </w:pPr>
            <w:r>
              <w:rPr>
                <w:rFonts w:ascii="Arial" w:eastAsia="Arial" w:hAnsi="Arial" w:cs="Arial"/>
                <w:highlight w:val="white"/>
              </w:rPr>
              <w:t>p = 0.645</w:t>
            </w:r>
          </w:p>
        </w:tc>
      </w:tr>
      <w:tr w:rsidR="00E05BE1" w14:paraId="2B4599DC"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6" w14:textId="77777777" w:rsidR="00E05BE1" w:rsidRDefault="00F07326">
            <w:pPr>
              <w:jc w:val="both"/>
              <w:rPr>
                <w:rFonts w:ascii="Arial" w:eastAsia="Arial" w:hAnsi="Arial" w:cs="Arial"/>
                <w:highlight w:val="white"/>
              </w:rPr>
            </w:pPr>
            <w:r>
              <w:rPr>
                <w:rFonts w:ascii="Arial" w:eastAsia="Arial" w:hAnsi="Arial" w:cs="Arial"/>
                <w:highlight w:val="white"/>
              </w:rPr>
              <w:t xml:space="preserve">      Level 4</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7" w14:textId="77777777" w:rsidR="00E05BE1" w:rsidRDefault="00F07326">
            <w:pPr>
              <w:jc w:val="both"/>
              <w:rPr>
                <w:rFonts w:ascii="Arial" w:eastAsia="Arial" w:hAnsi="Arial" w:cs="Arial"/>
                <w:highlight w:val="white"/>
              </w:rPr>
            </w:pPr>
            <w:r>
              <w:rPr>
                <w:rFonts w:ascii="Arial" w:eastAsia="Arial" w:hAnsi="Arial" w:cs="Arial"/>
                <w:highlight w:val="white"/>
              </w:rPr>
              <w:t>2.31</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8" w14:textId="77777777" w:rsidR="00E05BE1" w:rsidRDefault="00F07326">
            <w:pPr>
              <w:jc w:val="center"/>
              <w:rPr>
                <w:rFonts w:ascii="Arial" w:eastAsia="Arial" w:hAnsi="Arial" w:cs="Arial"/>
                <w:highlight w:val="white"/>
              </w:rPr>
            </w:pPr>
            <w:r>
              <w:rPr>
                <w:rFonts w:ascii="Arial" w:eastAsia="Arial" w:hAnsi="Arial" w:cs="Arial"/>
                <w:highlight w:val="white"/>
              </w:rPr>
              <w:t>0.509</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9"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A" w14:textId="77777777" w:rsidR="00E05BE1" w:rsidRDefault="00E05BE1">
            <w:pPr>
              <w:jc w:val="center"/>
              <w:rPr>
                <w:rFonts w:ascii="Arial" w:eastAsia="Arial" w:hAnsi="Arial" w:cs="Arial"/>
                <w:highlight w:val="white"/>
              </w:rPr>
            </w:pPr>
          </w:p>
        </w:tc>
      </w:tr>
      <w:tr w:rsidR="00E05BE1" w14:paraId="282C62A4"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B" w14:textId="77777777" w:rsidR="00E05BE1" w:rsidRDefault="00F07326">
            <w:pPr>
              <w:jc w:val="both"/>
              <w:rPr>
                <w:rFonts w:ascii="Arial" w:eastAsia="Arial" w:hAnsi="Arial" w:cs="Arial"/>
                <w:highlight w:val="white"/>
              </w:rPr>
            </w:pPr>
            <w:r>
              <w:rPr>
                <w:rFonts w:ascii="Arial" w:eastAsia="Arial" w:hAnsi="Arial" w:cs="Arial"/>
                <w:highlight w:val="white"/>
              </w:rPr>
              <w:t>Chemotherapy Unit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C"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D"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E"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0F"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r>
      <w:tr w:rsidR="00E05BE1" w14:paraId="49D0FFA0"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0" w14:textId="77777777" w:rsidR="00E05BE1" w:rsidRDefault="00F07326">
            <w:pPr>
              <w:jc w:val="both"/>
              <w:rPr>
                <w:rFonts w:ascii="Arial" w:eastAsia="Arial" w:hAnsi="Arial" w:cs="Arial"/>
                <w:highlight w:val="white"/>
              </w:rPr>
            </w:pPr>
            <w:r>
              <w:rPr>
                <w:rFonts w:ascii="Arial" w:eastAsia="Arial" w:hAnsi="Arial" w:cs="Arial"/>
                <w:highlight w:val="white"/>
              </w:rPr>
              <w:t xml:space="preserve">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1" w14:textId="77777777" w:rsidR="00E05BE1" w:rsidRDefault="00F07326">
            <w:pPr>
              <w:jc w:val="both"/>
              <w:rPr>
                <w:rFonts w:ascii="Arial" w:eastAsia="Arial" w:hAnsi="Arial" w:cs="Arial"/>
                <w:highlight w:val="white"/>
              </w:rPr>
            </w:pPr>
            <w:r>
              <w:rPr>
                <w:rFonts w:ascii="Arial" w:eastAsia="Arial" w:hAnsi="Arial" w:cs="Arial"/>
                <w:highlight w:val="white"/>
              </w:rPr>
              <w:t>2.77</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2" w14:textId="77777777" w:rsidR="00E05BE1" w:rsidRDefault="00F07326">
            <w:pPr>
              <w:jc w:val="center"/>
              <w:rPr>
                <w:rFonts w:ascii="Arial" w:eastAsia="Arial" w:hAnsi="Arial" w:cs="Arial"/>
                <w:highlight w:val="white"/>
              </w:rPr>
            </w:pPr>
            <w:r>
              <w:rPr>
                <w:rFonts w:ascii="Arial" w:eastAsia="Arial" w:hAnsi="Arial" w:cs="Arial"/>
                <w:highlight w:val="white"/>
              </w:rPr>
              <w:t>0.320</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3" w14:textId="77777777" w:rsidR="00E05BE1" w:rsidRDefault="00F07326">
            <w:pPr>
              <w:jc w:val="center"/>
              <w:rPr>
                <w:rFonts w:ascii="Arial" w:eastAsia="Arial" w:hAnsi="Arial" w:cs="Arial"/>
                <w:highlight w:val="white"/>
              </w:rPr>
            </w:pPr>
            <w:r>
              <w:rPr>
                <w:rFonts w:ascii="Arial" w:eastAsia="Arial" w:hAnsi="Arial" w:cs="Arial"/>
                <w:highlight w:val="white"/>
              </w:rPr>
              <w:t>U = 5394</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4" w14:textId="77777777" w:rsidR="00E05BE1" w:rsidRDefault="00F07326">
            <w:pPr>
              <w:jc w:val="center"/>
              <w:rPr>
                <w:rFonts w:ascii="Arial" w:eastAsia="Arial" w:hAnsi="Arial" w:cs="Arial"/>
                <w:highlight w:val="white"/>
              </w:rPr>
            </w:pPr>
            <w:r>
              <w:rPr>
                <w:rFonts w:ascii="Arial" w:eastAsia="Arial" w:hAnsi="Arial" w:cs="Arial"/>
                <w:highlight w:val="white"/>
              </w:rPr>
              <w:t>p = 0.433</w:t>
            </w:r>
          </w:p>
        </w:tc>
      </w:tr>
      <w:tr w:rsidR="00E05BE1" w14:paraId="71EB72FD"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5" w14:textId="77777777" w:rsidR="00E05BE1" w:rsidRDefault="00F07326">
            <w:pPr>
              <w:jc w:val="both"/>
              <w:rPr>
                <w:rFonts w:ascii="Arial" w:eastAsia="Arial" w:hAnsi="Arial" w:cs="Arial"/>
                <w:highlight w:val="white"/>
              </w:rPr>
            </w:pPr>
            <w:r>
              <w:rPr>
                <w:rFonts w:ascii="Arial" w:eastAsia="Arial" w:hAnsi="Arial" w:cs="Arial"/>
                <w:highlight w:val="white"/>
              </w:rPr>
              <w:t xml:space="preserve">       Not Exposed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6" w14:textId="77777777" w:rsidR="00E05BE1" w:rsidRDefault="00F07326">
            <w:pPr>
              <w:jc w:val="both"/>
              <w:rPr>
                <w:rFonts w:ascii="Arial" w:eastAsia="Arial" w:hAnsi="Arial" w:cs="Arial"/>
                <w:highlight w:val="white"/>
              </w:rPr>
            </w:pPr>
            <w:r>
              <w:rPr>
                <w:rFonts w:ascii="Arial" w:eastAsia="Arial" w:hAnsi="Arial" w:cs="Arial"/>
                <w:highlight w:val="white"/>
              </w:rPr>
              <w:t>2.73</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7" w14:textId="77777777" w:rsidR="00E05BE1" w:rsidRDefault="00F07326">
            <w:pPr>
              <w:jc w:val="center"/>
              <w:rPr>
                <w:rFonts w:ascii="Arial" w:eastAsia="Arial" w:hAnsi="Arial" w:cs="Arial"/>
                <w:highlight w:val="white"/>
              </w:rPr>
            </w:pPr>
            <w:r>
              <w:rPr>
                <w:rFonts w:ascii="Arial" w:eastAsia="Arial" w:hAnsi="Arial" w:cs="Arial"/>
                <w:highlight w:val="white"/>
              </w:rPr>
              <w:t>0.299</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8"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9" w14:textId="77777777" w:rsidR="00E05BE1" w:rsidRDefault="00E05BE1">
            <w:pPr>
              <w:jc w:val="center"/>
              <w:rPr>
                <w:rFonts w:ascii="Arial" w:eastAsia="Arial" w:hAnsi="Arial" w:cs="Arial"/>
                <w:highlight w:val="white"/>
              </w:rPr>
            </w:pPr>
          </w:p>
        </w:tc>
      </w:tr>
      <w:tr w:rsidR="00E05BE1" w14:paraId="70A75A41"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A" w14:textId="77777777" w:rsidR="00E05BE1" w:rsidRDefault="00F07326">
            <w:pPr>
              <w:jc w:val="both"/>
              <w:rPr>
                <w:rFonts w:ascii="Arial" w:eastAsia="Arial" w:hAnsi="Arial" w:cs="Arial"/>
                <w:highlight w:val="white"/>
              </w:rPr>
            </w:pPr>
            <w:r>
              <w:rPr>
                <w:rFonts w:ascii="Arial" w:eastAsia="Arial" w:hAnsi="Arial" w:cs="Arial"/>
                <w:highlight w:val="white"/>
              </w:rPr>
              <w:lastRenderedPageBreak/>
              <w:t>Cancer Patient Exposure</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B" w14:textId="77777777" w:rsidR="00E05BE1" w:rsidRDefault="00E05BE1">
            <w:pPr>
              <w:jc w:val="both"/>
              <w:rPr>
                <w:rFonts w:ascii="Arial" w:eastAsia="Arial" w:hAnsi="Arial" w:cs="Arial"/>
                <w:highlight w:val="white"/>
              </w:rPr>
            </w:pP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C" w14:textId="77777777" w:rsidR="00E05BE1" w:rsidRDefault="00E05BE1">
            <w:pPr>
              <w:jc w:val="center"/>
              <w:rPr>
                <w:rFonts w:ascii="Arial" w:eastAsia="Arial" w:hAnsi="Arial" w:cs="Arial"/>
                <w:highlight w:val="white"/>
              </w:rPr>
            </w:pP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D"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E" w14:textId="77777777" w:rsidR="00E05BE1" w:rsidRDefault="00F07326">
            <w:pPr>
              <w:jc w:val="both"/>
              <w:rPr>
                <w:rFonts w:ascii="Arial" w:eastAsia="Arial" w:hAnsi="Arial" w:cs="Arial"/>
                <w:highlight w:val="white"/>
              </w:rPr>
            </w:pPr>
            <w:r>
              <w:rPr>
                <w:rFonts w:ascii="Arial" w:eastAsia="Arial" w:hAnsi="Arial" w:cs="Arial"/>
                <w:highlight w:val="white"/>
              </w:rPr>
              <w:t xml:space="preserve"> </w:t>
            </w:r>
          </w:p>
        </w:tc>
      </w:tr>
      <w:tr w:rsidR="00E05BE1" w14:paraId="5F3E63AD" w14:textId="77777777">
        <w:trPr>
          <w:trHeight w:val="292"/>
        </w:trPr>
        <w:tc>
          <w:tcPr>
            <w:tcW w:w="381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1F" w14:textId="77777777" w:rsidR="00E05BE1" w:rsidRDefault="00F07326">
            <w:pPr>
              <w:jc w:val="both"/>
              <w:rPr>
                <w:rFonts w:ascii="Arial" w:eastAsia="Arial" w:hAnsi="Arial" w:cs="Arial"/>
                <w:highlight w:val="white"/>
              </w:rPr>
            </w:pPr>
            <w:r>
              <w:rPr>
                <w:rFonts w:ascii="Arial" w:eastAsia="Arial" w:hAnsi="Arial" w:cs="Arial"/>
                <w:highlight w:val="white"/>
              </w:rPr>
              <w:t xml:space="preserve">       Handled</w:t>
            </w:r>
          </w:p>
        </w:tc>
        <w:tc>
          <w:tcPr>
            <w:tcW w:w="838"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20" w14:textId="77777777" w:rsidR="00E05BE1" w:rsidRDefault="00F07326">
            <w:pPr>
              <w:jc w:val="both"/>
              <w:rPr>
                <w:rFonts w:ascii="Arial" w:eastAsia="Arial" w:hAnsi="Arial" w:cs="Arial"/>
                <w:highlight w:val="white"/>
              </w:rPr>
            </w:pPr>
            <w:r>
              <w:rPr>
                <w:rFonts w:ascii="Arial" w:eastAsia="Arial" w:hAnsi="Arial" w:cs="Arial"/>
                <w:highlight w:val="white"/>
              </w:rPr>
              <w:t>2.29</w:t>
            </w:r>
          </w:p>
        </w:tc>
        <w:tc>
          <w:tcPr>
            <w:tcW w:w="130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21" w14:textId="77777777" w:rsidR="00E05BE1" w:rsidRDefault="00F07326">
            <w:pPr>
              <w:jc w:val="center"/>
              <w:rPr>
                <w:rFonts w:ascii="Arial" w:eastAsia="Arial" w:hAnsi="Arial" w:cs="Arial"/>
                <w:highlight w:val="white"/>
              </w:rPr>
            </w:pPr>
            <w:r>
              <w:rPr>
                <w:rFonts w:ascii="Arial" w:eastAsia="Arial" w:hAnsi="Arial" w:cs="Arial"/>
                <w:highlight w:val="white"/>
              </w:rPr>
              <w:t>0.514</w:t>
            </w:r>
          </w:p>
        </w:tc>
        <w:tc>
          <w:tcPr>
            <w:tcW w:w="1482"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22" w14:textId="77777777" w:rsidR="00E05BE1" w:rsidRDefault="00F07326">
            <w:pPr>
              <w:jc w:val="center"/>
              <w:rPr>
                <w:rFonts w:ascii="Arial" w:eastAsia="Arial" w:hAnsi="Arial" w:cs="Arial"/>
                <w:highlight w:val="white"/>
              </w:rPr>
            </w:pPr>
            <w:r>
              <w:rPr>
                <w:rFonts w:ascii="Arial" w:eastAsia="Arial" w:hAnsi="Arial" w:cs="Arial"/>
                <w:highlight w:val="white"/>
              </w:rPr>
              <w:t xml:space="preserve">U = 8315 </w:t>
            </w:r>
          </w:p>
        </w:tc>
        <w:tc>
          <w:tcPr>
            <w:tcW w:w="1170" w:type="dxa"/>
            <w:tcBorders>
              <w:top w:val="single" w:sz="6" w:space="0" w:color="FFFFFF"/>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23" w14:textId="77777777" w:rsidR="00E05BE1" w:rsidRDefault="00F07326">
            <w:pPr>
              <w:jc w:val="center"/>
              <w:rPr>
                <w:rFonts w:ascii="Arial" w:eastAsia="Arial" w:hAnsi="Arial" w:cs="Arial"/>
                <w:highlight w:val="white"/>
              </w:rPr>
            </w:pPr>
            <w:r>
              <w:rPr>
                <w:rFonts w:ascii="Arial" w:eastAsia="Arial" w:hAnsi="Arial" w:cs="Arial"/>
                <w:highlight w:val="white"/>
              </w:rPr>
              <w:t xml:space="preserve">p = 0.570 </w:t>
            </w:r>
          </w:p>
        </w:tc>
      </w:tr>
      <w:tr w:rsidR="00E05BE1" w14:paraId="7782CB9F" w14:textId="77777777">
        <w:trPr>
          <w:trHeight w:val="292"/>
        </w:trPr>
        <w:tc>
          <w:tcPr>
            <w:tcW w:w="381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224" w14:textId="77777777" w:rsidR="00E05BE1" w:rsidRDefault="00F07326">
            <w:pPr>
              <w:jc w:val="both"/>
              <w:rPr>
                <w:rFonts w:ascii="Arial" w:eastAsia="Arial" w:hAnsi="Arial" w:cs="Arial"/>
                <w:highlight w:val="white"/>
              </w:rPr>
            </w:pPr>
            <w:r>
              <w:rPr>
                <w:rFonts w:ascii="Arial" w:eastAsia="Arial" w:hAnsi="Arial" w:cs="Arial"/>
                <w:highlight w:val="white"/>
              </w:rPr>
              <w:t xml:space="preserve">       Not Handled</w:t>
            </w:r>
          </w:p>
        </w:tc>
        <w:tc>
          <w:tcPr>
            <w:tcW w:w="838"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225" w14:textId="77777777" w:rsidR="00E05BE1" w:rsidRDefault="00F07326">
            <w:pPr>
              <w:jc w:val="both"/>
              <w:rPr>
                <w:rFonts w:ascii="Arial" w:eastAsia="Arial" w:hAnsi="Arial" w:cs="Arial"/>
                <w:highlight w:val="white"/>
              </w:rPr>
            </w:pPr>
            <w:r>
              <w:rPr>
                <w:rFonts w:ascii="Arial" w:eastAsia="Arial" w:hAnsi="Arial" w:cs="Arial"/>
                <w:highlight w:val="white"/>
              </w:rPr>
              <w:t>2.29</w:t>
            </w:r>
          </w:p>
        </w:tc>
        <w:tc>
          <w:tcPr>
            <w:tcW w:w="130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226" w14:textId="77777777" w:rsidR="00E05BE1" w:rsidRDefault="00F07326">
            <w:pPr>
              <w:jc w:val="center"/>
              <w:rPr>
                <w:rFonts w:ascii="Arial" w:eastAsia="Arial" w:hAnsi="Arial" w:cs="Arial"/>
                <w:highlight w:val="white"/>
              </w:rPr>
            </w:pPr>
            <w:r>
              <w:rPr>
                <w:rFonts w:ascii="Arial" w:eastAsia="Arial" w:hAnsi="Arial" w:cs="Arial"/>
                <w:highlight w:val="white"/>
              </w:rPr>
              <w:t>0.457</w:t>
            </w:r>
          </w:p>
        </w:tc>
        <w:tc>
          <w:tcPr>
            <w:tcW w:w="1482"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227" w14:textId="77777777" w:rsidR="00E05BE1" w:rsidRDefault="00E05BE1">
            <w:pPr>
              <w:jc w:val="center"/>
              <w:rPr>
                <w:rFonts w:ascii="Arial" w:eastAsia="Arial" w:hAnsi="Arial" w:cs="Arial"/>
                <w:highlight w:val="white"/>
              </w:rPr>
            </w:pPr>
          </w:p>
        </w:tc>
        <w:tc>
          <w:tcPr>
            <w:tcW w:w="1170" w:type="dxa"/>
            <w:tcBorders>
              <w:top w:val="single" w:sz="6" w:space="0" w:color="FFFFFF"/>
              <w:left w:val="single" w:sz="6" w:space="0" w:color="FFFFFF"/>
              <w:bottom w:val="single" w:sz="6" w:space="0" w:color="000000"/>
              <w:right w:val="single" w:sz="6" w:space="0" w:color="FFFFFF"/>
            </w:tcBorders>
            <w:shd w:val="clear" w:color="auto" w:fill="FFFFFF"/>
            <w:tcMar>
              <w:top w:w="0" w:type="dxa"/>
              <w:left w:w="100" w:type="dxa"/>
              <w:bottom w:w="0" w:type="dxa"/>
              <w:right w:w="100" w:type="dxa"/>
            </w:tcMar>
          </w:tcPr>
          <w:p w14:paraId="00000228" w14:textId="77777777" w:rsidR="00E05BE1" w:rsidRDefault="00E05BE1">
            <w:pPr>
              <w:jc w:val="center"/>
              <w:rPr>
                <w:rFonts w:ascii="Arial" w:eastAsia="Arial" w:hAnsi="Arial" w:cs="Arial"/>
                <w:highlight w:val="white"/>
              </w:rPr>
            </w:pPr>
          </w:p>
        </w:tc>
      </w:tr>
      <w:tr w:rsidR="00E05BE1" w14:paraId="6FCA828D" w14:textId="77777777">
        <w:trPr>
          <w:trHeight w:val="292"/>
        </w:trPr>
        <w:tc>
          <w:tcPr>
            <w:tcW w:w="8610" w:type="dxa"/>
            <w:gridSpan w:val="5"/>
            <w:tcBorders>
              <w:top w:val="single" w:sz="6" w:space="0" w:color="000000"/>
              <w:left w:val="single" w:sz="6" w:space="0" w:color="FFFFFF"/>
              <w:bottom w:val="single" w:sz="6" w:space="0" w:color="FFFFFF"/>
              <w:right w:val="single" w:sz="6" w:space="0" w:color="FFFFFF"/>
            </w:tcBorders>
            <w:shd w:val="clear" w:color="auto" w:fill="FFFFFF"/>
            <w:tcMar>
              <w:top w:w="0" w:type="dxa"/>
              <w:left w:w="100" w:type="dxa"/>
              <w:bottom w:w="0" w:type="dxa"/>
              <w:right w:w="100" w:type="dxa"/>
            </w:tcMar>
          </w:tcPr>
          <w:p w14:paraId="00000229" w14:textId="77777777" w:rsidR="00E05BE1" w:rsidRDefault="00F07326">
            <w:pPr>
              <w:jc w:val="center"/>
              <w:rPr>
                <w:rFonts w:ascii="Arial" w:eastAsia="Arial" w:hAnsi="Arial" w:cs="Arial"/>
                <w:b/>
                <w:bCs/>
                <w:highlight w:val="white"/>
              </w:rPr>
            </w:pPr>
            <w:r>
              <w:rPr>
                <w:rFonts w:ascii="Arial" w:eastAsia="Arial" w:hAnsi="Arial" w:cs="Arial"/>
                <w:b/>
                <w:bCs/>
                <w:highlight w:val="white"/>
              </w:rPr>
              <w:t>*Sig at 0.05</w:t>
            </w:r>
          </w:p>
          <w:p w14:paraId="0000022A" w14:textId="77777777" w:rsidR="00E05BE1" w:rsidRDefault="00E05BE1">
            <w:pPr>
              <w:jc w:val="both"/>
              <w:rPr>
                <w:rFonts w:ascii="Arial" w:eastAsia="Arial" w:hAnsi="Arial" w:cs="Arial"/>
                <w:highlight w:val="white"/>
              </w:rPr>
            </w:pPr>
          </w:p>
          <w:p w14:paraId="0000022E" w14:textId="77777777" w:rsidR="00E05BE1" w:rsidRDefault="00E05BE1">
            <w:pPr>
              <w:jc w:val="both"/>
              <w:rPr>
                <w:rFonts w:ascii="Arial" w:eastAsia="Arial" w:hAnsi="Arial" w:cs="Arial"/>
                <w:highlight w:val="white"/>
              </w:rPr>
            </w:pPr>
          </w:p>
          <w:p w14:paraId="0000022F" w14:textId="77777777" w:rsidR="00E05BE1" w:rsidRDefault="00E05BE1">
            <w:pPr>
              <w:jc w:val="both"/>
              <w:rPr>
                <w:rFonts w:ascii="Arial" w:eastAsia="Arial" w:hAnsi="Arial" w:cs="Arial"/>
                <w:highlight w:val="white"/>
              </w:rPr>
            </w:pPr>
          </w:p>
        </w:tc>
      </w:tr>
    </w:tbl>
    <w:p w14:paraId="00000234"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5.1.6 RELATIONSHIP BETWEEN THE LEVEL OF </w:t>
      </w:r>
      <w:r>
        <w:rPr>
          <w:rFonts w:ascii="Arial" w:eastAsia="Arial" w:hAnsi="Arial" w:cs="Arial"/>
          <w:b/>
          <w:bCs/>
          <w:smallCaps/>
        </w:rPr>
        <w:t>KNOWLEDGE</w:t>
      </w:r>
      <w:r>
        <w:rPr>
          <w:rFonts w:ascii="Arial" w:eastAsia="Arial" w:hAnsi="Arial" w:cs="Arial"/>
          <w:b/>
          <w:bCs/>
          <w:smallCaps/>
          <w:color w:val="000000"/>
        </w:rPr>
        <w:t xml:space="preserve"> AND LEVEL OF ATTITUDE AMONG STUDENT NURSES</w:t>
      </w:r>
    </w:p>
    <w:p w14:paraId="00000235" w14:textId="77777777" w:rsidR="00E05BE1" w:rsidRDefault="00E05BE1">
      <w:pPr>
        <w:pBdr>
          <w:top w:val="nil"/>
          <w:left w:val="nil"/>
          <w:bottom w:val="nil"/>
          <w:right w:val="nil"/>
          <w:between w:val="nil"/>
        </w:pBdr>
        <w:rPr>
          <w:rFonts w:ascii="Arial" w:eastAsia="Arial" w:hAnsi="Arial" w:cs="Arial"/>
          <w:color w:val="000000"/>
          <w:highlight w:val="white"/>
        </w:rPr>
      </w:pPr>
    </w:p>
    <w:p w14:paraId="00000236"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To determine the appropriate inferential statistical test, the Spearman Rank-Order Correlation was assessed whether there is a significant relationship between the level of knowledge and the level of attitude among student nurses.</w:t>
      </w:r>
    </w:p>
    <w:p w14:paraId="00000237"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238"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Table 7 shows the relat</w:t>
      </w:r>
      <w:r>
        <w:rPr>
          <w:rFonts w:ascii="Arial" w:eastAsia="Arial" w:hAnsi="Arial" w:cs="Arial"/>
          <w:color w:val="000000"/>
          <w:highlight w:val="white"/>
        </w:rPr>
        <w:t xml:space="preserve">ionship between the level of knowledge and the level of attitude among student nurses. The null hypothesis was not rejected, since the computed p-value (0.429) which was greater than the 0.05 level of significance, and the </w:t>
      </w:r>
      <w:proofErr w:type="spellStart"/>
      <w:r>
        <w:rPr>
          <w:rFonts w:ascii="Arial" w:eastAsia="Arial" w:hAnsi="Arial" w:cs="Arial"/>
          <w:color w:val="000000"/>
          <w:highlight w:val="white"/>
        </w:rPr>
        <w:t>rs</w:t>
      </w:r>
      <w:proofErr w:type="spellEnd"/>
      <w:r>
        <w:rPr>
          <w:rFonts w:ascii="Arial" w:eastAsia="Arial" w:hAnsi="Arial" w:cs="Arial"/>
          <w:color w:val="000000"/>
          <w:highlight w:val="white"/>
        </w:rPr>
        <w:t xml:space="preserve">-value was (0.048), indicating </w:t>
      </w:r>
      <w:r>
        <w:rPr>
          <w:rFonts w:ascii="Arial" w:eastAsia="Arial" w:hAnsi="Arial" w:cs="Arial"/>
          <w:color w:val="000000"/>
          <w:highlight w:val="white"/>
        </w:rPr>
        <w:t>a very weak positive correlation between knowledge and attitude. Therefore, there was no statistically significant relationship between the level of knowledge and the level of attitude among student nurses toward providing nursing care for patients undergo</w:t>
      </w:r>
      <w:r>
        <w:rPr>
          <w:rFonts w:ascii="Arial" w:eastAsia="Arial" w:hAnsi="Arial" w:cs="Arial"/>
          <w:color w:val="000000"/>
          <w:highlight w:val="white"/>
        </w:rPr>
        <w:t xml:space="preserve">ing chemotherapy. This result suggested that having a higher knowledge did not necessarily correlate to a more positive attitude. </w:t>
      </w:r>
    </w:p>
    <w:p w14:paraId="00000239"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23A"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 xml:space="preserve">These findings are consistent with the study of </w:t>
      </w:r>
      <w:proofErr w:type="spellStart"/>
      <w:r>
        <w:rPr>
          <w:rFonts w:ascii="Arial" w:eastAsia="Arial" w:hAnsi="Arial" w:cs="Arial"/>
          <w:color w:val="000000"/>
          <w:highlight w:val="white"/>
        </w:rPr>
        <w:t>Gasat</w:t>
      </w:r>
      <w:proofErr w:type="spellEnd"/>
      <w:r>
        <w:rPr>
          <w:rFonts w:ascii="Arial" w:eastAsia="Arial" w:hAnsi="Arial" w:cs="Arial"/>
          <w:color w:val="000000"/>
          <w:highlight w:val="white"/>
        </w:rPr>
        <w:t xml:space="preserve"> &amp; </w:t>
      </w:r>
      <w:proofErr w:type="spellStart"/>
      <w:r>
        <w:rPr>
          <w:rFonts w:ascii="Arial" w:eastAsia="Arial" w:hAnsi="Arial" w:cs="Arial"/>
          <w:color w:val="000000"/>
          <w:highlight w:val="white"/>
        </w:rPr>
        <w:t>Remon</w:t>
      </w:r>
      <w:proofErr w:type="spellEnd"/>
      <w:r>
        <w:rPr>
          <w:rFonts w:ascii="Arial" w:eastAsia="Arial" w:hAnsi="Arial" w:cs="Arial"/>
          <w:color w:val="000000"/>
          <w:highlight w:val="white"/>
        </w:rPr>
        <w:t xml:space="preserve"> (2023), who stated that despite nurses demonstrating excellen</w:t>
      </w:r>
      <w:r>
        <w:rPr>
          <w:rFonts w:ascii="Arial" w:eastAsia="Arial" w:hAnsi="Arial" w:cs="Arial"/>
          <w:color w:val="000000"/>
          <w:highlight w:val="white"/>
        </w:rPr>
        <w:t xml:space="preserve">t knowledge, their attitudes were only rated as fair. Also, </w:t>
      </w:r>
      <w:proofErr w:type="spellStart"/>
      <w:r>
        <w:rPr>
          <w:rFonts w:ascii="Arial" w:eastAsia="Arial" w:hAnsi="Arial" w:cs="Arial"/>
          <w:color w:val="000000"/>
          <w:highlight w:val="white"/>
        </w:rPr>
        <w:t>Unabia</w:t>
      </w:r>
      <w:proofErr w:type="spellEnd"/>
      <w:r>
        <w:rPr>
          <w:rFonts w:ascii="Arial" w:eastAsia="Arial" w:hAnsi="Arial" w:cs="Arial"/>
          <w:color w:val="000000"/>
          <w:highlight w:val="white"/>
        </w:rPr>
        <w:t xml:space="preserve"> and </w:t>
      </w:r>
      <w:proofErr w:type="spellStart"/>
      <w:r>
        <w:rPr>
          <w:rFonts w:ascii="Arial" w:eastAsia="Arial" w:hAnsi="Arial" w:cs="Arial"/>
          <w:color w:val="000000"/>
          <w:highlight w:val="white"/>
        </w:rPr>
        <w:t>Bacarisas</w:t>
      </w:r>
      <w:proofErr w:type="spellEnd"/>
      <w:r>
        <w:rPr>
          <w:rFonts w:ascii="Arial" w:eastAsia="Arial" w:hAnsi="Arial" w:cs="Arial"/>
          <w:color w:val="000000"/>
          <w:highlight w:val="white"/>
        </w:rPr>
        <w:t xml:space="preserve"> (2024) noted that student nurses felt anxious and unprepared in chemotherapy settings despite having theoretical knowledge. Dela Rosa et al. (2025) further emphasized that lim</w:t>
      </w:r>
      <w:r>
        <w:rPr>
          <w:rFonts w:ascii="Arial" w:eastAsia="Arial" w:hAnsi="Arial" w:cs="Arial"/>
          <w:color w:val="000000"/>
          <w:highlight w:val="white"/>
        </w:rPr>
        <w:t>ited clinical exposure and anxiety affect students’ disposition and confidence. This indicates that factors such as hands-on experience, mentorship and emotional preparedness played a more significant role in shaping attitude than knowledge alone.</w:t>
      </w:r>
    </w:p>
    <w:p w14:paraId="0000023B"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23C"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Table 7</w:t>
      </w:r>
      <w:r>
        <w:rPr>
          <w:rFonts w:ascii="Arial" w:eastAsia="Arial" w:hAnsi="Arial" w:cs="Arial"/>
          <w:color w:val="000000"/>
          <w:highlight w:val="white"/>
        </w:rPr>
        <w:t xml:space="preserve">. </w:t>
      </w:r>
      <w:r>
        <w:rPr>
          <w:rFonts w:ascii="Arial" w:eastAsia="Arial" w:hAnsi="Arial" w:cs="Arial"/>
          <w:b/>
          <w:bCs/>
          <w:color w:val="000000"/>
          <w:highlight w:val="white"/>
        </w:rPr>
        <w:t>Relationship</w:t>
      </w:r>
      <w:r>
        <w:rPr>
          <w:rFonts w:ascii="Arial" w:eastAsia="Arial" w:hAnsi="Arial" w:cs="Arial"/>
          <w:b/>
          <w:bCs/>
          <w:color w:val="000000"/>
        </w:rPr>
        <w:t xml:space="preserve"> between the Level of Knowledge and the Level of Attitude among student nurses (df=273)</w:t>
      </w:r>
    </w:p>
    <w:p w14:paraId="0000023D" w14:textId="77777777" w:rsidR="00E05BE1" w:rsidRDefault="00E05BE1">
      <w:pPr>
        <w:pBdr>
          <w:top w:val="nil"/>
          <w:left w:val="nil"/>
          <w:bottom w:val="nil"/>
          <w:right w:val="nil"/>
          <w:between w:val="nil"/>
        </w:pBdr>
        <w:jc w:val="center"/>
        <w:rPr>
          <w:rFonts w:ascii="Arial" w:eastAsia="Arial" w:hAnsi="Arial" w:cs="Arial"/>
          <w:color w:val="000000"/>
        </w:rPr>
      </w:pPr>
    </w:p>
    <w:tbl>
      <w:tblPr>
        <w:tblStyle w:val="a9"/>
        <w:tblW w:w="8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2794"/>
        <w:gridCol w:w="2796"/>
      </w:tblGrid>
      <w:tr w:rsidR="00E05BE1" w14:paraId="46FF5BB9" w14:textId="77777777">
        <w:trPr>
          <w:trHeight w:val="715"/>
        </w:trPr>
        <w:tc>
          <w:tcPr>
            <w:tcW w:w="2794" w:type="dxa"/>
            <w:tcBorders>
              <w:left w:val="single" w:sz="4" w:space="0" w:color="FFFFFF"/>
              <w:bottom w:val="single" w:sz="4" w:space="0" w:color="FFFFFF"/>
              <w:right w:val="single" w:sz="4" w:space="0" w:color="FFFFFF"/>
            </w:tcBorders>
          </w:tcPr>
          <w:p w14:paraId="0000023E" w14:textId="77777777" w:rsidR="00E05BE1" w:rsidRDefault="00E05BE1">
            <w:pPr>
              <w:tabs>
                <w:tab w:val="left" w:pos="2356"/>
              </w:tabs>
              <w:rPr>
                <w:rFonts w:ascii="Arial" w:eastAsia="Arial" w:hAnsi="Arial" w:cs="Arial"/>
                <w:sz w:val="20"/>
                <w:szCs w:val="20"/>
              </w:rPr>
            </w:pPr>
          </w:p>
        </w:tc>
        <w:tc>
          <w:tcPr>
            <w:tcW w:w="5590" w:type="dxa"/>
            <w:gridSpan w:val="2"/>
            <w:tcBorders>
              <w:left w:val="single" w:sz="4" w:space="0" w:color="FFFFFF"/>
              <w:right w:val="single" w:sz="4" w:space="0" w:color="FFFFFF"/>
            </w:tcBorders>
          </w:tcPr>
          <w:p w14:paraId="0000023F" w14:textId="77777777" w:rsidR="00E05BE1" w:rsidRDefault="00E05BE1">
            <w:pPr>
              <w:tabs>
                <w:tab w:val="left" w:pos="2356"/>
              </w:tabs>
              <w:rPr>
                <w:rFonts w:ascii="Arial" w:eastAsia="Arial" w:hAnsi="Arial" w:cs="Arial"/>
                <w:sz w:val="20"/>
                <w:szCs w:val="20"/>
              </w:rPr>
            </w:pPr>
          </w:p>
          <w:p w14:paraId="00000240"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Level of Attitude</w:t>
            </w:r>
          </w:p>
        </w:tc>
      </w:tr>
      <w:tr w:rsidR="00E05BE1" w14:paraId="4D6EB5D4" w14:textId="77777777">
        <w:trPr>
          <w:trHeight w:val="880"/>
        </w:trPr>
        <w:tc>
          <w:tcPr>
            <w:tcW w:w="2794" w:type="dxa"/>
            <w:tcBorders>
              <w:top w:val="single" w:sz="4" w:space="0" w:color="FFFFFF"/>
              <w:left w:val="single" w:sz="4" w:space="0" w:color="FFFFFF"/>
              <w:right w:val="single" w:sz="4" w:space="0" w:color="FFFFFF"/>
            </w:tcBorders>
          </w:tcPr>
          <w:p w14:paraId="00000242" w14:textId="77777777" w:rsidR="00E05BE1" w:rsidRDefault="00E05BE1">
            <w:pPr>
              <w:tabs>
                <w:tab w:val="left" w:pos="2356"/>
              </w:tabs>
              <w:rPr>
                <w:rFonts w:ascii="Arial" w:eastAsia="Arial" w:hAnsi="Arial" w:cs="Arial"/>
                <w:sz w:val="20"/>
                <w:szCs w:val="20"/>
              </w:rPr>
            </w:pPr>
          </w:p>
          <w:p w14:paraId="00000243"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Level of Knowledge</w:t>
            </w:r>
          </w:p>
        </w:tc>
        <w:tc>
          <w:tcPr>
            <w:tcW w:w="2794" w:type="dxa"/>
            <w:tcBorders>
              <w:left w:val="single" w:sz="4" w:space="0" w:color="FFFFFF"/>
              <w:right w:val="single" w:sz="4" w:space="0" w:color="FFFFFF"/>
            </w:tcBorders>
          </w:tcPr>
          <w:p w14:paraId="00000244" w14:textId="77777777" w:rsidR="00E05BE1" w:rsidRDefault="00E05BE1">
            <w:pPr>
              <w:tabs>
                <w:tab w:val="left" w:pos="2356"/>
              </w:tabs>
              <w:jc w:val="center"/>
              <w:rPr>
                <w:rFonts w:ascii="Arial" w:eastAsia="Arial" w:hAnsi="Arial" w:cs="Arial"/>
                <w:sz w:val="20"/>
                <w:szCs w:val="20"/>
              </w:rPr>
            </w:pPr>
          </w:p>
          <w:p w14:paraId="00000245" w14:textId="77777777" w:rsidR="00E05BE1" w:rsidRDefault="00F07326">
            <w:pPr>
              <w:tabs>
                <w:tab w:val="left" w:pos="2356"/>
              </w:tabs>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-value</w:t>
            </w:r>
          </w:p>
          <w:p w14:paraId="00000246"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0.048</w:t>
            </w:r>
          </w:p>
        </w:tc>
        <w:tc>
          <w:tcPr>
            <w:tcW w:w="2796" w:type="dxa"/>
            <w:tcBorders>
              <w:left w:val="single" w:sz="4" w:space="0" w:color="FFFFFF"/>
              <w:right w:val="single" w:sz="4" w:space="0" w:color="FFFFFF"/>
            </w:tcBorders>
          </w:tcPr>
          <w:p w14:paraId="00000247" w14:textId="77777777" w:rsidR="00E05BE1" w:rsidRDefault="00E05BE1">
            <w:pPr>
              <w:tabs>
                <w:tab w:val="left" w:pos="2356"/>
              </w:tabs>
              <w:jc w:val="center"/>
              <w:rPr>
                <w:rFonts w:ascii="Arial" w:eastAsia="Arial" w:hAnsi="Arial" w:cs="Arial"/>
                <w:sz w:val="20"/>
                <w:szCs w:val="20"/>
              </w:rPr>
            </w:pPr>
          </w:p>
          <w:p w14:paraId="00000248"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p-value</w:t>
            </w:r>
          </w:p>
          <w:p w14:paraId="00000249"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0.429</w:t>
            </w:r>
          </w:p>
        </w:tc>
      </w:tr>
    </w:tbl>
    <w:p w14:paraId="0000024A"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4B"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5.1.7 RELATIONSHIP BETWEEN THE LEVEL OF PERCEPTION AND LEVEL OF ATTITUDE AMONG STUDENT NURSES</w:t>
      </w:r>
    </w:p>
    <w:p w14:paraId="0000024C" w14:textId="77777777" w:rsidR="00E05BE1" w:rsidRDefault="00E05BE1">
      <w:pPr>
        <w:pBdr>
          <w:top w:val="nil"/>
          <w:left w:val="nil"/>
          <w:bottom w:val="nil"/>
          <w:right w:val="nil"/>
          <w:between w:val="nil"/>
        </w:pBdr>
        <w:rPr>
          <w:rFonts w:ascii="Arial" w:eastAsia="Arial" w:hAnsi="Arial" w:cs="Arial"/>
          <w:color w:val="000000"/>
          <w:highlight w:val="white"/>
        </w:rPr>
      </w:pPr>
    </w:p>
    <w:p w14:paraId="0000024D"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To determine the appropriate inferential statistical test, the Spearman Rank-Order Correlation was assessed whether there is a significant relationship between t</w:t>
      </w:r>
      <w:r>
        <w:rPr>
          <w:rFonts w:ascii="Arial" w:eastAsia="Arial" w:hAnsi="Arial" w:cs="Arial"/>
          <w:color w:val="000000"/>
          <w:highlight w:val="white"/>
        </w:rPr>
        <w:t xml:space="preserve">he level of perception and the level of attitude among student nurses. </w:t>
      </w:r>
    </w:p>
    <w:p w14:paraId="0000024E"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24F"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 xml:space="preserve">Table 8 shows the relationship between the level of perception and the level of attitude among student nurses. The null hypothesis was rejected, since the computed p-value (p &lt; </w:t>
      </w:r>
      <w:r>
        <w:rPr>
          <w:rFonts w:ascii="Arial" w:eastAsia="Arial" w:hAnsi="Arial" w:cs="Arial"/>
          <w:color w:val="000000"/>
          <w:highlight w:val="white"/>
        </w:rPr>
        <w:lastRenderedPageBreak/>
        <w:t xml:space="preserve">0.001) was less than the 0.05 level of significance, and the </w:t>
      </w:r>
      <w:proofErr w:type="spellStart"/>
      <w:r>
        <w:rPr>
          <w:rFonts w:ascii="Arial" w:eastAsia="Arial" w:hAnsi="Arial" w:cs="Arial"/>
          <w:color w:val="000000"/>
          <w:highlight w:val="white"/>
        </w:rPr>
        <w:t>rs</w:t>
      </w:r>
      <w:proofErr w:type="spellEnd"/>
      <w:r>
        <w:rPr>
          <w:rFonts w:ascii="Arial" w:eastAsia="Arial" w:hAnsi="Arial" w:cs="Arial"/>
          <w:color w:val="000000"/>
          <w:highlight w:val="white"/>
        </w:rPr>
        <w:t>-value was (0.42</w:t>
      </w:r>
      <w:r>
        <w:rPr>
          <w:rFonts w:ascii="Arial" w:eastAsia="Arial" w:hAnsi="Arial" w:cs="Arial"/>
          <w:color w:val="000000"/>
          <w:highlight w:val="white"/>
        </w:rPr>
        <w:t>5), indicating a moderate positive correlation between perception and attitude. Therefore, there was a statistically significant relationship between the level of perception and the level of attitude among student nurses toward providing nursing care for p</w:t>
      </w:r>
      <w:r>
        <w:rPr>
          <w:rFonts w:ascii="Arial" w:eastAsia="Arial" w:hAnsi="Arial" w:cs="Arial"/>
          <w:color w:val="000000"/>
          <w:highlight w:val="white"/>
        </w:rPr>
        <w:t xml:space="preserve">atients undergoing chemotherapy. This result suggested that as the level of positive perception increases, the level of professional attitude toward chemotherapy care also tends to improve. </w:t>
      </w:r>
    </w:p>
    <w:p w14:paraId="00000250"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251"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highlight w:val="white"/>
        </w:rPr>
        <w:t xml:space="preserve">The present findings consistent with the study of </w:t>
      </w:r>
      <w:proofErr w:type="spellStart"/>
      <w:r>
        <w:rPr>
          <w:rFonts w:ascii="Arial" w:eastAsia="Arial" w:hAnsi="Arial" w:cs="Arial"/>
          <w:color w:val="000000"/>
          <w:highlight w:val="white"/>
        </w:rPr>
        <w:t>Gasat</w:t>
      </w:r>
      <w:proofErr w:type="spellEnd"/>
      <w:r>
        <w:rPr>
          <w:rFonts w:ascii="Arial" w:eastAsia="Arial" w:hAnsi="Arial" w:cs="Arial"/>
          <w:color w:val="000000"/>
          <w:highlight w:val="white"/>
        </w:rPr>
        <w:t xml:space="preserve"> &amp; </w:t>
      </w:r>
      <w:proofErr w:type="spellStart"/>
      <w:r>
        <w:rPr>
          <w:rFonts w:ascii="Arial" w:eastAsia="Arial" w:hAnsi="Arial" w:cs="Arial"/>
          <w:color w:val="000000"/>
          <w:highlight w:val="white"/>
        </w:rPr>
        <w:t>Remon</w:t>
      </w:r>
      <w:proofErr w:type="spellEnd"/>
      <w:r>
        <w:rPr>
          <w:rFonts w:ascii="Arial" w:eastAsia="Arial" w:hAnsi="Arial" w:cs="Arial"/>
          <w:color w:val="000000"/>
          <w:highlight w:val="white"/>
        </w:rPr>
        <w:t xml:space="preserve"> (2023) stated that attitude formation in oncology care depended not only on knowledge but also on psychological readiness and outlook. And students’ perception of preparedness influenced their confidence and attitude toward patient care emphasized by Dela</w:t>
      </w:r>
      <w:r>
        <w:rPr>
          <w:rFonts w:ascii="Arial" w:eastAsia="Arial" w:hAnsi="Arial" w:cs="Arial"/>
          <w:color w:val="000000"/>
          <w:highlight w:val="white"/>
        </w:rPr>
        <w:t xml:space="preserve"> Rosa et al. (2025). Moreover, </w:t>
      </w:r>
      <w:proofErr w:type="spellStart"/>
      <w:r>
        <w:rPr>
          <w:rFonts w:ascii="Arial" w:eastAsia="Arial" w:hAnsi="Arial" w:cs="Arial"/>
          <w:color w:val="000000"/>
          <w:highlight w:val="white"/>
        </w:rPr>
        <w:t>Sreekumaran</w:t>
      </w:r>
      <w:proofErr w:type="spellEnd"/>
      <w:r>
        <w:rPr>
          <w:rFonts w:ascii="Arial" w:eastAsia="Arial" w:hAnsi="Arial" w:cs="Arial"/>
          <w:color w:val="000000"/>
          <w:highlight w:val="white"/>
        </w:rPr>
        <w:t xml:space="preserve"> et al. (2025) found that supervision and hands-on practice reduced anxiety and improved confidence, which suggested that positive perceptions contributed to a more favorable professional attitude.</w:t>
      </w:r>
    </w:p>
    <w:p w14:paraId="00000252" w14:textId="77777777" w:rsidR="00E05BE1" w:rsidRDefault="00F073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253" w14:textId="77777777" w:rsidR="00E05BE1" w:rsidRDefault="00F0732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highlight w:val="white"/>
        </w:rPr>
        <w:t>Table 8</w:t>
      </w:r>
      <w:r>
        <w:rPr>
          <w:rFonts w:ascii="Arial" w:eastAsia="Arial" w:hAnsi="Arial" w:cs="Arial"/>
          <w:i/>
          <w:iCs/>
          <w:color w:val="000000"/>
          <w:highlight w:val="white"/>
        </w:rPr>
        <w:t xml:space="preserve">. </w:t>
      </w:r>
      <w:r>
        <w:rPr>
          <w:rFonts w:ascii="Arial" w:eastAsia="Arial" w:hAnsi="Arial" w:cs="Arial"/>
          <w:b/>
          <w:bCs/>
          <w:color w:val="000000"/>
          <w:highlight w:val="white"/>
        </w:rPr>
        <w:t>Relationship</w:t>
      </w:r>
      <w:r>
        <w:rPr>
          <w:rFonts w:ascii="Arial" w:eastAsia="Arial" w:hAnsi="Arial" w:cs="Arial"/>
          <w:b/>
          <w:bCs/>
          <w:color w:val="000000"/>
        </w:rPr>
        <w:t xml:space="preserve"> between the Level of Perception and the Level of Attitude among student nurses (df=273)</w:t>
      </w:r>
    </w:p>
    <w:p w14:paraId="00000254" w14:textId="77777777" w:rsidR="00E05BE1" w:rsidRDefault="00E05BE1">
      <w:pPr>
        <w:pBdr>
          <w:top w:val="nil"/>
          <w:left w:val="nil"/>
          <w:bottom w:val="nil"/>
          <w:right w:val="nil"/>
          <w:between w:val="nil"/>
        </w:pBdr>
        <w:jc w:val="center"/>
        <w:rPr>
          <w:rFonts w:ascii="Arial" w:eastAsia="Arial" w:hAnsi="Arial" w:cs="Arial"/>
          <w:color w:val="000000"/>
        </w:rPr>
      </w:pPr>
    </w:p>
    <w:tbl>
      <w:tblPr>
        <w:tblStyle w:val="aa"/>
        <w:tblW w:w="8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2794"/>
        <w:gridCol w:w="2796"/>
      </w:tblGrid>
      <w:tr w:rsidR="00E05BE1" w14:paraId="2B4255E4" w14:textId="77777777">
        <w:trPr>
          <w:trHeight w:val="715"/>
        </w:trPr>
        <w:tc>
          <w:tcPr>
            <w:tcW w:w="2794" w:type="dxa"/>
            <w:tcBorders>
              <w:left w:val="single" w:sz="4" w:space="0" w:color="FFFFFF"/>
              <w:bottom w:val="single" w:sz="4" w:space="0" w:color="FFFFFF"/>
              <w:right w:val="single" w:sz="4" w:space="0" w:color="FFFFFF"/>
            </w:tcBorders>
          </w:tcPr>
          <w:p w14:paraId="00000255" w14:textId="77777777" w:rsidR="00E05BE1" w:rsidRDefault="00E05BE1">
            <w:pPr>
              <w:tabs>
                <w:tab w:val="left" w:pos="2356"/>
              </w:tabs>
              <w:rPr>
                <w:rFonts w:ascii="Arial" w:eastAsia="Arial" w:hAnsi="Arial" w:cs="Arial"/>
                <w:sz w:val="20"/>
                <w:szCs w:val="20"/>
              </w:rPr>
            </w:pPr>
          </w:p>
        </w:tc>
        <w:tc>
          <w:tcPr>
            <w:tcW w:w="5590" w:type="dxa"/>
            <w:gridSpan w:val="2"/>
            <w:tcBorders>
              <w:left w:val="single" w:sz="4" w:space="0" w:color="FFFFFF"/>
              <w:right w:val="single" w:sz="4" w:space="0" w:color="FFFFFF"/>
            </w:tcBorders>
          </w:tcPr>
          <w:p w14:paraId="00000256" w14:textId="77777777" w:rsidR="00E05BE1" w:rsidRDefault="00E05BE1">
            <w:pPr>
              <w:tabs>
                <w:tab w:val="left" w:pos="2356"/>
              </w:tabs>
              <w:rPr>
                <w:rFonts w:ascii="Arial" w:eastAsia="Arial" w:hAnsi="Arial" w:cs="Arial"/>
                <w:sz w:val="20"/>
                <w:szCs w:val="20"/>
              </w:rPr>
            </w:pPr>
          </w:p>
          <w:p w14:paraId="00000257"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Level of Attitude</w:t>
            </w:r>
          </w:p>
        </w:tc>
      </w:tr>
      <w:tr w:rsidR="00E05BE1" w14:paraId="2AE5D76F" w14:textId="77777777">
        <w:trPr>
          <w:trHeight w:val="800"/>
        </w:trPr>
        <w:tc>
          <w:tcPr>
            <w:tcW w:w="2794" w:type="dxa"/>
            <w:tcBorders>
              <w:top w:val="single" w:sz="4" w:space="0" w:color="FFFFFF"/>
              <w:left w:val="single" w:sz="4" w:space="0" w:color="FFFFFF"/>
              <w:right w:val="single" w:sz="4" w:space="0" w:color="FFFFFF"/>
            </w:tcBorders>
          </w:tcPr>
          <w:p w14:paraId="00000259" w14:textId="77777777" w:rsidR="00E05BE1" w:rsidRDefault="00E05BE1">
            <w:pPr>
              <w:tabs>
                <w:tab w:val="left" w:pos="2356"/>
              </w:tabs>
              <w:rPr>
                <w:rFonts w:ascii="Arial" w:eastAsia="Arial" w:hAnsi="Arial" w:cs="Arial"/>
                <w:sz w:val="20"/>
                <w:szCs w:val="20"/>
              </w:rPr>
            </w:pPr>
          </w:p>
          <w:p w14:paraId="0000025A"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Level of Perception</w:t>
            </w:r>
          </w:p>
        </w:tc>
        <w:tc>
          <w:tcPr>
            <w:tcW w:w="2794" w:type="dxa"/>
            <w:tcBorders>
              <w:left w:val="single" w:sz="4" w:space="0" w:color="FFFFFF"/>
              <w:right w:val="single" w:sz="4" w:space="0" w:color="FFFFFF"/>
            </w:tcBorders>
          </w:tcPr>
          <w:p w14:paraId="0000025B" w14:textId="77777777" w:rsidR="00E05BE1" w:rsidRDefault="00E05BE1">
            <w:pPr>
              <w:tabs>
                <w:tab w:val="left" w:pos="2356"/>
              </w:tabs>
              <w:jc w:val="center"/>
              <w:rPr>
                <w:rFonts w:ascii="Arial" w:eastAsia="Arial" w:hAnsi="Arial" w:cs="Arial"/>
                <w:sz w:val="20"/>
                <w:szCs w:val="20"/>
              </w:rPr>
            </w:pPr>
          </w:p>
          <w:p w14:paraId="0000025C" w14:textId="77777777" w:rsidR="00E05BE1" w:rsidRDefault="00F07326">
            <w:pPr>
              <w:tabs>
                <w:tab w:val="left" w:pos="2356"/>
              </w:tabs>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-value</w:t>
            </w:r>
          </w:p>
          <w:p w14:paraId="0000025D"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0.425</w:t>
            </w:r>
          </w:p>
        </w:tc>
        <w:tc>
          <w:tcPr>
            <w:tcW w:w="2796" w:type="dxa"/>
            <w:tcBorders>
              <w:left w:val="single" w:sz="4" w:space="0" w:color="FFFFFF"/>
              <w:right w:val="single" w:sz="4" w:space="0" w:color="FFFFFF"/>
            </w:tcBorders>
          </w:tcPr>
          <w:p w14:paraId="0000025E" w14:textId="77777777" w:rsidR="00E05BE1" w:rsidRDefault="00E05BE1">
            <w:pPr>
              <w:tabs>
                <w:tab w:val="left" w:pos="2356"/>
              </w:tabs>
              <w:jc w:val="center"/>
              <w:rPr>
                <w:rFonts w:ascii="Arial" w:eastAsia="Arial" w:hAnsi="Arial" w:cs="Arial"/>
                <w:sz w:val="20"/>
                <w:szCs w:val="20"/>
              </w:rPr>
            </w:pPr>
          </w:p>
          <w:p w14:paraId="0000025F"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p-value</w:t>
            </w:r>
          </w:p>
          <w:p w14:paraId="00000260" w14:textId="77777777" w:rsidR="00E05BE1" w:rsidRDefault="00F07326">
            <w:pPr>
              <w:tabs>
                <w:tab w:val="left" w:pos="2356"/>
              </w:tabs>
              <w:jc w:val="center"/>
              <w:rPr>
                <w:rFonts w:ascii="Arial" w:eastAsia="Arial" w:hAnsi="Arial" w:cs="Arial"/>
                <w:sz w:val="20"/>
                <w:szCs w:val="20"/>
              </w:rPr>
            </w:pPr>
            <w:r>
              <w:rPr>
                <w:rFonts w:ascii="Arial" w:eastAsia="Arial" w:hAnsi="Arial" w:cs="Arial"/>
                <w:sz w:val="20"/>
                <w:szCs w:val="20"/>
              </w:rPr>
              <w:t>&lt;0.001</w:t>
            </w:r>
          </w:p>
        </w:tc>
      </w:tr>
    </w:tbl>
    <w:p w14:paraId="00000261" w14:textId="77777777" w:rsidR="00E05BE1" w:rsidRDefault="00E05BE1">
      <w:pPr>
        <w:tabs>
          <w:tab w:val="left" w:pos="2356"/>
        </w:tabs>
        <w:rPr>
          <w:rFonts w:ascii="Arial" w:eastAsia="Arial" w:hAnsi="Arial" w:cs="Arial"/>
        </w:rPr>
      </w:pPr>
    </w:p>
    <w:p w14:paraId="00000262"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6. CONCLUSION</w:t>
      </w:r>
    </w:p>
    <w:p w14:paraId="00000263"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64" w14:textId="77777777" w:rsidR="00E05BE1" w:rsidRDefault="00F07326">
      <w:pPr>
        <w:rPr>
          <w:rFonts w:ascii="Arial" w:eastAsia="Arial" w:hAnsi="Arial" w:cs="Arial"/>
        </w:rPr>
      </w:pPr>
      <w:bookmarkStart w:id="5" w:name="_Hlk226055694"/>
      <w:r>
        <w:rPr>
          <w:rFonts w:ascii="Arial" w:eastAsia="Arial" w:hAnsi="Arial" w:cs="Arial"/>
        </w:rPr>
        <w:t>The respondents of this study were mostly in their 4th year level. The majority had no exposure to chemotherapy units and had not handled cancer patients. The level of knowledge of student nurses on the care of clients undergoing chemotherapy was rated hig</w:t>
      </w:r>
      <w:r>
        <w:rPr>
          <w:rFonts w:ascii="Arial" w:eastAsia="Arial" w:hAnsi="Arial" w:cs="Arial"/>
        </w:rPr>
        <w:t>h, indicating that most respondents possess adequate understanding regarding chemotherapy principles, side effects, patient education, and proper disposal of chemotherapeutic agents. The level of perception of student nurses toward working in a chemotherap</w:t>
      </w:r>
      <w:r>
        <w:rPr>
          <w:rFonts w:ascii="Arial" w:eastAsia="Arial" w:hAnsi="Arial" w:cs="Arial"/>
        </w:rPr>
        <w:t>y unit was rated average. While respondents demonstrated positive beliefs regarding cancer treatment, prevention, and patient recovery, some misconceptions and emotional discomfort toward cancer care were still observed. The level of attitude of student nu</w:t>
      </w:r>
      <w:r>
        <w:rPr>
          <w:rFonts w:ascii="Arial" w:eastAsia="Arial" w:hAnsi="Arial" w:cs="Arial"/>
        </w:rPr>
        <w:t>rses toward providing nursing care for patients undergoing chemotherapy was rated average. Although respondents recognized the importance of patient education and emotional support, some hesitations and concerns regarding chemotherapy care were evident. Th</w:t>
      </w:r>
      <w:r>
        <w:rPr>
          <w:rFonts w:ascii="Arial" w:eastAsia="Arial" w:hAnsi="Arial" w:cs="Arial"/>
        </w:rPr>
        <w:t xml:space="preserve">ere was no significant difference in the level of knowledge, perception, and attitude of student nurses when categorized according to year level, chemotherapy unit exposure, and cancer patient exposure. </w:t>
      </w:r>
    </w:p>
    <w:p w14:paraId="00000265" w14:textId="77777777" w:rsidR="00E05BE1" w:rsidRDefault="00E05BE1">
      <w:pPr>
        <w:rPr>
          <w:rFonts w:ascii="Arial" w:eastAsia="Arial" w:hAnsi="Arial" w:cs="Arial"/>
        </w:rPr>
      </w:pPr>
    </w:p>
    <w:p w14:paraId="00000266" w14:textId="513850DA" w:rsidR="00E05BE1" w:rsidRDefault="00F07326">
      <w:pPr>
        <w:rPr>
          <w:rFonts w:ascii="Arial" w:eastAsia="Arial" w:hAnsi="Arial" w:cs="Arial"/>
        </w:rPr>
      </w:pPr>
      <w:r>
        <w:rPr>
          <w:rFonts w:ascii="Arial" w:eastAsia="Arial" w:hAnsi="Arial" w:cs="Arial"/>
        </w:rPr>
        <w:t>This indicates that these demographic variables did</w:t>
      </w:r>
      <w:r>
        <w:rPr>
          <w:rFonts w:ascii="Arial" w:eastAsia="Arial" w:hAnsi="Arial" w:cs="Arial"/>
        </w:rPr>
        <w:t xml:space="preserve"> not influence their knowledge, perception, and attitude toward chemotherapy care. There was no significant relationship between the level of knowledge and the level of attitude among student nurses toward providing nursing care for patients undergoing </w:t>
      </w:r>
      <w:r w:rsidR="002261EB">
        <w:rPr>
          <w:rFonts w:ascii="Arial" w:eastAsia="Arial" w:hAnsi="Arial" w:cs="Arial"/>
        </w:rPr>
        <w:t>chemotherapy. There</w:t>
      </w:r>
      <w:r>
        <w:rPr>
          <w:rFonts w:ascii="Arial" w:eastAsia="Arial" w:hAnsi="Arial" w:cs="Arial"/>
        </w:rPr>
        <w:t xml:space="preserve"> was a significant positive moderate relationship between the level of perception and the level of attitude. This implies that student nurses with more positive perceptions about cancer and chemotherapy tend to demonstrate better professiona</w:t>
      </w:r>
      <w:r>
        <w:rPr>
          <w:rFonts w:ascii="Arial" w:eastAsia="Arial" w:hAnsi="Arial" w:cs="Arial"/>
        </w:rPr>
        <w:t>l attitudes toward providing chemotherapy care.</w:t>
      </w:r>
    </w:p>
    <w:p w14:paraId="00000267" w14:textId="4E42AA76" w:rsidR="00E05BE1" w:rsidRDefault="00E05BE1">
      <w:pPr>
        <w:rPr>
          <w:rFonts w:ascii="Arial" w:eastAsia="Arial" w:hAnsi="Arial" w:cs="Arial"/>
        </w:rPr>
      </w:pPr>
    </w:p>
    <w:p w14:paraId="6E9258A4" w14:textId="7F5F7B5E" w:rsidR="002261EB" w:rsidRDefault="002261EB">
      <w:pPr>
        <w:rPr>
          <w:rFonts w:ascii="Arial" w:eastAsia="Arial" w:hAnsi="Arial" w:cs="Arial"/>
        </w:rPr>
      </w:pPr>
    </w:p>
    <w:p w14:paraId="0D0CC5A7" w14:textId="77777777" w:rsidR="002261EB" w:rsidRDefault="002261EB">
      <w:pPr>
        <w:rPr>
          <w:rFonts w:ascii="Arial" w:eastAsia="Arial" w:hAnsi="Arial" w:cs="Arial"/>
        </w:rPr>
      </w:pPr>
    </w:p>
    <w:p w14:paraId="00000268" w14:textId="77777777" w:rsidR="00E05BE1" w:rsidRDefault="00F07326">
      <w:pPr>
        <w:rPr>
          <w:rFonts w:ascii="Arial" w:eastAsia="Arial" w:hAnsi="Arial" w:cs="Arial"/>
          <w:b/>
          <w:bCs/>
        </w:rPr>
      </w:pPr>
      <w:r>
        <w:rPr>
          <w:rFonts w:ascii="Arial" w:eastAsia="Arial" w:hAnsi="Arial" w:cs="Arial"/>
          <w:b/>
          <w:bCs/>
        </w:rPr>
        <w:lastRenderedPageBreak/>
        <w:t>7. RECOMMENDATIONS</w:t>
      </w:r>
    </w:p>
    <w:p w14:paraId="00000269" w14:textId="77777777" w:rsidR="00E05BE1" w:rsidRDefault="00E05BE1">
      <w:pPr>
        <w:rPr>
          <w:rFonts w:ascii="Arial" w:eastAsia="Arial" w:hAnsi="Arial" w:cs="Arial"/>
        </w:rPr>
      </w:pPr>
    </w:p>
    <w:p w14:paraId="0000026A" w14:textId="77777777" w:rsidR="00E05BE1" w:rsidRDefault="00F07326">
      <w:pPr>
        <w:rPr>
          <w:rFonts w:ascii="Arial" w:eastAsia="Arial" w:hAnsi="Arial" w:cs="Arial"/>
          <w:color w:val="000000"/>
          <w:highlight w:val="white"/>
        </w:rPr>
      </w:pPr>
      <w:r>
        <w:rPr>
          <w:rFonts w:ascii="Arial" w:eastAsia="Arial" w:hAnsi="Arial" w:cs="Arial"/>
        </w:rPr>
        <w:t xml:space="preserve">It is recommended that student nurses continuously enhance their knowledge and skills in chemotherapy care by attending seminars, participating in oncology-related training, and engaging </w:t>
      </w:r>
      <w:r>
        <w:rPr>
          <w:rFonts w:ascii="Arial" w:eastAsia="Arial" w:hAnsi="Arial" w:cs="Arial"/>
        </w:rPr>
        <w:t>in evidence-based learning, while strengthening their emotional preparedness, confidence, and professional attitudes toward patients with cancer. Nurse educators are advised to integrate comprehensive oncology nursing content into the curriculum, using cas</w:t>
      </w:r>
      <w:r>
        <w:rPr>
          <w:rFonts w:ascii="Arial" w:eastAsia="Arial" w:hAnsi="Arial" w:cs="Arial"/>
        </w:rPr>
        <w:t>e-based discussions, simulations, and clinical exposure, while addressing misconceptions and promoting therapeutic communication skills. Clinical instructors should provide guided oncology experiences, pre-clinical orientations, supervised patient interact</w:t>
      </w:r>
      <w:r>
        <w:rPr>
          <w:rFonts w:ascii="Arial" w:eastAsia="Arial" w:hAnsi="Arial" w:cs="Arial"/>
        </w:rPr>
        <w:t xml:space="preserve">ions, and reflective debriefings. </w:t>
      </w:r>
      <w:r>
        <w:rPr>
          <w:rFonts w:ascii="Arial" w:eastAsia="Arial" w:hAnsi="Arial" w:cs="Arial"/>
          <w:color w:val="000000"/>
          <w:highlight w:val="white"/>
        </w:rPr>
        <w:t xml:space="preserve">Nursing administrators need to provide training on chemotherapy safety, patient-centered care, and psychosocial support to improve oncology nursing quality. </w:t>
      </w:r>
    </w:p>
    <w:p w14:paraId="0000026B" w14:textId="77777777" w:rsidR="00E05BE1" w:rsidRDefault="00E05BE1">
      <w:pPr>
        <w:rPr>
          <w:rFonts w:ascii="Arial" w:eastAsia="Arial" w:hAnsi="Arial" w:cs="Arial"/>
          <w:color w:val="000000"/>
          <w:highlight w:val="white"/>
        </w:rPr>
      </w:pPr>
    </w:p>
    <w:p w14:paraId="0000026C" w14:textId="7C1A2379" w:rsidR="00E05BE1" w:rsidRDefault="00F07326">
      <w:pPr>
        <w:rPr>
          <w:rFonts w:ascii="Arial" w:eastAsia="Arial" w:hAnsi="Arial" w:cs="Arial"/>
        </w:rPr>
      </w:pPr>
      <w:r>
        <w:rPr>
          <w:rFonts w:ascii="Arial" w:eastAsia="Arial" w:hAnsi="Arial" w:cs="Arial"/>
          <w:color w:val="000000"/>
          <w:highlight w:val="white"/>
        </w:rPr>
        <w:t>Hospital personnel have to use study results to address student</w:t>
      </w:r>
      <w:r>
        <w:rPr>
          <w:rFonts w:ascii="Arial" w:eastAsia="Arial" w:hAnsi="Arial" w:cs="Arial"/>
          <w:color w:val="000000"/>
          <w:highlight w:val="white"/>
        </w:rPr>
        <w:t xml:space="preserve"> training gaps and better prepare nurses for clinical oncology practice. Training officers, in coordination with chemotherapy unit staff, can create structured educational activities, lecture sessions, and orientation programs to enhance student </w:t>
      </w:r>
      <w:r w:rsidR="002261EB">
        <w:rPr>
          <w:rFonts w:ascii="Arial" w:eastAsia="Arial" w:hAnsi="Arial" w:cs="Arial"/>
          <w:color w:val="000000"/>
          <w:highlight w:val="white"/>
        </w:rPr>
        <w:t>nurse’s</w:t>
      </w:r>
      <w:r>
        <w:rPr>
          <w:rFonts w:ascii="Arial" w:eastAsia="Arial" w:hAnsi="Arial" w:cs="Arial"/>
          <w:color w:val="000000"/>
          <w:highlight w:val="white"/>
        </w:rPr>
        <w:t xml:space="preserve"> rea</w:t>
      </w:r>
      <w:r>
        <w:rPr>
          <w:rFonts w:ascii="Arial" w:eastAsia="Arial" w:hAnsi="Arial" w:cs="Arial"/>
          <w:color w:val="000000"/>
          <w:highlight w:val="white"/>
        </w:rPr>
        <w:t xml:space="preserve">diness and the overall quality of care. </w:t>
      </w:r>
      <w:r>
        <w:rPr>
          <w:rFonts w:ascii="Arial" w:eastAsia="Arial" w:hAnsi="Arial" w:cs="Arial"/>
        </w:rPr>
        <w:t>Future researchers are encouraged to replicate this study with larger populations or additional variables, or to adopt a qualitative approach to explore student nurses’ experiences and perceptions in chemotherapy car</w:t>
      </w:r>
      <w:r>
        <w:rPr>
          <w:rFonts w:ascii="Arial" w:eastAsia="Arial" w:hAnsi="Arial" w:cs="Arial"/>
        </w:rPr>
        <w:t xml:space="preserve">e, enriching nursing research. </w:t>
      </w:r>
    </w:p>
    <w:p w14:paraId="0000026D" w14:textId="77777777" w:rsidR="00E05BE1" w:rsidRDefault="00E05BE1">
      <w:pPr>
        <w:rPr>
          <w:rFonts w:ascii="Arial" w:eastAsia="Arial" w:hAnsi="Arial" w:cs="Arial"/>
        </w:rPr>
      </w:pPr>
    </w:p>
    <w:p w14:paraId="0000026E" w14:textId="77777777" w:rsidR="00E05BE1" w:rsidRDefault="00F07326">
      <w:pPr>
        <w:rPr>
          <w:rFonts w:ascii="Arial" w:eastAsia="Arial" w:hAnsi="Arial" w:cs="Arial"/>
        </w:rPr>
      </w:pPr>
      <w:r>
        <w:rPr>
          <w:rFonts w:ascii="Arial" w:eastAsia="Arial" w:hAnsi="Arial" w:cs="Arial"/>
          <w:highlight w:val="white"/>
        </w:rPr>
        <w:t>The findings of this study offer practical, evidence-based insights that reinforce the recommended strategies for student nurses, educators, and clinical staff in improving chemotherapy care. However, the results may have limited generalizability due to th</w:t>
      </w:r>
      <w:r>
        <w:rPr>
          <w:rFonts w:ascii="Arial" w:eastAsia="Arial" w:hAnsi="Arial" w:cs="Arial"/>
          <w:highlight w:val="white"/>
        </w:rPr>
        <w:t>e study’s sample size and specific setting. Additionally, certain variables, such as students’ coping mechanisms and emotional experiences, were not examined, which could provide valuable information for refining educational programs and clinical intervent</w:t>
      </w:r>
      <w:r>
        <w:rPr>
          <w:rFonts w:ascii="Arial" w:eastAsia="Arial" w:hAnsi="Arial" w:cs="Arial"/>
          <w:highlight w:val="white"/>
        </w:rPr>
        <w:t>ions</w:t>
      </w:r>
      <w:r>
        <w:rPr>
          <w:rFonts w:ascii="Arial" w:eastAsia="Arial" w:hAnsi="Arial" w:cs="Arial"/>
          <w:color w:val="FFFFFF"/>
          <w:sz w:val="23"/>
          <w:szCs w:val="23"/>
          <w:highlight w:val="white"/>
        </w:rPr>
        <w:t>.</w:t>
      </w:r>
    </w:p>
    <w:p w14:paraId="0000026F"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70" w14:textId="77777777" w:rsidR="00E05BE1" w:rsidRDefault="00F07326">
      <w:pPr>
        <w:rPr>
          <w:rFonts w:ascii="Arial" w:eastAsia="Arial" w:hAnsi="Arial" w:cs="Arial"/>
          <w:b/>
          <w:bCs/>
        </w:rPr>
      </w:pPr>
      <w:r>
        <w:rPr>
          <w:rFonts w:ascii="Arial" w:eastAsia="Arial" w:hAnsi="Arial" w:cs="Arial"/>
          <w:b/>
          <w:bCs/>
        </w:rPr>
        <w:t>8. LIMITATIONS</w:t>
      </w:r>
    </w:p>
    <w:p w14:paraId="00000271" w14:textId="77777777" w:rsidR="00E05BE1" w:rsidRDefault="00E05BE1">
      <w:pPr>
        <w:shd w:val="clear" w:color="auto" w:fill="FFFFFF"/>
        <w:rPr>
          <w:rFonts w:ascii="Arial" w:eastAsia="Arial" w:hAnsi="Arial" w:cs="Arial"/>
        </w:rPr>
      </w:pPr>
    </w:p>
    <w:p w14:paraId="00000272" w14:textId="77777777" w:rsidR="00E05BE1" w:rsidRDefault="00F07326">
      <w:pPr>
        <w:shd w:val="clear" w:color="auto" w:fill="FFFFFF"/>
        <w:rPr>
          <w:rFonts w:ascii="Arial" w:eastAsia="Arial" w:hAnsi="Arial" w:cs="Arial"/>
        </w:rPr>
      </w:pPr>
      <w:r>
        <w:rPr>
          <w:rFonts w:ascii="Arial" w:eastAsia="Arial" w:hAnsi="Arial" w:cs="Arial"/>
        </w:rPr>
        <w:t xml:space="preserve">The limitation of this study was the inclusion of only level 3 and level 4 students. Furthermore, it was confined to one private college in Iloilo City, and not generalized to all student nurses in other schools or regions.  </w:t>
      </w:r>
    </w:p>
    <w:bookmarkEnd w:id="5"/>
    <w:p w14:paraId="00000273" w14:textId="77777777" w:rsidR="00E05BE1" w:rsidRDefault="00E05BE1">
      <w:pPr>
        <w:rPr>
          <w:rFonts w:ascii="Arial" w:eastAsia="Arial" w:hAnsi="Arial" w:cs="Arial"/>
          <w:b/>
          <w:bCs/>
        </w:rPr>
      </w:pPr>
    </w:p>
    <w:p w14:paraId="00000274"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CONSEN</w:t>
      </w:r>
      <w:r>
        <w:rPr>
          <w:rFonts w:ascii="Arial" w:eastAsia="Arial" w:hAnsi="Arial" w:cs="Arial"/>
          <w:b/>
          <w:bCs/>
          <w:smallCaps/>
          <w:color w:val="000000"/>
        </w:rPr>
        <w:t>T</w:t>
      </w:r>
    </w:p>
    <w:p w14:paraId="00000275" w14:textId="77777777" w:rsidR="00E05BE1" w:rsidRDefault="00E05BE1">
      <w:pPr>
        <w:keepNext/>
        <w:pBdr>
          <w:top w:val="nil"/>
          <w:left w:val="nil"/>
          <w:bottom w:val="nil"/>
          <w:right w:val="nil"/>
          <w:between w:val="nil"/>
        </w:pBdr>
        <w:jc w:val="both"/>
        <w:rPr>
          <w:rFonts w:ascii="Arial" w:eastAsia="Arial" w:hAnsi="Arial" w:cs="Arial"/>
          <w:smallCaps/>
          <w:color w:val="000000"/>
        </w:rPr>
      </w:pPr>
    </w:p>
    <w:p w14:paraId="00000276" w14:textId="77777777" w:rsidR="00E05BE1" w:rsidRDefault="00F07326">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As per international standards or university standards, participants’ written consent has been collected and preserved by the authors.</w:t>
      </w:r>
    </w:p>
    <w:p w14:paraId="00000277" w14:textId="77777777" w:rsidR="00E05BE1" w:rsidRDefault="00E05BE1">
      <w:pPr>
        <w:keepNext/>
        <w:pBdr>
          <w:top w:val="nil"/>
          <w:left w:val="nil"/>
          <w:bottom w:val="nil"/>
          <w:right w:val="nil"/>
          <w:between w:val="nil"/>
        </w:pBdr>
        <w:jc w:val="both"/>
        <w:rPr>
          <w:rFonts w:ascii="Arial" w:eastAsia="Arial" w:hAnsi="Arial" w:cs="Arial"/>
          <w:smallCaps/>
          <w:color w:val="000000"/>
        </w:rPr>
      </w:pPr>
    </w:p>
    <w:p w14:paraId="00000278"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ETHICAL APPROVAL</w:t>
      </w:r>
    </w:p>
    <w:p w14:paraId="00000279"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7A" w14:textId="77777777" w:rsidR="00E05BE1" w:rsidRDefault="00F07326">
      <w:pPr>
        <w:rPr>
          <w:rFonts w:ascii="Arial" w:eastAsia="Arial" w:hAnsi="Arial" w:cs="Arial"/>
        </w:rPr>
      </w:pPr>
      <w:r>
        <w:rPr>
          <w:rFonts w:ascii="Arial" w:eastAsia="Arial" w:hAnsi="Arial" w:cs="Arial"/>
        </w:rPr>
        <w:t>As per international standards or university standards written ethical approval has been collected and preserved by the authors.</w:t>
      </w:r>
    </w:p>
    <w:p w14:paraId="0000027B"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7C"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DISCLAIMER (ARTIFICIAL INTELLIGENCE)</w:t>
      </w:r>
    </w:p>
    <w:p w14:paraId="0000027D"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7E" w14:textId="77777777" w:rsidR="00E05BE1" w:rsidRDefault="00F07326">
      <w:pPr>
        <w:rPr>
          <w:rFonts w:ascii="Arial" w:eastAsia="Arial" w:hAnsi="Arial" w:cs="Arial"/>
        </w:rPr>
      </w:pPr>
      <w:r>
        <w:rPr>
          <w:rFonts w:ascii="Arial" w:eastAsia="Arial" w:hAnsi="Arial" w:cs="Arial"/>
        </w:rPr>
        <w:t xml:space="preserve">Authors hereby declare that no generative AI technologies such as large language models </w:t>
      </w:r>
      <w:r>
        <w:rPr>
          <w:rFonts w:ascii="Arial" w:eastAsia="Arial" w:hAnsi="Arial" w:cs="Arial"/>
        </w:rPr>
        <w:t>and text-to-image generators have been used during the writing or editing of this manuscript.</w:t>
      </w:r>
    </w:p>
    <w:p w14:paraId="0000027F"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80"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COMPETING INTEREST</w:t>
      </w:r>
    </w:p>
    <w:p w14:paraId="00000281" w14:textId="77777777" w:rsidR="00E05BE1" w:rsidRDefault="00E05BE1">
      <w:pPr>
        <w:keepNext/>
        <w:pBdr>
          <w:top w:val="nil"/>
          <w:left w:val="nil"/>
          <w:bottom w:val="nil"/>
          <w:right w:val="nil"/>
          <w:between w:val="nil"/>
        </w:pBdr>
        <w:jc w:val="both"/>
        <w:rPr>
          <w:rFonts w:ascii="Arial" w:eastAsia="Arial" w:hAnsi="Arial" w:cs="Arial"/>
          <w:b/>
          <w:bCs/>
          <w:smallCaps/>
          <w:color w:val="000000"/>
        </w:rPr>
      </w:pPr>
    </w:p>
    <w:p w14:paraId="00000282" w14:textId="77777777" w:rsidR="00E05BE1" w:rsidRDefault="00F07326">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Authors have declared that no competing interests exist.</w:t>
      </w:r>
    </w:p>
    <w:p w14:paraId="00000283"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 </w:t>
      </w:r>
    </w:p>
    <w:p w14:paraId="00000284" w14:textId="77777777" w:rsidR="00E05BE1" w:rsidRDefault="00F07326">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REFERENCES </w:t>
      </w:r>
    </w:p>
    <w:p w14:paraId="00000285" w14:textId="77777777" w:rsidR="00E05BE1" w:rsidRDefault="00E05BE1">
      <w:pPr>
        <w:ind w:left="720" w:hanging="720"/>
        <w:rPr>
          <w:rFonts w:ascii="Arial" w:eastAsia="Arial" w:hAnsi="Arial" w:cs="Arial"/>
          <w:highlight w:val="white"/>
        </w:rPr>
      </w:pPr>
    </w:p>
    <w:p w14:paraId="00000286" w14:textId="77777777" w:rsidR="00E05BE1" w:rsidRDefault="00F07326">
      <w:pPr>
        <w:ind w:left="720" w:hanging="720"/>
        <w:rPr>
          <w:rFonts w:ascii="Arial" w:eastAsia="Arial" w:hAnsi="Arial" w:cs="Arial"/>
        </w:rPr>
      </w:pPr>
      <w:proofErr w:type="spellStart"/>
      <w:r>
        <w:rPr>
          <w:rFonts w:ascii="Arial" w:eastAsia="Arial" w:hAnsi="Arial" w:cs="Arial"/>
        </w:rPr>
        <w:t>Afiyanti</w:t>
      </w:r>
      <w:proofErr w:type="spellEnd"/>
      <w:r>
        <w:rPr>
          <w:rFonts w:ascii="Arial" w:eastAsia="Arial" w:hAnsi="Arial" w:cs="Arial"/>
        </w:rPr>
        <w:t xml:space="preserve">, Y., Putri, Y. R., </w:t>
      </w:r>
      <w:proofErr w:type="spellStart"/>
      <w:r>
        <w:rPr>
          <w:rFonts w:ascii="Arial" w:eastAsia="Arial" w:hAnsi="Arial" w:cs="Arial"/>
        </w:rPr>
        <w:t>Dewi</w:t>
      </w:r>
      <w:proofErr w:type="spellEnd"/>
      <w:r>
        <w:rPr>
          <w:rFonts w:ascii="Arial" w:eastAsia="Arial" w:hAnsi="Arial" w:cs="Arial"/>
        </w:rPr>
        <w:t xml:space="preserve">, S., &amp; </w:t>
      </w:r>
      <w:proofErr w:type="spellStart"/>
      <w:r>
        <w:rPr>
          <w:rFonts w:ascii="Arial" w:eastAsia="Arial" w:hAnsi="Arial" w:cs="Arial"/>
        </w:rPr>
        <w:t>Ma’rifah</w:t>
      </w:r>
      <w:proofErr w:type="spellEnd"/>
      <w:r>
        <w:rPr>
          <w:rFonts w:ascii="Arial" w:eastAsia="Arial" w:hAnsi="Arial" w:cs="Arial"/>
        </w:rPr>
        <w:t xml:space="preserve">, A. R. (2023). Breast Cancer Patients’ Experience of Current Health Services as A Holistic Care: A Qualitative Study. </w:t>
      </w:r>
      <w:r>
        <w:rPr>
          <w:rFonts w:ascii="Arial" w:eastAsia="Arial" w:hAnsi="Arial" w:cs="Arial"/>
          <w:i/>
          <w:iCs/>
        </w:rPr>
        <w:t>Malaysian Journal of Medicine and Health Sciences</w:t>
      </w:r>
      <w:r>
        <w:rPr>
          <w:rFonts w:ascii="Arial" w:eastAsia="Arial" w:hAnsi="Arial" w:cs="Arial"/>
        </w:rPr>
        <w:t xml:space="preserve">, </w:t>
      </w:r>
      <w:r>
        <w:rPr>
          <w:rFonts w:ascii="Arial" w:eastAsia="Arial" w:hAnsi="Arial" w:cs="Arial"/>
          <w:i/>
          <w:iCs/>
        </w:rPr>
        <w:t>19</w:t>
      </w:r>
      <w:r>
        <w:rPr>
          <w:rFonts w:ascii="Arial" w:eastAsia="Arial" w:hAnsi="Arial" w:cs="Arial"/>
        </w:rPr>
        <w:t>(6), 127-135.</w:t>
      </w:r>
    </w:p>
    <w:p w14:paraId="00000287" w14:textId="77777777" w:rsidR="00E05BE1" w:rsidRDefault="00F07326">
      <w:pPr>
        <w:ind w:left="720" w:hanging="720"/>
        <w:rPr>
          <w:rFonts w:ascii="Arial" w:eastAsia="Arial" w:hAnsi="Arial" w:cs="Arial"/>
        </w:rPr>
      </w:pPr>
      <w:r>
        <w:rPr>
          <w:rFonts w:ascii="Arial" w:eastAsia="Arial" w:hAnsi="Arial" w:cs="Arial"/>
          <w:highlight w:val="white"/>
        </w:rPr>
        <w:t xml:space="preserve">Al </w:t>
      </w:r>
      <w:proofErr w:type="spellStart"/>
      <w:r>
        <w:rPr>
          <w:rFonts w:ascii="Arial" w:eastAsia="Arial" w:hAnsi="Arial" w:cs="Arial"/>
          <w:highlight w:val="white"/>
        </w:rPr>
        <w:t>Qadire</w:t>
      </w:r>
      <w:proofErr w:type="spellEnd"/>
      <w:r>
        <w:rPr>
          <w:rFonts w:ascii="Arial" w:eastAsia="Arial" w:hAnsi="Arial" w:cs="Arial"/>
          <w:highlight w:val="white"/>
        </w:rPr>
        <w:t>, M., Ballad,</w:t>
      </w:r>
      <w:r>
        <w:rPr>
          <w:rFonts w:ascii="Arial" w:eastAsia="Arial" w:hAnsi="Arial" w:cs="Arial"/>
          <w:highlight w:val="white"/>
        </w:rPr>
        <w:t xml:space="preserve"> C. A. C., Al Omari, O., </w:t>
      </w:r>
      <w:proofErr w:type="spellStart"/>
      <w:r>
        <w:rPr>
          <w:rFonts w:ascii="Arial" w:eastAsia="Arial" w:hAnsi="Arial" w:cs="Arial"/>
          <w:highlight w:val="white"/>
        </w:rPr>
        <w:t>Alkhalaileh</w:t>
      </w:r>
      <w:proofErr w:type="spellEnd"/>
      <w:r>
        <w:rPr>
          <w:rFonts w:ascii="Arial" w:eastAsia="Arial" w:hAnsi="Arial" w:cs="Arial"/>
          <w:highlight w:val="white"/>
        </w:rPr>
        <w:t xml:space="preserve">, M., </w:t>
      </w:r>
      <w:proofErr w:type="spellStart"/>
      <w:r>
        <w:rPr>
          <w:rFonts w:ascii="Arial" w:eastAsia="Arial" w:hAnsi="Arial" w:cs="Arial"/>
          <w:highlight w:val="white"/>
        </w:rPr>
        <w:t>Sharour</w:t>
      </w:r>
      <w:proofErr w:type="spellEnd"/>
      <w:r>
        <w:rPr>
          <w:rFonts w:ascii="Arial" w:eastAsia="Arial" w:hAnsi="Arial" w:cs="Arial"/>
          <w:highlight w:val="white"/>
        </w:rPr>
        <w:t xml:space="preserve">, L. A., Khalaf, A., &amp; </w:t>
      </w:r>
      <w:proofErr w:type="spellStart"/>
      <w:r>
        <w:rPr>
          <w:rFonts w:ascii="Arial" w:eastAsia="Arial" w:hAnsi="Arial" w:cs="Arial"/>
          <w:highlight w:val="white"/>
        </w:rPr>
        <w:t>Aljezawi</w:t>
      </w:r>
      <w:proofErr w:type="spellEnd"/>
      <w:r>
        <w:rPr>
          <w:rFonts w:ascii="Arial" w:eastAsia="Arial" w:hAnsi="Arial" w:cs="Arial"/>
          <w:highlight w:val="white"/>
        </w:rPr>
        <w:t xml:space="preserve">, M. (2021). Student nurses' knowledge about the management of chemotherapy-induced neutropenia: Multi-national survey. </w:t>
      </w:r>
      <w:r>
        <w:rPr>
          <w:rFonts w:ascii="Arial" w:eastAsia="Arial" w:hAnsi="Arial" w:cs="Arial"/>
          <w:i/>
          <w:iCs/>
          <w:highlight w:val="white"/>
        </w:rPr>
        <w:t>Nurse education today</w:t>
      </w:r>
      <w:r>
        <w:rPr>
          <w:rFonts w:ascii="Arial" w:eastAsia="Arial" w:hAnsi="Arial" w:cs="Arial"/>
          <w:highlight w:val="white"/>
        </w:rPr>
        <w:t xml:space="preserve">, </w:t>
      </w:r>
      <w:r>
        <w:rPr>
          <w:rFonts w:ascii="Arial" w:eastAsia="Arial" w:hAnsi="Arial" w:cs="Arial"/>
          <w:i/>
          <w:iCs/>
        </w:rPr>
        <w:t>105</w:t>
      </w:r>
      <w:r>
        <w:rPr>
          <w:rFonts w:ascii="Arial" w:eastAsia="Arial" w:hAnsi="Arial" w:cs="Arial"/>
        </w:rPr>
        <w:t xml:space="preserve">, 105053. </w:t>
      </w:r>
      <w:hyperlink r:id="rId15">
        <w:r>
          <w:rPr>
            <w:rFonts w:ascii="Arial" w:eastAsia="Arial" w:hAnsi="Arial" w:cs="Arial"/>
          </w:rPr>
          <w:t>https://doi.org/10.1016/j.nedt.2021.105053</w:t>
        </w:r>
      </w:hyperlink>
    </w:p>
    <w:p w14:paraId="00000288" w14:textId="77777777" w:rsidR="00E05BE1" w:rsidRDefault="00F07326">
      <w:pPr>
        <w:ind w:left="720" w:hanging="720"/>
        <w:rPr>
          <w:rFonts w:ascii="Arial" w:eastAsia="Arial" w:hAnsi="Arial" w:cs="Arial"/>
        </w:rPr>
      </w:pPr>
      <w:proofErr w:type="spellStart"/>
      <w:r>
        <w:rPr>
          <w:rFonts w:ascii="Arial" w:eastAsia="Arial" w:hAnsi="Arial" w:cs="Arial"/>
        </w:rPr>
        <w:t>Alzahrani</w:t>
      </w:r>
      <w:proofErr w:type="spellEnd"/>
      <w:r>
        <w:rPr>
          <w:rFonts w:ascii="Arial" w:eastAsia="Arial" w:hAnsi="Arial" w:cs="Arial"/>
        </w:rPr>
        <w:t xml:space="preserve">, M. M., Alghamdi, A. A., Alghamdi, S. A., &amp; Alotaibi, R. K. (2022). </w:t>
      </w:r>
      <w:r>
        <w:rPr>
          <w:rFonts w:ascii="Arial" w:eastAsia="Arial" w:hAnsi="Arial" w:cs="Arial"/>
          <w:i/>
          <w:iCs/>
        </w:rPr>
        <w:t>Knowledge and attitude of dentists towards obstructive sleep apnea</w:t>
      </w:r>
      <w:r>
        <w:rPr>
          <w:rFonts w:ascii="Arial" w:eastAsia="Arial" w:hAnsi="Arial" w:cs="Arial"/>
        </w:rPr>
        <w:t xml:space="preserve">. </w:t>
      </w:r>
      <w:r>
        <w:rPr>
          <w:rFonts w:ascii="Arial" w:eastAsia="Arial" w:hAnsi="Arial" w:cs="Arial"/>
          <w:i/>
          <w:iCs/>
        </w:rPr>
        <w:t>Interna</w:t>
      </w:r>
      <w:r>
        <w:rPr>
          <w:rFonts w:ascii="Arial" w:eastAsia="Arial" w:hAnsi="Arial" w:cs="Arial"/>
          <w:i/>
          <w:iCs/>
        </w:rPr>
        <w:t>tional Dental Journal</w:t>
      </w:r>
      <w:r>
        <w:rPr>
          <w:rFonts w:ascii="Arial" w:eastAsia="Arial" w:hAnsi="Arial" w:cs="Arial"/>
        </w:rPr>
        <w:t xml:space="preserve">, </w:t>
      </w:r>
      <w:r>
        <w:rPr>
          <w:rFonts w:ascii="Arial" w:eastAsia="Arial" w:hAnsi="Arial" w:cs="Arial"/>
          <w:i/>
          <w:iCs/>
        </w:rPr>
        <w:t>72</w:t>
      </w:r>
      <w:r>
        <w:rPr>
          <w:rFonts w:ascii="Arial" w:eastAsia="Arial" w:hAnsi="Arial" w:cs="Arial"/>
        </w:rPr>
        <w:t>(3), 315–321. https://doi.org/10.1016/j.identj.2021.05.004</w:t>
      </w:r>
    </w:p>
    <w:p w14:paraId="00000289" w14:textId="77777777" w:rsidR="00E05BE1" w:rsidRDefault="00F07326">
      <w:pPr>
        <w:ind w:left="720" w:hanging="720"/>
        <w:rPr>
          <w:rFonts w:ascii="Arial" w:eastAsia="Arial" w:hAnsi="Arial" w:cs="Arial"/>
        </w:rPr>
      </w:pPr>
      <w:r>
        <w:rPr>
          <w:rFonts w:ascii="Arial" w:eastAsia="Arial" w:hAnsi="Arial" w:cs="Arial"/>
        </w:rPr>
        <w:t xml:space="preserve">Bacolod, R., (2020) Sample Size Calculator by </w:t>
      </w:r>
      <w:proofErr w:type="spellStart"/>
      <w:r>
        <w:rPr>
          <w:rFonts w:ascii="Arial" w:eastAsia="Arial" w:hAnsi="Arial" w:cs="Arial"/>
        </w:rPr>
        <w:t>Raosoft</w:t>
      </w:r>
      <w:proofErr w:type="spellEnd"/>
      <w:r>
        <w:rPr>
          <w:rFonts w:ascii="Arial" w:eastAsia="Arial" w:hAnsi="Arial" w:cs="Arial"/>
        </w:rPr>
        <w:t>, Inc. https://www.scribd.com/document/475567059/Sample-Size-Calculator-by-Raosoft-Inc</w:t>
      </w:r>
    </w:p>
    <w:p w14:paraId="0000028A" w14:textId="77777777" w:rsidR="00E05BE1" w:rsidRDefault="00F07326">
      <w:pPr>
        <w:ind w:left="720" w:hanging="720"/>
        <w:rPr>
          <w:rFonts w:ascii="Arial" w:eastAsia="Arial" w:hAnsi="Arial" w:cs="Arial"/>
        </w:rPr>
      </w:pPr>
      <w:r>
        <w:rPr>
          <w:rFonts w:ascii="Arial" w:eastAsia="Arial" w:hAnsi="Arial" w:cs="Arial"/>
        </w:rPr>
        <w:t xml:space="preserve">Bagheri, M., </w:t>
      </w:r>
      <w:proofErr w:type="spellStart"/>
      <w:r>
        <w:rPr>
          <w:rFonts w:ascii="Arial" w:eastAsia="Arial" w:hAnsi="Arial" w:cs="Arial"/>
        </w:rPr>
        <w:t>Ashouri</w:t>
      </w:r>
      <w:proofErr w:type="spellEnd"/>
      <w:r>
        <w:rPr>
          <w:rFonts w:ascii="Arial" w:eastAsia="Arial" w:hAnsi="Arial" w:cs="Arial"/>
        </w:rPr>
        <w:t xml:space="preserve">, E., &amp; </w:t>
      </w:r>
      <w:proofErr w:type="spellStart"/>
      <w:r>
        <w:rPr>
          <w:rFonts w:ascii="Arial" w:eastAsia="Arial" w:hAnsi="Arial" w:cs="Arial"/>
        </w:rPr>
        <w:t>Moha</w:t>
      </w:r>
      <w:r>
        <w:rPr>
          <w:rFonts w:ascii="Arial" w:eastAsia="Arial" w:hAnsi="Arial" w:cs="Arial"/>
        </w:rPr>
        <w:t>mmadi</w:t>
      </w:r>
      <w:proofErr w:type="spellEnd"/>
      <w:r>
        <w:rPr>
          <w:rFonts w:ascii="Arial" w:eastAsia="Arial" w:hAnsi="Arial" w:cs="Arial"/>
        </w:rPr>
        <w:t xml:space="preserve"> </w:t>
      </w:r>
      <w:proofErr w:type="spellStart"/>
      <w:r>
        <w:rPr>
          <w:rFonts w:ascii="Arial" w:eastAsia="Arial" w:hAnsi="Arial" w:cs="Arial"/>
        </w:rPr>
        <w:t>Pelarti</w:t>
      </w:r>
      <w:proofErr w:type="spellEnd"/>
      <w:r>
        <w:rPr>
          <w:rFonts w:ascii="Arial" w:eastAsia="Arial" w:hAnsi="Arial" w:cs="Arial"/>
        </w:rPr>
        <w:t xml:space="preserve">, A. (2023). Nursing students’ reflections on the clinical learning environment of the oncology unit: a qualitative study. </w:t>
      </w:r>
      <w:r>
        <w:rPr>
          <w:rFonts w:ascii="Arial" w:eastAsia="Arial" w:hAnsi="Arial" w:cs="Arial"/>
          <w:i/>
          <w:iCs/>
        </w:rPr>
        <w:t>Journal of Qualitative Research in Health Sciences</w:t>
      </w:r>
      <w:r>
        <w:rPr>
          <w:rFonts w:ascii="Arial" w:eastAsia="Arial" w:hAnsi="Arial" w:cs="Arial"/>
        </w:rPr>
        <w:t xml:space="preserve">, </w:t>
      </w:r>
      <w:r>
        <w:rPr>
          <w:rFonts w:ascii="Arial" w:eastAsia="Arial" w:hAnsi="Arial" w:cs="Arial"/>
          <w:i/>
          <w:iCs/>
        </w:rPr>
        <w:t>12</w:t>
      </w:r>
      <w:r>
        <w:rPr>
          <w:rFonts w:ascii="Arial" w:eastAsia="Arial" w:hAnsi="Arial" w:cs="Arial"/>
        </w:rPr>
        <w:t>(3), 129-136.</w:t>
      </w:r>
    </w:p>
    <w:p w14:paraId="0000028B" w14:textId="77777777" w:rsidR="00E05BE1" w:rsidRDefault="00F07326">
      <w:pPr>
        <w:ind w:left="720" w:hanging="720"/>
        <w:rPr>
          <w:rFonts w:ascii="Arial" w:eastAsia="Arial" w:hAnsi="Arial" w:cs="Arial"/>
        </w:rPr>
      </w:pPr>
      <w:proofErr w:type="spellStart"/>
      <w:r>
        <w:rPr>
          <w:rFonts w:ascii="Arial" w:eastAsia="Arial" w:hAnsi="Arial" w:cs="Arial"/>
          <w:highlight w:val="white"/>
        </w:rPr>
        <w:t>Bernabeu</w:t>
      </w:r>
      <w:proofErr w:type="spellEnd"/>
      <w:r>
        <w:rPr>
          <w:rFonts w:ascii="Arial" w:eastAsia="Arial" w:hAnsi="Arial" w:cs="Arial"/>
          <w:highlight w:val="white"/>
        </w:rPr>
        <w:t>-Martínez, M. Á., Sánchez-</w:t>
      </w:r>
      <w:proofErr w:type="spellStart"/>
      <w:r>
        <w:rPr>
          <w:rFonts w:ascii="Arial" w:eastAsia="Arial" w:hAnsi="Arial" w:cs="Arial"/>
          <w:highlight w:val="white"/>
        </w:rPr>
        <w:t>Tormo</w:t>
      </w:r>
      <w:proofErr w:type="spellEnd"/>
      <w:r>
        <w:rPr>
          <w:rFonts w:ascii="Arial" w:eastAsia="Arial" w:hAnsi="Arial" w:cs="Arial"/>
          <w:highlight w:val="white"/>
        </w:rPr>
        <w:t>, J., García-</w:t>
      </w:r>
      <w:proofErr w:type="spellStart"/>
      <w:r>
        <w:rPr>
          <w:rFonts w:ascii="Arial" w:eastAsia="Arial" w:hAnsi="Arial" w:cs="Arial"/>
          <w:highlight w:val="white"/>
        </w:rPr>
        <w:t>Salom</w:t>
      </w:r>
      <w:proofErr w:type="spellEnd"/>
      <w:r>
        <w:rPr>
          <w:rFonts w:ascii="Arial" w:eastAsia="Arial" w:hAnsi="Arial" w:cs="Arial"/>
          <w:highlight w:val="white"/>
        </w:rPr>
        <w:t xml:space="preserve">, P., Sanz-Valero, J., &amp; </w:t>
      </w:r>
      <w:proofErr w:type="spellStart"/>
      <w:r>
        <w:rPr>
          <w:rFonts w:ascii="Arial" w:eastAsia="Arial" w:hAnsi="Arial" w:cs="Arial"/>
          <w:highlight w:val="white"/>
        </w:rPr>
        <w:t>Wanden-Berghe</w:t>
      </w:r>
      <w:proofErr w:type="spellEnd"/>
      <w:r>
        <w:rPr>
          <w:rFonts w:ascii="Arial" w:eastAsia="Arial" w:hAnsi="Arial" w:cs="Arial"/>
          <w:highlight w:val="white"/>
        </w:rPr>
        <w:t xml:space="preserve">, C. (2021). Perception of risk of exposure in the management of hazardous drugs in home hospitalization and hospital units. </w:t>
      </w:r>
      <w:proofErr w:type="spellStart"/>
      <w:r>
        <w:rPr>
          <w:rFonts w:ascii="Arial" w:eastAsia="Arial" w:hAnsi="Arial" w:cs="Arial"/>
          <w:i/>
          <w:iCs/>
          <w:highlight w:val="white"/>
        </w:rPr>
        <w:t>PLoS</w:t>
      </w:r>
      <w:proofErr w:type="spellEnd"/>
      <w:r>
        <w:rPr>
          <w:rFonts w:ascii="Arial" w:eastAsia="Arial" w:hAnsi="Arial" w:cs="Arial"/>
          <w:i/>
          <w:iCs/>
          <w:highlight w:val="white"/>
        </w:rPr>
        <w:t xml:space="preserve"> One</w:t>
      </w:r>
      <w:r>
        <w:rPr>
          <w:rFonts w:ascii="Arial" w:eastAsia="Arial" w:hAnsi="Arial" w:cs="Arial"/>
          <w:highlight w:val="white"/>
        </w:rPr>
        <w:t xml:space="preserve">, </w:t>
      </w:r>
      <w:r>
        <w:rPr>
          <w:rFonts w:ascii="Arial" w:eastAsia="Arial" w:hAnsi="Arial" w:cs="Arial"/>
          <w:i/>
          <w:iCs/>
          <w:highlight w:val="white"/>
        </w:rPr>
        <w:t>16</w:t>
      </w:r>
      <w:r>
        <w:rPr>
          <w:rFonts w:ascii="Arial" w:eastAsia="Arial" w:hAnsi="Arial" w:cs="Arial"/>
          <w:highlight w:val="white"/>
        </w:rPr>
        <w:t>(7), e0253909.</w:t>
      </w:r>
    </w:p>
    <w:p w14:paraId="0000028C" w14:textId="77777777" w:rsidR="00E05BE1" w:rsidRDefault="00F07326">
      <w:pPr>
        <w:ind w:left="720" w:hanging="720"/>
        <w:rPr>
          <w:rFonts w:ascii="Arial" w:eastAsia="Arial" w:hAnsi="Arial" w:cs="Arial"/>
          <w:highlight w:val="white"/>
        </w:rPr>
      </w:pPr>
      <w:r>
        <w:rPr>
          <w:rFonts w:ascii="Arial" w:eastAsia="Arial" w:hAnsi="Arial" w:cs="Arial"/>
          <w:highlight w:val="white"/>
        </w:rPr>
        <w:t>Choudhary, V. S. (2016). Assessment of the knowledge and atti</w:t>
      </w:r>
      <w:r>
        <w:rPr>
          <w:rFonts w:ascii="Arial" w:eastAsia="Arial" w:hAnsi="Arial" w:cs="Arial"/>
          <w:highlight w:val="white"/>
        </w:rPr>
        <w:t xml:space="preserve">tudes of staff nurses on nursing care of cancer patients undergoing chemotherapy at selected cancer hospitals of Punjab. </w:t>
      </w:r>
      <w:r>
        <w:rPr>
          <w:rFonts w:ascii="Arial" w:eastAsia="Arial" w:hAnsi="Arial" w:cs="Arial"/>
          <w:i/>
          <w:iCs/>
          <w:highlight w:val="white"/>
        </w:rPr>
        <w:t>Nursing &amp; Care Open Access Journal</w:t>
      </w:r>
      <w:r>
        <w:rPr>
          <w:rFonts w:ascii="Arial" w:eastAsia="Arial" w:hAnsi="Arial" w:cs="Arial"/>
          <w:highlight w:val="white"/>
        </w:rPr>
        <w:t xml:space="preserve">, </w:t>
      </w:r>
      <w:r>
        <w:rPr>
          <w:rFonts w:ascii="Arial" w:eastAsia="Arial" w:hAnsi="Arial" w:cs="Arial"/>
          <w:i/>
          <w:iCs/>
          <w:highlight w:val="white"/>
        </w:rPr>
        <w:t>1</w:t>
      </w:r>
      <w:r>
        <w:rPr>
          <w:rFonts w:ascii="Arial" w:eastAsia="Arial" w:hAnsi="Arial" w:cs="Arial"/>
          <w:highlight w:val="white"/>
        </w:rPr>
        <w:t>(2), 18-24.</w:t>
      </w:r>
    </w:p>
    <w:p w14:paraId="0000028D"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Dela Rosa, R. D., </w:t>
      </w:r>
      <w:proofErr w:type="spellStart"/>
      <w:r>
        <w:rPr>
          <w:rFonts w:ascii="Arial" w:eastAsia="Arial" w:hAnsi="Arial" w:cs="Arial"/>
          <w:highlight w:val="white"/>
        </w:rPr>
        <w:t>Olivar</w:t>
      </w:r>
      <w:proofErr w:type="spellEnd"/>
      <w:r>
        <w:rPr>
          <w:rFonts w:ascii="Arial" w:eastAsia="Arial" w:hAnsi="Arial" w:cs="Arial"/>
          <w:highlight w:val="white"/>
        </w:rPr>
        <w:t xml:space="preserve">, J. J. R., </w:t>
      </w:r>
      <w:proofErr w:type="spellStart"/>
      <w:r>
        <w:rPr>
          <w:rFonts w:ascii="Arial" w:eastAsia="Arial" w:hAnsi="Arial" w:cs="Arial"/>
          <w:highlight w:val="white"/>
        </w:rPr>
        <w:t>Roa</w:t>
      </w:r>
      <w:proofErr w:type="spellEnd"/>
      <w:r>
        <w:rPr>
          <w:rFonts w:ascii="Arial" w:eastAsia="Arial" w:hAnsi="Arial" w:cs="Arial"/>
          <w:highlight w:val="white"/>
        </w:rPr>
        <w:t xml:space="preserve">, M. N. T., &amp; </w:t>
      </w:r>
      <w:proofErr w:type="spellStart"/>
      <w:r>
        <w:rPr>
          <w:rFonts w:ascii="Arial" w:eastAsia="Arial" w:hAnsi="Arial" w:cs="Arial"/>
          <w:highlight w:val="white"/>
        </w:rPr>
        <w:t>Lamei</w:t>
      </w:r>
      <w:proofErr w:type="spellEnd"/>
      <w:r>
        <w:rPr>
          <w:rFonts w:ascii="Arial" w:eastAsia="Arial" w:hAnsi="Arial" w:cs="Arial"/>
          <w:highlight w:val="white"/>
        </w:rPr>
        <w:t>, L. (2025). Post-surgical c</w:t>
      </w:r>
      <w:r>
        <w:rPr>
          <w:rFonts w:ascii="Arial" w:eastAsia="Arial" w:hAnsi="Arial" w:cs="Arial"/>
          <w:highlight w:val="white"/>
        </w:rPr>
        <w:t xml:space="preserve">hemotherapeutics’ experiences of patients with cancer in the lens of student nurses. </w:t>
      </w:r>
      <w:r>
        <w:rPr>
          <w:rFonts w:ascii="Arial" w:eastAsia="Arial" w:hAnsi="Arial" w:cs="Arial"/>
          <w:i/>
          <w:iCs/>
          <w:highlight w:val="white"/>
        </w:rPr>
        <w:t>Asian Journal of Research in Nursing and Health, 8</w:t>
      </w:r>
      <w:r>
        <w:rPr>
          <w:rFonts w:ascii="Arial" w:eastAsia="Arial" w:hAnsi="Arial" w:cs="Arial"/>
          <w:highlight w:val="white"/>
        </w:rPr>
        <w:t>(1), 247–257.</w:t>
      </w:r>
      <w:hyperlink r:id="rId16">
        <w:r>
          <w:rPr>
            <w:rFonts w:ascii="Arial" w:eastAsia="Arial" w:hAnsi="Arial" w:cs="Arial"/>
            <w:highlight w:val="white"/>
          </w:rPr>
          <w:t xml:space="preserve"> https://doi.org/10.9734/ajrnh/2025/v8i1201</w:t>
        </w:r>
      </w:hyperlink>
    </w:p>
    <w:p w14:paraId="0000028E" w14:textId="77777777" w:rsidR="00E05BE1" w:rsidRDefault="00F07326">
      <w:pPr>
        <w:ind w:left="720" w:hanging="720"/>
        <w:rPr>
          <w:rFonts w:ascii="Arial" w:eastAsia="Arial" w:hAnsi="Arial" w:cs="Arial"/>
          <w:highlight w:val="white"/>
        </w:rPr>
      </w:pPr>
      <w:r>
        <w:rPr>
          <w:rFonts w:ascii="Arial" w:eastAsia="Arial" w:hAnsi="Arial" w:cs="Arial"/>
          <w:highlight w:val="white"/>
        </w:rPr>
        <w:t>Di</w:t>
      </w:r>
      <w:r>
        <w:rPr>
          <w:rFonts w:ascii="Arial" w:eastAsia="Arial" w:hAnsi="Arial" w:cs="Arial"/>
          <w:highlight w:val="white"/>
        </w:rPr>
        <w:t xml:space="preserve">ctionary.com. (n.d.). Student nurse. In Dictionary.com. Retrieved September 25, 2025, from </w:t>
      </w:r>
      <w:hyperlink r:id="rId17">
        <w:r>
          <w:rPr>
            <w:rFonts w:ascii="Arial" w:eastAsia="Arial" w:hAnsi="Arial" w:cs="Arial"/>
            <w:highlight w:val="white"/>
          </w:rPr>
          <w:t>https://www.dictionary.com/browse/student-nurse</w:t>
        </w:r>
      </w:hyperlink>
    </w:p>
    <w:p w14:paraId="0000028F" w14:textId="77777777" w:rsidR="00E05BE1" w:rsidRDefault="00F07326">
      <w:pPr>
        <w:ind w:left="720" w:hanging="720"/>
        <w:rPr>
          <w:rFonts w:ascii="Arial" w:eastAsia="Arial" w:hAnsi="Arial" w:cs="Arial"/>
        </w:rPr>
      </w:pPr>
      <w:proofErr w:type="spellStart"/>
      <w:r>
        <w:rPr>
          <w:rFonts w:ascii="Arial" w:eastAsia="Arial" w:hAnsi="Arial" w:cs="Arial"/>
        </w:rPr>
        <w:t>Gasat</w:t>
      </w:r>
      <w:proofErr w:type="spellEnd"/>
      <w:r>
        <w:rPr>
          <w:rFonts w:ascii="Arial" w:eastAsia="Arial" w:hAnsi="Arial" w:cs="Arial"/>
        </w:rPr>
        <w:t xml:space="preserve">, V. J. P., &amp; </w:t>
      </w:r>
      <w:proofErr w:type="spellStart"/>
      <w:r>
        <w:rPr>
          <w:rFonts w:ascii="Arial" w:eastAsia="Arial" w:hAnsi="Arial" w:cs="Arial"/>
        </w:rPr>
        <w:t>Remon</w:t>
      </w:r>
      <w:proofErr w:type="spellEnd"/>
      <w:r>
        <w:rPr>
          <w:rFonts w:ascii="Arial" w:eastAsia="Arial" w:hAnsi="Arial" w:cs="Arial"/>
        </w:rPr>
        <w:t>, A. R. (2025). Competency</w:t>
      </w:r>
      <w:r>
        <w:rPr>
          <w:rFonts w:ascii="Arial" w:eastAsia="Arial" w:hAnsi="Arial" w:cs="Arial"/>
        </w:rPr>
        <w:t xml:space="preserve"> of Oncology Nurses in the Safe Handling of Chemotherapeutic Drugs. </w:t>
      </w:r>
      <w:r>
        <w:rPr>
          <w:rFonts w:ascii="Arial" w:eastAsia="Arial" w:hAnsi="Arial" w:cs="Arial"/>
          <w:i/>
          <w:iCs/>
        </w:rPr>
        <w:t xml:space="preserve">Acta </w:t>
      </w:r>
      <w:proofErr w:type="spellStart"/>
      <w:r>
        <w:rPr>
          <w:rFonts w:ascii="Arial" w:eastAsia="Arial" w:hAnsi="Arial" w:cs="Arial"/>
          <w:i/>
          <w:iCs/>
        </w:rPr>
        <w:t>Medica</w:t>
      </w:r>
      <w:proofErr w:type="spellEnd"/>
      <w:r>
        <w:rPr>
          <w:rFonts w:ascii="Arial" w:eastAsia="Arial" w:hAnsi="Arial" w:cs="Arial"/>
          <w:i/>
          <w:iCs/>
        </w:rPr>
        <w:t xml:space="preserve"> </w:t>
      </w:r>
      <w:proofErr w:type="spellStart"/>
      <w:r>
        <w:rPr>
          <w:rFonts w:ascii="Arial" w:eastAsia="Arial" w:hAnsi="Arial" w:cs="Arial"/>
          <w:i/>
          <w:iCs/>
        </w:rPr>
        <w:t>Philippina</w:t>
      </w:r>
      <w:proofErr w:type="spellEnd"/>
      <w:r>
        <w:rPr>
          <w:rFonts w:ascii="Arial" w:eastAsia="Arial" w:hAnsi="Arial" w:cs="Arial"/>
        </w:rPr>
        <w:t xml:space="preserve">, </w:t>
      </w:r>
      <w:r>
        <w:rPr>
          <w:rFonts w:ascii="Arial" w:eastAsia="Arial" w:hAnsi="Arial" w:cs="Arial"/>
          <w:i/>
          <w:iCs/>
        </w:rPr>
        <w:t>59</w:t>
      </w:r>
      <w:r>
        <w:rPr>
          <w:rFonts w:ascii="Arial" w:eastAsia="Arial" w:hAnsi="Arial" w:cs="Arial"/>
        </w:rPr>
        <w:t>(11), 63.</w:t>
      </w:r>
    </w:p>
    <w:p w14:paraId="00000290"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Hayek, M. F., Hammad, B. M., </w:t>
      </w:r>
      <w:proofErr w:type="spellStart"/>
      <w:r>
        <w:rPr>
          <w:rFonts w:ascii="Arial" w:eastAsia="Arial" w:hAnsi="Arial" w:cs="Arial"/>
          <w:highlight w:val="white"/>
        </w:rPr>
        <w:t>Eqtait</w:t>
      </w:r>
      <w:proofErr w:type="spellEnd"/>
      <w:r>
        <w:rPr>
          <w:rFonts w:ascii="Arial" w:eastAsia="Arial" w:hAnsi="Arial" w:cs="Arial"/>
          <w:highlight w:val="white"/>
        </w:rPr>
        <w:t xml:space="preserve">, F. A., Al </w:t>
      </w:r>
      <w:proofErr w:type="spellStart"/>
      <w:r>
        <w:rPr>
          <w:rFonts w:ascii="Arial" w:eastAsia="Arial" w:hAnsi="Arial" w:cs="Arial"/>
          <w:highlight w:val="white"/>
        </w:rPr>
        <w:t>Qadiri</w:t>
      </w:r>
      <w:proofErr w:type="spellEnd"/>
      <w:r>
        <w:rPr>
          <w:rFonts w:ascii="Arial" w:eastAsia="Arial" w:hAnsi="Arial" w:cs="Arial"/>
          <w:highlight w:val="white"/>
        </w:rPr>
        <w:t xml:space="preserve">, E., </w:t>
      </w:r>
      <w:proofErr w:type="spellStart"/>
      <w:r>
        <w:rPr>
          <w:rFonts w:ascii="Arial" w:eastAsia="Arial" w:hAnsi="Arial" w:cs="Arial"/>
          <w:highlight w:val="white"/>
        </w:rPr>
        <w:t>Saffarini</w:t>
      </w:r>
      <w:proofErr w:type="spellEnd"/>
      <w:r>
        <w:rPr>
          <w:rFonts w:ascii="Arial" w:eastAsia="Arial" w:hAnsi="Arial" w:cs="Arial"/>
          <w:highlight w:val="white"/>
        </w:rPr>
        <w:t xml:space="preserve">, R. A., </w:t>
      </w:r>
      <w:proofErr w:type="spellStart"/>
      <w:r>
        <w:rPr>
          <w:rFonts w:ascii="Arial" w:eastAsia="Arial" w:hAnsi="Arial" w:cs="Arial"/>
          <w:highlight w:val="white"/>
        </w:rPr>
        <w:t>Zaqout</w:t>
      </w:r>
      <w:proofErr w:type="spellEnd"/>
      <w:r>
        <w:rPr>
          <w:rFonts w:ascii="Arial" w:eastAsia="Arial" w:hAnsi="Arial" w:cs="Arial"/>
          <w:highlight w:val="white"/>
        </w:rPr>
        <w:t xml:space="preserve">, Y., </w:t>
      </w:r>
      <w:proofErr w:type="spellStart"/>
      <w:r>
        <w:rPr>
          <w:rFonts w:ascii="Arial" w:eastAsia="Arial" w:hAnsi="Arial" w:cs="Arial"/>
          <w:highlight w:val="white"/>
        </w:rPr>
        <w:t>Hweidi</w:t>
      </w:r>
      <w:proofErr w:type="spellEnd"/>
      <w:r>
        <w:rPr>
          <w:rFonts w:ascii="Arial" w:eastAsia="Arial" w:hAnsi="Arial" w:cs="Arial"/>
          <w:highlight w:val="white"/>
        </w:rPr>
        <w:t>, I., Al-</w:t>
      </w:r>
      <w:proofErr w:type="spellStart"/>
      <w:r>
        <w:rPr>
          <w:rFonts w:ascii="Arial" w:eastAsia="Arial" w:hAnsi="Arial" w:cs="Arial"/>
          <w:highlight w:val="white"/>
        </w:rPr>
        <w:t>Zyoud</w:t>
      </w:r>
      <w:proofErr w:type="spellEnd"/>
      <w:r>
        <w:rPr>
          <w:rFonts w:ascii="Arial" w:eastAsia="Arial" w:hAnsi="Arial" w:cs="Arial"/>
          <w:highlight w:val="white"/>
        </w:rPr>
        <w:t xml:space="preserve">, S., &amp; </w:t>
      </w:r>
      <w:proofErr w:type="spellStart"/>
      <w:r>
        <w:rPr>
          <w:rFonts w:ascii="Arial" w:eastAsia="Arial" w:hAnsi="Arial" w:cs="Arial"/>
          <w:highlight w:val="white"/>
        </w:rPr>
        <w:t>Shkoukani</w:t>
      </w:r>
      <w:proofErr w:type="spellEnd"/>
      <w:r>
        <w:rPr>
          <w:rFonts w:ascii="Arial" w:eastAsia="Arial" w:hAnsi="Arial" w:cs="Arial"/>
          <w:highlight w:val="white"/>
        </w:rPr>
        <w:t>, H. (2025). Enhancing onc</w:t>
      </w:r>
      <w:r>
        <w:rPr>
          <w:rFonts w:ascii="Arial" w:eastAsia="Arial" w:hAnsi="Arial" w:cs="Arial"/>
          <w:highlight w:val="white"/>
        </w:rPr>
        <w:t>ology patient care: Nurses’ knowledge, attitudes, and perceived benefits of early palliative integration—A cross-sectional study. BMC Palliative Care, 24(1), 7. https://doi.org/10.1186/s12904-024-01449-7</w:t>
      </w:r>
    </w:p>
    <w:p w14:paraId="00000291" w14:textId="77777777" w:rsidR="00E05BE1" w:rsidRDefault="00F07326">
      <w:pPr>
        <w:ind w:left="720" w:hanging="720"/>
        <w:rPr>
          <w:rFonts w:ascii="Arial" w:eastAsia="Arial" w:hAnsi="Arial" w:cs="Arial"/>
          <w:highlight w:val="white"/>
        </w:rPr>
      </w:pPr>
      <w:proofErr w:type="spellStart"/>
      <w:r>
        <w:rPr>
          <w:rFonts w:ascii="Arial" w:eastAsia="Arial" w:hAnsi="Arial" w:cs="Arial"/>
          <w:highlight w:val="white"/>
        </w:rPr>
        <w:t>Hedenstrom</w:t>
      </w:r>
      <w:proofErr w:type="spellEnd"/>
      <w:r>
        <w:rPr>
          <w:rFonts w:ascii="Arial" w:eastAsia="Arial" w:hAnsi="Arial" w:cs="Arial"/>
          <w:highlight w:val="white"/>
        </w:rPr>
        <w:t xml:space="preserve">, M. L., Sneha, S., </w:t>
      </w:r>
      <w:proofErr w:type="spellStart"/>
      <w:r>
        <w:rPr>
          <w:rFonts w:ascii="Arial" w:eastAsia="Arial" w:hAnsi="Arial" w:cs="Arial"/>
          <w:highlight w:val="white"/>
        </w:rPr>
        <w:t>Nalla</w:t>
      </w:r>
      <w:proofErr w:type="spellEnd"/>
      <w:r>
        <w:rPr>
          <w:rFonts w:ascii="Arial" w:eastAsia="Arial" w:hAnsi="Arial" w:cs="Arial"/>
          <w:highlight w:val="white"/>
        </w:rPr>
        <w:t>, A., &amp; Wilson, B</w:t>
      </w:r>
      <w:r>
        <w:rPr>
          <w:rFonts w:ascii="Arial" w:eastAsia="Arial" w:hAnsi="Arial" w:cs="Arial"/>
          <w:highlight w:val="white"/>
        </w:rPr>
        <w:t xml:space="preserve">. (2021). Nursing student perceptions and attitudes toward patients with cancer after education and mentoring: integrative review. </w:t>
      </w:r>
      <w:r>
        <w:rPr>
          <w:rFonts w:ascii="Arial" w:eastAsia="Arial" w:hAnsi="Arial" w:cs="Arial"/>
          <w:i/>
          <w:iCs/>
          <w:highlight w:val="white"/>
        </w:rPr>
        <w:t>JMIR cancer</w:t>
      </w:r>
      <w:r>
        <w:rPr>
          <w:rFonts w:ascii="Arial" w:eastAsia="Arial" w:hAnsi="Arial" w:cs="Arial"/>
          <w:highlight w:val="white"/>
        </w:rPr>
        <w:t xml:space="preserve">, </w:t>
      </w:r>
      <w:r>
        <w:rPr>
          <w:rFonts w:ascii="Arial" w:eastAsia="Arial" w:hAnsi="Arial" w:cs="Arial"/>
          <w:i/>
          <w:iCs/>
          <w:highlight w:val="white"/>
        </w:rPr>
        <w:t>7</w:t>
      </w:r>
      <w:r>
        <w:rPr>
          <w:rFonts w:ascii="Arial" w:eastAsia="Arial" w:hAnsi="Arial" w:cs="Arial"/>
          <w:highlight w:val="white"/>
        </w:rPr>
        <w:t>(3), e27854.</w:t>
      </w:r>
    </w:p>
    <w:p w14:paraId="00000292" w14:textId="77777777" w:rsidR="00E05BE1" w:rsidRDefault="00F07326">
      <w:pPr>
        <w:ind w:left="720" w:hanging="720"/>
        <w:rPr>
          <w:rFonts w:ascii="Arial" w:eastAsia="Arial" w:hAnsi="Arial" w:cs="Arial"/>
          <w:highlight w:val="white"/>
        </w:rPr>
      </w:pPr>
      <w:proofErr w:type="spellStart"/>
      <w:r>
        <w:rPr>
          <w:rFonts w:ascii="Arial" w:eastAsia="Arial" w:hAnsi="Arial" w:cs="Arial"/>
          <w:highlight w:val="white"/>
        </w:rPr>
        <w:t>Hochbaum</w:t>
      </w:r>
      <w:proofErr w:type="spellEnd"/>
      <w:r>
        <w:rPr>
          <w:rFonts w:ascii="Arial" w:eastAsia="Arial" w:hAnsi="Arial" w:cs="Arial"/>
          <w:highlight w:val="white"/>
        </w:rPr>
        <w:t xml:space="preserve">, G. M. (1958). Public participation in medical screening programs: A socio-psychological </w:t>
      </w:r>
      <w:r>
        <w:rPr>
          <w:rFonts w:ascii="Arial" w:eastAsia="Arial" w:hAnsi="Arial" w:cs="Arial"/>
          <w:highlight w:val="white"/>
        </w:rPr>
        <w:t>study. U.S. Government Printing Office.</w:t>
      </w:r>
    </w:p>
    <w:p w14:paraId="00000293"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Jensen, K. T., &amp; </w:t>
      </w:r>
      <w:proofErr w:type="spellStart"/>
      <w:r>
        <w:rPr>
          <w:rFonts w:ascii="Arial" w:eastAsia="Arial" w:hAnsi="Arial" w:cs="Arial"/>
          <w:highlight w:val="white"/>
        </w:rPr>
        <w:t>Jerpseth</w:t>
      </w:r>
      <w:proofErr w:type="spellEnd"/>
      <w:r>
        <w:rPr>
          <w:rFonts w:ascii="Arial" w:eastAsia="Arial" w:hAnsi="Arial" w:cs="Arial"/>
          <w:highlight w:val="white"/>
        </w:rPr>
        <w:t xml:space="preserve">, H. (2023). Nursing students’ perception of nursing knowledge: A qualitative study. Nursing Open, 10(10), 7058–7065. </w:t>
      </w:r>
      <w:hyperlink r:id="rId18">
        <w:r>
          <w:rPr>
            <w:rFonts w:ascii="Arial" w:eastAsia="Arial" w:hAnsi="Arial" w:cs="Arial"/>
            <w:highlight w:val="white"/>
          </w:rPr>
          <w:t>https://doi.org/10.1002/nop2.1964</w:t>
        </w:r>
      </w:hyperlink>
    </w:p>
    <w:p w14:paraId="00000294" w14:textId="77777777" w:rsidR="00E05BE1" w:rsidRDefault="00F07326">
      <w:pPr>
        <w:ind w:left="720" w:hanging="720"/>
        <w:rPr>
          <w:rFonts w:ascii="Arial" w:eastAsia="Arial" w:hAnsi="Arial" w:cs="Arial"/>
          <w:highlight w:val="white"/>
        </w:rPr>
      </w:pPr>
      <w:proofErr w:type="spellStart"/>
      <w:r>
        <w:rPr>
          <w:rFonts w:ascii="Arial" w:eastAsia="Arial" w:hAnsi="Arial" w:cs="Arial"/>
          <w:highlight w:val="white"/>
        </w:rPr>
        <w:t>Kapucu</w:t>
      </w:r>
      <w:proofErr w:type="spellEnd"/>
      <w:r>
        <w:rPr>
          <w:rFonts w:ascii="Arial" w:eastAsia="Arial" w:hAnsi="Arial" w:cs="Arial"/>
          <w:highlight w:val="white"/>
        </w:rPr>
        <w:t xml:space="preserve">, S., &amp; </w:t>
      </w:r>
      <w:proofErr w:type="spellStart"/>
      <w:r>
        <w:rPr>
          <w:rFonts w:ascii="Arial" w:eastAsia="Arial" w:hAnsi="Arial" w:cs="Arial"/>
          <w:highlight w:val="white"/>
        </w:rPr>
        <w:t>Bulut</w:t>
      </w:r>
      <w:proofErr w:type="spellEnd"/>
      <w:r>
        <w:rPr>
          <w:rFonts w:ascii="Arial" w:eastAsia="Arial" w:hAnsi="Arial" w:cs="Arial"/>
          <w:highlight w:val="white"/>
        </w:rPr>
        <w:t xml:space="preserve">, H. D. (2018). Nursing students' perspectives on assisting cancer patients. </w:t>
      </w:r>
      <w:r>
        <w:rPr>
          <w:rFonts w:ascii="Arial" w:eastAsia="Arial" w:hAnsi="Arial" w:cs="Arial"/>
          <w:i/>
          <w:iCs/>
          <w:highlight w:val="white"/>
        </w:rPr>
        <w:t>Asia-Pacific journal of oncology nursing</w:t>
      </w:r>
      <w:r>
        <w:rPr>
          <w:rFonts w:ascii="Arial" w:eastAsia="Arial" w:hAnsi="Arial" w:cs="Arial"/>
          <w:highlight w:val="white"/>
        </w:rPr>
        <w:t xml:space="preserve">, </w:t>
      </w:r>
      <w:r>
        <w:rPr>
          <w:rFonts w:ascii="Arial" w:eastAsia="Arial" w:hAnsi="Arial" w:cs="Arial"/>
          <w:i/>
          <w:iCs/>
          <w:highlight w:val="white"/>
        </w:rPr>
        <w:t>5</w:t>
      </w:r>
      <w:r>
        <w:rPr>
          <w:rFonts w:ascii="Arial" w:eastAsia="Arial" w:hAnsi="Arial" w:cs="Arial"/>
          <w:highlight w:val="white"/>
        </w:rPr>
        <w:t>(1), 99-106</w:t>
      </w:r>
    </w:p>
    <w:p w14:paraId="00000295" w14:textId="77777777" w:rsidR="00E05BE1" w:rsidRDefault="00F07326">
      <w:pPr>
        <w:ind w:left="720" w:hanging="720"/>
        <w:rPr>
          <w:rFonts w:ascii="Arial" w:eastAsia="Arial" w:hAnsi="Arial" w:cs="Arial"/>
          <w:highlight w:val="white"/>
        </w:rPr>
      </w:pPr>
      <w:r>
        <w:rPr>
          <w:rFonts w:ascii="Arial" w:eastAsia="Arial" w:hAnsi="Arial" w:cs="Arial"/>
          <w:highlight w:val="white"/>
        </w:rPr>
        <w:lastRenderedPageBreak/>
        <w:t xml:space="preserve">Karimi </w:t>
      </w:r>
      <w:proofErr w:type="spellStart"/>
      <w:r>
        <w:rPr>
          <w:rFonts w:ascii="Arial" w:eastAsia="Arial" w:hAnsi="Arial" w:cs="Arial"/>
          <w:highlight w:val="white"/>
        </w:rPr>
        <w:t>Mirzanezam</w:t>
      </w:r>
      <w:proofErr w:type="spellEnd"/>
      <w:r>
        <w:rPr>
          <w:rFonts w:ascii="Arial" w:eastAsia="Arial" w:hAnsi="Arial" w:cs="Arial"/>
          <w:highlight w:val="white"/>
        </w:rPr>
        <w:t xml:space="preserve">, A., </w:t>
      </w:r>
      <w:proofErr w:type="spellStart"/>
      <w:r>
        <w:rPr>
          <w:rFonts w:ascii="Arial" w:eastAsia="Arial" w:hAnsi="Arial" w:cs="Arial"/>
          <w:highlight w:val="white"/>
        </w:rPr>
        <w:t>Abazari</w:t>
      </w:r>
      <w:proofErr w:type="spellEnd"/>
      <w:r>
        <w:rPr>
          <w:rFonts w:ascii="Arial" w:eastAsia="Arial" w:hAnsi="Arial" w:cs="Arial"/>
          <w:highlight w:val="white"/>
        </w:rPr>
        <w:t xml:space="preserve">, F., </w:t>
      </w:r>
      <w:proofErr w:type="spellStart"/>
      <w:r>
        <w:rPr>
          <w:rFonts w:ascii="Arial" w:eastAsia="Arial" w:hAnsi="Arial" w:cs="Arial"/>
          <w:highlight w:val="white"/>
        </w:rPr>
        <w:t>Salimi</w:t>
      </w:r>
      <w:proofErr w:type="spellEnd"/>
      <w:r>
        <w:rPr>
          <w:rFonts w:ascii="Arial" w:eastAsia="Arial" w:hAnsi="Arial" w:cs="Arial"/>
          <w:highlight w:val="white"/>
        </w:rPr>
        <w:t>, T., &amp; Khaleghi, A. A. (2024</w:t>
      </w:r>
      <w:r>
        <w:rPr>
          <w:rFonts w:ascii="Arial" w:eastAsia="Arial" w:hAnsi="Arial" w:cs="Arial"/>
          <w:highlight w:val="white"/>
        </w:rPr>
        <w:t xml:space="preserve">). Nursing students' perception of the clinical learning environment and its relationship to academic adjustment. </w:t>
      </w:r>
      <w:r>
        <w:rPr>
          <w:rFonts w:ascii="Arial" w:eastAsia="Arial" w:hAnsi="Arial" w:cs="Arial"/>
          <w:i/>
          <w:iCs/>
          <w:highlight w:val="white"/>
        </w:rPr>
        <w:t>BMC Medical Education, 24</w:t>
      </w:r>
      <w:r>
        <w:rPr>
          <w:rFonts w:ascii="Arial" w:eastAsia="Arial" w:hAnsi="Arial" w:cs="Arial"/>
          <w:highlight w:val="white"/>
        </w:rPr>
        <w:t>, Article 120.</w:t>
      </w:r>
      <w:hyperlink r:id="rId19">
        <w:r>
          <w:rPr>
            <w:rFonts w:ascii="Arial" w:eastAsia="Arial" w:hAnsi="Arial" w:cs="Arial"/>
            <w:highlight w:val="white"/>
          </w:rPr>
          <w:t xml:space="preserve"> https://bm</w:t>
        </w:r>
        <w:r>
          <w:rPr>
            <w:rFonts w:ascii="Arial" w:eastAsia="Arial" w:hAnsi="Arial" w:cs="Arial"/>
            <w:highlight w:val="white"/>
          </w:rPr>
          <w:t>cmededuc.biomedcentral.com/articles/10.1186/s12909-024-06562-0</w:t>
        </w:r>
      </w:hyperlink>
    </w:p>
    <w:p w14:paraId="00000296" w14:textId="77777777" w:rsidR="00E05BE1" w:rsidRDefault="00F07326">
      <w:pPr>
        <w:ind w:left="720" w:hanging="720"/>
        <w:rPr>
          <w:rFonts w:ascii="Arial" w:eastAsia="Arial" w:hAnsi="Arial" w:cs="Arial"/>
          <w:highlight w:val="white"/>
        </w:rPr>
      </w:pPr>
      <w:r>
        <w:rPr>
          <w:rFonts w:ascii="Arial" w:eastAsia="Arial" w:hAnsi="Arial" w:cs="Arial"/>
          <w:highlight w:val="white"/>
        </w:rPr>
        <w:t>Kegels, S. S., &amp; Rosenstock, I. M. (1966). A conceptual model of the Health Belief Model. Paper presented at the annual meeting of the American Public Health Association.</w:t>
      </w:r>
    </w:p>
    <w:p w14:paraId="00000297" w14:textId="77777777" w:rsidR="00E05BE1" w:rsidRDefault="00F07326">
      <w:pPr>
        <w:ind w:left="720" w:hanging="720"/>
        <w:rPr>
          <w:rFonts w:ascii="Arial" w:eastAsia="Arial" w:hAnsi="Arial" w:cs="Arial"/>
          <w:highlight w:val="white"/>
        </w:rPr>
      </w:pPr>
      <w:r>
        <w:rPr>
          <w:rFonts w:ascii="Arial" w:eastAsia="Arial" w:hAnsi="Arial" w:cs="Arial"/>
          <w:highlight w:val="white"/>
        </w:rPr>
        <w:t>Khalid, N., Masih, S.,</w:t>
      </w:r>
      <w:r>
        <w:rPr>
          <w:rFonts w:ascii="Arial" w:eastAsia="Arial" w:hAnsi="Arial" w:cs="Arial"/>
          <w:highlight w:val="white"/>
        </w:rPr>
        <w:t xml:space="preserve"> &amp; Afzal, M. (2022). Practices on safe-handling of cytotoxic drugs among oncology nurses in two public sector hospitals. </w:t>
      </w:r>
      <w:r>
        <w:rPr>
          <w:rFonts w:ascii="Arial" w:eastAsia="Arial" w:hAnsi="Arial" w:cs="Arial"/>
          <w:i/>
          <w:iCs/>
          <w:highlight w:val="white"/>
        </w:rPr>
        <w:t>Pakistan Journal of Health Sciences, 3</w:t>
      </w:r>
      <w:r>
        <w:rPr>
          <w:rFonts w:ascii="Arial" w:eastAsia="Arial" w:hAnsi="Arial" w:cs="Arial"/>
          <w:highlight w:val="white"/>
        </w:rPr>
        <w:t xml:space="preserve">(07), 131–136. </w:t>
      </w:r>
      <w:hyperlink r:id="rId20">
        <w:r>
          <w:rPr>
            <w:rFonts w:ascii="Arial" w:eastAsia="Arial" w:hAnsi="Arial" w:cs="Arial"/>
            <w:highlight w:val="white"/>
          </w:rPr>
          <w:t>https://doi.org/10.5439</w:t>
        </w:r>
        <w:r>
          <w:rPr>
            <w:rFonts w:ascii="Arial" w:eastAsia="Arial" w:hAnsi="Arial" w:cs="Arial"/>
            <w:highlight w:val="white"/>
          </w:rPr>
          <w:t>3/pjhs.v3i07.449</w:t>
        </w:r>
      </w:hyperlink>
    </w:p>
    <w:p w14:paraId="00000298"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Kobe, S. C., Downing, C., &amp; </w:t>
      </w:r>
      <w:proofErr w:type="spellStart"/>
      <w:r>
        <w:rPr>
          <w:rFonts w:ascii="Arial" w:eastAsia="Arial" w:hAnsi="Arial" w:cs="Arial"/>
          <w:highlight w:val="white"/>
        </w:rPr>
        <w:t>Poggenpoel</w:t>
      </w:r>
      <w:proofErr w:type="spellEnd"/>
      <w:r>
        <w:rPr>
          <w:rFonts w:ascii="Arial" w:eastAsia="Arial" w:hAnsi="Arial" w:cs="Arial"/>
          <w:highlight w:val="white"/>
        </w:rPr>
        <w:t xml:space="preserve">, M. (2020). </w:t>
      </w:r>
      <w:r>
        <w:rPr>
          <w:rFonts w:ascii="Arial" w:eastAsia="Arial" w:hAnsi="Arial" w:cs="Arial"/>
          <w:i/>
          <w:iCs/>
          <w:highlight w:val="white"/>
        </w:rPr>
        <w:t xml:space="preserve">Final-year student nurses’ experiences of caring for </w:t>
      </w:r>
      <w:proofErr w:type="spellStart"/>
      <w:proofErr w:type="gramStart"/>
      <w:r>
        <w:rPr>
          <w:rFonts w:ascii="Arial" w:eastAsia="Arial" w:hAnsi="Arial" w:cs="Arial"/>
          <w:i/>
          <w:iCs/>
          <w:highlight w:val="white"/>
        </w:rPr>
        <w:t>patients.Curationis</w:t>
      </w:r>
      <w:proofErr w:type="spellEnd"/>
      <w:proofErr w:type="gramEnd"/>
      <w:r>
        <w:rPr>
          <w:rFonts w:ascii="Arial" w:eastAsia="Arial" w:hAnsi="Arial" w:cs="Arial"/>
          <w:i/>
          <w:iCs/>
          <w:highlight w:val="white"/>
        </w:rPr>
        <w:t>, 43</w:t>
      </w:r>
      <w:r>
        <w:rPr>
          <w:rFonts w:ascii="Arial" w:eastAsia="Arial" w:hAnsi="Arial" w:cs="Arial"/>
          <w:highlight w:val="white"/>
        </w:rPr>
        <w:t xml:space="preserve">(1), a2033. </w:t>
      </w:r>
      <w:hyperlink r:id="rId21">
        <w:r>
          <w:rPr>
            <w:rFonts w:ascii="Arial" w:eastAsia="Arial" w:hAnsi="Arial" w:cs="Arial"/>
            <w:highlight w:val="white"/>
          </w:rPr>
          <w:t>https://doi.org/10.4102/curationis.</w:t>
        </w:r>
        <w:r>
          <w:rPr>
            <w:rFonts w:ascii="Arial" w:eastAsia="Arial" w:hAnsi="Arial" w:cs="Arial"/>
            <w:highlight w:val="white"/>
          </w:rPr>
          <w:t>v43i1.2033</w:t>
        </w:r>
      </w:hyperlink>
    </w:p>
    <w:p w14:paraId="00000299" w14:textId="77777777" w:rsidR="00E05BE1" w:rsidRDefault="00F07326">
      <w:pPr>
        <w:ind w:left="720" w:hanging="720"/>
        <w:rPr>
          <w:rFonts w:ascii="Arial" w:eastAsia="Arial" w:hAnsi="Arial" w:cs="Arial"/>
        </w:rPr>
      </w:pPr>
      <w:r>
        <w:rPr>
          <w:rFonts w:ascii="Arial" w:eastAsia="Arial" w:hAnsi="Arial" w:cs="Arial"/>
          <w:highlight w:val="white"/>
        </w:rPr>
        <w:t xml:space="preserve">National Cancer Institute. (2023). </w:t>
      </w:r>
      <w:r>
        <w:rPr>
          <w:rFonts w:ascii="Arial" w:eastAsia="Arial" w:hAnsi="Arial" w:cs="Arial"/>
          <w:i/>
          <w:iCs/>
          <w:highlight w:val="white"/>
        </w:rPr>
        <w:t xml:space="preserve">Chemotherapy to treat </w:t>
      </w:r>
      <w:proofErr w:type="spellStart"/>
      <w:r>
        <w:rPr>
          <w:rFonts w:ascii="Arial" w:eastAsia="Arial" w:hAnsi="Arial" w:cs="Arial"/>
          <w:i/>
          <w:iCs/>
          <w:highlight w:val="white"/>
        </w:rPr>
        <w:t>cancer</w:t>
      </w:r>
      <w:r>
        <w:rPr>
          <w:rFonts w:ascii="Arial" w:eastAsia="Arial" w:hAnsi="Arial" w:cs="Arial"/>
          <w:highlight w:val="white"/>
        </w:rPr>
        <w:t>.</w:t>
      </w:r>
      <w:r>
        <w:rPr>
          <w:rFonts w:ascii="Arial" w:eastAsia="Arial" w:hAnsi="Arial" w:cs="Arial"/>
          <w:i/>
          <w:iCs/>
          <w:color w:val="FFFFFF"/>
          <w:highlight w:val="white"/>
        </w:rPr>
        <w:t>Chemotherapy</w:t>
      </w:r>
      <w:proofErr w:type="spellEnd"/>
      <w:r>
        <w:rPr>
          <w:rFonts w:ascii="Arial" w:eastAsia="Arial" w:hAnsi="Arial" w:cs="Arial"/>
          <w:i/>
          <w:iCs/>
          <w:color w:val="FFFFFF"/>
          <w:highlight w:val="white"/>
        </w:rPr>
        <w:t xml:space="preserve"> to treat</w:t>
      </w:r>
      <w:r>
        <w:rPr>
          <w:rFonts w:ascii="Arial" w:eastAsia="Arial" w:hAnsi="Arial" w:cs="Arial"/>
          <w:color w:val="FFFFFF"/>
          <w:highlight w:val="white"/>
        </w:rPr>
        <w:t xml:space="preserve"> </w:t>
      </w:r>
      <w:hyperlink r:id="rId22">
        <w:r>
          <w:rPr>
            <w:rFonts w:ascii="Arial" w:eastAsia="Arial" w:hAnsi="Arial" w:cs="Arial"/>
          </w:rPr>
          <w:t>https://www.cancer.gov/about-cancer/treatment/types/chemotherapy</w:t>
        </w:r>
      </w:hyperlink>
    </w:p>
    <w:p w14:paraId="0000029A" w14:textId="77777777" w:rsidR="00E05BE1" w:rsidRDefault="00F07326">
      <w:pPr>
        <w:ind w:left="720" w:hanging="720"/>
        <w:rPr>
          <w:rFonts w:ascii="Arial" w:eastAsia="Arial" w:hAnsi="Arial" w:cs="Arial"/>
        </w:rPr>
      </w:pPr>
      <w:r>
        <w:rPr>
          <w:rFonts w:ascii="Arial" w:eastAsia="Arial" w:hAnsi="Arial" w:cs="Arial"/>
        </w:rPr>
        <w:t xml:space="preserve">Polit, D. F., &amp; Beck, C. T. (2008). </w:t>
      </w:r>
      <w:r>
        <w:rPr>
          <w:rFonts w:ascii="Arial" w:eastAsia="Arial" w:hAnsi="Arial" w:cs="Arial"/>
          <w:i/>
          <w:iCs/>
        </w:rPr>
        <w:t>Nursing research: Generating and assessing evidence for nursing practice</w:t>
      </w:r>
      <w:r>
        <w:rPr>
          <w:rFonts w:ascii="Arial" w:eastAsia="Arial" w:hAnsi="Arial" w:cs="Arial"/>
        </w:rPr>
        <w:t>. Lippincott Williams &amp; Wilkins.</w:t>
      </w:r>
    </w:p>
    <w:p w14:paraId="0000029B" w14:textId="77777777" w:rsidR="00E05BE1" w:rsidRDefault="00F07326">
      <w:pPr>
        <w:ind w:left="720" w:hanging="720"/>
        <w:rPr>
          <w:rFonts w:ascii="Arial" w:eastAsia="Arial" w:hAnsi="Arial" w:cs="Arial"/>
        </w:rPr>
      </w:pPr>
      <w:r>
        <w:rPr>
          <w:rFonts w:ascii="Arial" w:eastAsia="Arial" w:hAnsi="Arial" w:cs="Arial"/>
        </w:rPr>
        <w:t xml:space="preserve">Rana, J., Gutierrez, P. L., &amp; </w:t>
      </w:r>
      <w:proofErr w:type="spellStart"/>
      <w:r>
        <w:rPr>
          <w:rFonts w:ascii="Arial" w:eastAsia="Arial" w:hAnsi="Arial" w:cs="Arial"/>
        </w:rPr>
        <w:t>Oldroyd</w:t>
      </w:r>
      <w:proofErr w:type="spellEnd"/>
      <w:r>
        <w:rPr>
          <w:rFonts w:ascii="Arial" w:eastAsia="Arial" w:hAnsi="Arial" w:cs="Arial"/>
        </w:rPr>
        <w:t xml:space="preserve">, J. C. (2022). Quantitative methods. In A. </w:t>
      </w:r>
      <w:proofErr w:type="spellStart"/>
      <w:r>
        <w:rPr>
          <w:rFonts w:ascii="Arial" w:eastAsia="Arial" w:hAnsi="Arial" w:cs="Arial"/>
        </w:rPr>
        <w:t>Farazmand</w:t>
      </w:r>
      <w:proofErr w:type="spellEnd"/>
      <w:r>
        <w:rPr>
          <w:rFonts w:ascii="Arial" w:eastAsia="Arial" w:hAnsi="Arial" w:cs="Arial"/>
        </w:rPr>
        <w:t xml:space="preserve"> (Ed.), Global Encycloped</w:t>
      </w:r>
      <w:r>
        <w:rPr>
          <w:rFonts w:ascii="Arial" w:eastAsia="Arial" w:hAnsi="Arial" w:cs="Arial"/>
        </w:rPr>
        <w:t>ia of Public Administration, Public Policy, and Governance (pp. 11202–11207). Springer.</w:t>
      </w:r>
      <w:hyperlink r:id="rId23">
        <w:r>
          <w:rPr>
            <w:rFonts w:ascii="Arial" w:eastAsia="Arial" w:hAnsi="Arial" w:cs="Arial"/>
          </w:rPr>
          <w:t xml:space="preserve"> https://doi.org/10.1007/978-3-319-31816-5_460-1</w:t>
        </w:r>
      </w:hyperlink>
    </w:p>
    <w:p w14:paraId="0000029C"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Ranganathan, P., Singh, J., &amp; </w:t>
      </w:r>
      <w:proofErr w:type="spellStart"/>
      <w:r>
        <w:rPr>
          <w:rFonts w:ascii="Arial" w:eastAsia="Arial" w:hAnsi="Arial" w:cs="Arial"/>
          <w:highlight w:val="white"/>
        </w:rPr>
        <w:t>Thabah</w:t>
      </w:r>
      <w:proofErr w:type="spellEnd"/>
      <w:r>
        <w:rPr>
          <w:rFonts w:ascii="Arial" w:eastAsia="Arial" w:hAnsi="Arial" w:cs="Arial"/>
          <w:highlight w:val="white"/>
        </w:rPr>
        <w:t>, M. M. (2024). Designing and validating a research questionnaire - Part 2. Perspectives in Clinical Research, 15(1), 42–45.</w:t>
      </w:r>
    </w:p>
    <w:p w14:paraId="0000029D"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Razali, N.M., &amp; Wah, Y.B. (2011). Power comparisons of Shapiro-Wilk, Kolmogorov-Smirnov, </w:t>
      </w:r>
      <w:proofErr w:type="spellStart"/>
      <w:r>
        <w:rPr>
          <w:rFonts w:ascii="Arial" w:eastAsia="Arial" w:hAnsi="Arial" w:cs="Arial"/>
          <w:highlight w:val="white"/>
        </w:rPr>
        <w:t>Lilief</w:t>
      </w:r>
      <w:r>
        <w:rPr>
          <w:rFonts w:ascii="Arial" w:eastAsia="Arial" w:hAnsi="Arial" w:cs="Arial"/>
          <w:highlight w:val="white"/>
        </w:rPr>
        <w:t>ors</w:t>
      </w:r>
      <w:proofErr w:type="spellEnd"/>
      <w:r>
        <w:rPr>
          <w:rFonts w:ascii="Arial" w:eastAsia="Arial" w:hAnsi="Arial" w:cs="Arial"/>
          <w:highlight w:val="white"/>
        </w:rPr>
        <w:t>, and Anderson-Darling tests. Journal of Statistical Modeling and Analytics, 2(1), 21-33.</w:t>
      </w:r>
    </w:p>
    <w:p w14:paraId="0000029E" w14:textId="77777777" w:rsidR="00E05BE1" w:rsidRDefault="00F07326">
      <w:pPr>
        <w:ind w:left="720" w:hanging="720"/>
        <w:rPr>
          <w:rFonts w:ascii="Arial" w:eastAsia="Arial" w:hAnsi="Arial" w:cs="Arial"/>
          <w:highlight w:val="white"/>
        </w:rPr>
      </w:pPr>
      <w:r>
        <w:rPr>
          <w:rFonts w:ascii="Arial" w:eastAsia="Arial" w:hAnsi="Arial" w:cs="Arial"/>
          <w:highlight w:val="white"/>
        </w:rPr>
        <w:t xml:space="preserve">Rosenstock, I. M., </w:t>
      </w:r>
      <w:proofErr w:type="spellStart"/>
      <w:r>
        <w:rPr>
          <w:rFonts w:ascii="Arial" w:eastAsia="Arial" w:hAnsi="Arial" w:cs="Arial"/>
          <w:highlight w:val="white"/>
        </w:rPr>
        <w:t>Strecher</w:t>
      </w:r>
      <w:proofErr w:type="spellEnd"/>
      <w:r>
        <w:rPr>
          <w:rFonts w:ascii="Arial" w:eastAsia="Arial" w:hAnsi="Arial" w:cs="Arial"/>
          <w:highlight w:val="white"/>
        </w:rPr>
        <w:t>, V. J., &amp; Becker, M. H. (1988). Social learning theory and the Health Belief Model. Health Education Quarterly, 15(2), 175–183.</w:t>
      </w:r>
    </w:p>
    <w:p w14:paraId="0000029F" w14:textId="77777777" w:rsidR="00E05BE1" w:rsidRDefault="00F07326">
      <w:pPr>
        <w:ind w:left="720" w:hanging="720"/>
        <w:rPr>
          <w:rFonts w:ascii="Arial" w:eastAsia="Arial" w:hAnsi="Arial" w:cs="Arial"/>
          <w:highlight w:val="white"/>
        </w:rPr>
      </w:pPr>
      <w:r>
        <w:rPr>
          <w:rFonts w:ascii="Arial" w:eastAsia="Arial" w:hAnsi="Arial" w:cs="Arial"/>
          <w:highlight w:val="white"/>
        </w:rPr>
        <w:t>Rosenst</w:t>
      </w:r>
      <w:r>
        <w:rPr>
          <w:rFonts w:ascii="Arial" w:eastAsia="Arial" w:hAnsi="Arial" w:cs="Arial"/>
          <w:highlight w:val="white"/>
        </w:rPr>
        <w:t>ock, I. M. (1966). Why people use health services. Milbank Memorial Fund Quarterly, 44(3), 94–124.</w:t>
      </w:r>
    </w:p>
    <w:p w14:paraId="000002A0" w14:textId="77777777" w:rsidR="00E05BE1" w:rsidRDefault="00F07326">
      <w:pPr>
        <w:ind w:left="720" w:hanging="720"/>
        <w:rPr>
          <w:rFonts w:ascii="Arial" w:eastAsia="Arial" w:hAnsi="Arial" w:cs="Arial"/>
        </w:rPr>
      </w:pPr>
      <w:r>
        <w:rPr>
          <w:rFonts w:ascii="Arial" w:eastAsia="Arial" w:hAnsi="Arial" w:cs="Arial"/>
        </w:rPr>
        <w:t>Soriano, G. P. (2019). Knowledge and attitude of Filipino nurses towards palliative care. International Journal of Nursing Care, 7(2), 20–25.</w:t>
      </w:r>
      <w:hyperlink r:id="rId24">
        <w:r>
          <w:rPr>
            <w:rFonts w:ascii="Arial" w:eastAsia="Arial" w:hAnsi="Arial" w:cs="Arial"/>
          </w:rPr>
          <w:t xml:space="preserve"> https://doi.org/10.37506/ijonc.v7i2.7709</w:t>
        </w:r>
      </w:hyperlink>
    </w:p>
    <w:p w14:paraId="000002A1" w14:textId="77777777" w:rsidR="00E05BE1" w:rsidRDefault="00F07326">
      <w:pPr>
        <w:ind w:left="720" w:hanging="720"/>
        <w:rPr>
          <w:rFonts w:ascii="Arial" w:eastAsia="Arial" w:hAnsi="Arial" w:cs="Arial"/>
          <w:highlight w:val="white"/>
        </w:rPr>
      </w:pPr>
      <w:proofErr w:type="spellStart"/>
      <w:r>
        <w:rPr>
          <w:rFonts w:ascii="Arial" w:eastAsia="Arial" w:hAnsi="Arial" w:cs="Arial"/>
          <w:highlight w:val="white"/>
        </w:rPr>
        <w:t>Unabia</w:t>
      </w:r>
      <w:proofErr w:type="spellEnd"/>
      <w:r>
        <w:rPr>
          <w:rFonts w:ascii="Arial" w:eastAsia="Arial" w:hAnsi="Arial" w:cs="Arial"/>
          <w:highlight w:val="white"/>
        </w:rPr>
        <w:t xml:space="preserve">, R. C. P., &amp; </w:t>
      </w:r>
      <w:proofErr w:type="spellStart"/>
      <w:r>
        <w:rPr>
          <w:rFonts w:ascii="Arial" w:eastAsia="Arial" w:hAnsi="Arial" w:cs="Arial"/>
          <w:highlight w:val="white"/>
        </w:rPr>
        <w:t>Bacarisas</w:t>
      </w:r>
      <w:proofErr w:type="spellEnd"/>
      <w:r>
        <w:rPr>
          <w:rFonts w:ascii="Arial" w:eastAsia="Arial" w:hAnsi="Arial" w:cs="Arial"/>
          <w:highlight w:val="white"/>
        </w:rPr>
        <w:t xml:space="preserve">, J. P. (2024). </w:t>
      </w:r>
      <w:r>
        <w:rPr>
          <w:rFonts w:ascii="Arial" w:eastAsia="Arial" w:hAnsi="Arial" w:cs="Arial"/>
          <w:i/>
          <w:iCs/>
          <w:highlight w:val="white"/>
        </w:rPr>
        <w:t>Quality of nursing care in a private oncology setting in the Philippines</w:t>
      </w:r>
      <w:r>
        <w:rPr>
          <w:rFonts w:ascii="Arial" w:eastAsia="Arial" w:hAnsi="Arial" w:cs="Arial"/>
          <w:highlight w:val="white"/>
        </w:rPr>
        <w:t>. International Journal of Research and Scientific In</w:t>
      </w:r>
      <w:r>
        <w:rPr>
          <w:rFonts w:ascii="Arial" w:eastAsia="Arial" w:hAnsi="Arial" w:cs="Arial"/>
          <w:highlight w:val="white"/>
        </w:rPr>
        <w:t>novation (IJRSI), 11(7), 129–164.</w:t>
      </w:r>
      <w:hyperlink r:id="rId25">
        <w:r>
          <w:rPr>
            <w:rFonts w:ascii="Arial" w:eastAsia="Arial" w:hAnsi="Arial" w:cs="Arial"/>
            <w:highlight w:val="white"/>
          </w:rPr>
          <w:t xml:space="preserve"> </w:t>
        </w:r>
      </w:hyperlink>
      <w:hyperlink r:id="rId26">
        <w:r>
          <w:rPr>
            <w:rFonts w:ascii="Arial" w:eastAsia="Arial" w:hAnsi="Arial" w:cs="Arial"/>
            <w:highlight w:val="white"/>
          </w:rPr>
          <w:t>https://doi.org/10.51244/IJRSI.2024.1107007</w:t>
        </w:r>
      </w:hyperlink>
    </w:p>
    <w:p w14:paraId="000002A2" w14:textId="77777777" w:rsidR="00E05BE1" w:rsidRDefault="00F07326">
      <w:pPr>
        <w:ind w:left="720" w:hanging="720"/>
        <w:rPr>
          <w:rFonts w:ascii="Arial" w:eastAsia="Arial" w:hAnsi="Arial" w:cs="Arial"/>
          <w:highlight w:val="white"/>
        </w:rPr>
      </w:pPr>
      <w:proofErr w:type="spellStart"/>
      <w:r>
        <w:rPr>
          <w:rFonts w:ascii="Arial" w:eastAsia="Arial" w:hAnsi="Arial" w:cs="Arial"/>
        </w:rPr>
        <w:t>Viveiros</w:t>
      </w:r>
      <w:proofErr w:type="spellEnd"/>
      <w:r>
        <w:rPr>
          <w:rFonts w:ascii="Arial" w:eastAsia="Arial" w:hAnsi="Arial" w:cs="Arial"/>
        </w:rPr>
        <w:t>, M. (2020). Nurse-delivered Standardized Ch</w:t>
      </w:r>
      <w:r>
        <w:rPr>
          <w:rFonts w:ascii="Arial" w:eastAsia="Arial" w:hAnsi="Arial" w:cs="Arial"/>
        </w:rPr>
        <w:t>emotherapy Education Intervention to Reduce Distress among Older Adults in an Outpatient Setting.</w:t>
      </w:r>
    </w:p>
    <w:p w14:paraId="000002A3" w14:textId="77777777" w:rsidR="00E05BE1" w:rsidRDefault="00F07326">
      <w:pPr>
        <w:ind w:left="720" w:hanging="720"/>
        <w:rPr>
          <w:rFonts w:ascii="Arial" w:eastAsia="Arial" w:hAnsi="Arial" w:cs="Arial"/>
          <w:highlight w:val="white"/>
        </w:rPr>
      </w:pPr>
      <w:proofErr w:type="spellStart"/>
      <w:r>
        <w:rPr>
          <w:rFonts w:ascii="Arial" w:eastAsia="Arial" w:hAnsi="Arial" w:cs="Arial"/>
          <w:highlight w:val="white"/>
        </w:rPr>
        <w:t>Watheeq</w:t>
      </w:r>
      <w:proofErr w:type="spellEnd"/>
      <w:r>
        <w:rPr>
          <w:rFonts w:ascii="Arial" w:eastAsia="Arial" w:hAnsi="Arial" w:cs="Arial"/>
          <w:highlight w:val="white"/>
        </w:rPr>
        <w:t xml:space="preserve">, H. H., &amp; AI-Ashour, I. A. (2022). Nurse's knowledge toward oncology patients during chemotherapy management. </w:t>
      </w:r>
      <w:r>
        <w:rPr>
          <w:rFonts w:ascii="Arial" w:eastAsia="Arial" w:hAnsi="Arial" w:cs="Arial"/>
          <w:i/>
          <w:iCs/>
          <w:highlight w:val="white"/>
        </w:rPr>
        <w:t>International journal of health sciences</w:t>
      </w:r>
      <w:r>
        <w:rPr>
          <w:rFonts w:ascii="Arial" w:eastAsia="Arial" w:hAnsi="Arial" w:cs="Arial"/>
          <w:highlight w:val="white"/>
        </w:rPr>
        <w:t xml:space="preserve">, </w:t>
      </w:r>
      <w:r>
        <w:rPr>
          <w:rFonts w:ascii="Arial" w:eastAsia="Arial" w:hAnsi="Arial" w:cs="Arial"/>
          <w:i/>
          <w:iCs/>
          <w:highlight w:val="white"/>
        </w:rPr>
        <w:t>6</w:t>
      </w:r>
      <w:r>
        <w:rPr>
          <w:rFonts w:ascii="Arial" w:eastAsia="Arial" w:hAnsi="Arial" w:cs="Arial"/>
          <w:highlight w:val="white"/>
        </w:rPr>
        <w:t>(S8), 1063-1076.</w:t>
      </w:r>
    </w:p>
    <w:p w14:paraId="000002A4" w14:textId="77777777" w:rsidR="00E05BE1" w:rsidRDefault="00F07326">
      <w:pPr>
        <w:ind w:left="720" w:hanging="720"/>
        <w:rPr>
          <w:rFonts w:ascii="Arial" w:eastAsia="Arial" w:hAnsi="Arial" w:cs="Arial"/>
          <w:highlight w:val="white"/>
        </w:rPr>
        <w:sectPr w:rsidR="00E05BE1">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sectPr>
      </w:pPr>
      <w:r>
        <w:rPr>
          <w:rFonts w:ascii="Arial" w:eastAsia="Arial" w:hAnsi="Arial" w:cs="Arial"/>
          <w:highlight w:val="white"/>
        </w:rPr>
        <w:t xml:space="preserve">Zakaria, M. M., </w:t>
      </w:r>
      <w:proofErr w:type="spellStart"/>
      <w:r>
        <w:rPr>
          <w:rFonts w:ascii="Arial" w:eastAsia="Arial" w:hAnsi="Arial" w:cs="Arial"/>
          <w:highlight w:val="white"/>
        </w:rPr>
        <w:t>Alaa</w:t>
      </w:r>
      <w:proofErr w:type="spellEnd"/>
      <w:r>
        <w:rPr>
          <w:rFonts w:ascii="Arial" w:eastAsia="Arial" w:hAnsi="Arial" w:cs="Arial"/>
          <w:highlight w:val="white"/>
        </w:rPr>
        <w:t xml:space="preserve">, S. M., &amp; </w:t>
      </w:r>
      <w:proofErr w:type="spellStart"/>
      <w:r>
        <w:rPr>
          <w:rFonts w:ascii="Arial" w:eastAsia="Arial" w:hAnsi="Arial" w:cs="Arial"/>
          <w:highlight w:val="white"/>
        </w:rPr>
        <w:t>Desoky</w:t>
      </w:r>
      <w:proofErr w:type="spellEnd"/>
      <w:r>
        <w:rPr>
          <w:rFonts w:ascii="Arial" w:eastAsia="Arial" w:hAnsi="Arial" w:cs="Arial"/>
          <w:highlight w:val="white"/>
        </w:rPr>
        <w:t xml:space="preserve">, G. M. (2022). Oncology nurses’ knowledge and practices regarding safe administration of intravenous chemotherapy. </w:t>
      </w:r>
      <w:r>
        <w:rPr>
          <w:rFonts w:ascii="Arial" w:eastAsia="Arial" w:hAnsi="Arial" w:cs="Arial"/>
          <w:i/>
          <w:iCs/>
          <w:highlight w:val="white"/>
        </w:rPr>
        <w:t>Egyptian Journal of Health Care, 13</w:t>
      </w:r>
      <w:r>
        <w:rPr>
          <w:rFonts w:ascii="Arial" w:eastAsia="Arial" w:hAnsi="Arial" w:cs="Arial"/>
          <w:highlight w:val="white"/>
        </w:rPr>
        <w:t xml:space="preserve">(1), 1218–1231. </w:t>
      </w:r>
      <w:hyperlink r:id="rId31">
        <w:r>
          <w:rPr>
            <w:rFonts w:ascii="Arial" w:eastAsia="Arial" w:hAnsi="Arial" w:cs="Arial"/>
            <w:highlight w:val="white"/>
          </w:rPr>
          <w:t>https://doi.org/10.21608/ejhc.2022.225111</w:t>
        </w:r>
      </w:hyperlink>
    </w:p>
    <w:p w14:paraId="000002A5" w14:textId="77777777" w:rsidR="00E05BE1" w:rsidRDefault="00E05BE1">
      <w:pPr>
        <w:keepNext/>
        <w:pBdr>
          <w:top w:val="nil"/>
          <w:left w:val="nil"/>
          <w:bottom w:val="nil"/>
          <w:right w:val="nil"/>
          <w:between w:val="nil"/>
        </w:pBdr>
        <w:jc w:val="both"/>
        <w:rPr>
          <w:rFonts w:ascii="Arial" w:eastAsia="Arial" w:hAnsi="Arial" w:cs="Arial"/>
          <w:smallCaps/>
          <w:color w:val="000000"/>
        </w:rPr>
      </w:pPr>
    </w:p>
    <w:sectPr w:rsidR="00E05BE1">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C9738" w14:textId="77777777" w:rsidR="00F07326" w:rsidRDefault="00F07326">
      <w:r>
        <w:separator/>
      </w:r>
    </w:p>
  </w:endnote>
  <w:endnote w:type="continuationSeparator" w:id="0">
    <w:p w14:paraId="12685020" w14:textId="77777777" w:rsidR="00F07326" w:rsidRDefault="00F0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59F5DC8E-5500-46C9-BC5F-F5DB9FA2F0A3}"/>
    <w:embedBold r:id="rId2" w:fontKey="{3C5B3A24-83D3-46F0-B8E7-954E31BA02E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DB85847-682D-4893-B32F-23531E0C31C2}"/>
  </w:font>
  <w:font w:name="Calibri">
    <w:panose1 w:val="020F0502020204030204"/>
    <w:charset w:val="00"/>
    <w:family w:val="swiss"/>
    <w:pitch w:val="variable"/>
    <w:sig w:usb0="E4002EFF" w:usb1="C200247B" w:usb2="00000009" w:usb3="00000000" w:csb0="000001FF" w:csb1="00000000"/>
    <w:embedRegular r:id="rId4" w:fontKey="{A7C0EB5F-3C62-448B-A7E3-837B7533A5AC}"/>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352EBF55-2DC3-4609-9D6B-12988F4F1E37}"/>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auto"/>
    <w:pitch w:val="default"/>
    <w:embedItalic r:id="rId6" w:fontKey="{071FB1DA-4F57-4D34-99D3-3C7523264ED9}"/>
  </w:font>
  <w:font w:name="Cambria">
    <w:panose1 w:val="02040503050406030204"/>
    <w:charset w:val="00"/>
    <w:family w:val="roman"/>
    <w:pitch w:val="variable"/>
    <w:sig w:usb0="E00006FF" w:usb1="420024FF" w:usb2="02000000" w:usb3="00000000" w:csb0="0000019F" w:csb1="00000000"/>
    <w:embedRegular r:id="rId7" w:fontKey="{C9B2DA3D-FED7-4723-92C7-FDB015284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5" w14:textId="77777777" w:rsidR="00E05BE1" w:rsidRDefault="00E05BE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6" w14:textId="77777777" w:rsidR="00E05BE1" w:rsidRDefault="00E05BE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7" w14:textId="77777777" w:rsidR="00E05BE1" w:rsidRDefault="00E05BE1">
    <w:pPr>
      <w:rPr>
        <w:rFonts w:ascii="Arial" w:eastAsia="Arial" w:hAnsi="Arial" w:cs="Arial"/>
      </w:rPr>
    </w:pPr>
  </w:p>
  <w:p w14:paraId="000002B8" w14:textId="77777777" w:rsidR="00E05BE1" w:rsidRDefault="00E05BE1">
    <w:pPr>
      <w:pBdr>
        <w:top w:val="nil"/>
        <w:left w:val="nil"/>
        <w:bottom w:val="nil"/>
        <w:right w:val="nil"/>
        <w:between w:val="nil"/>
      </w:pBdr>
      <w:tabs>
        <w:tab w:val="center" w:pos="4320"/>
        <w:tab w:val="right" w:pos="8640"/>
      </w:tabs>
      <w:rPr>
        <w:rFonts w:ascii="Arial" w:eastAsia="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9" w14:textId="77777777" w:rsidR="00E05BE1" w:rsidRDefault="00E05BE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85886" w14:textId="77777777" w:rsidR="00F07326" w:rsidRDefault="00F07326">
      <w:r>
        <w:separator/>
      </w:r>
    </w:p>
  </w:footnote>
  <w:footnote w:type="continuationSeparator" w:id="0">
    <w:p w14:paraId="3A785644" w14:textId="77777777" w:rsidR="00F07326" w:rsidRDefault="00F07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A6"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60288" behindDoc="1" locked="0" layoutInCell="1" hidden="0" allowOverlap="1" wp14:anchorId="31C7AD9A" wp14:editId="545BAD9C">
              <wp:simplePos x="0" y="0"/>
              <wp:positionH relativeFrom="margin">
                <wp:align>center</wp:align>
              </wp:positionH>
              <wp:positionV relativeFrom="margin">
                <wp:align>center</wp:align>
              </wp:positionV>
              <wp:extent cx="5208998" cy="5208998"/>
              <wp:effectExtent l="0" t="0" r="0" b="0"/>
              <wp:wrapNone/>
              <wp:docPr id="1033" name="Rectangle 1033"/>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5708F2DC"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31C7AD9A" id="Rectangle 1033" o:spid="_x0000_s1026" style="position:absolute;margin-left:0;margin-top:0;width:410.15pt;height:410.15pt;rotation:-45;z-index:-25165619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WFItds8BAAB0AwAADgAAAAAA&#10;AAAAAAAAAAAuAgAAZHJzL2Uyb0RvYy54bWxQSwECLQAUAAYACAAAACEAPu5GZNgAAAAFAQAADwAA&#10;AAAAAAAAAAAAAAApBAAAZHJzL2Rvd25yZXYueG1sUEsFBgAAAAAEAAQA8wAAAC4FAAAAAA==&#10;" filled="f" stroked="f">
              <v:textbox inset="2.53958mm,2.53958mm,2.53958mm,2.53958mm">
                <w:txbxContent>
                  <w:p w14:paraId="5708F2DC"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A7"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8240" behindDoc="1" locked="0" layoutInCell="1" hidden="0" allowOverlap="1" wp14:anchorId="5C200A25" wp14:editId="54320A6D">
              <wp:simplePos x="0" y="0"/>
              <wp:positionH relativeFrom="margin">
                <wp:align>center</wp:align>
              </wp:positionH>
              <wp:positionV relativeFrom="margin">
                <wp:align>center</wp:align>
              </wp:positionV>
              <wp:extent cx="5208998" cy="5208998"/>
              <wp:effectExtent l="0" t="0" r="0" b="0"/>
              <wp:wrapNone/>
              <wp:docPr id="1027" name="Rectangle 1027"/>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696A9971"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5C200A25" id="Rectangle 1027" o:spid="_x0000_s1027" style="position:absolute;margin-left:0;margin-top:0;width:410.15pt;height:410.1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" filled="f" stroked="f">
              <v:textbox inset="2.53958mm,2.53958mm,2.53958mm,2.53958mm">
                <w:txbxContent>
                  <w:p w14:paraId="696A9971"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A8" w14:textId="77777777" w:rsidR="00E05BE1" w:rsidRDefault="00F07326">
    <w:pPr>
      <w:ind w:left="2160"/>
      <w:jc w:val="center"/>
      <w:rPr>
        <w:rFonts w:ascii="Times New Roman" w:eastAsia="Times New Roman" w:hAnsi="Times New Roman" w:cs="Times New Roman"/>
        <w:i/>
        <w:iCs/>
        <w:sz w:val="18"/>
        <w:szCs w:val="18"/>
      </w:rPr>
    </w:pPr>
    <w:r>
      <w:rPr>
        <w:noProof/>
      </w:rPr>
      <mc:AlternateContent>
        <mc:Choice Requires="wps">
          <w:drawing>
            <wp:anchor distT="0" distB="0" distL="114300" distR="114300" simplePos="0" relativeHeight="251659264" behindDoc="1" locked="0" layoutInCell="1" hidden="0" allowOverlap="1" wp14:anchorId="1EC6E166" wp14:editId="4EC1CBD0">
              <wp:simplePos x="0" y="0"/>
              <wp:positionH relativeFrom="margin">
                <wp:align>center</wp:align>
              </wp:positionH>
              <wp:positionV relativeFrom="margin">
                <wp:align>center</wp:align>
              </wp:positionV>
              <wp:extent cx="5208998" cy="5208998"/>
              <wp:effectExtent l="0" t="0" r="0" b="0"/>
              <wp:wrapNone/>
              <wp:docPr id="1028" name="Rectangle 1028"/>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6AA29E87"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1EC6E166" id="Rectangle 1028" o:spid="_x0000_s1028" style="position:absolute;left:0;text-align:left;margin-left:0;margin-top:0;width:410.15pt;height:410.1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" filled="f" stroked="f">
              <v:textbox inset="2.53958mm,2.53958mm,2.53958mm,2.53958mm">
                <w:txbxContent>
                  <w:p w14:paraId="6AA29E87"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p w14:paraId="000002A9" w14:textId="77777777" w:rsidR="00E05BE1" w:rsidRDefault="00F0732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2AA" w14:textId="77777777" w:rsidR="00E05BE1" w:rsidRDefault="00F0732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00002AB" w14:textId="77777777" w:rsidR="00E05BE1" w:rsidRDefault="00F0732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00002AC" w14:textId="77777777" w:rsidR="00E05BE1" w:rsidRDefault="00F0732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2AD" w14:textId="77777777" w:rsidR="00E05BE1" w:rsidRDefault="00F0732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00002AE" w14:textId="77777777" w:rsidR="00E05BE1" w:rsidRDefault="00F0732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AF"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63360" behindDoc="1" locked="0" layoutInCell="1" hidden="0" allowOverlap="1" wp14:anchorId="7BB4C885" wp14:editId="617D8DFA">
              <wp:simplePos x="0" y="0"/>
              <wp:positionH relativeFrom="margin">
                <wp:align>center</wp:align>
              </wp:positionH>
              <wp:positionV relativeFrom="margin">
                <wp:align>center</wp:align>
              </wp:positionV>
              <wp:extent cx="5208998" cy="5208998"/>
              <wp:effectExtent l="0" t="0" r="0" b="0"/>
              <wp:wrapNone/>
              <wp:docPr id="1035" name="Rectangle 1035"/>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2ECE91B7"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BB4C885" id="Rectangle 1035" o:spid="_x0000_s1029" style="position:absolute;margin-left:0;margin-top:0;width:410.15pt;height:410.15pt;rotation:-45;z-index:-25165312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" filled="f" stroked="f">
              <v:textbox inset="2.53958mm,2.53958mm,2.53958mm,2.53958mm">
                <w:txbxContent>
                  <w:p w14:paraId="2ECE91B7"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0" w14:textId="77777777" w:rsidR="00E05BE1" w:rsidRDefault="00F07326">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61312" behindDoc="1" locked="0" layoutInCell="1" hidden="0" allowOverlap="1" wp14:anchorId="28BC8CCF" wp14:editId="6472A4A2">
              <wp:simplePos x="0" y="0"/>
              <wp:positionH relativeFrom="margin">
                <wp:posOffset>952</wp:posOffset>
              </wp:positionH>
              <wp:positionV relativeFrom="margin">
                <wp:posOffset>1405522</wp:posOffset>
              </wp:positionV>
              <wp:extent cx="5210175" cy="5128854"/>
              <wp:effectExtent l="0" t="0" r="0" b="0"/>
              <wp:wrapNone/>
              <wp:docPr id="1029" name="Rectangle 1029"/>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4CECC432"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8BC8CCF" id="Rectangle 1029" o:spid="_x0000_s1030" style="position:absolute;margin-left:.05pt;margin-top:110.65pt;width:410.25pt;height:403.85pt;rotation:-45;z-index:-25165516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" filled="f" stroked="f">
              <v:textbox inset="2.53958mm,2.53958mm,2.53958mm,2.53958mm">
                <w:txbxContent>
                  <w:p w14:paraId="4CECC432"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1"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62336" behindDoc="1" locked="0" layoutInCell="1" hidden="0" allowOverlap="1" wp14:anchorId="1D22C6FA" wp14:editId="5A381C6A">
              <wp:simplePos x="0" y="0"/>
              <wp:positionH relativeFrom="margin">
                <wp:align>center</wp:align>
              </wp:positionH>
              <wp:positionV relativeFrom="margin">
                <wp:align>center</wp:align>
              </wp:positionV>
              <wp:extent cx="5208998" cy="5208998"/>
              <wp:effectExtent l="0" t="0" r="0" b="0"/>
              <wp:wrapNone/>
              <wp:docPr id="1030" name="Rectangle 1030"/>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5AE8EF61"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1D22C6FA" id="Rectangle 1030" o:spid="_x0000_s1031" style="position:absolute;margin-left:0;margin-top:0;width:410.15pt;height:410.15pt;rotation:-45;z-index:-2516541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" filled="f" stroked="f">
              <v:textbox inset="2.53958mm,2.53958mm,2.53958mm,2.53958mm">
                <w:txbxContent>
                  <w:p w14:paraId="5AE8EF61"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2"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66432" behindDoc="1" locked="0" layoutInCell="1" hidden="0" allowOverlap="1" wp14:anchorId="35A7062B" wp14:editId="63A47C88">
              <wp:simplePos x="0" y="0"/>
              <wp:positionH relativeFrom="margin">
                <wp:align>center</wp:align>
              </wp:positionH>
              <wp:positionV relativeFrom="margin">
                <wp:align>center</wp:align>
              </wp:positionV>
              <wp:extent cx="5208998" cy="5208998"/>
              <wp:effectExtent l="0" t="0" r="0" b="0"/>
              <wp:wrapNone/>
              <wp:docPr id="1034" name="Rectangle 1034"/>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4A24A6F1"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35A7062B" id="Rectangle 1034" o:spid="_x0000_s1032" style="position:absolute;margin-left:0;margin-top:0;width:410.15pt;height:410.15pt;rotation:-45;z-index:-25165004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" filled="f" stroked="f">
              <v:textbox inset="2.53958mm,2.53958mm,2.53958mm,2.53958mm">
                <w:txbxContent>
                  <w:p w14:paraId="4A24A6F1"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3"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64384" behindDoc="1" locked="0" layoutInCell="1" hidden="0" allowOverlap="1" wp14:anchorId="384A503D" wp14:editId="15F4FE0B">
              <wp:simplePos x="0" y="0"/>
              <wp:positionH relativeFrom="margin">
                <wp:align>center</wp:align>
              </wp:positionH>
              <wp:positionV relativeFrom="margin">
                <wp:align>center</wp:align>
              </wp:positionV>
              <wp:extent cx="5208998" cy="5208998"/>
              <wp:effectExtent l="0" t="0" r="0" b="0"/>
              <wp:wrapNone/>
              <wp:docPr id="1031" name="Rectangle 1031"/>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4CEAAD59"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384A503D" id="Rectangle 1031" o:spid="_x0000_s1033" style="position:absolute;margin-left:0;margin-top:0;width:410.15pt;height:410.15pt;rotation:-45;z-index:-25165209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" filled="f" stroked="f">
              <v:textbox inset="2.53958mm,2.53958mm,2.53958mm,2.53958mm">
                <w:txbxContent>
                  <w:p w14:paraId="4CEAAD59"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B4" w14:textId="77777777" w:rsidR="00E05BE1" w:rsidRDefault="00F07326">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65408" behindDoc="1" locked="0" layoutInCell="1" hidden="0" allowOverlap="1" wp14:anchorId="72C2A337" wp14:editId="2FFC702A">
              <wp:simplePos x="0" y="0"/>
              <wp:positionH relativeFrom="margin">
                <wp:align>center</wp:align>
              </wp:positionH>
              <wp:positionV relativeFrom="margin">
                <wp:align>center</wp:align>
              </wp:positionV>
              <wp:extent cx="5208998" cy="5208998"/>
              <wp:effectExtent l="0" t="0" r="0" b="0"/>
              <wp:wrapNone/>
              <wp:docPr id="1036" name="Rectangle 1036"/>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1E359C1E" w14:textId="77777777" w:rsidR="00E05BE1" w:rsidRDefault="00F07326">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2C2A337" id="Rectangle 1036" o:spid="_x0000_s1034" style="position:absolute;margin-left:0;margin-top:0;width:410.15pt;height:410.15pt;rotation:-45;z-index:-25165107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" filled="f" stroked="f">
              <v:textbox inset="2.53958mm,2.53958mm,2.53958mm,2.53958mm">
                <w:txbxContent>
                  <w:p w14:paraId="1E359C1E" w14:textId="77777777" w:rsidR="00E05BE1" w:rsidRDefault="00F07326">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77C27"/>
    <w:multiLevelType w:val="multilevel"/>
    <w:tmpl w:val="7A4A0F5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BE1"/>
    <w:rsid w:val="002261EB"/>
    <w:rsid w:val="002541EC"/>
    <w:rsid w:val="00834BB6"/>
    <w:rsid w:val="008853F2"/>
    <w:rsid w:val="00E05BE1"/>
    <w:rsid w:val="00F0732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DDD9C8E"/>
  <w15:docId w15:val="{35A38548-0B2E-48C5-9ADB-F6083428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qFormat/>
    <w:pPr>
      <w:spacing w:before="100" w:beforeAutospacing="1" w:after="100" w:afterAutospacing="1"/>
    </w:pPr>
    <w:rPr>
      <w:rFonts w:ascii="Times New Roman" w:hAnsi="Times New Roman"/>
      <w:sz w:val="24"/>
      <w:szCs w:val="24"/>
      <w:lang w:val="en-PH"/>
    </w:rPr>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qFormat/>
    <w:rPr>
      <w:color w:val="605E5C"/>
      <w:shd w:val="clear" w:color="auto" w:fill="E1DFDD"/>
    </w:rPr>
  </w:style>
  <w:style w:type="paragraph" w:customStyle="1" w:styleId="a">
    <w:name w:val="正文"/>
    <w:qFormat/>
    <w:rPr>
      <w:rFonts w:ascii="Helvetica" w:eastAsia="Times New Roman" w:hAnsi="Helvetica"/>
      <w:sz w:val="24"/>
      <w:szCs w:val="24"/>
    </w:rPr>
  </w:style>
  <w:style w:type="paragraph" w:customStyle="1" w:styleId="a0">
    <w:name w:val="普通(网站)"/>
    <w:basedOn w:val="Normal"/>
    <w:qFormat/>
    <w:pPr>
      <w:spacing w:before="100" w:beforeAutospacing="1" w:after="100" w:afterAutospacing="1"/>
    </w:pPr>
    <w:rPr>
      <w:rFonts w:ascii="Times New Roman" w:eastAsia="SimSun" w:hAnsi="Times New Roman"/>
      <w:sz w:val="24"/>
      <w:szCs w:val="24"/>
      <w:lang w:val="en-PH"/>
    </w:rPr>
  </w:style>
  <w:style w:type="table" w:customStyle="1" w:styleId="a1">
    <w:name w:val="普通表格"/>
    <w:qFormat/>
    <w:tblPr>
      <w:tblCellMar>
        <w:top w:w="0" w:type="dxa"/>
        <w:left w:w="108" w:type="dxa"/>
        <w:bottom w:w="0" w:type="dxa"/>
        <w:right w:w="108" w:type="dxa"/>
      </w:tblCellMar>
    </w:tblPr>
  </w:style>
  <w:style w:type="character" w:customStyle="1" w:styleId="UnresolvedMention2">
    <w:name w:val="Unresolved Mention2"/>
    <w:basedOn w:val="DefaultParagraphFont"/>
    <w:uiPriority w:val="99"/>
    <w:rPr>
      <w:color w:val="605E5C"/>
      <w:shd w:val="clear" w:color="auto" w:fill="E1DFDD"/>
    </w:rPr>
  </w:style>
  <w:style w:type="table" w:customStyle="1" w:styleId="TableGrid1">
    <w:name w:val="Table Grid1"/>
    <w:basedOn w:val="TableNormal"/>
    <w:next w:val="TableGrid"/>
    <w:uiPriority w:val="39"/>
    <w:rPr>
      <w:rFonts w:ascii="Calibri" w:eastAsia="Calibri" w:hAnsi="Calibri" w:cs="Vrind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hyperlink" Target="https://doi.org/10.1002/nop2.1964" TargetMode="External"/><Relationship Id="rId26" Type="http://schemas.openxmlformats.org/officeDocument/2006/relationships/hyperlink" Target="https://doi.org/10.51244/IJRSI.2024.1107007" TargetMode="External"/><Relationship Id="rId3" Type="http://schemas.openxmlformats.org/officeDocument/2006/relationships/styles" Target="styles.xml"/><Relationship Id="rId21" Type="http://schemas.openxmlformats.org/officeDocument/2006/relationships/hyperlink" Target="https://doi.org/10.4102/curationis.v43i1.2033"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dictionary.com/browse/student-nurse" TargetMode="External"/><Relationship Id="rId25" Type="http://schemas.openxmlformats.org/officeDocument/2006/relationships/hyperlink" Target="https://doi.org/10.51244/IJRSI.2024.1107007"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doi.org/10.9734/ajrnh/2025/v8i1201" TargetMode="External"/><Relationship Id="rId20" Type="http://schemas.openxmlformats.org/officeDocument/2006/relationships/hyperlink" Target="https://doi.org/10.54393/pjhs.v3i07.449"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7506/ijonc.v7i2.7709"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nedt.2021.105053" TargetMode="External"/><Relationship Id="rId23" Type="http://schemas.openxmlformats.org/officeDocument/2006/relationships/hyperlink" Target="https://doi.org/10.1007/978-3-319-31816-5_460-1?fbclid=IwZXh0bgNhZW0CMTAAYnJpZBEyNWRlbEkyQ1RaVG9XUXdBVnNydGMGYXBwX2lkEDIyMjAzOTE3ODgyMDA4OTIAAR50BqDeSRtjwTyspJ2vwUVtVX4N280XKXcnJI55uD7dX3UAAVrBd8Z6fjw7Tw_aem_xgWYjERJeF3_IBKg24RRlA"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mcmededuc.biomedcentral.com/articles/10.1186/s12909-024-06562-0" TargetMode="External"/><Relationship Id="rId31" Type="http://schemas.openxmlformats.org/officeDocument/2006/relationships/hyperlink" Target="https://doi.org/10.21608/ejhc.2022.2251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https://www.cancer.gov/about-cancer/treatment/types/chemotherapy"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eCef3KlGTYrpkLKBDvdfr7OTQ==">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7140</Words>
  <Characters>40702</Characters>
  <Application>Microsoft Office Word</Application>
  <DocSecurity>0</DocSecurity>
  <Lines>339</Lines>
  <Paragraphs>95</Paragraphs>
  <ScaleCrop>false</ScaleCrop>
  <Company/>
  <LinksUpToDate>false</LinksUpToDate>
  <CharactersWithSpaces>47747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HP</cp:lastModifiedBy>
  <cp:revision>5</cp:revision>
  <dcterms:created xsi:type="dcterms:W3CDTF">2026-03-27T00:41:00Z</dcterms:created>
  <dcterms:modified xsi:type="dcterms:W3CDTF">2026-04-02T13:05:00Z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eyJoZGlkIjoiNTI5OTkxM2IzYWQ0NDI2MDMxOTgyZTM0Nzk0YzI3ZjQiLCJ1c2VySWQiOiI3MDQ5NDM0MzE0OTgifQ==</vt:lpwstr>
  </property>
  <property fmtid="{D5CDD505-2E9C-101B-9397-08002B2CF9AE}" pid="3" name="KSOProductBuildVer">
    <vt:lpwstr>1033-12.1.0.25242</vt:lpwstr>
  </property>
  <property fmtid="{D5CDD505-2E9C-101B-9397-08002B2CF9AE}" pid="4" name="ICV">
    <vt:lpwstr>919af5e7cf6d4140b03adcb90044796d</vt:lpwstr>
  </property>
</Properties>
</file>