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31034" w:rsidRDefault="004A5BAD">
      <w:pPr>
        <w:widowControl w:val="0"/>
        <w:pBdr>
          <w:top w:val="nil"/>
          <w:left w:val="nil"/>
          <w:bottom w:val="nil"/>
          <w:right w:val="nil"/>
          <w:between w:val="nil"/>
        </w:pBdr>
      </w:pPr>
      <w:r>
        <w:pict w14:anchorId="55CAC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0pt;height:50pt;z-index:251657216;visibility:hidden">
            <o:lock v:ext="edit" selection="t"/>
          </v:shape>
        </w:pict>
      </w:r>
      <w:r>
        <w:pict w14:anchorId="5FA096F3">
          <v:shape id="_x0000_s1031" type="#_x0000_t136" style="position:absolute;margin-left:0;margin-top:0;width:50pt;height:50pt;z-index:251658240;visibility:hidden">
            <o:lock v:ext="edit" selection="t"/>
          </v:shape>
        </w:pict>
      </w:r>
      <w:r>
        <w:pict w14:anchorId="5E74B5EF">
          <v:shape id="_x0000_s1030" type="#_x0000_t136" style="position:absolute;margin-left:0;margin-top:0;width:50pt;height:50pt;z-index:251659264;visibility:hidden">
            <o:lock v:ext="edit" selection="t"/>
          </v:shape>
        </w:pict>
      </w: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FACILITY AVAILABILITY AND CLINICAL PRACTICE IN NURSING EDUCATION IN A PRIVATE COLLEGE IN ILOILO      </w:t>
      </w:r>
    </w:p>
    <w:p w:rsidR="00131034" w:rsidRDefault="00131034">
      <w:pPr>
        <w:spacing w:line="479" w:lineRule="auto"/>
        <w:jc w:val="center"/>
        <w:rPr>
          <w:rFonts w:ascii="Times New Roman" w:eastAsia="Times New Roman" w:hAnsi="Times New Roman" w:cs="Times New Roman"/>
          <w:b/>
          <w:bCs/>
          <w:sz w:val="24"/>
          <w:szCs w:val="24"/>
        </w:rPr>
      </w:pPr>
    </w:p>
    <w:p w:rsidR="00131034" w:rsidRDefault="00131034">
      <w:pPr>
        <w:spacing w:line="479" w:lineRule="auto"/>
        <w:jc w:val="center"/>
        <w:rPr>
          <w:rFonts w:ascii="Times New Roman" w:eastAsia="Times New Roman" w:hAnsi="Times New Roman" w:cs="Times New Roman"/>
          <w:b/>
          <w:bCs/>
          <w:sz w:val="24"/>
          <w:szCs w:val="24"/>
        </w:rPr>
      </w:pPr>
    </w:p>
    <w:p w:rsidR="00131034" w:rsidRDefault="00131034">
      <w:pPr>
        <w:spacing w:line="479" w:lineRule="auto"/>
        <w:jc w:val="center"/>
      </w:pPr>
    </w:p>
    <w:p w:rsidR="00131034" w:rsidRDefault="00131034">
      <w:pPr>
        <w:widowControl w:val="0"/>
        <w:spacing w:line="480" w:lineRule="auto"/>
        <w:jc w:val="center"/>
        <w:rPr>
          <w:rFonts w:ascii="Times New Roman" w:eastAsia="Times New Roman" w:hAnsi="Times New Roman" w:cs="Times New Roman"/>
          <w:b/>
          <w:bCs/>
          <w:sz w:val="24"/>
          <w:szCs w:val="24"/>
        </w:rPr>
      </w:pPr>
    </w:p>
    <w:p w:rsidR="00131034" w:rsidRDefault="009E3975">
      <w:pPr>
        <w:widowControl w:val="0"/>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31034" w:rsidRDefault="009E397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transition from theoretical nursing education in the classroom to actual clinical practice required not only knowledge but also competence, confidence, and adequate institutional support. The availability of learning facilities played a crucial role in strengthening students' clinical abilities and supporting the integration of theory into practice. The study aimed to determine the level of facility availability and clinical practice and examine the relationship between these variables among Bachelor of Science in Nursing students in a Private College in Iloilo City. A descriptive-correlational research design was utilized involving 305 Level 2 to Level 4 nursing students selected through stratified sampling. The data collected were collected using an adopted questionnaire measuring facility availability and a researcher-made instrument assessing clinical practice. Ethical clearance was secured prior to data collection to ensure voluntary participation, confidentiality, and protection of the respondents’ rights.</w:t>
      </w:r>
    </w:p>
    <w:p w:rsidR="00131034" w:rsidRDefault="009E397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revealed that Facility Availability was generally perceived as moderate to high, although certain areas such as classroom infrastructure required improvement. Clinical practice was likewise rated moderate to high, with motivation, confidence, and critical thinking identified as strong indicators, while exposure to varied clinical cases received lower ratings. A significant moderate positive relationship was found between facility availability and clinical practice, indicating that improved facilities were associated with better clinical outcomes. Strengthening institutional facilities can enhance students' clinical competence and support the overall quality of nursing education. </w:t>
      </w:r>
    </w:p>
    <w:p w:rsidR="00131034" w:rsidRDefault="00131034">
      <w:pPr>
        <w:widowControl w:val="0"/>
        <w:spacing w:line="240" w:lineRule="auto"/>
        <w:rPr>
          <w:rFonts w:ascii="Times New Roman" w:eastAsia="Times New Roman" w:hAnsi="Times New Roman" w:cs="Times New Roman"/>
          <w:i/>
          <w:iCs/>
          <w:sz w:val="24"/>
          <w:szCs w:val="24"/>
        </w:rPr>
      </w:pPr>
    </w:p>
    <w:p w:rsidR="00131034" w:rsidRDefault="009E397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Keywords:</w:t>
      </w:r>
      <w:r>
        <w:rPr>
          <w:rFonts w:ascii="Times New Roman" w:eastAsia="Times New Roman" w:hAnsi="Times New Roman" w:cs="Times New Roman"/>
          <w:sz w:val="24"/>
          <w:szCs w:val="24"/>
        </w:rPr>
        <w:t xml:space="preserve"> facility adaptability, clinical practice, nursing education, student nurses</w:t>
      </w:r>
    </w:p>
    <w:p w:rsidR="00131034" w:rsidRDefault="00131034">
      <w:pPr>
        <w:widowControl w:val="0"/>
        <w:spacing w:line="480" w:lineRule="auto"/>
        <w:jc w:val="center"/>
        <w:rPr>
          <w:rFonts w:ascii="Times New Roman" w:eastAsia="Times New Roman" w:hAnsi="Times New Roman" w:cs="Times New Roman"/>
          <w:sz w:val="24"/>
          <w:szCs w:val="24"/>
        </w:rPr>
      </w:pPr>
    </w:p>
    <w:p w:rsidR="00131034" w:rsidRDefault="00131034">
      <w:pPr>
        <w:widowControl w:val="0"/>
        <w:spacing w:line="480" w:lineRule="auto"/>
        <w:jc w:val="center"/>
        <w:rPr>
          <w:rFonts w:ascii="Times New Roman" w:eastAsia="Times New Roman" w:hAnsi="Times New Roman" w:cs="Times New Roman"/>
          <w:sz w:val="24"/>
          <w:szCs w:val="24"/>
        </w:rPr>
      </w:pP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color w:val="111111"/>
          <w:sz w:val="24"/>
          <w:szCs w:val="24"/>
        </w:rPr>
        <w:t xml:space="preserve">Insufficient access to appropriate facilities along with weak clinical performance significantly hindered students’ capacity to strengthen their competencies, apply </w:t>
      </w:r>
      <w:r>
        <w:rPr>
          <w:rFonts w:ascii="Times New Roman" w:eastAsia="Times New Roman" w:hAnsi="Times New Roman" w:cs="Times New Roman"/>
          <w:color w:val="111111"/>
          <w:sz w:val="24"/>
          <w:szCs w:val="24"/>
        </w:rPr>
        <w:lastRenderedPageBreak/>
        <w:t>theoretical concepts into practical skills, and build self-assurance in both academic and clinical settings. When these concerns were not properly addressed, graduating students arrived in the workforce less adequately prepared for professional practice, which contributed to lower pass rates on licensure examinations, fewer career prospects, and a further deterioration in the high quality of healthcare delivery. In addition, high standard nursing education was crucial in sustaining effective healthcare delivery through the enhancement of proficient clinical skills, critical reasoning, and effective communication skills, which were vital to ensure safe, patient-centered care and to meet the evolving demands of contemporary healthcare practice.</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Since the demands of nursing courses, both academic and clinical, were challenging, some nursing students experienced difficulty meeting both academic and clinical requirements (</w:t>
      </w:r>
      <w:proofErr w:type="spellStart"/>
      <w:r>
        <w:rPr>
          <w:rFonts w:ascii="Times New Roman" w:eastAsia="Times New Roman" w:hAnsi="Times New Roman" w:cs="Times New Roman"/>
          <w:color w:val="111111"/>
          <w:sz w:val="24"/>
          <w:szCs w:val="24"/>
        </w:rPr>
        <w:t>Aryuwat</w:t>
      </w:r>
      <w:proofErr w:type="spellEnd"/>
      <w:r>
        <w:rPr>
          <w:rFonts w:ascii="Times New Roman" w:eastAsia="Times New Roman" w:hAnsi="Times New Roman" w:cs="Times New Roman"/>
          <w:color w:val="111111"/>
          <w:sz w:val="24"/>
          <w:szCs w:val="24"/>
        </w:rPr>
        <w:t xml:space="preserve"> et al., 2024). Moreover, existing studies indicate that simulation-driven education was one of the effective strategies that promoted academic and clinical outcomes among nursing students, as they gained higher levels of knowledge, strengthened competencies, refined technical abilities, and greater self-confidence, which helped them provide quality patient care (</w:t>
      </w:r>
      <w:proofErr w:type="spellStart"/>
      <w:r>
        <w:rPr>
          <w:rFonts w:ascii="Times New Roman" w:eastAsia="Times New Roman" w:hAnsi="Times New Roman" w:cs="Times New Roman"/>
          <w:color w:val="111111"/>
          <w:sz w:val="24"/>
          <w:szCs w:val="24"/>
        </w:rPr>
        <w:t>Alkadi</w:t>
      </w:r>
      <w:proofErr w:type="spellEnd"/>
      <w:r>
        <w:rPr>
          <w:rFonts w:ascii="Times New Roman" w:eastAsia="Times New Roman" w:hAnsi="Times New Roman" w:cs="Times New Roman"/>
          <w:color w:val="111111"/>
          <w:sz w:val="24"/>
          <w:szCs w:val="24"/>
        </w:rPr>
        <w:t xml:space="preserve"> et al., 2025).  While researchers endeavored to determine the elements linked to students who were confident and prepared for the field of clinical practice, the concept of “practice readiness” had generated increased attention, especially in recent nursing education literature (</w:t>
      </w:r>
      <w:proofErr w:type="spellStart"/>
      <w:r>
        <w:rPr>
          <w:rFonts w:ascii="Times New Roman" w:eastAsia="Times New Roman" w:hAnsi="Times New Roman" w:cs="Times New Roman"/>
          <w:color w:val="111111"/>
          <w:sz w:val="24"/>
          <w:szCs w:val="24"/>
        </w:rPr>
        <w:t>Hasanah</w:t>
      </w:r>
      <w:proofErr w:type="spellEnd"/>
      <w:r>
        <w:rPr>
          <w:rFonts w:ascii="Times New Roman" w:eastAsia="Times New Roman" w:hAnsi="Times New Roman" w:cs="Times New Roman"/>
          <w:color w:val="111111"/>
          <w:sz w:val="24"/>
          <w:szCs w:val="24"/>
        </w:rPr>
        <w:t>, 2024). However, research indicated that this transition was difficult, as several variables affected students’ ability to apply their knowledge in a clinical context (Kane &amp; Nowell, 2023).</w:t>
      </w:r>
    </w:p>
    <w:p w:rsidR="00131034" w:rsidRDefault="009E3975">
      <w:pPr>
        <w:spacing w:line="479" w:lineRule="auto"/>
        <w:ind w:firstLine="72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Educational facilities served as a primary contributor in shaping a favorable academic atmosphere, making them a focal point in institutional improvement efforts </w:t>
      </w:r>
      <w:r>
        <w:rPr>
          <w:rFonts w:ascii="Times New Roman" w:eastAsia="Times New Roman" w:hAnsi="Times New Roman" w:cs="Times New Roman"/>
          <w:color w:val="111111"/>
          <w:sz w:val="24"/>
          <w:szCs w:val="24"/>
        </w:rPr>
        <w:lastRenderedPageBreak/>
        <w:t>(Jessa, 2023). Furthermore, quality referred to the performance of institutions, systems, and processes, which was defined as the best output that could be objectively obtained using specific standards and indicators (</w:t>
      </w:r>
      <w:proofErr w:type="spellStart"/>
      <w:r>
        <w:rPr>
          <w:rFonts w:ascii="Times New Roman" w:eastAsia="Times New Roman" w:hAnsi="Times New Roman" w:cs="Times New Roman"/>
          <w:color w:val="111111"/>
          <w:sz w:val="24"/>
          <w:szCs w:val="24"/>
        </w:rPr>
        <w:t>Papcunová</w:t>
      </w:r>
      <w:proofErr w:type="spellEnd"/>
      <w:r>
        <w:rPr>
          <w:rFonts w:ascii="Times New Roman" w:eastAsia="Times New Roman" w:hAnsi="Times New Roman" w:cs="Times New Roman"/>
          <w:color w:val="111111"/>
          <w:sz w:val="24"/>
          <w:szCs w:val="24"/>
        </w:rPr>
        <w:t xml:space="preserve"> et al., 2023). Service-learning advanced global health, open mindedness of students, promoting empathy, and strengthened analytical thinking skills, that lead to professional behavior and accountability in health education (Kreger, 2024). Accordingly, it was suggested that educational planners are encouraged to sensitize on the importance of making provision for educational infrastructure that facilitates higher academic achievement (</w:t>
      </w:r>
      <w:proofErr w:type="spellStart"/>
      <w:r>
        <w:rPr>
          <w:rFonts w:ascii="Times New Roman" w:eastAsia="Times New Roman" w:hAnsi="Times New Roman" w:cs="Times New Roman"/>
          <w:color w:val="111111"/>
          <w:sz w:val="24"/>
          <w:szCs w:val="24"/>
        </w:rPr>
        <w:t>Magwaga</w:t>
      </w:r>
      <w:proofErr w:type="spellEnd"/>
      <w:r>
        <w:rPr>
          <w:rFonts w:ascii="Times New Roman" w:eastAsia="Times New Roman" w:hAnsi="Times New Roman" w:cs="Times New Roman"/>
          <w:color w:val="111111"/>
          <w:sz w:val="24"/>
          <w:szCs w:val="24"/>
        </w:rPr>
        <w:t xml:space="preserve"> &amp; </w:t>
      </w:r>
      <w:proofErr w:type="spellStart"/>
      <w:r>
        <w:rPr>
          <w:rFonts w:ascii="Times New Roman" w:eastAsia="Times New Roman" w:hAnsi="Times New Roman" w:cs="Times New Roman"/>
          <w:color w:val="111111"/>
          <w:sz w:val="24"/>
          <w:szCs w:val="24"/>
        </w:rPr>
        <w:t>Werunga</w:t>
      </w:r>
      <w:proofErr w:type="spellEnd"/>
      <w:r>
        <w:rPr>
          <w:rFonts w:ascii="Times New Roman" w:eastAsia="Times New Roman" w:hAnsi="Times New Roman" w:cs="Times New Roman"/>
          <w:color w:val="111111"/>
          <w:sz w:val="24"/>
          <w:szCs w:val="24"/>
        </w:rPr>
        <w:t>, 2024). To facilitate the acquisition of professional capabilities and serve as a lifelong learning platform, nursing schools needed to provide inclusive and high-quality courses aligned with the United Nations Sustainable Development Goals (SDGs), particularly SDG 4: Quality Education. This involves providing adequate infrastructure, simulation laboratories, effective clinical supervision, and an inspiring learning environment that facilitated both academic standards and practical performance. SDG 3, which focused on ensuring healthy lives and promoted well-being for all ages, called attention to the importance of training a skilled workforce capable of delivering safe and high-quality care.</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sz w:val="24"/>
          <w:szCs w:val="24"/>
        </w:rPr>
        <w:t>Despite the existing literature, there is still limited research on how school facilities influence nursing students’ learning outcomes and clinical preparedness, particularly in tertiary nursing institutions in the Philippines, especially in Iloilo. Most available studies are conducted in international contexts and may not fully reflect the experiences of local nursing students.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Therefore, this study aims to examine the influence of school facilities on nursing students’ learning and clinical </w:t>
      </w:r>
      <w:proofErr w:type="gramStart"/>
      <w:r>
        <w:rPr>
          <w:rFonts w:ascii="Times New Roman" w:eastAsia="Times New Roman" w:hAnsi="Times New Roman" w:cs="Times New Roman"/>
          <w:sz w:val="24"/>
          <w:szCs w:val="24"/>
        </w:rPr>
        <w:t>practices..</w:t>
      </w:r>
      <w:proofErr w:type="gramEnd"/>
      <w:r>
        <w:rPr>
          <w:rFonts w:ascii="Times New Roman" w:eastAsia="Times New Roman" w:hAnsi="Times New Roman" w:cs="Times New Roman"/>
          <w:sz w:val="24"/>
          <w:szCs w:val="24"/>
        </w:rPr>
        <w:t xml:space="preserve"> The findings are expected to provide insights and recommendations for educational institutions to improve their facilities, enhance clinical training experiences, and strengthen the quality of nursing education and healthcare delivery.</w:t>
      </w:r>
    </w:p>
    <w:p w:rsidR="00131034" w:rsidRDefault="00131034">
      <w:pPr>
        <w:spacing w:line="479" w:lineRule="auto"/>
        <w:rPr>
          <w:rFonts w:ascii="Times New Roman" w:eastAsia="Times New Roman" w:hAnsi="Times New Roman" w:cs="Times New Roman"/>
          <w:color w:val="111111"/>
          <w:sz w:val="24"/>
          <w:szCs w:val="24"/>
        </w:rPr>
      </w:pPr>
    </w:p>
    <w:p w:rsidR="00131034" w:rsidRDefault="00131034">
      <w:pPr>
        <w:spacing w:line="479" w:lineRule="auto"/>
        <w:rPr>
          <w:rFonts w:ascii="Times New Roman" w:eastAsia="Times New Roman" w:hAnsi="Times New Roman" w:cs="Times New Roman"/>
          <w:color w:val="111111"/>
          <w:sz w:val="24"/>
          <w:szCs w:val="24"/>
        </w:rPr>
      </w:pPr>
    </w:p>
    <w:p w:rsidR="00131034" w:rsidRDefault="009E3975">
      <w:pPr>
        <w:spacing w:line="479"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Statement of the Problem</w:t>
      </w:r>
    </w:p>
    <w:p w:rsidR="00131034" w:rsidRDefault="009E3975">
      <w:pPr>
        <w:spacing w:line="479"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aims to determine facility availability and clinical practice in nursing education in a private college in Iloilo during the 2nd semester of school year 2025-2026.</w:t>
      </w:r>
      <w:r>
        <w:rPr>
          <w:rFonts w:ascii="Times New Roman" w:eastAsia="Times New Roman" w:hAnsi="Times New Roman" w:cs="Times New Roman"/>
          <w:sz w:val="24"/>
          <w:szCs w:val="24"/>
          <w:highlight w:val="white"/>
        </w:rPr>
        <w:br/>
        <w:t>In this context, the study seeks to answer the following questions:</w:t>
      </w:r>
    </w:p>
    <w:p w:rsidR="00131034" w:rsidRDefault="009E3975">
      <w:pPr>
        <w:numPr>
          <w:ilvl w:val="0"/>
          <w:numId w:val="1"/>
        </w:numPr>
        <w:spacing w:before="480" w:line="479" w:lineRule="auto"/>
      </w:pPr>
      <w:r>
        <w:rPr>
          <w:rFonts w:ascii="Times New Roman" w:eastAsia="Times New Roman" w:hAnsi="Times New Roman" w:cs="Times New Roman"/>
          <w:sz w:val="24"/>
          <w:szCs w:val="24"/>
          <w:highlight w:val="white"/>
        </w:rPr>
        <w:t>What is the profile of the respondents in terms of sex and year level?</w:t>
      </w:r>
    </w:p>
    <w:p w:rsidR="00131034" w:rsidRDefault="009E3975">
      <w:pPr>
        <w:numPr>
          <w:ilvl w:val="0"/>
          <w:numId w:val="1"/>
        </w:numPr>
        <w:spacing w:line="479" w:lineRule="auto"/>
      </w:pPr>
      <w:r>
        <w:rPr>
          <w:rFonts w:ascii="Times New Roman" w:eastAsia="Times New Roman" w:hAnsi="Times New Roman" w:cs="Times New Roman"/>
          <w:sz w:val="24"/>
          <w:szCs w:val="24"/>
          <w:highlight w:val="white"/>
        </w:rPr>
        <w:t xml:space="preserve">What is the extent of facility availability as perceived by the students? </w:t>
      </w:r>
    </w:p>
    <w:p w:rsidR="00131034" w:rsidRDefault="009E3975">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the level of clinical practice as perceived by the students?</w:t>
      </w:r>
    </w:p>
    <w:p w:rsidR="00131034" w:rsidRDefault="009E3975">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 there a significant relationship between perceived facility availability and the clinical practice of the students?</w:t>
      </w:r>
    </w:p>
    <w:p w:rsidR="00131034" w:rsidRDefault="00131034">
      <w:pPr>
        <w:spacing w:line="479" w:lineRule="auto"/>
        <w:ind w:left="720"/>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w:t>
      </w:r>
      <w:r>
        <w:rPr>
          <w:rFonts w:ascii="Times New Roman" w:eastAsia="Times New Roman" w:hAnsi="Times New Roman" w:cs="Times New Roman"/>
          <w:sz w:val="24"/>
          <w:szCs w:val="24"/>
        </w:rPr>
        <w:t xml:space="preserve"> </w:t>
      </w:r>
    </w:p>
    <w:p w:rsidR="00131034" w:rsidRDefault="009E3975">
      <w:pPr>
        <w:numPr>
          <w:ilvl w:val="0"/>
          <w:numId w:val="2"/>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significant relationship between facility availability and clinical practice in nursing education. </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 xml:space="preserve">Theoretical Framework </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ab/>
        <w:t>This study was anchored on Donabedian’s Structure–Process–Outcome (SPO) Model (1966). Structure refers to the context of care, including facilities, staff, and resources (Donabedian, 1966). The process involves interaction between providers and patients. Outcome refers to the results for the patients and the system itself.</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In nursing education, facility availability is considered part of the structure of learning, including clinical laboratories, simulation equipment, and clinical rotation areas that support students’ clinical training. The process involves hands-on clinical experiences where student nurses apply theoretical knowledge, practice essential skills, and receive supervision and feedback from instructors. The outcome is reflected in students’ clinical performance, readiness, and competence in nursing practice (Ayman </w:t>
      </w:r>
      <w:proofErr w:type="spellStart"/>
      <w:r>
        <w:rPr>
          <w:rFonts w:ascii="Times New Roman" w:eastAsia="Times New Roman" w:hAnsi="Times New Roman" w:cs="Times New Roman"/>
          <w:color w:val="111111"/>
          <w:sz w:val="24"/>
          <w:szCs w:val="24"/>
        </w:rPr>
        <w:t>Alaqwi</w:t>
      </w:r>
      <w:proofErr w:type="spellEnd"/>
      <w:r>
        <w:rPr>
          <w:rFonts w:ascii="Times New Roman" w:eastAsia="Times New Roman" w:hAnsi="Times New Roman" w:cs="Times New Roman"/>
          <w:color w:val="111111"/>
          <w:sz w:val="24"/>
          <w:szCs w:val="24"/>
        </w:rPr>
        <w:t xml:space="preserve">, Janine </w:t>
      </w:r>
      <w:proofErr w:type="spellStart"/>
      <w:r>
        <w:rPr>
          <w:rFonts w:ascii="Times New Roman" w:eastAsia="Times New Roman" w:hAnsi="Times New Roman" w:cs="Times New Roman"/>
          <w:color w:val="111111"/>
          <w:sz w:val="24"/>
          <w:szCs w:val="24"/>
        </w:rPr>
        <w:t>Kuntze</w:t>
      </w:r>
      <w:proofErr w:type="spellEnd"/>
      <w:r>
        <w:rPr>
          <w:rFonts w:ascii="Times New Roman" w:eastAsia="Times New Roman" w:hAnsi="Times New Roman" w:cs="Times New Roman"/>
          <w:color w:val="111111"/>
          <w:sz w:val="24"/>
          <w:szCs w:val="24"/>
        </w:rPr>
        <w:t xml:space="preserve">, Harm van der </w:t>
      </w:r>
      <w:proofErr w:type="spellStart"/>
      <w:r>
        <w:rPr>
          <w:rFonts w:ascii="Times New Roman" w:eastAsia="Times New Roman" w:hAnsi="Times New Roman" w:cs="Times New Roman"/>
          <w:color w:val="111111"/>
          <w:sz w:val="24"/>
          <w:szCs w:val="24"/>
        </w:rPr>
        <w:t>Molen</w:t>
      </w:r>
      <w:proofErr w:type="spellEnd"/>
      <w:r>
        <w:rPr>
          <w:rFonts w:ascii="Times New Roman" w:eastAsia="Times New Roman" w:hAnsi="Times New Roman" w:cs="Times New Roman"/>
          <w:color w:val="111111"/>
          <w:sz w:val="24"/>
          <w:szCs w:val="24"/>
        </w:rPr>
        <w:t>).</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Donabedian model, the study assumes that adequate facilities as part of the structure improve learning opportunities during the process, which in turn enhances student outcomes such as clinical competence and effectiveness in practice. This framework helps explain the relationship between facility availability and the clinical practice effectiveness of student nurses.</w:t>
      </w:r>
    </w:p>
    <w:p w:rsidR="00131034" w:rsidRDefault="009E3975">
      <w:pPr>
        <w:spacing w:line="479" w:lineRule="auto"/>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 xml:space="preserve">Conceptual Framework </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examined how the availability of facilities influences the overall clinical practice of nursing students in a private nursing college in Iloilo City. Anchored on Kolb's Experiential Learning Theory, it explains that students develop clinical competence through direct experience, where theoretical knowledge is transformed into practical skills. Adequate facilities such as clinical sites, classrooms, libraries, and laboratories provide meaningful learning environments that support the development of cognitive, psychomotor, and affective competencies. In contrast, limited resources may </w:t>
      </w:r>
      <w:r>
        <w:rPr>
          <w:rFonts w:ascii="Times New Roman" w:eastAsia="Times New Roman" w:hAnsi="Times New Roman" w:cs="Times New Roman"/>
          <w:sz w:val="24"/>
          <w:szCs w:val="24"/>
        </w:rPr>
        <w:lastRenderedPageBreak/>
        <w:t>reduce experiential learning opportunities and negatively affect students’ readiness and confidence in clinical practice. Overall, facility availability was viewed as an important institutional factor that may influence, but not solely determine, the development of nursing students’ clinical skills.</w:t>
      </w:r>
    </w:p>
    <w:p w:rsidR="00131034" w:rsidRDefault="009E3975">
      <w:pPr>
        <w:spacing w:line="479"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Figure 1</w:t>
      </w:r>
      <w:r>
        <w:rPr>
          <w:rFonts w:ascii="Times New Roman" w:eastAsia="Times New Roman" w:hAnsi="Times New Roman" w:cs="Times New Roman"/>
          <w:b/>
          <w:bCs/>
          <w:sz w:val="24"/>
          <w:szCs w:val="24"/>
        </w:rPr>
        <w:t>-- The relationship between facility availability and the clinical practice of nursing students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Independent Variable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bCs/>
          <w:sz w:val="24"/>
          <w:szCs w:val="24"/>
        </w:rPr>
        <w:t>Dependent Variable</w:t>
      </w:r>
      <w:r>
        <w:t xml:space="preserve"> </w:t>
      </w:r>
      <w:r>
        <w:rPr>
          <w:noProof/>
          <w:lang w:val="en-US" w:eastAsia="en-US"/>
        </w:rPr>
        <w:drawing>
          <wp:anchor distT="114300" distB="114300" distL="114300" distR="114300" simplePos="0" relativeHeight="251656192" behindDoc="0" locked="0" layoutInCell="1" hidden="0" allowOverlap="1">
            <wp:simplePos x="0" y="0"/>
            <wp:positionH relativeFrom="column">
              <wp:posOffset>2362200</wp:posOffset>
            </wp:positionH>
            <wp:positionV relativeFrom="paragraph">
              <wp:posOffset>578484</wp:posOffset>
            </wp:positionV>
            <wp:extent cx="490538" cy="277541"/>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90538" cy="277541"/>
                    </a:xfrm>
                    <a:prstGeom prst="rect">
                      <a:avLst/>
                    </a:prstGeom>
                    <a:ln/>
                  </pic:spPr>
                </pic:pic>
              </a:graphicData>
            </a:graphic>
          </wp:anchor>
        </w:drawing>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Facility Availability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Clinical Practice</w:t>
      </w:r>
      <w:r>
        <w:rPr>
          <w:rFonts w:ascii="Times New Roman" w:eastAsia="Times New Roman" w:hAnsi="Times New Roman" w:cs="Times New Roman"/>
          <w:sz w:val="24"/>
          <w:szCs w:val="24"/>
        </w:rPr>
        <w:tab/>
      </w:r>
    </w:p>
    <w:p w:rsidR="00131034" w:rsidRDefault="00131034">
      <w:pPr>
        <w:spacing w:before="240" w:after="240" w:line="479" w:lineRule="auto"/>
        <w:rPr>
          <w:rFonts w:ascii="Times New Roman" w:eastAsia="Times New Roman" w:hAnsi="Times New Roman" w:cs="Times New Roman"/>
          <w:sz w:val="24"/>
          <w:szCs w:val="24"/>
        </w:rPr>
      </w:pPr>
    </w:p>
    <w:p w:rsidR="00131034" w:rsidRDefault="009E3975">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The assumed flow of the variables under study is illustrated in </w:t>
      </w:r>
      <w:r>
        <w:rPr>
          <w:rFonts w:ascii="Times New Roman" w:eastAsia="Times New Roman" w:hAnsi="Times New Roman" w:cs="Times New Roman"/>
          <w:b/>
          <w:bCs/>
          <w:i/>
          <w:iCs/>
          <w:sz w:val="24"/>
          <w:szCs w:val="24"/>
        </w:rPr>
        <w:t>Figure 1</w:t>
      </w:r>
      <w:r>
        <w:rPr>
          <w:rFonts w:ascii="Times New Roman" w:eastAsia="Times New Roman" w:hAnsi="Times New Roman" w:cs="Times New Roman"/>
          <w:i/>
          <w:iCs/>
          <w:sz w:val="24"/>
          <w:szCs w:val="24"/>
        </w:rPr>
        <w:t>, which presents the relationship between facility availability and the clinical practice of nursing students.</w:t>
      </w:r>
    </w:p>
    <w:p w:rsidR="00131034" w:rsidRDefault="00131034">
      <w:pPr>
        <w:spacing w:line="479" w:lineRule="auto"/>
        <w:rPr>
          <w:rFonts w:ascii="Times New Roman" w:eastAsia="Times New Roman" w:hAnsi="Times New Roman" w:cs="Times New Roman"/>
          <w:b/>
          <w:bCs/>
          <w:sz w:val="24"/>
          <w:szCs w:val="24"/>
        </w:rPr>
      </w:pP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Significance of the Study</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stands to benefit the following:</w:t>
      </w:r>
    </w:p>
    <w:p w:rsidR="00131034" w:rsidRDefault="009E3975">
      <w:pPr>
        <w:spacing w:line="479" w:lineRule="auto"/>
        <w:ind w:firstLine="72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Student Nurses. </w:t>
      </w:r>
      <w:r>
        <w:rPr>
          <w:rFonts w:ascii="Times New Roman" w:eastAsia="Times New Roman" w:hAnsi="Times New Roman" w:cs="Times New Roman"/>
          <w:sz w:val="24"/>
          <w:szCs w:val="24"/>
        </w:rPr>
        <w:t xml:space="preserve">This research can provide a clear understanding </w:t>
      </w:r>
      <w:r>
        <w:rPr>
          <w:rFonts w:ascii="Times New Roman" w:eastAsia="Times New Roman" w:hAnsi="Times New Roman" w:cs="Times New Roman"/>
          <w:color w:val="111111"/>
          <w:sz w:val="24"/>
          <w:szCs w:val="24"/>
        </w:rPr>
        <w:t xml:space="preserve">how the availability and condition of facilities can affect their clinical practice experiences, skill development, and overall preparedness for professional nursing roles. </w:t>
      </w:r>
      <w:r>
        <w:rPr>
          <w:rFonts w:ascii="Times New Roman" w:eastAsia="Times New Roman" w:hAnsi="Times New Roman" w:cs="Times New Roman"/>
          <w:sz w:val="24"/>
          <w:szCs w:val="24"/>
        </w:rPr>
        <w:t xml:space="preserve">It can also help </w:t>
      </w:r>
      <w:r>
        <w:rPr>
          <w:rFonts w:ascii="Times New Roman" w:eastAsia="Times New Roman" w:hAnsi="Times New Roman" w:cs="Times New Roman"/>
          <w:color w:val="111111"/>
          <w:sz w:val="24"/>
          <w:szCs w:val="24"/>
        </w:rPr>
        <w:t>recognized the challenges they experienced and provided a basis for advocating improvements in their learning environment.</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Nursing Faculty and Clinical Instructors.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The findings can offer valuable insights for educators by identifying gaps in resources that may limit effective teaching and clinical supervision. They can also assist educators in adapting their methods to maximize existing resources while advocating for necessary improvements.</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School Administrators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findings of the study can provide school administrators with precise guidelines for budget management, facility improvement, and planning. Knowing what gaps and areas need attention, they can take practical steps to make improvements that can positively enhance the overall quality of the nursing program. </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Nursing Profession and Healthcare Sector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 In the nursing profession and the healthcare industry, this study suggests preparing future nurses who are not only knowledgeable but also confident and competent to provide safe and high-quality care. Improving facilities and clinical practice training contributed to producing nurses who were not only theoretically knowledgeable but also clinically skilled, which benefited hospitals, patients, and the community at large.</w:t>
      </w:r>
    </w:p>
    <w:p w:rsidR="00131034" w:rsidRDefault="009E3975" w:rsidP="00F202F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w:t>
      </w: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Related Literature</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is divided into (2) parts: a review of related concepts and a review of related studies.</w:t>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jc w:val="center"/>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Related Concept</w:t>
      </w:r>
      <w:r>
        <w:rPr>
          <w:rFonts w:ascii="Times New Roman" w:eastAsia="Times New Roman" w:hAnsi="Times New Roman" w:cs="Times New Roman"/>
          <w:b/>
          <w:bCs/>
          <w:i/>
          <w:iCs/>
          <w:sz w:val="24"/>
          <w:szCs w:val="24"/>
        </w:rPr>
        <w:t xml:space="preserve">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Importance of Clinical Facility Availability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The findings suggest that even in wealthy and poor areas there was unofficial </w:t>
      </w:r>
      <w:r>
        <w:rPr>
          <w:rFonts w:ascii="Times New Roman" w:eastAsia="Times New Roman" w:hAnsi="Times New Roman" w:cs="Times New Roman"/>
          <w:sz w:val="24"/>
          <w:szCs w:val="24"/>
        </w:rPr>
        <w:lastRenderedPageBreak/>
        <w:t xml:space="preserve">private provision, but was of a higher quality richer state, suggesting that the private sector could have an even more diametrically opposite effect on care (Amit, 2025).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presence of clinical facilities was also essential to the education of the nursing students; these offered an environment where students could apply their skills and knowledge, building the confidence needed to be successful in the high-pressure working environment of a professional setting. The clinical facilities provided an opportunity to adapt to the pressure and make effective decisions, at the same time offering students opportunity to work </w:t>
      </w:r>
      <w:proofErr w:type="spellStart"/>
      <w:r>
        <w:rPr>
          <w:rFonts w:ascii="Times New Roman" w:eastAsia="Times New Roman" w:hAnsi="Times New Roman" w:cs="Times New Roman"/>
          <w:sz w:val="24"/>
          <w:szCs w:val="24"/>
        </w:rPr>
        <w:t>interprofessionally</w:t>
      </w:r>
      <w:proofErr w:type="spellEnd"/>
      <w:r>
        <w:rPr>
          <w:rFonts w:ascii="Times New Roman" w:eastAsia="Times New Roman" w:hAnsi="Times New Roman" w:cs="Times New Roman"/>
          <w:sz w:val="24"/>
          <w:szCs w:val="24"/>
        </w:rPr>
        <w:t xml:space="preserve"> and practicing teamwork and collaboration with other healthcare staff and students in an ideal environment (Brown, 2022). Access to quality clinical facilities was imperative in order to alleviate disparity within the educational system and it was discussed that students from under-resourced institutions may find it problematic to obtain access to the high-quality clinical placements necessary to meet curriculum objectives (Wilson, 2022).</w:t>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Gaps between Theory and Clinical Practice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highlight w:val="white"/>
        </w:rPr>
        <w:t xml:space="preserve">To bridge the gap of theory and practice, the researchers sought the </w:t>
      </w:r>
      <w:proofErr w:type="spellStart"/>
      <w:r>
        <w:rPr>
          <w:rFonts w:ascii="Times New Roman" w:eastAsia="Times New Roman" w:hAnsi="Times New Roman" w:cs="Times New Roman"/>
          <w:sz w:val="24"/>
          <w:szCs w:val="24"/>
          <w:highlight w:val="white"/>
        </w:rPr>
        <w:t>misintegration</w:t>
      </w:r>
      <w:proofErr w:type="spellEnd"/>
      <w:r>
        <w:rPr>
          <w:rFonts w:ascii="Times New Roman" w:eastAsia="Times New Roman" w:hAnsi="Times New Roman" w:cs="Times New Roman"/>
          <w:sz w:val="24"/>
          <w:szCs w:val="24"/>
          <w:highlight w:val="white"/>
        </w:rPr>
        <w:t xml:space="preserve"> of clinical experiences of nursing students from second to fourth year in nursing studies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2025). Integrating theory and practice was a key component in nursing education to demonstrate how to relate the outcomes of classroom theory to clinical outcomes and showed that “Clinical and theory became necessary for independent operation”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2025).</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application of theoretical knowledge in clinical settings stimulated cognitive thinking and clinical decision-making skills. It presented the knowledge that students need to have to be able to identify individual and group needs and to treat those needs by </w:t>
      </w:r>
      <w:r>
        <w:rPr>
          <w:rFonts w:ascii="Times New Roman" w:eastAsia="Times New Roman" w:hAnsi="Times New Roman" w:cs="Times New Roman"/>
          <w:sz w:val="24"/>
          <w:szCs w:val="24"/>
        </w:rPr>
        <w:lastRenderedPageBreak/>
        <w:t>using the most recent research available to them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xml:space="preserve">, 2025). Furthermore, the findings also demonstrated that simulation laboratories provided a safe environment that allowed students to practice and make mistakes in the learning experience without causing patient harm (Brown, 2020). </w:t>
      </w:r>
      <w:r>
        <w:rPr>
          <w:rFonts w:ascii="Times New Roman" w:eastAsia="Times New Roman" w:hAnsi="Times New Roman" w:cs="Times New Roman"/>
          <w:sz w:val="24"/>
          <w:szCs w:val="24"/>
          <w:highlight w:val="white"/>
        </w:rPr>
        <w:t>Simulation provided students with an opportunity to apply theoretical concepts in a practice environment that enhanced the assimilation of this knowledge and gave students opportunities to practice their skills prior to being in the clinical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Impact on Student Learning Outcomes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study explored how the availability of facilities could directly affect students' nursing education outcomes. The study discovered that better access to clinical facilities contributed to higher student satisfaction in their nursing education. The degree of student satisfaction was established related to the feeling of being prepared for moving into professional roles, which was an indicator of skillfully formed practitioners (Brown, 2020). The availability of clinical facilities could influence students' learning outcomes because it has been directly related to the quality of their education. It was identified in the study that students who learned in a modern and well-maintained clinical environment tended to have better confidence in the skills acquired (Brown, 2020). Students, who believed the knowledge and skills gained prepared them to advance, would be more actively involved in their learning and located in better behaviors as translating the knowledge into real clinical practice.</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br/>
        <w:t xml:space="preserve">                                                  </w:t>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Related Studies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Modernization of Clinical Facilities </w:t>
      </w:r>
      <w:r>
        <w:rPr>
          <w:rFonts w:ascii="Times New Roman" w:eastAsia="Times New Roman" w:hAnsi="Times New Roman" w:cs="Times New Roman"/>
          <w:b/>
          <w:bCs/>
          <w:sz w:val="24"/>
          <w:szCs w:val="24"/>
        </w:rPr>
        <w:br/>
        <w:t>Impact of Outdated Equipment on Learning</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highlighted that outdated clinical equipment poses a significant barrier to effective learning (Miller, 2021). Limited access to modern tools restricts students’ ability to develop familiarity with current patient care practices, ultimately affecting their preparedness for real-world clinical settings.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Benefits of Updated Technology in Clinical Training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szCs w:val="24"/>
        </w:rPr>
        <w:t>Investing in up-to-date equipment and technology not only improved the learning environment but also provided students with exposure to current practices in patient care. Modern facilities equipped with the latest medical technologies allowed students to develop relevant skills aligned with current industry standards (Miller, 2021).</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Role of Simulation Laboratories in Skill Development</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xml:space="preserve">Simulation labs equipped with advanced technology offered students a safe environment to practice clinical skills and engage in critical decision-making scenarios without the risks associated with real patient care (Miller, 2021).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Preparation for Modern Healthcare Practice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By collaborating with state-of-the-art facilities, nursing programs ensured that students received high-quality training that aligned with current healthcare standards and graduated well-prepared nursing professionals ready to meet the demands of a dynamic healthcare system.</w:t>
      </w:r>
      <w:r>
        <w:rPr>
          <w:rFonts w:ascii="Times New Roman" w:eastAsia="Times New Roman" w:hAnsi="Times New Roman" w:cs="Times New Roman"/>
          <w:sz w:val="24"/>
          <w:szCs w:val="24"/>
        </w:rPr>
        <w:tab/>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Collaborative Partnerships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Importance of School-Healthcare Partnerships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highlight w:val="white"/>
        </w:rPr>
        <w:t>The study highlighted the importance of partnership between nursing schools and healthcare facilities in addressing limitations in clinical resources (</w:t>
      </w:r>
      <w:proofErr w:type="spellStart"/>
      <w:r>
        <w:rPr>
          <w:rFonts w:ascii="Times New Roman" w:eastAsia="Times New Roman" w:hAnsi="Times New Roman" w:cs="Times New Roman"/>
          <w:sz w:val="24"/>
          <w:szCs w:val="24"/>
          <w:highlight w:val="white"/>
        </w:rPr>
        <w:t>Olstein</w:t>
      </w:r>
      <w:proofErr w:type="spellEnd"/>
      <w:r>
        <w:rPr>
          <w:rFonts w:ascii="Times New Roman" w:eastAsia="Times New Roman" w:hAnsi="Times New Roman" w:cs="Times New Roman"/>
          <w:sz w:val="24"/>
          <w:szCs w:val="24"/>
          <w:highlight w:val="white"/>
        </w:rPr>
        <w:t xml:space="preserve">, 2023). These collaborations play a critical role in enhancing clinical education by providing students with access to real-world healthcare environments. </w:t>
      </w:r>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24"/>
          <w:szCs w:val="24"/>
          <w:highlight w:val="white"/>
        </w:rPr>
        <w:t>Expansion of Clinical Learning opportunities</w:t>
      </w:r>
      <w:r>
        <w:rPr>
          <w:rFonts w:ascii="Times New Roman" w:eastAsia="Times New Roman" w:hAnsi="Times New Roman" w:cs="Times New Roman"/>
          <w:b/>
          <w:bCs/>
          <w:sz w:val="24"/>
          <w:szCs w:val="24"/>
          <w:highlight w:val="white"/>
        </w:rPr>
        <w:br/>
      </w:r>
      <w:r>
        <w:rPr>
          <w:rFonts w:ascii="Times New Roman" w:eastAsia="Times New Roman" w:hAnsi="Times New Roman" w:cs="Times New Roman"/>
          <w:b/>
          <w:bCs/>
          <w:sz w:val="24"/>
          <w:szCs w:val="24"/>
          <w:highlight w:val="white"/>
        </w:rPr>
        <w:tab/>
      </w:r>
      <w:r>
        <w:rPr>
          <w:rFonts w:ascii="Times New Roman" w:eastAsia="Times New Roman" w:hAnsi="Times New Roman" w:cs="Times New Roman"/>
          <w:sz w:val="24"/>
          <w:szCs w:val="24"/>
          <w:highlight w:val="white"/>
        </w:rPr>
        <w:t>Through collaborative efforts, students gain increased opportunities in diverse clinical settings, allowing them to develop practical skills and adapt to different health care environments (</w:t>
      </w:r>
      <w:proofErr w:type="spellStart"/>
      <w:r>
        <w:rPr>
          <w:rFonts w:ascii="Times New Roman" w:eastAsia="Times New Roman" w:hAnsi="Times New Roman" w:cs="Times New Roman"/>
          <w:sz w:val="24"/>
          <w:szCs w:val="24"/>
          <w:highlight w:val="white"/>
        </w:rPr>
        <w:t>Olstein</w:t>
      </w:r>
      <w:proofErr w:type="spellEnd"/>
      <w:r>
        <w:rPr>
          <w:rFonts w:ascii="Times New Roman" w:eastAsia="Times New Roman" w:hAnsi="Times New Roman" w:cs="Times New Roman"/>
          <w:sz w:val="24"/>
          <w:szCs w:val="24"/>
          <w:highlight w:val="white"/>
        </w:rPr>
        <w:t>, 2023).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Access to Resources and Learning Tools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        Through this partnership, nursing schools and healthcare facilities increased their collaboration and developed a better integrated approach to education.  It enabled nursing schools to get access to new learning tools and equipment that would be otherwise unavailable (Garcia, 2023).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Mentorship and Skill Development</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In addition, with the experts as mentors, the students learned within an interactive and hands-on environment</w:t>
      </w:r>
      <w:r>
        <w:rPr>
          <w:rFonts w:ascii="Times New Roman" w:eastAsia="Times New Roman" w:hAnsi="Times New Roman" w:cs="Times New Roman"/>
          <w:sz w:val="24"/>
          <w:szCs w:val="24"/>
          <w:highlight w:val="white"/>
        </w:rPr>
        <w:t xml:space="preserve">. These experiences not only enhance clinical skills but also promote the development of critical thinking and decision-making abilities essential for nursing practice (Garcia, 2023). </w:t>
      </w:r>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24"/>
          <w:szCs w:val="24"/>
          <w:highlight w:val="white"/>
        </w:rPr>
        <w:t>Curriculum enhancement</w:t>
      </w:r>
      <w:r>
        <w:rPr>
          <w:rFonts w:ascii="Times New Roman" w:eastAsia="Times New Roman" w:hAnsi="Times New Roman" w:cs="Times New Roman"/>
          <w:sz w:val="24"/>
          <w:szCs w:val="24"/>
          <w:highlight w:val="white"/>
        </w:rPr>
        <w:br/>
        <w:t>Collaborative partnerships contribute to curriculum development by aligning educational content with current healthcare demands. This ensures that nursing programs remain responsive to industry changes and produce graduates who are well-prepared for professional practice (Garcia, 2023).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Future Directions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 Nursing Education</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Importance of Resources and Continuous Research</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This study emphasized that the relationship between facility availability and the quality of clinical practice in nursing education is complex and requires continuous evaluation (Johnson, 2025). Sustained research and advocacy were vital to guarantee that nursing programs are properly resourced, thereby upholding excellence in both learning and patient care.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Adaptation to Evolving Healthcare Systems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As healthcare systems continue to evolve, nursing education must likewise adapt by updating teaching strategies and clinical training to better prepare students for both current and future healthcare demands (Johnson, 2025).</w:t>
      </w:r>
      <w:r>
        <w:rPr>
          <w:rFonts w:ascii="Times New Roman" w:eastAsia="Times New Roman" w:hAnsi="Times New Roman" w:cs="Times New Roman"/>
          <w:sz w:val="24"/>
          <w:szCs w:val="24"/>
        </w:rPr>
        <w:br/>
      </w:r>
      <w:r>
        <w:rPr>
          <w:rFonts w:ascii="Times New Roman" w:eastAsia="Times New Roman" w:hAnsi="Times New Roman" w:cs="Times New Roman"/>
          <w:b/>
          <w:bCs/>
          <w:color w:val="212529"/>
          <w:sz w:val="24"/>
          <w:szCs w:val="24"/>
          <w:highlight w:val="white"/>
        </w:rPr>
        <w:t>Cultural Competence in Clinical Education</w:t>
      </w:r>
      <w:r>
        <w:rPr>
          <w:rFonts w:ascii="Times New Roman" w:eastAsia="Times New Roman" w:hAnsi="Times New Roman" w:cs="Times New Roman"/>
          <w:b/>
          <w:bCs/>
          <w:color w:val="212529"/>
          <w:sz w:val="24"/>
          <w:szCs w:val="24"/>
          <w:highlight w:val="white"/>
        </w:rPr>
        <w:br/>
      </w:r>
      <w:r>
        <w:rPr>
          <w:rFonts w:ascii="Times New Roman" w:eastAsia="Times New Roman" w:hAnsi="Times New Roman" w:cs="Times New Roman"/>
          <w:b/>
          <w:bCs/>
          <w:color w:val="212529"/>
          <w:sz w:val="24"/>
          <w:szCs w:val="24"/>
          <w:highlight w:val="white"/>
        </w:rPr>
        <w:tab/>
      </w:r>
      <w:r>
        <w:rPr>
          <w:rFonts w:ascii="Times New Roman" w:eastAsia="Times New Roman" w:hAnsi="Times New Roman" w:cs="Times New Roman"/>
          <w:color w:val="212529"/>
          <w:sz w:val="24"/>
          <w:szCs w:val="24"/>
          <w:highlight w:val="white"/>
        </w:rPr>
        <w:t>As patient populations become increasingly diverse, nursing programs need to prepare students with the skills to provide culturally responsive care. Fostering cultural competence ensures that future nurses can effectively address the needs of individuals from a wide range of communities (Johnson, 2025).</w:t>
      </w:r>
      <w:r>
        <w:rPr>
          <w:rFonts w:ascii="Times New Roman" w:eastAsia="Times New Roman" w:hAnsi="Times New Roman" w:cs="Times New Roman"/>
          <w:color w:val="212529"/>
          <w:sz w:val="24"/>
          <w:szCs w:val="24"/>
          <w:highlight w:val="white"/>
        </w:rPr>
        <w:br/>
      </w:r>
      <w:r>
        <w:rPr>
          <w:rFonts w:ascii="Times New Roman" w:eastAsia="Times New Roman" w:hAnsi="Times New Roman" w:cs="Times New Roman"/>
          <w:b/>
          <w:bCs/>
          <w:color w:val="212529"/>
          <w:sz w:val="24"/>
          <w:szCs w:val="24"/>
          <w:highlight w:val="white"/>
        </w:rPr>
        <w:t>Emphasis on mental health and wellness</w:t>
      </w:r>
      <w:r>
        <w:rPr>
          <w:rFonts w:ascii="Times New Roman" w:eastAsia="Times New Roman" w:hAnsi="Times New Roman" w:cs="Times New Roman"/>
          <w:color w:val="212529"/>
          <w:sz w:val="24"/>
          <w:szCs w:val="24"/>
          <w:highlight w:val="white"/>
        </w:rPr>
        <w:t xml:space="preserve"> </w:t>
      </w:r>
      <w:r>
        <w:rPr>
          <w:rFonts w:ascii="Times New Roman" w:eastAsia="Times New Roman" w:hAnsi="Times New Roman" w:cs="Times New Roman"/>
          <w:color w:val="212529"/>
          <w:sz w:val="24"/>
          <w:szCs w:val="24"/>
          <w:highlight w:val="white"/>
        </w:rPr>
        <w:br/>
      </w:r>
      <w:r>
        <w:rPr>
          <w:rFonts w:ascii="Times New Roman" w:eastAsia="Times New Roman" w:hAnsi="Times New Roman" w:cs="Times New Roman"/>
          <w:color w:val="212529"/>
          <w:sz w:val="24"/>
          <w:szCs w:val="24"/>
          <w:highlight w:val="white"/>
        </w:rPr>
        <w:tab/>
        <w:t>The increasing emphasis on mental health highlights the need to integrate wellness concepts into nursing education. Preparing students to address both physical and mental health concerns is essential for holistic patient care (Johnson, 2025).</w:t>
      </w:r>
      <w:r>
        <w:rPr>
          <w:rFonts w:ascii="Times New Roman" w:eastAsia="Times New Roman" w:hAnsi="Times New Roman" w:cs="Times New Roman"/>
          <w:color w:val="212529"/>
          <w:sz w:val="24"/>
          <w:szCs w:val="24"/>
          <w:highlight w:val="white"/>
        </w:rPr>
        <w:br/>
      </w:r>
      <w:r>
        <w:rPr>
          <w:rFonts w:ascii="Times New Roman" w:eastAsia="Times New Roman" w:hAnsi="Times New Roman" w:cs="Times New Roman"/>
          <w:b/>
          <w:bCs/>
          <w:color w:val="212529"/>
          <w:sz w:val="24"/>
          <w:szCs w:val="24"/>
          <w:highlight w:val="white"/>
        </w:rPr>
        <w:t>Data-Driven Curriculum Development</w:t>
      </w:r>
      <w:r>
        <w:rPr>
          <w:rFonts w:ascii="Times New Roman" w:eastAsia="Times New Roman" w:hAnsi="Times New Roman" w:cs="Times New Roman"/>
          <w:color w:val="212529"/>
          <w:sz w:val="24"/>
          <w:szCs w:val="24"/>
          <w:highlight w:val="white"/>
        </w:rPr>
        <w:t xml:space="preserve"> </w:t>
      </w:r>
      <w:r>
        <w:rPr>
          <w:rFonts w:ascii="Times New Roman" w:eastAsia="Times New Roman" w:hAnsi="Times New Roman" w:cs="Times New Roman"/>
          <w:color w:val="212529"/>
          <w:sz w:val="24"/>
          <w:szCs w:val="24"/>
          <w:highlight w:val="white"/>
        </w:rPr>
        <w:br/>
      </w:r>
      <w:r>
        <w:rPr>
          <w:rFonts w:ascii="Times New Roman" w:eastAsia="Times New Roman" w:hAnsi="Times New Roman" w:cs="Times New Roman"/>
          <w:color w:val="212529"/>
          <w:sz w:val="24"/>
          <w:szCs w:val="24"/>
          <w:highlight w:val="white"/>
        </w:rPr>
        <w:tab/>
        <w:t xml:space="preserve">Johnson (2025) further emphasized the importance of adopting data-driven approaches in evaluating nursing curricula, clinical experiences, and student outcomes. By utilizing research-based evidence, nursing programs are better able to identify existing </w:t>
      </w:r>
      <w:r>
        <w:rPr>
          <w:rFonts w:ascii="Times New Roman" w:eastAsia="Times New Roman" w:hAnsi="Times New Roman" w:cs="Times New Roman"/>
          <w:color w:val="212529"/>
          <w:sz w:val="24"/>
          <w:szCs w:val="24"/>
          <w:highlight w:val="white"/>
        </w:rPr>
        <w:lastRenderedPageBreak/>
        <w:t>gaps, enhance best practices, and ensure that their educational strategies remain responsive to the evolving demands of the healthcare environment.</w:t>
      </w:r>
    </w:p>
    <w:p w:rsidR="00131034" w:rsidRDefault="00131034">
      <w:pPr>
        <w:spacing w:line="479" w:lineRule="auto"/>
        <w:jc w:val="center"/>
        <w:rPr>
          <w:rFonts w:ascii="Times New Roman" w:eastAsia="Times New Roman" w:hAnsi="Times New Roman" w:cs="Times New Roman"/>
          <w:b/>
          <w:bCs/>
          <w:sz w:val="24"/>
          <w:szCs w:val="24"/>
        </w:rPr>
      </w:pPr>
    </w:p>
    <w:p w:rsidR="00131034" w:rsidRDefault="00131034">
      <w:pPr>
        <w:spacing w:line="479" w:lineRule="auto"/>
        <w:jc w:val="center"/>
        <w:rPr>
          <w:rFonts w:ascii="Times New Roman" w:eastAsia="Times New Roman" w:hAnsi="Times New Roman" w:cs="Times New Roman"/>
          <w:b/>
          <w:bCs/>
          <w:sz w:val="24"/>
          <w:szCs w:val="24"/>
        </w:rPr>
      </w:pP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Synthesis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Recent studies emphasize that the availability of adequate and high-quality clinical facilities plays a vital role in strengthening nursing education outcomes. Nursing students who are trained in modern, well-equipped clinical environments demonstrate improved competence, increased confidence, and stronger academic performance (Brown, 2020; Miller, 2021; Wilson, 2022; Brown, 2022). Well-maintained facilities provide opportunities for hands-on exposure to updated medical equipment and clinical procedures, allowing students to develop critical thinking, clinical reasoning, and decision-making skills necessary for safe nursing practice (Miller, 2021; Brown, 2020).</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In addition to physical resources, academic-clinical collaboration has been identified as a key factor in improving nursing training. Partnerships between nursing schools and healthcare institutions enhance clinical placement opportunities, promote interprofessional teamwork, and support curriculum alignment with current healthcare standards (Garcia, 2022; Garcia, 2023). Moreover, modern nursing education increasingly incorporates technology-based learning, teamwork development, cultural competence, and mental health awareness to address evolving healthcare demands (Johnson, 2025; Miller, 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While there has been strong evidence supporting the importance of clinical facility availability, modernization efforts, and academic clinical partnerships, most studies have looked at these factors separately instead of examining their combined impact on student outcomes and clinical preparedness. Furthermore, there has been restricted research on specific institutional contexts, particularly in underfunded settings where differences in facility access can greatly affect student training (Wilson, 2022; Amit, 2025).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a clear gap exists in determining how clinical facility availability and collaborative partnerships collectively influence nursing students’ competence, learning outcomes, and preparedness for clinical practice within specific educational institutions. Addressing this gap may provide valuable insights for improving nursing education programs and ensuring the development of competent, practice-ready graduates.</w:t>
      </w:r>
    </w:p>
    <w:p w:rsidR="00131034" w:rsidRDefault="009E3975">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Methodology</w:t>
      </w:r>
    </w:p>
    <w:p w:rsidR="00131034" w:rsidRDefault="009E3975">
      <w:pPr>
        <w:spacing w:line="479" w:lineRule="auto"/>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Research Design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212529"/>
          <w:sz w:val="24"/>
          <w:szCs w:val="24"/>
          <w:highlight w:val="white"/>
        </w:rPr>
        <w:t>In this study a descriptive-correlational research design was used. This design was appropriate because it describes the relationship among variables at a single point in time (Polit &amp; Beck, 2021).</w:t>
      </w:r>
      <w:r>
        <w:rPr>
          <w:rFonts w:ascii="Times New Roman" w:eastAsia="Times New Roman" w:hAnsi="Times New Roman" w:cs="Times New Roman"/>
          <w:sz w:val="24"/>
          <w:szCs w:val="24"/>
        </w:rPr>
        <w:t xml:space="preserve"> The quantitative data was collected and analyzed in the study. This approach enabled the identification of patterns and relationships between variables without manipulation, providing a clear explanation of the current state of these instances. This study was used to explore the relationship of adequacy and access to school facilities to clinical performance of nursing students in a private college Iloilo City.</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Study Setting</w:t>
      </w:r>
      <w:r>
        <w:rPr>
          <w:rFonts w:ascii="Times New Roman" w:eastAsia="Times New Roman" w:hAnsi="Times New Roman" w:cs="Times New Roman"/>
          <w:b/>
          <w:bCs/>
          <w:color w:val="FF0000"/>
          <w:sz w:val="24"/>
          <w:szCs w:val="24"/>
        </w:rPr>
        <w:t xml:space="preserve">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was conducted in selected private nursing colleges in Iloilo City, a population where nursing education programs provided facility availability and clinical practice to nursing students. Iloilo City was an urban area known as the Educational Center of Western Visayas. The area was chosen because it was more accessible for the researchers and provided the learning environments and clinical practice experiences of the students.</w:t>
      </w:r>
    </w:p>
    <w:p w:rsidR="00131034" w:rsidRDefault="00131034">
      <w:pPr>
        <w:spacing w:before="240" w:after="240"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and Sampling</w:t>
      </w:r>
      <w:r>
        <w:rPr>
          <w:rFonts w:ascii="Times New Roman" w:eastAsia="Times New Roman" w:hAnsi="Times New Roman" w:cs="Times New Roman"/>
          <w:b/>
          <w:bCs/>
          <w:color w:val="FF0000"/>
          <w:sz w:val="24"/>
          <w:szCs w:val="24"/>
        </w:rPr>
        <w:br/>
      </w:r>
      <w:r>
        <w:rPr>
          <w:rFonts w:ascii="Times New Roman" w:eastAsia="Times New Roman" w:hAnsi="Times New Roman" w:cs="Times New Roman"/>
          <w:b/>
          <w:bCs/>
          <w:sz w:val="24"/>
          <w:szCs w:val="24"/>
        </w:rPr>
        <w:t>Population</w:t>
      </w:r>
    </w:p>
    <w:p w:rsidR="00131034" w:rsidRDefault="009E3975">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 of this study consisted of students who were enrolled in the Bachelor of Science in Nursing program in a private college in Iloilo City.</w:t>
      </w:r>
    </w:p>
    <w:p w:rsidR="00131034" w:rsidRDefault="009E3975">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Inclusion Criteria</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the following:</w:t>
      </w:r>
    </w:p>
    <w:p w:rsidR="00131034" w:rsidRDefault="009E3975">
      <w:pPr>
        <w:numPr>
          <w:ilvl w:val="0"/>
          <w:numId w:val="3"/>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2 to level 4 nursing students currently enrolled in the College of Nursing during the academic year 2025-2026.</w:t>
      </w:r>
    </w:p>
    <w:p w:rsidR="00131034" w:rsidRDefault="009E3975">
      <w:pPr>
        <w:numPr>
          <w:ilvl w:val="0"/>
          <w:numId w:val="3"/>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were assigned to accredited clinical facilities with available training resources and supervision.</w:t>
      </w:r>
    </w:p>
    <w:p w:rsidR="00131034" w:rsidRDefault="009E3975">
      <w:pPr>
        <w:numPr>
          <w:ilvl w:val="0"/>
          <w:numId w:val="3"/>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have completed at least one semester of clinical exposure prior to data collection.</w:t>
      </w:r>
    </w:p>
    <w:p w:rsidR="00131034" w:rsidRDefault="009E3975">
      <w:pPr>
        <w:numPr>
          <w:ilvl w:val="0"/>
          <w:numId w:val="3"/>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who were present and were able to participate during the period of data collection.</w:t>
      </w:r>
    </w:p>
    <w:p w:rsidR="00131034" w:rsidRDefault="009E3975">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Exclusion Criteria</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not be involved were the following:</w:t>
      </w:r>
    </w:p>
    <w:p w:rsidR="00131034" w:rsidRDefault="009E3975">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1 enrolled in College of Nursing but have not yet been exposed to clinical settings and, therefore, lack actual clinical experience required for participation in the study.</w:t>
      </w:r>
    </w:p>
    <w:p w:rsidR="00131034" w:rsidRDefault="009E3975">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declined to participate or failed to provide informed consent prior to data gathering.</w:t>
      </w:r>
    </w:p>
    <w:p w:rsidR="00131034" w:rsidRDefault="009E3975">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were enrolled in other colleges or programs.</w:t>
      </w:r>
    </w:p>
    <w:p w:rsidR="00131034" w:rsidRDefault="009E3975">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from other universities or institutions who were not officially enrolled in the College of Nursing of the study site.</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Sampling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main respondents in the study included nursing students from the 2nd to 4th year level attending a private college of nursing in Iloilo City during the school year 2025-2026. The total number of the Level 2 to 4 student nurses is 1,468. Among these numbers of students, a sample size of 305 were considered for this study. Stratified random sampling method was used to see that each of the levels was represented in its proportionate. In this method the population was divided into three strata based on the year level.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number of respondents from each stratum was determined proportionally using the formula:</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num>
          <m:den>
            <m:r>
              <w:rPr>
                <w:rFonts w:ascii="Times New Roman" w:eastAsia="Times New Roman" w:hAnsi="Times New Roman" w:cs="Times New Roman"/>
                <w:sz w:val="24"/>
                <w:szCs w:val="24"/>
              </w:rPr>
              <m:t>N</m:t>
            </m:r>
          </m:den>
        </m:f>
        <m:r>
          <w:rPr>
            <w:rFonts w:ascii="Times New Roman" w:eastAsia="Times New Roman" w:hAnsi="Times New Roman" w:cs="Times New Roman"/>
            <w:sz w:val="24"/>
            <w:szCs w:val="24"/>
          </w:rPr>
          <m:t>× n</m:t>
        </m:r>
      </m:oMath>
      <w:r>
        <w:rPr>
          <w:rFonts w:ascii="Times New Roman" w:eastAsia="Times New Roman" w:hAnsi="Times New Roman" w:cs="Times New Roman"/>
          <w:sz w:val="24"/>
          <w:szCs w:val="24"/>
        </w:rPr>
        <w:t xml:space="preserve">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w:t>
      </w:r>
      <w:r>
        <w:rPr>
          <w:rFonts w:ascii="Times New Roman" w:eastAsia="Times New Roman" w:hAnsi="Times New Roman" w:cs="Times New Roman"/>
          <w:sz w:val="24"/>
          <w:szCs w:val="24"/>
        </w:rPr>
        <w:br/>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oMath>
      <w:r>
        <w:rPr>
          <w:rFonts w:ascii="Times New Roman" w:eastAsia="Times New Roman" w:hAnsi="Times New Roman" w:cs="Times New Roman"/>
          <w:sz w:val="24"/>
          <w:szCs w:val="24"/>
        </w:rPr>
        <w:t>​ = number of respondents from each stratum</w:t>
      </w:r>
      <w:r>
        <w:rPr>
          <w:rFonts w:ascii="Times New Roman" w:eastAsia="Times New Roman" w:hAnsi="Times New Roman" w:cs="Times New Roman"/>
          <w:sz w:val="24"/>
          <w:szCs w:val="24"/>
        </w:rPr>
        <w:br/>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oMath>
      <w:r>
        <w:rPr>
          <w:rFonts w:ascii="Times New Roman" w:eastAsia="Times New Roman" w:hAnsi="Times New Roman" w:cs="Times New Roman"/>
          <w:sz w:val="24"/>
          <w:szCs w:val="24"/>
        </w:rPr>
        <w:t xml:space="preserve"> = total population in each stratum</w:t>
      </w:r>
      <w:r>
        <w:rPr>
          <w:rFonts w:ascii="Times New Roman" w:eastAsia="Times New Roman" w:hAnsi="Times New Roman" w:cs="Times New Roman"/>
          <w:sz w:val="24"/>
          <w:szCs w:val="24"/>
        </w:rPr>
        <w:br/>
        <w:t>N = total population (1,468)</w:t>
      </w:r>
      <w:r>
        <w:rPr>
          <w:rFonts w:ascii="Times New Roman" w:eastAsia="Times New Roman" w:hAnsi="Times New Roman" w:cs="Times New Roman"/>
          <w:sz w:val="24"/>
          <w:szCs w:val="24"/>
        </w:rPr>
        <w:br/>
        <w:t>n = total sample size (305)</w:t>
      </w:r>
    </w:p>
    <w:p w:rsidR="00131034" w:rsidRDefault="00131034">
      <w:pPr>
        <w:spacing w:line="240" w:lineRule="auto"/>
        <w:rPr>
          <w:rFonts w:ascii="Times New Roman" w:eastAsia="Times New Roman" w:hAnsi="Times New Roman" w:cs="Times New Roman"/>
          <w:i/>
          <w:iCs/>
          <w:sz w:val="24"/>
          <w:szCs w:val="24"/>
        </w:rPr>
      </w:pPr>
    </w:p>
    <w:p w:rsidR="00131034" w:rsidRDefault="009E3975">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List 1-. Distribution of Respondents according to Year Level</w:t>
      </w:r>
      <w:r>
        <w:rPr>
          <w:rFonts w:ascii="Times New Roman" w:eastAsia="Times New Roman" w:hAnsi="Times New Roman" w:cs="Times New Roman"/>
          <w:i/>
          <w:iCs/>
          <w:sz w:val="24"/>
          <w:szCs w:val="24"/>
        </w:rPr>
        <w:br/>
      </w:r>
    </w:p>
    <w:tbl>
      <w:tblPr>
        <w:tblStyle w:val="a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60"/>
        <w:gridCol w:w="2160"/>
        <w:gridCol w:w="2160"/>
        <w:gridCol w:w="2160"/>
      </w:tblGrid>
      <w:tr w:rsidR="00131034">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r>
      <w:tr w:rsidR="00131034">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Second Year</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34.40%</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131034">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30.20%</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131034">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Fourth Year</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35.40%</w:t>
            </w:r>
          </w:p>
        </w:tc>
        <w:tc>
          <w:tcPr>
            <w:tcW w:w="2160" w:type="dxa"/>
          </w:tcPr>
          <w:p w:rsidR="00131034" w:rsidRDefault="009E397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131034">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1468</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60" w:type="dxa"/>
          </w:tcPr>
          <w:p w:rsidR="00131034" w:rsidRDefault="009E3975">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305</w:t>
            </w:r>
          </w:p>
        </w:tc>
      </w:tr>
    </w:tbl>
    <w:p w:rsidR="00131034" w:rsidRDefault="00131034">
      <w:pPr>
        <w:rPr>
          <w:rFonts w:ascii="Times New Roman" w:eastAsia="Times New Roman" w:hAnsi="Times New Roman" w:cs="Times New Roman"/>
          <w:i/>
          <w:iCs/>
          <w:sz w:val="24"/>
          <w:szCs w:val="24"/>
        </w:rPr>
      </w:pP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level 2 student nurses consisted of 510. From this population, a sample size of 105 respondents was determined from the sampling formula below:</w:t>
      </w:r>
    </w:p>
    <w:p w:rsidR="00131034" w:rsidRDefault="004A5BAD">
      <w:pPr>
        <w:jc w:val="center"/>
        <w:rPr>
          <w:rFonts w:ascii="Times New Roman" w:eastAsia="Times New Roman" w:hAnsi="Times New Roman" w:cs="Times New Roman"/>
          <w:sz w:val="24"/>
          <w:szCs w:val="24"/>
        </w:rPr>
      </w:pP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510</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105</m:t>
          </m:r>
        </m:oMath>
      </m:oMathPara>
    </w:p>
    <w:p w:rsidR="00131034" w:rsidRDefault="009E39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level 3 student nurses consisted of 440. From this population, a sample size of 92 respondents was determined from the sampling formula below:</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440</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92</m:t>
        </m:r>
      </m:oMath>
      <w:r>
        <w:rPr>
          <w:rFonts w:ascii="Times New Roman" w:eastAsia="Times New Roman" w:hAnsi="Times New Roman" w:cs="Times New Roman"/>
          <w:sz w:val="24"/>
          <w:szCs w:val="24"/>
        </w:rPr>
        <w:br/>
        <w:t>The total number of level 4 student nurses consisted of 518. From this population, a sample size of 108 respondents was determined from the sampling formula below:</w:t>
      </w:r>
      <w:r>
        <w:rPr>
          <w:rFonts w:ascii="Times New Roman" w:eastAsia="Times New Roman" w:hAnsi="Times New Roman" w:cs="Times New Roman"/>
          <w:sz w:val="24"/>
          <w:szCs w:val="24"/>
        </w:rPr>
        <w:br/>
      </w: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518</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108</m:t>
          </m:r>
        </m:oMath>
      </m:oMathPara>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Instrument</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researcher applied two (2) sets of questionnaires to determine the Facility Availability and Clinical Practice in Nursing Education in a private college in Iloilo. The researcher used an adapted questionnaire, while the third was researcher-made.</w:t>
      </w:r>
    </w:p>
    <w:p w:rsidR="00131034" w:rsidRDefault="009E3975">
      <w:pPr>
        <w:spacing w:before="240" w:after="24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Part I. Profile of the Respondents: This section collected basic demographic information about the participants, including sex and year level. This part of the questionnaire served to gather information regarding the characteristics and demographic composition of the study sample.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131034" w:rsidRDefault="009E3975">
      <w:pPr>
        <w:spacing w:before="240" w:after="24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 II. Facility Availability: This section aligned with the second statement of the problem, which focused on facility availability and was adapted from the study of </w:t>
      </w:r>
      <w:proofErr w:type="spellStart"/>
      <w:r>
        <w:rPr>
          <w:rFonts w:ascii="Times New Roman" w:eastAsia="Times New Roman" w:hAnsi="Times New Roman" w:cs="Times New Roman"/>
          <w:sz w:val="24"/>
          <w:szCs w:val="24"/>
        </w:rPr>
        <w:t>Silvano</w:t>
      </w:r>
      <w:proofErr w:type="spellEnd"/>
      <w:r>
        <w:rPr>
          <w:rFonts w:ascii="Times New Roman" w:eastAsia="Times New Roman" w:hAnsi="Times New Roman" w:cs="Times New Roman"/>
          <w:sz w:val="24"/>
          <w:szCs w:val="24"/>
        </w:rPr>
        <w:t>, J. (2020). It consisted of ten (10) items about facility availability and was measured using a five-point Likert Scale: Strongly Agree (5), Agree (4), Neutral (3), Disagree (2), Strongly Disagree (1).</w:t>
      </w:r>
    </w:p>
    <w:p w:rsidR="00131034" w:rsidRDefault="009E3975">
      <w:pPr>
        <w:spacing w:before="240" w:after="240" w:line="479" w:lineRule="auto"/>
        <w:ind w:firstLine="1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III. Clinical Learning Evaluation Questionnaire (CLEQ): This segment aligned with the third statement of the problem, which focused on clinical learning evaluation. This part was a researcher-made questionnaire used to measure clinical learning. It consisted of ten (10) items and used the same five-point Likert Scale: Strongly Agree (5), Agree (4), Neutral (3), Disagree (2), Strongly Disagree (1).</w:t>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Validity of the Instrument</w:t>
      </w:r>
    </w:p>
    <w:p w:rsidR="00131034" w:rsidRDefault="009E397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Validity refers to the degree to which an instrument measured what it intended to measure (Polit &amp; Beck, 2021). In this study, the researcher used content validity to ensure that every item of the questionnaire was related and consistent with the research objective.</w:t>
      </w:r>
      <w:r>
        <w:rPr>
          <w:rFonts w:ascii="Times New Roman" w:eastAsia="Times New Roman" w:hAnsi="Times New Roman" w:cs="Times New Roman"/>
          <w:sz w:val="24"/>
          <w:szCs w:val="24"/>
        </w:rPr>
        <w:tab/>
        <w:t xml:space="preserve">A panel composed of three (3) experts in nursing and research was requested to review the questionnaire. Each item was assessed in terms of clarity, relevance, and the extent to which it represented the concepts involved in the study.  </w:t>
      </w:r>
    </w:p>
    <w:p w:rsidR="00131034" w:rsidRDefault="009E397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Content Validity Index (CVI) was used to organize and score their evaluations. It evaluated instrument elements and rated them based on their relevance and appropriateness to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adapted questionnaire (Part II), the validation process focused only on cultural appropriateness. For the researcher-made questionnaire (Part III), it underwent full content validation to verify its validity.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researchers revised the items if the validation panel recommended any revisions or improvements and submitted them again until the instrument reached an acceptable level of validity. Once revisions were complete and the overall CVI reached an acceptable level, the instrument was considered valid and ready to use.</w:t>
      </w:r>
    </w:p>
    <w:p w:rsidR="00131034" w:rsidRDefault="009E397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p>
    <w:p w:rsidR="00131034" w:rsidRDefault="009E3975">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Reliability of the Instrument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pilot testing was conducted before the data gathering to ensure the validity and clarity of the instrument. It was conducted among 30 respondents or 10% of the sample size, whichever was greater. However, these respondents were not part of the actual data gathering process.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 gathered were measured using Cronbach’s Alpha. Cronbach’s alpha (Cronbach, 1951), also known as coefficient alpha, was a reliability measure that reflected the internal consistency of items, or how one item was interrelated with others in the scale or test (Cronbach, 1951). A commonly used minimum acceptable Cronbach’s alpha was 0.70 (Nunnally, 1978).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131034" w:rsidRDefault="009E3975">
      <w:pPr>
        <w:spacing w:before="240" w:after="240"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the adapted questionnaire (Part II), the original study reported a reliability coefficient of r = 0.91 using the test-retest method with Pearson’s Product Moment Correlation.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79" w:lineRule="auto"/>
        <w:ind w:firstLine="84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pilot results of the instrument did not reach the acceptable level required, those items were revised or removed before the final data gathering.</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Gathering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study secured written permission from the Office of the Dean and approval to conduct the research among level 2 to 4 nursing students for the academic year 2025–2026. Eligible respondents were assessed based on inclusion and exclusion criteria. The coordinator was contacted via email for updates and feedback to ensure ethical standards.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were collected using a questionnaire via Google Form, distributed through official class group chats or classroom officers. Respondents were given 10–15 minutes to complete the questionnaire. A consent form was provided, explaining the purpose of the study, voluntary participation, and confidentiality of personal information. Collected data were stored in a password-protected spreadsheet accessible only to the researchers.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were analyzed using the Statistical Package for the Social Sciences (SPSS) version 29.0 (IBM, 2022). Results were presented in tables to determine the correlation between variables. Responses were checked for completeness, coded, and securely stored to ensure validity and confidentiality.</w:t>
      </w:r>
    </w:p>
    <w:p w:rsidR="00131034" w:rsidRDefault="00131034">
      <w:pPr>
        <w:spacing w:before="240" w:after="240"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Data Analysis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analysis for the current research was performed with a systematic accuracy, reliability, validity and purpose align to this study. The process entailed data coding; as well as descriptive and inferential statistics analysis, reliability check, testing of normality and interpretation of findings. Data were encoded and processed by the Statistical Package for the Social Sciences (SPSS) version 29.0 (IBM Corp., 2022). Descriptive and inferential analysis were carried out with the help of SPSS. The study included an analysis of descriptive statistics. To collect and interpret descriptive data, the study utilized the following statistical tools: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Frequency</w:t>
      </w:r>
      <w:r>
        <w:rPr>
          <w:rFonts w:ascii="Times New Roman" w:eastAsia="Times New Roman" w:hAnsi="Times New Roman" w:cs="Times New Roman"/>
          <w:sz w:val="24"/>
          <w:szCs w:val="24"/>
        </w:rPr>
        <w:t xml:space="preserve"> was determined by the number of respondents categorized under each category of variables pertaining to facility availability and clinical practice.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Percentage</w:t>
      </w:r>
      <w:r>
        <w:rPr>
          <w:rFonts w:ascii="Times New Roman" w:eastAsia="Times New Roman" w:hAnsi="Times New Roman" w:cs="Times New Roman"/>
          <w:sz w:val="24"/>
          <w:szCs w:val="24"/>
        </w:rPr>
        <w:t xml:space="preserve"> was determined by the proportion or distribution of responses across various categories of characteristics pertaining to facility availability and clinical practice.</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Standard Deviation </w:t>
      </w:r>
      <w:r>
        <w:rPr>
          <w:rFonts w:ascii="Times New Roman" w:eastAsia="Times New Roman" w:hAnsi="Times New Roman" w:cs="Times New Roman"/>
          <w:sz w:val="24"/>
          <w:szCs w:val="24"/>
        </w:rPr>
        <w:t>was computed from the collected data to measure for consistency or variability of the responses obtained.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Mean</w:t>
      </w:r>
      <w:r>
        <w:rPr>
          <w:rFonts w:ascii="Times New Roman" w:eastAsia="Times New Roman" w:hAnsi="Times New Roman" w:cs="Times New Roman"/>
          <w:sz w:val="24"/>
          <w:szCs w:val="24"/>
        </w:rPr>
        <w:t xml:space="preserve"> was calculated to determine the overall level of facility availability and clinical practice among student nurses in a private college in Iloilo.</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year-level data was coded as follows:</w:t>
      </w:r>
    </w:p>
    <w:p w:rsidR="00131034" w:rsidRDefault="009E3975">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Sex</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131034" w:rsidRDefault="009E3975">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Female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rsidR="00131034" w:rsidRDefault="009E3975">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Year Level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rsidR="00131034" w:rsidRDefault="009E3975">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Level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131034" w:rsidRDefault="009E3975">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Level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31034" w:rsidRDefault="009E3975">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2- The year-level data coded</w:t>
      </w:r>
    </w:p>
    <w:p w:rsidR="00131034" w:rsidRDefault="009E3975">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statistical tools were used in conjunction with inferential data collection and interpretation in this study:</w:t>
      </w:r>
    </w:p>
    <w:p w:rsidR="00131034" w:rsidRDefault="009E397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Shapiro-Wilk Test:</w:t>
      </w:r>
      <w:r>
        <w:rPr>
          <w:rFonts w:ascii="Times New Roman" w:eastAsia="Times New Roman" w:hAnsi="Times New Roman" w:cs="Times New Roman"/>
          <w:sz w:val="24"/>
          <w:szCs w:val="24"/>
        </w:rPr>
        <w:t xml:space="preserve"> This was employed to assess the normality of the data distribution and to determine the appropriate statistical test for analyzing the relationship between facility availability and clinical practice.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131034" w:rsidRDefault="009E3975">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Spearman’s Rho:</w:t>
      </w:r>
      <w:sdt>
        <w:sdtPr>
          <w:tag w:val="goog_rdk_0"/>
          <w:id w:val="1807209842"/>
        </w:sdtPr>
        <w:sdtEndPr/>
        <w:sdtContent>
          <w:r>
            <w:rPr>
              <w:rFonts w:ascii="Cardo" w:eastAsia="Cardo" w:hAnsi="Cardo" w:cs="Cardo"/>
              <w:sz w:val="24"/>
              <w:szCs w:val="24"/>
            </w:rPr>
            <w:t xml:space="preserve"> This served as a basis to determine whether there was a significant relationship between the availability of facilities and the clinical practice of student nurses in a private college in Iloilo. </w:t>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r>
          <w:r>
            <w:rPr>
              <w:rFonts w:ascii="Cardo" w:eastAsia="Cardo" w:hAnsi="Cardo" w:cs="Cardo"/>
              <w:sz w:val="24"/>
              <w:szCs w:val="24"/>
            </w:rPr>
            <w:tab/>
            <w:t>The alpha level (α) was a priori set at 0.05 (two-tailed). The criterion for rejecting the null hypothesis was that if p &lt; 0.05, the null hypothesis would be rejected. If the calculated p-value was ≥ 0.05, the null hypothesis would fail to be rejected. Statistical analyses were performed using the Statistical Package for the Social Sciences (SPSS) version 29.</w:t>
          </w:r>
        </w:sdtContent>
      </w:sdt>
    </w:p>
    <w:p w:rsidR="00131034" w:rsidRDefault="00131034">
      <w:pPr>
        <w:spacing w:before="240" w:after="240" w:line="479" w:lineRule="auto"/>
        <w:rPr>
          <w:rFonts w:ascii="Times New Roman" w:eastAsia="Times New Roman" w:hAnsi="Times New Roman" w:cs="Times New Roman"/>
          <w:b/>
          <w:bCs/>
          <w:sz w:val="24"/>
          <w:szCs w:val="24"/>
        </w:rPr>
      </w:pPr>
    </w:p>
    <w:p w:rsidR="00131034" w:rsidRDefault="009E3975">
      <w:pPr>
        <w:spacing w:before="240" w:after="240"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Discussions</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Analysis</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Profile of the Respondents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Table 1 shows the demographic profile of the respondents. A total of 305 respondents took part in the study. In terms of sex, the majority of respondents were female 261(85.6%), while males accounted for 44 (14.4%) respondents, indicating female predominance in the population.</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Regarding year level distribution, most respondents were from Level 4 (35.4%), followed by Level 2 contributing (34.4%), and Level 3 accounting for (30.2%), showing that level 4 comprised the largest group.</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rsidR="00131034" w:rsidRDefault="009E3975">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Distribution of respondents according to demographic profile (n =305)</w:t>
      </w:r>
    </w:p>
    <w:p w:rsidR="00131034" w:rsidRDefault="004A5BAD">
      <w:pPr>
        <w:spacing w:line="240" w:lineRule="auto"/>
        <w:rPr>
          <w:rFonts w:ascii="Times New Roman" w:eastAsia="Times New Roman" w:hAnsi="Times New Roman" w:cs="Times New Roman"/>
          <w:b/>
          <w:bCs/>
          <w:sz w:val="24"/>
          <w:szCs w:val="24"/>
        </w:rPr>
      </w:pPr>
      <w:r>
        <w:pict>
          <v:rect id="_x0000_i1025" style="width:0;height:1.5pt" o:hralign="center" o:hrstd="t" o:hr="t" fillcolor="#a0a0a0" stroked="f"/>
        </w:pict>
      </w:r>
    </w:p>
    <w:p w:rsidR="00131034" w:rsidRDefault="009E3975">
      <w:pPr>
        <w:keepLine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Variables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f</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t>%</w:t>
      </w:r>
    </w:p>
    <w:p w:rsidR="00131034" w:rsidRDefault="004A5BAD">
      <w:pPr>
        <w:keepLines/>
        <w:spacing w:line="240" w:lineRule="auto"/>
        <w:rPr>
          <w:rFonts w:ascii="Times New Roman" w:eastAsia="Times New Roman" w:hAnsi="Times New Roman" w:cs="Times New Roman"/>
          <w:sz w:val="24"/>
          <w:szCs w:val="24"/>
        </w:rPr>
      </w:pPr>
      <w:r>
        <w:pict>
          <v:rect id="_x0000_i1026" style="width:0;height:1.5pt" o:hralign="center" o:hrstd="t" o:hr="t" fillcolor="#a0a0a0" stroked="f"/>
        </w:pict>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Sex</w:t>
      </w:r>
      <w:r>
        <w:rPr>
          <w:rFonts w:ascii="Times New Roman" w:eastAsia="Times New Roman" w:hAnsi="Times New Roman" w:cs="Times New Roman"/>
          <w:sz w:val="24"/>
          <w:szCs w:val="24"/>
        </w:rPr>
        <w:tab/>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Female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85.60</w:t>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14.40</w:t>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Year Level</w:t>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Level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34.40</w:t>
      </w:r>
    </w:p>
    <w:p w:rsidR="00131034" w:rsidRDefault="009E3975">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Level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30.20</w:t>
      </w:r>
    </w:p>
    <w:p w:rsidR="00131034" w:rsidRDefault="009E3975">
      <w:pPr>
        <w:keepLine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Level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35.40</w:t>
      </w:r>
    </w:p>
    <w:p w:rsidR="00131034" w:rsidRDefault="004A5BAD">
      <w:pPr>
        <w:keepLines/>
        <w:spacing w:line="144" w:lineRule="auto"/>
        <w:rPr>
          <w:rFonts w:ascii="Times New Roman" w:eastAsia="Times New Roman" w:hAnsi="Times New Roman" w:cs="Times New Roman"/>
          <w:b/>
          <w:bCs/>
          <w:sz w:val="24"/>
          <w:szCs w:val="24"/>
        </w:rPr>
      </w:pPr>
      <w:r>
        <w:pict>
          <v:rect id="_x0000_i1027" style="width:0;height:1.5pt" o:hralign="center" o:hrstd="t" o:hr="t" fillcolor="#a0a0a0" stroked="f"/>
        </w:pict>
      </w:r>
    </w:p>
    <w:p w:rsidR="00131034" w:rsidRDefault="009E3975">
      <w:pPr>
        <w:keepLines/>
        <w:spacing w:line="1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1034" w:rsidRDefault="009E3975">
      <w:pPr>
        <w:keepLines/>
        <w:spacing w:line="1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rsidR="00131034" w:rsidRDefault="004A5BAD">
      <w:pPr>
        <w:keepLines/>
        <w:spacing w:line="144" w:lineRule="auto"/>
        <w:rPr>
          <w:rFonts w:ascii="Times New Roman" w:eastAsia="Times New Roman" w:hAnsi="Times New Roman" w:cs="Times New Roman"/>
          <w:b/>
          <w:bCs/>
          <w:sz w:val="24"/>
          <w:szCs w:val="24"/>
        </w:rPr>
      </w:pPr>
      <w:r>
        <w:pict>
          <v:rect id="_x0000_i1028" style="width:0;height:1.5pt" o:hralign="center" o:hrstd="t" o:hr="t" fillcolor="#a0a0a0" stroked="f"/>
        </w:pict>
      </w: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131034">
      <w:pPr>
        <w:keepLines/>
        <w:spacing w:line="144" w:lineRule="auto"/>
        <w:rPr>
          <w:rFonts w:ascii="Times New Roman" w:eastAsia="Times New Roman" w:hAnsi="Times New Roman" w:cs="Times New Roman"/>
          <w:b/>
          <w:bCs/>
          <w:sz w:val="24"/>
          <w:szCs w:val="24"/>
        </w:rPr>
      </w:pPr>
    </w:p>
    <w:p w:rsidR="00131034" w:rsidRDefault="009E3975">
      <w:pPr>
        <w:keepLines/>
        <w:spacing w:line="14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Extent of Facility Availability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findings revealed an overall mean of 3.68, indicating that school facilities were generally available at a moderate to high level. Among the indicators, instructional </w:t>
      </w:r>
      <w:r>
        <w:rPr>
          <w:rFonts w:ascii="Times New Roman" w:eastAsia="Times New Roman" w:hAnsi="Times New Roman" w:cs="Times New Roman"/>
          <w:sz w:val="24"/>
          <w:szCs w:val="24"/>
        </w:rPr>
        <w:lastRenderedPageBreak/>
        <w:t xml:space="preserve">technology facilities obtained the highest mean of 4.13, showing that audio-visual and electronic resources were highly accessible and widely utilized in classroom instruction. Library, laboratory, and workshop facilities recorded a mean of 3.97, while related resources for reading and practical work had a mean of 3.94, suggesting adequate support for students’ academic and skills-based activities. In comparison to the other indicators, exercise books, test books, and other stationeries received a mean of 3.65, and educational facilities available for students’ use had a mean of 3.54, both reflecting moderate availabilities. Meanwhile, adequate school classrooms and buildings obtained a moderate mean of 3.15, indicating concerns regarding the sufficiency of physical infrastructure.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Overall, the results showed that facility availability ranged from moderate to high. The findings were supported by Navarro (2019), who stated that some low facility indicators conflicted with the results of the study, as the findings indicated generally high levels of available facilities in institutions.</w:t>
      </w:r>
    </w:p>
    <w:p w:rsidR="00131034" w:rsidRDefault="00131034">
      <w:pPr>
        <w:spacing w:before="240" w:after="240" w:line="479" w:lineRule="auto"/>
        <w:rPr>
          <w:rFonts w:ascii="Times New Roman" w:eastAsia="Times New Roman" w:hAnsi="Times New Roman" w:cs="Times New Roman"/>
          <w:sz w:val="24"/>
          <w:szCs w:val="24"/>
        </w:rPr>
      </w:pPr>
    </w:p>
    <w:p w:rsidR="00131034" w:rsidRDefault="00131034">
      <w:pPr>
        <w:spacing w:before="240" w:after="240" w:line="479" w:lineRule="auto"/>
        <w:rPr>
          <w:rFonts w:ascii="Times New Roman" w:eastAsia="Times New Roman" w:hAnsi="Times New Roman" w:cs="Times New Roman"/>
          <w:sz w:val="24"/>
          <w:szCs w:val="24"/>
        </w:rPr>
      </w:pPr>
    </w:p>
    <w:p w:rsidR="00131034" w:rsidRDefault="00131034">
      <w:pPr>
        <w:spacing w:before="240" w:after="240" w:line="479" w:lineRule="auto"/>
        <w:rPr>
          <w:rFonts w:ascii="Times New Roman" w:eastAsia="Times New Roman" w:hAnsi="Times New Roman" w:cs="Times New Roman"/>
          <w:b/>
          <w:bCs/>
          <w:sz w:val="24"/>
          <w:szCs w:val="24"/>
        </w:rPr>
      </w:pPr>
    </w:p>
    <w:p w:rsidR="00131034" w:rsidRDefault="00131034">
      <w:pPr>
        <w:spacing w:before="240" w:after="240" w:line="479" w:lineRule="auto"/>
        <w:rPr>
          <w:rFonts w:ascii="Times New Roman" w:eastAsia="Times New Roman" w:hAnsi="Times New Roman" w:cs="Times New Roman"/>
          <w:b/>
          <w:bCs/>
          <w:sz w:val="24"/>
          <w:szCs w:val="24"/>
        </w:rPr>
      </w:pPr>
    </w:p>
    <w:p w:rsidR="00131034" w:rsidRDefault="00131034">
      <w:pPr>
        <w:spacing w:before="240" w:after="240" w:line="479" w:lineRule="auto"/>
        <w:rPr>
          <w:rFonts w:ascii="Times New Roman" w:eastAsia="Times New Roman" w:hAnsi="Times New Roman" w:cs="Times New Roman"/>
          <w:b/>
          <w:bCs/>
          <w:sz w:val="24"/>
          <w:szCs w:val="24"/>
        </w:rPr>
      </w:pPr>
    </w:p>
    <w:p w:rsidR="00131034" w:rsidRDefault="009E3975">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p>
    <w:p w:rsidR="00131034" w:rsidRDefault="009E3975">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Distribution of mean responses on facility availability questionnaire, specific indicators (n = 305)</w:t>
      </w:r>
    </w:p>
    <w:p w:rsidR="00131034" w:rsidRDefault="00131034">
      <w:pPr>
        <w:spacing w:line="240" w:lineRule="auto"/>
        <w:rPr>
          <w:rFonts w:ascii="Times New Roman" w:eastAsia="Times New Roman" w:hAnsi="Times New Roman" w:cs="Times New Roman"/>
          <w:i/>
          <w:iCs/>
          <w:sz w:val="24"/>
          <w:szCs w:val="24"/>
        </w:rPr>
      </w:pPr>
    </w:p>
    <w:tbl>
      <w:tblPr>
        <w:tblStyle w:val="a7"/>
        <w:tblW w:w="8640" w:type="dxa"/>
        <w:tblLayout w:type="fixed"/>
        <w:tblLook w:val="0400" w:firstRow="0" w:lastRow="0" w:firstColumn="0" w:lastColumn="0" w:noHBand="0" w:noVBand="1"/>
      </w:tblPr>
      <w:tblGrid>
        <w:gridCol w:w="6375"/>
        <w:gridCol w:w="960"/>
        <w:gridCol w:w="1305"/>
      </w:tblGrid>
      <w:tr w:rsidR="00131034">
        <w:tc>
          <w:tcPr>
            <w:tcW w:w="6375" w:type="dxa"/>
            <w:tcBorders>
              <w:top w:val="single" w:sz="8" w:space="0" w:color="000000"/>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Facility Availability Indicators</w:t>
            </w:r>
          </w:p>
        </w:tc>
        <w:tc>
          <w:tcPr>
            <w:tcW w:w="960"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30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131034">
        <w:trPr>
          <w:trHeight w:val="570"/>
        </w:trPr>
        <w:tc>
          <w:tcPr>
            <w:tcW w:w="6375" w:type="dxa"/>
            <w:tcBorders>
              <w:top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aids (projector, electronic media/public address system) are being utilized during class</w:t>
            </w:r>
          </w:p>
        </w:tc>
        <w:tc>
          <w:tcPr>
            <w:tcW w:w="960" w:type="dxa"/>
            <w:tcBorders>
              <w:top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305" w:type="dxa"/>
            <w:tcBorders>
              <w:top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131034">
        <w:trPr>
          <w:trHeight w:val="300"/>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Library/Lab/Workshop are available.</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r>
      <w:tr w:rsidR="00131034">
        <w:trPr>
          <w:trHeight w:val="540"/>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Library/workshop/lab available in school to enable students conduct reading and practical work.</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131034">
        <w:trPr>
          <w:trHeight w:val="574"/>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Communication Technology and health facilities are available within the school premises.</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131034">
        <w:trPr>
          <w:trHeight w:val="285"/>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aids are available for use during skills demonstration.</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131034">
        <w:trPr>
          <w:trHeight w:val="600"/>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maintained building and conducive classrooms can improve both teaching and learning outcomes.</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131034">
        <w:trPr>
          <w:trHeight w:val="315"/>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Textbooks are readily available for teaching/learning.</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31034">
        <w:trPr>
          <w:trHeight w:val="540"/>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exercise books, test books and other stationeries are available for learning activities.</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r>
      <w:tr w:rsidR="00131034">
        <w:trPr>
          <w:trHeight w:val="270"/>
        </w:trPr>
        <w:tc>
          <w:tcPr>
            <w:tcW w:w="6375"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Recreational facilities are available for students to use.</w:t>
            </w:r>
          </w:p>
        </w:tc>
        <w:tc>
          <w:tcPr>
            <w:tcW w:w="960"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13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131034">
        <w:tc>
          <w:tcPr>
            <w:tcW w:w="6375" w:type="dxa"/>
            <w:tcBorders>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Adequate school classroom/buildings available.</w:t>
            </w:r>
          </w:p>
        </w:tc>
        <w:tc>
          <w:tcPr>
            <w:tcW w:w="960" w:type="dxa"/>
            <w:tcBorders>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305" w:type="dxa"/>
            <w:tcBorders>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131034">
        <w:tc>
          <w:tcPr>
            <w:tcW w:w="6375" w:type="dxa"/>
            <w:tcBorders>
              <w:top w:val="single" w:sz="8" w:space="0" w:color="000000"/>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960"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3.68</w:t>
            </w:r>
          </w:p>
        </w:tc>
        <w:tc>
          <w:tcPr>
            <w:tcW w:w="130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0.67</w:t>
            </w:r>
          </w:p>
        </w:tc>
      </w:tr>
    </w:tbl>
    <w:p w:rsidR="00131034" w:rsidRDefault="00131034">
      <w:pPr>
        <w:spacing w:line="240" w:lineRule="auto"/>
        <w:rPr>
          <w:rFonts w:ascii="Times New Roman" w:eastAsia="Times New Roman" w:hAnsi="Times New Roman" w:cs="Times New Roman"/>
          <w:sz w:val="24"/>
          <w:szCs w:val="24"/>
        </w:rPr>
      </w:pP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Clinical Practice</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findings revealed an overall mean of 3.71, indicating that the level of clinical practice was generally rated at a moderate to high level. Among the indicators, clinical practice motivating students to learn more about nursing obtained the highest mean of 4.22, showing that exposure to real clinical settings strengthened students’ interest and engagement in the profession. Clinical experiences enhancing students’ ability to apply critical thinking in patient care recorded a mean of 4.20, while confidence in performing nursing procedures had a mean of 4.18, reflecting students perceived competence and self-assurance in carrying out essential nursing skills. </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comparison to the other indicators, receiving constructive feedback that helps improve clinical performance obtained a mean of 4.01. The alignment of patient </w:t>
      </w:r>
      <w:r>
        <w:rPr>
          <w:rFonts w:ascii="Times New Roman" w:eastAsia="Times New Roman" w:hAnsi="Times New Roman" w:cs="Times New Roman"/>
          <w:sz w:val="24"/>
          <w:szCs w:val="24"/>
        </w:rPr>
        <w:lastRenderedPageBreak/>
        <w:t>assignments with students’ knowledge and skills recorded a mean of 3.92, while exposure to a sufficient variety of clinical cases had a mean of 3.88. Overall, the results showed that clinical learning was rated from moderate to high across all indicators.</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Overall, clinical learning was rated from moderate to high, implying that while experiences were generally effective, certain aspects required improvement. This result was supported by Benner's (2010) study, which focused on whether guided supervision and efficient clinical exposure were key factors in professional proficiency of students.</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p>
    <w:p w:rsidR="00131034" w:rsidRDefault="009E3975">
      <w:pPr>
        <w:spacing w:before="240" w:after="240"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Distribution of mean responses on clinical practice questionnaire, specific indicators (n = 305)</w:t>
      </w:r>
    </w:p>
    <w:tbl>
      <w:tblPr>
        <w:tblStyle w:val="a8"/>
        <w:tblW w:w="8640" w:type="dxa"/>
        <w:tblLayout w:type="fixed"/>
        <w:tblLook w:val="0400" w:firstRow="0" w:lastRow="0" w:firstColumn="0" w:lastColumn="0" w:noHBand="0" w:noVBand="1"/>
      </w:tblPr>
      <w:tblGrid>
        <w:gridCol w:w="6420"/>
        <w:gridCol w:w="1005"/>
        <w:gridCol w:w="1215"/>
      </w:tblGrid>
      <w:tr w:rsidR="00131034">
        <w:tc>
          <w:tcPr>
            <w:tcW w:w="6420" w:type="dxa"/>
            <w:tcBorders>
              <w:top w:val="single" w:sz="8" w:space="0" w:color="000000"/>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Practice Indicators</w:t>
            </w:r>
          </w:p>
        </w:tc>
        <w:tc>
          <w:tcPr>
            <w:tcW w:w="100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21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131034">
        <w:trPr>
          <w:trHeight w:val="555"/>
        </w:trPr>
        <w:tc>
          <w:tcPr>
            <w:tcW w:w="6420" w:type="dxa"/>
            <w:tcBorders>
              <w:top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practice motivates me to learn more about nursing practice.</w:t>
            </w:r>
          </w:p>
        </w:tc>
        <w:tc>
          <w:tcPr>
            <w:tcW w:w="1005" w:type="dxa"/>
            <w:tcBorders>
              <w:top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1215" w:type="dxa"/>
            <w:tcBorders>
              <w:top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131034">
        <w:trPr>
          <w:trHeight w:val="465"/>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experiences enhance my ability to apply critical thinking in patient care.</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131034">
        <w:trPr>
          <w:trHeight w:val="585"/>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practice enhances my confidence in performing nursing procedures.</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131034">
        <w:trPr>
          <w:trHeight w:val="574"/>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learning activities promote my growth as a self-directed learner.</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131034">
        <w:trPr>
          <w:trHeight w:val="450"/>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that the clinical learning environment supports and enhances my learning.</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131034">
        <w:trPr>
          <w:trHeight w:val="600"/>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provided with adequate opportunities to perform essential </w:t>
            </w:r>
          </w:p>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skills in the actual setting.</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131034">
        <w:trPr>
          <w:trHeight w:val="555"/>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enough opportunities to interact with patients in different clinical areas.</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131034">
        <w:trPr>
          <w:trHeight w:val="600"/>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received constructive feedback that helps improve my clinical performance.</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131034">
        <w:trPr>
          <w:trHeight w:val="555"/>
        </w:trPr>
        <w:tc>
          <w:tcPr>
            <w:tcW w:w="6420" w:type="dxa"/>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assignments I received match my knowledge and skills.</w:t>
            </w:r>
          </w:p>
        </w:tc>
        <w:tc>
          <w:tcPr>
            <w:tcW w:w="100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215" w:type="dxa"/>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131034">
        <w:tc>
          <w:tcPr>
            <w:tcW w:w="6420" w:type="dxa"/>
            <w:tcBorders>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am exposed to a sufficient variety of clinical cases during my clinical duties.</w:t>
            </w:r>
          </w:p>
        </w:tc>
        <w:tc>
          <w:tcPr>
            <w:tcW w:w="1005" w:type="dxa"/>
            <w:tcBorders>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215" w:type="dxa"/>
            <w:tcBorders>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131034">
        <w:tc>
          <w:tcPr>
            <w:tcW w:w="6420" w:type="dxa"/>
            <w:tcBorders>
              <w:top w:val="single" w:sz="8" w:space="0" w:color="000000"/>
              <w:bottom w:val="single" w:sz="8" w:space="0" w:color="000000"/>
            </w:tcBorders>
            <w:tcMar>
              <w:top w:w="0" w:type="dxa"/>
              <w:bottom w:w="0" w:type="dxa"/>
            </w:tcMar>
          </w:tcPr>
          <w:p w:rsidR="00131034" w:rsidRDefault="009E397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100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3.71</w:t>
            </w:r>
          </w:p>
        </w:tc>
        <w:tc>
          <w:tcPr>
            <w:tcW w:w="1215" w:type="dxa"/>
            <w:tcBorders>
              <w:top w:val="single" w:sz="8" w:space="0" w:color="000000"/>
              <w:bottom w:val="single" w:sz="8" w:space="0" w:color="000000"/>
            </w:tcBorders>
            <w:tcMar>
              <w:top w:w="0" w:type="dxa"/>
              <w:bottom w:w="0" w:type="dxa"/>
            </w:tcMar>
          </w:tcPr>
          <w:p w:rsidR="00131034" w:rsidRDefault="009E397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0.70</w:t>
            </w:r>
          </w:p>
        </w:tc>
      </w:tr>
    </w:tbl>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Inferential Analysis</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4 shows the relationship between facility availability and clinical practice among nursing students. The normality of the data was assessed using the Shapiro-Wilk test, which indicated that the data were not normally distributed (p &lt; 0.05). Thus, Spearman’s rho was used to determine the relationship between the variables.</w:t>
      </w:r>
    </w:p>
    <w:p w:rsidR="00131034" w:rsidRDefault="009E3975">
      <w:pPr>
        <w:spacing w:line="479"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The results showed a moderate positive and statistically significant relationship (rs = 0.459, p &lt; 0.001). Since the p-value was less than 0.001, the null hypothesis was rejected. This indicates that greater facility availability is associated with higher levels of clinical practice among nursing students, emphasizing the importance of adequate resources in improving clinical learning experiences.</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finding is consistent with prior research of Chan (2002) demonstrating that the clinical learning environment significantly predicts student competence and satisfaction. Studies emphasize that adequate facilities, equipment, and structured environments directly impact learning effectiveness.</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Fraser and Greenhalgh (2001) argued that competence development was strongly influenced by environmental support systems. Similarly, research indicates that well-equipped clinical settings could enhance skill mastery and reduce learning anxiety.</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moderate strength of correlation suggests that while facility availability is vital, other factors such as instructor support, student motivation, and workload also contribute to clinical learning outcomes, a finding supported by existing literature.</w:t>
      </w: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No contradiction with established research is evident; rather, the findings reinforce prior evidence on the importance of environmental resources in health education.</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p>
    <w:p w:rsidR="00131034" w:rsidRDefault="009E3975">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Relationship between facility availability and clinical practice</w:t>
      </w:r>
    </w:p>
    <w:tbl>
      <w:tblPr>
        <w:tblStyle w:val="a9"/>
        <w:tblW w:w="8981" w:type="dxa"/>
        <w:tblLayout w:type="fixed"/>
        <w:tblLook w:val="0400" w:firstRow="0" w:lastRow="0" w:firstColumn="0" w:lastColumn="0" w:noHBand="0" w:noVBand="1"/>
      </w:tblPr>
      <w:tblGrid>
        <w:gridCol w:w="3851"/>
        <w:gridCol w:w="2286"/>
        <w:gridCol w:w="2844"/>
      </w:tblGrid>
      <w:tr w:rsidR="00131034">
        <w:trPr>
          <w:trHeight w:val="256"/>
        </w:trPr>
        <w:tc>
          <w:tcPr>
            <w:tcW w:w="3851" w:type="dxa"/>
            <w:vMerge w:val="restart"/>
            <w:tcBorders>
              <w:top w:val="single" w:sz="8" w:space="0" w:color="000000"/>
              <w:bottom w:val="single" w:sz="8" w:space="0" w:color="000000"/>
            </w:tcBorders>
            <w:tcMar>
              <w:top w:w="0" w:type="dxa"/>
              <w:left w:w="100" w:type="dxa"/>
              <w:bottom w:w="0" w:type="dxa"/>
              <w:right w:w="100" w:type="dxa"/>
            </w:tcMar>
          </w:tcPr>
          <w:p w:rsidR="00131034" w:rsidRDefault="00131034">
            <w:pPr>
              <w:spacing w:after="160" w:line="240" w:lineRule="auto"/>
              <w:jc w:val="center"/>
              <w:rPr>
                <w:rFonts w:ascii="Times New Roman" w:eastAsia="Times New Roman" w:hAnsi="Times New Roman" w:cs="Times New Roman"/>
                <w:sz w:val="24"/>
                <w:szCs w:val="24"/>
              </w:rPr>
            </w:pPr>
          </w:p>
        </w:tc>
        <w:tc>
          <w:tcPr>
            <w:tcW w:w="5130" w:type="dxa"/>
            <w:gridSpan w:val="2"/>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Learning</w:t>
            </w:r>
          </w:p>
        </w:tc>
      </w:tr>
      <w:tr w:rsidR="00131034">
        <w:trPr>
          <w:trHeight w:val="256"/>
        </w:trPr>
        <w:tc>
          <w:tcPr>
            <w:tcW w:w="3851" w:type="dxa"/>
            <w:vMerge/>
            <w:tcBorders>
              <w:top w:val="single" w:sz="8" w:space="0" w:color="000000"/>
              <w:bottom w:val="single" w:sz="8" w:space="0" w:color="000000"/>
            </w:tcBorders>
            <w:tcMar>
              <w:top w:w="0" w:type="dxa"/>
              <w:left w:w="100" w:type="dxa"/>
              <w:bottom w:w="0" w:type="dxa"/>
              <w:right w:w="100" w:type="dxa"/>
            </w:tcMar>
          </w:tcPr>
          <w:p w:rsidR="00131034" w:rsidRDefault="00131034">
            <w:pPr>
              <w:widowControl w:val="0"/>
              <w:pBdr>
                <w:top w:val="nil"/>
                <w:left w:val="nil"/>
                <w:bottom w:val="nil"/>
                <w:right w:val="nil"/>
                <w:between w:val="nil"/>
              </w:pBdr>
              <w:rPr>
                <w:rFonts w:ascii="Times New Roman" w:eastAsia="Times New Roman" w:hAnsi="Times New Roman" w:cs="Times New Roman"/>
                <w:sz w:val="24"/>
                <w:szCs w:val="24"/>
              </w:rPr>
            </w:pPr>
          </w:p>
        </w:tc>
        <w:tc>
          <w:tcPr>
            <w:tcW w:w="2286" w:type="dxa"/>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r-value(</w:t>
            </w:r>
            <w:r>
              <w:rPr>
                <w:rFonts w:ascii="Times New Roman" w:eastAsia="Times New Roman" w:hAnsi="Times New Roman" w:cs="Times New Roman"/>
                <w:b/>
                <w:bCs/>
                <w:i/>
                <w:iCs/>
                <w:sz w:val="24"/>
                <w:szCs w:val="24"/>
              </w:rPr>
              <w:t>r</w:t>
            </w:r>
            <w:r>
              <w:rPr>
                <w:rFonts w:ascii="Times New Roman" w:eastAsia="Times New Roman" w:hAnsi="Times New Roman" w:cs="Times New Roman"/>
                <w:b/>
                <w:bCs/>
                <w:i/>
                <w:iCs/>
                <w:sz w:val="24"/>
                <w:szCs w:val="24"/>
                <w:vertAlign w:val="subscript"/>
              </w:rPr>
              <w:t>s</w:t>
            </w:r>
            <w:r>
              <w:rPr>
                <w:rFonts w:ascii="Times New Roman" w:eastAsia="Times New Roman" w:hAnsi="Times New Roman" w:cs="Times New Roman"/>
                <w:sz w:val="24"/>
                <w:szCs w:val="24"/>
              </w:rPr>
              <w:t> )</w:t>
            </w:r>
          </w:p>
        </w:tc>
        <w:tc>
          <w:tcPr>
            <w:tcW w:w="2844" w:type="dxa"/>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r>
      <w:tr w:rsidR="00131034">
        <w:trPr>
          <w:trHeight w:val="256"/>
        </w:trPr>
        <w:tc>
          <w:tcPr>
            <w:tcW w:w="3851" w:type="dxa"/>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Availability</w:t>
            </w:r>
          </w:p>
        </w:tc>
        <w:tc>
          <w:tcPr>
            <w:tcW w:w="2286" w:type="dxa"/>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0.459</w:t>
            </w:r>
          </w:p>
        </w:tc>
        <w:tc>
          <w:tcPr>
            <w:tcW w:w="2844" w:type="dxa"/>
            <w:tcBorders>
              <w:top w:val="single" w:sz="8" w:space="0" w:color="000000"/>
              <w:bottom w:val="single" w:sz="8" w:space="0" w:color="000000"/>
            </w:tcBorders>
            <w:tcMar>
              <w:top w:w="0" w:type="dxa"/>
              <w:left w:w="100" w:type="dxa"/>
              <w:bottom w:w="0" w:type="dxa"/>
              <w:right w:w="100" w:type="dxa"/>
            </w:tcMar>
          </w:tcPr>
          <w:p w:rsidR="00131034" w:rsidRDefault="009E3975">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bl>
    <w:p w:rsidR="00131034" w:rsidRDefault="009E3975">
      <w:pPr>
        <w:spacing w:after="160" w:line="278"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Correlation is significant at the 0.01 level (2-tailed).</w:t>
      </w:r>
    </w:p>
    <w:p w:rsidR="00131034" w:rsidRDefault="00131034">
      <w:pPr>
        <w:spacing w:after="160" w:line="278" w:lineRule="auto"/>
        <w:rPr>
          <w:rFonts w:ascii="Times New Roman" w:eastAsia="Times New Roman" w:hAnsi="Times New Roman" w:cs="Times New Roman"/>
          <w:i/>
          <w:i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Findings</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population of the study consisted of 305 student nurses from Level 2, Level 3, and Level 4, the majority of whom were female, with most respondents coming from the second and fourth year levels and fewer from the third year, thereby representing both students in the early stage of clinical exposure and those nearing completion of their clinical duties.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Most respondents reported that the laboratories were equipped with the necessary tools, and that audiovisual aids were sufficiently available to support their learning activities and enabled them to complete practical skills. However, despite the availability of instructional equipment, shortcomings in the physical infrastructure indicated that improvements were needed to create a more supportive learning environment for students. The study revealed that, overall, students’ perception of the level of clinical practice was generally rated from moderate to high, reflecting positive clinical learning </w:t>
      </w:r>
      <w:r>
        <w:rPr>
          <w:rFonts w:ascii="Times New Roman" w:eastAsia="Times New Roman" w:hAnsi="Times New Roman" w:cs="Times New Roman"/>
          <w:sz w:val="24"/>
          <w:szCs w:val="24"/>
        </w:rPr>
        <w:lastRenderedPageBreak/>
        <w:t xml:space="preserve">experiences during their clinical practice. Students reported that a key positive indicator was their motivation and interest to learn more about nursing care both before and after each clinical experience. However, lower scores were noted for providing students with sufficient opportunities to handle clinical cases and for assigning patients based on students’ prior knowledge and skills.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It was found that the relationship between facility availability and the level of clinical practice was significantly and positively correlated. This indicated that the availability of facilities had a direct impact on students’ learning experiences. When laboratory equipment, audiovisual aids, and other instructional resources were available and functional, students demonstrated greater motivation to learn, improved critical thinking skills, and heightened confidence in performing nursing procedures.</w:t>
      </w:r>
    </w:p>
    <w:p w:rsidR="00131034" w:rsidRDefault="00131034">
      <w:pPr>
        <w:spacing w:line="479" w:lineRule="auto"/>
        <w:rPr>
          <w:rFonts w:ascii="Times New Roman" w:eastAsia="Times New Roman" w:hAnsi="Times New Roman" w:cs="Times New Roman"/>
          <w:b/>
          <w:bCs/>
          <w:sz w:val="24"/>
          <w:szCs w:val="24"/>
        </w:rPr>
      </w:pP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 and Recommendations</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This chapter presented a summary of the findings, conclusions, and recommendations of the study on Facility Availability and Clinical Practice in Nursing Education in a Private College in Iloilo City. Specifically, the study determined the profile of the respondents in terms of sex and year level, assessed the extent of facility availability as perceived by the students, evaluated the level of clinical practice as perceived by the students, and examined whether a significant relationship existed between perceived facility availability and students’ clinical practice. The study </w:t>
      </w:r>
      <w:r>
        <w:rPr>
          <w:rFonts w:ascii="Times New Roman" w:eastAsia="Times New Roman" w:hAnsi="Times New Roman" w:cs="Times New Roman"/>
          <w:sz w:val="24"/>
          <w:szCs w:val="24"/>
        </w:rPr>
        <w:lastRenderedPageBreak/>
        <w:t xml:space="preserve">employed a descriptive-correlational research design to describe the variables and determine the presence of a significant relationship between facility availability and clinical practice. A total of 305 student nurses from Level 2, Level 3, and Level 4 served as the respondents of the study.   </w:t>
      </w:r>
    </w:p>
    <w:p w:rsidR="00131034" w:rsidRDefault="00131034">
      <w:pPr>
        <w:spacing w:line="479" w:lineRule="auto"/>
        <w:rPr>
          <w:rFonts w:ascii="Times New Roman" w:eastAsia="Times New Roman" w:hAnsi="Times New Roman" w:cs="Times New Roman"/>
          <w:b/>
          <w:bCs/>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results have shown that students generally consider the available facilities to be sufficient. However, certain areas, such as classroom and building infrastructure, are perceived as less adequate. Improving some of these facilities is seen as a way to further enhance the learning environment, promote higher levels of clinical practice, and support the development of students’ clinical learning abilities. The findings have also revealed a positive correlation between facility availability and clinical practice, suggesting that students’ clinical learning improved when they had access to more and appropriate learning resources. </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was conducted among a limited number of nursing students from a single institution from level 2 to level 4 with clinical duties, which may affect the generalizability of the findings. The study focused on selected variables, and other factors such as teaching strategies, instructor competence, and student motivation were not examined.</w:t>
      </w:r>
    </w:p>
    <w:p w:rsidR="00131034" w:rsidRDefault="009E3975">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of the statistical analysis using the Shapiro Wilk test indicated that the data were not normally distributed; therefore, the use of Spearman’s rho was appropriate. The computed correlation coefficient revealed a statistically significant relationship between facility availability and clinical practice. Hence, the null hypothesis was </w:t>
      </w:r>
      <w:r>
        <w:rPr>
          <w:rFonts w:ascii="Times New Roman" w:eastAsia="Times New Roman" w:hAnsi="Times New Roman" w:cs="Times New Roman"/>
          <w:sz w:val="24"/>
          <w:szCs w:val="24"/>
        </w:rPr>
        <w:lastRenderedPageBreak/>
        <w:t>rejected, indicating that facility availability significantly influences clinical practice among nursing students. While the basic facilities are available, some improvements are needed to meet the demands of clinical learning and to further enhance students’ skills. Providing adequate resources contributed to a more supportive learning environment and helped promote practical competencies.</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Overall, the study suggested that improving facility availability could positively influence the quality of students’ clinical practice. Strengthening infrastructure and ensuring sufficient learning resources are essential for enhancing clinical competency, professional competence, and the overall effectiveness of nursing education.</w:t>
      </w:r>
    </w:p>
    <w:p w:rsidR="00A87E58" w:rsidRDefault="00A87E58" w:rsidP="00A87E58">
      <w:pPr>
        <w:spacing w:line="479" w:lineRule="auto"/>
        <w:ind w:firstLine="720"/>
        <w:rPr>
          <w:rFonts w:ascii="Times New Roman" w:eastAsia="Times New Roman" w:hAnsi="Times New Roman" w:cs="Times New Roman"/>
          <w:sz w:val="24"/>
          <w:szCs w:val="24"/>
        </w:rPr>
      </w:pPr>
      <w:r w:rsidRPr="00A87E58">
        <w:rPr>
          <w:rFonts w:ascii="Times New Roman" w:eastAsia="Times New Roman" w:hAnsi="Times New Roman" w:cs="Times New Roman"/>
          <w:sz w:val="24"/>
          <w:szCs w:val="24"/>
        </w:rPr>
        <w:t>The study was indirectly beneficial to undergraduate nursing students by enhancing their knowledge of digital learning. The results served as a foundation for institutional policies promoting nursing laboratories, simulation centers, and clinical resources, contributing to the development of competent nursing graduates.</w:t>
      </w: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Based on the findings and conclusions, the following recommendations are hereby presented:</w:t>
      </w:r>
    </w:p>
    <w:p w:rsidR="00131034" w:rsidRDefault="009E3975">
      <w:pPr>
        <w:spacing w:line="479" w:lineRule="auto"/>
        <w:rPr>
          <w:rFonts w:ascii="Times New Roman" w:eastAsia="Times New Roman" w:hAnsi="Times New Roman" w:cs="Times New Roman"/>
          <w:b/>
          <w:bCs/>
          <w:i/>
          <w:iCs/>
          <w:color w:val="111111"/>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Student Nurses</w:t>
      </w:r>
      <w:r>
        <w:rPr>
          <w:rFonts w:ascii="Times New Roman" w:eastAsia="Times New Roman" w:hAnsi="Times New Roman" w:cs="Times New Roman"/>
          <w:sz w:val="24"/>
          <w:szCs w:val="24"/>
        </w:rPr>
        <w:t>. The researchers highly recommend better utilization of school resources. Enhancing opportunities for simulation, laboratory practice, and supervised clinical experiences can further develop their skills, confidence, and critical thinking.</w:t>
      </w:r>
      <w:r>
        <w:rPr>
          <w:rFonts w:ascii="Times New Roman" w:eastAsia="Times New Roman" w:hAnsi="Times New Roman" w:cs="Times New Roman"/>
          <w:b/>
          <w:bCs/>
          <w:i/>
          <w:iCs/>
          <w:color w:val="111111"/>
          <w:sz w:val="24"/>
          <w:szCs w:val="24"/>
        </w:rPr>
        <w:tab/>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color w:val="111111"/>
          <w:sz w:val="24"/>
          <w:szCs w:val="24"/>
        </w:rPr>
        <w:t xml:space="preserve">             </w:t>
      </w:r>
      <w:r>
        <w:rPr>
          <w:rFonts w:ascii="Times New Roman" w:eastAsia="Times New Roman" w:hAnsi="Times New Roman" w:cs="Times New Roman"/>
          <w:b/>
          <w:bCs/>
          <w:color w:val="111111"/>
          <w:sz w:val="24"/>
          <w:szCs w:val="24"/>
        </w:rPr>
        <w:t xml:space="preserve">Nurse Educators. </w:t>
      </w:r>
      <w:r>
        <w:rPr>
          <w:rFonts w:ascii="Times New Roman" w:eastAsia="Times New Roman" w:hAnsi="Times New Roman" w:cs="Times New Roman"/>
          <w:color w:val="111111"/>
          <w:sz w:val="24"/>
          <w:szCs w:val="24"/>
        </w:rPr>
        <w:t xml:space="preserve">It is recommended to continually incorporate and implement a variety of teaching strategies to address the limitations posed by inadequate classrooms, building facilities, and the insufficient variety of clinical cases during clinical duties. </w:t>
      </w:r>
      <w:r>
        <w:rPr>
          <w:rFonts w:ascii="Times New Roman" w:eastAsia="Times New Roman" w:hAnsi="Times New Roman" w:cs="Times New Roman"/>
          <w:color w:val="111111"/>
          <w:sz w:val="24"/>
          <w:szCs w:val="24"/>
        </w:rPr>
        <w:lastRenderedPageBreak/>
        <w:t>Strategies such as case scenario simulations with mannequins, role-playing to enhance nurse–patient communication, concept master programs, questioning techniques, return demonstrations, and mannequin-simulated case scenarios can strengthen students’ learning.</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School Administrators</w:t>
      </w:r>
      <w:r>
        <w:rPr>
          <w:rFonts w:ascii="Times New Roman" w:eastAsia="Times New Roman" w:hAnsi="Times New Roman" w:cs="Times New Roman"/>
          <w:sz w:val="24"/>
          <w:szCs w:val="24"/>
        </w:rPr>
        <w:t>. It is recommended that they encouraged to address the inadequacies of classrooms, building facilities, and the limited variety of clinical cases by providing up-to-date laboratory equipment, learning supplies, simulation aids, and creating a more pleasing and supportive classroom environment. They are also urged to foster closer collaboration with clinical affiliates to enhance and expand the learning opportunities available to students.</w:t>
      </w:r>
    </w:p>
    <w:p w:rsidR="00131034" w:rsidRDefault="009E3975">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Nursing Profession and Healthcare Sector</w:t>
      </w:r>
      <w:r>
        <w:rPr>
          <w:rFonts w:ascii="Times New Roman" w:eastAsia="Times New Roman" w:hAnsi="Times New Roman" w:cs="Times New Roman"/>
          <w:sz w:val="24"/>
          <w:szCs w:val="24"/>
        </w:rPr>
        <w:t>. It is recommended that efficient and well-planned clinical attachments, with proper coordination between the school and hospital, clear supervision, appropriate patient assignments, and exposure to diverse cases, can provide meaningful experiences that enhance students’ skills, confidence, and safe clinical practice.</w:t>
      </w:r>
    </w:p>
    <w:p w:rsidR="00F202F5" w:rsidRPr="00F202F5" w:rsidRDefault="009E3975" w:rsidP="00B05AF0">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202F5" w:rsidRPr="001F19C4" w:rsidRDefault="00F202F5" w:rsidP="00F202F5">
      <w:pPr>
        <w:spacing w:line="479" w:lineRule="auto"/>
        <w:rPr>
          <w:rFonts w:ascii="Times New Roman" w:eastAsia="Times New Roman" w:hAnsi="Times New Roman" w:cs="Times New Roman"/>
          <w:b/>
          <w:sz w:val="24"/>
          <w:szCs w:val="24"/>
        </w:rPr>
      </w:pPr>
      <w:r w:rsidRPr="001F19C4">
        <w:rPr>
          <w:rFonts w:ascii="Times New Roman" w:eastAsia="Times New Roman" w:hAnsi="Times New Roman" w:cs="Times New Roman"/>
          <w:b/>
          <w:sz w:val="24"/>
          <w:szCs w:val="24"/>
        </w:rPr>
        <w:t xml:space="preserve">Limitations </w:t>
      </w:r>
    </w:p>
    <w:p w:rsidR="00F202F5" w:rsidRDefault="00F202F5" w:rsidP="004D5EBB">
      <w:pPr>
        <w:spacing w:line="479" w:lineRule="auto"/>
        <w:jc w:val="both"/>
        <w:rPr>
          <w:rFonts w:ascii="Times New Roman" w:eastAsia="Times New Roman" w:hAnsi="Times New Roman" w:cs="Times New Roman"/>
          <w:sz w:val="24"/>
          <w:szCs w:val="24"/>
        </w:rPr>
      </w:pPr>
      <w:r w:rsidRPr="00F202F5">
        <w:rPr>
          <w:rFonts w:ascii="Times New Roman" w:eastAsia="Times New Roman" w:hAnsi="Times New Roman" w:cs="Times New Roman"/>
          <w:sz w:val="24"/>
          <w:szCs w:val="24"/>
        </w:rPr>
        <w:tab/>
        <w:t>This study was conducted on student nurses as respondents from the second year to fourth year enrolled for the academic year 2025–2026 in the College of Nursing. The study investigated the types of facilities available for nursing students, the extent to which they were appropriate, and their impact on students’ clinical competence and performance. The data were collected over a semester only and the results were used as a basis for identifying gaps and putting forward solutions for the improvement in nursing educa</w:t>
      </w:r>
      <w:r>
        <w:rPr>
          <w:rFonts w:ascii="Times New Roman" w:eastAsia="Times New Roman" w:hAnsi="Times New Roman" w:cs="Times New Roman"/>
          <w:sz w:val="24"/>
          <w:szCs w:val="24"/>
        </w:rPr>
        <w:t xml:space="preserve">tion within the institution. </w:t>
      </w:r>
      <w:r w:rsidRPr="00F202F5">
        <w:rPr>
          <w:rFonts w:ascii="Times New Roman" w:eastAsia="Times New Roman" w:hAnsi="Times New Roman" w:cs="Times New Roman"/>
          <w:sz w:val="24"/>
          <w:szCs w:val="24"/>
        </w:rPr>
        <w:t xml:space="preserve">The study used a descriptive-correlational quantitative design to examine the </w:t>
      </w:r>
      <w:r w:rsidRPr="00F202F5">
        <w:rPr>
          <w:rFonts w:ascii="Times New Roman" w:eastAsia="Times New Roman" w:hAnsi="Times New Roman" w:cs="Times New Roman"/>
          <w:sz w:val="24"/>
          <w:szCs w:val="24"/>
        </w:rPr>
        <w:lastRenderedPageBreak/>
        <w:t xml:space="preserve">relationship between facility availability and nursing </w:t>
      </w:r>
      <w:r>
        <w:rPr>
          <w:rFonts w:ascii="Times New Roman" w:eastAsia="Times New Roman" w:hAnsi="Times New Roman" w:cs="Times New Roman"/>
          <w:sz w:val="24"/>
          <w:szCs w:val="24"/>
        </w:rPr>
        <w:t xml:space="preserve">students’ clinical experiences. </w:t>
      </w:r>
      <w:r w:rsidRPr="00F202F5">
        <w:rPr>
          <w:rFonts w:ascii="Times New Roman" w:eastAsia="Times New Roman" w:hAnsi="Times New Roman" w:cs="Times New Roman"/>
          <w:sz w:val="24"/>
          <w:szCs w:val="24"/>
        </w:rPr>
        <w:t>The study was limited to one institution and depended on the accuracy of participants’ responses. Other factors affecting clinical performance were not included, and no comparison with other nursing schools or long-term outcomes was made. Despite these limitations, the findings provided useful information for improving institutional policies and curriculum development.</w:t>
      </w:r>
    </w:p>
    <w:p w:rsidR="00B05AF0" w:rsidRDefault="00B05AF0" w:rsidP="004D5EBB">
      <w:pPr>
        <w:spacing w:line="479" w:lineRule="auto"/>
        <w:jc w:val="both"/>
        <w:rPr>
          <w:rFonts w:ascii="Times New Roman" w:eastAsia="Times New Roman" w:hAnsi="Times New Roman" w:cs="Times New Roman"/>
          <w:sz w:val="24"/>
          <w:szCs w:val="24"/>
        </w:rPr>
      </w:pPr>
    </w:p>
    <w:p w:rsidR="00EA48CC" w:rsidRDefault="00B05AF0" w:rsidP="00B05AF0">
      <w:pPr>
        <w:spacing w:line="47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Future Research</w:t>
      </w:r>
      <w:r w:rsidRPr="00B05AF0">
        <w:rPr>
          <w:rFonts w:ascii="Times New Roman" w:eastAsia="Times New Roman" w:hAnsi="Times New Roman" w:cs="Times New Roman"/>
          <w:sz w:val="24"/>
          <w:szCs w:val="24"/>
        </w:rPr>
        <w:t xml:space="preserve"> </w:t>
      </w:r>
    </w:p>
    <w:p w:rsidR="00221FBE" w:rsidRDefault="00221FBE" w:rsidP="00B05AF0">
      <w:pPr>
        <w:spacing w:line="479" w:lineRule="auto"/>
        <w:jc w:val="both"/>
        <w:rPr>
          <w:rFonts w:ascii="Times New Roman" w:eastAsia="Times New Roman" w:hAnsi="Times New Roman" w:cs="Times New Roman"/>
          <w:sz w:val="24"/>
          <w:szCs w:val="24"/>
        </w:rPr>
      </w:pPr>
    </w:p>
    <w:p w:rsidR="00B05AF0" w:rsidRPr="00B05AF0" w:rsidRDefault="00B05AF0" w:rsidP="00B05AF0">
      <w:pPr>
        <w:spacing w:line="479" w:lineRule="auto"/>
        <w:jc w:val="both"/>
        <w:rPr>
          <w:rFonts w:ascii="Times New Roman" w:eastAsia="Times New Roman" w:hAnsi="Times New Roman" w:cs="Times New Roman"/>
          <w:sz w:val="24"/>
          <w:szCs w:val="24"/>
        </w:rPr>
      </w:pPr>
      <w:r w:rsidRPr="00B05AF0">
        <w:rPr>
          <w:rFonts w:ascii="Times New Roman" w:eastAsia="Times New Roman" w:hAnsi="Times New Roman" w:cs="Times New Roman"/>
          <w:sz w:val="24"/>
          <w:szCs w:val="24"/>
        </w:rPr>
        <w:t xml:space="preserve">It is recommended that further studies address the limitations encountered in this research. In response to the limited adequacy of classrooms, building facilities, and the insufficient variety of clinical cases. These studies will use surveys, interviews, and needs assessments to determine the most beneficial resources, and comparative studies may review tools, equipment, and technologies used by other nursing schools. </w:t>
      </w:r>
      <w:r w:rsidR="00EE4233" w:rsidRPr="00EE4233">
        <w:rPr>
          <w:rFonts w:ascii="Times New Roman" w:eastAsia="Times New Roman" w:hAnsi="Times New Roman" w:cs="Times New Roman"/>
          <w:sz w:val="24"/>
          <w:szCs w:val="24"/>
        </w:rPr>
        <w:t>It may also encourage similar studies in different settings and inspire comparisons between private and public institutions to further improve nursing programs.</w:t>
      </w:r>
      <w:r w:rsidR="00EC2B4D">
        <w:rPr>
          <w:rFonts w:ascii="Times New Roman" w:eastAsia="Times New Roman" w:hAnsi="Times New Roman" w:cs="Times New Roman"/>
          <w:sz w:val="24"/>
          <w:szCs w:val="24"/>
        </w:rPr>
        <w:t xml:space="preserve"> </w:t>
      </w:r>
      <w:r w:rsidRPr="00B05AF0">
        <w:rPr>
          <w:rFonts w:ascii="Times New Roman" w:eastAsia="Times New Roman" w:hAnsi="Times New Roman" w:cs="Times New Roman"/>
          <w:sz w:val="24"/>
          <w:szCs w:val="24"/>
        </w:rPr>
        <w:t>The findings are expected to guide evidence-based improvements in educational facilities and learning environments, ensuring better support for students’ clinical learning and skill development.</w:t>
      </w:r>
    </w:p>
    <w:p w:rsidR="00B05AF0" w:rsidRPr="00B05AF0" w:rsidRDefault="00B05AF0" w:rsidP="00B05AF0">
      <w:pPr>
        <w:spacing w:line="479" w:lineRule="auto"/>
        <w:jc w:val="both"/>
        <w:rPr>
          <w:rFonts w:ascii="Times New Roman" w:eastAsia="Times New Roman" w:hAnsi="Times New Roman" w:cs="Times New Roman"/>
          <w:sz w:val="24"/>
          <w:szCs w:val="24"/>
        </w:rPr>
      </w:pPr>
    </w:p>
    <w:p w:rsidR="00131034" w:rsidRDefault="00131034">
      <w:pPr>
        <w:spacing w:line="479" w:lineRule="auto"/>
        <w:rPr>
          <w:rFonts w:ascii="Times New Roman" w:eastAsia="Times New Roman" w:hAnsi="Times New Roman" w:cs="Times New Roman"/>
          <w:sz w:val="24"/>
          <w:szCs w:val="24"/>
        </w:rPr>
      </w:pPr>
    </w:p>
    <w:p w:rsidR="00131034" w:rsidRDefault="00131034">
      <w:pPr>
        <w:spacing w:line="479" w:lineRule="auto"/>
        <w:rPr>
          <w:rFonts w:ascii="Times New Roman" w:eastAsia="Times New Roman" w:hAnsi="Times New Roman" w:cs="Times New Roman"/>
          <w:sz w:val="24"/>
          <w:szCs w:val="24"/>
        </w:rPr>
      </w:pPr>
    </w:p>
    <w:p w:rsidR="00131034" w:rsidRDefault="009E3975">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Definition of Terms </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t xml:space="preserve">        Facility Availability. </w:t>
      </w:r>
      <w:r>
        <w:rPr>
          <w:rFonts w:ascii="Times New Roman" w:eastAsia="Times New Roman" w:hAnsi="Times New Roman" w:cs="Times New Roman"/>
          <w:color w:val="111111"/>
          <w:sz w:val="24"/>
          <w:szCs w:val="24"/>
        </w:rPr>
        <w:t xml:space="preserve">It refers to the presence and functional condition of facilities required for academic activities ensured that students had access to the necessary tools </w:t>
      </w:r>
      <w:r>
        <w:rPr>
          <w:rFonts w:ascii="Times New Roman" w:eastAsia="Times New Roman" w:hAnsi="Times New Roman" w:cs="Times New Roman"/>
          <w:color w:val="111111"/>
          <w:sz w:val="24"/>
          <w:szCs w:val="24"/>
        </w:rPr>
        <w:lastRenderedPageBreak/>
        <w:t>and spaces for effective learning (Olayemi &amp; Ige, 2020). To evaluate facility availability, a 10-item Likert scale questionnaire was used. Based on the mean score, the facility was classified as high, average, and low.</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t xml:space="preserve">        Clinical Practice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It refers to the </w:t>
      </w:r>
      <w:r>
        <w:rPr>
          <w:rFonts w:ascii="Times New Roman" w:eastAsia="Times New Roman" w:hAnsi="Times New Roman" w:cs="Times New Roman"/>
          <w:color w:val="111111"/>
          <w:sz w:val="24"/>
          <w:szCs w:val="24"/>
        </w:rPr>
        <w:t xml:space="preserve">medicine, nursing, midwifery, and other health science students who learned to apply theory in both real and controlled patient care environments by combining theoretical knowledge, practical skills, and professional attitudes through hands-on experiences (Tegegne et al., 2022). In this study, clinical practice referred to the practical learning experiences of student nurses in both hospital and community settings where they applied clinical knowledge, established nursing skills, and exhibited professional behavior under supervision. </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t xml:space="preserve">      Year Level.</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This refers to </w:t>
      </w:r>
      <w:r>
        <w:rPr>
          <w:rFonts w:ascii="Times New Roman" w:eastAsia="Times New Roman" w:hAnsi="Times New Roman" w:cs="Times New Roman"/>
          <w:color w:val="111111"/>
          <w:sz w:val="24"/>
          <w:szCs w:val="24"/>
        </w:rPr>
        <w:t xml:space="preserve">the classification of students according to their improvement or standing in an academic program, usually determined by the length of study and the quantity of academic units completed (Okoli &amp; Eze, 2018). In this study, year level referred to the academic classification of student nurses from second year to fourth year who were enrolled in a private college of nursing in Iloilo during the academic year 2025–2026. It represented the students’ level of academic and clinical environments, which may have affected the students experiences and opinions regarding </w:t>
      </w:r>
    </w:p>
    <w:p w:rsidR="00131034" w:rsidRDefault="009E3975">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facility availability and clinical practice. </w:t>
      </w:r>
    </w:p>
    <w:p w:rsidR="00234EA1" w:rsidRDefault="00234EA1">
      <w:pPr>
        <w:spacing w:line="479" w:lineRule="auto"/>
        <w:rPr>
          <w:rFonts w:ascii="Times New Roman" w:eastAsia="Times New Roman" w:hAnsi="Times New Roman" w:cs="Times New Roman"/>
          <w:color w:val="111111"/>
          <w:sz w:val="24"/>
          <w:szCs w:val="24"/>
        </w:rPr>
      </w:pPr>
    </w:p>
    <w:p w:rsidR="00EB0F37" w:rsidRDefault="00EB0F37" w:rsidP="00EB0F37">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Ethical </w:t>
      </w:r>
      <w:r w:rsidR="00AA09B9">
        <w:rPr>
          <w:rFonts w:ascii="Times New Roman" w:eastAsia="Times New Roman" w:hAnsi="Times New Roman" w:cs="Times New Roman"/>
          <w:b/>
          <w:bCs/>
          <w:sz w:val="24"/>
          <w:szCs w:val="24"/>
        </w:rPr>
        <w:t>Approval</w:t>
      </w:r>
      <w:bookmarkStart w:id="0" w:name="_GoBack"/>
      <w:bookmarkEnd w:id="0"/>
      <w:r>
        <w:rPr>
          <w:rFonts w:ascii="Times New Roman" w:eastAsia="Times New Roman" w:hAnsi="Times New Roman" w:cs="Times New Roman"/>
          <w:b/>
          <w:bCs/>
          <w:sz w:val="24"/>
          <w:szCs w:val="24"/>
        </w:rPr>
        <w:t xml:space="preserve"> </w:t>
      </w:r>
    </w:p>
    <w:p w:rsidR="00EB0F37" w:rsidRDefault="00EB0F37" w:rsidP="00EB0F37">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was submitted to the Iloilo Doctors’ College Institutional Research Ethics Committee (IDIREC) and was granted ethical clearance (IDIREC.OI_202). The applicable guidelines ensured that the study adhered to ethical principles of respect, </w:t>
      </w:r>
      <w:r>
        <w:rPr>
          <w:rFonts w:ascii="Times New Roman" w:eastAsia="Times New Roman" w:hAnsi="Times New Roman" w:cs="Times New Roman"/>
          <w:sz w:val="24"/>
          <w:szCs w:val="24"/>
        </w:rPr>
        <w:lastRenderedPageBreak/>
        <w:t>beneficence, and justice, as outlined in international and national research ethics guidelines.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EB0F37" w:rsidRDefault="00EB0F37" w:rsidP="00EB0F37">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b/>
        <w:t xml:space="preserve">Informed Consent. </w:t>
      </w:r>
      <w:r>
        <w:rPr>
          <w:rFonts w:ascii="Times New Roman" w:eastAsia="Times New Roman" w:hAnsi="Times New Roman" w:cs="Times New Roman"/>
          <w:sz w:val="24"/>
          <w:szCs w:val="24"/>
        </w:rPr>
        <w:t>Participation was voluntary, and informed consent was obtained prior to data collection. Personal identifiers were excluded and replaced with coded references. Data were kept in password-protected, encrypted files and used solely for research purposes, then destroyed after completion.</w:t>
      </w:r>
      <w:r>
        <w:rPr>
          <w:rFonts w:ascii="Times New Roman" w:eastAsia="Times New Roman" w:hAnsi="Times New Roman" w:cs="Times New Roman"/>
          <w:b/>
          <w:bCs/>
          <w:sz w:val="24"/>
          <w:szCs w:val="24"/>
        </w:rPr>
        <w:tab/>
      </w:r>
    </w:p>
    <w:p w:rsidR="00EB0F37" w:rsidRDefault="00EB0F37" w:rsidP="00EB0F37">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Conflict of Interest. </w:t>
      </w:r>
      <w:r>
        <w:rPr>
          <w:rFonts w:ascii="Times New Roman" w:eastAsia="Times New Roman" w:hAnsi="Times New Roman" w:cs="Times New Roman"/>
          <w:sz w:val="24"/>
          <w:szCs w:val="24"/>
        </w:rPr>
        <w:t>The authors declared no conflicts of interest. The study was conducted for academic purposes with no external influence and followed ethical standards.</w:t>
      </w:r>
    </w:p>
    <w:p w:rsidR="00EB0F37" w:rsidRDefault="00EB0F37" w:rsidP="00EB0F37">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EB0F37">
        <w:rPr>
          <w:rFonts w:ascii="Times New Roman" w:eastAsia="Times New Roman" w:hAnsi="Times New Roman" w:cs="Times New Roman"/>
          <w:b/>
          <w:bCs/>
          <w:sz w:val="24"/>
          <w:szCs w:val="24"/>
        </w:rPr>
        <w:t>Disclaimer (Artificial intelligence)</w:t>
      </w:r>
    </w:p>
    <w:p w:rsidR="00EB0F37" w:rsidRPr="00EB0F37" w:rsidRDefault="00EB0F37" w:rsidP="00EB0F37">
      <w:pPr>
        <w:spacing w:after="200"/>
        <w:rPr>
          <w:rFonts w:ascii="Calibri" w:eastAsia="Calibri" w:hAnsi="Calibri" w:cs="Times New Roman"/>
          <w:kern w:val="2"/>
          <w:lang w:val="en-US" w:eastAsia="en-US"/>
          <w14:ligatures w14:val="standardContextual"/>
        </w:rPr>
      </w:pPr>
      <w:r w:rsidRPr="00EB0F37">
        <w:rPr>
          <w:rFonts w:ascii="Calibri" w:eastAsia="Calibri" w:hAnsi="Calibri" w:cs="Times New Roman"/>
          <w:kern w:val="2"/>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B0F37" w:rsidRDefault="00EB0F37" w:rsidP="00EB0F37">
      <w:pPr>
        <w:spacing w:after="200"/>
        <w:rPr>
          <w:rFonts w:ascii="Calibri" w:eastAsia="Calibri" w:hAnsi="Calibri" w:cs="Times New Roman"/>
          <w:kern w:val="2"/>
          <w:lang w:val="en-US" w:eastAsia="en-US"/>
          <w14:ligatures w14:val="standardContextual"/>
        </w:rPr>
      </w:pPr>
      <w:r w:rsidRPr="00EB0F37">
        <w:rPr>
          <w:rFonts w:ascii="Calibri" w:eastAsia="Calibri" w:hAnsi="Calibri" w:cs="Times New Roman"/>
          <w:kern w:val="2"/>
          <w:lang w:val="en-US" w:eastAsia="en-US"/>
          <w14:ligatures w14:val="standardContextual"/>
        </w:rPr>
        <w:t>Details of the AI usage are given below:</w:t>
      </w:r>
    </w:p>
    <w:p w:rsidR="00EB0F37" w:rsidRDefault="00234EA1" w:rsidP="00EB0F37">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B0F37">
        <w:rPr>
          <w:rFonts w:ascii="Times New Roman" w:eastAsia="Times New Roman" w:hAnsi="Times New Roman" w:cs="Times New Roman"/>
          <w:sz w:val="24"/>
          <w:szCs w:val="24"/>
        </w:rPr>
        <w:t xml:space="preserve">ChatGPT and paraphrasing tools were used only to improve grammar and clarity. </w:t>
      </w:r>
    </w:p>
    <w:p w:rsidR="00EB0F37" w:rsidRDefault="00EB0F37">
      <w:pPr>
        <w:spacing w:line="479" w:lineRule="auto"/>
        <w:rPr>
          <w:rFonts w:ascii="Times New Roman" w:eastAsia="Times New Roman" w:hAnsi="Times New Roman" w:cs="Times New Roman"/>
          <w:b/>
          <w:bCs/>
          <w:sz w:val="24"/>
          <w:szCs w:val="24"/>
        </w:rPr>
      </w:pPr>
    </w:p>
    <w:p w:rsidR="00131034" w:rsidRDefault="00131034">
      <w:pPr>
        <w:spacing w:line="479" w:lineRule="auto"/>
        <w:rPr>
          <w:rFonts w:ascii="Times New Roman" w:eastAsia="Times New Roman" w:hAnsi="Times New Roman" w:cs="Times New Roman"/>
          <w:sz w:val="24"/>
          <w:szCs w:val="24"/>
        </w:rPr>
      </w:pPr>
      <w:bookmarkStart w:id="1" w:name="_heading=h.unvoqqyi7sm6" w:colFirst="0" w:colLast="0"/>
      <w:bookmarkEnd w:id="1"/>
    </w:p>
    <w:p w:rsidR="00131034" w:rsidRDefault="00131034">
      <w:pPr>
        <w:spacing w:line="479" w:lineRule="auto"/>
        <w:jc w:val="center"/>
        <w:rPr>
          <w:rFonts w:ascii="Times New Roman" w:eastAsia="Times New Roman" w:hAnsi="Times New Roman" w:cs="Times New Roman"/>
          <w:b/>
          <w:bCs/>
          <w:sz w:val="24"/>
          <w:szCs w:val="24"/>
        </w:rPr>
      </w:pPr>
    </w:p>
    <w:p w:rsidR="00131034" w:rsidRDefault="009E3975">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131034" w:rsidRDefault="00131034">
      <w:pPr>
        <w:spacing w:line="240" w:lineRule="auto"/>
        <w:rPr>
          <w:rFonts w:ascii="Times New Roman" w:eastAsia="Times New Roman" w:hAnsi="Times New Roman" w:cs="Times New Roman"/>
          <w:sz w:val="24"/>
          <w:szCs w:val="24"/>
        </w:rPr>
      </w:pPr>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Alharbi, A., Nurfianti, A., &amp; Mullen, R. F. (2024). The effectiveness of simulation-based       </w:t>
      </w:r>
      <w:r>
        <w:rPr>
          <w:rFonts w:ascii="Times New Roman" w:eastAsia="Times New Roman" w:hAnsi="Times New Roman" w:cs="Times New Roman"/>
          <w:sz w:val="24"/>
          <w:szCs w:val="24"/>
        </w:rPr>
        <w:tab/>
        <w:t xml:space="preserve">learning (SBL) on students’ knowledge and skills in nursing programs:A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systematic review.</w:t>
      </w:r>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9">
        <w:r>
          <w:rPr>
            <w:rFonts w:ascii="Times New Roman" w:eastAsia="Times New Roman" w:hAnsi="Times New Roman" w:cs="Times New Roman"/>
            <w:sz w:val="24"/>
            <w:szCs w:val="24"/>
          </w:rPr>
          <w:t>https://bmcmededuc.biomedcentral.com/articles/10.1186/s12909-024-06080-z</w:t>
        </w:r>
      </w:hyperlink>
    </w:p>
    <w:p w:rsidR="00131034" w:rsidRDefault="00131034">
      <w:pPr>
        <w:spacing w:line="240" w:lineRule="auto"/>
        <w:rPr>
          <w:rFonts w:ascii="Times New Roman" w:eastAsia="Times New Roman" w:hAnsi="Times New Roman" w:cs="Times New Roman"/>
          <w:sz w:val="24"/>
          <w:szCs w:val="24"/>
        </w:rPr>
      </w:pPr>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Adu, E. O., &amp; Adekoya, T. O. (2020). Students’ perception of infrastructure and facilities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and their effects on academic achievement in selected universities. International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Journal of Research in Education and Science (IJRES), 6(2), 405–413.   </w:t>
      </w:r>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sz w:val="24"/>
            <w:szCs w:val="24"/>
          </w:rPr>
          <w:t>https://ijres.net/index.php/ijres/article/view/564</w:t>
        </w:r>
      </w:hyperlink>
    </w:p>
    <w:p w:rsidR="00131034" w:rsidRDefault="009E3975">
      <w:pPr>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Alshammari, A., Innab, A., Nahari, A., Alanazi, H., Alanazi, R., &amp; Almukhaini, G. (n.d.). Impact of Simulation-Based Learning on Learning Loss among Nursing Students: A Quasi-Experimental Study. </w:t>
      </w:r>
      <w:hyperlink r:id="rId11">
        <w:r>
          <w:rPr>
            <w:rFonts w:ascii="Times New Roman" w:eastAsia="Times New Roman" w:hAnsi="Times New Roman" w:cs="Times New Roman"/>
            <w:sz w:val="24"/>
            <w:szCs w:val="24"/>
          </w:rPr>
          <w:t>https://eric.ed.gov/?q=real+world+practice+on+academic+and+clinical+performance+of+nursing+students+in+iloilo+doctors+college</w:t>
        </w:r>
      </w:hyperlink>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Association of Colleges of Nursing. (2022).  The essentials: Core competencies for professional nursing  education. </w:t>
      </w:r>
    </w:p>
    <w:p w:rsidR="00131034" w:rsidRDefault="009E3975">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AACN. https://www.aacnnursing.org/</w:t>
      </w:r>
      <w:r>
        <w:rPr>
          <w:rFonts w:ascii="Times New Roman" w:eastAsia="Times New Roman" w:hAnsi="Times New Roman" w:cs="Times New Roman"/>
          <w:sz w:val="24"/>
          <w:szCs w:val="24"/>
        </w:rPr>
        <w:br/>
      </w:r>
    </w:p>
    <w:p w:rsidR="00131034" w:rsidRDefault="009E3975">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Aryuwat, Pimwalunn, Jessica Holmgren, Margareta Asp, Matanee Radabutr, and Annica Lövenmark. 2024. “Experiences of Nursing Students Regarding Challenges and Support for Resilience During Clinical Education: A Qualitative Study.”</w:t>
      </w:r>
    </w:p>
    <w:p w:rsidR="00131034" w:rsidRDefault="009E3975">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https://doi.org/10.3390/nursrep14030120.</w:t>
      </w:r>
    </w:p>
    <w:p w:rsidR="00131034" w:rsidRDefault="00131034">
      <w:pPr>
        <w:spacing w:line="240" w:lineRule="auto"/>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Assessing the Competence of Nursing Students in Clinical Practice — Alkhelaiwi et al. (2024)</w:t>
      </w:r>
      <w:hyperlink r:id="rId12">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PMC</w:t>
      </w:r>
      <w:r>
        <w:rPr>
          <w:highlight w:val="white"/>
        </w:rPr>
        <w:t xml:space="preserve"> </w:t>
      </w:r>
      <w:r>
        <w:rPr>
          <w:rFonts w:ascii="Times New Roman" w:eastAsia="Times New Roman" w:hAnsi="Times New Roman" w:cs="Times New Roman"/>
          <w:sz w:val="24"/>
          <w:szCs w:val="24"/>
          <w:highlight w:val="white"/>
        </w:rPr>
        <w:t>https://pmc.ncbi.nlm.nih.gov/articles/PMC11121458/ PMC</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Availability, Adequacy and Utilization of Educational Facilities and School Administrators’ Effectiveness in Colleges of Education in Delta State. 6 Jan. 2018, www.researchgate.net/publication/322294426_</w:t>
      </w:r>
    </w:p>
    <w:p w:rsidR="00131034" w:rsidRDefault="00131034">
      <w:pPr>
        <w:spacing w:line="240" w:lineRule="auto"/>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Azizi, M., Ramezani, G., &amp; Karimi, E. (2022). A comparison of the effects of teaching through simulation and the traditional method on nursing students’ self-efficacy skills and clinical performance: A quasi-experimental study. BMC Nursing, 21(1), 1065. </w:t>
      </w:r>
      <w:hyperlink r:id="rId13">
        <w:r>
          <w:rPr>
            <w:rFonts w:ascii="Times New Roman" w:eastAsia="Times New Roman" w:hAnsi="Times New Roman" w:cs="Times New Roman"/>
            <w:sz w:val="24"/>
            <w:szCs w:val="24"/>
            <w:highlight w:val="white"/>
          </w:rPr>
          <w:t>https://bmcnurs.biomedcentral.com/articles/10.1186/s12912-022-01065-z</w:t>
        </w:r>
      </w:hyperlink>
    </w:p>
    <w:p w:rsidR="00131034" w:rsidRDefault="00131034">
      <w:pPr>
        <w:spacing w:line="240" w:lineRule="auto"/>
        <w:ind w:left="720"/>
        <w:jc w:val="both"/>
        <w:rPr>
          <w:rFonts w:ascii="Times New Roman" w:eastAsia="Times New Roman" w:hAnsi="Times New Roman" w:cs="Times New Roman"/>
          <w:sz w:val="24"/>
          <w:szCs w:val="24"/>
          <w:highlight w:val="white"/>
        </w:rPr>
      </w:pPr>
    </w:p>
    <w:p w:rsidR="00131034" w:rsidRDefault="00131034">
      <w:pPr>
        <w:spacing w:line="240" w:lineRule="auto"/>
        <w:ind w:left="720" w:hanging="720"/>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Benner, P., Sutphen, M., Leonard, V., &amp; Day, L. (2010). Educating nurses: A call for radical transformation (10th anniversary ed.). Jossey-Bass. Retrieved from https://www.perlego.com/book/1010005/educating-nurses-a-call-for-radical-transformation-pdf (Preview/abstract available; book preview on Perlego)</w:t>
      </w:r>
    </w:p>
    <w:p w:rsidR="00131034" w:rsidRDefault="00131034">
      <w:pPr>
        <w:spacing w:line="240" w:lineRule="auto"/>
        <w:rPr>
          <w:rFonts w:ascii="Times New Roman" w:eastAsia="Times New Roman" w:hAnsi="Times New Roman" w:cs="Times New Roman"/>
          <w:color w:val="05103E"/>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rPr>
        <w:t>Bijani, M., Abedi, H., Karimi Moonaghi, H., &amp; Khatiban, M. (2021). Development and psychometric evaluation of a reflection on clinical practice questionnaires for nursing students. https://doi.org/10.1186/s12912-021-00705-0</w:t>
      </w:r>
    </w:p>
    <w:p w:rsidR="00131034" w:rsidRDefault="00131034">
      <w:pPr>
        <w:spacing w:line="240" w:lineRule="auto"/>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Cant, R., Ryan, C., &amp; Cooper, S. (2021). Nursing students’ evaluation of clinical practice placements using the Clinical Learning Environment, Supervision and Nurse Teacher (CLES+T) scale: A systematic review. Nurse Education Today. </w:t>
      </w:r>
      <w:hyperlink r:id="rId14">
        <w:r>
          <w:rPr>
            <w:rFonts w:ascii="Times New Roman" w:eastAsia="Times New Roman" w:hAnsi="Times New Roman" w:cs="Times New Roman"/>
            <w:sz w:val="24"/>
            <w:szCs w:val="24"/>
            <w:highlight w:val="white"/>
          </w:rPr>
          <w:t>https://doi.org/10.1016/j.nedt.2021.104983</w:t>
        </w:r>
      </w:hyperlink>
    </w:p>
    <w:p w:rsidR="00131034" w:rsidRDefault="00131034">
      <w:pPr>
        <w:spacing w:line="240" w:lineRule="auto"/>
        <w:ind w:left="720"/>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Chan, D. S. K. (2002). Development of the Clinical Learning Environment Inventory: Using the theoretical framework of learning environment studies to assess nursing students’ perceptions of the hospital as a learning environment. Journal of Nursing Education, 41(2), 69–75. </w:t>
      </w: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hyperlink r:id="rId15">
        <w:r>
          <w:rPr>
            <w:rFonts w:ascii="Times New Roman" w:eastAsia="Times New Roman" w:hAnsi="Times New Roman" w:cs="Times New Roman"/>
            <w:sz w:val="24"/>
            <w:szCs w:val="24"/>
            <w:highlight w:val="white"/>
          </w:rPr>
          <w:t>https://doi.org/10.3928/0148-4834-20020201-06</w:t>
        </w:r>
      </w:hyperlink>
    </w:p>
    <w:p w:rsidR="00131034" w:rsidRDefault="00131034">
      <w:pPr>
        <w:spacing w:line="240" w:lineRule="auto"/>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Yinghua, et al. Academic Facility Availability and Influence on Students’ Academic Performance and Enrollment: Moderating and Mediating Effects of Facility Maintenance Author’s Details.</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6">
        <w:r>
          <w:rPr>
            <w:rFonts w:ascii="Times New Roman" w:eastAsia="Times New Roman" w:hAnsi="Times New Roman" w:cs="Times New Roman"/>
            <w:sz w:val="24"/>
            <w:szCs w:val="24"/>
          </w:rPr>
          <w:t>www.researchgate.net/publication/355735022</w:t>
        </w:r>
      </w:hyperlink>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 J. P., Felicilda-Reynaldo, R. F. D., Lam, S. C., &amp; Papathanasiou, I. V. (2021). Clinical learning environment, supervision and nurse teacher scale (CLES+T): Psychometric properties and influence on nursing students’ clinical competence. Nurse Education Today, 104, 104986. </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7">
        <w:r>
          <w:rPr>
            <w:rFonts w:ascii="Times New Roman" w:eastAsia="Times New Roman" w:hAnsi="Times New Roman" w:cs="Times New Roman"/>
            <w:sz w:val="24"/>
            <w:szCs w:val="24"/>
          </w:rPr>
          <w:t>https://doi.org/10.1016/j.nedt.2021.104986</w:t>
        </w:r>
      </w:hyperlink>
    </w:p>
    <w:p w:rsidR="00131034" w:rsidRDefault="00131034">
      <w:pPr>
        <w:spacing w:line="240" w:lineRule="auto"/>
        <w:jc w:val="both"/>
        <w:rPr>
          <w:rFonts w:ascii="Times New Roman" w:eastAsia="Times New Roman" w:hAnsi="Times New Roman" w:cs="Times New Roman"/>
          <w:color w:val="1C1D1E"/>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Doremus, Wendy A. n.d. “Supervision and Evaluation of the School Nurse. Position Statement.Revised.” https://eric.ed.gov/?q=real+world+practice+on+academic+and+clinical+performance+of+nursing+students+in+iloilo+doctors+college</w:t>
      </w:r>
      <w:r>
        <w:rPr>
          <w:rFonts w:ascii="Times New Roman" w:eastAsia="Times New Roman" w:hAnsi="Times New Roman" w:cs="Times New Roman"/>
          <w:sz w:val="24"/>
          <w:szCs w:val="24"/>
          <w:highlight w:val="white"/>
        </w:rPr>
        <w:br/>
      </w: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Evaluating undergraduate nursing education and professional competencies of students: challenges encountered — Yildirim et al. (2025)</w:t>
      </w:r>
      <w:hyperlink r:id="rId18">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BioMed Central</w:t>
      </w:r>
      <w:hyperlink r:id="rId19">
        <w:r>
          <w:rPr>
            <w:rFonts w:ascii="Times New Roman" w:eastAsia="Times New Roman" w:hAnsi="Times New Roman" w:cs="Times New Roman"/>
            <w:sz w:val="24"/>
            <w:szCs w:val="24"/>
            <w:highlight w:val="white"/>
            <w:u w:val="single"/>
          </w:rPr>
          <w:br/>
        </w:r>
      </w:hyperlink>
      <w:r>
        <w:rPr>
          <w:rFonts w:ascii="Times New Roman" w:eastAsia="Times New Roman" w:hAnsi="Times New Roman" w:cs="Times New Roman"/>
          <w:sz w:val="24"/>
          <w:szCs w:val="24"/>
          <w:highlight w:val="white"/>
        </w:rPr>
        <w:t xml:space="preserve">https://bmcnurs.biomedcentral.com/articles/10.1186/s12912-025-03358-5 </w:t>
      </w:r>
    </w:p>
    <w:p w:rsidR="00131034" w:rsidRDefault="00131034">
      <w:pPr>
        <w:spacing w:line="240" w:lineRule="auto"/>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Fernández-García, David, et al. “What Academic Factors Influence Satisfaction with Clinical Practice in Nursing Students? Regressions vs. FSQCA.</w:t>
      </w:r>
      <w:r>
        <w:rPr>
          <w:rFonts w:ascii="Times New Roman" w:eastAsia="Times New Roman" w:hAnsi="Times New Roman" w:cs="Times New Roman"/>
          <w:sz w:val="24"/>
          <w:szCs w:val="24"/>
        </w:rPr>
        <w:br/>
        <w:t>https://doi.org/10.3389/fpsyg.2020.585826.</w:t>
      </w:r>
      <w:r>
        <w:rPr>
          <w:rFonts w:ascii="Times New Roman" w:eastAsia="Times New Roman" w:hAnsi="Times New Roman" w:cs="Times New Roman"/>
          <w:sz w:val="24"/>
          <w:szCs w:val="24"/>
        </w:rPr>
        <w:br/>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Fraser, S. W., &amp; Greenhalgh, T. (2001). Coping with complexity: Educating for capability. BMJ, 323(7316), 799–803. </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0">
        <w:r>
          <w:rPr>
            <w:rFonts w:ascii="Times New Roman" w:eastAsia="Times New Roman" w:hAnsi="Times New Roman" w:cs="Times New Roman"/>
            <w:sz w:val="24"/>
            <w:szCs w:val="24"/>
          </w:rPr>
          <w:t>https://doi.org/10.1136/bmj.323.7316.799</w:t>
        </w:r>
      </w:hyperlink>
    </w:p>
    <w:p w:rsidR="00131034" w:rsidRDefault="00131034">
      <w:pPr>
        <w:spacing w:line="240" w:lineRule="auto"/>
        <w:ind w:left="720"/>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L. M. (2023). Collaborative partnerships in nursing education: A mixed-methods study. </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1">
        <w:r>
          <w:rPr>
            <w:rFonts w:ascii="Times New Roman" w:eastAsia="Times New Roman" w:hAnsi="Times New Roman" w:cs="Times New Roman"/>
            <w:sz w:val="24"/>
            <w:szCs w:val="24"/>
            <w:u w:val="single"/>
          </w:rPr>
          <w:t>https://doi.org/10.1097/NNE.0000000000001254</w:t>
        </w:r>
      </w:hyperlink>
    </w:p>
    <w:p w:rsidR="00131034" w:rsidRDefault="00131034">
      <w:pPr>
        <w:spacing w:line="240" w:lineRule="auto"/>
        <w:ind w:left="720" w:hanging="720"/>
        <w:jc w:val="both"/>
        <w:rPr>
          <w:rFonts w:ascii="Times New Roman" w:eastAsia="Times New Roman" w:hAnsi="Times New Roman" w:cs="Times New Roman"/>
          <w:sz w:val="24"/>
          <w:szCs w:val="24"/>
        </w:rPr>
      </w:pPr>
    </w:p>
    <w:p w:rsidR="00131034" w:rsidRDefault="009E3975">
      <w:pPr>
        <w:spacing w:before="240"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Hakim, A., Heydari, A., Rahmani, A., &amp; Hosseini, F. (2023). Investigating the challenges of clinical education from the viewpoint of nursing educators and students </w:t>
      </w:r>
      <w:hyperlink r:id="rId22">
        <w:r>
          <w:rPr>
            <w:rFonts w:ascii="Times New Roman" w:eastAsia="Times New Roman" w:hAnsi="Times New Roman" w:cs="Times New Roman"/>
            <w:sz w:val="24"/>
            <w:szCs w:val="24"/>
          </w:rPr>
          <w:t>https://pmc.ncbi.nlm.nih.gov/articles/PMC9905028/</w:t>
        </w:r>
      </w:hyperlink>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Hasanah, O., Haryati, R. T. S., Wanda, D., Agustini, N., &amp; Masfuri, M. (2024). Readiness of nursing students for clinical practice: a literature review. </w:t>
      </w:r>
      <w:r>
        <w:rPr>
          <w:rFonts w:ascii="Times New Roman" w:eastAsia="Times New Roman" w:hAnsi="Times New Roman" w:cs="Times New Roman"/>
          <w:i/>
          <w:iCs/>
          <w:sz w:val="24"/>
          <w:szCs w:val="24"/>
        </w:rPr>
        <w:t>Healthcare in Low-</w:t>
      </w:r>
      <w:r>
        <w:rPr>
          <w:rFonts w:ascii="Times New Roman" w:eastAsia="Times New Roman" w:hAnsi="Times New Roman" w:cs="Times New Roman"/>
          <w:i/>
          <w:iCs/>
          <w:sz w:val="24"/>
          <w:szCs w:val="24"/>
        </w:rPr>
        <w:lastRenderedPageBreak/>
        <w:t>resource Settings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https://doi.org/10.4081/hls.2024.13014</w:t>
      </w:r>
    </w:p>
    <w:p w:rsidR="00131034" w:rsidRDefault="009E3975">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Jairah Kaye Angue, Barrieta, E. P., Brar, J. K., Dimayuga, B. S. A., Marie, M., Grecelyn, J., John, J., Guevarra, C. F., Reyes, J. G., Arreglo, E. M., Grageda, F. B., Ann, M., Abendanio, E. M., &amp; Kurt, C. (2025). Identifying Gaps Between Theory and Clinical Practice Among Fourth-Year Nursing Students for Skill Enhancement. Celebes Nursing Journal., 2(1), 1–20. </w:t>
      </w:r>
      <w:r>
        <w:rPr>
          <w:rFonts w:ascii="Times New Roman" w:eastAsia="Times New Roman" w:hAnsi="Times New Roman" w:cs="Times New Roman"/>
          <w:sz w:val="24"/>
          <w:szCs w:val="24"/>
        </w:rPr>
        <w:br/>
      </w:r>
      <w:hyperlink r:id="rId23">
        <w:r>
          <w:rPr>
            <w:rFonts w:ascii="Times New Roman" w:eastAsia="Times New Roman" w:hAnsi="Times New Roman" w:cs="Times New Roman"/>
            <w:sz w:val="24"/>
            <w:szCs w:val="24"/>
          </w:rPr>
          <w:t>https://doi.org/10.70848/cnj.v2i1.17</w:t>
        </w:r>
      </w:hyperlink>
    </w:p>
    <w:p w:rsidR="00131034" w:rsidRDefault="009E3975">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P. Q., et al. (2025). Future directions in nursing education: Integrating technology and interprofessional collaboration. </w:t>
      </w:r>
      <w:r>
        <w:rPr>
          <w:rFonts w:ascii="Times New Roman" w:eastAsia="Times New Roman" w:hAnsi="Times New Roman" w:cs="Times New Roman"/>
          <w:sz w:val="24"/>
          <w:szCs w:val="24"/>
        </w:rPr>
        <w:br/>
        <w:t>https://doi.org/10.1016/j.profnurs.2024.08.009</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Kreger, Alison. n.d. “Influence of International Service-Learning on DPT Student ProfessionalBehaviorDevelopment  https://eric.ed.gov/?q=real+world+practice+on+academic+and+clinical+performance+of+nursing+students+in+iloilo+doctors+college</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resources in clinical facilities: Experiences of nursing students during placements Mafumo &amp; Maputle (2025)</w:t>
      </w:r>
      <w:hyperlink r:id="rId24">
        <w:r>
          <w:rPr>
            <w:rFonts w:ascii="Times New Roman" w:eastAsia="Times New Roman" w:hAnsi="Times New Roman" w:cs="Times New Roman"/>
            <w:b/>
            <w:bCs/>
            <w:sz w:val="24"/>
            <w:szCs w:val="24"/>
          </w:rPr>
          <w:t xml:space="preserve"> </w:t>
        </w:r>
      </w:hyperlink>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https://pmc.ncbi.nlm.nih.gov/articles/PMC12135119/</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Mafumo, J. L., &amp; Maputle, M. S. (2025). Limited resources in clinical facilities: Experiences of nursing students during placements. Curationis, 48(1), e1–e8. </w:t>
      </w:r>
      <w:hyperlink r:id="rId25">
        <w:r>
          <w:rPr>
            <w:rFonts w:ascii="Times New Roman" w:eastAsia="Times New Roman" w:hAnsi="Times New Roman" w:cs="Times New Roman"/>
            <w:sz w:val="24"/>
            <w:szCs w:val="24"/>
          </w:rPr>
          <w:t>https://doi.org/10.4102/curationis.v48i1.2732</w:t>
        </w:r>
      </w:hyperlink>
      <w:r>
        <w:rPr>
          <w:rFonts w:ascii="Times New Roman" w:eastAsia="Times New Roman" w:hAnsi="Times New Roman" w:cs="Times New Roman"/>
          <w:sz w:val="24"/>
          <w:szCs w:val="24"/>
        </w:rPr>
        <w:br/>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E. F., Wilson, G. H., &amp; Brown, I. J. (2022). Modernizing clinical simulation: Impact on nursing students’ skill acquisition. </w:t>
      </w:r>
      <w:r>
        <w:rPr>
          <w:rFonts w:ascii="Times New Roman" w:eastAsia="Times New Roman" w:hAnsi="Times New Roman" w:cs="Times New Roman"/>
          <w:sz w:val="24"/>
          <w:szCs w:val="24"/>
        </w:rPr>
        <w:br/>
        <w:t>https://doi.org/10.1016/j.ecns.2021.11.005</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Mukan, Kulai, and Nor n.d. “Nursing Students’ Perceived Effective Clinical Teachers’ Behaviors.” https://eric.ed.gov/?q=real+world+practice+on+academic+and+clinical+performance+of+nursing+students+in+iloilo+doctors+college</w:t>
      </w:r>
    </w:p>
    <w:p w:rsidR="00131034" w:rsidRDefault="00131034">
      <w:pPr>
        <w:spacing w:line="240" w:lineRule="auto"/>
        <w:jc w:val="both"/>
        <w:rPr>
          <w:rFonts w:ascii="Times New Roman" w:eastAsia="Times New Roman" w:hAnsi="Times New Roman" w:cs="Times New Roman"/>
          <w:sz w:val="24"/>
          <w:szCs w:val="24"/>
          <w:u w:val="single"/>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Munna, Afzal Sayed, and Md Abul Kalam. “Teaching and Learning Process to Enhance Teaching Effectiveness: Literature Review.” </w:t>
      </w:r>
      <w:r>
        <w:rPr>
          <w:rFonts w:ascii="Times New Roman" w:eastAsia="Times New Roman" w:hAnsi="Times New Roman" w:cs="Times New Roman"/>
          <w:i/>
          <w:iCs/>
          <w:sz w:val="24"/>
          <w:szCs w:val="24"/>
        </w:rPr>
        <w:t>International Journal of Humanities andInnovation</w:t>
      </w:r>
      <w:r>
        <w:rPr>
          <w:rFonts w:ascii="Times New Roman" w:eastAsia="Times New Roman" w:hAnsi="Times New Roman" w:cs="Times New Roman"/>
          <w:sz w:val="24"/>
          <w:szCs w:val="24"/>
        </w:rPr>
        <w:t>www.humanistudies.com/ijhi/article/view/102, https://doi.org/10.33750/ijhi.v4i1.102.</w:t>
      </w:r>
      <w:r>
        <w:rPr>
          <w:rFonts w:ascii="Times New Roman" w:eastAsia="Times New Roman" w:hAnsi="Times New Roman" w:cs="Times New Roman"/>
          <w:sz w:val="24"/>
          <w:szCs w:val="24"/>
        </w:rPr>
        <w:br/>
      </w:r>
    </w:p>
    <w:p w:rsidR="00131034" w:rsidRDefault="009E3975">
      <w:pPr>
        <w:spacing w:line="240" w:lineRule="auto"/>
        <w:ind w:left="720" w:hanging="720"/>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highlight w:val="white"/>
        </w:rPr>
        <w:t xml:space="preserve">Nachinab, Gilbert Ti-Enkawol, and Susan Jennifer Armstrong. 2022. “Unveiling Clinical Nursing Education Can Be Improved in Northern Ghana: The Perspectives of Key Informants.” </w:t>
      </w:r>
      <w:r>
        <w:rPr>
          <w:rFonts w:ascii="Times New Roman" w:eastAsia="Times New Roman" w:hAnsi="Times New Roman" w:cs="Times New Roman"/>
          <w:i/>
          <w:iCs/>
          <w:sz w:val="24"/>
          <w:szCs w:val="24"/>
          <w:highlight w:val="white"/>
        </w:rPr>
        <w:t>SAGE Open Nursing 8 (January)</w:t>
      </w: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https://doi.org/10.1177/23779608221097162.</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Nursing students’ patient safety competencies in the classroom and clinical settings: a cross-sectional study — Farokhzadian et al. (2024)</w:t>
      </w:r>
      <w:hyperlink r:id="rId26">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BioMed Central</w:t>
      </w:r>
      <w:hyperlink r:id="rId27">
        <w:r>
          <w:rPr>
            <w:rFonts w:ascii="Times New Roman" w:eastAsia="Times New Roman" w:hAnsi="Times New Roman" w:cs="Times New Roman"/>
            <w:b/>
            <w:bCs/>
            <w:color w:val="1155CC"/>
            <w:sz w:val="24"/>
            <w:szCs w:val="24"/>
            <w:u w:val="single"/>
          </w:rPr>
          <w:br/>
        </w:r>
      </w:hyperlink>
      <w:r>
        <w:rPr>
          <w:rFonts w:ascii="Times New Roman" w:eastAsia="Times New Roman" w:hAnsi="Times New Roman" w:cs="Times New Roman"/>
          <w:sz w:val="24"/>
          <w:szCs w:val="24"/>
        </w:rPr>
        <w:t xml:space="preserve">https://bmcnurs.biomedcentral.com/articles/10.1186/s12912-024-01708-3 </w:t>
      </w:r>
    </w:p>
    <w:p w:rsidR="00131034" w:rsidRDefault="00131034">
      <w:pPr>
        <w:spacing w:line="240" w:lineRule="auto"/>
        <w:ind w:left="720"/>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Papcunová, V., Dvořák, M., Vavrek, R., Mižičková, J., Harasimová, P., Víchová, M., &amp; Váňa, T. (2023). Availability and Quality of School Facilities as a Determinant of Local Economic Development: The Slovak Experience. </w:t>
      </w:r>
      <w:r>
        <w:rPr>
          <w:rFonts w:ascii="Times New Roman" w:eastAsia="Times New Roman" w:hAnsi="Times New Roman" w:cs="Times New Roman"/>
          <w:i/>
          <w:iCs/>
          <w:sz w:val="24"/>
          <w:szCs w:val="24"/>
        </w:rPr>
        <w:t>Economies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(2), 35. https://doi.org/10.3390/economies11020035</w:t>
      </w:r>
    </w:p>
    <w:p w:rsidR="00131034" w:rsidRDefault="00131034">
      <w:pPr>
        <w:spacing w:line="240" w:lineRule="auto"/>
        <w:jc w:val="both"/>
        <w:rPr>
          <w:rFonts w:ascii="Times New Roman" w:eastAsia="Times New Roman" w:hAnsi="Times New Roman" w:cs="Times New Roman"/>
          <w:sz w:val="24"/>
          <w:szCs w:val="24"/>
        </w:rPr>
      </w:pPr>
    </w:p>
    <w:p w:rsidR="00131034" w:rsidRDefault="009E3975">
      <w:pPr>
        <w:spacing w:line="240" w:lineRule="auto"/>
        <w:ind w:left="720" w:hanging="720"/>
        <w:jc w:val="both"/>
        <w:rPr>
          <w:rFonts w:ascii="Times New Roman" w:eastAsia="Times New Roman" w:hAnsi="Times New Roman" w:cs="Times New Roman"/>
          <w:color w:val="1C1D1E"/>
          <w:sz w:val="24"/>
          <w:szCs w:val="24"/>
        </w:rPr>
      </w:pPr>
      <w:r>
        <w:rPr>
          <w:rFonts w:ascii="Times New Roman" w:eastAsia="Times New Roman" w:hAnsi="Times New Roman" w:cs="Times New Roman"/>
          <w:color w:val="1C1D1E"/>
          <w:sz w:val="24"/>
          <w:szCs w:val="24"/>
        </w:rPr>
        <w:t xml:space="preserve">Salvador, M. J., Reyes, A. P., &amp; Dela Cruz, L. (2021). Academic preparedness, institutional support, and performance outcomes of nursing students in clinical practice. Asian Nursing Research, 15(4), 213–220. </w:t>
      </w:r>
    </w:p>
    <w:p w:rsidR="00131034" w:rsidRDefault="00131034">
      <w:pPr>
        <w:spacing w:line="240" w:lineRule="auto"/>
        <w:jc w:val="both"/>
        <w:rPr>
          <w:rFonts w:ascii="Times New Roman" w:eastAsia="Times New Roman" w:hAnsi="Times New Roman" w:cs="Times New Roman"/>
          <w:color w:val="1C1D1E"/>
          <w:sz w:val="24"/>
          <w:szCs w:val="24"/>
        </w:rPr>
      </w:pPr>
    </w:p>
    <w:p w:rsidR="00131034" w:rsidRDefault="009E3975">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Søvik, Margrethe Bakstad, and Kari Røykenes. n.d. “Engaging With Practice: Information Literacy Instruction as a Part of Developing Reflective Thinking and Clinical Judgement in Nursing Studies”</w:t>
      </w:r>
      <w:r>
        <w:rPr>
          <w:rFonts w:ascii="Times New Roman" w:eastAsia="Times New Roman" w:hAnsi="Times New Roman" w:cs="Times New Roman"/>
          <w:sz w:val="24"/>
          <w:szCs w:val="24"/>
          <w:highlight w:val="white"/>
        </w:rPr>
        <w:tab/>
        <w:t>https</w:t>
      </w:r>
      <w:hyperlink r:id="rId28">
        <w:r>
          <w:rPr>
            <w:rFonts w:ascii="Times New Roman" w:eastAsia="Times New Roman" w:hAnsi="Times New Roman" w:cs="Times New Roman"/>
            <w:sz w:val="24"/>
            <w:szCs w:val="24"/>
            <w:highlight w:val="white"/>
          </w:rPr>
          <w:t>://eric.ed.gov/?q=real+world+practice+on+academic+and+clinical+performance+of+nursing+students+in+iloilo+doctors+college</w:t>
        </w:r>
      </w:hyperlink>
    </w:p>
    <w:p w:rsidR="00131034" w:rsidRDefault="00131034">
      <w:pPr>
        <w:spacing w:line="240" w:lineRule="auto"/>
        <w:ind w:left="720"/>
        <w:jc w:val="both"/>
        <w:rPr>
          <w:rFonts w:ascii="Times New Roman" w:eastAsia="Times New Roman" w:hAnsi="Times New Roman" w:cs="Times New Roman"/>
          <w:sz w:val="24"/>
          <w:szCs w:val="24"/>
          <w:highlight w:val="white"/>
        </w:rPr>
      </w:pPr>
    </w:p>
    <w:p w:rsidR="00131034" w:rsidRDefault="009E3975">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J., Liu, Y., &amp; Wang, Q. (2022). The clinical learning environment, supervision, and future intention to work as a nurse in nursing students: A cross-sectional study.BMCMedicalEducation,22(1),450. https://bmcmededuc.biomedcentral.com/articles/10.1186/s12909-022-03609-y</w:t>
      </w:r>
    </w:p>
    <w:p w:rsidR="00131034" w:rsidRDefault="00131034">
      <w:pPr>
        <w:jc w:val="center"/>
        <w:rPr>
          <w:rFonts w:ascii="Times New Roman" w:eastAsia="Times New Roman" w:hAnsi="Times New Roman" w:cs="Times New Roman"/>
          <w:b/>
          <w:bCs/>
          <w:sz w:val="24"/>
          <w:szCs w:val="24"/>
        </w:rPr>
      </w:pPr>
    </w:p>
    <w:p w:rsidR="00131034" w:rsidRDefault="00131034">
      <w:pPr>
        <w:jc w:val="center"/>
        <w:rPr>
          <w:rFonts w:ascii="Times New Roman" w:eastAsia="Times New Roman" w:hAnsi="Times New Roman" w:cs="Times New Roman"/>
          <w:b/>
          <w:bCs/>
          <w:sz w:val="24"/>
          <w:szCs w:val="24"/>
        </w:rPr>
      </w:pPr>
    </w:p>
    <w:p w:rsidR="00131034" w:rsidRDefault="00131034">
      <w:pPr>
        <w:jc w:val="center"/>
        <w:rPr>
          <w:rFonts w:ascii="Times New Roman" w:eastAsia="Times New Roman" w:hAnsi="Times New Roman" w:cs="Times New Roman"/>
          <w:b/>
          <w:bCs/>
          <w:sz w:val="24"/>
          <w:szCs w:val="24"/>
        </w:rPr>
      </w:pPr>
    </w:p>
    <w:p w:rsidR="00131034" w:rsidRDefault="00131034">
      <w:pPr>
        <w:spacing w:line="240" w:lineRule="auto"/>
        <w:jc w:val="center"/>
        <w:rPr>
          <w:rFonts w:ascii="Times New Roman" w:eastAsia="Times New Roman" w:hAnsi="Times New Roman" w:cs="Times New Roman"/>
          <w:b/>
          <w:bCs/>
          <w:sz w:val="24"/>
          <w:szCs w:val="24"/>
        </w:rPr>
      </w:pPr>
    </w:p>
    <w:p w:rsidR="00131034" w:rsidRDefault="00131034">
      <w:pPr>
        <w:spacing w:line="240" w:lineRule="auto"/>
        <w:jc w:val="center"/>
        <w:rPr>
          <w:rFonts w:ascii="Times New Roman" w:eastAsia="Times New Roman" w:hAnsi="Times New Roman" w:cs="Times New Roman"/>
          <w:b/>
          <w:bCs/>
          <w:sz w:val="24"/>
          <w:szCs w:val="24"/>
        </w:rPr>
      </w:pPr>
    </w:p>
    <w:p w:rsidR="00131034" w:rsidRDefault="00131034">
      <w:pPr>
        <w:spacing w:line="240" w:lineRule="auto"/>
        <w:jc w:val="center"/>
        <w:rPr>
          <w:rFonts w:ascii="Times New Roman" w:eastAsia="Times New Roman" w:hAnsi="Times New Roman" w:cs="Times New Roman"/>
          <w:b/>
          <w:bCs/>
          <w:sz w:val="24"/>
          <w:szCs w:val="24"/>
        </w:rPr>
      </w:pPr>
    </w:p>
    <w:p w:rsidR="00131034" w:rsidRDefault="00131034">
      <w:pPr>
        <w:spacing w:line="240" w:lineRule="auto"/>
        <w:jc w:val="center"/>
        <w:rPr>
          <w:rFonts w:ascii="Times New Roman" w:eastAsia="Times New Roman" w:hAnsi="Times New Roman" w:cs="Times New Roman"/>
          <w:b/>
          <w:bCs/>
          <w:sz w:val="24"/>
          <w:szCs w:val="24"/>
        </w:rPr>
      </w:pPr>
    </w:p>
    <w:p w:rsidR="00131034" w:rsidRDefault="00131034">
      <w:pPr>
        <w:spacing w:line="480" w:lineRule="auto"/>
        <w:jc w:val="center"/>
        <w:rPr>
          <w:rFonts w:ascii="Times New Roman" w:eastAsia="Times New Roman" w:hAnsi="Times New Roman" w:cs="Times New Roman"/>
          <w:b/>
          <w:bCs/>
          <w:sz w:val="24"/>
          <w:szCs w:val="24"/>
        </w:rPr>
      </w:pPr>
    </w:p>
    <w:p w:rsidR="00131034" w:rsidRDefault="00131034">
      <w:pPr>
        <w:spacing w:line="480" w:lineRule="auto"/>
        <w:jc w:val="center"/>
        <w:rPr>
          <w:rFonts w:ascii="Times New Roman" w:eastAsia="Times New Roman" w:hAnsi="Times New Roman" w:cs="Times New Roman"/>
          <w:b/>
          <w:bCs/>
          <w:sz w:val="24"/>
          <w:szCs w:val="24"/>
        </w:rPr>
      </w:pPr>
    </w:p>
    <w:p w:rsidR="00131034" w:rsidRDefault="00131034">
      <w:pPr>
        <w:spacing w:line="480" w:lineRule="auto"/>
        <w:jc w:val="center"/>
        <w:rPr>
          <w:rFonts w:ascii="Times New Roman" w:eastAsia="Times New Roman" w:hAnsi="Times New Roman" w:cs="Times New Roman"/>
          <w:b/>
          <w:bCs/>
          <w:sz w:val="24"/>
          <w:szCs w:val="24"/>
        </w:rPr>
      </w:pPr>
    </w:p>
    <w:p w:rsidR="00131034" w:rsidRDefault="00131034">
      <w:pPr>
        <w:spacing w:line="480" w:lineRule="auto"/>
        <w:jc w:val="center"/>
        <w:rPr>
          <w:rFonts w:ascii="Times New Roman" w:eastAsia="Times New Roman" w:hAnsi="Times New Roman" w:cs="Times New Roman"/>
          <w:b/>
          <w:bCs/>
          <w:sz w:val="24"/>
          <w:szCs w:val="24"/>
        </w:rPr>
      </w:pPr>
    </w:p>
    <w:p w:rsidR="00131034" w:rsidRDefault="00131034">
      <w:pPr>
        <w:spacing w:line="240" w:lineRule="auto"/>
        <w:jc w:val="center"/>
        <w:rPr>
          <w:rFonts w:ascii="Times New Roman" w:eastAsia="Times New Roman" w:hAnsi="Times New Roman" w:cs="Times New Roman"/>
          <w:b/>
          <w:bCs/>
          <w:sz w:val="24"/>
          <w:szCs w:val="24"/>
        </w:rPr>
      </w:pPr>
    </w:p>
    <w:sectPr w:rsidR="00131034">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216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BAD" w:rsidRDefault="004A5BAD">
      <w:pPr>
        <w:spacing w:line="240" w:lineRule="auto"/>
      </w:pPr>
      <w:r>
        <w:separator/>
      </w:r>
    </w:p>
  </w:endnote>
  <w:endnote w:type="continuationSeparator" w:id="0">
    <w:p w:rsidR="004A5BAD" w:rsidRDefault="004A5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12047011-1277-41B3-AFA8-C983E1FCD052}"/>
  </w:font>
  <w:font w:name="Calibri">
    <w:panose1 w:val="020F0502020204030204"/>
    <w:charset w:val="00"/>
    <w:family w:val="swiss"/>
    <w:pitch w:val="variable"/>
    <w:sig w:usb0="E4002EFF" w:usb1="C000247B" w:usb2="00000009" w:usb3="00000000" w:csb0="000001FF" w:csb1="00000000"/>
    <w:embedRegular r:id="rId2" w:fontKey="{83737F91-0ACE-4915-8CE4-582DBAA9C219}"/>
  </w:font>
  <w:font w:name="Cambria">
    <w:panose1 w:val="02040503050406030204"/>
    <w:charset w:val="00"/>
    <w:family w:val="roman"/>
    <w:pitch w:val="variable"/>
    <w:sig w:usb0="E00006FF" w:usb1="420024FF" w:usb2="02000000" w:usb3="00000000" w:csb0="0000019F" w:csb1="00000000"/>
    <w:embedRegular r:id="rId3" w:fontKey="{834F6ABE-6B17-47E9-9F96-B8F7AEF0C0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13103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13103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1310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BAD" w:rsidRDefault="004A5BAD">
      <w:pPr>
        <w:spacing w:line="240" w:lineRule="auto"/>
      </w:pPr>
      <w:r>
        <w:separator/>
      </w:r>
    </w:p>
  </w:footnote>
  <w:footnote w:type="continuationSeparator" w:id="0">
    <w:p w:rsidR="004A5BAD" w:rsidRDefault="004A5B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4A5BAD">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7.25pt;height:61.7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4A5BAD">
    <w:pPr>
      <w:pBdr>
        <w:top w:val="nil"/>
        <w:left w:val="nil"/>
        <w:bottom w:val="nil"/>
        <w:right w:val="nil"/>
        <w:between w:val="nil"/>
      </w:pBdr>
      <w:tabs>
        <w:tab w:val="center" w:pos="4680"/>
        <w:tab w:val="right" w:pos="9360"/>
      </w:tabs>
      <w:spacing w:line="240" w:lineRule="auto"/>
      <w:jc w:val="right"/>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47.25pt;height:61.7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sidR="009E3975">
      <w:rPr>
        <w:color w:val="000000"/>
      </w:rPr>
      <w:fldChar w:fldCharType="begin"/>
    </w:r>
    <w:r w:rsidR="009E3975">
      <w:rPr>
        <w:color w:val="000000"/>
      </w:rPr>
      <w:instrText>PAGE</w:instrText>
    </w:r>
    <w:r w:rsidR="009E3975">
      <w:rPr>
        <w:color w:val="000000"/>
      </w:rPr>
      <w:fldChar w:fldCharType="separate"/>
    </w:r>
    <w:r w:rsidR="007B5D1A">
      <w:rPr>
        <w:noProof/>
        <w:color w:val="000000"/>
      </w:rPr>
      <w:t>36</w:t>
    </w:r>
    <w:r w:rsidR="009E3975">
      <w:rPr>
        <w:color w:val="000000"/>
      </w:rPr>
      <w:fldChar w:fldCharType="end"/>
    </w:r>
  </w:p>
  <w:p w:rsidR="00131034" w:rsidRDefault="00131034">
    <w:pPr>
      <w:ind w:left="549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34" w:rsidRDefault="004A5BAD">
    <w:pPr>
      <w:pBdr>
        <w:top w:val="nil"/>
        <w:left w:val="nil"/>
        <w:bottom w:val="nil"/>
        <w:right w:val="nil"/>
        <w:between w:val="nil"/>
      </w:pBdr>
      <w:tabs>
        <w:tab w:val="center" w:pos="4680"/>
        <w:tab w:val="right" w:pos="9360"/>
      </w:tabs>
      <w:spacing w:line="240" w:lineRule="auto"/>
      <w:jc w:val="right"/>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47.25pt;height:61.7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sidR="009E3975">
      <w:rPr>
        <w:color w:val="000000"/>
      </w:rPr>
      <w:fldChar w:fldCharType="begin"/>
    </w:r>
    <w:r w:rsidR="009E3975">
      <w:rPr>
        <w:color w:val="000000"/>
      </w:rPr>
      <w:instrText>PAGE</w:instrText>
    </w:r>
    <w:r w:rsidR="009E3975">
      <w:rPr>
        <w:color w:val="000000"/>
      </w:rPr>
      <w:fldChar w:fldCharType="separate"/>
    </w:r>
    <w:r w:rsidR="00BB67BE">
      <w:rPr>
        <w:noProof/>
        <w:color w:val="000000"/>
      </w:rPr>
      <w:t>1</w:t>
    </w:r>
    <w:r w:rsidR="009E3975">
      <w:rPr>
        <w:color w:val="000000"/>
      </w:rPr>
      <w:fldChar w:fldCharType="end"/>
    </w:r>
  </w:p>
  <w:p w:rsidR="00131034" w:rsidRDefault="0013103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9159F"/>
    <w:multiLevelType w:val="multilevel"/>
    <w:tmpl w:val="68562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2A1FB9"/>
    <w:multiLevelType w:val="multilevel"/>
    <w:tmpl w:val="62360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B57027"/>
    <w:multiLevelType w:val="multilevel"/>
    <w:tmpl w:val="ADFC3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F801A85"/>
    <w:multiLevelType w:val="multilevel"/>
    <w:tmpl w:val="34B45C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3MzUwNTEzN7Q0MTVX0lEKTi0uzszPAykwrAUA2jqvhSwAAAA="/>
  </w:docVars>
  <w:rsids>
    <w:rsidRoot w:val="00131034"/>
    <w:rsid w:val="000523D3"/>
    <w:rsid w:val="00082778"/>
    <w:rsid w:val="00131034"/>
    <w:rsid w:val="001E616D"/>
    <w:rsid w:val="001F19C4"/>
    <w:rsid w:val="00221FBE"/>
    <w:rsid w:val="00234EA1"/>
    <w:rsid w:val="003A53A6"/>
    <w:rsid w:val="004A5BAD"/>
    <w:rsid w:val="004D5EBB"/>
    <w:rsid w:val="00581C2F"/>
    <w:rsid w:val="006757CA"/>
    <w:rsid w:val="007414F4"/>
    <w:rsid w:val="007B5D1A"/>
    <w:rsid w:val="008D0612"/>
    <w:rsid w:val="009E3975"/>
    <w:rsid w:val="00A41F8F"/>
    <w:rsid w:val="00A87E58"/>
    <w:rsid w:val="00AA09B9"/>
    <w:rsid w:val="00B05AF0"/>
    <w:rsid w:val="00BB67BE"/>
    <w:rsid w:val="00C00344"/>
    <w:rsid w:val="00DF691C"/>
    <w:rsid w:val="00E1411A"/>
    <w:rsid w:val="00EA48CC"/>
    <w:rsid w:val="00EA6A16"/>
    <w:rsid w:val="00EB0F37"/>
    <w:rsid w:val="00EC2B4D"/>
    <w:rsid w:val="00EE4233"/>
    <w:rsid w:val="00F202F5"/>
    <w:rsid w:val="00F2284A"/>
    <w:rsid w:val="00FF0A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7A8B9C"/>
  <w15:docId w15:val="{ECE9A847-3CA7-4BEA-BB8F-05CC618C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Normal"/>
    <w:qFormat/>
    <w:tblPr>
      <w:tblCellMar>
        <w:top w:w="100" w:type="dxa"/>
        <w:left w:w="100" w:type="dxa"/>
        <w:bottom w:w="100" w:type="dxa"/>
        <w:right w:w="100" w:type="dxa"/>
      </w:tblCellMar>
    </w:tblPr>
  </w:style>
  <w:style w:type="table" w:customStyle="1" w:styleId="Style12">
    <w:name w:val="_Style 12"/>
    <w:basedOn w:val="TableNormal2"/>
    <w:qFormat/>
    <w:tblPr/>
  </w:style>
  <w:style w:type="table" w:customStyle="1" w:styleId="Style13">
    <w:name w:val="_Style 13"/>
    <w:basedOn w:val="TableNormal2"/>
    <w:qFormat/>
    <w:tblPr/>
  </w:style>
  <w:style w:type="table" w:customStyle="1" w:styleId="Style14">
    <w:name w:val="_Style 14"/>
    <w:basedOn w:val="TableNormal2"/>
    <w:qFormat/>
    <w:tblPr/>
  </w:style>
  <w:style w:type="table" w:customStyle="1" w:styleId="Style15">
    <w:name w:val="_Style 15"/>
    <w:basedOn w:val="TableNormal2"/>
    <w:qFormat/>
    <w:tblPr/>
  </w:style>
  <w:style w:type="table" w:customStyle="1" w:styleId="Style16">
    <w:name w:val="_Style 16"/>
    <w:basedOn w:val="TableNormal2"/>
    <w:qFormat/>
    <w:tblPr/>
  </w:style>
  <w:style w:type="table" w:customStyle="1" w:styleId="Style17">
    <w:name w:val="_Style 17"/>
    <w:basedOn w:val="TableNormal2"/>
    <w:qFormat/>
    <w:tblPr>
      <w:tblCellMar>
        <w:top w:w="15" w:type="dxa"/>
        <w:left w:w="15" w:type="dxa"/>
        <w:bottom w:w="15" w:type="dxa"/>
        <w:right w:w="15" w:type="dxa"/>
      </w:tblCellMar>
    </w:tblPr>
  </w:style>
  <w:style w:type="table" w:customStyle="1" w:styleId="Style18">
    <w:name w:val="_Style 18"/>
    <w:basedOn w:val="TableNormal2"/>
    <w:qFormat/>
    <w:tblPr/>
  </w:style>
  <w:style w:type="table" w:customStyle="1" w:styleId="Style19">
    <w:name w:val="_Style 19"/>
    <w:basedOn w:val="TableNormal2"/>
    <w:qFormat/>
    <w:tblPr/>
  </w:style>
  <w:style w:type="table" w:customStyle="1" w:styleId="Style20">
    <w:name w:val="_Style 20"/>
    <w:basedOn w:val="TableNormal2"/>
    <w:qFormat/>
    <w:tblPr/>
  </w:style>
  <w:style w:type="table" w:customStyle="1" w:styleId="Style21">
    <w:name w:val="_Style 21"/>
    <w:basedOn w:val="TableNormal2"/>
    <w:qFormat/>
    <w:tblPr/>
  </w:style>
  <w:style w:type="table" w:customStyle="1" w:styleId="Style22">
    <w:name w:val="_Style 22"/>
    <w:basedOn w:val="TableNormal2"/>
    <w:qFormat/>
    <w:tblPr/>
  </w:style>
  <w:style w:type="table" w:customStyle="1" w:styleId="Style23">
    <w:name w:val="_Style 23"/>
    <w:basedOn w:val="TableNormal2"/>
    <w:qFormat/>
    <w:tblPr/>
  </w:style>
  <w:style w:type="table" w:customStyle="1" w:styleId="Style24">
    <w:name w:val="_Style 24"/>
    <w:basedOn w:val="TableNormal2"/>
    <w:qFormat/>
    <w:tblPr/>
  </w:style>
  <w:style w:type="table" w:customStyle="1" w:styleId="Style25">
    <w:name w:val="_Style 25"/>
    <w:basedOn w:val="TableNormal2"/>
    <w:qFormat/>
    <w:tblPr/>
  </w:style>
  <w:style w:type="table" w:customStyle="1" w:styleId="Style26">
    <w:name w:val="_Style 26"/>
    <w:basedOn w:val="TableNormal2"/>
    <w:qFormat/>
    <w:tblPr/>
  </w:style>
  <w:style w:type="table" w:customStyle="1" w:styleId="Style27">
    <w:name w:val="_Style 27"/>
    <w:basedOn w:val="TableNormal2"/>
    <w:tblPr/>
  </w:style>
  <w:style w:type="table" w:customStyle="1" w:styleId="Style28">
    <w:name w:val="_Style 28"/>
    <w:basedOn w:val="TableNormal2"/>
    <w:qFormat/>
    <w:tblPr/>
  </w:style>
  <w:style w:type="table" w:customStyle="1" w:styleId="Style29">
    <w:name w:val="_Style 29"/>
    <w:basedOn w:val="TableNormal2"/>
    <w:qFormat/>
    <w:tblPr/>
  </w:style>
  <w:style w:type="table" w:customStyle="1" w:styleId="Style30">
    <w:name w:val="_Style 30"/>
    <w:basedOn w:val="TableNormal2"/>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D843BC"/>
    <w:rPr>
      <w:color w:val="0000FF" w:themeColor="hyperlink"/>
      <w:u w:val="single"/>
    </w:rPr>
  </w:style>
  <w:style w:type="character" w:customStyle="1" w:styleId="UnresolvedMention1">
    <w:name w:val="Unresolved Mention1"/>
    <w:basedOn w:val="DefaultParagraphFont"/>
    <w:uiPriority w:val="99"/>
    <w:semiHidden/>
    <w:unhideWhenUsed/>
    <w:rsid w:val="00D843BC"/>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bmcnurs.biomedcentral.com/articles/10.1186/s12912-022-01065-z" TargetMode="External"/><Relationship Id="rId18" Type="http://schemas.openxmlformats.org/officeDocument/2006/relationships/hyperlink" Target="https://bmcnurs.biomedcentral.com/articles/10.1186/s12912-025-03358-5?utm_source=chatgpt.com" TargetMode="External"/><Relationship Id="rId26" Type="http://schemas.openxmlformats.org/officeDocument/2006/relationships/hyperlink" Target="https://bmcnurs.biomedcentral.com/articles/10.1186/s12912-024-01708-3?utm_source=chatgpt.com" TargetMode="External"/><Relationship Id="rId3" Type="http://schemas.openxmlformats.org/officeDocument/2006/relationships/styles" Target="styles.xml"/><Relationship Id="rId21" Type="http://schemas.openxmlformats.org/officeDocument/2006/relationships/hyperlink" Target="https://doi.org/10.1097/NNE.0000000000001254"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mc.ncbi.nlm.nih.gov/articles/PMC11121458/?utm_source=chatgpt.com" TargetMode="External"/><Relationship Id="rId17" Type="http://schemas.openxmlformats.org/officeDocument/2006/relationships/hyperlink" Target="https://doi.org/10.1016/j.nedt.2021.104986" TargetMode="External"/><Relationship Id="rId25" Type="http://schemas.openxmlformats.org/officeDocument/2006/relationships/hyperlink" Target="https://doi.org/10.4102/curationis.v48i1.2732"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researchgate.net/publication/355735022" TargetMode="External"/><Relationship Id="rId20" Type="http://schemas.openxmlformats.org/officeDocument/2006/relationships/hyperlink" Target="https://doi.org/10.1136/bmj.323.7316.79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ic.ed.gov/?q=real+world+practice+on+academic+and+clinical+performance+of+nursing+students+in+iloilo+doctors+college" TargetMode="External"/><Relationship Id="rId24" Type="http://schemas.openxmlformats.org/officeDocument/2006/relationships/hyperlink" Target="https://pmc.ncbi.nlm.nih.gov/articles/PMC12135119/?utm_source=chatgpt.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928/0148-4834-20020201-06" TargetMode="External"/><Relationship Id="rId23" Type="http://schemas.openxmlformats.org/officeDocument/2006/relationships/hyperlink" Target="https://doi.org/10.70848/cnj.v2i1.17" TargetMode="External"/><Relationship Id="rId28" Type="http://schemas.openxmlformats.org/officeDocument/2006/relationships/hyperlink" Target="https://eric.ed.gov/?q=real+world+practice+on+academic+and+clinical+performance+of+nursing+students+in+iloilo+doctors+college" TargetMode="External"/><Relationship Id="rId36" Type="http://schemas.openxmlformats.org/officeDocument/2006/relationships/theme" Target="theme/theme1.xml"/><Relationship Id="rId10" Type="http://schemas.openxmlformats.org/officeDocument/2006/relationships/hyperlink" Target="https://ijres.net/index.php/ijres/article/view/564" TargetMode="External"/><Relationship Id="rId19" Type="http://schemas.openxmlformats.org/officeDocument/2006/relationships/hyperlink" Target="https://bmcnurs.biomedcentral.com/articles/10.1186/s12912-025-03358-5?utm_source=chatgpt.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mcmededuc.biomedcentral.com/articles/10.1186/s12909-024-06080-z" TargetMode="External"/><Relationship Id="rId14" Type="http://schemas.openxmlformats.org/officeDocument/2006/relationships/hyperlink" Target="https://doi.org/10.1016/j.nedt.2021.104983" TargetMode="External"/><Relationship Id="rId22" Type="http://schemas.openxmlformats.org/officeDocument/2006/relationships/hyperlink" Target="https://pmc.ncbi.nlm.nih.gov/articles/PMC9905028/" TargetMode="External"/><Relationship Id="rId27" Type="http://schemas.openxmlformats.org/officeDocument/2006/relationships/hyperlink" Target="https://bmcnurs.biomedcentral.com/articles/10.1186/s12912-024-01708-3?utm_source=chatgpt.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8FYyQjFa/lwCMah4KFYyx2qg==">CgMxLjAaIwoBMBIeChwIB0IYCg9UaW1lcyBOZXcgUm9tYW4SBUNhcmRvMg5oLnVudm9xcXlpN3NtNjgAciExejJ2SHdfWmNqRjk0T2N2aER4WU5yNGRMWU1PdndoVnM=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39</Pages>
  <Words>9487</Words>
  <Characters>54079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SDI 1089</cp:lastModifiedBy>
  <cp:revision>29</cp:revision>
  <dcterms:created xsi:type="dcterms:W3CDTF">2026-03-23T14:28:00Z</dcterms:created>
  <dcterms:modified xsi:type="dcterms:W3CDTF">2026-04-04T08:44:00Z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4236EE33C26845DD9FBAD8FD457ABF0C_13</vt:lpwstr>
  </property>
  <property fmtid="{D5CDD505-2E9C-101B-9397-08002B2CF9AE}" pid="4" name="GrammarlyDocumentId">
    <vt:lpwstr>96afdc82-cdae-4887-8560-5062c699a7c7</vt:lpwstr>
  </property>
</Properties>
</file>