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C7D" w:rsidRDefault="00C14C7D">
      <w:pPr>
        <w:widowControl w:val="0"/>
        <w:pBdr>
          <w:top w:val="nil"/>
          <w:left w:val="nil"/>
          <w:bottom w:val="nil"/>
          <w:right w:val="nil"/>
          <w:between w:val="nil"/>
        </w:pBdr>
        <w:spacing w:line="276" w:lineRule="auto"/>
      </w:pPr>
    </w:p>
    <w:p w:rsidR="00C14C7D" w:rsidRDefault="00C14C7D">
      <w:pPr>
        <w:pStyle w:val="Title"/>
        <w:spacing w:after="0"/>
        <w:jc w:val="both"/>
        <w:rPr>
          <w:rFonts w:ascii="Arial" w:eastAsia="Arial" w:hAnsi="Arial" w:cs="Arial"/>
        </w:rPr>
      </w:pPr>
    </w:p>
    <w:p w:rsidR="00C14C7D" w:rsidRDefault="0073262F">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Assessing Fourth-Year Nursing Students’ Knowledge, Attitudes, and Practices Toward Nutritional Management in Diabetes Mellitus  </w:t>
      </w:r>
      <w:r>
        <w:rPr>
          <w:rFonts w:ascii="Arial" w:eastAsia="Arial" w:hAnsi="Arial" w:cs="Arial"/>
          <w:b/>
          <w:bCs/>
          <w:color w:val="000000"/>
          <w:sz w:val="36"/>
          <w:szCs w:val="36"/>
        </w:rPr>
        <w:t xml:space="preserve"> </w:t>
      </w:r>
    </w:p>
    <w:p w:rsidR="00C14C7D" w:rsidRDefault="00C14C7D">
      <w:pPr>
        <w:pBdr>
          <w:top w:val="nil"/>
          <w:left w:val="nil"/>
          <w:bottom w:val="nil"/>
          <w:right w:val="nil"/>
          <w:between w:val="nil"/>
        </w:pBdr>
        <w:jc w:val="both"/>
        <w:rPr>
          <w:rFonts w:ascii="Arial" w:eastAsia="Arial" w:hAnsi="Arial" w:cs="Arial"/>
          <w:b/>
          <w:bCs/>
          <w:color w:val="000000"/>
          <w:sz w:val="36"/>
          <w:szCs w:val="36"/>
        </w:rPr>
      </w:pPr>
    </w:p>
    <w:bookmarkStart w:id="0" w:name="_GoBack"/>
    <w:bookmarkEnd w:id="0"/>
    <w:p w:rsidR="00C14C7D" w:rsidRDefault="0073262F">
      <w:pPr>
        <w:pBdr>
          <w:top w:val="nil"/>
          <w:left w:val="nil"/>
          <w:bottom w:val="nil"/>
          <w:right w:val="nil"/>
          <w:between w:val="nil"/>
        </w:pBdr>
        <w:jc w:val="both"/>
        <w:rPr>
          <w:rFonts w:ascii="Arial" w:eastAsia="Arial" w:hAnsi="Arial" w:cs="Arial"/>
          <w:color w:val="000000"/>
          <w:sz w:val="16"/>
          <w:szCs w:val="16"/>
        </w:rPr>
        <w:sectPr w:rsidR="00C14C7D">
          <w:headerReference w:type="even" r:id="rId8"/>
          <w:headerReference w:type="default" r:id="rId9"/>
          <w:footerReference w:type="even"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0" cy="19050"/>
                        </a:xfrm>
                        <a:prstGeom prst="rect"/>
                        <a:ln/>
                      </pic:spPr>
                    </pic:pic>
                  </a:graphicData>
                </a:graphic>
              </wp:inline>
            </w:drawing>
          </mc:Fallback>
        </mc:AlternateContent>
      </w:r>
    </w:p>
    <w:p w:rsidR="00C14C7D" w:rsidRDefault="0073262F">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14C7D">
        <w:tc>
          <w:tcPr>
            <w:tcW w:w="8424" w:type="dxa"/>
            <w:shd w:val="clear" w:color="auto" w:fill="F2F2F2"/>
          </w:tcPr>
          <w:p w:rsidR="00C14C7D" w:rsidRDefault="0073262F">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Aims: </w:t>
            </w:r>
            <w:r>
              <w:rPr>
                <w:rFonts w:ascii="Arial" w:eastAsia="Arial" w:hAnsi="Arial" w:cs="Arial"/>
              </w:rPr>
              <w:t>To assess the knowledge, attitudes, and practices of fourth-year nursing students toward nutritional management in Diabetes Mellitus and to determine whether significant relationships exist among these variables.</w:t>
            </w:r>
          </w:p>
          <w:p w:rsidR="00C14C7D" w:rsidRDefault="0073262F">
            <w:pPr>
              <w:pBdr>
                <w:top w:val="nil"/>
                <w:left w:val="nil"/>
                <w:bottom w:val="nil"/>
                <w:right w:val="nil"/>
                <w:between w:val="nil"/>
              </w:pBdr>
              <w:jc w:val="both"/>
              <w:rPr>
                <w:rFonts w:ascii="Arial" w:eastAsia="Arial" w:hAnsi="Arial" w:cs="Arial"/>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A descriptive cross-sectional correlational research design was utilized to systematically examine the variables and their interrelationships at a single point in time.</w:t>
            </w:r>
          </w:p>
          <w:p w:rsidR="00C14C7D" w:rsidRDefault="0073262F">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in a private college institution i</w:t>
            </w:r>
            <w:r>
              <w:rPr>
                <w:rFonts w:ascii="Arial" w:eastAsia="Arial" w:hAnsi="Arial" w:cs="Arial"/>
              </w:rPr>
              <w:t xml:space="preserve">n Iloilo City, Philippines, among fourth-year nursing students during the Academic Year 2025–2026.  </w:t>
            </w:r>
          </w:p>
          <w:p w:rsidR="00C14C7D" w:rsidRDefault="0073262F">
            <w:pPr>
              <w:pBdr>
                <w:top w:val="nil"/>
                <w:left w:val="nil"/>
                <w:bottom w:val="nil"/>
                <w:right w:val="nil"/>
                <w:between w:val="nil"/>
              </w:pBdr>
              <w:jc w:val="both"/>
              <w:rPr>
                <w:rFonts w:ascii="Arial" w:eastAsia="Arial" w:hAnsi="Arial" w:cs="Arial"/>
              </w:rPr>
            </w:pPr>
            <w:r>
              <w:rPr>
                <w:rFonts w:ascii="Arial" w:eastAsia="Arial" w:hAnsi="Arial" w:cs="Arial"/>
                <w:b/>
                <w:bCs/>
                <w:color w:val="000000"/>
              </w:rPr>
              <w:t>Methodology:</w:t>
            </w:r>
            <w:r>
              <w:rPr>
                <w:rFonts w:ascii="Arial" w:eastAsia="Arial" w:hAnsi="Arial" w:cs="Arial"/>
              </w:rPr>
              <w:t xml:space="preserve"> A total of 222 respondents were selected from a population of 520 fourth-year nursing students using simple random sampling through the fishbo</w:t>
            </w:r>
            <w:r>
              <w:rPr>
                <w:rFonts w:ascii="Arial" w:eastAsia="Arial" w:hAnsi="Arial" w:cs="Arial"/>
              </w:rPr>
              <w:t>wl method. Data were collected using an adapted, validated, and reliability-tested questionnaire consisting of four sections: demographic profile, knowledge, attitudes, and practices related to nutritional management in Diabetes Mellitus. Knowledge was ass</w:t>
            </w:r>
            <w:r>
              <w:rPr>
                <w:rFonts w:ascii="Arial" w:eastAsia="Arial" w:hAnsi="Arial" w:cs="Arial"/>
              </w:rPr>
              <w:t>essed using a dichotomous scale, while attitudes and practices were measured using Likert-scale items to capture varying degrees of perception and behavior. Descriptive statistics (frequency, percentage, and mean) were used to determine levels of KAP, whil</w:t>
            </w:r>
            <w:r>
              <w:rPr>
                <w:rFonts w:ascii="Arial" w:eastAsia="Arial" w:hAnsi="Arial" w:cs="Arial"/>
              </w:rPr>
              <w:t>e Spearman’s rho correlation coefficient was employed to analyze the relationships among the variables.</w:t>
            </w:r>
          </w:p>
          <w:p w:rsidR="00C14C7D" w:rsidRDefault="0073262F">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 xml:space="preserve">The findings revealed that respondents demonstrated an adequate level of knowledge regarding nutritional management in Diabetes Mellitus, with </w:t>
            </w:r>
            <w:r>
              <w:rPr>
                <w:rFonts w:ascii="Arial" w:eastAsia="Arial" w:hAnsi="Arial" w:cs="Arial"/>
              </w:rPr>
              <w:t>an overall mean knowledge score of 9.39 out of 12. Most students also showed positive attitudes toward nutritional management, with 70.27% categorized as having a positive attitude. In terms of practice, the majority (76.13%) demonstrated good practices, w</w:t>
            </w:r>
            <w:r>
              <w:rPr>
                <w:rFonts w:ascii="Arial" w:eastAsia="Arial" w:hAnsi="Arial" w:cs="Arial"/>
              </w:rPr>
              <w:t>ith an overall mean score of 3.36 out of 4. A significant relationship was found between knowledge and attitude (ρ = 0.153, p = 0.000) and between attitude and practices (ρ = 0.241, p = 0.000). However, no significant relationship was observed between know</w:t>
            </w:r>
            <w:r>
              <w:rPr>
                <w:rFonts w:ascii="Arial" w:eastAsia="Arial" w:hAnsi="Arial" w:cs="Arial"/>
              </w:rPr>
              <w:t>ledge and practices (ρ = 0.006, p = 0.934).</w:t>
            </w:r>
          </w:p>
          <w:p w:rsidR="00C14C7D" w:rsidRDefault="0073262F">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Fourth-year nursing students generally possess adequate knowledge, positive attitudes, and good practices regarding nutritional management in Diabetes Mellitus. The findings highlight that while knowl</w:t>
            </w:r>
            <w:r>
              <w:rPr>
                <w:rFonts w:ascii="Arial" w:eastAsia="Arial" w:hAnsi="Arial" w:cs="Arial"/>
              </w:rPr>
              <w:t>edge contributes to shaping attitudes, attitude plays a more influential role in translating knowledge into clinical practice. Strengthening nursing education and clinical training in diabetes nutrition management may further enhance students’ preparedness</w:t>
            </w:r>
            <w:r>
              <w:rPr>
                <w:rFonts w:ascii="Arial" w:eastAsia="Arial" w:hAnsi="Arial" w:cs="Arial"/>
              </w:rPr>
              <w:t xml:space="preserve"> to deliver effective patient care.</w:t>
            </w:r>
          </w:p>
        </w:tc>
      </w:tr>
    </w:tbl>
    <w:p w:rsidR="00C14C7D" w:rsidRDefault="0073262F">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Diabetes Mellitus, nutritional management, nursing students, knowledge attitudes and practices, nursing education</w:t>
      </w:r>
    </w:p>
    <w:p w:rsidR="00C14C7D" w:rsidRDefault="00C14C7D">
      <w:pPr>
        <w:pBdr>
          <w:top w:val="nil"/>
          <w:left w:val="nil"/>
          <w:bottom w:val="nil"/>
          <w:right w:val="nil"/>
          <w:between w:val="nil"/>
        </w:pBdr>
        <w:jc w:val="both"/>
        <w:rPr>
          <w:rFonts w:ascii="Arial" w:eastAsia="Arial" w:hAnsi="Arial" w:cs="Arial"/>
          <w:i/>
          <w:iCs/>
        </w:rPr>
      </w:pPr>
    </w:p>
    <w:p w:rsidR="00C14C7D" w:rsidRDefault="0073262F">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1. INTRODUCTION </w:t>
      </w:r>
    </w:p>
    <w:p w:rsidR="00C14C7D" w:rsidRDefault="0073262F">
      <w:pPr>
        <w:spacing w:before="240" w:after="240"/>
        <w:jc w:val="both"/>
        <w:rPr>
          <w:rFonts w:ascii="Arial" w:eastAsia="Arial" w:hAnsi="Arial" w:cs="Arial"/>
        </w:rPr>
      </w:pPr>
      <w:r>
        <w:rPr>
          <w:rFonts w:ascii="Arial" w:eastAsia="Arial" w:hAnsi="Arial" w:cs="Arial"/>
        </w:rPr>
        <w:t xml:space="preserve">Diabetes Mellitus (DM), a chronic metabolic disorder characterized by persistently elevated blood glucose levels, leads to significant complications affecting the heart, kidneys, eyes, and nerves (World Health Organization, 2024). Globally, the prevalence </w:t>
      </w:r>
      <w:r>
        <w:rPr>
          <w:rFonts w:ascii="Arial" w:eastAsia="Arial" w:hAnsi="Arial" w:cs="Arial"/>
        </w:rPr>
        <w:t>of diabetes has risen at an alarming rate, with 529 million cases documented in 2021 and projections exceeding 1.31 billion by 2050 (</w:t>
      </w:r>
      <w:proofErr w:type="spellStart"/>
      <w:r>
        <w:rPr>
          <w:rFonts w:ascii="Arial" w:eastAsia="Arial" w:hAnsi="Arial" w:cs="Arial"/>
        </w:rPr>
        <w:t>Yameny</w:t>
      </w:r>
      <w:proofErr w:type="spellEnd"/>
      <w:r>
        <w:rPr>
          <w:rFonts w:ascii="Arial" w:eastAsia="Arial" w:hAnsi="Arial" w:cs="Arial"/>
        </w:rPr>
        <w:t xml:space="preserve">, 2024). The Philippines reflects this global trend, with an estimated </w:t>
      </w:r>
      <w:r>
        <w:rPr>
          <w:rFonts w:ascii="Arial" w:eastAsia="Arial" w:hAnsi="Arial" w:cs="Arial"/>
        </w:rPr>
        <w:lastRenderedPageBreak/>
        <w:t>4.7 million Filipino adults living with diabet</w:t>
      </w:r>
      <w:r>
        <w:rPr>
          <w:rFonts w:ascii="Arial" w:eastAsia="Arial" w:hAnsi="Arial" w:cs="Arial"/>
        </w:rPr>
        <w:t>es in 2021, an increase from 4 million in 2019, of which approximately 2.8 million remain undiagnosed (International Diabetes Federation, 2021). Diabetes consistently ranks among the top ten causes of mortality in Iloilo City, largely due to modifiable lif</w:t>
      </w:r>
      <w:r>
        <w:rPr>
          <w:rFonts w:ascii="Arial" w:eastAsia="Arial" w:hAnsi="Arial" w:cs="Arial"/>
        </w:rPr>
        <w:t>estyle factors such as obesity, poor diets, and lack of physical activity (Department of Health Western Visayas VI, 2023). Given the growing burden of diabetes, effective nutritional management has become crucial for blood glucose control, prevention of co</w:t>
      </w:r>
      <w:r>
        <w:rPr>
          <w:rFonts w:ascii="Arial" w:eastAsia="Arial" w:hAnsi="Arial" w:cs="Arial"/>
        </w:rPr>
        <w:t>mplications, and long-term disease management. Nurses play a central role in educating patients about diet, encouraging healthy behaviors, and guiding them toward sustainable lifestyle changes. However, studies worldwide have revealed gaps in nursing stude</w:t>
      </w:r>
      <w:r>
        <w:rPr>
          <w:rFonts w:ascii="Arial" w:eastAsia="Arial" w:hAnsi="Arial" w:cs="Arial"/>
        </w:rPr>
        <w:t>nts’ competence in diabetes education, particularly in practical skills such as nutrition counseling, patient simulations, and culturally appropriate dietary planning (</w:t>
      </w:r>
      <w:proofErr w:type="spellStart"/>
      <w:r>
        <w:rPr>
          <w:rFonts w:ascii="Arial" w:eastAsia="Arial" w:hAnsi="Arial" w:cs="Arial"/>
        </w:rPr>
        <w:t>Farzaei</w:t>
      </w:r>
      <w:proofErr w:type="spellEnd"/>
      <w:r>
        <w:rPr>
          <w:rFonts w:ascii="Arial" w:eastAsia="Arial" w:hAnsi="Arial" w:cs="Arial"/>
        </w:rPr>
        <w:t xml:space="preserve"> et al., 2023; </w:t>
      </w:r>
      <w:proofErr w:type="spellStart"/>
      <w:r>
        <w:rPr>
          <w:rFonts w:ascii="Arial" w:eastAsia="Arial" w:hAnsi="Arial" w:cs="Arial"/>
        </w:rPr>
        <w:t>Alshammari</w:t>
      </w:r>
      <w:proofErr w:type="spellEnd"/>
      <w:r>
        <w:rPr>
          <w:rFonts w:ascii="Arial" w:eastAsia="Arial" w:hAnsi="Arial" w:cs="Arial"/>
        </w:rPr>
        <w:t xml:space="preserve"> et al., 2023).</w:t>
      </w:r>
    </w:p>
    <w:p w:rsidR="00C14C7D" w:rsidRDefault="0073262F">
      <w:pPr>
        <w:spacing w:before="240" w:after="240"/>
        <w:jc w:val="both"/>
        <w:rPr>
          <w:rFonts w:ascii="Arial" w:eastAsia="Arial" w:hAnsi="Arial" w:cs="Arial"/>
          <w:b/>
          <w:bCs/>
        </w:rPr>
      </w:pPr>
      <w:r>
        <w:rPr>
          <w:rFonts w:ascii="Arial" w:eastAsia="Arial" w:hAnsi="Arial" w:cs="Arial"/>
          <w:b/>
          <w:bCs/>
        </w:rPr>
        <w:t>Recent literature further emphasizes tha</w:t>
      </w:r>
      <w:r>
        <w:rPr>
          <w:rFonts w:ascii="Arial" w:eastAsia="Arial" w:hAnsi="Arial" w:cs="Arial"/>
          <w:b/>
          <w:bCs/>
        </w:rPr>
        <w:t>t while nursing students generally demonstrate adequate foundational knowledge of diabetes, significant deficiencies persist in advanced clinical competencies, including medication management, complication recognition, and application of nutritional interv</w:t>
      </w:r>
      <w:r>
        <w:rPr>
          <w:rFonts w:ascii="Arial" w:eastAsia="Arial" w:hAnsi="Arial" w:cs="Arial"/>
          <w:b/>
          <w:bCs/>
        </w:rPr>
        <w:t>entions in real-world settings (</w:t>
      </w:r>
      <w:proofErr w:type="spellStart"/>
      <w:r>
        <w:rPr>
          <w:rFonts w:ascii="Arial" w:eastAsia="Arial" w:hAnsi="Arial" w:cs="Arial"/>
          <w:b/>
          <w:bCs/>
        </w:rPr>
        <w:t>Kueh</w:t>
      </w:r>
      <w:proofErr w:type="spellEnd"/>
      <w:r>
        <w:rPr>
          <w:rFonts w:ascii="Arial" w:eastAsia="Arial" w:hAnsi="Arial" w:cs="Arial"/>
          <w:b/>
          <w:bCs/>
        </w:rPr>
        <w:t xml:space="preserve"> et al., 2020; </w:t>
      </w:r>
      <w:proofErr w:type="spellStart"/>
      <w:r>
        <w:rPr>
          <w:rFonts w:ascii="Arial" w:eastAsia="Arial" w:hAnsi="Arial" w:cs="Arial"/>
          <w:b/>
          <w:bCs/>
        </w:rPr>
        <w:t>Mancin</w:t>
      </w:r>
      <w:proofErr w:type="spellEnd"/>
      <w:r>
        <w:rPr>
          <w:rFonts w:ascii="Arial" w:eastAsia="Arial" w:hAnsi="Arial" w:cs="Arial"/>
          <w:b/>
          <w:bCs/>
        </w:rPr>
        <w:t xml:space="preserve"> et al., 2023).</w:t>
      </w:r>
      <w:r>
        <w:rPr>
          <w:rFonts w:ascii="Arial" w:eastAsia="Arial" w:hAnsi="Arial" w:cs="Arial"/>
        </w:rPr>
        <w:t xml:space="preserve"> Moreover, </w:t>
      </w:r>
      <w:r>
        <w:rPr>
          <w:rFonts w:ascii="Arial" w:eastAsia="Arial" w:hAnsi="Arial" w:cs="Arial"/>
          <w:b/>
          <w:bCs/>
        </w:rPr>
        <w:t>structured and nurse-led educational interventions have been shown to significantly improve patients’ self-management behaviors and glycemic control, underscoring the import</w:t>
      </w:r>
      <w:r>
        <w:rPr>
          <w:rFonts w:ascii="Arial" w:eastAsia="Arial" w:hAnsi="Arial" w:cs="Arial"/>
          <w:b/>
          <w:bCs/>
        </w:rPr>
        <w:t>ance of well-prepared nursing professionals in delivering effective diabetes education (Yu et al., 2022; Alotaibi et al., 2024).</w:t>
      </w:r>
    </w:p>
    <w:p w:rsidR="00C14C7D" w:rsidRDefault="0073262F">
      <w:pPr>
        <w:spacing w:before="240" w:after="240"/>
        <w:jc w:val="both"/>
        <w:rPr>
          <w:rFonts w:ascii="Arial" w:eastAsia="Arial" w:hAnsi="Arial" w:cs="Arial"/>
        </w:rPr>
      </w:pPr>
      <w:r>
        <w:rPr>
          <w:rFonts w:ascii="Arial" w:eastAsia="Arial" w:hAnsi="Arial" w:cs="Arial"/>
        </w:rPr>
        <w:t>Evidence from the Philippine healthcare system supports these concerns. Analyses of local diabetes care highlighted inconsisten</w:t>
      </w:r>
      <w:r>
        <w:rPr>
          <w:rFonts w:ascii="Arial" w:eastAsia="Arial" w:hAnsi="Arial" w:cs="Arial"/>
        </w:rPr>
        <w:t xml:space="preserve">cies in educational strategies and inadequate assessment of healthcare providers’ readiness, especially among nurses expected to deliver patient-centered counseling. </w:t>
      </w:r>
      <w:r>
        <w:rPr>
          <w:rFonts w:ascii="Arial" w:eastAsia="Arial" w:hAnsi="Arial" w:cs="Arial"/>
          <w:b/>
          <w:bCs/>
        </w:rPr>
        <w:t>In addition, local and regional studies indicate that although patients and students may p</w:t>
      </w:r>
      <w:r>
        <w:rPr>
          <w:rFonts w:ascii="Arial" w:eastAsia="Arial" w:hAnsi="Arial" w:cs="Arial"/>
          <w:b/>
          <w:bCs/>
        </w:rPr>
        <w:t>ossess general knowledge of diabetes, adherence to essential practices such as dietary regulation, glucose monitoring, and preventive care remains inconsistent, often influenced by socioeconomic and educational factors (Flores &amp; Delos Reyes, 2020; Frontier</w:t>
      </w:r>
      <w:r>
        <w:rPr>
          <w:rFonts w:ascii="Arial" w:eastAsia="Arial" w:hAnsi="Arial" w:cs="Arial"/>
          <w:b/>
          <w:bCs/>
        </w:rPr>
        <w:t>s in Rehabilitation Sciences, 2024).</w:t>
      </w:r>
      <w:r>
        <w:rPr>
          <w:rFonts w:ascii="Arial" w:eastAsia="Arial" w:hAnsi="Arial" w:cs="Arial"/>
        </w:rPr>
        <w:t xml:space="preserve"> While structured patient education programs have demonstrated positive effects on diet, physical activity, and self-management, evaluations have rarely assessed the competencies of those delivering these programs.</w:t>
      </w:r>
    </w:p>
    <w:p w:rsidR="00C14C7D" w:rsidRDefault="0073262F">
      <w:pPr>
        <w:spacing w:before="240" w:after="240"/>
        <w:jc w:val="both"/>
        <w:rPr>
          <w:rFonts w:ascii="Arial" w:eastAsia="Arial" w:hAnsi="Arial" w:cs="Arial"/>
        </w:rPr>
      </w:pPr>
      <w:r>
        <w:rPr>
          <w:rFonts w:ascii="Arial" w:eastAsia="Arial" w:hAnsi="Arial" w:cs="Arial"/>
        </w:rPr>
        <w:t>The i</w:t>
      </w:r>
      <w:r>
        <w:rPr>
          <w:rFonts w:ascii="Arial" w:eastAsia="Arial" w:hAnsi="Arial" w:cs="Arial"/>
        </w:rPr>
        <w:t>ncreasing prevalence of diabetes underscores the urgent need to equip nursing students with sufficient knowledge, positive attitudes, and appropriate skills related to nutrition. Effective diabetes education, including guidance on diet, exercise, monitorin</w:t>
      </w:r>
      <w:r>
        <w:rPr>
          <w:rFonts w:ascii="Arial" w:eastAsia="Arial" w:hAnsi="Arial" w:cs="Arial"/>
        </w:rPr>
        <w:t xml:space="preserve">g, and self-care, has been linked to improved glycemic control and reduced complications (Alotaibi et al., 2024). </w:t>
      </w:r>
      <w:r>
        <w:rPr>
          <w:rFonts w:ascii="Arial" w:eastAsia="Arial" w:hAnsi="Arial" w:cs="Arial"/>
          <w:b/>
          <w:bCs/>
        </w:rPr>
        <w:t xml:space="preserve">Importantly, evidence consistently shows a positive relationship between knowledge and self-management practices, although knowledge alone is </w:t>
      </w:r>
      <w:r>
        <w:rPr>
          <w:rFonts w:ascii="Arial" w:eastAsia="Arial" w:hAnsi="Arial" w:cs="Arial"/>
          <w:b/>
          <w:bCs/>
        </w:rPr>
        <w:t>insufficient to ensure behavioral change, highlighting the need for competency-based training and experiential learning opportunities (</w:t>
      </w:r>
      <w:proofErr w:type="spellStart"/>
      <w:r>
        <w:rPr>
          <w:rFonts w:ascii="Arial" w:eastAsia="Arial" w:hAnsi="Arial" w:cs="Arial"/>
          <w:b/>
          <w:bCs/>
        </w:rPr>
        <w:t>Alshammari</w:t>
      </w:r>
      <w:proofErr w:type="spellEnd"/>
      <w:r>
        <w:rPr>
          <w:rFonts w:ascii="Arial" w:eastAsia="Arial" w:hAnsi="Arial" w:cs="Arial"/>
          <w:b/>
          <w:bCs/>
        </w:rPr>
        <w:t xml:space="preserve"> et al., 2023).</w:t>
      </w:r>
      <w:r>
        <w:rPr>
          <w:rFonts w:ascii="Arial" w:eastAsia="Arial" w:hAnsi="Arial" w:cs="Arial"/>
        </w:rPr>
        <w:t xml:space="preserve"> As future frontline healthcare providers, nursing students must be prepared to deliver accurate</w:t>
      </w:r>
      <w:r>
        <w:rPr>
          <w:rFonts w:ascii="Arial" w:eastAsia="Arial" w:hAnsi="Arial" w:cs="Arial"/>
        </w:rPr>
        <w:t xml:space="preserve"> and culturally sensitive nutritional counseling to support patients’ long-term diabetes management. In alignment with Sustainable Development Goal (SDG) 3: Good Health and Well-being, strengthening nursing education is essential for reducing premature mor</w:t>
      </w:r>
      <w:r>
        <w:rPr>
          <w:rFonts w:ascii="Arial" w:eastAsia="Arial" w:hAnsi="Arial" w:cs="Arial"/>
        </w:rPr>
        <w:t xml:space="preserve">tality from non-communicable diseases and promoting health literacy (De Matos et al., 2023). Given the lack of local research in Iloilo City addressing this issue, this study examines the knowledge, attitudes, and practices of fourth-year nursing students </w:t>
      </w:r>
      <w:r>
        <w:rPr>
          <w:rFonts w:ascii="Arial" w:eastAsia="Arial" w:hAnsi="Arial" w:cs="Arial"/>
        </w:rPr>
        <w:t>regarding the nutritional management of diabetes mellitus, aiming to inform the development of more robust, competency-based nursing curricula and enhance patient outcomes in diabetes care.</w:t>
      </w:r>
    </w:p>
    <w:p w:rsidR="00C14C7D" w:rsidRDefault="0073262F">
      <w:pPr>
        <w:jc w:val="both"/>
        <w:rPr>
          <w:rFonts w:ascii="Arial" w:eastAsia="Arial" w:hAnsi="Arial" w:cs="Arial"/>
          <w:b/>
          <w:bCs/>
          <w:u w:val="single"/>
        </w:rPr>
      </w:pPr>
      <w:r>
        <w:rPr>
          <w:rFonts w:ascii="Arial" w:eastAsia="Arial" w:hAnsi="Arial" w:cs="Arial"/>
          <w:b/>
          <w:bCs/>
          <w:u w:val="single"/>
        </w:rPr>
        <w:lastRenderedPageBreak/>
        <w:t>1.1 RESEARCH OBJECTIVES</w:t>
      </w:r>
    </w:p>
    <w:p w:rsidR="00C14C7D" w:rsidRDefault="00C14C7D">
      <w:pPr>
        <w:jc w:val="both"/>
        <w:rPr>
          <w:rFonts w:ascii="Arial" w:eastAsia="Arial" w:hAnsi="Arial" w:cs="Arial"/>
          <w:b/>
          <w:bCs/>
          <w:u w:val="single"/>
        </w:rPr>
      </w:pPr>
    </w:p>
    <w:p w:rsidR="00C14C7D" w:rsidRDefault="0073262F">
      <w:pPr>
        <w:jc w:val="both"/>
        <w:rPr>
          <w:rFonts w:ascii="Arial" w:eastAsia="Arial" w:hAnsi="Arial" w:cs="Arial"/>
          <w:b/>
          <w:bCs/>
        </w:rPr>
      </w:pPr>
      <w:r>
        <w:rPr>
          <w:rFonts w:ascii="Arial" w:eastAsia="Arial" w:hAnsi="Arial" w:cs="Arial"/>
        </w:rPr>
        <w:t xml:space="preserve">This study aims to assess the knowledge, </w:t>
      </w:r>
      <w:r>
        <w:rPr>
          <w:rFonts w:ascii="Arial" w:eastAsia="Arial" w:hAnsi="Arial" w:cs="Arial"/>
        </w:rPr>
        <w:t>attitudes, and practices of fourth-year nursing students toward nutritional management in diabetes mellitus.</w:t>
      </w:r>
    </w:p>
    <w:bookmarkStart w:id="1" w:name="_heading=h.f9w9q48l3qti" w:colFirst="0" w:colLast="0" w:displacedByCustomXml="next"/>
    <w:bookmarkEnd w:id="1" w:displacedByCustomXml="next"/>
    <w:sdt>
      <w:sdtPr>
        <w:tag w:val="goog_rdk_0"/>
        <w:id w:val="-348469016"/>
      </w:sdtPr>
      <w:sdtEndPr/>
      <w:sdtContent>
        <w:p w:rsidR="00C14C7D" w:rsidRDefault="0073262F">
          <w:pPr>
            <w:pStyle w:val="Heading2"/>
            <w:numPr>
              <w:ilvl w:val="0"/>
              <w:numId w:val="1"/>
            </w:numPr>
            <w:spacing w:before="0" w:after="0" w:line="276" w:lineRule="auto"/>
            <w:ind w:left="720"/>
            <w:rPr>
              <w:rFonts w:ascii="Arial" w:eastAsia="Arial" w:hAnsi="Arial" w:cs="Arial"/>
            </w:rPr>
          </w:pPr>
          <w:r>
            <w:rPr>
              <w:rFonts w:ascii="Arial" w:eastAsia="Arial" w:hAnsi="Arial" w:cs="Arial"/>
              <w:b w:val="0"/>
              <w:bCs w:val="0"/>
              <w:sz w:val="20"/>
              <w:szCs w:val="20"/>
            </w:rPr>
            <w:t>What is the level of knowledge of fourth-year nursing students toward nutritional management in Diabetes Mellitus?</w:t>
          </w:r>
        </w:p>
      </w:sdtContent>
    </w:sdt>
    <w:bookmarkStart w:id="2" w:name="_heading=h.vc7bv95hprtt" w:colFirst="0" w:colLast="0" w:displacedByCustomXml="next"/>
    <w:bookmarkEnd w:id="2" w:displacedByCustomXml="next"/>
    <w:sdt>
      <w:sdtPr>
        <w:tag w:val="goog_rdk_1"/>
        <w:id w:val="-1404219295"/>
      </w:sdtPr>
      <w:sdtEndPr/>
      <w:sdtContent>
        <w:p w:rsidR="00C14C7D" w:rsidRDefault="0073262F">
          <w:pPr>
            <w:pStyle w:val="Heading2"/>
            <w:numPr>
              <w:ilvl w:val="0"/>
              <w:numId w:val="1"/>
            </w:numPr>
            <w:spacing w:before="0" w:after="0" w:line="276" w:lineRule="auto"/>
            <w:ind w:left="720"/>
            <w:rPr>
              <w:rFonts w:ascii="Arial" w:eastAsia="Arial" w:hAnsi="Arial" w:cs="Arial"/>
            </w:rPr>
          </w:pPr>
          <w:r>
            <w:rPr>
              <w:rFonts w:ascii="Arial" w:eastAsia="Arial" w:hAnsi="Arial" w:cs="Arial"/>
              <w:b w:val="0"/>
              <w:bCs w:val="0"/>
              <w:sz w:val="20"/>
              <w:szCs w:val="20"/>
            </w:rPr>
            <w:t xml:space="preserve">What is the level of attitude </w:t>
          </w:r>
          <w:r>
            <w:rPr>
              <w:rFonts w:ascii="Arial" w:eastAsia="Arial" w:hAnsi="Arial" w:cs="Arial"/>
              <w:b w:val="0"/>
              <w:bCs w:val="0"/>
              <w:sz w:val="20"/>
              <w:szCs w:val="20"/>
            </w:rPr>
            <w:t>of fourth-year nursing students toward nutritional management in Diabetes Mellitus?</w:t>
          </w:r>
        </w:p>
      </w:sdtContent>
    </w:sdt>
    <w:bookmarkStart w:id="3" w:name="_heading=h.z8b5983s4101" w:colFirst="0" w:colLast="0" w:displacedByCustomXml="next"/>
    <w:bookmarkEnd w:id="3" w:displacedByCustomXml="next"/>
    <w:sdt>
      <w:sdtPr>
        <w:tag w:val="goog_rdk_2"/>
        <w:id w:val="617679091"/>
      </w:sdtPr>
      <w:sdtEndPr/>
      <w:sdtContent>
        <w:p w:rsidR="00C14C7D" w:rsidRDefault="0073262F">
          <w:pPr>
            <w:pStyle w:val="Heading2"/>
            <w:numPr>
              <w:ilvl w:val="0"/>
              <w:numId w:val="1"/>
            </w:numPr>
            <w:spacing w:before="0" w:after="0" w:line="276" w:lineRule="auto"/>
            <w:ind w:left="720"/>
            <w:rPr>
              <w:rFonts w:ascii="Arial" w:eastAsia="Arial" w:hAnsi="Arial" w:cs="Arial"/>
            </w:rPr>
          </w:pPr>
          <w:r>
            <w:rPr>
              <w:rFonts w:ascii="Arial" w:eastAsia="Arial" w:hAnsi="Arial" w:cs="Arial"/>
              <w:b w:val="0"/>
              <w:bCs w:val="0"/>
              <w:sz w:val="20"/>
              <w:szCs w:val="20"/>
            </w:rPr>
            <w:t xml:space="preserve">What is the level of practice of fourth-year nursing students toward </w:t>
          </w:r>
          <w:proofErr w:type="gramStart"/>
          <w:r>
            <w:rPr>
              <w:rFonts w:ascii="Arial" w:eastAsia="Arial" w:hAnsi="Arial" w:cs="Arial"/>
              <w:b w:val="0"/>
              <w:bCs w:val="0"/>
              <w:sz w:val="20"/>
              <w:szCs w:val="20"/>
            </w:rPr>
            <w:t>nutritional  management</w:t>
          </w:r>
          <w:proofErr w:type="gramEnd"/>
          <w:r>
            <w:rPr>
              <w:rFonts w:ascii="Arial" w:eastAsia="Arial" w:hAnsi="Arial" w:cs="Arial"/>
              <w:b w:val="0"/>
              <w:bCs w:val="0"/>
              <w:sz w:val="20"/>
              <w:szCs w:val="20"/>
            </w:rPr>
            <w:t xml:space="preserve"> in Diabetes Mellitus?</w:t>
          </w:r>
        </w:p>
      </w:sdtContent>
    </w:sdt>
    <w:bookmarkStart w:id="4" w:name="_heading=h.a8ew85vr33yj" w:colFirst="0" w:colLast="0" w:displacedByCustomXml="next"/>
    <w:bookmarkEnd w:id="4" w:displacedByCustomXml="next"/>
    <w:sdt>
      <w:sdtPr>
        <w:tag w:val="goog_rdk_3"/>
        <w:id w:val="-486718887"/>
      </w:sdtPr>
      <w:sdtEndPr/>
      <w:sdtContent>
        <w:p w:rsidR="00C14C7D" w:rsidRDefault="0073262F">
          <w:pPr>
            <w:pStyle w:val="Heading2"/>
            <w:numPr>
              <w:ilvl w:val="0"/>
              <w:numId w:val="1"/>
            </w:numPr>
            <w:spacing w:before="0" w:after="0" w:line="276" w:lineRule="auto"/>
            <w:ind w:left="720"/>
            <w:rPr>
              <w:rFonts w:ascii="Arial" w:eastAsia="Arial" w:hAnsi="Arial" w:cs="Arial"/>
            </w:rPr>
          </w:pPr>
          <w:r>
            <w:rPr>
              <w:rFonts w:ascii="Arial" w:eastAsia="Arial" w:hAnsi="Arial" w:cs="Arial"/>
              <w:b w:val="0"/>
              <w:bCs w:val="0"/>
              <w:sz w:val="20"/>
              <w:szCs w:val="20"/>
            </w:rPr>
            <w:t>Is there a significant relationship between the attit</w:t>
          </w:r>
          <w:r>
            <w:rPr>
              <w:rFonts w:ascii="Arial" w:eastAsia="Arial" w:hAnsi="Arial" w:cs="Arial"/>
              <w:b w:val="0"/>
              <w:bCs w:val="0"/>
              <w:sz w:val="20"/>
              <w:szCs w:val="20"/>
            </w:rPr>
            <w:t>udes and knowledge of fourth-year nursing students toward nutritional management in diabetes mellitus?</w:t>
          </w:r>
        </w:p>
      </w:sdtContent>
    </w:sdt>
    <w:bookmarkStart w:id="5" w:name="_heading=h.dtr5002srvir" w:colFirst="0" w:colLast="0" w:displacedByCustomXml="next"/>
    <w:bookmarkEnd w:id="5" w:displacedByCustomXml="next"/>
    <w:sdt>
      <w:sdtPr>
        <w:tag w:val="goog_rdk_4"/>
        <w:id w:val="2031825374"/>
      </w:sdtPr>
      <w:sdtEndPr/>
      <w:sdtContent>
        <w:p w:rsidR="00C14C7D" w:rsidRDefault="0073262F">
          <w:pPr>
            <w:pStyle w:val="Heading2"/>
            <w:numPr>
              <w:ilvl w:val="0"/>
              <w:numId w:val="1"/>
            </w:numPr>
            <w:spacing w:before="0" w:after="0" w:line="276" w:lineRule="auto"/>
            <w:ind w:left="720"/>
            <w:rPr>
              <w:rFonts w:ascii="Arial" w:eastAsia="Arial" w:hAnsi="Arial" w:cs="Arial"/>
            </w:rPr>
          </w:pPr>
          <w:r>
            <w:rPr>
              <w:rFonts w:ascii="Arial" w:eastAsia="Arial" w:hAnsi="Arial" w:cs="Arial"/>
              <w:b w:val="0"/>
              <w:bCs w:val="0"/>
              <w:sz w:val="20"/>
              <w:szCs w:val="20"/>
            </w:rPr>
            <w:t>Is there a significant relationship between the practices and knowledge of fourth-year nursing students toward nutritional management in diabetes melli</w:t>
          </w:r>
          <w:r>
            <w:rPr>
              <w:rFonts w:ascii="Arial" w:eastAsia="Arial" w:hAnsi="Arial" w:cs="Arial"/>
              <w:b w:val="0"/>
              <w:bCs w:val="0"/>
              <w:sz w:val="20"/>
              <w:szCs w:val="20"/>
            </w:rPr>
            <w:t>tus?</w:t>
          </w:r>
        </w:p>
      </w:sdtContent>
    </w:sdt>
    <w:bookmarkStart w:id="6" w:name="_heading=h.ybdyjkob0pnt" w:colFirst="0" w:colLast="0" w:displacedByCustomXml="next"/>
    <w:bookmarkEnd w:id="6" w:displacedByCustomXml="next"/>
    <w:sdt>
      <w:sdtPr>
        <w:tag w:val="goog_rdk_5"/>
        <w:id w:val="-1503819898"/>
      </w:sdtPr>
      <w:sdtEndPr/>
      <w:sdtContent>
        <w:p w:rsidR="00C14C7D" w:rsidRDefault="0073262F">
          <w:pPr>
            <w:pStyle w:val="Heading2"/>
            <w:numPr>
              <w:ilvl w:val="0"/>
              <w:numId w:val="1"/>
            </w:numPr>
            <w:spacing w:before="0" w:after="0" w:line="276" w:lineRule="auto"/>
            <w:ind w:left="720"/>
            <w:rPr>
              <w:rFonts w:ascii="Arial" w:eastAsia="Arial" w:hAnsi="Arial" w:cs="Arial"/>
            </w:rPr>
          </w:pPr>
          <w:r>
            <w:rPr>
              <w:rFonts w:ascii="Arial" w:eastAsia="Arial" w:hAnsi="Arial" w:cs="Arial"/>
              <w:b w:val="0"/>
              <w:bCs w:val="0"/>
              <w:sz w:val="20"/>
              <w:szCs w:val="20"/>
            </w:rPr>
            <w:t>Is there a significant relationship between the attitudes and practices of fourth-year nursing students toward nutritional management in diabetes mellitus?</w:t>
          </w:r>
        </w:p>
      </w:sdtContent>
    </w:sdt>
    <w:p w:rsidR="00C14C7D" w:rsidRDefault="00C14C7D"/>
    <w:p w:rsidR="00C14C7D" w:rsidRDefault="0073262F">
      <w:pPr>
        <w:jc w:val="both"/>
        <w:rPr>
          <w:rFonts w:ascii="Arial" w:eastAsia="Arial" w:hAnsi="Arial" w:cs="Arial"/>
          <w:b/>
          <w:bCs/>
          <w:u w:val="single"/>
        </w:rPr>
      </w:pPr>
      <w:r>
        <w:rPr>
          <w:rFonts w:ascii="Arial" w:eastAsia="Arial" w:hAnsi="Arial" w:cs="Arial"/>
          <w:b/>
          <w:bCs/>
          <w:u w:val="single"/>
        </w:rPr>
        <w:t>1.2 THEORETICAL FRAMEWORK</w:t>
      </w:r>
    </w:p>
    <w:p w:rsidR="00C14C7D" w:rsidRDefault="00C14C7D"/>
    <w:p w:rsidR="00C14C7D" w:rsidRDefault="0073262F">
      <w:pPr>
        <w:jc w:val="both"/>
        <w:rPr>
          <w:rFonts w:ascii="Arial" w:eastAsia="Arial" w:hAnsi="Arial" w:cs="Arial"/>
        </w:rPr>
      </w:pPr>
      <w:r>
        <w:rPr>
          <w:rFonts w:ascii="Arial" w:eastAsia="Arial" w:hAnsi="Arial" w:cs="Arial"/>
        </w:rPr>
        <w:t>This study is anchored on two established nursing theories that explain how individuals learn, internalize, and apply health-related behaviors, namely Pender’s Health Promotion Model and Roy’s Adaptation Model. These theories provide a comprehensive lens f</w:t>
      </w:r>
      <w:r>
        <w:rPr>
          <w:rFonts w:ascii="Arial" w:eastAsia="Arial" w:hAnsi="Arial" w:cs="Arial"/>
        </w:rPr>
        <w:t>or understanding how fourth-year nursing undergraduates develop and apply nutritional management practices in caring for patients with diabetes mellitus.</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Pender’s Health Promotion Model emphasizes that individuals are more likely to engage in health-promo</w:t>
      </w:r>
      <w:r>
        <w:rPr>
          <w:rFonts w:ascii="Arial" w:eastAsia="Arial" w:hAnsi="Arial" w:cs="Arial"/>
        </w:rPr>
        <w:t>ting behaviors when they recognize the benefits of such actions, possess confidence in their ability to perform them, and receive support from their environment. In the context of this study, nursing students are more likely to integrate appropriate nutrit</w:t>
      </w:r>
      <w:r>
        <w:rPr>
          <w:rFonts w:ascii="Arial" w:eastAsia="Arial" w:hAnsi="Arial" w:cs="Arial"/>
        </w:rPr>
        <w:t>ional management into diabetes care when they believe it improves patient outcomes, feel competent in delivering nutrition-related interventions, and are supported by faculty, clinical instructors, and the learning environment. The model further highlights</w:t>
      </w:r>
      <w:r>
        <w:rPr>
          <w:rFonts w:ascii="Arial" w:eastAsia="Arial" w:hAnsi="Arial" w:cs="Arial"/>
        </w:rPr>
        <w:t xml:space="preserve"> the role of personal factors, perceived barriers, and interpersonal influences in shaping how students translate theoretical knowledge into clinical practice.</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On the other hand, Roy’s Adaptation Model views individuals as adaptive systems who respond to internal and external stimuli. Nursing students, as developing professionals, continuously adjust to the demands of both academic and clinical settings. Exposure</w:t>
      </w:r>
      <w:r>
        <w:rPr>
          <w:rFonts w:ascii="Arial" w:eastAsia="Arial" w:hAnsi="Arial" w:cs="Arial"/>
        </w:rPr>
        <w:t xml:space="preserve"> to knowledge and strategies related to nutritional management in diabetes requires students to process and integrate these concepts into their professional roles. Their ability to adapt cognitively, emotionally, and behaviorally influences how they perfor</w:t>
      </w:r>
      <w:r>
        <w:rPr>
          <w:rFonts w:ascii="Arial" w:eastAsia="Arial" w:hAnsi="Arial" w:cs="Arial"/>
        </w:rPr>
        <w:t>m nursing responsibilities such as patient education, dietary counseling, and nutritional monitoring. The model also underscores the importance of the environment, which may either facilitate or hinder adaptive responses depending on the availability of re</w:t>
      </w:r>
      <w:r>
        <w:rPr>
          <w:rFonts w:ascii="Arial" w:eastAsia="Arial" w:hAnsi="Arial" w:cs="Arial"/>
        </w:rPr>
        <w:t>sources, mentorship, and clinical exposure.</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Taken together, these theories provide a strong theoretical foundation for the study. While Pender’s model explains the motivational and behavioral determinants influencing students’ engagement in health-promoti</w:t>
      </w:r>
      <w:r>
        <w:rPr>
          <w:rFonts w:ascii="Arial" w:eastAsia="Arial" w:hAnsi="Arial" w:cs="Arial"/>
        </w:rPr>
        <w:t xml:space="preserve">ng practices, Roy’s model elucidates how students adapt to the complex demands of nursing education and practice. Through these frameworks, the study </w:t>
      </w:r>
      <w:r>
        <w:rPr>
          <w:rFonts w:ascii="Arial" w:eastAsia="Arial" w:hAnsi="Arial" w:cs="Arial"/>
        </w:rPr>
        <w:lastRenderedPageBreak/>
        <w:t>aims to examine not only the level of knowledge of nursing students regarding nutritional management in di</w:t>
      </w:r>
      <w:r>
        <w:rPr>
          <w:rFonts w:ascii="Arial" w:eastAsia="Arial" w:hAnsi="Arial" w:cs="Arial"/>
        </w:rPr>
        <w:t>abetes but also how their motivations, perceived competencies, and adaptive capacities influence the application of such knowledge in clinical settings. The integration of these theoretical perspectives may further guide improvements in curriculum developm</w:t>
      </w:r>
      <w:r>
        <w:rPr>
          <w:rFonts w:ascii="Arial" w:eastAsia="Arial" w:hAnsi="Arial" w:cs="Arial"/>
        </w:rPr>
        <w:t>ent, clinical training, and institutional support systems to better prepare nursing students for effective diabetes care.</w:t>
      </w:r>
    </w:p>
    <w:p w:rsidR="00C14C7D" w:rsidRDefault="00C14C7D">
      <w:pPr>
        <w:jc w:val="both"/>
        <w:rPr>
          <w:rFonts w:ascii="Arial" w:eastAsia="Arial" w:hAnsi="Arial" w:cs="Arial"/>
          <w:b/>
          <w:bCs/>
          <w:u w:val="single"/>
        </w:rPr>
      </w:pPr>
    </w:p>
    <w:p w:rsidR="00C14C7D" w:rsidRDefault="0073262F">
      <w:pPr>
        <w:jc w:val="both"/>
        <w:rPr>
          <w:rFonts w:ascii="Arial" w:eastAsia="Arial" w:hAnsi="Arial" w:cs="Arial"/>
          <w:b/>
          <w:bCs/>
          <w:u w:val="single"/>
        </w:rPr>
      </w:pPr>
      <w:r>
        <w:rPr>
          <w:rFonts w:ascii="Arial" w:eastAsia="Arial" w:hAnsi="Arial" w:cs="Arial"/>
          <w:b/>
          <w:bCs/>
          <w:u w:val="single"/>
        </w:rPr>
        <w:t>1.3 CONCEPTUAL FRAMEWORK</w:t>
      </w:r>
    </w:p>
    <w:p w:rsidR="00C14C7D" w:rsidRDefault="00C14C7D">
      <w:pPr>
        <w:jc w:val="both"/>
        <w:rPr>
          <w:rFonts w:ascii="Arial" w:eastAsia="Arial" w:hAnsi="Arial" w:cs="Arial"/>
          <w:b/>
          <w:bCs/>
          <w:u w:val="single"/>
        </w:rPr>
      </w:pPr>
    </w:p>
    <w:p w:rsidR="00C14C7D" w:rsidRDefault="0073262F">
      <w:r>
        <w:t>This study is guided by Pender’s Health Promotion Model (1982) and Roy’s Adaptation Model (1970), which pro</w:t>
      </w:r>
      <w:r>
        <w:t>vide a theoretical lens to understand how fourth-year nursing students develop and apply knowledge, attitudes, and practices related to nutritional management in Diabetes Mellitus. According to Pender, individuals are more likely to engage in health-promot</w:t>
      </w:r>
      <w:r>
        <w:t>ing behaviors when they perceive benefits, feel positive toward performing them, and are supported by their environment (Pender, 1982). Applied to nursing students, this implies that those with sufficient knowledge of nutritional management may demonstrate</w:t>
      </w:r>
      <w:r>
        <w:t xml:space="preserve"> more confident attitudes toward dietary guidance and are more likely to implement proper nutritional interventions in patient care.</w:t>
      </w:r>
    </w:p>
    <w:p w:rsidR="00C14C7D" w:rsidRDefault="00C14C7D"/>
    <w:p w:rsidR="00C14C7D" w:rsidRDefault="0073262F">
      <w:r>
        <w:t>Roy’s Adaptation Model complements this by emphasizing that nursing students, as adaptive systems, respond to internal and</w:t>
      </w:r>
      <w:r>
        <w:t xml:space="preserve"> external stimuli in their educational environment (Roy, 1970). Exposure to educational materials, clinical supervision, and hands-on experience in diabetes care may serve as stimuli that promote adaptation, transforming knowledge into attitudes and practi</w:t>
      </w:r>
      <w:r>
        <w:t>ce. Conversely, limited mentorship or insufficient clinical exposure can hinder this adaptation, potentially diminishing students’ competence in nutritional management (</w:t>
      </w:r>
      <w:proofErr w:type="spellStart"/>
      <w:r>
        <w:t>Farzaei</w:t>
      </w:r>
      <w:proofErr w:type="spellEnd"/>
      <w:r>
        <w:t xml:space="preserve"> et al., 2023).</w:t>
      </w:r>
    </w:p>
    <w:p w:rsidR="00C14C7D" w:rsidRDefault="00C14C7D"/>
    <w:p w:rsidR="00C14C7D" w:rsidRDefault="0073262F">
      <w:r>
        <w:t>In this study, knowledge is considered the independent variable</w:t>
      </w:r>
      <w:r>
        <w:t>, attitude functions as a mediating factor, and practice in nutritional management is the dependent variable. The framework posits that enhancing students’ understanding of diabetes nutrition can improve attitudes, which in turn shape actual practice. It a</w:t>
      </w:r>
      <w:r>
        <w:t>lso highlights perceived barriers—such as insufficient training, time constraints, or limited clinical exposure—that may obstruct the translation of comprehension and positive attitudes into practice, consistent with evidence showing significant positive c</w:t>
      </w:r>
      <w:r>
        <w:t>orrelations between knowledge, attitudes, and practice in diabetes management (</w:t>
      </w:r>
      <w:proofErr w:type="spellStart"/>
      <w:r>
        <w:t>Farzaei</w:t>
      </w:r>
      <w:proofErr w:type="spellEnd"/>
      <w:r>
        <w:t xml:space="preserve"> et al., 2023).</w:t>
      </w:r>
    </w:p>
    <w:p w:rsidR="00C14C7D" w:rsidRDefault="0073262F">
      <w:pPr>
        <w:spacing w:line="480" w:lineRule="auto"/>
        <w:rPr>
          <w:rFonts w:ascii="Arial" w:eastAsia="Arial" w:hAnsi="Arial" w:cs="Arial"/>
        </w:rPr>
      </w:pPr>
      <w:r>
        <w:rPr>
          <w:noProof/>
        </w:rPr>
        <w:lastRenderedPageBreak/>
        <w:drawing>
          <wp:anchor distT="114300" distB="114300" distL="114300" distR="114300" simplePos="0" relativeHeight="251658240" behindDoc="0" locked="0" layoutInCell="1" hidden="0" allowOverlap="1">
            <wp:simplePos x="0" y="0"/>
            <wp:positionH relativeFrom="column">
              <wp:posOffset>1079500</wp:posOffset>
            </wp:positionH>
            <wp:positionV relativeFrom="paragraph">
              <wp:posOffset>177800</wp:posOffset>
            </wp:positionV>
            <wp:extent cx="2736215" cy="2326602"/>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736215" cy="2326602"/>
                    </a:xfrm>
                    <a:prstGeom prst="rect">
                      <a:avLst/>
                    </a:prstGeom>
                    <a:ln/>
                  </pic:spPr>
                </pic:pic>
              </a:graphicData>
            </a:graphic>
          </wp:anchor>
        </w:drawing>
      </w:r>
    </w:p>
    <w:p w:rsidR="00C14C7D" w:rsidRDefault="00C14C7D"/>
    <w:p w:rsidR="00C14C7D" w:rsidRDefault="00C14C7D"/>
    <w:p w:rsidR="00C14C7D" w:rsidRDefault="00C14C7D"/>
    <w:p w:rsidR="00C14C7D" w:rsidRDefault="00C14C7D"/>
    <w:p w:rsidR="00C14C7D" w:rsidRDefault="00C14C7D">
      <w:pPr>
        <w:spacing w:before="240" w:after="240"/>
        <w:rPr>
          <w:rFonts w:ascii="Arial" w:eastAsia="Arial" w:hAnsi="Arial" w:cs="Arial"/>
          <w:b/>
          <w:bCs/>
        </w:rPr>
      </w:pPr>
    </w:p>
    <w:p w:rsidR="00C14C7D" w:rsidRDefault="0073262F">
      <w:pPr>
        <w:spacing w:before="240" w:after="240"/>
        <w:jc w:val="center"/>
      </w:pPr>
      <w:r>
        <w:rPr>
          <w:rFonts w:ascii="Arial" w:eastAsia="Arial" w:hAnsi="Arial" w:cs="Arial"/>
          <w:b/>
          <w:bCs/>
        </w:rPr>
        <w:t>Figure 1. Relationship of the Variables under Study</w:t>
      </w:r>
    </w:p>
    <w:p w:rsidR="00C14C7D" w:rsidRDefault="00C14C7D">
      <w:pPr>
        <w:keepNext/>
        <w:pBdr>
          <w:top w:val="nil"/>
          <w:left w:val="nil"/>
          <w:bottom w:val="nil"/>
          <w:right w:val="nil"/>
          <w:between w:val="nil"/>
        </w:pBdr>
        <w:jc w:val="both"/>
        <w:rPr>
          <w:rFonts w:ascii="Arial" w:eastAsia="Arial" w:hAnsi="Arial" w:cs="Arial"/>
          <w:b/>
          <w:bCs/>
          <w:smallCaps/>
          <w:sz w:val="22"/>
          <w:szCs w:val="22"/>
        </w:rPr>
      </w:pPr>
    </w:p>
    <w:p w:rsidR="00C14C7D" w:rsidRDefault="0073262F">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METHODOLOGY</w:t>
      </w:r>
    </w:p>
    <w:p w:rsidR="00C14C7D" w:rsidRDefault="00C14C7D">
      <w:pPr>
        <w:jc w:val="both"/>
        <w:rPr>
          <w:rFonts w:ascii="Arial" w:eastAsia="Arial" w:hAnsi="Arial" w:cs="Arial"/>
        </w:rPr>
      </w:pPr>
    </w:p>
    <w:p w:rsidR="00C14C7D" w:rsidRDefault="0073262F">
      <w:pPr>
        <w:jc w:val="both"/>
        <w:rPr>
          <w:rFonts w:ascii="Arial" w:eastAsia="Arial" w:hAnsi="Arial" w:cs="Arial"/>
          <w:b/>
          <w:bCs/>
          <w:u w:val="single"/>
        </w:rPr>
      </w:pPr>
      <w:r>
        <w:rPr>
          <w:rFonts w:ascii="Arial" w:eastAsia="Arial" w:hAnsi="Arial" w:cs="Arial"/>
          <w:b/>
          <w:bCs/>
          <w:u w:val="single"/>
        </w:rPr>
        <w:t>2.1 RESEARCH DESIGN</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This study utilized a descriptive-correlational, cross-sectional research design to assess the knowledge, attitudes, and practices (KAP) of fourth-year nursing students regarding nutritional management in diabetes mellitus. The design enabled the researche</w:t>
      </w:r>
      <w:r>
        <w:rPr>
          <w:rFonts w:ascii="Arial" w:eastAsia="Arial" w:hAnsi="Arial" w:cs="Arial"/>
        </w:rPr>
        <w:t>rs to describe variables as they naturally occur and examine the relationships among them without any manipulation. While causality was not established, the study determined whether significant associations existed among knowledge, attitudes, and practices</w:t>
      </w:r>
      <w:r>
        <w:rPr>
          <w:rFonts w:ascii="Arial" w:eastAsia="Arial" w:hAnsi="Arial" w:cs="Arial"/>
        </w:rPr>
        <w:t xml:space="preserve">. Data was collected at a single point in time, making this approach appropriate for obtaining a reliable snapshot of students’ preparedness in an academic </w:t>
      </w:r>
      <w:proofErr w:type="gramStart"/>
      <w:r>
        <w:rPr>
          <w:rFonts w:ascii="Arial" w:eastAsia="Arial" w:hAnsi="Arial" w:cs="Arial"/>
        </w:rPr>
        <w:t>setting .</w:t>
      </w:r>
      <w:proofErr w:type="gramEnd"/>
    </w:p>
    <w:p w:rsidR="00C14C7D" w:rsidRDefault="00C14C7D">
      <w:pPr>
        <w:jc w:val="both"/>
        <w:rPr>
          <w:rFonts w:ascii="Arial" w:eastAsia="Arial" w:hAnsi="Arial" w:cs="Arial"/>
        </w:rPr>
      </w:pPr>
    </w:p>
    <w:p w:rsidR="00C14C7D" w:rsidRDefault="0073262F">
      <w:pPr>
        <w:jc w:val="both"/>
        <w:rPr>
          <w:rFonts w:ascii="Arial" w:eastAsia="Arial" w:hAnsi="Arial" w:cs="Arial"/>
          <w:b/>
          <w:bCs/>
          <w:u w:val="single"/>
        </w:rPr>
      </w:pPr>
      <w:r>
        <w:rPr>
          <w:rFonts w:ascii="Arial" w:eastAsia="Arial" w:hAnsi="Arial" w:cs="Arial"/>
          <w:b/>
          <w:bCs/>
          <w:u w:val="single"/>
        </w:rPr>
        <w:t>2.2 STUDY SETTING</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The study was conducted in a private college located in Iloilo City, W</w:t>
      </w:r>
      <w:r>
        <w:rPr>
          <w:rFonts w:ascii="Arial" w:eastAsia="Arial" w:hAnsi="Arial" w:cs="Arial"/>
        </w:rPr>
        <w:t>estern Visayas, Philippines, specifically within the College of Nursing. The institution was selected due to its accessibility and relevance to the target population. To ensure confidentiality, the name of the school was not disclosed. The setting provided</w:t>
      </w:r>
      <w:r>
        <w:rPr>
          <w:rFonts w:ascii="Arial" w:eastAsia="Arial" w:hAnsi="Arial" w:cs="Arial"/>
        </w:rPr>
        <w:t xml:space="preserve"> a suitable academic environment for data collection, as it allowed access to fourth-year nursing students who were nearing completion of their program and had sufficient exposure to both theoretical and clinical </w:t>
      </w:r>
      <w:proofErr w:type="gramStart"/>
      <w:r>
        <w:rPr>
          <w:rFonts w:ascii="Arial" w:eastAsia="Arial" w:hAnsi="Arial" w:cs="Arial"/>
        </w:rPr>
        <w:t>experiences .</w:t>
      </w:r>
      <w:proofErr w:type="gramEnd"/>
    </w:p>
    <w:p w:rsidR="00C14C7D" w:rsidRDefault="00C14C7D">
      <w:pPr>
        <w:jc w:val="both"/>
        <w:rPr>
          <w:rFonts w:ascii="Arial" w:eastAsia="Arial" w:hAnsi="Arial" w:cs="Arial"/>
        </w:rPr>
      </w:pPr>
    </w:p>
    <w:p w:rsidR="00C14C7D" w:rsidRDefault="0073262F">
      <w:pPr>
        <w:jc w:val="both"/>
        <w:rPr>
          <w:rFonts w:ascii="Arial" w:eastAsia="Arial" w:hAnsi="Arial" w:cs="Arial"/>
          <w:b/>
          <w:bCs/>
          <w:u w:val="single"/>
        </w:rPr>
      </w:pPr>
      <w:r>
        <w:rPr>
          <w:rFonts w:ascii="Arial" w:eastAsia="Arial" w:hAnsi="Arial" w:cs="Arial"/>
          <w:b/>
          <w:bCs/>
          <w:u w:val="single"/>
        </w:rPr>
        <w:t>2.3 POPULATION AND SAMPLING</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The population of the study consisted of 520 fourth-year nursing students enrolled during the Academic Year 2025–2026. Respondents were selected using a simple random sampling technique to ensure equal opportunity for participation and to minimize samplin</w:t>
      </w:r>
      <w:r>
        <w:rPr>
          <w:rFonts w:ascii="Arial" w:eastAsia="Arial" w:hAnsi="Arial" w:cs="Arial"/>
        </w:rPr>
        <w:t xml:space="preserve">g bias. Only students who met the inclusion criteria and provided informed consent were included in the study. This sampling approach strengthened the representativeness of the sample and enhanced the reliability of the findings within the selected </w:t>
      </w:r>
      <w:proofErr w:type="gramStart"/>
      <w:r>
        <w:rPr>
          <w:rFonts w:ascii="Arial" w:eastAsia="Arial" w:hAnsi="Arial" w:cs="Arial"/>
        </w:rPr>
        <w:t>populat</w:t>
      </w:r>
      <w:r>
        <w:rPr>
          <w:rFonts w:ascii="Arial" w:eastAsia="Arial" w:hAnsi="Arial" w:cs="Arial"/>
        </w:rPr>
        <w:t>ion .</w:t>
      </w:r>
      <w:proofErr w:type="gramEnd"/>
    </w:p>
    <w:p w:rsidR="00C14C7D" w:rsidRDefault="00C14C7D">
      <w:pPr>
        <w:jc w:val="both"/>
        <w:rPr>
          <w:rFonts w:ascii="Arial" w:eastAsia="Arial" w:hAnsi="Arial" w:cs="Arial"/>
        </w:rPr>
      </w:pPr>
    </w:p>
    <w:p w:rsidR="00C14C7D" w:rsidRDefault="0073262F">
      <w:pPr>
        <w:jc w:val="both"/>
        <w:rPr>
          <w:rFonts w:ascii="Arial" w:eastAsia="Arial" w:hAnsi="Arial" w:cs="Arial"/>
          <w:b/>
          <w:bCs/>
          <w:u w:val="single"/>
        </w:rPr>
      </w:pPr>
      <w:r>
        <w:rPr>
          <w:rFonts w:ascii="Arial" w:eastAsia="Arial" w:hAnsi="Arial" w:cs="Arial"/>
          <w:b/>
          <w:bCs/>
          <w:u w:val="single"/>
        </w:rPr>
        <w:t>2.4 INSTRUMENTATION</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 xml:space="preserve">The researchers used a structured, adapted, and validated questionnaire as the primary data collection tool. The instrument was designed to measure the three components of the KAP framework: knowledge, attitudes, and practices. </w:t>
      </w:r>
      <w:r>
        <w:rPr>
          <w:rFonts w:ascii="Arial" w:eastAsia="Arial" w:hAnsi="Arial" w:cs="Arial"/>
        </w:rPr>
        <w:t>It consisted of three parts: Part I assessed the respondents’ knowledge regarding nutritional management in diabetes mellitus; Part II measured their attitudes toward dietary management; and Part III evaluated their actual practices in clinical settings. T</w:t>
      </w:r>
      <w:r>
        <w:rPr>
          <w:rFonts w:ascii="Arial" w:eastAsia="Arial" w:hAnsi="Arial" w:cs="Arial"/>
        </w:rPr>
        <w:t xml:space="preserve">he questionnaire underwent validity and reliability testing to </w:t>
      </w:r>
      <w:r>
        <w:rPr>
          <w:rFonts w:ascii="Arial" w:eastAsia="Arial" w:hAnsi="Arial" w:cs="Arial"/>
        </w:rPr>
        <w:lastRenderedPageBreak/>
        <w:t xml:space="preserve">ensure accuracy and consistency of responses. A Likert scale was used to quantify responses, facilitating statistical </w:t>
      </w:r>
      <w:proofErr w:type="gramStart"/>
      <w:r>
        <w:rPr>
          <w:rFonts w:ascii="Arial" w:eastAsia="Arial" w:hAnsi="Arial" w:cs="Arial"/>
        </w:rPr>
        <w:t>analysis .</w:t>
      </w:r>
      <w:proofErr w:type="gramEnd"/>
    </w:p>
    <w:p w:rsidR="00C14C7D" w:rsidRDefault="00C14C7D">
      <w:pPr>
        <w:jc w:val="both"/>
        <w:rPr>
          <w:rFonts w:ascii="Arial" w:eastAsia="Arial" w:hAnsi="Arial" w:cs="Arial"/>
        </w:rPr>
      </w:pPr>
    </w:p>
    <w:p w:rsidR="00C14C7D" w:rsidRDefault="0073262F">
      <w:pPr>
        <w:jc w:val="both"/>
        <w:rPr>
          <w:rFonts w:ascii="Arial" w:eastAsia="Arial" w:hAnsi="Arial" w:cs="Arial"/>
          <w:b/>
          <w:bCs/>
          <w:u w:val="single"/>
        </w:rPr>
      </w:pPr>
      <w:r>
        <w:rPr>
          <w:rFonts w:ascii="Arial" w:eastAsia="Arial" w:hAnsi="Arial" w:cs="Arial"/>
          <w:b/>
          <w:bCs/>
          <w:u w:val="single"/>
        </w:rPr>
        <w:t>2.5 DATA GATHERING PROCEDURE</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Prior to data collection, the res</w:t>
      </w:r>
      <w:r>
        <w:rPr>
          <w:rFonts w:ascii="Arial" w:eastAsia="Arial" w:hAnsi="Arial" w:cs="Arial"/>
        </w:rPr>
        <w:t>earchers secured the necessary approvals from the appropriate authorities and obtained ethical clearance. Participants were informed about the purpose of the study, and informed consent was obtained before participation. The questionnaires were distributed</w:t>
      </w:r>
      <w:r>
        <w:rPr>
          <w:rFonts w:ascii="Arial" w:eastAsia="Arial" w:hAnsi="Arial" w:cs="Arial"/>
        </w:rPr>
        <w:t xml:space="preserve"> in paper format to eligible fourth-year nursing students and were completed within a designated period. The researchers provided guidance when necessary while ensuring minimal disruption to the respondents. Completed questionnaires were collected, organiz</w:t>
      </w:r>
      <w:r>
        <w:rPr>
          <w:rFonts w:ascii="Arial" w:eastAsia="Arial" w:hAnsi="Arial" w:cs="Arial"/>
        </w:rPr>
        <w:t xml:space="preserve">ed, and securely stored to maintain confidentiality and data integrity throughout the research </w:t>
      </w:r>
      <w:proofErr w:type="gramStart"/>
      <w:r>
        <w:rPr>
          <w:rFonts w:ascii="Arial" w:eastAsia="Arial" w:hAnsi="Arial" w:cs="Arial"/>
        </w:rPr>
        <w:t>process .</w:t>
      </w:r>
      <w:proofErr w:type="gramEnd"/>
    </w:p>
    <w:p w:rsidR="00C14C7D" w:rsidRDefault="00C14C7D">
      <w:pPr>
        <w:jc w:val="both"/>
        <w:rPr>
          <w:rFonts w:ascii="Arial" w:eastAsia="Arial" w:hAnsi="Arial" w:cs="Arial"/>
        </w:rPr>
      </w:pPr>
    </w:p>
    <w:p w:rsidR="00C14C7D" w:rsidRDefault="0073262F">
      <w:pPr>
        <w:jc w:val="both"/>
        <w:rPr>
          <w:rFonts w:ascii="Arial" w:eastAsia="Arial" w:hAnsi="Arial" w:cs="Arial"/>
          <w:b/>
          <w:bCs/>
          <w:u w:val="single"/>
        </w:rPr>
      </w:pPr>
      <w:r>
        <w:rPr>
          <w:rFonts w:ascii="Arial" w:eastAsia="Arial" w:hAnsi="Arial" w:cs="Arial"/>
          <w:b/>
          <w:bCs/>
          <w:u w:val="single"/>
        </w:rPr>
        <w:t>2.6 DATA ANALYSIS PROCEDURE</w:t>
      </w:r>
    </w:p>
    <w:p w:rsidR="00C14C7D" w:rsidRDefault="00C14C7D">
      <w:pPr>
        <w:jc w:val="both"/>
        <w:rPr>
          <w:rFonts w:ascii="Arial" w:eastAsia="Arial" w:hAnsi="Arial" w:cs="Arial"/>
        </w:rPr>
      </w:pPr>
    </w:p>
    <w:p w:rsidR="00C14C7D" w:rsidRDefault="0073262F">
      <w:pPr>
        <w:jc w:val="both"/>
        <w:rPr>
          <w:rFonts w:ascii="Arial" w:eastAsia="Arial" w:hAnsi="Arial" w:cs="Arial"/>
        </w:rPr>
      </w:pPr>
      <w:r>
        <w:rPr>
          <w:rFonts w:ascii="Arial" w:eastAsia="Arial" w:hAnsi="Arial" w:cs="Arial"/>
        </w:rPr>
        <w:t xml:space="preserve">The collected data were analyzed using both descriptive and inferential statistical methods. Descriptive statistics, including frequency, percentage, and mean, were used to summarize the levels of knowledge, attitudes, and practices among the respondents. </w:t>
      </w:r>
      <w:r>
        <w:rPr>
          <w:rFonts w:ascii="Arial" w:eastAsia="Arial" w:hAnsi="Arial" w:cs="Arial"/>
        </w:rPr>
        <w:t xml:space="preserve">Inferential statistics, specifically Spearman’s rho, were employed to determine the relationships among the variables. The level of significance was set at α = 0.05 to test the hypotheses. These statistical methods enabled the researchers to interpret the </w:t>
      </w:r>
      <w:r>
        <w:rPr>
          <w:rFonts w:ascii="Arial" w:eastAsia="Arial" w:hAnsi="Arial" w:cs="Arial"/>
        </w:rPr>
        <w:t>data accurately and identify significant correlations among the study variables</w:t>
      </w:r>
    </w:p>
    <w:p w:rsidR="00C14C7D" w:rsidRDefault="00C14C7D">
      <w:pPr>
        <w:pBdr>
          <w:top w:val="nil"/>
          <w:left w:val="nil"/>
          <w:bottom w:val="nil"/>
          <w:right w:val="nil"/>
          <w:between w:val="nil"/>
        </w:pBdr>
        <w:jc w:val="both"/>
        <w:rPr>
          <w:rFonts w:ascii="Arial" w:eastAsia="Arial" w:hAnsi="Arial" w:cs="Arial"/>
        </w:rPr>
      </w:pPr>
    </w:p>
    <w:p w:rsidR="00C14C7D" w:rsidRDefault="00C14C7D">
      <w:pPr>
        <w:pBdr>
          <w:top w:val="nil"/>
          <w:left w:val="nil"/>
          <w:bottom w:val="nil"/>
          <w:right w:val="nil"/>
          <w:between w:val="nil"/>
        </w:pBdr>
        <w:jc w:val="both"/>
        <w:rPr>
          <w:rFonts w:ascii="Arial" w:eastAsia="Arial" w:hAnsi="Arial" w:cs="Arial"/>
          <w:color w:val="000000"/>
        </w:rPr>
      </w:pPr>
    </w:p>
    <w:p w:rsidR="00C14C7D" w:rsidRDefault="0073262F">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 AND DISCUSSION</w:t>
      </w:r>
    </w:p>
    <w:p w:rsidR="00C14C7D" w:rsidRDefault="00C14C7D">
      <w:pPr>
        <w:keepNext/>
        <w:pBdr>
          <w:top w:val="nil"/>
          <w:left w:val="nil"/>
          <w:bottom w:val="nil"/>
          <w:right w:val="nil"/>
          <w:between w:val="nil"/>
        </w:pBdr>
        <w:jc w:val="both"/>
        <w:rPr>
          <w:rFonts w:ascii="Arial" w:eastAsia="Arial" w:hAnsi="Arial" w:cs="Arial"/>
          <w:b/>
          <w:bCs/>
          <w:smallCaps/>
          <w:sz w:val="22"/>
          <w:szCs w:val="22"/>
        </w:rPr>
      </w:pPr>
    </w:p>
    <w:p w:rsidR="00C14C7D" w:rsidRDefault="0073262F">
      <w:pPr>
        <w:keepNext/>
        <w:jc w:val="both"/>
        <w:rPr>
          <w:rFonts w:ascii="Arial" w:eastAsia="Arial" w:hAnsi="Arial" w:cs="Arial"/>
          <w:b/>
          <w:bCs/>
          <w:smallCaps/>
          <w:sz w:val="22"/>
          <w:szCs w:val="22"/>
          <w:u w:val="single"/>
        </w:rPr>
      </w:pPr>
      <w:r>
        <w:rPr>
          <w:rFonts w:ascii="Arial" w:eastAsia="Arial" w:hAnsi="Arial" w:cs="Arial"/>
          <w:b/>
          <w:bCs/>
          <w:u w:val="single"/>
        </w:rPr>
        <w:t>3.</w:t>
      </w:r>
      <w:proofErr w:type="gramStart"/>
      <w:r>
        <w:rPr>
          <w:rFonts w:ascii="Arial" w:eastAsia="Arial" w:hAnsi="Arial" w:cs="Arial"/>
          <w:b/>
          <w:bCs/>
          <w:u w:val="single"/>
        </w:rPr>
        <w:t>1.Profile</w:t>
      </w:r>
      <w:proofErr w:type="gramEnd"/>
      <w:r>
        <w:rPr>
          <w:rFonts w:ascii="Arial" w:eastAsia="Arial" w:hAnsi="Arial" w:cs="Arial"/>
          <w:b/>
          <w:bCs/>
          <w:u w:val="single"/>
        </w:rPr>
        <w:t xml:space="preserve"> of The Respondents</w:t>
      </w:r>
    </w:p>
    <w:p w:rsidR="00C14C7D" w:rsidRDefault="00C14C7D">
      <w:pPr>
        <w:keepNext/>
        <w:pBdr>
          <w:top w:val="nil"/>
          <w:left w:val="nil"/>
          <w:bottom w:val="nil"/>
          <w:right w:val="nil"/>
          <w:between w:val="nil"/>
        </w:pBdr>
        <w:jc w:val="both"/>
        <w:rPr>
          <w:rFonts w:ascii="Arial" w:eastAsia="Arial" w:hAnsi="Arial" w:cs="Arial"/>
          <w:b/>
          <w:bCs/>
          <w:smallCaps/>
          <w:sz w:val="22"/>
          <w:szCs w:val="22"/>
        </w:rPr>
      </w:pPr>
    </w:p>
    <w:p w:rsidR="00C14C7D" w:rsidRDefault="0073262F">
      <w:r>
        <w:t>A total of 222 nursing students consented to participate in the study. 75.7% of the respondents were female, reflecting the common demographic trend in nursing education, while a smaller proportion are male consisting of 24.3%. This distribution provided a</w:t>
      </w:r>
      <w:r>
        <w:t xml:space="preserve"> general overview of the composition of the sample group in terms of sex, as presented in table 1.</w:t>
      </w:r>
    </w:p>
    <w:p w:rsidR="00C14C7D" w:rsidRDefault="0073262F">
      <w:pPr>
        <w:spacing w:before="240" w:after="240"/>
        <w:jc w:val="center"/>
        <w:rPr>
          <w:rFonts w:ascii="Arial" w:eastAsia="Arial" w:hAnsi="Arial" w:cs="Arial"/>
          <w:b/>
          <w:bCs/>
        </w:rPr>
      </w:pPr>
      <w:r>
        <w:rPr>
          <w:rFonts w:ascii="Arial" w:eastAsia="Arial" w:hAnsi="Arial" w:cs="Arial"/>
          <w:b/>
          <w:bCs/>
        </w:rPr>
        <w:t>Table 1. Distribution of the Respondents by Sex (n = 222)</w:t>
      </w:r>
    </w:p>
    <w:sdt>
      <w:sdtPr>
        <w:tag w:val="goog_rdk_6"/>
        <w:id w:val="736899226"/>
        <w:lock w:val="contentLocked"/>
      </w:sdtPr>
      <w:sdtEndPr/>
      <w:sdtContent>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C14C7D">
            <w:trPr>
              <w:trHeight w:val="144"/>
            </w:trPr>
            <w:tc>
              <w:tcPr>
                <w:tcW w:w="288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Sex</w:t>
                </w:r>
              </w:p>
            </w:tc>
            <w:tc>
              <w:tcPr>
                <w:tcW w:w="2880" w:type="dxa"/>
                <w:tcBorders>
                  <w:left w:val="nil"/>
                  <w:right w:val="nil"/>
                </w:tcBorders>
                <w:shd w:val="clear" w:color="auto" w:fill="FFFFFF"/>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f</w:t>
                </w:r>
              </w:p>
            </w:tc>
            <w:tc>
              <w:tcPr>
                <w:tcW w:w="288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w:t>
                </w:r>
              </w:p>
            </w:tc>
          </w:tr>
          <w:tr w:rsidR="00C14C7D">
            <w:trPr>
              <w:trHeight w:val="144"/>
            </w:trPr>
            <w:tc>
              <w:tcPr>
                <w:tcW w:w="2880" w:type="dxa"/>
                <w:tcBorders>
                  <w:left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Male</w:t>
                </w:r>
              </w:p>
              <w:p w:rsidR="00C14C7D" w:rsidRDefault="0073262F">
                <w:pPr>
                  <w:widowControl w:val="0"/>
                  <w:rPr>
                    <w:rFonts w:ascii="Arial" w:eastAsia="Arial" w:hAnsi="Arial" w:cs="Arial"/>
                  </w:rPr>
                </w:pPr>
                <w:r>
                  <w:rPr>
                    <w:rFonts w:ascii="Arial" w:eastAsia="Arial" w:hAnsi="Arial" w:cs="Arial"/>
                  </w:rPr>
                  <w:t>Female</w:t>
                </w:r>
              </w:p>
            </w:tc>
            <w:tc>
              <w:tcPr>
                <w:tcW w:w="2880" w:type="dxa"/>
                <w:tcBorders>
                  <w:left w:val="nil"/>
                  <w:right w:val="nil"/>
                </w:tcBorders>
                <w:shd w:val="clear" w:color="auto" w:fill="FFFFFF"/>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54</w:t>
                </w:r>
              </w:p>
              <w:p w:rsidR="00C14C7D" w:rsidRDefault="0073262F">
                <w:pPr>
                  <w:widowControl w:val="0"/>
                  <w:jc w:val="center"/>
                  <w:rPr>
                    <w:rFonts w:ascii="Arial" w:eastAsia="Arial" w:hAnsi="Arial" w:cs="Arial"/>
                  </w:rPr>
                </w:pPr>
                <w:r>
                  <w:rPr>
                    <w:rFonts w:ascii="Arial" w:eastAsia="Arial" w:hAnsi="Arial" w:cs="Arial"/>
                  </w:rPr>
                  <w:t>168</w:t>
                </w:r>
              </w:p>
            </w:tc>
            <w:tc>
              <w:tcPr>
                <w:tcW w:w="288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24.3</w:t>
                </w:r>
              </w:p>
              <w:p w:rsidR="00C14C7D" w:rsidRDefault="0073262F">
                <w:pPr>
                  <w:widowControl w:val="0"/>
                  <w:jc w:val="center"/>
                  <w:rPr>
                    <w:rFonts w:ascii="Arial" w:eastAsia="Arial" w:hAnsi="Arial" w:cs="Arial"/>
                  </w:rPr>
                </w:pPr>
                <w:r>
                  <w:rPr>
                    <w:rFonts w:ascii="Arial" w:eastAsia="Arial" w:hAnsi="Arial" w:cs="Arial"/>
                  </w:rPr>
                  <w:t>75.7</w:t>
                </w:r>
              </w:p>
            </w:tc>
          </w:tr>
          <w:tr w:rsidR="00C14C7D">
            <w:trPr>
              <w:trHeight w:val="144"/>
            </w:trPr>
            <w:tc>
              <w:tcPr>
                <w:tcW w:w="288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Total</w:t>
                </w:r>
              </w:p>
            </w:tc>
            <w:tc>
              <w:tcPr>
                <w:tcW w:w="2880" w:type="dxa"/>
                <w:tcBorders>
                  <w:left w:val="nil"/>
                  <w:right w:val="nil"/>
                </w:tcBorders>
                <w:shd w:val="clear" w:color="auto" w:fill="FFFFFF"/>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222</w:t>
                </w:r>
              </w:p>
            </w:tc>
            <w:tc>
              <w:tcPr>
                <w:tcW w:w="288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100</w:t>
                </w:r>
              </w:p>
            </w:tc>
          </w:tr>
        </w:tbl>
      </w:sdtContent>
    </w:sdt>
    <w:p w:rsidR="00C14C7D" w:rsidRDefault="00C14C7D">
      <w:pPr>
        <w:keepNext/>
        <w:pBdr>
          <w:top w:val="nil"/>
          <w:left w:val="nil"/>
          <w:bottom w:val="nil"/>
          <w:right w:val="nil"/>
          <w:between w:val="nil"/>
        </w:pBdr>
        <w:jc w:val="both"/>
        <w:rPr>
          <w:rFonts w:ascii="Arial" w:eastAsia="Arial" w:hAnsi="Arial" w:cs="Arial"/>
          <w:b/>
          <w:bCs/>
          <w:u w:val="single"/>
        </w:rPr>
      </w:pPr>
    </w:p>
    <w:p w:rsidR="00C14C7D" w:rsidRDefault="0073262F">
      <w:pPr>
        <w:keepNext/>
        <w:pBdr>
          <w:top w:val="nil"/>
          <w:left w:val="nil"/>
          <w:bottom w:val="nil"/>
          <w:right w:val="nil"/>
          <w:between w:val="nil"/>
        </w:pBdr>
        <w:jc w:val="both"/>
        <w:rPr>
          <w:rFonts w:ascii="Arial" w:eastAsia="Arial" w:hAnsi="Arial" w:cs="Arial"/>
          <w:b/>
          <w:bCs/>
          <w:smallCaps/>
          <w:sz w:val="22"/>
          <w:szCs w:val="22"/>
          <w:u w:val="single"/>
        </w:rPr>
      </w:pPr>
      <w:r>
        <w:rPr>
          <w:rFonts w:ascii="Arial" w:eastAsia="Arial" w:hAnsi="Arial" w:cs="Arial"/>
          <w:b/>
          <w:bCs/>
          <w:u w:val="single"/>
        </w:rPr>
        <w:t xml:space="preserve">3.2 </w:t>
      </w:r>
      <w:r>
        <w:rPr>
          <w:rFonts w:ascii="Arial" w:eastAsia="Arial" w:hAnsi="Arial" w:cs="Arial"/>
          <w:b/>
          <w:bCs/>
          <w:u w:val="single"/>
        </w:rPr>
        <w:t>Level of Knowledge of Fourth-Year Nursing Students regarding Nutritional Management in Diabetes Mellitus</w:t>
      </w:r>
    </w:p>
    <w:p w:rsidR="00C14C7D" w:rsidRDefault="0073262F">
      <w:pPr>
        <w:spacing w:before="240" w:after="240"/>
        <w:jc w:val="both"/>
        <w:rPr>
          <w:rFonts w:ascii="Arial" w:eastAsia="Arial" w:hAnsi="Arial" w:cs="Arial"/>
        </w:rPr>
      </w:pPr>
      <w:r>
        <w:rPr>
          <w:rFonts w:ascii="Arial" w:eastAsia="Arial" w:hAnsi="Arial" w:cs="Arial"/>
        </w:rPr>
        <w:t>The level of knowledge among 222 fourth-year nursing students regarding nutritional management in diabetes mellitus was assessed using a validated ques</w:t>
      </w:r>
      <w:r>
        <w:rPr>
          <w:rFonts w:ascii="Arial" w:eastAsia="Arial" w:hAnsi="Arial" w:cs="Arial"/>
        </w:rPr>
        <w:t xml:space="preserve">tionnaire, with scores categorized based on Bloom’s cut-off points. The findings revealed that the majority of </w:t>
      </w:r>
      <w:r>
        <w:rPr>
          <w:rFonts w:ascii="Arial" w:eastAsia="Arial" w:hAnsi="Arial" w:cs="Arial"/>
        </w:rPr>
        <w:lastRenderedPageBreak/>
        <w:t>respondents demonstrated a high level of knowledge (83.33%), followed by moderate knowledge (14.41%), and a minimal proportion with low knowledge</w:t>
      </w:r>
      <w:r>
        <w:rPr>
          <w:rFonts w:ascii="Arial" w:eastAsia="Arial" w:hAnsi="Arial" w:cs="Arial"/>
        </w:rPr>
        <w:t xml:space="preserve"> (2.25%</w:t>
      </w:r>
      <w:proofErr w:type="gramStart"/>
      <w:r>
        <w:rPr>
          <w:rFonts w:ascii="Arial" w:eastAsia="Arial" w:hAnsi="Arial" w:cs="Arial"/>
        </w:rPr>
        <w:t>) .</w:t>
      </w:r>
      <w:proofErr w:type="gramEnd"/>
    </w:p>
    <w:p w:rsidR="00C14C7D" w:rsidRDefault="0073262F">
      <w:pPr>
        <w:spacing w:before="240" w:after="240"/>
        <w:jc w:val="both"/>
        <w:rPr>
          <w:rFonts w:ascii="Arial" w:eastAsia="Arial" w:hAnsi="Arial" w:cs="Arial"/>
        </w:rPr>
      </w:pPr>
      <w:r>
        <w:rPr>
          <w:rFonts w:ascii="Arial" w:eastAsia="Arial" w:hAnsi="Arial" w:cs="Arial"/>
        </w:rPr>
        <w:t>Students reported the strongest knowledge in fundamental concepts of diabetes care, including balanced diet, dietary composition, and the role of nutrition in disease management, highlighting the effectiveness of academic preparation and clinica</w:t>
      </w:r>
      <w:r>
        <w:rPr>
          <w:rFonts w:ascii="Arial" w:eastAsia="Arial" w:hAnsi="Arial" w:cs="Arial"/>
        </w:rPr>
        <w:t>l exposure in enhancing knowledge levels.</w:t>
      </w:r>
    </w:p>
    <w:p w:rsidR="00C14C7D" w:rsidRDefault="0073262F">
      <w:pPr>
        <w:spacing w:before="240" w:after="240"/>
        <w:jc w:val="both"/>
        <w:rPr>
          <w:rFonts w:ascii="Arial" w:eastAsia="Arial" w:hAnsi="Arial" w:cs="Arial"/>
        </w:rPr>
      </w:pPr>
      <w:r>
        <w:rPr>
          <w:rFonts w:ascii="Arial" w:eastAsia="Arial" w:hAnsi="Arial" w:cs="Arial"/>
        </w:rPr>
        <w:t>Lower proportions were observed in the moderate and low knowledge categories, suggesting that some students experience gaps in understanding specific aspects of nutritional management. Although these groups are rel</w:t>
      </w:r>
      <w:r>
        <w:rPr>
          <w:rFonts w:ascii="Arial" w:eastAsia="Arial" w:hAnsi="Arial" w:cs="Arial"/>
        </w:rPr>
        <w:t>atively small, they reflect areas where further educational reinforcement and clarification are needed.</w:t>
      </w:r>
    </w:p>
    <w:p w:rsidR="00C14C7D" w:rsidRDefault="0073262F">
      <w:pPr>
        <w:spacing w:before="240" w:after="240"/>
        <w:jc w:val="both"/>
        <w:rPr>
          <w:rFonts w:ascii="Arial" w:eastAsia="Arial" w:hAnsi="Arial" w:cs="Arial"/>
        </w:rPr>
      </w:pPr>
      <w:r>
        <w:rPr>
          <w:rFonts w:ascii="Arial" w:eastAsia="Arial" w:hAnsi="Arial" w:cs="Arial"/>
        </w:rPr>
        <w:t>Despite these variations, the relatively high percentage of respondents in the high knowledge category indicates a consistent level of understanding amo</w:t>
      </w:r>
      <w:r>
        <w:rPr>
          <w:rFonts w:ascii="Arial" w:eastAsia="Arial" w:hAnsi="Arial" w:cs="Arial"/>
        </w:rPr>
        <w:t>ng students. Overall, the findings suggest that fourth-year nursing students generally possess a high level of knowledge regarding nutritional management in diabetes mellitus. However, targeted interventions may still be necessary to address minor knowledg</w:t>
      </w:r>
      <w:r>
        <w:rPr>
          <w:rFonts w:ascii="Arial" w:eastAsia="Arial" w:hAnsi="Arial" w:cs="Arial"/>
        </w:rPr>
        <w:t>e gaps, consistent with existing literature emphasizing the importance of continuous education and training in improving diabetes care competency. The classification of knowledge levels was based on Bloom’s taxonomy, as presented in Table 2a.</w:t>
      </w:r>
    </w:p>
    <w:p w:rsidR="00C14C7D" w:rsidRDefault="0073262F">
      <w:pPr>
        <w:spacing w:before="240" w:after="240"/>
        <w:jc w:val="center"/>
        <w:rPr>
          <w:rFonts w:ascii="Arial" w:eastAsia="Arial" w:hAnsi="Arial" w:cs="Arial"/>
          <w:b/>
          <w:bCs/>
        </w:rPr>
      </w:pPr>
      <w:r>
        <w:rPr>
          <w:rFonts w:ascii="Arial" w:eastAsia="Arial" w:hAnsi="Arial" w:cs="Arial"/>
          <w:b/>
          <w:bCs/>
        </w:rPr>
        <w:t>Table 2a. Dis</w:t>
      </w:r>
      <w:r>
        <w:rPr>
          <w:rFonts w:ascii="Arial" w:eastAsia="Arial" w:hAnsi="Arial" w:cs="Arial"/>
          <w:b/>
          <w:bCs/>
        </w:rPr>
        <w:t>tribution of respondents according to the knowledge toward nutritional management in Diabetes Mellitus (n = 222)</w:t>
      </w:r>
    </w:p>
    <w:tbl>
      <w:tblPr>
        <w:tblStyle w:val="a1"/>
        <w:tblW w:w="8805" w:type="dxa"/>
        <w:tblBorders>
          <w:top w:val="nil"/>
          <w:left w:val="nil"/>
          <w:bottom w:val="nil"/>
          <w:right w:val="nil"/>
          <w:insideH w:val="nil"/>
          <w:insideV w:val="nil"/>
        </w:tblBorders>
        <w:tblLayout w:type="fixed"/>
        <w:tblLook w:val="0600" w:firstRow="0" w:lastRow="0" w:firstColumn="0" w:lastColumn="0" w:noHBand="1" w:noVBand="1"/>
      </w:tblPr>
      <w:tblGrid>
        <w:gridCol w:w="4668"/>
        <w:gridCol w:w="1337"/>
        <w:gridCol w:w="1400"/>
        <w:gridCol w:w="1400"/>
      </w:tblGrid>
      <w:tr w:rsidR="00C14C7D">
        <w:trPr>
          <w:trHeight w:val="144"/>
        </w:trPr>
        <w:tc>
          <w:tcPr>
            <w:tcW w:w="4667"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 xml:space="preserve"> </w:t>
            </w:r>
          </w:p>
        </w:tc>
        <w:tc>
          <w:tcPr>
            <w:tcW w:w="1337"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Correct</w:t>
            </w:r>
          </w:p>
          <w:p w:rsidR="00C14C7D" w:rsidRDefault="0073262F">
            <w:pPr>
              <w:jc w:val="center"/>
              <w:rPr>
                <w:rFonts w:ascii="Arial" w:eastAsia="Arial" w:hAnsi="Arial" w:cs="Arial"/>
              </w:rPr>
            </w:pPr>
            <w:r>
              <w:rPr>
                <w:rFonts w:ascii="Arial" w:eastAsia="Arial" w:hAnsi="Arial" w:cs="Arial"/>
              </w:rPr>
              <w:t>f (%)</w:t>
            </w:r>
          </w:p>
        </w:tc>
        <w:tc>
          <w:tcPr>
            <w:tcW w:w="140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 xml:space="preserve">Incorrect </w:t>
            </w:r>
          </w:p>
          <w:p w:rsidR="00C14C7D" w:rsidRDefault="0073262F">
            <w:pPr>
              <w:jc w:val="center"/>
              <w:rPr>
                <w:rFonts w:ascii="Arial" w:eastAsia="Arial" w:hAnsi="Arial" w:cs="Arial"/>
              </w:rPr>
            </w:pPr>
            <w:r>
              <w:rPr>
                <w:rFonts w:ascii="Arial" w:eastAsia="Arial" w:hAnsi="Arial" w:cs="Arial"/>
              </w:rPr>
              <w:t>f (%)</w:t>
            </w:r>
          </w:p>
        </w:tc>
        <w:tc>
          <w:tcPr>
            <w:tcW w:w="140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Correct answer</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Diabetes patients should eat a balanced diet.</w:t>
            </w:r>
          </w:p>
        </w:tc>
        <w:tc>
          <w:tcPr>
            <w:tcW w:w="1337" w:type="dxa"/>
            <w:tcBorders>
              <w:top w:val="single" w:sz="6" w:space="0" w:color="FFFFFF"/>
              <w:left w:val="single" w:sz="6" w:space="0" w:color="FFFFFF"/>
              <w:bottom w:val="nil"/>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218 (98.2)</w:t>
            </w:r>
          </w:p>
        </w:tc>
        <w:tc>
          <w:tcPr>
            <w:tcW w:w="1400" w:type="dxa"/>
            <w:tcBorders>
              <w:top w:val="single" w:sz="6" w:space="0" w:color="FFFFFF"/>
              <w:left w:val="single" w:sz="6" w:space="0" w:color="FFFFFF"/>
              <w:bottom w:val="nil"/>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4 (1.8)</w:t>
            </w:r>
          </w:p>
        </w:tc>
        <w:tc>
          <w:tcPr>
            <w:tcW w:w="1400" w:type="dxa"/>
            <w:tcBorders>
              <w:top w:val="single" w:sz="6" w:space="0" w:color="FFFFFF"/>
              <w:left w:val="single" w:sz="6" w:space="0" w:color="FFFFFF"/>
              <w:bottom w:val="nil"/>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nil"/>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A diabetic diet is calculated based on carbohydrates, proteins and fats.</w:t>
            </w:r>
          </w:p>
        </w:tc>
        <w:tc>
          <w:tcPr>
            <w:tcW w:w="1337" w:type="dxa"/>
            <w:tcBorders>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213 (95.95)</w:t>
            </w:r>
          </w:p>
        </w:tc>
        <w:tc>
          <w:tcPr>
            <w:tcW w:w="1400" w:type="dxa"/>
            <w:tcBorders>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9 (4.05)</w:t>
            </w:r>
          </w:p>
        </w:tc>
        <w:tc>
          <w:tcPr>
            <w:tcW w:w="1400" w:type="dxa"/>
            <w:tcBorders>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Exercise plays an important role in the prevention and management of diabetes.</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213 (95.95)</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9 (4.05)</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Non-fat or low-fat milk contains less fat and fewer calories than whole milk.</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210 (94.59)</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12 (5.41)</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Trans-fats increase LDL cholesterol levels.</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202 (90.99)</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20 (9.01)</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Cholesterol should be restricted to 300 mg daily for diabetes patients.</w:t>
            </w:r>
          </w:p>
        </w:tc>
        <w:tc>
          <w:tcPr>
            <w:tcW w:w="1337" w:type="dxa"/>
            <w:tcBorders>
              <w:top w:val="single" w:sz="6" w:space="0" w:color="FFFFFF"/>
              <w:left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196 (88.</w:t>
            </w:r>
            <w:r>
              <w:rPr>
                <w:rFonts w:ascii="Arial" w:eastAsia="Arial" w:hAnsi="Arial" w:cs="Arial"/>
              </w:rPr>
              <w:t>29)</w:t>
            </w:r>
          </w:p>
        </w:tc>
        <w:tc>
          <w:tcPr>
            <w:tcW w:w="1400" w:type="dxa"/>
            <w:tcBorders>
              <w:top w:val="single" w:sz="6" w:space="0" w:color="FFFFFF"/>
              <w:left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26 (11.71)</w:t>
            </w:r>
          </w:p>
        </w:tc>
        <w:tc>
          <w:tcPr>
            <w:tcW w:w="1400" w:type="dxa"/>
            <w:tcBorders>
              <w:top w:val="single" w:sz="6" w:space="0" w:color="FFFFFF"/>
              <w:left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Symptomatic hypoglycemia could be treated using 3–4 cubes of sugar.</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194 (87.39)</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28 (12.61)</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50–60% of the daily caloric intake of diabetics should come from carbohydrates.</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176 (79.28)</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46 (20.72)</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The total amount of carbohydrates is more important than the type of carbohydrate.</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168 (75.68)</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54 (24.32)</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Diabetes is related to hypertension.</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160 (72.07)</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62 (27.93)</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Yes</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Only carbohydrates have to be restricted for diabetic patients.</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135 (60.81)</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87 (</w:t>
            </w:r>
            <w:r>
              <w:rPr>
                <w:rFonts w:ascii="Arial" w:eastAsia="Arial" w:hAnsi="Arial" w:cs="Arial"/>
              </w:rPr>
              <w:t>39.19)</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No</w:t>
            </w:r>
          </w:p>
        </w:tc>
      </w:tr>
      <w:tr w:rsidR="00C14C7D">
        <w:trPr>
          <w:trHeight w:val="144"/>
        </w:trPr>
        <w:tc>
          <w:tcPr>
            <w:tcW w:w="466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rPr>
                <w:rFonts w:ascii="Arial" w:eastAsia="Arial" w:hAnsi="Arial" w:cs="Arial"/>
              </w:rPr>
            </w:pPr>
            <w:r>
              <w:rPr>
                <w:rFonts w:ascii="Arial" w:eastAsia="Arial" w:hAnsi="Arial" w:cs="Arial"/>
              </w:rPr>
              <w:t>Diabetes is caused by high sugar intake.</w:t>
            </w:r>
          </w:p>
        </w:tc>
        <w:tc>
          <w:tcPr>
            <w:tcW w:w="1337"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88 (39.64)</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134 (60.36)</w:t>
            </w:r>
          </w:p>
        </w:tc>
        <w:tc>
          <w:tcPr>
            <w:tcW w:w="14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No</w:t>
            </w:r>
          </w:p>
        </w:tc>
      </w:tr>
      <w:tr w:rsidR="00C14C7D">
        <w:trPr>
          <w:trHeight w:val="144"/>
        </w:trPr>
        <w:tc>
          <w:tcPr>
            <w:tcW w:w="4667"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Overall m(</w:t>
            </w:r>
            <w:proofErr w:type="spellStart"/>
            <w:r>
              <w:rPr>
                <w:rFonts w:ascii="Arial" w:eastAsia="Arial" w:hAnsi="Arial" w:cs="Arial"/>
              </w:rPr>
              <w:t>sd</w:t>
            </w:r>
            <w:proofErr w:type="spellEnd"/>
            <w:r>
              <w:rPr>
                <w:rFonts w:ascii="Arial" w:eastAsia="Arial" w:hAnsi="Arial" w:cs="Arial"/>
              </w:rPr>
              <w:t>)</w:t>
            </w:r>
          </w:p>
        </w:tc>
        <w:tc>
          <w:tcPr>
            <w:tcW w:w="4137" w:type="dxa"/>
            <w:gridSpan w:val="3"/>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vAlign w:val="center"/>
          </w:tcPr>
          <w:p w:rsidR="00C14C7D" w:rsidRDefault="0073262F">
            <w:pPr>
              <w:jc w:val="center"/>
              <w:rPr>
                <w:rFonts w:ascii="Arial" w:eastAsia="Arial" w:hAnsi="Arial" w:cs="Arial"/>
              </w:rPr>
            </w:pPr>
            <w:r>
              <w:rPr>
                <w:rFonts w:ascii="Arial" w:eastAsia="Arial" w:hAnsi="Arial" w:cs="Arial"/>
              </w:rPr>
              <w:t>9.39/12 (1.3)</w:t>
            </w:r>
          </w:p>
        </w:tc>
      </w:tr>
    </w:tbl>
    <w:p w:rsidR="00C14C7D" w:rsidRDefault="0073262F">
      <w:pPr>
        <w:spacing w:before="240" w:after="240"/>
        <w:jc w:val="both"/>
        <w:rPr>
          <w:rFonts w:ascii="Arial" w:eastAsia="Arial" w:hAnsi="Arial" w:cs="Arial"/>
        </w:rPr>
      </w:pPr>
      <w:r>
        <w:rPr>
          <w:rFonts w:ascii="Arial" w:eastAsia="Arial" w:hAnsi="Arial" w:cs="Arial"/>
        </w:rPr>
        <w:t>A questionnaire assessing knowledge of nutritional management in diabetes revealed that 83.33% of fourth-year nursing students demonstrated a high level of understanding, indicating strong competence in key aspects of diabetes care. Meanwhile, 14.41% had m</w:t>
      </w:r>
      <w:r>
        <w:rPr>
          <w:rFonts w:ascii="Arial" w:eastAsia="Arial" w:hAnsi="Arial" w:cs="Arial"/>
        </w:rPr>
        <w:t xml:space="preserve">oderate </w:t>
      </w:r>
      <w:r>
        <w:rPr>
          <w:rFonts w:ascii="Arial" w:eastAsia="Arial" w:hAnsi="Arial" w:cs="Arial"/>
        </w:rPr>
        <w:lastRenderedPageBreak/>
        <w:t>knowledge, suggesting a need for additional instruction in certain areas, and 2.25% scored low, highlighting the requirement for further reinforcement. Overall, the findings indicate that students generally possess a high level of knowledge, consis</w:t>
      </w:r>
      <w:r>
        <w:rPr>
          <w:rFonts w:ascii="Arial" w:eastAsia="Arial" w:hAnsi="Arial" w:cs="Arial"/>
        </w:rPr>
        <w:t>tent with previous studies reporting that Filipino nursing students and nurses demonstrate strong understanding of basic diabetes concepts and care (</w:t>
      </w:r>
      <w:proofErr w:type="spellStart"/>
      <w:r>
        <w:rPr>
          <w:rFonts w:ascii="Arial" w:eastAsia="Arial" w:hAnsi="Arial" w:cs="Arial"/>
        </w:rPr>
        <w:t>Balolong</w:t>
      </w:r>
      <w:proofErr w:type="spellEnd"/>
      <w:r>
        <w:rPr>
          <w:rFonts w:ascii="Arial" w:eastAsia="Arial" w:hAnsi="Arial" w:cs="Arial"/>
        </w:rPr>
        <w:t xml:space="preserve"> et al., 2021; Hernandez et al., 2022). The classification of knowledge levels was based on Bloom’s</w:t>
      </w:r>
      <w:r>
        <w:rPr>
          <w:rFonts w:ascii="Arial" w:eastAsia="Arial" w:hAnsi="Arial" w:cs="Arial"/>
        </w:rPr>
        <w:t xml:space="preserve"> cut-off points (Bloom, 1956), as summarized in Table 2b.</w:t>
      </w:r>
    </w:p>
    <w:p w:rsidR="00C14C7D" w:rsidRDefault="0073262F">
      <w:pPr>
        <w:spacing w:before="240"/>
        <w:jc w:val="center"/>
        <w:rPr>
          <w:rFonts w:ascii="Arial" w:eastAsia="Arial" w:hAnsi="Arial" w:cs="Arial"/>
          <w:b/>
          <w:bCs/>
        </w:rPr>
      </w:pPr>
      <w:r>
        <w:rPr>
          <w:rFonts w:ascii="Arial" w:eastAsia="Arial" w:hAnsi="Arial" w:cs="Arial"/>
          <w:b/>
          <w:bCs/>
        </w:rPr>
        <w:t>Table 2b. Distribution of respondents according to the overall knowledge level (n = 222)</w:t>
      </w:r>
    </w:p>
    <w:sdt>
      <w:sdtPr>
        <w:tag w:val="goog_rdk_7"/>
        <w:id w:val="-1967333076"/>
        <w:lock w:val="contentLocked"/>
      </w:sdtPr>
      <w:sdtEndPr/>
      <w:sdtContent>
        <w:tbl>
          <w:tblPr>
            <w:tblStyle w:val="a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Score range</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Knowledge level</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Frequency (f)</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Percentage (%)</w:t>
                </w:r>
              </w:p>
            </w:tc>
          </w:tr>
          <w:tr w:rsidR="00C14C7D">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&lt;7 (&lt;60%)</w:t>
                </w:r>
              </w:p>
            </w:tc>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Poor Knowledge</w:t>
                </w:r>
              </w:p>
            </w:tc>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5</w:t>
                </w:r>
              </w:p>
            </w:tc>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2.25</w:t>
                </w:r>
              </w:p>
            </w:tc>
          </w:tr>
          <w:tr w:rsidR="00C14C7D">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8-9 (60%-80%)</w:t>
                </w:r>
              </w:p>
            </w:tc>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Moderate Knowledge</w:t>
                </w:r>
              </w:p>
            </w:tc>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32</w:t>
                </w:r>
              </w:p>
            </w:tc>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14.41</w:t>
                </w:r>
              </w:p>
            </w:tc>
          </w:tr>
          <w:tr w:rsidR="00C14C7D">
            <w:tc>
              <w:tcPr>
                <w:tcW w:w="2160" w:type="dxa"/>
                <w:tcBorders>
                  <w:top w:val="nil"/>
                  <w:left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10-12 (80%-100%)</w:t>
                </w:r>
              </w:p>
            </w:tc>
            <w:tc>
              <w:tcPr>
                <w:tcW w:w="2160" w:type="dxa"/>
                <w:tcBorders>
                  <w:top w:val="nil"/>
                  <w:left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High Knowledge</w:t>
                </w:r>
              </w:p>
            </w:tc>
            <w:tc>
              <w:tcPr>
                <w:tcW w:w="2160" w:type="dxa"/>
                <w:tcBorders>
                  <w:top w:val="nil"/>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185</w:t>
                </w:r>
              </w:p>
            </w:tc>
            <w:tc>
              <w:tcPr>
                <w:tcW w:w="2160" w:type="dxa"/>
                <w:tcBorders>
                  <w:top w:val="nil"/>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83.33</w:t>
                </w:r>
              </w:p>
            </w:tc>
          </w:tr>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rPr>
                    <w:rFonts w:ascii="Arial" w:eastAsia="Arial" w:hAnsi="Arial" w:cs="Arial"/>
                  </w:rPr>
                </w:pPr>
                <w:r>
                  <w:rPr>
                    <w:rFonts w:ascii="Arial" w:eastAsia="Arial" w:hAnsi="Arial" w:cs="Arial"/>
                  </w:rPr>
                  <w:t>Total</w:t>
                </w: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222</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100</w:t>
                </w:r>
              </w:p>
            </w:tc>
          </w:tr>
        </w:tbl>
      </w:sdtContent>
    </w:sdt>
    <w:p w:rsidR="00C14C7D" w:rsidRDefault="0073262F">
      <w:pPr>
        <w:pStyle w:val="Heading2"/>
        <w:spacing w:before="240" w:after="240"/>
        <w:rPr>
          <w:rFonts w:ascii="Arial" w:eastAsia="Arial" w:hAnsi="Arial" w:cs="Arial"/>
          <w:sz w:val="20"/>
          <w:szCs w:val="20"/>
          <w:u w:val="single"/>
        </w:rPr>
      </w:pPr>
      <w:bookmarkStart w:id="7" w:name="_heading=h.8ioq6rbkxxoo" w:colFirst="0" w:colLast="0"/>
      <w:bookmarkEnd w:id="7"/>
      <w:r>
        <w:rPr>
          <w:rFonts w:ascii="Arial" w:eastAsia="Arial" w:hAnsi="Arial" w:cs="Arial"/>
          <w:sz w:val="20"/>
          <w:szCs w:val="20"/>
          <w:u w:val="single"/>
        </w:rPr>
        <w:t>3.3 Level of Attitude of Fourth-Year Nursing Students regarding Nutritional Management in Diabetes Mellitus</w:t>
      </w:r>
    </w:p>
    <w:p w:rsidR="00C14C7D" w:rsidRDefault="0073262F">
      <w:r>
        <w:t>A Likert scale questionnaire assessed fourth-year nursing students’ attitudes toward nutritional management in diabetes mellitus. Table 3a shows that students generally hold a favorable disposition toward the topic, with an overall mean score of 3.39 out o</w:t>
      </w:r>
      <w:r>
        <w:t>f 4, indicating a positive attitude. High mean scores were observed for statements regarding patient education and awareness of diabetic diet (M = 3.54), calculation and interpretation of body mass index (BMI) upon admission (M = 3.52), and promotion of di</w:t>
      </w:r>
      <w:r>
        <w:t xml:space="preserve">abetic diet awareness among patients (M = 3.54). Similarly, students exhibited positive attitudes toward the nurse’s role in nutritional assessment, patient education, and lifestyle modification, with mean scores ranging from 3.42 to 3.49. Conversely, the </w:t>
      </w:r>
      <w:r>
        <w:t>statement suggesting that nutritional care is solely the responsibility of the hospital nutritionist received a comparatively lower mean score (M = 3.11), reflecting the students’ perception of nutritional management as a collaborative effort among healthc</w:t>
      </w:r>
      <w:r>
        <w:t>are professionals.</w:t>
      </w:r>
    </w:p>
    <w:p w:rsidR="00C14C7D" w:rsidRDefault="0073262F">
      <w:pPr>
        <w:spacing w:before="240"/>
        <w:jc w:val="center"/>
        <w:rPr>
          <w:rFonts w:ascii="Arial" w:eastAsia="Arial" w:hAnsi="Arial" w:cs="Arial"/>
          <w:b/>
          <w:bCs/>
        </w:rPr>
      </w:pPr>
      <w:r>
        <w:rPr>
          <w:rFonts w:ascii="Arial" w:eastAsia="Arial" w:hAnsi="Arial" w:cs="Arial"/>
          <w:b/>
          <w:bCs/>
        </w:rPr>
        <w:t>Table 3a. Distribution of respondents according to the attitudes toward nutritional management in Diabetes Mellitus (n = 222)</w:t>
      </w:r>
    </w:p>
    <w:sdt>
      <w:sdtPr>
        <w:tag w:val="goog_rdk_8"/>
        <w:id w:val="1582357119"/>
        <w:lock w:val="contentLocked"/>
      </w:sdtPr>
      <w:sdtEndPr/>
      <w:sdtContent>
        <w:tbl>
          <w:tblPr>
            <w:tblStyle w:val="a3"/>
            <w:tblW w:w="8565" w:type="dxa"/>
            <w:tblBorders>
              <w:top w:val="nil"/>
              <w:left w:val="nil"/>
              <w:bottom w:val="nil"/>
              <w:right w:val="nil"/>
              <w:insideH w:val="nil"/>
              <w:insideV w:val="nil"/>
            </w:tblBorders>
            <w:tblLayout w:type="fixed"/>
            <w:tblLook w:val="0600" w:firstRow="0" w:lastRow="0" w:firstColumn="0" w:lastColumn="0" w:noHBand="1" w:noVBand="1"/>
          </w:tblPr>
          <w:tblGrid>
            <w:gridCol w:w="6045"/>
            <w:gridCol w:w="1320"/>
            <w:gridCol w:w="1200"/>
          </w:tblGrid>
          <w:tr w:rsidR="00C14C7D">
            <w:trPr>
              <w:trHeight w:val="144"/>
            </w:trPr>
            <w:tc>
              <w:tcPr>
                <w:tcW w:w="6045"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 xml:space="preserve"> </w:t>
                </w:r>
              </w:p>
              <w:p w:rsidR="00C14C7D" w:rsidRDefault="0073262F">
                <w:pPr>
                  <w:rPr>
                    <w:rFonts w:ascii="Arial" w:eastAsia="Arial" w:hAnsi="Arial" w:cs="Arial"/>
                  </w:rPr>
                </w:pPr>
                <w:r>
                  <w:rPr>
                    <w:rFonts w:ascii="Arial" w:eastAsia="Arial" w:hAnsi="Arial" w:cs="Arial"/>
                  </w:rPr>
                  <w:t xml:space="preserve"> </w:t>
                </w:r>
              </w:p>
            </w:tc>
            <w:tc>
              <w:tcPr>
                <w:tcW w:w="132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Mean</w:t>
                </w:r>
              </w:p>
            </w:tc>
            <w:tc>
              <w:tcPr>
                <w:tcW w:w="120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Standard Deviation</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all patients with diabetes should be aware of their diabetic diet</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3.54</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0.66</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body mass index (BMI) of patients with diabetes should be calculated and interpreted at the time of admission to the ward.</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3.52</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0.63</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all patients with diabetes should try to control their blood sugar by modifying their lifestyle to reduce complications.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3.52</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0.69</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diet is important in controlling blood sugar for all patients with diabetes.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3.51</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0.72</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w:t>
                </w:r>
                <w:r>
                  <w:rPr>
                    <w:rFonts w:ascii="Arial" w:eastAsia="Arial" w:hAnsi="Arial" w:cs="Arial"/>
                  </w:rPr>
                  <w:t>eve that obese patients with diabetes are more prone to diabetes complications than normal weight patients.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3.50</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0.68</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lastRenderedPageBreak/>
                  <w:t>I believe that educating patients with diabetes about the importance of a diabetic diet is one of the responsibilities of nurses.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3.49</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0.65</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nutrition, diet, weight control, and increased activity are the basis of diabetes control</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3.48</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0.69</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nurses and other members of the health care team should be aware of nutritional therapy and patient support that require nutritional and lifestyle modifications.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3.48</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0.68</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the nurse plays an important role in strengthening th</w:t>
                </w:r>
                <w:r>
                  <w:rPr>
                    <w:rFonts w:ascii="Arial" w:eastAsia="Arial" w:hAnsi="Arial" w:cs="Arial"/>
                  </w:rPr>
                  <w:t>e patient's and family’s understanding of the diabetic diet.</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3.48</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0.71</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the nurse should evaluate the effectiveness of nutritional interventions in patients with diabetes.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3.46</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0.66</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the nurse plays an important role in informing the nutritionist and patients’ understanding of the diabetic diet.</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3.42</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0.67</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 xml:space="preserve">I believe that in order to monitor the nutritional status of patients with diabetes, nurses should monitor the work </w:t>
                </w:r>
                <w:r>
                  <w:rPr>
                    <w:rFonts w:ascii="Arial" w:eastAsia="Arial" w:hAnsi="Arial" w:cs="Arial"/>
                  </w:rPr>
                  <w:t>of nurse assistants in helping patients with nutrition.</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3.36</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0.68</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initial nutritional assessment of patients with diabetes is one of the responsibilities of nurses.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3.34</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0.64</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nutritional care of hospitalized patients with di</w:t>
                </w:r>
                <w:r>
                  <w:rPr>
                    <w:rFonts w:ascii="Arial" w:eastAsia="Arial" w:hAnsi="Arial" w:cs="Arial"/>
                  </w:rPr>
                  <w:t>abetes is the sole responsibility of the hospital’s nutritionist</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3.11</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0.86</w:t>
                </w:r>
              </w:p>
            </w:tc>
          </w:tr>
          <w:tr w:rsidR="00C14C7D">
            <w:trPr>
              <w:trHeight w:val="144"/>
            </w:trPr>
            <w:tc>
              <w:tcPr>
                <w:tcW w:w="604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I believe that initial nutritional evaluation is not necessary for all patients with hospitalized diabetes.</w:t>
                </w:r>
              </w:p>
            </w:tc>
            <w:tc>
              <w:tcPr>
                <w:tcW w:w="132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2.70</w:t>
                </w:r>
              </w:p>
            </w:tc>
            <w:tc>
              <w:tcPr>
                <w:tcW w:w="120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1.08</w:t>
                </w:r>
              </w:p>
            </w:tc>
          </w:tr>
          <w:tr w:rsidR="00C14C7D">
            <w:trPr>
              <w:trHeight w:val="144"/>
            </w:trPr>
            <w:tc>
              <w:tcPr>
                <w:tcW w:w="6045"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rPr>
                    <w:rFonts w:ascii="Arial" w:eastAsia="Arial" w:hAnsi="Arial" w:cs="Arial"/>
                  </w:rPr>
                </w:pPr>
                <w:r>
                  <w:rPr>
                    <w:rFonts w:ascii="Arial" w:eastAsia="Arial" w:hAnsi="Arial" w:cs="Arial"/>
                  </w:rPr>
                  <w:t>Overall</w:t>
                </w:r>
              </w:p>
              <w:p w:rsidR="00C14C7D" w:rsidRDefault="0073262F">
                <w:pPr>
                  <w:rPr>
                    <w:rFonts w:ascii="Arial" w:eastAsia="Arial" w:hAnsi="Arial" w:cs="Arial"/>
                  </w:rPr>
                </w:pPr>
                <w:r>
                  <w:rPr>
                    <w:rFonts w:ascii="Arial" w:eastAsia="Arial" w:hAnsi="Arial" w:cs="Arial"/>
                  </w:rPr>
                  <w:t xml:space="preserve"> </w:t>
                </w:r>
              </w:p>
            </w:tc>
            <w:tc>
              <w:tcPr>
                <w:tcW w:w="132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3.39/4</w:t>
                </w:r>
              </w:p>
            </w:tc>
            <w:tc>
              <w:tcPr>
                <w:tcW w:w="120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jc w:val="center"/>
                  <w:rPr>
                    <w:rFonts w:ascii="Arial" w:eastAsia="Arial" w:hAnsi="Arial" w:cs="Arial"/>
                  </w:rPr>
                </w:pPr>
                <w:r>
                  <w:rPr>
                    <w:rFonts w:ascii="Arial" w:eastAsia="Arial" w:hAnsi="Arial" w:cs="Arial"/>
                  </w:rPr>
                  <w:t>0.58</w:t>
                </w:r>
              </w:p>
            </w:tc>
          </w:tr>
        </w:tbl>
      </w:sdtContent>
    </w:sdt>
    <w:p w:rsidR="00C14C7D" w:rsidRDefault="00C14C7D"/>
    <w:p w:rsidR="00C14C7D" w:rsidRDefault="0073262F">
      <w:r>
        <w:t>Table 3b presents the overall attitude levels. Findings revealed that 70.27% of respondents were classified as having a positive attitude, 26.58% as neutral, and only 3.15% as poor. These results indicate that most fourth-year nursing students view nutriti</w:t>
      </w:r>
      <w:r>
        <w:t>onal management in diabetes favorably, consistent with the Knowledge, Attitudes, and Practices (KAP) framework, which emphasizes the influence of attitudes on health-related behaviors (</w:t>
      </w:r>
      <w:proofErr w:type="spellStart"/>
      <w:r>
        <w:t>Launiala</w:t>
      </w:r>
      <w:proofErr w:type="spellEnd"/>
      <w:r>
        <w:t>, 2009). The classification of attitude levels was based on Blo</w:t>
      </w:r>
      <w:r>
        <w:t xml:space="preserve">om’s cut-off points (Bloom, 1956). Prior studies also highlight the importance of positive attitudes in supporting patient education and diabetes care (Yu et al., 2022; </w:t>
      </w:r>
      <w:proofErr w:type="spellStart"/>
      <w:r>
        <w:t>Trani</w:t>
      </w:r>
      <w:proofErr w:type="spellEnd"/>
      <w:r>
        <w:t xml:space="preserve"> et al., 2024).</w:t>
      </w:r>
    </w:p>
    <w:p w:rsidR="00C14C7D" w:rsidRDefault="0073262F">
      <w:pPr>
        <w:spacing w:before="240" w:after="240"/>
        <w:jc w:val="center"/>
        <w:rPr>
          <w:b/>
          <w:bCs/>
        </w:rPr>
      </w:pPr>
      <w:r>
        <w:rPr>
          <w:rFonts w:ascii="Arial" w:eastAsia="Arial" w:hAnsi="Arial" w:cs="Arial"/>
          <w:b/>
          <w:bCs/>
        </w:rPr>
        <w:t xml:space="preserve">Table 3b. </w:t>
      </w:r>
      <w:r>
        <w:rPr>
          <w:b/>
          <w:bCs/>
        </w:rPr>
        <w:t>Distribution of respondents according to the overall attitude level (n = 222)</w:t>
      </w:r>
    </w:p>
    <w:sdt>
      <w:sdtPr>
        <w:tag w:val="goog_rdk_9"/>
        <w:id w:val="1098375546"/>
        <w:lock w:val="contentLocked"/>
      </w:sdtPr>
      <w:sdtEndPr/>
      <w:sdtContent>
        <w:tbl>
          <w:tblPr>
            <w:tblStyle w:val="a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75"/>
            <w:gridCol w:w="2145"/>
          </w:tblGrid>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Score Range</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Attitude</w:t>
                </w:r>
              </w:p>
            </w:tc>
            <w:tc>
              <w:tcPr>
                <w:tcW w:w="217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Frequency (f)</w:t>
                </w: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Percentage (%)</w:t>
                </w:r>
              </w:p>
            </w:tc>
          </w:tr>
          <w:tr w:rsidR="00C14C7D">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&lt;35 (&lt;60%)</w:t>
                </w:r>
              </w:p>
            </w:tc>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Poor Attitude</w:t>
                </w:r>
              </w:p>
            </w:tc>
            <w:tc>
              <w:tcPr>
                <w:tcW w:w="2175"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6</w:t>
                </w:r>
              </w:p>
            </w:tc>
            <w:tc>
              <w:tcPr>
                <w:tcW w:w="2145"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3.15</w:t>
                </w:r>
              </w:p>
            </w:tc>
          </w:tr>
          <w:tr w:rsidR="00C14C7D">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36-47 (60%-79%)</w:t>
                </w:r>
              </w:p>
            </w:tc>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Neutral Attitude</w:t>
                </w:r>
              </w:p>
            </w:tc>
            <w:tc>
              <w:tcPr>
                <w:tcW w:w="2175"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49</w:t>
                </w:r>
              </w:p>
            </w:tc>
            <w:tc>
              <w:tcPr>
                <w:tcW w:w="2145"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26.58</w:t>
                </w:r>
              </w:p>
            </w:tc>
          </w:tr>
          <w:tr w:rsidR="00C14C7D">
            <w:trPr>
              <w:trHeight w:val="470"/>
            </w:trPr>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40-60 (80%-100%)</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Positive Attitude</w:t>
                </w:r>
              </w:p>
            </w:tc>
            <w:tc>
              <w:tcPr>
                <w:tcW w:w="217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167</w:t>
                </w: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70.27</w:t>
                </w:r>
              </w:p>
            </w:tc>
          </w:tr>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Total</w:t>
                </w: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7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222</w:t>
                </w: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100</w:t>
                </w:r>
              </w:p>
            </w:tc>
          </w:tr>
        </w:tbl>
      </w:sdtContent>
    </w:sdt>
    <w:p w:rsidR="00C14C7D" w:rsidRDefault="0073262F">
      <w:pPr>
        <w:spacing w:before="240" w:after="240"/>
        <w:rPr>
          <w:rFonts w:ascii="Arial" w:eastAsia="Arial" w:hAnsi="Arial" w:cs="Arial"/>
          <w:b/>
          <w:bCs/>
          <w:u w:val="single"/>
        </w:rPr>
      </w:pPr>
      <w:r>
        <w:rPr>
          <w:rFonts w:ascii="Arial" w:eastAsia="Arial" w:hAnsi="Arial" w:cs="Arial"/>
          <w:b/>
          <w:bCs/>
          <w:u w:val="single"/>
        </w:rPr>
        <w:t>3.4 Level of Practice of Fourth-Year Nursing Students Regarding Nutritional Management in Diabetes Mellitus</w:t>
      </w:r>
    </w:p>
    <w:p w:rsidR="00C14C7D" w:rsidRDefault="0073262F">
      <w:pPr>
        <w:spacing w:before="240" w:after="240"/>
        <w:rPr>
          <w:rFonts w:ascii="Arial" w:eastAsia="Arial" w:hAnsi="Arial" w:cs="Arial"/>
        </w:rPr>
      </w:pPr>
      <w:r>
        <w:rPr>
          <w:rFonts w:ascii="Arial" w:eastAsia="Arial" w:hAnsi="Arial" w:cs="Arial"/>
        </w:rPr>
        <w:lastRenderedPageBreak/>
        <w:t>A Likert scale questionnaire assessed fourth-year nursing students’ practices in managing nutrition for patients with diabetes mellitus. As shown in Table 4a, respondents generally exhibited good practices, with an overall mean score of 3.36 out of 4. Stud</w:t>
      </w:r>
      <w:r>
        <w:rPr>
          <w:rFonts w:ascii="Arial" w:eastAsia="Arial" w:hAnsi="Arial" w:cs="Arial"/>
        </w:rPr>
        <w:t>ents scored particularly high in monitoring patients’ nutritional needs (M = 3.45), teaching patients and their families about the diabetic diet (M = 3.44), and providing oral discharge instructions (M = 3.42). They also demonstrated strong practices in as</w:t>
      </w:r>
      <w:r>
        <w:rPr>
          <w:rFonts w:ascii="Arial" w:eastAsia="Arial" w:hAnsi="Arial" w:cs="Arial"/>
        </w:rPr>
        <w:t>sessing patients’ nutritional needs (M = 3.38), preparing and adjusting nursing care plans (M = 3.41), and coordinating with physicians and nutritionists for nutritional advice (M = 3.42), highlighting their understanding of comprehensive patient evaluatio</w:t>
      </w:r>
      <w:r>
        <w:rPr>
          <w:rFonts w:ascii="Arial" w:eastAsia="Arial" w:hAnsi="Arial" w:cs="Arial"/>
        </w:rPr>
        <w:t>n and interdisciplinary collaboration.</w:t>
      </w:r>
    </w:p>
    <w:p w:rsidR="00C14C7D" w:rsidRDefault="0073262F">
      <w:pPr>
        <w:spacing w:before="240" w:after="240"/>
        <w:rPr>
          <w:rFonts w:ascii="Arial" w:eastAsia="Arial" w:hAnsi="Arial" w:cs="Arial"/>
        </w:rPr>
      </w:pPr>
      <w:r>
        <w:rPr>
          <w:rFonts w:ascii="Arial" w:eastAsia="Arial" w:hAnsi="Arial" w:cs="Arial"/>
        </w:rPr>
        <w:t>Some indicators received slightly lower mean scores, including calculating and interpreting Body Mass Index (BMI) (M = 3.28), providing written discharge instructions (M = 3.31), and following up with nutritionists re</w:t>
      </w:r>
      <w:r>
        <w:rPr>
          <w:rFonts w:ascii="Arial" w:eastAsia="Arial" w:hAnsi="Arial" w:cs="Arial"/>
        </w:rPr>
        <w:t>garding patients’ nutritional status (M = 3.32), suggesting areas where additional clinical exposure and reinforcement may enhance consistency and confidence.</w:t>
      </w:r>
    </w:p>
    <w:p w:rsidR="00C14C7D" w:rsidRDefault="0073262F">
      <w:pPr>
        <w:spacing w:before="240"/>
        <w:jc w:val="center"/>
        <w:rPr>
          <w:rFonts w:ascii="Arial" w:eastAsia="Arial" w:hAnsi="Arial" w:cs="Arial"/>
          <w:b/>
          <w:bCs/>
        </w:rPr>
      </w:pPr>
      <w:r>
        <w:rPr>
          <w:rFonts w:ascii="Arial" w:eastAsia="Arial" w:hAnsi="Arial" w:cs="Arial"/>
          <w:b/>
          <w:bCs/>
        </w:rPr>
        <w:t>Table 4a. Distribution of respondents according to the practices toward nutritional management in</w:t>
      </w:r>
      <w:r>
        <w:rPr>
          <w:rFonts w:ascii="Arial" w:eastAsia="Arial" w:hAnsi="Arial" w:cs="Arial"/>
          <w:b/>
          <w:bCs/>
        </w:rPr>
        <w:t xml:space="preserve"> Diabetes Mellitus (n = 222)</w:t>
      </w:r>
    </w:p>
    <w:sdt>
      <w:sdtPr>
        <w:tag w:val="goog_rdk_10"/>
        <w:id w:val="-769056062"/>
        <w:lock w:val="contentLocked"/>
      </w:sdtPr>
      <w:sdtEndPr/>
      <w:sdtContent>
        <w:tbl>
          <w:tblPr>
            <w:tblStyle w:val="a5"/>
            <w:tblW w:w="8745" w:type="dxa"/>
            <w:tblBorders>
              <w:top w:val="nil"/>
              <w:left w:val="nil"/>
              <w:bottom w:val="nil"/>
              <w:right w:val="nil"/>
              <w:insideH w:val="nil"/>
              <w:insideV w:val="nil"/>
            </w:tblBorders>
            <w:tblLayout w:type="fixed"/>
            <w:tblLook w:val="0600" w:firstRow="0" w:lastRow="0" w:firstColumn="0" w:lastColumn="0" w:noHBand="1" w:noVBand="1"/>
          </w:tblPr>
          <w:tblGrid>
            <w:gridCol w:w="6180"/>
            <w:gridCol w:w="1125"/>
            <w:gridCol w:w="1440"/>
          </w:tblGrid>
          <w:tr w:rsidR="00C14C7D">
            <w:trPr>
              <w:trHeight w:val="144"/>
            </w:trPr>
            <w:tc>
              <w:tcPr>
                <w:tcW w:w="618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 xml:space="preserve"> </w:t>
                </w:r>
              </w:p>
            </w:tc>
            <w:tc>
              <w:tcPr>
                <w:tcW w:w="1125"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Mean</w:t>
                </w:r>
              </w:p>
            </w:tc>
            <w:tc>
              <w:tcPr>
                <w:tcW w:w="144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Standard Deviation</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monitor the nutritional needs of patients with diabetes in a variety of ways (for example, after insulin injections / oral antidiabetic medications, I visit the patient to make sure he or she has eaten the food)</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3.45</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0.68</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In order to strengthen the understanding of patients with diabetes and their families, I teach them about the diabetic diet.</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3.44</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0.73</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Based on the results of the patient’s initial assessment, I will inform the treating physician that the patient has diabetes to seek nutritional advice.</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3.42</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0.68</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At the time of discharge of a patient with diabetes, I provide oral instructions to patients</w:t>
                </w:r>
                <w:r>
                  <w:rPr>
                    <w:rFonts w:ascii="Arial" w:eastAsia="Arial" w:hAnsi="Arial" w:cs="Arial"/>
                  </w:rPr>
                  <w:t>/their families on nutrition and diabetic diet.</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3.42</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0.70</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prepare and adjust a nursing care plan for each patient with diabetes based on primary and secondary information.</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3.41</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0.77</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During the initial assessment of the patient, I ask his or her compani</w:t>
                </w:r>
                <w:r>
                  <w:rPr>
                    <w:rFonts w:ascii="Arial" w:eastAsia="Arial" w:hAnsi="Arial" w:cs="Arial"/>
                  </w:rPr>
                  <w:t>on about recent weight loss or gain</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3.39</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0.72</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assess the nutritional needs of patients with diabetes using the nurse's admission assessment sheet</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3.38</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0.67</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record the discharge training provided for the diabetic diet in the patient education form.</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3.36</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0.73</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evaluate the effectiveness of nutritional training provided to patients with diabetes in various ways, including the teach-back method, test results, and so on</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3.33</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0.74</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make nursing diagnoses related to the nutrition of patients with diabe</w:t>
                </w:r>
                <w:r>
                  <w:rPr>
                    <w:rFonts w:ascii="Arial" w:eastAsia="Arial" w:hAnsi="Arial" w:cs="Arial"/>
                  </w:rPr>
                  <w:t>tes and record them in the nurse report sheet for follow-up.</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3.32</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0.76</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In the ward, I monitor that the type and amount of food required by patients with diabetes are in accordance with the diet set by the nutrition consultant, and if the patient wishes to change the type or amount of food, I coordinate with the nutritionist.</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3.32</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0.74</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follow up on informing the nutritionist about the patient’s nutritional status and conducting nutrition counseling.</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3.32</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0.77</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lastRenderedPageBreak/>
                  <w:t>During the rounds/visits, I discuss the nutritional status of my diabetic patients</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3.32</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0.79</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At the time of discharge of a patient with diabetes, I provide written information to patients/their families about nutrition and the diabetic diets.</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3.31</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0.78</w:t>
                </w:r>
              </w:p>
            </w:tc>
          </w:tr>
          <w:tr w:rsidR="00C14C7D">
            <w:trPr>
              <w:trHeight w:val="144"/>
            </w:trPr>
            <w:tc>
              <w:tcPr>
                <w:tcW w:w="618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I calculate and interpret the body mass index (BMI) of a patient with diabetes</w:t>
                </w:r>
              </w:p>
            </w:tc>
            <w:tc>
              <w:tcPr>
                <w:tcW w:w="1125"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3.28</w:t>
                </w:r>
              </w:p>
            </w:tc>
            <w:tc>
              <w:tcPr>
                <w:tcW w:w="1440" w:type="dxa"/>
                <w:tcBorders>
                  <w:top w:val="single" w:sz="6" w:space="0" w:color="FFFFFF"/>
                  <w:left w:val="single" w:sz="6" w:space="0" w:color="FFFFFF"/>
                  <w:bottom w:val="single" w:sz="6" w:space="0" w:color="FFFFFF"/>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0.72</w:t>
                </w:r>
              </w:p>
            </w:tc>
          </w:tr>
          <w:tr w:rsidR="00C14C7D">
            <w:trPr>
              <w:trHeight w:val="144"/>
            </w:trPr>
            <w:tc>
              <w:tcPr>
                <w:tcW w:w="618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spacing w:before="20"/>
                  <w:rPr>
                    <w:rFonts w:ascii="Arial" w:eastAsia="Arial" w:hAnsi="Arial" w:cs="Arial"/>
                  </w:rPr>
                </w:pPr>
                <w:r>
                  <w:rPr>
                    <w:rFonts w:ascii="Arial" w:eastAsia="Arial" w:hAnsi="Arial" w:cs="Arial"/>
                  </w:rPr>
                  <w:t>Overall</w:t>
                </w:r>
              </w:p>
            </w:tc>
            <w:tc>
              <w:tcPr>
                <w:tcW w:w="1125"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3.36/4</w:t>
                </w:r>
              </w:p>
              <w:p w:rsidR="00C14C7D" w:rsidRDefault="0073262F">
                <w:pPr>
                  <w:spacing w:before="20"/>
                  <w:jc w:val="center"/>
                  <w:rPr>
                    <w:rFonts w:ascii="Arial" w:eastAsia="Arial" w:hAnsi="Arial" w:cs="Arial"/>
                  </w:rPr>
                </w:pPr>
                <w:r>
                  <w:rPr>
                    <w:rFonts w:ascii="Arial" w:eastAsia="Arial" w:hAnsi="Arial" w:cs="Arial"/>
                  </w:rPr>
                  <w:t xml:space="preserve"> </w:t>
                </w:r>
              </w:p>
            </w:tc>
            <w:tc>
              <w:tcPr>
                <w:tcW w:w="1440" w:type="dxa"/>
                <w:tcBorders>
                  <w:top w:val="single" w:sz="6" w:space="0" w:color="000000"/>
                  <w:left w:val="single" w:sz="6" w:space="0" w:color="FFFFFF"/>
                  <w:bottom w:val="single" w:sz="6" w:space="0" w:color="000000"/>
                  <w:right w:val="single" w:sz="6" w:space="0" w:color="FFFFFF"/>
                </w:tcBorders>
                <w:tcMar>
                  <w:top w:w="0" w:type="dxa"/>
                  <w:left w:w="100" w:type="dxa"/>
                  <w:bottom w:w="0" w:type="dxa"/>
                  <w:right w:w="100" w:type="dxa"/>
                </w:tcMar>
              </w:tcPr>
              <w:p w:rsidR="00C14C7D" w:rsidRDefault="0073262F">
                <w:pPr>
                  <w:spacing w:before="20"/>
                  <w:jc w:val="center"/>
                  <w:rPr>
                    <w:rFonts w:ascii="Arial" w:eastAsia="Arial" w:hAnsi="Arial" w:cs="Arial"/>
                  </w:rPr>
                </w:pPr>
                <w:r>
                  <w:rPr>
                    <w:rFonts w:ascii="Arial" w:eastAsia="Arial" w:hAnsi="Arial" w:cs="Arial"/>
                  </w:rPr>
                  <w:t>0.73</w:t>
                </w:r>
              </w:p>
            </w:tc>
          </w:tr>
        </w:tbl>
      </w:sdtContent>
    </w:sdt>
    <w:p w:rsidR="00C14C7D" w:rsidRDefault="0073262F">
      <w:pPr>
        <w:spacing w:before="240" w:after="240"/>
        <w:rPr>
          <w:rFonts w:ascii="Arial" w:eastAsia="Arial" w:hAnsi="Arial" w:cs="Arial"/>
        </w:rPr>
      </w:pPr>
      <w:r>
        <w:rPr>
          <w:rFonts w:ascii="Arial" w:eastAsia="Arial" w:hAnsi="Arial" w:cs="Arial"/>
        </w:rPr>
        <w:t>Overall practice levels, presented in Table 3b, show that 76.13% of respondents demonstrated good practice, 20.72% moderate practice, and only 3.15% poor practice. These results indicate that most students are able to apply appropriate nutritional manageme</w:t>
      </w:r>
      <w:r>
        <w:rPr>
          <w:rFonts w:ascii="Arial" w:eastAsia="Arial" w:hAnsi="Arial" w:cs="Arial"/>
        </w:rPr>
        <w:t xml:space="preserve">nt practices for diabetes, while a minority may require further guidance. These findings are consistent with previous studies reporting that higher diabetes knowledge is associated with better self-management practices among nursing students (Salazar &amp; </w:t>
      </w:r>
      <w:proofErr w:type="spellStart"/>
      <w:r>
        <w:rPr>
          <w:rFonts w:ascii="Arial" w:eastAsia="Arial" w:hAnsi="Arial" w:cs="Arial"/>
        </w:rPr>
        <w:t>Mag</w:t>
      </w:r>
      <w:r>
        <w:rPr>
          <w:rFonts w:ascii="Arial" w:eastAsia="Arial" w:hAnsi="Arial" w:cs="Arial"/>
        </w:rPr>
        <w:t>day</w:t>
      </w:r>
      <w:proofErr w:type="spellEnd"/>
      <w:r>
        <w:rPr>
          <w:rFonts w:ascii="Arial" w:eastAsia="Arial" w:hAnsi="Arial" w:cs="Arial"/>
        </w:rPr>
        <w:t xml:space="preserve">, 2023; </w:t>
      </w:r>
      <w:proofErr w:type="spellStart"/>
      <w:r>
        <w:rPr>
          <w:rFonts w:ascii="Arial" w:eastAsia="Arial" w:hAnsi="Arial" w:cs="Arial"/>
        </w:rPr>
        <w:t>Almazan</w:t>
      </w:r>
      <w:proofErr w:type="spellEnd"/>
      <w:r>
        <w:rPr>
          <w:rFonts w:ascii="Arial" w:eastAsia="Arial" w:hAnsi="Arial" w:cs="Arial"/>
        </w:rPr>
        <w:t xml:space="preserve"> et al., 2021). The classification of practice levels was based on Bloom’s cut-off points (Bloom, 1956).</w:t>
      </w:r>
    </w:p>
    <w:p w:rsidR="00C14C7D" w:rsidRDefault="0073262F">
      <w:pPr>
        <w:spacing w:before="240" w:after="240"/>
        <w:jc w:val="center"/>
        <w:rPr>
          <w:b/>
          <w:bCs/>
        </w:rPr>
      </w:pPr>
      <w:r>
        <w:rPr>
          <w:rFonts w:ascii="Arial" w:eastAsia="Arial" w:hAnsi="Arial" w:cs="Arial"/>
          <w:b/>
          <w:bCs/>
        </w:rPr>
        <w:t xml:space="preserve">Table 4b. </w:t>
      </w:r>
      <w:r>
        <w:rPr>
          <w:b/>
          <w:bCs/>
        </w:rPr>
        <w:t xml:space="preserve">Distribution of respondents according to the overall practices level </w:t>
      </w:r>
    </w:p>
    <w:sdt>
      <w:sdtPr>
        <w:tag w:val="goog_rdk_11"/>
        <w:id w:val="1785094303"/>
        <w:lock w:val="contentLocked"/>
      </w:sdtPr>
      <w:sdtEndPr/>
      <w:sdtContent>
        <w:tbl>
          <w:tblPr>
            <w:tblStyle w:val="a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75"/>
            <w:gridCol w:w="2145"/>
            <w:gridCol w:w="2160"/>
          </w:tblGrid>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Score Range</w:t>
                </w:r>
              </w:p>
            </w:tc>
            <w:tc>
              <w:tcPr>
                <w:tcW w:w="217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Practice. Level</w:t>
                </w: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Frequency (f)</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 xml:space="preserve">Percentage </w:t>
                </w:r>
                <w:r>
                  <w:rPr>
                    <w:rFonts w:ascii="Arial" w:eastAsia="Arial" w:hAnsi="Arial" w:cs="Arial"/>
                  </w:rPr>
                  <w:t>(%)</w:t>
                </w:r>
              </w:p>
            </w:tc>
          </w:tr>
          <w:tr w:rsidR="00C14C7D">
            <w:trPr>
              <w:trHeight w:val="470"/>
            </w:trPr>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&lt;35 (&lt;60%)</w:t>
                </w:r>
              </w:p>
            </w:tc>
            <w:tc>
              <w:tcPr>
                <w:tcW w:w="2175" w:type="dxa"/>
                <w:tcBorders>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Poor Practice</w:t>
                </w:r>
              </w:p>
            </w:tc>
            <w:tc>
              <w:tcPr>
                <w:tcW w:w="2145"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8</w:t>
                </w:r>
              </w:p>
            </w:tc>
            <w:tc>
              <w:tcPr>
                <w:tcW w:w="2160" w:type="dxa"/>
                <w:tcBorders>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3.15</w:t>
                </w:r>
              </w:p>
            </w:tc>
          </w:tr>
          <w:tr w:rsidR="00C14C7D">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 xml:space="preserve">36-47 (60%-79%) </w:t>
                </w:r>
              </w:p>
            </w:tc>
            <w:tc>
              <w:tcPr>
                <w:tcW w:w="2175" w:type="dxa"/>
                <w:tcBorders>
                  <w:top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Moderate Practice</w:t>
                </w:r>
              </w:p>
            </w:tc>
            <w:tc>
              <w:tcPr>
                <w:tcW w:w="2145"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58</w:t>
                </w:r>
              </w:p>
            </w:tc>
            <w:tc>
              <w:tcPr>
                <w:tcW w:w="2160" w:type="dxa"/>
                <w:tcBorders>
                  <w:top w:val="nil"/>
                  <w:left w:val="nil"/>
                  <w:bottom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20.72</w:t>
                </w:r>
              </w:p>
            </w:tc>
          </w:tr>
          <w:tr w:rsidR="00C14C7D">
            <w:tc>
              <w:tcPr>
                <w:tcW w:w="2160" w:type="dxa"/>
                <w:tcBorders>
                  <w:top w:val="nil"/>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48-60 (80%-100%)</w:t>
                </w:r>
              </w:p>
            </w:tc>
            <w:tc>
              <w:tcPr>
                <w:tcW w:w="2175" w:type="dxa"/>
                <w:tcBorders>
                  <w:top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Good Practice</w:t>
                </w:r>
              </w:p>
            </w:tc>
            <w:tc>
              <w:tcPr>
                <w:tcW w:w="2145" w:type="dxa"/>
                <w:tcBorders>
                  <w:top w:val="nil"/>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156</w:t>
                </w:r>
              </w:p>
            </w:tc>
            <w:tc>
              <w:tcPr>
                <w:tcW w:w="2160" w:type="dxa"/>
                <w:tcBorders>
                  <w:top w:val="nil"/>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76.13</w:t>
                </w:r>
              </w:p>
            </w:tc>
          </w:tr>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Total</w:t>
                </w:r>
              </w:p>
            </w:tc>
            <w:tc>
              <w:tcPr>
                <w:tcW w:w="2175"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222</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100%</w:t>
                </w:r>
              </w:p>
            </w:tc>
          </w:tr>
        </w:tbl>
      </w:sdtContent>
    </w:sdt>
    <w:p w:rsidR="00C14C7D" w:rsidRDefault="0073262F">
      <w:pPr>
        <w:spacing w:before="240" w:after="240"/>
        <w:rPr>
          <w:rFonts w:ascii="Arial" w:eastAsia="Arial" w:hAnsi="Arial" w:cs="Arial"/>
          <w:b/>
          <w:bCs/>
          <w:u w:val="single"/>
        </w:rPr>
      </w:pPr>
      <w:r>
        <w:rPr>
          <w:rFonts w:ascii="Arial" w:eastAsia="Arial" w:hAnsi="Arial" w:cs="Arial"/>
          <w:b/>
          <w:bCs/>
          <w:u w:val="single"/>
        </w:rPr>
        <w:t xml:space="preserve">3.5 </w:t>
      </w:r>
      <w:r>
        <w:rPr>
          <w:rFonts w:ascii="Arial" w:eastAsia="Arial" w:hAnsi="Arial" w:cs="Arial"/>
          <w:b/>
          <w:bCs/>
          <w:u w:val="single"/>
        </w:rPr>
        <w:t>Relationship between Knowledge and Attitudes, Practices and Attitudes, Knowledge and Practices of Nutritional Management in Diabetes Mellitus among Fourth-Year Nursing Students</w:t>
      </w:r>
    </w:p>
    <w:p w:rsidR="00C14C7D" w:rsidRDefault="0073262F">
      <w:pPr>
        <w:spacing w:before="240" w:after="240"/>
        <w:rPr>
          <w:rFonts w:ascii="Arial" w:eastAsia="Arial" w:hAnsi="Arial" w:cs="Arial"/>
          <w:b/>
          <w:bCs/>
          <w:i/>
          <w:iCs/>
        </w:rPr>
      </w:pPr>
      <w:r>
        <w:rPr>
          <w:b/>
          <w:bCs/>
          <w:i/>
          <w:iCs/>
        </w:rPr>
        <w:t>Relationship Between Knowledge and Attitude Regarding Nutritional Management in</w:t>
      </w:r>
      <w:r>
        <w:rPr>
          <w:b/>
          <w:bCs/>
          <w:i/>
          <w:iCs/>
        </w:rPr>
        <w:t xml:space="preserve"> Diabetes Mellitus</w:t>
      </w:r>
    </w:p>
    <w:p w:rsidR="00C14C7D" w:rsidRDefault="0073262F">
      <w:pPr>
        <w:spacing w:before="240" w:after="240"/>
      </w:pPr>
      <w:r>
        <w:t xml:space="preserve">The relationship between knowledge and attitude regarding nutritional management among fourth-year nursing students was examined using Spearman’s rho correlation. The analysis revealed a weak positive correlation (ρ = 0.153, p = 0.000), </w:t>
      </w:r>
      <w:r>
        <w:t>indicating a statistically significant relationship. This suggests that students with higher levels of knowledge tend to exhibit more positive attitudes toward nutritional management in diabetes mellitus.</w:t>
      </w:r>
    </w:p>
    <w:p w:rsidR="00C14C7D" w:rsidRDefault="0073262F">
      <w:pPr>
        <w:spacing w:before="240" w:after="240"/>
      </w:pPr>
      <w:r>
        <w:t>Although the correlation is statistically significa</w:t>
      </w:r>
      <w:r>
        <w:t>nt, the coefficient is close to zero, indicating a weak strength of association. This implies that while knowledge may influence students’ attitudes, other factors such as clinical experience, personal beliefs, and exposure to patient education may also co</w:t>
      </w:r>
      <w:r>
        <w:t xml:space="preserve">ntribute to shaping their attitudes. These findings support </w:t>
      </w:r>
      <w:r>
        <w:lastRenderedPageBreak/>
        <w:t>posits that knowledge can shape beliefs and perceptions that influence health-related behaviors (</w:t>
      </w:r>
      <w:proofErr w:type="spellStart"/>
      <w:r>
        <w:rPr>
          <w:rFonts w:ascii="Arial" w:eastAsia="Arial" w:hAnsi="Arial" w:cs="Arial"/>
        </w:rPr>
        <w:t>Launiala</w:t>
      </w:r>
      <w:proofErr w:type="spellEnd"/>
      <w:r>
        <w:rPr>
          <w:rFonts w:ascii="Arial" w:eastAsia="Arial" w:hAnsi="Arial" w:cs="Arial"/>
        </w:rPr>
        <w:t>, 2009), as presented in table 4.</w:t>
      </w:r>
    </w:p>
    <w:p w:rsidR="00C14C7D" w:rsidRDefault="0073262F">
      <w:pPr>
        <w:spacing w:before="240" w:after="240"/>
        <w:jc w:val="center"/>
        <w:rPr>
          <w:rFonts w:ascii="Arial" w:eastAsia="Arial" w:hAnsi="Arial" w:cs="Arial"/>
          <w:b/>
          <w:bCs/>
          <w:i/>
          <w:iCs/>
        </w:rPr>
      </w:pPr>
      <w:r>
        <w:rPr>
          <w:rFonts w:ascii="Arial" w:eastAsia="Arial" w:hAnsi="Arial" w:cs="Arial"/>
          <w:b/>
          <w:bCs/>
        </w:rPr>
        <w:t xml:space="preserve">Table 5. </w:t>
      </w:r>
      <w:r>
        <w:rPr>
          <w:rFonts w:ascii="Arial" w:eastAsia="Arial" w:hAnsi="Arial" w:cs="Arial"/>
          <w:b/>
          <w:bCs/>
          <w:i/>
          <w:iCs/>
        </w:rPr>
        <w:t>Spearman rho and p-value results for Relationshi</w:t>
      </w:r>
      <w:r>
        <w:rPr>
          <w:rFonts w:ascii="Arial" w:eastAsia="Arial" w:hAnsi="Arial" w:cs="Arial"/>
          <w:b/>
          <w:bCs/>
          <w:i/>
          <w:iCs/>
        </w:rPr>
        <w:t>p Between Knowledge and Attitudes of Nutritional Management in Diabetes Mellitus among Fourth-Year Nursing Students</w:t>
      </w:r>
    </w:p>
    <w:sdt>
      <w:sdtPr>
        <w:tag w:val="goog_rdk_12"/>
        <w:id w:val="-568675429"/>
        <w:lock w:val="contentLocked"/>
      </w:sdtPr>
      <w:sdtEndPr/>
      <w:sdtContent>
        <w:tbl>
          <w:tblPr>
            <w:tblStyle w:val="a7"/>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C14C7D">
            <w:trPr>
              <w:trHeight w:val="440"/>
            </w:trPr>
            <w:tc>
              <w:tcPr>
                <w:tcW w:w="2160" w:type="dxa"/>
                <w:tcBorders>
                  <w:left w:val="nil"/>
                  <w:bottom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Attitude</w:t>
                </w: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r>
          <w:tr w:rsidR="00C14C7D">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rs value</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p-value</w:t>
                </w:r>
              </w:p>
              <w:p w:rsidR="00C14C7D" w:rsidRDefault="00C14C7D">
                <w:pPr>
                  <w:widowControl w:val="0"/>
                  <w:jc w:val="center"/>
                  <w:rPr>
                    <w:rFonts w:ascii="Arial" w:eastAsia="Arial" w:hAnsi="Arial" w:cs="Arial"/>
                  </w:rPr>
                </w:pPr>
              </w:p>
            </w:tc>
          </w:tr>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 xml:space="preserve">Knowledge </w:t>
                </w: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0.153</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0.000</w:t>
                </w:r>
              </w:p>
            </w:tc>
          </w:tr>
        </w:tbl>
      </w:sdtContent>
    </w:sdt>
    <w:p w:rsidR="00C14C7D" w:rsidRDefault="00C14C7D">
      <w:pPr>
        <w:spacing w:before="240" w:after="240"/>
        <w:rPr>
          <w:b/>
          <w:bCs/>
          <w:i/>
          <w:iCs/>
        </w:rPr>
      </w:pPr>
    </w:p>
    <w:p w:rsidR="00C14C7D" w:rsidRDefault="0073262F">
      <w:pPr>
        <w:spacing w:before="240" w:after="240"/>
        <w:rPr>
          <w:b/>
          <w:bCs/>
          <w:i/>
          <w:iCs/>
        </w:rPr>
      </w:pPr>
      <w:r>
        <w:rPr>
          <w:b/>
          <w:bCs/>
          <w:i/>
          <w:iCs/>
        </w:rPr>
        <w:t>Relationship Between Attitude and Practices Regarding Nutritional Management in Diabetes Mellitus</w:t>
      </w:r>
    </w:p>
    <w:p w:rsidR="00C14C7D" w:rsidRDefault="0073262F">
      <w:pPr>
        <w:spacing w:before="240" w:after="240"/>
      </w:pPr>
      <w:r>
        <w:t>The relationship between attitude and practices regarding nutritional management among fourth-year nursing students was examined using Spearman’s rho correlat</w:t>
      </w:r>
      <w:r>
        <w:t>ion. The analysis revealed a positive correlation (ρ = 0.241, p = 0.000), indicating a statistically significant relationship. This suggests that students with more positive attitudes toward nutritional management tend to adopt better practices in clinical</w:t>
      </w:r>
      <w:r>
        <w:t xml:space="preserve"> settings.</w:t>
      </w:r>
    </w:p>
    <w:p w:rsidR="00C14C7D" w:rsidRDefault="0073262F">
      <w:pPr>
        <w:spacing w:before="240" w:after="240"/>
      </w:pPr>
      <w:r>
        <w:t>Although the correlation is statistically significant, the coefficient indicates a weak to moderate strength of association. This implies that while attitude can influence the adoption of appropriate practices, other factors such as clinical exp</w:t>
      </w:r>
      <w:r>
        <w:t xml:space="preserve">osure, supervision, and knowledge may also play a role in shaping students’ behaviors. These findings are consistent with </w:t>
      </w:r>
      <w:proofErr w:type="spellStart"/>
      <w:r>
        <w:t>Alshammari</w:t>
      </w:r>
      <w:proofErr w:type="spellEnd"/>
      <w:r>
        <w:t xml:space="preserve"> et al. (2020), who reported that nursing students with favorable attitudes demonstrated better health-related behaviors and</w:t>
      </w:r>
      <w:r>
        <w:t xml:space="preserve"> greater readiness to manage patients with diabetes.</w:t>
      </w:r>
    </w:p>
    <w:p w:rsidR="00C14C7D" w:rsidRDefault="0073262F">
      <w:pPr>
        <w:spacing w:before="240" w:after="240"/>
        <w:jc w:val="center"/>
        <w:rPr>
          <w:rFonts w:ascii="Arial" w:eastAsia="Arial" w:hAnsi="Arial" w:cs="Arial"/>
          <w:b/>
          <w:bCs/>
        </w:rPr>
      </w:pPr>
      <w:r>
        <w:rPr>
          <w:rFonts w:ascii="Arial" w:eastAsia="Arial" w:hAnsi="Arial" w:cs="Arial"/>
          <w:b/>
          <w:bCs/>
        </w:rPr>
        <w:t>Table 6. Spearman rho and p-value results for Relationship Between Practices and Attitude of Nutritional Management in Diabetes Mellitus among Fourth-Year Nursing Students</w:t>
      </w:r>
    </w:p>
    <w:sdt>
      <w:sdtPr>
        <w:tag w:val="goog_rdk_13"/>
        <w:id w:val="-271374390"/>
        <w:lock w:val="contentLocked"/>
      </w:sdtPr>
      <w:sdtEndPr/>
      <w:sdtContent>
        <w:tbl>
          <w:tblPr>
            <w:tblStyle w:val="a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C14C7D">
            <w:trPr>
              <w:trHeight w:val="440"/>
            </w:trPr>
            <w:tc>
              <w:tcPr>
                <w:tcW w:w="2160" w:type="dxa"/>
                <w:tcBorders>
                  <w:left w:val="nil"/>
                  <w:bottom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Attitude</w:t>
                </w: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r>
          <w:tr w:rsidR="00C14C7D">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rs value</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p-value</w:t>
                </w:r>
              </w:p>
              <w:p w:rsidR="00C14C7D" w:rsidRDefault="00C14C7D">
                <w:pPr>
                  <w:widowControl w:val="0"/>
                  <w:jc w:val="center"/>
                  <w:rPr>
                    <w:rFonts w:ascii="Arial" w:eastAsia="Arial" w:hAnsi="Arial" w:cs="Arial"/>
                  </w:rPr>
                </w:pPr>
              </w:p>
            </w:tc>
          </w:tr>
          <w:tr w:rsidR="00C14C7D">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 xml:space="preserve">Practices </w:t>
                </w: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0.241</w:t>
                </w:r>
              </w:p>
            </w:tc>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0.000</w:t>
                </w:r>
              </w:p>
            </w:tc>
          </w:tr>
        </w:tbl>
      </w:sdtContent>
    </w:sdt>
    <w:p w:rsidR="00C14C7D" w:rsidRDefault="00C14C7D">
      <w:pPr>
        <w:spacing w:line="276" w:lineRule="auto"/>
      </w:pPr>
    </w:p>
    <w:p w:rsidR="00C14C7D" w:rsidRDefault="0073262F">
      <w:pPr>
        <w:spacing w:before="240" w:after="240"/>
        <w:rPr>
          <w:rFonts w:ascii="Arial" w:eastAsia="Arial" w:hAnsi="Arial" w:cs="Arial"/>
          <w:b/>
          <w:bCs/>
          <w:i/>
          <w:iCs/>
        </w:rPr>
      </w:pPr>
      <w:r>
        <w:rPr>
          <w:rFonts w:ascii="Arial" w:eastAsia="Arial" w:hAnsi="Arial" w:cs="Arial"/>
          <w:b/>
          <w:bCs/>
          <w:i/>
          <w:iCs/>
        </w:rPr>
        <w:t>Relationship Between Knowledge and Practices Regarding Nutritional Management in Diabetes Mellitus</w:t>
      </w:r>
    </w:p>
    <w:p w:rsidR="00C14C7D" w:rsidRDefault="0073262F">
      <w:pPr>
        <w:spacing w:before="240" w:after="240"/>
        <w:rPr>
          <w:rFonts w:ascii="Arial" w:eastAsia="Arial" w:hAnsi="Arial" w:cs="Arial"/>
        </w:rPr>
      </w:pPr>
      <w:r>
        <w:rPr>
          <w:rFonts w:ascii="Arial" w:eastAsia="Arial" w:hAnsi="Arial" w:cs="Arial"/>
        </w:rPr>
        <w:lastRenderedPageBreak/>
        <w:t>The relationship between knowledge and practices regarding nutritional management among fourth-year nursing students was examined using Spearman’s rho correlation. The analysis revealed no statistically significant relationship (ρ = 0.006, p = 0.934), indi</w:t>
      </w:r>
      <w:r>
        <w:rPr>
          <w:rFonts w:ascii="Arial" w:eastAsia="Arial" w:hAnsi="Arial" w:cs="Arial"/>
        </w:rPr>
        <w:t>cating that knowledge alone does not directly translate into better clinical practices.</w:t>
      </w:r>
    </w:p>
    <w:p w:rsidR="00C14C7D" w:rsidRDefault="0073262F">
      <w:pPr>
        <w:spacing w:before="240" w:after="240"/>
        <w:rPr>
          <w:rFonts w:ascii="Arial" w:eastAsia="Arial" w:hAnsi="Arial" w:cs="Arial"/>
        </w:rPr>
      </w:pPr>
      <w:r>
        <w:rPr>
          <w:rFonts w:ascii="Arial" w:eastAsia="Arial" w:hAnsi="Arial" w:cs="Arial"/>
        </w:rPr>
        <w:t xml:space="preserve">The negligible correlation suggests that while knowledge is necessary, it may not be sufficient to influence practice without the involvement of other factors, such as </w:t>
      </w:r>
      <w:r>
        <w:rPr>
          <w:rFonts w:ascii="Arial" w:eastAsia="Arial" w:hAnsi="Arial" w:cs="Arial"/>
        </w:rPr>
        <w:t>attitude, motivation, confidence, and access to clinical resources. These findings are consistent with previous studies reporting that knowledge must be complemented by practical skills, behavioral readiness, and supportive learning environments to improve</w:t>
      </w:r>
      <w:r>
        <w:rPr>
          <w:rFonts w:ascii="Arial" w:eastAsia="Arial" w:hAnsi="Arial" w:cs="Arial"/>
        </w:rPr>
        <w:t xml:space="preserve"> the application of clinical practices (Saeed et al., 2022; </w:t>
      </w:r>
      <w:proofErr w:type="spellStart"/>
      <w:r>
        <w:rPr>
          <w:rFonts w:ascii="Arial" w:eastAsia="Arial" w:hAnsi="Arial" w:cs="Arial"/>
        </w:rPr>
        <w:t>Almazan</w:t>
      </w:r>
      <w:proofErr w:type="spellEnd"/>
      <w:r>
        <w:rPr>
          <w:rFonts w:ascii="Arial" w:eastAsia="Arial" w:hAnsi="Arial" w:cs="Arial"/>
        </w:rPr>
        <w:t xml:space="preserve"> et al., 2021).</w:t>
      </w:r>
    </w:p>
    <w:p w:rsidR="00C14C7D" w:rsidRDefault="0073262F">
      <w:pPr>
        <w:spacing w:before="240" w:after="240" w:line="360" w:lineRule="auto"/>
        <w:jc w:val="center"/>
        <w:rPr>
          <w:rFonts w:ascii="Arial" w:eastAsia="Arial" w:hAnsi="Arial" w:cs="Arial"/>
          <w:b/>
          <w:bCs/>
          <w:i/>
          <w:iCs/>
        </w:rPr>
      </w:pPr>
      <w:r>
        <w:rPr>
          <w:rFonts w:ascii="Arial" w:eastAsia="Arial" w:hAnsi="Arial" w:cs="Arial"/>
          <w:b/>
          <w:bCs/>
        </w:rPr>
        <w:t xml:space="preserve">Table 7. </w:t>
      </w:r>
      <w:r>
        <w:rPr>
          <w:rFonts w:ascii="Arial" w:eastAsia="Arial" w:hAnsi="Arial" w:cs="Arial"/>
          <w:b/>
          <w:bCs/>
          <w:i/>
          <w:iCs/>
        </w:rPr>
        <w:t>Spearman rho and p-value results for Relationship Between Knowledge and Practices of Nutritional Management in Diabetes Mellitus among Fourth-</w:t>
      </w:r>
      <w:proofErr w:type="gramStart"/>
      <w:r>
        <w:rPr>
          <w:rFonts w:ascii="Arial" w:eastAsia="Arial" w:hAnsi="Arial" w:cs="Arial"/>
          <w:b/>
          <w:bCs/>
          <w:i/>
          <w:iCs/>
        </w:rPr>
        <w:t>Year  Nursing</w:t>
      </w:r>
      <w:proofErr w:type="gramEnd"/>
      <w:r>
        <w:rPr>
          <w:rFonts w:ascii="Arial" w:eastAsia="Arial" w:hAnsi="Arial" w:cs="Arial"/>
          <w:b/>
          <w:bCs/>
          <w:i/>
          <w:iCs/>
        </w:rPr>
        <w:t xml:space="preserve"> Students</w:t>
      </w:r>
    </w:p>
    <w:sdt>
      <w:sdtPr>
        <w:tag w:val="goog_rdk_14"/>
        <w:id w:val="-1840783939"/>
        <w:lock w:val="contentLocked"/>
      </w:sdtPr>
      <w:sdtEndPr/>
      <w:sdtContent>
        <w:tbl>
          <w:tblPr>
            <w:tblStyle w:val="a9"/>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45"/>
            <w:gridCol w:w="2145"/>
          </w:tblGrid>
          <w:tr w:rsidR="00C14C7D">
            <w:trPr>
              <w:trHeight w:val="169"/>
              <w:tblHeader/>
            </w:trPr>
            <w:tc>
              <w:tcPr>
                <w:tcW w:w="2160" w:type="dxa"/>
                <w:tcBorders>
                  <w:left w:val="nil"/>
                  <w:bottom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4290" w:type="dxa"/>
                <w:gridSpan w:val="2"/>
                <w:tcBorders>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Practices</w:t>
                </w:r>
              </w:p>
            </w:tc>
          </w:tr>
          <w:tr w:rsidR="00C14C7D">
            <w:trPr>
              <w:trHeight w:val="489"/>
            </w:trPr>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p w:rsidR="00C14C7D" w:rsidRDefault="00C14C7D">
                <w:pPr>
                  <w:widowControl w:val="0"/>
                  <w:jc w:val="center"/>
                  <w:rPr>
                    <w:rFonts w:ascii="Arial" w:eastAsia="Arial" w:hAnsi="Arial" w:cs="Arial"/>
                  </w:rPr>
                </w:pP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rs value</w:t>
                </w: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p-value</w:t>
                </w:r>
              </w:p>
              <w:p w:rsidR="00C14C7D" w:rsidRDefault="00C14C7D">
                <w:pPr>
                  <w:widowControl w:val="0"/>
                  <w:jc w:val="center"/>
                  <w:rPr>
                    <w:rFonts w:ascii="Arial" w:eastAsia="Arial" w:hAnsi="Arial" w:cs="Arial"/>
                  </w:rPr>
                </w:pPr>
              </w:p>
            </w:tc>
          </w:tr>
          <w:tr w:rsidR="00C14C7D">
            <w:trPr>
              <w:trHeight w:val="169"/>
            </w:trPr>
            <w:tc>
              <w:tcPr>
                <w:tcW w:w="2160"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 xml:space="preserve">Knowledge </w:t>
                </w:r>
              </w:p>
            </w:tc>
            <w:tc>
              <w:tcPr>
                <w:tcW w:w="2160" w:type="dxa"/>
                <w:tcBorders>
                  <w:left w:val="nil"/>
                  <w:right w:val="nil"/>
                </w:tcBorders>
                <w:shd w:val="clear" w:color="auto" w:fill="auto"/>
                <w:tcMar>
                  <w:top w:w="100" w:type="dxa"/>
                  <w:left w:w="100" w:type="dxa"/>
                  <w:bottom w:w="100" w:type="dxa"/>
                  <w:right w:w="100" w:type="dxa"/>
                </w:tcMar>
              </w:tcPr>
              <w:p w:rsidR="00C14C7D" w:rsidRDefault="00C14C7D">
                <w:pPr>
                  <w:widowControl w:val="0"/>
                  <w:jc w:val="center"/>
                  <w:rPr>
                    <w:rFonts w:ascii="Arial" w:eastAsia="Arial" w:hAnsi="Arial" w:cs="Arial"/>
                  </w:rPr>
                </w:pP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0.006</w:t>
                </w:r>
              </w:p>
            </w:tc>
            <w:tc>
              <w:tcPr>
                <w:tcW w:w="2145" w:type="dxa"/>
                <w:tcBorders>
                  <w:left w:val="nil"/>
                  <w:right w:val="nil"/>
                </w:tcBorders>
                <w:shd w:val="clear" w:color="auto" w:fill="auto"/>
                <w:tcMar>
                  <w:top w:w="100" w:type="dxa"/>
                  <w:left w:w="100" w:type="dxa"/>
                  <w:bottom w:w="100" w:type="dxa"/>
                  <w:right w:w="100" w:type="dxa"/>
                </w:tcMar>
              </w:tcPr>
              <w:p w:rsidR="00C14C7D" w:rsidRDefault="0073262F">
                <w:pPr>
                  <w:widowControl w:val="0"/>
                  <w:jc w:val="center"/>
                  <w:rPr>
                    <w:rFonts w:ascii="Arial" w:eastAsia="Arial" w:hAnsi="Arial" w:cs="Arial"/>
                  </w:rPr>
                </w:pPr>
                <w:r>
                  <w:rPr>
                    <w:rFonts w:ascii="Arial" w:eastAsia="Arial" w:hAnsi="Arial" w:cs="Arial"/>
                  </w:rPr>
                  <w:t>0.934</w:t>
                </w:r>
              </w:p>
            </w:tc>
          </w:tr>
        </w:tbl>
      </w:sdtContent>
    </w:sdt>
    <w:p w:rsidR="00C14C7D" w:rsidRDefault="00C14C7D">
      <w:pPr>
        <w:pBdr>
          <w:top w:val="nil"/>
          <w:left w:val="nil"/>
          <w:bottom w:val="nil"/>
          <w:right w:val="nil"/>
          <w:between w:val="nil"/>
        </w:pBdr>
        <w:jc w:val="both"/>
        <w:rPr>
          <w:rFonts w:ascii="Arial" w:eastAsia="Arial" w:hAnsi="Arial" w:cs="Arial"/>
          <w:color w:val="000000"/>
        </w:rPr>
      </w:pPr>
    </w:p>
    <w:p w:rsidR="00C14C7D" w:rsidRDefault="00C14C7D">
      <w:pPr>
        <w:pBdr>
          <w:top w:val="nil"/>
          <w:left w:val="nil"/>
          <w:bottom w:val="nil"/>
          <w:right w:val="nil"/>
          <w:between w:val="nil"/>
        </w:pBdr>
        <w:jc w:val="both"/>
        <w:rPr>
          <w:rFonts w:ascii="Arial" w:eastAsia="Arial" w:hAnsi="Arial" w:cs="Arial"/>
          <w:color w:val="000000"/>
        </w:rPr>
      </w:pPr>
    </w:p>
    <w:p w:rsidR="00C14C7D" w:rsidRDefault="0073262F">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LIMITATIONS</w:t>
      </w:r>
    </w:p>
    <w:p w:rsidR="00C14C7D" w:rsidRDefault="00C14C7D"/>
    <w:p w:rsidR="00C14C7D" w:rsidRDefault="0073262F">
      <w:pPr>
        <w:rPr>
          <w:rFonts w:ascii="Arial" w:eastAsia="Arial" w:hAnsi="Arial" w:cs="Arial"/>
        </w:rPr>
      </w:pPr>
      <w:r>
        <w:rPr>
          <w:rFonts w:ascii="Arial" w:eastAsia="Arial" w:hAnsi="Arial" w:cs="Arial"/>
        </w:rPr>
        <w:t>This study is subject to several limitations. First, the use of a cross-sectional research design restricts the ability to establish causal relationships among knowledge, attitudes, and practices, as data were collected at a single point in time. Second, t</w:t>
      </w:r>
      <w:r>
        <w:rPr>
          <w:rFonts w:ascii="Arial" w:eastAsia="Arial" w:hAnsi="Arial" w:cs="Arial"/>
        </w:rPr>
        <w:t>he study was conducted in one private higher education institution in Iloilo City, which may limit the generalizability of the findings to other academic settings or geographic locations. Third, the data were obtained through a self-administered questionna</w:t>
      </w:r>
      <w:r>
        <w:rPr>
          <w:rFonts w:ascii="Arial" w:eastAsia="Arial" w:hAnsi="Arial" w:cs="Arial"/>
        </w:rPr>
        <w:t>ire, which may be prone to response bias and social desirability bias, potentially affecting the accuracy of the reported information.</w:t>
      </w:r>
    </w:p>
    <w:p w:rsidR="00C14C7D" w:rsidRDefault="00C14C7D">
      <w:pPr>
        <w:rPr>
          <w:rFonts w:ascii="Arial" w:eastAsia="Arial" w:hAnsi="Arial" w:cs="Arial"/>
        </w:rPr>
      </w:pPr>
    </w:p>
    <w:p w:rsidR="00C14C7D" w:rsidRDefault="0073262F">
      <w:pPr>
        <w:rPr>
          <w:rFonts w:ascii="Arial" w:eastAsia="Arial" w:hAnsi="Arial" w:cs="Arial"/>
        </w:rPr>
      </w:pPr>
      <w:r>
        <w:rPr>
          <w:rFonts w:ascii="Arial" w:eastAsia="Arial" w:hAnsi="Arial" w:cs="Arial"/>
        </w:rPr>
        <w:t>Furthermore, the respondents were limited to fourth-year nursing students, thereby excluding other groups such as lower-</w:t>
      </w:r>
      <w:r>
        <w:rPr>
          <w:rFonts w:ascii="Arial" w:eastAsia="Arial" w:hAnsi="Arial" w:cs="Arial"/>
        </w:rPr>
        <w:t>year students and practicing nurses, which may have provided a more comprehensive perspective. The assessment of practices was also based on self-reported measures rather than direct observation, which may not fully reflect actual clinical performance. Las</w:t>
      </w:r>
      <w:r>
        <w:rPr>
          <w:rFonts w:ascii="Arial" w:eastAsia="Arial" w:hAnsi="Arial" w:cs="Arial"/>
        </w:rPr>
        <w:t>tly, the study focused specifically on nutritional management in diabetes mellitus and did not include other aspects of diabetes care, thereby limiting the scope of the findings.</w:t>
      </w:r>
    </w:p>
    <w:p w:rsidR="00C14C7D" w:rsidRDefault="00C14C7D"/>
    <w:p w:rsidR="00C14C7D" w:rsidRDefault="0073262F">
      <w:pPr>
        <w:keepNext/>
        <w:jc w:val="both"/>
      </w:pPr>
      <w:r>
        <w:rPr>
          <w:rFonts w:ascii="Arial" w:eastAsia="Arial" w:hAnsi="Arial" w:cs="Arial"/>
          <w:b/>
          <w:bCs/>
          <w:smallCaps/>
          <w:sz w:val="22"/>
          <w:szCs w:val="22"/>
        </w:rPr>
        <w:t>5. CONCLUSION</w:t>
      </w:r>
    </w:p>
    <w:p w:rsidR="00C14C7D" w:rsidRDefault="0073262F">
      <w:pPr>
        <w:spacing w:before="240" w:after="240"/>
        <w:jc w:val="both"/>
        <w:rPr>
          <w:rFonts w:ascii="Arial" w:eastAsia="Arial" w:hAnsi="Arial" w:cs="Arial"/>
        </w:rPr>
      </w:pPr>
      <w:r>
        <w:rPr>
          <w:rFonts w:ascii="Arial" w:eastAsia="Arial" w:hAnsi="Arial" w:cs="Arial"/>
        </w:rPr>
        <w:t>The study revealed that fourth-year nursing students generally</w:t>
      </w:r>
      <w:r>
        <w:rPr>
          <w:rFonts w:ascii="Arial" w:eastAsia="Arial" w:hAnsi="Arial" w:cs="Arial"/>
        </w:rPr>
        <w:t xml:space="preserve"> possess an adequate level of knowledge regarding the nutritional management of Diabetes Mellitus. Participants demonstrated understanding of key concepts, including dietary composition, balanced nutrition, and the role of physical activity in managing the</w:t>
      </w:r>
      <w:r>
        <w:rPr>
          <w:rFonts w:ascii="Arial" w:eastAsia="Arial" w:hAnsi="Arial" w:cs="Arial"/>
        </w:rPr>
        <w:t xml:space="preserve"> condition. Despite this overall proficiency, certain gaps were observed, particularly concerning the etiological factors of diabetes and its association with comorbid conditions.</w:t>
      </w:r>
    </w:p>
    <w:p w:rsidR="00C14C7D" w:rsidRDefault="0073262F">
      <w:pPr>
        <w:spacing w:before="240" w:after="240"/>
        <w:jc w:val="both"/>
        <w:rPr>
          <w:rFonts w:ascii="Arial" w:eastAsia="Arial" w:hAnsi="Arial" w:cs="Arial"/>
        </w:rPr>
      </w:pPr>
      <w:r>
        <w:rPr>
          <w:rFonts w:ascii="Arial" w:eastAsia="Arial" w:hAnsi="Arial" w:cs="Arial"/>
        </w:rPr>
        <w:lastRenderedPageBreak/>
        <w:t>In terms of attitude, the majority of respondents exhibited positive percept</w:t>
      </w:r>
      <w:r>
        <w:rPr>
          <w:rFonts w:ascii="Arial" w:eastAsia="Arial" w:hAnsi="Arial" w:cs="Arial"/>
        </w:rPr>
        <w:t>ions toward nutritional management in Diabetes Mellitus. Most students acknowledged the significance of dietary control, patient education, and the pivotal role of nurses in assessing nutritional status and implementing appropriate interventions for diabet</w:t>
      </w:r>
      <w:r>
        <w:rPr>
          <w:rFonts w:ascii="Arial" w:eastAsia="Arial" w:hAnsi="Arial" w:cs="Arial"/>
        </w:rPr>
        <w:t>ic patients.</w:t>
      </w:r>
    </w:p>
    <w:p w:rsidR="00C14C7D" w:rsidRDefault="0073262F">
      <w:pPr>
        <w:spacing w:before="240" w:after="240"/>
        <w:jc w:val="both"/>
        <w:rPr>
          <w:rFonts w:ascii="Arial" w:eastAsia="Arial" w:hAnsi="Arial" w:cs="Arial"/>
        </w:rPr>
      </w:pPr>
      <w:r>
        <w:rPr>
          <w:rFonts w:ascii="Arial" w:eastAsia="Arial" w:hAnsi="Arial" w:cs="Arial"/>
        </w:rPr>
        <w:t>Regarding practice, findings indicated that fourth-year nursing students generally applied appropriate practices related to nutritional management during clinical placements. Many actively participated in patient assessment, nutritional counse</w:t>
      </w:r>
      <w:r>
        <w:rPr>
          <w:rFonts w:ascii="Arial" w:eastAsia="Arial" w:hAnsi="Arial" w:cs="Arial"/>
        </w:rPr>
        <w:t>ling, care planning, and monitoring adherence to dietary recommendations, reflecting the translation of knowledge into clinical practice.</w:t>
      </w:r>
    </w:p>
    <w:p w:rsidR="00C14C7D" w:rsidRDefault="0073262F">
      <w:pPr>
        <w:spacing w:before="240" w:after="240"/>
        <w:jc w:val="both"/>
        <w:rPr>
          <w:rFonts w:ascii="Arial" w:eastAsia="Arial" w:hAnsi="Arial" w:cs="Arial"/>
        </w:rPr>
      </w:pPr>
      <w:r>
        <w:rPr>
          <w:rFonts w:ascii="Arial" w:eastAsia="Arial" w:hAnsi="Arial" w:cs="Arial"/>
        </w:rPr>
        <w:t>Furthermore, the analysis suggested a significant relationship between knowledge and attitude, indicating that student</w:t>
      </w:r>
      <w:r>
        <w:rPr>
          <w:rFonts w:ascii="Arial" w:eastAsia="Arial" w:hAnsi="Arial" w:cs="Arial"/>
        </w:rPr>
        <w:t>s with higher levels of understanding are more likely to develop positive professional attitudes toward nutritional management. However, knowledge alone did not consistently predict practice. In contrast, attitude demonstrated a positive association with p</w:t>
      </w:r>
      <w:r>
        <w:rPr>
          <w:rFonts w:ascii="Arial" w:eastAsia="Arial" w:hAnsi="Arial" w:cs="Arial"/>
        </w:rPr>
        <w:t>ractice, suggesting that students with favorable attitudes are more likely to engage in appropriate nutritional management behaviors.</w:t>
      </w:r>
    </w:p>
    <w:p w:rsidR="00C14C7D" w:rsidRDefault="00C14C7D">
      <w:pPr>
        <w:pBdr>
          <w:top w:val="nil"/>
          <w:left w:val="nil"/>
          <w:bottom w:val="nil"/>
          <w:right w:val="nil"/>
          <w:between w:val="nil"/>
        </w:pBdr>
        <w:jc w:val="both"/>
        <w:rPr>
          <w:rFonts w:ascii="Arial" w:eastAsia="Arial" w:hAnsi="Arial" w:cs="Arial"/>
          <w:color w:val="000000"/>
        </w:rPr>
      </w:pPr>
    </w:p>
    <w:p w:rsidR="00C14C7D" w:rsidRDefault="0073262F">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6. RECOMMENDATION</w:t>
      </w:r>
    </w:p>
    <w:p w:rsidR="00C14C7D" w:rsidRDefault="0073262F">
      <w:pPr>
        <w:spacing w:before="240" w:after="240"/>
        <w:jc w:val="both"/>
        <w:rPr>
          <w:rFonts w:ascii="Arial" w:eastAsia="Arial" w:hAnsi="Arial" w:cs="Arial"/>
        </w:rPr>
      </w:pPr>
      <w:r>
        <w:rPr>
          <w:rFonts w:ascii="Arial" w:eastAsia="Arial" w:hAnsi="Arial" w:cs="Arial"/>
        </w:rPr>
        <w:t>In light of the findings of this study involving fourth-year nursing students, it is recommended that n</w:t>
      </w:r>
      <w:r>
        <w:rPr>
          <w:rFonts w:ascii="Arial" w:eastAsia="Arial" w:hAnsi="Arial" w:cs="Arial"/>
        </w:rPr>
        <w:t>ursing education institutions strengthen academic and psychosocial support systems to enhance student outcomes. Specifically, colleges may develop structured intervention programs such as peer mentoring, stress management workshops, and guided review sessi</w:t>
      </w:r>
      <w:r>
        <w:rPr>
          <w:rFonts w:ascii="Arial" w:eastAsia="Arial" w:hAnsi="Arial" w:cs="Arial"/>
        </w:rPr>
        <w:t>ons to address both academic challenges and emotional well-being. These initiatives can help students better cope with the demands of their final year, ultimately improving performance and preparedness for professional practice.</w:t>
      </w:r>
    </w:p>
    <w:p w:rsidR="00C14C7D" w:rsidRDefault="0073262F">
      <w:pPr>
        <w:spacing w:before="240" w:after="240"/>
        <w:jc w:val="both"/>
        <w:rPr>
          <w:rFonts w:ascii="Arial" w:eastAsia="Arial" w:hAnsi="Arial" w:cs="Arial"/>
        </w:rPr>
      </w:pPr>
      <w:r>
        <w:rPr>
          <w:rFonts w:ascii="Arial" w:eastAsia="Arial" w:hAnsi="Arial" w:cs="Arial"/>
        </w:rPr>
        <w:t>Furthermore, faculty members are encouraged to adopt more student-centered teaching strategies that promote active learning, critical thinking, and engagement. The integration of flexible learning approaches, including blended or technology-assisted instru</w:t>
      </w:r>
      <w:r>
        <w:rPr>
          <w:rFonts w:ascii="Arial" w:eastAsia="Arial" w:hAnsi="Arial" w:cs="Arial"/>
        </w:rPr>
        <w:t>ction, may also support diverse learning needs and improve accessibility. Continuous assessment and feedback mechanisms should be emphasized to monitor student progress and provide timely academic support.</w:t>
      </w:r>
    </w:p>
    <w:p w:rsidR="00C14C7D" w:rsidRDefault="0073262F">
      <w:pPr>
        <w:spacing w:before="240" w:after="240"/>
        <w:jc w:val="both"/>
        <w:rPr>
          <w:rFonts w:ascii="Arial" w:eastAsia="Arial" w:hAnsi="Arial" w:cs="Arial"/>
        </w:rPr>
      </w:pPr>
      <w:r>
        <w:rPr>
          <w:rFonts w:ascii="Arial" w:eastAsia="Arial" w:hAnsi="Arial" w:cs="Arial"/>
        </w:rPr>
        <w:t>Additionally, future researchers are advised to ex</w:t>
      </w:r>
      <w:r>
        <w:rPr>
          <w:rFonts w:ascii="Arial" w:eastAsia="Arial" w:hAnsi="Arial" w:cs="Arial"/>
        </w:rPr>
        <w:t xml:space="preserve">pand the scope of similar studies by including participants from multiple institutions to enhance generalizability. The use of mixed-method approaches may also provide a deeper understanding of students’ experiences, perceptions, and challenges. Exploring </w:t>
      </w:r>
      <w:r>
        <w:rPr>
          <w:rFonts w:ascii="Arial" w:eastAsia="Arial" w:hAnsi="Arial" w:cs="Arial"/>
        </w:rPr>
        <w:t>other influencing variables such as socio-economic status, learning environment, and mental health factors is also recommended to obtain a more comprehensive perspective.</w:t>
      </w:r>
    </w:p>
    <w:p w:rsidR="00C14C7D" w:rsidRDefault="0073262F">
      <w:pPr>
        <w:spacing w:before="240" w:after="240"/>
        <w:jc w:val="both"/>
        <w:rPr>
          <w:rFonts w:ascii="Arial" w:eastAsia="Arial" w:hAnsi="Arial" w:cs="Arial"/>
        </w:rPr>
      </w:pPr>
      <w:r>
        <w:rPr>
          <w:rFonts w:ascii="Arial" w:eastAsia="Arial" w:hAnsi="Arial" w:cs="Arial"/>
        </w:rPr>
        <w:t>Finally, policymakers and school administrators should consider allocating sufficient</w:t>
      </w:r>
      <w:r>
        <w:rPr>
          <w:rFonts w:ascii="Arial" w:eastAsia="Arial" w:hAnsi="Arial" w:cs="Arial"/>
        </w:rPr>
        <w:t xml:space="preserve"> resources toward the improvement of nursing education programs. Investment in faculty development, student services, and learning infrastructure is essential to ensure the delivery of quality education and to prepare competent, resilient, and globally com</w:t>
      </w:r>
      <w:r>
        <w:rPr>
          <w:rFonts w:ascii="Arial" w:eastAsia="Arial" w:hAnsi="Arial" w:cs="Arial"/>
        </w:rPr>
        <w:t>petitive nursing graduates.</w:t>
      </w:r>
    </w:p>
    <w:p w:rsidR="00C14C7D" w:rsidRDefault="0073262F">
      <w:pPr>
        <w:pStyle w:val="Heading3"/>
        <w:keepNext w:val="0"/>
        <w:keepLines w:val="0"/>
        <w:jc w:val="both"/>
        <w:rPr>
          <w:rFonts w:ascii="Arial" w:eastAsia="Arial" w:hAnsi="Arial" w:cs="Arial"/>
          <w:sz w:val="22"/>
          <w:szCs w:val="22"/>
        </w:rPr>
      </w:pPr>
      <w:bookmarkStart w:id="8" w:name="_heading=h.c6lferelj17l" w:colFirst="0" w:colLast="0"/>
      <w:bookmarkEnd w:id="8"/>
      <w:r>
        <w:rPr>
          <w:rFonts w:ascii="Arial" w:eastAsia="Arial" w:hAnsi="Arial" w:cs="Arial"/>
          <w:sz w:val="22"/>
          <w:szCs w:val="22"/>
        </w:rPr>
        <w:t>ACKNOWLEDGEMENTS</w:t>
      </w:r>
    </w:p>
    <w:p w:rsidR="00C14C7D" w:rsidRDefault="0073262F">
      <w:pPr>
        <w:spacing w:before="240" w:after="240"/>
        <w:jc w:val="both"/>
        <w:rPr>
          <w:rFonts w:ascii="Arial" w:eastAsia="Arial" w:hAnsi="Arial" w:cs="Arial"/>
        </w:rPr>
      </w:pPr>
      <w:r>
        <w:rPr>
          <w:rFonts w:ascii="Arial" w:eastAsia="Arial" w:hAnsi="Arial" w:cs="Arial"/>
        </w:rPr>
        <w:t>The researchers would like to express their sincere gratitude to the fourth-year nursing students for their participation and cooperation in this study. They also extend their appreciation to their instructors a</w:t>
      </w:r>
      <w:r>
        <w:rPr>
          <w:rFonts w:ascii="Arial" w:eastAsia="Arial" w:hAnsi="Arial" w:cs="Arial"/>
        </w:rPr>
        <w:t xml:space="preserve">nd research advisers for their guidance and constructive </w:t>
      </w:r>
      <w:r>
        <w:rPr>
          <w:rFonts w:ascii="Arial" w:eastAsia="Arial" w:hAnsi="Arial" w:cs="Arial"/>
        </w:rPr>
        <w:lastRenderedPageBreak/>
        <w:t xml:space="preserve">feedback. Special thanks are given to Iloilo Doctors’ College for providing a supportive academic environment and necessary resources. The researchers are also grateful to their families and friends </w:t>
      </w:r>
      <w:r>
        <w:rPr>
          <w:rFonts w:ascii="Arial" w:eastAsia="Arial" w:hAnsi="Arial" w:cs="Arial"/>
        </w:rPr>
        <w:t>for their encouragement and support. Above all, they thank God Almighty for the wisdom and strength in completing this study.</w:t>
      </w:r>
    </w:p>
    <w:p w:rsidR="00C14C7D" w:rsidRDefault="0073262F">
      <w:pPr>
        <w:spacing w:before="240" w:after="240"/>
        <w:jc w:val="both"/>
        <w:rPr>
          <w:rFonts w:ascii="Arial" w:eastAsia="Arial" w:hAnsi="Arial" w:cs="Arial"/>
        </w:rPr>
      </w:pPr>
      <w:r>
        <w:rPr>
          <w:rFonts w:ascii="Arial" w:eastAsia="Arial" w:hAnsi="Arial" w:cs="Arial"/>
          <w:b/>
          <w:bCs/>
          <w:sz w:val="22"/>
          <w:szCs w:val="22"/>
        </w:rPr>
        <w:t>DISCLAIMER (ARTIFICIAL INTELLIGENCE)</w:t>
      </w:r>
      <w:r>
        <w:rPr>
          <w:rFonts w:ascii="Arial" w:eastAsia="Arial" w:hAnsi="Arial" w:cs="Arial"/>
        </w:rPr>
        <w:t xml:space="preserve"> </w:t>
      </w:r>
    </w:p>
    <w:p w:rsidR="00C14C7D" w:rsidRDefault="0073262F">
      <w:pPr>
        <w:spacing w:before="240" w:after="240"/>
        <w:jc w:val="both"/>
        <w:rPr>
          <w:rFonts w:ascii="Arial" w:eastAsia="Arial" w:hAnsi="Arial" w:cs="Arial"/>
        </w:rPr>
      </w:pPr>
      <w:r>
        <w:rPr>
          <w:rFonts w:ascii="Arial" w:eastAsia="Arial" w:hAnsi="Arial" w:cs="Arial"/>
        </w:rPr>
        <w:t xml:space="preserve">The authors affirm that no generative AI tools, including Large Language Models (e.g., </w:t>
      </w:r>
      <w:proofErr w:type="spellStart"/>
      <w:r>
        <w:rPr>
          <w:rFonts w:ascii="Arial" w:eastAsia="Arial" w:hAnsi="Arial" w:cs="Arial"/>
        </w:rPr>
        <w:t>ChatGPT</w:t>
      </w:r>
      <w:proofErr w:type="spellEnd"/>
      <w:r>
        <w:rPr>
          <w:rFonts w:ascii="Arial" w:eastAsia="Arial" w:hAnsi="Arial" w:cs="Arial"/>
        </w:rPr>
        <w:t>, Copilot) or text-to-image generators, were used in the writing or editing of this manuscript.</w:t>
      </w:r>
    </w:p>
    <w:p w:rsidR="00C14C7D" w:rsidRDefault="0073262F">
      <w:pPr>
        <w:pStyle w:val="Heading3"/>
        <w:keepNext w:val="0"/>
        <w:keepLines w:val="0"/>
        <w:jc w:val="both"/>
        <w:rPr>
          <w:rFonts w:ascii="Arial" w:eastAsia="Arial" w:hAnsi="Arial" w:cs="Arial"/>
          <w:sz w:val="22"/>
          <w:szCs w:val="22"/>
        </w:rPr>
      </w:pPr>
      <w:bookmarkStart w:id="9" w:name="_heading=h.6q2ywq8fujtc" w:colFirst="0" w:colLast="0"/>
      <w:bookmarkEnd w:id="9"/>
      <w:r>
        <w:rPr>
          <w:rFonts w:ascii="Arial" w:eastAsia="Arial" w:hAnsi="Arial" w:cs="Arial"/>
          <w:sz w:val="22"/>
          <w:szCs w:val="22"/>
        </w:rPr>
        <w:t>COMPETING INTERESTS</w:t>
      </w:r>
    </w:p>
    <w:p w:rsidR="00C14C7D" w:rsidRDefault="0073262F">
      <w:pPr>
        <w:spacing w:before="240" w:after="240"/>
        <w:jc w:val="both"/>
        <w:rPr>
          <w:rFonts w:ascii="Arial" w:eastAsia="Arial" w:hAnsi="Arial" w:cs="Arial"/>
        </w:rPr>
      </w:pPr>
      <w:r>
        <w:rPr>
          <w:rFonts w:ascii="Arial" w:eastAsia="Arial" w:hAnsi="Arial" w:cs="Arial"/>
        </w:rPr>
        <w:t>The authors declare that they have no known fi</w:t>
      </w:r>
      <w:r>
        <w:rPr>
          <w:rFonts w:ascii="Arial" w:eastAsia="Arial" w:hAnsi="Arial" w:cs="Arial"/>
        </w:rPr>
        <w:t>nancial, non-financial, or personal conflicts of interest that could have influenced the findings reported in this study.</w:t>
      </w:r>
    </w:p>
    <w:p w:rsidR="00C14C7D" w:rsidRDefault="0073262F">
      <w:pPr>
        <w:pStyle w:val="Heading3"/>
        <w:keepNext w:val="0"/>
        <w:keepLines w:val="0"/>
        <w:jc w:val="both"/>
        <w:rPr>
          <w:rFonts w:ascii="Arial" w:eastAsia="Arial" w:hAnsi="Arial" w:cs="Arial"/>
          <w:sz w:val="22"/>
          <w:szCs w:val="22"/>
        </w:rPr>
      </w:pPr>
      <w:bookmarkStart w:id="10" w:name="_heading=h.m3wgd0c48lnv" w:colFirst="0" w:colLast="0"/>
      <w:bookmarkEnd w:id="10"/>
      <w:r>
        <w:rPr>
          <w:rFonts w:ascii="Arial" w:eastAsia="Arial" w:hAnsi="Arial" w:cs="Arial"/>
          <w:sz w:val="22"/>
          <w:szCs w:val="22"/>
        </w:rPr>
        <w:t>AUTHORS’ CONTRIBUTIONS</w:t>
      </w:r>
    </w:p>
    <w:p w:rsidR="00C14C7D" w:rsidRDefault="0073262F">
      <w:pPr>
        <w:spacing w:before="240" w:after="240"/>
        <w:jc w:val="both"/>
        <w:rPr>
          <w:rFonts w:ascii="Arial" w:eastAsia="Arial" w:hAnsi="Arial" w:cs="Arial"/>
        </w:rPr>
      </w:pPr>
      <w:r>
        <w:rPr>
          <w:rFonts w:ascii="Arial" w:eastAsia="Arial" w:hAnsi="Arial" w:cs="Arial"/>
        </w:rPr>
        <w:t>Author A and B supervised the study and guided the co-authors in completing their respective tasks, ensuring ac</w:t>
      </w:r>
      <w:r>
        <w:rPr>
          <w:rFonts w:ascii="Arial" w:eastAsia="Arial" w:hAnsi="Arial" w:cs="Arial"/>
        </w:rPr>
        <w:t>curacy and comprehensiveness. They were responsible for formulating the research problem, defining the scope and limitations, contributing to the review of related literature, identifying the population and sampling procedures, outlining data gathering met</w:t>
      </w:r>
      <w:r>
        <w:rPr>
          <w:rFonts w:ascii="Arial" w:eastAsia="Arial" w:hAnsi="Arial" w:cs="Arial"/>
        </w:rPr>
        <w:t>hods, and assisting in writing the results and discussion. Author C managed the editing and formatting of preliminary pages, drafted the background of the study and synthesis of related literature, oversaw data analysis and ethical considerations, and comp</w:t>
      </w:r>
      <w:r>
        <w:rPr>
          <w:rFonts w:ascii="Arial" w:eastAsia="Arial" w:hAnsi="Arial" w:cs="Arial"/>
        </w:rPr>
        <w:t>iled the collected data. Author D contributed to the significance of the study, related studies, ensured the reliability of the research instrument, and assisted in the results, discussion, and major findings. Author E prepared the definition of terms, con</w:t>
      </w:r>
      <w:r>
        <w:rPr>
          <w:rFonts w:ascii="Arial" w:eastAsia="Arial" w:hAnsi="Arial" w:cs="Arial"/>
        </w:rPr>
        <w:t>tributed to related studies, ensured the validity of the instrument, and supported the results and conclusion. Author F assisted in editing and formatting, developed the theoretical and conceptual frameworks, contributed to related concepts and studies, de</w:t>
      </w:r>
      <w:r>
        <w:rPr>
          <w:rFonts w:ascii="Arial" w:eastAsia="Arial" w:hAnsi="Arial" w:cs="Arial"/>
        </w:rPr>
        <w:t>scribed the research design and setting, interpreted inferential analysis, and prepared the summary of the study. Author G served as the research adviser, monitoring the overall progress of the study, providing expert guidance, and ensuring the quality and</w:t>
      </w:r>
      <w:r>
        <w:rPr>
          <w:rFonts w:ascii="Arial" w:eastAsia="Arial" w:hAnsi="Arial" w:cs="Arial"/>
        </w:rPr>
        <w:t xml:space="preserve"> accuracy of the research.</w:t>
      </w:r>
    </w:p>
    <w:p w:rsidR="00C14C7D" w:rsidRDefault="0073262F">
      <w:pPr>
        <w:pStyle w:val="Heading3"/>
        <w:keepNext w:val="0"/>
        <w:keepLines w:val="0"/>
        <w:jc w:val="both"/>
        <w:rPr>
          <w:rFonts w:ascii="Arial" w:eastAsia="Arial" w:hAnsi="Arial" w:cs="Arial"/>
          <w:sz w:val="22"/>
          <w:szCs w:val="22"/>
        </w:rPr>
      </w:pPr>
      <w:bookmarkStart w:id="11" w:name="_heading=h.i6l8xcjrvw0p" w:colFirst="0" w:colLast="0"/>
      <w:bookmarkEnd w:id="11"/>
      <w:r>
        <w:rPr>
          <w:rFonts w:ascii="Arial" w:eastAsia="Arial" w:hAnsi="Arial" w:cs="Arial"/>
          <w:sz w:val="22"/>
          <w:szCs w:val="22"/>
        </w:rPr>
        <w:t>CONSENT</w:t>
      </w:r>
    </w:p>
    <w:p w:rsidR="00C14C7D" w:rsidRDefault="0073262F">
      <w:pPr>
        <w:spacing w:before="240" w:after="240"/>
        <w:jc w:val="both"/>
        <w:rPr>
          <w:rFonts w:ascii="Arial" w:eastAsia="Arial" w:hAnsi="Arial" w:cs="Arial"/>
        </w:rPr>
      </w:pPr>
      <w:r>
        <w:rPr>
          <w:rFonts w:ascii="Arial" w:eastAsia="Arial" w:hAnsi="Arial" w:cs="Arial"/>
        </w:rPr>
        <w:t>All authors confirm that informed consent was obtained from the participants prior to data collection.</w:t>
      </w:r>
    </w:p>
    <w:p w:rsidR="00C14C7D" w:rsidRDefault="0073262F">
      <w:pPr>
        <w:pStyle w:val="Heading3"/>
        <w:keepNext w:val="0"/>
        <w:keepLines w:val="0"/>
        <w:jc w:val="both"/>
        <w:rPr>
          <w:rFonts w:ascii="Arial" w:eastAsia="Arial" w:hAnsi="Arial" w:cs="Arial"/>
          <w:sz w:val="22"/>
          <w:szCs w:val="22"/>
        </w:rPr>
      </w:pPr>
      <w:bookmarkStart w:id="12" w:name="_heading=h.uektc7owb0u" w:colFirst="0" w:colLast="0"/>
      <w:bookmarkEnd w:id="12"/>
      <w:r>
        <w:rPr>
          <w:rFonts w:ascii="Arial" w:eastAsia="Arial" w:hAnsi="Arial" w:cs="Arial"/>
          <w:sz w:val="22"/>
          <w:szCs w:val="22"/>
        </w:rPr>
        <w:t>ETHICAL APPROVAL</w:t>
      </w:r>
    </w:p>
    <w:p w:rsidR="00C14C7D" w:rsidRDefault="0073262F">
      <w:pPr>
        <w:spacing w:before="240" w:after="240"/>
        <w:jc w:val="both"/>
        <w:rPr>
          <w:rFonts w:ascii="Arial" w:eastAsia="Arial" w:hAnsi="Arial" w:cs="Arial"/>
        </w:rPr>
      </w:pPr>
      <w:r>
        <w:rPr>
          <w:rFonts w:ascii="Arial" w:eastAsia="Arial" w:hAnsi="Arial" w:cs="Arial"/>
        </w:rPr>
        <w:t>The study was reviewed and approved by the Iloilo Doctors’ College Institutional Research Ethics Comm</w:t>
      </w:r>
      <w:r>
        <w:rPr>
          <w:rFonts w:ascii="Arial" w:eastAsia="Arial" w:hAnsi="Arial" w:cs="Arial"/>
        </w:rPr>
        <w:t>ittee (IDIREC) prior to its conduct, ensuring that all ethical standards in research involving human participants were strictly followed.</w:t>
      </w:r>
    </w:p>
    <w:p w:rsidR="00C14C7D" w:rsidRDefault="00C14C7D">
      <w:pPr>
        <w:keepNext/>
        <w:pBdr>
          <w:top w:val="nil"/>
          <w:left w:val="nil"/>
          <w:bottom w:val="nil"/>
          <w:right w:val="nil"/>
          <w:between w:val="nil"/>
        </w:pBdr>
        <w:jc w:val="both"/>
        <w:rPr>
          <w:rFonts w:ascii="Arial" w:eastAsia="Arial" w:hAnsi="Arial" w:cs="Arial"/>
          <w:b/>
          <w:bCs/>
          <w:smallCaps/>
          <w:color w:val="000000"/>
          <w:sz w:val="22"/>
          <w:szCs w:val="22"/>
        </w:rPr>
      </w:pPr>
    </w:p>
    <w:p w:rsidR="00C14C7D" w:rsidRDefault="0073262F">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REFERENCES</w:t>
      </w:r>
    </w:p>
    <w:p w:rsidR="00C14C7D" w:rsidRDefault="0073262F">
      <w:pPr>
        <w:spacing w:before="240" w:after="240"/>
        <w:rPr>
          <w:rFonts w:ascii="Arial" w:eastAsia="Arial" w:hAnsi="Arial" w:cs="Arial"/>
          <w:color w:val="1155CC"/>
          <w:highlight w:val="white"/>
          <w:u w:val="single"/>
        </w:rPr>
      </w:pPr>
      <w:proofErr w:type="spellStart"/>
      <w:r>
        <w:rPr>
          <w:rFonts w:ascii="Arial" w:eastAsia="Arial" w:hAnsi="Arial" w:cs="Arial"/>
          <w:highlight w:val="white"/>
        </w:rPr>
        <w:t>Ahn</w:t>
      </w:r>
      <w:proofErr w:type="spellEnd"/>
      <w:r>
        <w:rPr>
          <w:rFonts w:ascii="Arial" w:eastAsia="Arial" w:hAnsi="Arial" w:cs="Arial"/>
          <w:highlight w:val="white"/>
        </w:rPr>
        <w:t xml:space="preserve">, J., Kim, E., Lee, J. E., &amp; Kim, K. (2024). </w:t>
      </w:r>
      <w:r>
        <w:rPr>
          <w:rFonts w:ascii="Arial" w:eastAsia="Arial" w:hAnsi="Arial" w:cs="Arial"/>
          <w:i/>
          <w:iCs/>
          <w:highlight w:val="white"/>
        </w:rPr>
        <w:t xml:space="preserve">Diabetes education program for nursing </w:t>
      </w:r>
      <w:r>
        <w:rPr>
          <w:rFonts w:ascii="Arial" w:eastAsia="Arial" w:hAnsi="Arial" w:cs="Arial"/>
          <w:i/>
          <w:iCs/>
          <w:highlight w:val="white"/>
        </w:rPr>
        <w:tab/>
      </w:r>
      <w:r>
        <w:rPr>
          <w:rFonts w:ascii="Arial" w:eastAsia="Arial" w:hAnsi="Arial" w:cs="Arial"/>
          <w:i/>
          <w:iCs/>
          <w:highlight w:val="white"/>
        </w:rPr>
        <w:tab/>
        <w:t>students: A syste</w:t>
      </w:r>
      <w:r>
        <w:rPr>
          <w:rFonts w:ascii="Arial" w:eastAsia="Arial" w:hAnsi="Arial" w:cs="Arial"/>
          <w:i/>
          <w:iCs/>
          <w:highlight w:val="white"/>
        </w:rPr>
        <w:t>matic review and meta‐analysis. Nursing Open, 11</w:t>
      </w:r>
      <w:r>
        <w:rPr>
          <w:rFonts w:ascii="Arial" w:eastAsia="Arial" w:hAnsi="Arial" w:cs="Arial"/>
          <w:highlight w:val="white"/>
        </w:rPr>
        <w:t xml:space="preserve">(12).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https://doi.org/10.1002/nop2.7010</w:t>
      </w:r>
    </w:p>
    <w:p w:rsidR="00C14C7D" w:rsidRDefault="0073262F">
      <w:pPr>
        <w:spacing w:before="240" w:after="240"/>
        <w:rPr>
          <w:rFonts w:ascii="Arial" w:eastAsia="Arial" w:hAnsi="Arial" w:cs="Arial"/>
          <w:highlight w:val="white"/>
        </w:rPr>
      </w:pPr>
      <w:r>
        <w:rPr>
          <w:rFonts w:ascii="Arial" w:eastAsia="Arial" w:hAnsi="Arial" w:cs="Arial"/>
          <w:highlight w:val="white"/>
        </w:rPr>
        <w:t xml:space="preserve">Alotaibi, M. N., Almutairi, A. S., </w:t>
      </w:r>
      <w:proofErr w:type="spellStart"/>
      <w:r>
        <w:rPr>
          <w:rFonts w:ascii="Arial" w:eastAsia="Arial" w:hAnsi="Arial" w:cs="Arial"/>
          <w:highlight w:val="white"/>
        </w:rPr>
        <w:t>Alkhayal</w:t>
      </w:r>
      <w:proofErr w:type="spellEnd"/>
      <w:r>
        <w:rPr>
          <w:rFonts w:ascii="Arial" w:eastAsia="Arial" w:hAnsi="Arial" w:cs="Arial"/>
          <w:highlight w:val="white"/>
        </w:rPr>
        <w:t xml:space="preserve">, F. A., </w:t>
      </w:r>
      <w:proofErr w:type="spellStart"/>
      <w:r>
        <w:rPr>
          <w:rFonts w:ascii="Arial" w:eastAsia="Arial" w:hAnsi="Arial" w:cs="Arial"/>
          <w:highlight w:val="white"/>
        </w:rPr>
        <w:t>Alqahtani</w:t>
      </w:r>
      <w:proofErr w:type="spellEnd"/>
      <w:r>
        <w:rPr>
          <w:rFonts w:ascii="Arial" w:eastAsia="Arial" w:hAnsi="Arial" w:cs="Arial"/>
          <w:highlight w:val="white"/>
        </w:rPr>
        <w:t xml:space="preserve">, S. M., </w:t>
      </w:r>
      <w:proofErr w:type="spellStart"/>
      <w:r>
        <w:rPr>
          <w:rFonts w:ascii="Arial" w:eastAsia="Arial" w:hAnsi="Arial" w:cs="Arial"/>
          <w:highlight w:val="white"/>
        </w:rPr>
        <w:t>Alshehri</w:t>
      </w:r>
      <w:proofErr w:type="spellEnd"/>
      <w:r>
        <w:rPr>
          <w:rFonts w:ascii="Arial" w:eastAsia="Arial" w:hAnsi="Arial" w:cs="Arial"/>
          <w:highlight w:val="white"/>
        </w:rPr>
        <w:t xml:space="preserve">, F. N., &amp; </w:t>
      </w:r>
      <w:r>
        <w:rPr>
          <w:rFonts w:ascii="Arial" w:eastAsia="Arial" w:hAnsi="Arial" w:cs="Arial"/>
          <w:highlight w:val="white"/>
        </w:rPr>
        <w:tab/>
      </w:r>
      <w:r>
        <w:rPr>
          <w:rFonts w:ascii="Arial" w:eastAsia="Arial" w:hAnsi="Arial" w:cs="Arial"/>
          <w:highlight w:val="white"/>
        </w:rPr>
        <w:tab/>
        <w:t xml:space="preserve">Kofi, M. (2024). </w:t>
      </w:r>
      <w:r>
        <w:rPr>
          <w:rFonts w:ascii="Arial" w:eastAsia="Arial" w:hAnsi="Arial" w:cs="Arial"/>
          <w:i/>
          <w:iCs/>
          <w:highlight w:val="white"/>
        </w:rPr>
        <w:t>The impact of patient support and health education on dia</w:t>
      </w:r>
      <w:r>
        <w:rPr>
          <w:rFonts w:ascii="Arial" w:eastAsia="Arial" w:hAnsi="Arial" w:cs="Arial"/>
          <w:i/>
          <w:iCs/>
          <w:highlight w:val="white"/>
        </w:rPr>
        <w:t xml:space="preserve">betes </w:t>
      </w:r>
      <w:r>
        <w:rPr>
          <w:rFonts w:ascii="Arial" w:eastAsia="Arial" w:hAnsi="Arial" w:cs="Arial"/>
          <w:i/>
          <w:iCs/>
          <w:highlight w:val="white"/>
        </w:rPr>
        <w:tab/>
      </w:r>
      <w:r>
        <w:rPr>
          <w:rFonts w:ascii="Arial" w:eastAsia="Arial" w:hAnsi="Arial" w:cs="Arial"/>
          <w:i/>
          <w:iCs/>
          <w:highlight w:val="white"/>
        </w:rPr>
        <w:tab/>
        <w:t>management and glycemic control. Journal of Medical Life, 17</w:t>
      </w:r>
      <w:r>
        <w:rPr>
          <w:rFonts w:ascii="Arial" w:eastAsia="Arial" w:hAnsi="Arial" w:cs="Arial"/>
          <w:highlight w:val="white"/>
        </w:rPr>
        <w:t xml:space="preserve">(10), 908–917. </w:t>
      </w:r>
      <w:r>
        <w:rPr>
          <w:rFonts w:ascii="Arial" w:eastAsia="Arial" w:hAnsi="Arial" w:cs="Arial"/>
          <w:highlight w:val="white"/>
        </w:rPr>
        <w:tab/>
      </w:r>
      <w:r>
        <w:rPr>
          <w:rFonts w:ascii="Arial" w:eastAsia="Arial" w:hAnsi="Arial" w:cs="Arial"/>
          <w:highlight w:val="white"/>
        </w:rPr>
        <w:tab/>
        <w:t>https://pmc.ncbi.nlm.nih.gov/articles/PMC11665752/</w:t>
      </w:r>
    </w:p>
    <w:p w:rsidR="00C14C7D" w:rsidRDefault="0073262F">
      <w:pPr>
        <w:spacing w:before="240" w:after="240"/>
        <w:rPr>
          <w:rFonts w:ascii="Arial" w:eastAsia="Arial" w:hAnsi="Arial" w:cs="Arial"/>
          <w:highlight w:val="white"/>
        </w:rPr>
      </w:pPr>
      <w:proofErr w:type="spellStart"/>
      <w:r>
        <w:rPr>
          <w:rFonts w:ascii="Arial" w:eastAsia="Arial" w:hAnsi="Arial" w:cs="Arial"/>
          <w:highlight w:val="white"/>
        </w:rPr>
        <w:t>Alshammari</w:t>
      </w:r>
      <w:proofErr w:type="spellEnd"/>
      <w:r>
        <w:rPr>
          <w:rFonts w:ascii="Arial" w:eastAsia="Arial" w:hAnsi="Arial" w:cs="Arial"/>
          <w:highlight w:val="white"/>
        </w:rPr>
        <w:t xml:space="preserve">, F., Almutairi, H., &amp; </w:t>
      </w:r>
      <w:proofErr w:type="spellStart"/>
      <w:r>
        <w:rPr>
          <w:rFonts w:ascii="Arial" w:eastAsia="Arial" w:hAnsi="Arial" w:cs="Arial"/>
          <w:highlight w:val="white"/>
        </w:rPr>
        <w:t>Alruwaili</w:t>
      </w:r>
      <w:proofErr w:type="spellEnd"/>
      <w:r>
        <w:rPr>
          <w:rFonts w:ascii="Arial" w:eastAsia="Arial" w:hAnsi="Arial" w:cs="Arial"/>
          <w:highlight w:val="white"/>
        </w:rPr>
        <w:t xml:space="preserve">, R. (2023). </w:t>
      </w:r>
      <w:r>
        <w:rPr>
          <w:rFonts w:ascii="Arial" w:eastAsia="Arial" w:hAnsi="Arial" w:cs="Arial"/>
          <w:i/>
          <w:iCs/>
          <w:highlight w:val="white"/>
        </w:rPr>
        <w:t xml:space="preserve">Nursing students’ knowledge and </w:t>
      </w:r>
      <w:r>
        <w:rPr>
          <w:rFonts w:ascii="Arial" w:eastAsia="Arial" w:hAnsi="Arial" w:cs="Arial"/>
          <w:i/>
          <w:iCs/>
          <w:highlight w:val="white"/>
        </w:rPr>
        <w:tab/>
      </w:r>
      <w:r>
        <w:rPr>
          <w:rFonts w:ascii="Arial" w:eastAsia="Arial" w:hAnsi="Arial" w:cs="Arial"/>
          <w:i/>
          <w:iCs/>
          <w:highlight w:val="white"/>
        </w:rPr>
        <w:tab/>
        <w:t>practices regarding nutritional</w:t>
      </w:r>
      <w:r>
        <w:rPr>
          <w:rFonts w:ascii="Arial" w:eastAsia="Arial" w:hAnsi="Arial" w:cs="Arial"/>
          <w:i/>
          <w:iCs/>
          <w:highlight w:val="white"/>
        </w:rPr>
        <w:t xml:space="preserve"> management of diabetes mellitus. BMC Nursing, </w:t>
      </w:r>
      <w:r>
        <w:rPr>
          <w:rFonts w:ascii="Arial" w:eastAsia="Arial" w:hAnsi="Arial" w:cs="Arial"/>
          <w:i/>
          <w:iCs/>
          <w:highlight w:val="white"/>
        </w:rPr>
        <w:tab/>
      </w:r>
      <w:r>
        <w:rPr>
          <w:rFonts w:ascii="Arial" w:eastAsia="Arial" w:hAnsi="Arial" w:cs="Arial"/>
          <w:highlight w:val="white"/>
        </w:rPr>
        <w:tab/>
        <w:t>22(1), 198. https://doi.org/10.1186/s12912-023-01321-y</w:t>
      </w:r>
    </w:p>
    <w:p w:rsidR="00C14C7D" w:rsidRDefault="0073262F">
      <w:pPr>
        <w:spacing w:before="240" w:after="240"/>
        <w:rPr>
          <w:rFonts w:ascii="Arial" w:eastAsia="Arial" w:hAnsi="Arial" w:cs="Arial"/>
          <w:color w:val="1155CC"/>
          <w:highlight w:val="white"/>
          <w:u w:val="single"/>
        </w:rPr>
      </w:pPr>
      <w:r>
        <w:rPr>
          <w:rFonts w:ascii="Arial" w:eastAsia="Arial" w:hAnsi="Arial" w:cs="Arial"/>
          <w:highlight w:val="white"/>
        </w:rPr>
        <w:t xml:space="preserve">Department of Health Region VI. (2023). </w:t>
      </w:r>
      <w:r>
        <w:rPr>
          <w:rFonts w:ascii="Arial" w:eastAsia="Arial" w:hAnsi="Arial" w:cs="Arial"/>
          <w:i/>
          <w:iCs/>
          <w:highlight w:val="white"/>
        </w:rPr>
        <w:t xml:space="preserve">DOH-6 reports diabetes among top 10 leading </w:t>
      </w:r>
      <w:r>
        <w:rPr>
          <w:rFonts w:ascii="Arial" w:eastAsia="Arial" w:hAnsi="Arial" w:cs="Arial"/>
          <w:i/>
          <w:iCs/>
          <w:highlight w:val="white"/>
        </w:rPr>
        <w:tab/>
      </w:r>
      <w:r>
        <w:rPr>
          <w:rFonts w:ascii="Arial" w:eastAsia="Arial" w:hAnsi="Arial" w:cs="Arial"/>
          <w:i/>
          <w:iCs/>
          <w:highlight w:val="white"/>
        </w:rPr>
        <w:tab/>
        <w:t>causes of death in Western Visayas</w:t>
      </w:r>
      <w:r>
        <w:rPr>
          <w:rFonts w:ascii="Arial" w:eastAsia="Arial" w:hAnsi="Arial" w:cs="Arial"/>
          <w:highlight w:val="white"/>
        </w:rPr>
        <w:t>. https://doh.gov.ph</w:t>
      </w:r>
    </w:p>
    <w:p w:rsidR="00C14C7D" w:rsidRDefault="0073262F">
      <w:pPr>
        <w:spacing w:before="240" w:after="240"/>
        <w:rPr>
          <w:rFonts w:ascii="Arial" w:eastAsia="Arial" w:hAnsi="Arial" w:cs="Arial"/>
          <w:color w:val="1155CC"/>
          <w:highlight w:val="white"/>
          <w:u w:val="single"/>
        </w:rPr>
      </w:pPr>
      <w:proofErr w:type="spellStart"/>
      <w:r>
        <w:rPr>
          <w:rFonts w:ascii="Arial" w:eastAsia="Arial" w:hAnsi="Arial" w:cs="Arial"/>
          <w:highlight w:val="white"/>
        </w:rPr>
        <w:t>Farzaei</w:t>
      </w:r>
      <w:proofErr w:type="spellEnd"/>
      <w:r>
        <w:rPr>
          <w:rFonts w:ascii="Arial" w:eastAsia="Arial" w:hAnsi="Arial" w:cs="Arial"/>
          <w:highlight w:val="white"/>
        </w:rPr>
        <w:t xml:space="preserve">, M., </w:t>
      </w:r>
      <w:proofErr w:type="spellStart"/>
      <w:r>
        <w:rPr>
          <w:rFonts w:ascii="Arial" w:eastAsia="Arial" w:hAnsi="Arial" w:cs="Arial"/>
          <w:highlight w:val="white"/>
        </w:rPr>
        <w:t>Shahbazi</w:t>
      </w:r>
      <w:proofErr w:type="spellEnd"/>
      <w:r>
        <w:rPr>
          <w:rFonts w:ascii="Arial" w:eastAsia="Arial" w:hAnsi="Arial" w:cs="Arial"/>
          <w:highlight w:val="white"/>
        </w:rPr>
        <w:t xml:space="preserve">, S., Gilani, N., </w:t>
      </w:r>
      <w:proofErr w:type="spellStart"/>
      <w:r>
        <w:rPr>
          <w:rFonts w:ascii="Arial" w:eastAsia="Arial" w:hAnsi="Arial" w:cs="Arial"/>
          <w:highlight w:val="white"/>
        </w:rPr>
        <w:t>Ostadrahimi</w:t>
      </w:r>
      <w:proofErr w:type="spellEnd"/>
      <w:r>
        <w:rPr>
          <w:rFonts w:ascii="Arial" w:eastAsia="Arial" w:hAnsi="Arial" w:cs="Arial"/>
          <w:highlight w:val="white"/>
        </w:rPr>
        <w:t xml:space="preserve">, A., &amp; </w:t>
      </w:r>
      <w:proofErr w:type="spellStart"/>
      <w:r>
        <w:rPr>
          <w:rFonts w:ascii="Arial" w:eastAsia="Arial" w:hAnsi="Arial" w:cs="Arial"/>
          <w:highlight w:val="white"/>
        </w:rPr>
        <w:t>Gholizadeh</w:t>
      </w:r>
      <w:proofErr w:type="spellEnd"/>
      <w:r>
        <w:rPr>
          <w:rFonts w:ascii="Arial" w:eastAsia="Arial" w:hAnsi="Arial" w:cs="Arial"/>
          <w:highlight w:val="white"/>
        </w:rPr>
        <w:t xml:space="preserve">, L. (2023). </w:t>
      </w:r>
      <w:r>
        <w:rPr>
          <w:rFonts w:ascii="Arial" w:eastAsia="Arial" w:hAnsi="Arial" w:cs="Arial"/>
          <w:i/>
          <w:iCs/>
          <w:highlight w:val="white"/>
        </w:rPr>
        <w:t xml:space="preserve">Nurses’ </w:t>
      </w:r>
      <w:r>
        <w:rPr>
          <w:rFonts w:ascii="Arial" w:eastAsia="Arial" w:hAnsi="Arial" w:cs="Arial"/>
          <w:i/>
          <w:iCs/>
          <w:highlight w:val="white"/>
        </w:rPr>
        <w:tab/>
      </w:r>
      <w:r>
        <w:rPr>
          <w:rFonts w:ascii="Arial" w:eastAsia="Arial" w:hAnsi="Arial" w:cs="Arial"/>
          <w:i/>
          <w:iCs/>
          <w:highlight w:val="white"/>
        </w:rPr>
        <w:tab/>
        <w:t xml:space="preserve">knowledge, attitudes, and practice with regards to nutritional management of </w:t>
      </w:r>
      <w:r>
        <w:rPr>
          <w:rFonts w:ascii="Arial" w:eastAsia="Arial" w:hAnsi="Arial" w:cs="Arial"/>
          <w:i/>
          <w:iCs/>
          <w:highlight w:val="white"/>
        </w:rPr>
        <w:tab/>
      </w:r>
      <w:r>
        <w:rPr>
          <w:rFonts w:ascii="Arial" w:eastAsia="Arial" w:hAnsi="Arial" w:cs="Arial"/>
          <w:i/>
          <w:iCs/>
          <w:highlight w:val="white"/>
        </w:rPr>
        <w:tab/>
        <w:t>diabetes mellitus. BMC Medical Education, 23</w:t>
      </w:r>
      <w:r>
        <w:rPr>
          <w:rFonts w:ascii="Arial" w:eastAsia="Arial" w:hAnsi="Arial" w:cs="Arial"/>
          <w:highlight w:val="white"/>
        </w:rPr>
        <w:t xml:space="preserve">(1).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https://doi.org/10.1186/s12909-0</w:t>
      </w:r>
      <w:r>
        <w:rPr>
          <w:rFonts w:ascii="Arial" w:eastAsia="Arial" w:hAnsi="Arial" w:cs="Arial"/>
          <w:highlight w:val="white"/>
        </w:rPr>
        <w:t>23-04178-4</w:t>
      </w:r>
    </w:p>
    <w:p w:rsidR="00C14C7D" w:rsidRDefault="0073262F">
      <w:pPr>
        <w:spacing w:before="240" w:after="240"/>
        <w:rPr>
          <w:rFonts w:ascii="Arial" w:eastAsia="Arial" w:hAnsi="Arial" w:cs="Arial"/>
          <w:highlight w:val="white"/>
        </w:rPr>
      </w:pPr>
      <w:r>
        <w:rPr>
          <w:rFonts w:ascii="Arial" w:eastAsia="Arial" w:hAnsi="Arial" w:cs="Arial"/>
          <w:highlight w:val="white"/>
        </w:rPr>
        <w:t xml:space="preserve">Flores, A., &amp; Delos Reyes, J. (2020). </w:t>
      </w:r>
      <w:r>
        <w:rPr>
          <w:rFonts w:ascii="Arial" w:eastAsia="Arial" w:hAnsi="Arial" w:cs="Arial"/>
          <w:i/>
          <w:iCs/>
          <w:highlight w:val="white"/>
        </w:rPr>
        <w:t xml:space="preserve">Diabetes awareness and practices among adults in </w:t>
      </w:r>
      <w:r>
        <w:rPr>
          <w:rFonts w:ascii="Arial" w:eastAsia="Arial" w:hAnsi="Arial" w:cs="Arial"/>
          <w:i/>
          <w:iCs/>
          <w:highlight w:val="white"/>
        </w:rPr>
        <w:tab/>
      </w:r>
      <w:r>
        <w:rPr>
          <w:rFonts w:ascii="Arial" w:eastAsia="Arial" w:hAnsi="Arial" w:cs="Arial"/>
          <w:i/>
          <w:iCs/>
          <w:highlight w:val="white"/>
        </w:rPr>
        <w:tab/>
        <w:t xml:space="preserve">Western Visayas, Philippines. Philippine Journal of Health Research and </w:t>
      </w:r>
      <w:r>
        <w:rPr>
          <w:rFonts w:ascii="Arial" w:eastAsia="Arial" w:hAnsi="Arial" w:cs="Arial"/>
          <w:i/>
          <w:iCs/>
          <w:highlight w:val="white"/>
        </w:rPr>
        <w:tab/>
      </w:r>
      <w:r>
        <w:rPr>
          <w:rFonts w:ascii="Arial" w:eastAsia="Arial" w:hAnsi="Arial" w:cs="Arial"/>
          <w:i/>
          <w:iCs/>
          <w:highlight w:val="white"/>
        </w:rPr>
        <w:tab/>
      </w:r>
      <w:r>
        <w:rPr>
          <w:rFonts w:ascii="Arial" w:eastAsia="Arial" w:hAnsi="Arial" w:cs="Arial"/>
          <w:i/>
          <w:iCs/>
          <w:highlight w:val="white"/>
        </w:rPr>
        <w:tab/>
        <w:t>Development</w:t>
      </w:r>
      <w:r>
        <w:rPr>
          <w:rFonts w:ascii="Arial" w:eastAsia="Arial" w:hAnsi="Arial" w:cs="Arial"/>
          <w:highlight w:val="white"/>
        </w:rPr>
        <w:t>. https://pjhrd.upm.edu.ph</w:t>
      </w:r>
    </w:p>
    <w:p w:rsidR="00C14C7D" w:rsidRDefault="0073262F">
      <w:pPr>
        <w:spacing w:before="240" w:after="240"/>
        <w:ind w:left="720"/>
        <w:rPr>
          <w:rFonts w:ascii="Arial" w:eastAsia="Arial" w:hAnsi="Arial" w:cs="Arial"/>
          <w:highlight w:val="white"/>
        </w:rPr>
      </w:pPr>
      <w:r>
        <w:rPr>
          <w:rFonts w:ascii="Arial" w:eastAsia="Arial" w:hAnsi="Arial" w:cs="Arial"/>
          <w:highlight w:val="white"/>
        </w:rPr>
        <w:t>Frontiers in Rehabilitation Sciences. (2024</w:t>
      </w:r>
      <w:r>
        <w:rPr>
          <w:rFonts w:ascii="Arial" w:eastAsia="Arial" w:hAnsi="Arial" w:cs="Arial"/>
          <w:highlight w:val="white"/>
        </w:rPr>
        <w:t xml:space="preserve">). Effects of a comprehensive structured </w:t>
      </w:r>
      <w:r>
        <w:rPr>
          <w:rFonts w:ascii="Arial" w:eastAsia="Arial" w:hAnsi="Arial" w:cs="Arial"/>
          <w:highlight w:val="white"/>
        </w:rPr>
        <w:tab/>
        <w:t xml:space="preserve">patient education intervention on diabetes self-management in the Philippines. </w:t>
      </w:r>
      <w:r>
        <w:rPr>
          <w:rFonts w:ascii="Arial" w:eastAsia="Arial" w:hAnsi="Arial" w:cs="Arial"/>
          <w:highlight w:val="white"/>
        </w:rPr>
        <w:tab/>
      </w:r>
      <w:r>
        <w:rPr>
          <w:rFonts w:ascii="Arial" w:eastAsia="Arial" w:hAnsi="Arial" w:cs="Arial"/>
          <w:i/>
          <w:iCs/>
          <w:highlight w:val="white"/>
        </w:rPr>
        <w:t>Frontiers in Rehabilitation Sciences, 5,</w:t>
      </w:r>
      <w:r>
        <w:rPr>
          <w:rFonts w:ascii="Arial" w:eastAsia="Arial" w:hAnsi="Arial" w:cs="Arial"/>
          <w:highlight w:val="white"/>
        </w:rPr>
        <w:t xml:space="preserve"> 1374850. </w:t>
      </w:r>
      <w:r>
        <w:rPr>
          <w:rFonts w:ascii="Arial" w:eastAsia="Arial" w:hAnsi="Arial" w:cs="Arial"/>
          <w:highlight w:val="white"/>
        </w:rPr>
        <w:tab/>
        <w:t>https://www.frontiersin.org/journals/rehabilitation-sciences/articles/10.3389/fresc</w:t>
      </w:r>
      <w:r>
        <w:rPr>
          <w:rFonts w:ascii="Arial" w:eastAsia="Arial" w:hAnsi="Arial" w:cs="Arial"/>
          <w:highlight w:val="white"/>
        </w:rPr>
        <w:t>.2024.1374850/full</w:t>
      </w:r>
    </w:p>
    <w:p w:rsidR="00C14C7D" w:rsidRDefault="0073262F">
      <w:pPr>
        <w:spacing w:before="240" w:after="240"/>
        <w:ind w:left="720"/>
        <w:rPr>
          <w:rFonts w:ascii="Arial" w:eastAsia="Arial" w:hAnsi="Arial" w:cs="Arial"/>
          <w:highlight w:val="white"/>
        </w:rPr>
      </w:pPr>
      <w:r>
        <w:rPr>
          <w:rFonts w:ascii="Arial" w:eastAsia="Arial" w:hAnsi="Arial" w:cs="Arial"/>
          <w:highlight w:val="white"/>
        </w:rPr>
        <w:t xml:space="preserve">International Diabetes Federation. (2024). </w:t>
      </w:r>
      <w:r>
        <w:rPr>
          <w:rFonts w:ascii="Arial" w:eastAsia="Arial" w:hAnsi="Arial" w:cs="Arial"/>
          <w:i/>
          <w:iCs/>
          <w:highlight w:val="white"/>
        </w:rPr>
        <w:t>Diabetes in The Philippines</w:t>
      </w:r>
      <w:r>
        <w:rPr>
          <w:rFonts w:ascii="Arial" w:eastAsia="Arial" w:hAnsi="Arial" w:cs="Arial"/>
          <w:highlight w:val="white"/>
        </w:rPr>
        <w:t xml:space="preserve">. Retrieved from </w:t>
      </w:r>
      <w:r>
        <w:rPr>
          <w:rFonts w:ascii="Arial" w:eastAsia="Arial" w:hAnsi="Arial" w:cs="Arial"/>
          <w:highlight w:val="white"/>
        </w:rPr>
        <w:tab/>
        <w:t>https://idf.org/our-network/regions-and-members/western-pacific/members/the-philippines/</w:t>
      </w:r>
    </w:p>
    <w:p w:rsidR="00C14C7D" w:rsidRDefault="0073262F">
      <w:pPr>
        <w:spacing w:before="240" w:after="240" w:line="480" w:lineRule="auto"/>
        <w:ind w:left="720" w:hanging="720"/>
        <w:rPr>
          <w:rFonts w:ascii="Arial" w:eastAsia="Arial" w:hAnsi="Arial" w:cs="Arial"/>
          <w:highlight w:val="white"/>
        </w:rPr>
      </w:pPr>
      <w:proofErr w:type="spellStart"/>
      <w:r>
        <w:rPr>
          <w:rFonts w:ascii="Arial" w:eastAsia="Arial" w:hAnsi="Arial" w:cs="Arial"/>
          <w:highlight w:val="white"/>
        </w:rPr>
        <w:t>Kueh</w:t>
      </w:r>
      <w:proofErr w:type="spellEnd"/>
      <w:r>
        <w:rPr>
          <w:rFonts w:ascii="Arial" w:eastAsia="Arial" w:hAnsi="Arial" w:cs="Arial"/>
          <w:highlight w:val="white"/>
        </w:rPr>
        <w:t xml:space="preserve">, Y. C., Morris, T., &amp; </w:t>
      </w:r>
      <w:proofErr w:type="spellStart"/>
      <w:r>
        <w:rPr>
          <w:rFonts w:ascii="Arial" w:eastAsia="Arial" w:hAnsi="Arial" w:cs="Arial"/>
          <w:highlight w:val="white"/>
        </w:rPr>
        <w:t>Borkoles</w:t>
      </w:r>
      <w:proofErr w:type="spellEnd"/>
      <w:r>
        <w:rPr>
          <w:rFonts w:ascii="Arial" w:eastAsia="Arial" w:hAnsi="Arial" w:cs="Arial"/>
          <w:highlight w:val="white"/>
        </w:rPr>
        <w:t xml:space="preserve">, E. (2020). </w:t>
      </w:r>
      <w:r>
        <w:rPr>
          <w:rFonts w:ascii="Arial" w:eastAsia="Arial" w:hAnsi="Arial" w:cs="Arial"/>
          <w:i/>
          <w:iCs/>
          <w:highlight w:val="white"/>
        </w:rPr>
        <w:t>Knowledge, a</w:t>
      </w:r>
      <w:r>
        <w:rPr>
          <w:rFonts w:ascii="Arial" w:eastAsia="Arial" w:hAnsi="Arial" w:cs="Arial"/>
          <w:i/>
          <w:iCs/>
          <w:highlight w:val="white"/>
        </w:rPr>
        <w:t>ttitudes, and self-management practices of diabetes among nursing students.</w:t>
      </w:r>
      <w:r>
        <w:rPr>
          <w:rFonts w:ascii="Arial" w:eastAsia="Arial" w:hAnsi="Arial" w:cs="Arial"/>
          <w:highlight w:val="white"/>
        </w:rPr>
        <w:t xml:space="preserve"> Nurse Education Today, 85, 104268. https://doi.org/10.1016/j.nedt.2019.104268</w:t>
      </w:r>
    </w:p>
    <w:p w:rsidR="00C14C7D" w:rsidRDefault="0073262F">
      <w:pPr>
        <w:spacing w:before="240" w:after="240"/>
        <w:rPr>
          <w:rFonts w:ascii="Arial" w:eastAsia="Arial" w:hAnsi="Arial" w:cs="Arial"/>
          <w:highlight w:val="white"/>
        </w:rPr>
      </w:pPr>
      <w:proofErr w:type="spellStart"/>
      <w:r>
        <w:rPr>
          <w:rFonts w:ascii="Arial" w:eastAsia="Arial" w:hAnsi="Arial" w:cs="Arial"/>
          <w:highlight w:val="white"/>
        </w:rPr>
        <w:t>Launiala</w:t>
      </w:r>
      <w:proofErr w:type="spellEnd"/>
      <w:r>
        <w:rPr>
          <w:rFonts w:ascii="Arial" w:eastAsia="Arial" w:hAnsi="Arial" w:cs="Arial"/>
          <w:highlight w:val="white"/>
        </w:rPr>
        <w:t xml:space="preserve">, A. (2009). </w:t>
      </w:r>
      <w:r>
        <w:rPr>
          <w:rFonts w:ascii="Arial" w:eastAsia="Arial" w:hAnsi="Arial" w:cs="Arial"/>
          <w:i/>
          <w:iCs/>
          <w:highlight w:val="white"/>
        </w:rPr>
        <w:t xml:space="preserve">How much can a KAP survey tell us about people’s knowledge, </w:t>
      </w:r>
      <w:r>
        <w:rPr>
          <w:rFonts w:ascii="Arial" w:eastAsia="Arial" w:hAnsi="Arial" w:cs="Arial"/>
          <w:i/>
          <w:iCs/>
          <w:highlight w:val="white"/>
        </w:rPr>
        <w:tab/>
      </w:r>
      <w:r>
        <w:rPr>
          <w:rFonts w:ascii="Arial" w:eastAsia="Arial" w:hAnsi="Arial" w:cs="Arial"/>
          <w:i/>
          <w:iCs/>
          <w:highlight w:val="white"/>
        </w:rPr>
        <w:tab/>
        <w:t>attitudes, and prac</w:t>
      </w:r>
      <w:r>
        <w:rPr>
          <w:rFonts w:ascii="Arial" w:eastAsia="Arial" w:hAnsi="Arial" w:cs="Arial"/>
          <w:i/>
          <w:iCs/>
          <w:highlight w:val="white"/>
        </w:rPr>
        <w:t xml:space="preserve">tices? Some observations from medical anthropology research </w:t>
      </w:r>
      <w:r>
        <w:rPr>
          <w:rFonts w:ascii="Arial" w:eastAsia="Arial" w:hAnsi="Arial" w:cs="Arial"/>
          <w:i/>
          <w:iCs/>
          <w:highlight w:val="white"/>
        </w:rPr>
        <w:tab/>
        <w:t>on malaria in pregnancy in Malawi.</w:t>
      </w:r>
      <w:r>
        <w:rPr>
          <w:rFonts w:ascii="Arial" w:eastAsia="Arial" w:hAnsi="Arial" w:cs="Arial"/>
          <w:highlight w:val="white"/>
        </w:rPr>
        <w:t xml:space="preserve"> </w:t>
      </w:r>
      <w:r>
        <w:rPr>
          <w:rFonts w:ascii="Arial" w:eastAsia="Arial" w:hAnsi="Arial" w:cs="Arial"/>
          <w:i/>
          <w:iCs/>
          <w:highlight w:val="white"/>
        </w:rPr>
        <w:t>Anthropology Matters, 11</w:t>
      </w:r>
      <w:r>
        <w:rPr>
          <w:rFonts w:ascii="Arial" w:eastAsia="Arial" w:hAnsi="Arial" w:cs="Arial"/>
          <w:highlight w:val="white"/>
        </w:rPr>
        <w:t>(1), 1–13.</w:t>
      </w:r>
    </w:p>
    <w:p w:rsidR="00C14C7D" w:rsidRDefault="0073262F">
      <w:pPr>
        <w:spacing w:before="240" w:after="240"/>
        <w:rPr>
          <w:rFonts w:ascii="Arial" w:eastAsia="Arial" w:hAnsi="Arial" w:cs="Arial"/>
          <w:highlight w:val="white"/>
        </w:rPr>
      </w:pPr>
      <w:proofErr w:type="spellStart"/>
      <w:r>
        <w:rPr>
          <w:rFonts w:ascii="Arial" w:eastAsia="Arial" w:hAnsi="Arial" w:cs="Arial"/>
          <w:highlight w:val="white"/>
        </w:rPr>
        <w:t>Mancin</w:t>
      </w:r>
      <w:proofErr w:type="spellEnd"/>
      <w:r>
        <w:rPr>
          <w:rFonts w:ascii="Arial" w:eastAsia="Arial" w:hAnsi="Arial" w:cs="Arial"/>
          <w:highlight w:val="white"/>
        </w:rPr>
        <w:t xml:space="preserve">, S., </w:t>
      </w:r>
      <w:proofErr w:type="spellStart"/>
      <w:r>
        <w:rPr>
          <w:rFonts w:ascii="Arial" w:eastAsia="Arial" w:hAnsi="Arial" w:cs="Arial"/>
          <w:highlight w:val="white"/>
        </w:rPr>
        <w:t>Sguanci</w:t>
      </w:r>
      <w:proofErr w:type="spellEnd"/>
      <w:r>
        <w:rPr>
          <w:rFonts w:ascii="Arial" w:eastAsia="Arial" w:hAnsi="Arial" w:cs="Arial"/>
          <w:highlight w:val="white"/>
        </w:rPr>
        <w:t xml:space="preserve">, M., </w:t>
      </w:r>
      <w:proofErr w:type="spellStart"/>
      <w:r>
        <w:rPr>
          <w:rFonts w:ascii="Arial" w:eastAsia="Arial" w:hAnsi="Arial" w:cs="Arial"/>
          <w:highlight w:val="white"/>
        </w:rPr>
        <w:t>Cattani</w:t>
      </w:r>
      <w:proofErr w:type="spellEnd"/>
      <w:r>
        <w:rPr>
          <w:rFonts w:ascii="Arial" w:eastAsia="Arial" w:hAnsi="Arial" w:cs="Arial"/>
          <w:highlight w:val="white"/>
        </w:rPr>
        <w:t xml:space="preserve">, D., </w:t>
      </w:r>
      <w:proofErr w:type="spellStart"/>
      <w:r>
        <w:rPr>
          <w:rFonts w:ascii="Arial" w:eastAsia="Arial" w:hAnsi="Arial" w:cs="Arial"/>
          <w:highlight w:val="white"/>
        </w:rPr>
        <w:t>Soekeland</w:t>
      </w:r>
      <w:proofErr w:type="spellEnd"/>
      <w:r>
        <w:rPr>
          <w:rFonts w:ascii="Arial" w:eastAsia="Arial" w:hAnsi="Arial" w:cs="Arial"/>
          <w:highlight w:val="white"/>
        </w:rPr>
        <w:t xml:space="preserve">, F., </w:t>
      </w:r>
      <w:proofErr w:type="spellStart"/>
      <w:r>
        <w:rPr>
          <w:rFonts w:ascii="Arial" w:eastAsia="Arial" w:hAnsi="Arial" w:cs="Arial"/>
          <w:highlight w:val="white"/>
        </w:rPr>
        <w:t>Axiak</w:t>
      </w:r>
      <w:proofErr w:type="spellEnd"/>
      <w:r>
        <w:rPr>
          <w:rFonts w:ascii="Arial" w:eastAsia="Arial" w:hAnsi="Arial" w:cs="Arial"/>
          <w:highlight w:val="white"/>
        </w:rPr>
        <w:t xml:space="preserve">, G., </w:t>
      </w:r>
      <w:proofErr w:type="spellStart"/>
      <w:r>
        <w:rPr>
          <w:rFonts w:ascii="Arial" w:eastAsia="Arial" w:hAnsi="Arial" w:cs="Arial"/>
          <w:highlight w:val="white"/>
        </w:rPr>
        <w:t>Mazzoleni</w:t>
      </w:r>
      <w:proofErr w:type="spellEnd"/>
      <w:r>
        <w:rPr>
          <w:rFonts w:ascii="Arial" w:eastAsia="Arial" w:hAnsi="Arial" w:cs="Arial"/>
          <w:highlight w:val="white"/>
        </w:rPr>
        <w:t xml:space="preserve">, B., De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proofErr w:type="spellStart"/>
      <w:r>
        <w:rPr>
          <w:rFonts w:ascii="Arial" w:eastAsia="Arial" w:hAnsi="Arial" w:cs="Arial"/>
          <w:highlight w:val="white"/>
        </w:rPr>
        <w:t>Marinis</w:t>
      </w:r>
      <w:proofErr w:type="spellEnd"/>
      <w:r>
        <w:rPr>
          <w:rFonts w:ascii="Arial" w:eastAsia="Arial" w:hAnsi="Arial" w:cs="Arial"/>
          <w:highlight w:val="white"/>
        </w:rPr>
        <w:t xml:space="preserve">, M. G., &amp; </w:t>
      </w:r>
      <w:proofErr w:type="spellStart"/>
      <w:r>
        <w:rPr>
          <w:rFonts w:ascii="Arial" w:eastAsia="Arial" w:hAnsi="Arial" w:cs="Arial"/>
          <w:highlight w:val="white"/>
        </w:rPr>
        <w:t>Piredda</w:t>
      </w:r>
      <w:proofErr w:type="spellEnd"/>
      <w:r>
        <w:rPr>
          <w:rFonts w:ascii="Arial" w:eastAsia="Arial" w:hAnsi="Arial" w:cs="Arial"/>
          <w:highlight w:val="white"/>
        </w:rPr>
        <w:t xml:space="preserve">, M. (2023). </w:t>
      </w:r>
      <w:r>
        <w:rPr>
          <w:rFonts w:ascii="Arial" w:eastAsia="Arial" w:hAnsi="Arial" w:cs="Arial"/>
          <w:i/>
          <w:iCs/>
          <w:highlight w:val="white"/>
        </w:rPr>
        <w:t>Nu</w:t>
      </w:r>
      <w:r>
        <w:rPr>
          <w:rFonts w:ascii="Arial" w:eastAsia="Arial" w:hAnsi="Arial" w:cs="Arial"/>
          <w:i/>
          <w:iCs/>
          <w:highlight w:val="white"/>
        </w:rPr>
        <w:t xml:space="preserve">tritional knowledge of nursing students: </w:t>
      </w:r>
      <w:r>
        <w:rPr>
          <w:rFonts w:ascii="Arial" w:eastAsia="Arial" w:hAnsi="Arial" w:cs="Arial"/>
          <w:i/>
          <w:iCs/>
          <w:highlight w:val="white"/>
        </w:rPr>
        <w:tab/>
      </w:r>
      <w:r>
        <w:rPr>
          <w:rFonts w:ascii="Arial" w:eastAsia="Arial" w:hAnsi="Arial" w:cs="Arial"/>
          <w:i/>
          <w:iCs/>
          <w:highlight w:val="white"/>
        </w:rPr>
        <w:tab/>
        <w:t>A systematic literature review.</w:t>
      </w:r>
      <w:r>
        <w:rPr>
          <w:rFonts w:ascii="Arial" w:eastAsia="Arial" w:hAnsi="Arial" w:cs="Arial"/>
          <w:highlight w:val="white"/>
        </w:rPr>
        <w:t xml:space="preserve"> </w:t>
      </w:r>
      <w:r>
        <w:rPr>
          <w:rFonts w:ascii="Arial" w:eastAsia="Arial" w:hAnsi="Arial" w:cs="Arial"/>
          <w:i/>
          <w:iCs/>
          <w:highlight w:val="white"/>
        </w:rPr>
        <w:t>Nurse Education Today</w:t>
      </w:r>
      <w:r>
        <w:rPr>
          <w:rFonts w:ascii="Arial" w:eastAsia="Arial" w:hAnsi="Arial" w:cs="Arial"/>
          <w:highlight w:val="white"/>
        </w:rPr>
        <w:t xml:space="preserve">.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https://doi.org/10.1016/j.nedt.2023.105826</w:t>
      </w:r>
    </w:p>
    <w:p w:rsidR="00C14C7D" w:rsidRDefault="0073262F">
      <w:pPr>
        <w:spacing w:before="240" w:after="240"/>
        <w:rPr>
          <w:rFonts w:ascii="Arial" w:eastAsia="Arial" w:hAnsi="Arial" w:cs="Arial"/>
          <w:highlight w:val="white"/>
        </w:rPr>
      </w:pPr>
      <w:r>
        <w:rPr>
          <w:rFonts w:ascii="Arial" w:eastAsia="Arial" w:hAnsi="Arial" w:cs="Arial"/>
          <w:highlight w:val="white"/>
        </w:rPr>
        <w:lastRenderedPageBreak/>
        <w:t xml:space="preserve">Pender, N. J. (1982). </w:t>
      </w:r>
      <w:r>
        <w:rPr>
          <w:rFonts w:ascii="Arial" w:eastAsia="Arial" w:hAnsi="Arial" w:cs="Arial"/>
          <w:i/>
          <w:iCs/>
          <w:highlight w:val="white"/>
        </w:rPr>
        <w:t>Health promotion in nursing practice</w:t>
      </w:r>
      <w:r>
        <w:rPr>
          <w:rFonts w:ascii="Arial" w:eastAsia="Arial" w:hAnsi="Arial" w:cs="Arial"/>
          <w:highlight w:val="white"/>
        </w:rPr>
        <w:t>. Appleton-Century-Crofts.</w:t>
      </w:r>
    </w:p>
    <w:p w:rsidR="00C14C7D" w:rsidRDefault="0073262F">
      <w:pPr>
        <w:spacing w:before="240" w:after="240"/>
        <w:rPr>
          <w:rFonts w:ascii="Arial" w:eastAsia="Arial" w:hAnsi="Arial" w:cs="Arial"/>
          <w:color w:val="1155CC"/>
          <w:highlight w:val="white"/>
          <w:u w:val="single"/>
        </w:rPr>
      </w:pPr>
      <w:r>
        <w:rPr>
          <w:rFonts w:ascii="Arial" w:eastAsia="Arial" w:hAnsi="Arial" w:cs="Arial"/>
          <w:highlight w:val="white"/>
        </w:rPr>
        <w:t xml:space="preserve">Roy, C. (1970). </w:t>
      </w:r>
      <w:r>
        <w:rPr>
          <w:rFonts w:ascii="Arial" w:eastAsia="Arial" w:hAnsi="Arial" w:cs="Arial"/>
          <w:i/>
          <w:iCs/>
          <w:highlight w:val="white"/>
        </w:rPr>
        <w:t>Adaptatio</w:t>
      </w:r>
      <w:r>
        <w:rPr>
          <w:rFonts w:ascii="Arial" w:eastAsia="Arial" w:hAnsi="Arial" w:cs="Arial"/>
          <w:i/>
          <w:iCs/>
          <w:highlight w:val="white"/>
        </w:rPr>
        <w:t>n: A conceptual framework for nursing</w:t>
      </w:r>
      <w:r>
        <w:rPr>
          <w:rFonts w:ascii="Arial" w:eastAsia="Arial" w:hAnsi="Arial" w:cs="Arial"/>
          <w:highlight w:val="white"/>
        </w:rPr>
        <w:t xml:space="preserve">. Nursing Outlook, </w:t>
      </w:r>
      <w:r>
        <w:rPr>
          <w:rFonts w:ascii="Arial" w:eastAsia="Arial" w:hAnsi="Arial" w:cs="Arial"/>
          <w:highlight w:val="white"/>
        </w:rPr>
        <w:tab/>
      </w:r>
      <w:r>
        <w:rPr>
          <w:rFonts w:ascii="Arial" w:eastAsia="Arial" w:hAnsi="Arial" w:cs="Arial"/>
          <w:highlight w:val="white"/>
        </w:rPr>
        <w:tab/>
        <w:t>18(3), 42–45.</w:t>
      </w:r>
    </w:p>
    <w:p w:rsidR="00C14C7D" w:rsidRDefault="0073262F">
      <w:pPr>
        <w:spacing w:before="240" w:after="240"/>
        <w:rPr>
          <w:rFonts w:ascii="Arial" w:eastAsia="Arial" w:hAnsi="Arial" w:cs="Arial"/>
          <w:color w:val="1155CC"/>
          <w:highlight w:val="white"/>
          <w:u w:val="single"/>
        </w:rPr>
      </w:pPr>
      <w:r>
        <w:rPr>
          <w:rFonts w:ascii="Arial" w:eastAsia="Arial" w:hAnsi="Arial" w:cs="Arial"/>
          <w:highlight w:val="white"/>
        </w:rPr>
        <w:t xml:space="preserve">World Health Organization. (2024). </w:t>
      </w:r>
      <w:r>
        <w:rPr>
          <w:rFonts w:ascii="Arial" w:eastAsia="Arial" w:hAnsi="Arial" w:cs="Arial"/>
          <w:i/>
          <w:iCs/>
          <w:highlight w:val="white"/>
        </w:rPr>
        <w:t>Diabetes</w:t>
      </w:r>
      <w:r>
        <w:rPr>
          <w:rFonts w:ascii="Arial" w:eastAsia="Arial" w:hAnsi="Arial" w:cs="Arial"/>
          <w:highlight w:val="white"/>
        </w:rPr>
        <w:t xml:space="preserve">.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https://www.who.int/news-room/fact-sheets/detail/diabetes</w:t>
      </w:r>
    </w:p>
    <w:p w:rsidR="00C14C7D" w:rsidRDefault="0073262F">
      <w:pPr>
        <w:spacing w:before="240" w:after="240"/>
        <w:rPr>
          <w:rFonts w:ascii="Arial" w:eastAsia="Arial" w:hAnsi="Arial" w:cs="Arial"/>
          <w:color w:val="1155CC"/>
          <w:highlight w:val="white"/>
          <w:u w:val="single"/>
        </w:rPr>
      </w:pPr>
      <w:proofErr w:type="spellStart"/>
      <w:r>
        <w:rPr>
          <w:rFonts w:ascii="Arial" w:eastAsia="Arial" w:hAnsi="Arial" w:cs="Arial"/>
          <w:highlight w:val="white"/>
        </w:rPr>
        <w:t>Yameny</w:t>
      </w:r>
      <w:proofErr w:type="spellEnd"/>
      <w:r>
        <w:rPr>
          <w:rFonts w:ascii="Arial" w:eastAsia="Arial" w:hAnsi="Arial" w:cs="Arial"/>
          <w:highlight w:val="white"/>
        </w:rPr>
        <w:t xml:space="preserve">, A. A. (2024). </w:t>
      </w:r>
      <w:r>
        <w:rPr>
          <w:rFonts w:ascii="Arial" w:eastAsia="Arial" w:hAnsi="Arial" w:cs="Arial"/>
          <w:i/>
          <w:iCs/>
          <w:highlight w:val="white"/>
        </w:rPr>
        <w:t>Diabetes mellitus overview 2024</w:t>
      </w:r>
      <w:r>
        <w:rPr>
          <w:rFonts w:ascii="Arial" w:eastAsia="Arial" w:hAnsi="Arial" w:cs="Arial"/>
          <w:highlight w:val="white"/>
        </w:rPr>
        <w:t xml:space="preserve">. </w:t>
      </w:r>
      <w:r>
        <w:rPr>
          <w:rFonts w:ascii="Arial" w:eastAsia="Arial" w:hAnsi="Arial" w:cs="Arial"/>
          <w:i/>
          <w:iCs/>
          <w:highlight w:val="white"/>
        </w:rPr>
        <w:t>Journal of Bioscien</w:t>
      </w:r>
      <w:r>
        <w:rPr>
          <w:rFonts w:ascii="Arial" w:eastAsia="Arial" w:hAnsi="Arial" w:cs="Arial"/>
          <w:i/>
          <w:iCs/>
          <w:highlight w:val="white"/>
        </w:rPr>
        <w:t xml:space="preserve">ce and </w:t>
      </w:r>
      <w:r>
        <w:rPr>
          <w:rFonts w:ascii="Arial" w:eastAsia="Arial" w:hAnsi="Arial" w:cs="Arial"/>
          <w:i/>
          <w:iCs/>
          <w:highlight w:val="white"/>
        </w:rPr>
        <w:tab/>
      </w:r>
      <w:r>
        <w:rPr>
          <w:rFonts w:ascii="Arial" w:eastAsia="Arial" w:hAnsi="Arial" w:cs="Arial"/>
          <w:i/>
          <w:iCs/>
          <w:highlight w:val="white"/>
        </w:rPr>
        <w:tab/>
        <w:t>Applied Research, 10</w:t>
      </w:r>
      <w:r>
        <w:rPr>
          <w:rFonts w:ascii="Arial" w:eastAsia="Arial" w:hAnsi="Arial" w:cs="Arial"/>
          <w:highlight w:val="white"/>
        </w:rPr>
        <w:t>(3), 641–645. https://doi.org/10.21608/jbaar.2024.382794</w:t>
      </w:r>
    </w:p>
    <w:p w:rsidR="00C14C7D" w:rsidRDefault="0073262F">
      <w:pPr>
        <w:rPr>
          <w:rFonts w:ascii="Arial" w:eastAsia="Arial" w:hAnsi="Arial" w:cs="Arial"/>
          <w:highlight w:val="white"/>
        </w:rPr>
      </w:pPr>
      <w:r>
        <w:rPr>
          <w:rFonts w:ascii="Arial" w:eastAsia="Arial" w:hAnsi="Arial" w:cs="Arial"/>
          <w:highlight w:val="white"/>
        </w:rPr>
        <w:t xml:space="preserve">Yu, X., Chau, J. P. C., </w:t>
      </w:r>
      <w:proofErr w:type="spellStart"/>
      <w:r>
        <w:rPr>
          <w:rFonts w:ascii="Arial" w:eastAsia="Arial" w:hAnsi="Arial" w:cs="Arial"/>
          <w:highlight w:val="white"/>
        </w:rPr>
        <w:t>Huo</w:t>
      </w:r>
      <w:proofErr w:type="spellEnd"/>
      <w:r>
        <w:rPr>
          <w:rFonts w:ascii="Arial" w:eastAsia="Arial" w:hAnsi="Arial" w:cs="Arial"/>
          <w:highlight w:val="white"/>
        </w:rPr>
        <w:t xml:space="preserve">, L., Li, X., Wang, D., Wu, H., &amp; Zhang, Y. (2022). The effects </w:t>
      </w:r>
      <w:r>
        <w:rPr>
          <w:rFonts w:ascii="Arial" w:eastAsia="Arial" w:hAnsi="Arial" w:cs="Arial"/>
          <w:highlight w:val="white"/>
        </w:rPr>
        <w:tab/>
        <w:t xml:space="preserve">of </w:t>
      </w:r>
    </w:p>
    <w:p w:rsidR="00C14C7D" w:rsidRDefault="0073262F">
      <w:pPr>
        <w:ind w:firstLine="720"/>
        <w:rPr>
          <w:rFonts w:ascii="Arial" w:eastAsia="Arial" w:hAnsi="Arial" w:cs="Arial"/>
          <w:highlight w:val="white"/>
        </w:rPr>
      </w:pPr>
      <w:r>
        <w:rPr>
          <w:rFonts w:ascii="Arial" w:eastAsia="Arial" w:hAnsi="Arial" w:cs="Arial"/>
          <w:highlight w:val="white"/>
        </w:rPr>
        <w:t>a nurse-led integrative medicine-based structured education program on</w:t>
      </w:r>
    </w:p>
    <w:p w:rsidR="00C14C7D" w:rsidRDefault="0073262F">
      <w:pPr>
        <w:ind w:firstLine="720"/>
        <w:rPr>
          <w:rFonts w:ascii="Arial" w:eastAsia="Arial" w:hAnsi="Arial" w:cs="Arial"/>
          <w:highlight w:val="white"/>
        </w:rPr>
      </w:pPr>
      <w:r>
        <w:rPr>
          <w:rFonts w:ascii="Arial" w:eastAsia="Arial" w:hAnsi="Arial" w:cs="Arial"/>
          <w:highlight w:val="white"/>
        </w:rPr>
        <w:t>sel</w:t>
      </w:r>
      <w:r>
        <w:rPr>
          <w:rFonts w:ascii="Arial" w:eastAsia="Arial" w:hAnsi="Arial" w:cs="Arial"/>
          <w:highlight w:val="white"/>
        </w:rPr>
        <w:t xml:space="preserve">f-management behaviors among individuals with newly diagnosed type 2 </w:t>
      </w:r>
      <w:r>
        <w:rPr>
          <w:rFonts w:ascii="Arial" w:eastAsia="Arial" w:hAnsi="Arial" w:cs="Arial"/>
          <w:highlight w:val="white"/>
        </w:rPr>
        <w:tab/>
      </w:r>
      <w:r>
        <w:rPr>
          <w:rFonts w:ascii="Arial" w:eastAsia="Arial" w:hAnsi="Arial" w:cs="Arial"/>
          <w:highlight w:val="white"/>
        </w:rPr>
        <w:tab/>
        <w:t xml:space="preserve">diabetes: A randomized controlled trial. </w:t>
      </w:r>
      <w:r>
        <w:rPr>
          <w:rFonts w:ascii="Arial" w:eastAsia="Arial" w:hAnsi="Arial" w:cs="Arial"/>
          <w:i/>
          <w:iCs/>
          <w:highlight w:val="white"/>
        </w:rPr>
        <w:t>BMC Nursing, 21,</w:t>
      </w:r>
      <w:r>
        <w:rPr>
          <w:rFonts w:ascii="Arial" w:eastAsia="Arial" w:hAnsi="Arial" w:cs="Arial"/>
          <w:highlight w:val="white"/>
        </w:rPr>
        <w:t xml:space="preserve"> 217.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https://bmcnurs.biomedcentral.com/articles/10.1186/s12912-022-00970-7</w:t>
      </w:r>
    </w:p>
    <w:p w:rsidR="00C14C7D" w:rsidRDefault="00C14C7D">
      <w:pPr>
        <w:spacing w:line="360" w:lineRule="auto"/>
        <w:rPr>
          <w:rFonts w:ascii="Times New Roman" w:eastAsia="Times New Roman" w:hAnsi="Times New Roman" w:cs="Times New Roman"/>
          <w:b/>
          <w:bCs/>
          <w:sz w:val="24"/>
          <w:szCs w:val="24"/>
        </w:rPr>
      </w:pPr>
    </w:p>
    <w:sectPr w:rsidR="00C14C7D">
      <w:footerReference w:type="default" r:id="rId15"/>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62F" w:rsidRDefault="0073262F">
      <w:r>
        <w:separator/>
      </w:r>
    </w:p>
  </w:endnote>
  <w:endnote w:type="continuationSeparator" w:id="0">
    <w:p w:rsidR="0073262F" w:rsidRDefault="0073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C6428FA-FFB1-4EB1-835C-5EA3422BE853}"/>
  </w:font>
  <w:font w:name="Helvetica Neue">
    <w:altName w:val="Arial"/>
    <w:charset w:val="00"/>
    <w:family w:val="auto"/>
    <w:pitch w:val="default"/>
    <w:embedRegular r:id="rId2" w:fontKey="{726B76EE-FBD4-4B4E-ABA4-A11A60408BD8}"/>
    <w:embedBold r:id="rId3" w:fontKey="{A773F199-AA2C-4C86-BB9F-B46928DDD05B}"/>
    <w:embedBoldItalic r:id="rId4" w:fontKey="{239556B7-D73A-4C1E-98A7-9C37B2AA9A4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52B5A8D6-52D1-483B-BAFD-E2469940645F}"/>
  </w:font>
  <w:font w:name="Helvetica">
    <w:panose1 w:val="020B0604020202020204"/>
    <w:charset w:val="00"/>
    <w:family w:val="swiss"/>
    <w:pitch w:val="variable"/>
    <w:sig w:usb0="00000003" w:usb1="00000000" w:usb2="00000000" w:usb3="00000000" w:csb0="00000001" w:csb1="00000000"/>
    <w:embedRegular r:id="rId6" w:fontKey="{33594668-130A-42D1-B5D3-CED883C13025}"/>
  </w:font>
  <w:font w:name="Tahoma">
    <w:panose1 w:val="020B0604030504040204"/>
    <w:charset w:val="00"/>
    <w:family w:val="swiss"/>
    <w:pitch w:val="variable"/>
    <w:sig w:usb0="E1002EFF" w:usb1="C000605B" w:usb2="00000029" w:usb3="00000000" w:csb0="000101FF" w:csb1="00000000"/>
    <w:embedRegular r:id="rId7" w:fontKey="{7FF436E9-87CB-4AD7-9BAF-A048D134BAEA}"/>
  </w:font>
  <w:font w:name="Georgia">
    <w:panose1 w:val="02040502050405020303"/>
    <w:charset w:val="00"/>
    <w:family w:val="roman"/>
    <w:pitch w:val="variable"/>
    <w:sig w:usb0="00000287" w:usb1="00000000" w:usb2="00000000" w:usb3="00000000" w:csb0="0000009F" w:csb1="00000000"/>
    <w:embedItalic r:id="rId8" w:fontKey="{254BEBB5-7725-4145-B29B-F70381B0C8B7}"/>
  </w:font>
  <w:font w:name="Cambria">
    <w:panose1 w:val="02040503050406030204"/>
    <w:charset w:val="00"/>
    <w:family w:val="roman"/>
    <w:pitch w:val="variable"/>
    <w:sig w:usb0="E00006FF" w:usb1="420024FF" w:usb2="02000000" w:usb3="00000000" w:csb0="0000019F" w:csb1="00000000"/>
    <w:embedRegular r:id="rId9" w:fontKey="{EE39A9C7-5186-4028-94BD-8039CA207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C7D" w:rsidRDefault="00C14C7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C7D" w:rsidRDefault="00C14C7D">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C14C7D" w:rsidRDefault="0073262F">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C14C7D" w:rsidRDefault="00C14C7D">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C14C7D" w:rsidRDefault="0073262F">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C7D" w:rsidRDefault="00C14C7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62F" w:rsidRDefault="0073262F">
      <w:r>
        <w:separator/>
      </w:r>
    </w:p>
  </w:footnote>
  <w:footnote w:type="continuationSeparator" w:id="0">
    <w:p w:rsidR="0073262F" w:rsidRDefault="00732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C7D" w:rsidRDefault="00C14C7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C7D" w:rsidRDefault="00C14C7D">
    <w:pPr>
      <w:pBdr>
        <w:top w:val="nil"/>
        <w:left w:val="nil"/>
        <w:bottom w:val="nil"/>
        <w:right w:val="nil"/>
        <w:between w:val="nil"/>
      </w:pBdr>
      <w:tabs>
        <w:tab w:val="center" w:pos="4320"/>
        <w:tab w:val="right" w:pos="8640"/>
      </w:tabs>
    </w:pPr>
  </w:p>
  <w:p w:rsidR="00C14C7D" w:rsidRDefault="00C14C7D">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C7D" w:rsidRDefault="00C14C7D">
    <w:pPr>
      <w:ind w:left="2160"/>
      <w:jc w:val="center"/>
      <w:rPr>
        <w:rFonts w:ascii="Times New Roman" w:eastAsia="Times New Roman" w:hAnsi="Times New Roman" w:cs="Times New Roman"/>
        <w:i/>
        <w:iCs/>
        <w:sz w:val="18"/>
        <w:szCs w:val="18"/>
      </w:rPr>
    </w:pPr>
  </w:p>
  <w:p w:rsidR="00C14C7D" w:rsidRDefault="0073262F">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C14C7D" w:rsidRDefault="0073262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C14C7D" w:rsidRDefault="0073262F">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C14C7D" w:rsidRDefault="0073262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C14C7D" w:rsidRDefault="0073262F">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C14C7D" w:rsidRDefault="0073262F">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43DE2"/>
    <w:multiLevelType w:val="multilevel"/>
    <w:tmpl w:val="74C8BDB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B54BB5"/>
    <w:multiLevelType w:val="multilevel"/>
    <w:tmpl w:val="22047ABE"/>
    <w:lvl w:ilvl="0">
      <w:start w:val="1"/>
      <w:numFmt w:val="decimal"/>
      <w:lvlText w:val="%1"/>
      <w:lvlJc w:val="left"/>
      <w:pPr>
        <w:ind w:left="360" w:hanging="360"/>
      </w:pPr>
      <w:rPr>
        <w:rFonts w:ascii="Noto Sans Symbols" w:eastAsia="Noto Sans Symbols" w:hAnsi="Noto Sans Symbols" w:cs="Noto Sans Symbols"/>
        <w:b w:val="0"/>
        <w:bCs w:val="0"/>
        <w:i w:val="0"/>
        <w:iCs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7D"/>
    <w:rsid w:val="0073262F"/>
    <w:rsid w:val="00C14C7D"/>
    <w:rsid w:val="00F70F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4AC94"/>
  <w15:docId w15:val="{70DB482D-A548-4A36-AF17-971D08DC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9INiohdv/wtRBv+4PvltbgLqeQ==">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6851</Words>
  <Characters>39053</Characters>
  <Application>Microsoft Office Word</Application>
  <DocSecurity>0</DocSecurity>
  <Lines>325</Lines>
  <Paragraphs>91</Paragraphs>
  <ScaleCrop>false</ScaleCrop>
  <Company/>
  <LinksUpToDate>false</LinksUpToDate>
  <CharactersWithSpaces>45813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1179</cp:lastModifiedBy>
  <cp:revision>2</cp:revision>
  <dcterms:created xsi:type="dcterms:W3CDTF">2014-10-25T14:34:00Z</dcterms:created>
  <dcterms:modified xsi:type="dcterms:W3CDTF">2026-03-27T06:16:00Z</dcterms:modified>
</cp:coreProperties>
</file>