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69D56" w14:textId="1F4C810F" w:rsidR="00CC37C7" w:rsidRDefault="00EF3385" w:rsidP="003C1390">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 xml:space="preserve">Experiences of Nurses in Handling Residents in Nursing Homes </w:t>
      </w:r>
    </w:p>
    <w:p w14:paraId="526CD5F2" w14:textId="1D575CDD" w:rsidR="00CC37C7" w:rsidRDefault="00B470F9">
      <w:pPr>
        <w:pBdr>
          <w:top w:val="nil"/>
          <w:left w:val="nil"/>
          <w:bottom w:val="nil"/>
          <w:right w:val="nil"/>
          <w:between w:val="nil"/>
        </w:pBdr>
        <w:jc w:val="both"/>
        <w:rPr>
          <w:rFonts w:ascii="Arial" w:eastAsia="Arial" w:hAnsi="Arial" w:cs="Arial"/>
          <w:color w:val="000000"/>
        </w:rPr>
      </w:pPr>
      <w:r>
        <w:rPr>
          <w:rFonts w:ascii="Arial" w:hAnsi="Arial" w:cs="Arial"/>
          <w:noProof/>
        </w:rPr>
        <mc:AlternateContent>
          <mc:Choice Requires="wps">
            <w:drawing>
              <wp:inline distT="0" distB="0" distL="0" distR="0" wp14:anchorId="3E2D0CFA" wp14:editId="7E698A6D">
                <wp:extent cx="5212080" cy="624"/>
                <wp:effectExtent l="0" t="0" r="0" b="0"/>
                <wp:docPr id="9781266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62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32DD5FE" id="_x0000_t32" coordsize="21600,21600" o:spt="32" o:oned="t" path="m,l21600,21600e" filled="f">
                <v:path arrowok="t" fillok="f" o:connecttype="none"/>
                <o:lock v:ext="edit" shapetype="t"/>
              </v:shapetype>
              <v:shape id="Straight Arrow Connector 3" o:spid="_x0000_s1026" type="#_x0000_t32" style="width:410.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" strokeweight="1.5pt">
                <w10:anchorlock/>
              </v:shape>
            </w:pict>
          </mc:Fallback>
        </mc:AlternateContent>
      </w:r>
    </w:p>
    <w:p w14:paraId="34588C17" w14:textId="77777777" w:rsidR="00CC37C7" w:rsidRDefault="00EF3385">
      <w:pPr>
        <w:pBdr>
          <w:top w:val="nil"/>
          <w:left w:val="nil"/>
          <w:bottom w:val="nil"/>
          <w:right w:val="nil"/>
          <w:between w:val="nil"/>
        </w:pBdr>
        <w:jc w:val="both"/>
        <w:rPr>
          <w:rFonts w:ascii="Arial" w:eastAsia="Arial" w:hAnsi="Arial" w:cs="Arial"/>
          <w:color w:val="000000"/>
          <w:sz w:val="16"/>
          <w:szCs w:val="16"/>
        </w:rPr>
        <w:sectPr w:rsidR="00CC37C7">
          <w:headerReference w:type="even" r:id="rId8"/>
          <w:headerReference w:type="default" r:id="rId9"/>
          <w:footerReference w:type="even" r:id="rId10"/>
          <w:headerReference w:type="first" r:id="rId11"/>
          <w:footerReference w:type="first" r:id="rId12"/>
          <w:pgSz w:w="12240" w:h="15840"/>
          <w:pgMar w:top="1440" w:right="2016" w:bottom="2016" w:left="2016" w:header="720" w:footer="1296" w:gutter="0"/>
          <w:lnNumType w:countBy="1" w:restart="continuous"/>
          <w:pgNumType w:start="1"/>
          <w:cols w:space="720"/>
        </w:sectPr>
      </w:pPr>
      <w:r>
        <w:rPr>
          <w:rFonts w:ascii="Arial" w:eastAsia="Arial" w:hAnsi="Arial" w:cs="Arial"/>
          <w:noProof/>
          <w:color w:val="000000"/>
          <w:sz w:val="16"/>
          <w:szCs w:val="16"/>
        </w:rPr>
        <mc:AlternateContent>
          <mc:Choice Requires="wps">
            <w:drawing>
              <wp:inline distT="0" distB="0" distL="114300" distR="114300" wp14:anchorId="4DF1B896" wp14:editId="4D434189">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44032CC4" w14:textId="77777777" w:rsidR="00CC37C7" w:rsidRDefault="00EF338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48D92FF2" w14:textId="77777777" w:rsidR="00CC37C7" w:rsidRDefault="00CC37C7">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CC37C7" w14:paraId="508F3DF6" w14:textId="77777777">
        <w:tc>
          <w:tcPr>
            <w:tcW w:w="8424" w:type="dxa"/>
            <w:shd w:val="clear" w:color="auto" w:fill="F2F2F2"/>
          </w:tcPr>
          <w:p w14:paraId="3375FD9D" w14:textId="02FB74E8" w:rsidR="00CC37C7" w:rsidRPr="007F23F3" w:rsidRDefault="007F23F3" w:rsidP="00014EBC">
            <w:pPr>
              <w:spacing w:after="240"/>
              <w:jc w:val="both"/>
              <w:rPr>
                <w:rFonts w:ascii="Arial" w:eastAsia="Arial" w:hAnsi="Arial" w:cs="Arial"/>
                <w:sz w:val="22"/>
                <w:szCs w:val="22"/>
                <w:lang w:val="en-PH"/>
              </w:rPr>
            </w:pPr>
            <w:r w:rsidRPr="00014EBC">
              <w:rPr>
                <w:rFonts w:ascii="Arial" w:eastAsia="Arial" w:hAnsi="Arial" w:cs="Arial"/>
                <w:lang w:val="en-PH"/>
              </w:rPr>
              <w:t>Nurses in Philippine geriatric nursing homes play a vital role in improving healthcare outcomes through leadership, collaboration, education, and compassionate, person-centered care. Despite cultural stigma, staffing shortages, heavy workloads, and limited resources, they continue to address residents’ physical, emotional, and psychosocial needs holistically. This study aimed to explore the lived experiences of nurses working in nursing homes in Iloilo, focusing on how they deliver compassionate, person-centered care while addressing residents’ physical, emotional, and psychosocial needs despite existing challenges. A descriptive qualitative design was used in this study. Data were collected through semi-structured interviews with eight (8) participants selected via purposive sampling in selected nursing homes in Iloilo, Philippines. Interviews took place between January and February 2026, with ethical clearance secured prior to data collection. Thematic analysis was utilized to identify key patterns and themes in the participants’ experiences. Findings revealed that nursing home practice is physically demanding yet emotionally meaningful. Nurses provide compassionate, patient-centered care to residents with chronic illnesses, dementia, and long-term dependency despite cultural stigma, staffing shortages, heavy workloads, and limited resources. They employ therapeutic communication, reorientation, interdisciplinary collaboration, and engagement activities to meet residents’ needs. Resilience, adaptability, and understanding serve as protective factors, with compassion and patience central to treating residents like family. However, challenges such as emotional exhaustion and staffing limitations persist. Despite systemic constraints, nurses in nursing homes in Iloilo demonstrate strong resilience and compassion in delivering holistic, person-centered care. Strengthening staffing, leadership support, resilience programs, and culturally responsive strategies is essential to enhance nurse well-being and improve the quality of elder care.</w:t>
            </w:r>
          </w:p>
        </w:tc>
      </w:tr>
    </w:tbl>
    <w:p w14:paraId="2248DC9D" w14:textId="77777777" w:rsidR="00CC37C7" w:rsidRDefault="00CC37C7">
      <w:pPr>
        <w:pBdr>
          <w:top w:val="nil"/>
          <w:left w:val="nil"/>
          <w:bottom w:val="nil"/>
          <w:right w:val="nil"/>
          <w:between w:val="nil"/>
        </w:pBdr>
        <w:jc w:val="both"/>
        <w:rPr>
          <w:rFonts w:ascii="Arial" w:eastAsia="Arial" w:hAnsi="Arial" w:cs="Arial"/>
          <w:i/>
          <w:iCs/>
          <w:color w:val="000000"/>
        </w:rPr>
      </w:pPr>
    </w:p>
    <w:p w14:paraId="0A3B6211" w14:textId="77777777" w:rsidR="007F23F3" w:rsidRPr="00014EBC" w:rsidRDefault="007F23F3" w:rsidP="007F23F3">
      <w:pPr>
        <w:pBdr>
          <w:top w:val="nil"/>
          <w:left w:val="nil"/>
          <w:bottom w:val="nil"/>
          <w:right w:val="nil"/>
          <w:between w:val="nil"/>
        </w:pBdr>
        <w:jc w:val="both"/>
        <w:rPr>
          <w:rFonts w:ascii="Arial" w:eastAsia="Arial" w:hAnsi="Arial" w:cs="Arial"/>
          <w:i/>
          <w:iCs/>
          <w:color w:val="000000"/>
          <w:lang w:val="en-PH"/>
        </w:rPr>
      </w:pPr>
      <w:r w:rsidRPr="00014EBC">
        <w:rPr>
          <w:rFonts w:ascii="Arial" w:eastAsia="Arial" w:hAnsi="Arial" w:cs="Arial"/>
          <w:i/>
          <w:iCs/>
          <w:color w:val="000000"/>
          <w:lang w:val="en-PH"/>
        </w:rPr>
        <w:t>Keywords: Nursing Homes, Person-Centered Care, Compassion, Resilience, Qualitative Study, Geriatric Nursing, Long-Term Care.</w:t>
      </w:r>
    </w:p>
    <w:p w14:paraId="101ACA4F" w14:textId="77777777" w:rsidR="007F23F3" w:rsidRDefault="007F23F3">
      <w:pPr>
        <w:pBdr>
          <w:top w:val="nil"/>
          <w:left w:val="nil"/>
          <w:bottom w:val="nil"/>
          <w:right w:val="nil"/>
          <w:between w:val="nil"/>
        </w:pBdr>
        <w:jc w:val="both"/>
        <w:rPr>
          <w:rFonts w:ascii="Arial" w:eastAsia="Arial" w:hAnsi="Arial" w:cs="Arial"/>
          <w:i/>
          <w:iCs/>
          <w:color w:val="000000"/>
          <w:sz w:val="22"/>
          <w:szCs w:val="22"/>
        </w:rPr>
      </w:pPr>
    </w:p>
    <w:p w14:paraId="1A22FAE8" w14:textId="36615962" w:rsidR="00CC37C7" w:rsidRDefault="00EF338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04B59F84" w14:textId="77777777" w:rsidR="007F23F3" w:rsidRDefault="007F23F3" w:rsidP="007F23F3">
      <w:pPr>
        <w:pBdr>
          <w:top w:val="nil"/>
          <w:left w:val="nil"/>
          <w:bottom w:val="nil"/>
          <w:right w:val="nil"/>
          <w:between w:val="nil"/>
        </w:pBdr>
        <w:jc w:val="both"/>
        <w:rPr>
          <w:rFonts w:ascii="Arial" w:eastAsia="Arial" w:hAnsi="Arial" w:cs="Arial"/>
        </w:rPr>
      </w:pPr>
    </w:p>
    <w:p w14:paraId="561CB247" w14:textId="7FCD5EAA" w:rsidR="007F23F3" w:rsidRPr="00014EBC" w:rsidRDefault="007F23F3" w:rsidP="007F23F3">
      <w:pPr>
        <w:pBdr>
          <w:top w:val="nil"/>
          <w:left w:val="nil"/>
          <w:bottom w:val="nil"/>
          <w:right w:val="nil"/>
          <w:between w:val="nil"/>
        </w:pBdr>
        <w:jc w:val="both"/>
        <w:rPr>
          <w:rFonts w:ascii="Arial" w:eastAsia="Arial" w:hAnsi="Arial" w:cs="Arial"/>
          <w:lang w:val="en-PH"/>
        </w:rPr>
      </w:pPr>
      <w:r w:rsidRPr="00014EBC">
        <w:rPr>
          <w:rFonts w:ascii="Arial" w:eastAsia="Arial" w:hAnsi="Arial" w:cs="Arial"/>
          <w:lang w:val="en-PH"/>
        </w:rPr>
        <w:t>Nurses are critical in providing high-quality healthcare and improving patient outcomes through their adherence to evidence-based practice in their professional roles as leaders, teachers, collaborators, and communicators (Ham-Baloyi, 2022). Their core responsibilities include administering medications and treatments, developing and implementing care plans, and communicating with patients, families, and other members of the healthcare team. In nursing homes, nurses provide a safe environment for residents, offer expertise in geriatric care, and deliver specialized medical attention. They also help inform families about resident care, provide emotional support, and assist other medical staff in delivering a higher level of care.</w:t>
      </w:r>
    </w:p>
    <w:p w14:paraId="25F02157"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p>
    <w:p w14:paraId="083BCE64"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r w:rsidRPr="00014EBC">
        <w:rPr>
          <w:rFonts w:ascii="Arial" w:eastAsia="Arial" w:hAnsi="Arial" w:cs="Arial"/>
          <w:lang w:val="en-PH"/>
        </w:rPr>
        <w:t>Nursing homes offer a variety of health and personal care services, often providing more medical attention than other care facilities. These services include full-time supervision, assistance with daily needs, and special care for seniors, such as physical, occupational, and speech therapy (</w:t>
      </w:r>
      <w:proofErr w:type="spellStart"/>
      <w:r w:rsidRPr="00014EBC">
        <w:rPr>
          <w:rFonts w:ascii="Arial" w:eastAsia="Arial" w:hAnsi="Arial" w:cs="Arial"/>
          <w:lang w:val="en-PH"/>
        </w:rPr>
        <w:t>Godalle</w:t>
      </w:r>
      <w:proofErr w:type="spellEnd"/>
      <w:r w:rsidRPr="00014EBC">
        <w:rPr>
          <w:rFonts w:ascii="Arial" w:eastAsia="Arial" w:hAnsi="Arial" w:cs="Arial"/>
          <w:lang w:val="en-PH"/>
        </w:rPr>
        <w:t xml:space="preserve">, 2023). The well-being of residents is closely linked to the environment and the quality of their engagement with it. Supportive surroundings that </w:t>
      </w:r>
      <w:proofErr w:type="gramStart"/>
      <w:r w:rsidRPr="00014EBC">
        <w:rPr>
          <w:rFonts w:ascii="Arial" w:eastAsia="Arial" w:hAnsi="Arial" w:cs="Arial"/>
          <w:lang w:val="en-PH"/>
        </w:rPr>
        <w:lastRenderedPageBreak/>
        <w:t>foster  connection</w:t>
      </w:r>
      <w:proofErr w:type="gramEnd"/>
      <w:r w:rsidRPr="00014EBC">
        <w:rPr>
          <w:rFonts w:ascii="Arial" w:eastAsia="Arial" w:hAnsi="Arial" w:cs="Arial"/>
          <w:lang w:val="en-PH"/>
        </w:rPr>
        <w:t xml:space="preserve"> and well-being can enhance comfort and potentially reduce adverse effects frequently associated with aging and decline (Baxter, Corneliusson, et al., 2021).</w:t>
      </w:r>
    </w:p>
    <w:p w14:paraId="79698640"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p>
    <w:p w14:paraId="605040BB"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r w:rsidRPr="00014EBC">
        <w:rPr>
          <w:rFonts w:ascii="Arial" w:eastAsia="Arial" w:hAnsi="Arial" w:cs="Arial"/>
          <w:lang w:val="en-PH"/>
        </w:rPr>
        <w:t>Although many nursing homes in other countries are sophisticated and well maintained, facilities in competitive and regulated settings may face challenges in delivering quality care to a vulnerable population (Yang et al., 2021). As the global population ages, nursing homes are experiencing increased demands for high-quality, individualized care for residents with complex needs. Despite advances in implementation science, a gap persists between theory and practice; evidence-based practices remain difficult to implement, especially for nurses who receive mostly hands-on, practical training rather than formal education (Schoof et al., 2025).</w:t>
      </w:r>
    </w:p>
    <w:p w14:paraId="01D02CF7"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p>
    <w:p w14:paraId="2A59A9D8"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r w:rsidRPr="00014EBC">
        <w:rPr>
          <w:rFonts w:ascii="Arial" w:eastAsia="Arial" w:hAnsi="Arial" w:cs="Arial"/>
          <w:lang w:val="en-PH"/>
        </w:rPr>
        <w:t>In the Philippines, geriatric nurses face challenges influenced by the nation’s cultural expectations and healthcare system. Institutional care for the elderly is often misinterpreted or viewed negatively, as many Filipinos believe that senior family members should be cared for at home (Mutual &amp; Mutual, 2025). This cultural pressure, coupled with limited staffing and resources, makes nursing home work particularly demanding. Nurses manage heavy workloads, make difficult decisions, and bear the emotional burden of caring for lonely residents, all while striving to provide compassionate and dignified care. Factors such as extended working hours, minimal staffing, high demands, time constraints, lack of support, suboptimal leadership, and job insecurity contribute to nurse burnout (</w:t>
      </w:r>
      <w:proofErr w:type="spellStart"/>
      <w:r w:rsidRPr="00014EBC">
        <w:rPr>
          <w:rFonts w:ascii="Arial" w:eastAsia="Arial" w:hAnsi="Arial" w:cs="Arial"/>
          <w:lang w:val="en-PH"/>
        </w:rPr>
        <w:t>Dall’Ora</w:t>
      </w:r>
      <w:proofErr w:type="spellEnd"/>
      <w:r w:rsidRPr="00014EBC">
        <w:rPr>
          <w:rFonts w:ascii="Arial" w:eastAsia="Arial" w:hAnsi="Arial" w:cs="Arial"/>
          <w:lang w:val="en-PH"/>
        </w:rPr>
        <w:t xml:space="preserve"> et al., 2020).</w:t>
      </w:r>
    </w:p>
    <w:p w14:paraId="4CD57A18"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p>
    <w:p w14:paraId="34B9C529"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r w:rsidRPr="00014EBC">
        <w:rPr>
          <w:rFonts w:ascii="Arial" w:eastAsia="Arial" w:hAnsi="Arial" w:cs="Arial"/>
          <w:lang w:val="en-PH"/>
        </w:rPr>
        <w:t>Aligned with the Sustainable Development Goals, particularly Good Health and Well-Being, the role of nurses in nursing homes is vital for ensuring healthy lives and promoting well-being at all ages. Nurses, together with other healthcare workers, are essential in delivering direct care and educating individuals about disease prevention, thus supporting public health objectives related to infant mortality, maternal health, and disease management (</w:t>
      </w:r>
      <w:proofErr w:type="spellStart"/>
      <w:r w:rsidRPr="00014EBC">
        <w:rPr>
          <w:rFonts w:ascii="Arial" w:eastAsia="Arial" w:hAnsi="Arial" w:cs="Arial"/>
          <w:lang w:val="en-PH"/>
        </w:rPr>
        <w:t>Taminato</w:t>
      </w:r>
      <w:proofErr w:type="spellEnd"/>
      <w:r w:rsidRPr="00014EBC">
        <w:rPr>
          <w:rFonts w:ascii="Arial" w:eastAsia="Arial" w:hAnsi="Arial" w:cs="Arial"/>
          <w:lang w:val="en-PH"/>
        </w:rPr>
        <w:t xml:space="preserve"> et al., 2023).</w:t>
      </w:r>
    </w:p>
    <w:p w14:paraId="55CD7296"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p>
    <w:p w14:paraId="45B1C347"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r w:rsidRPr="00014EBC">
        <w:rPr>
          <w:rFonts w:ascii="Arial" w:eastAsia="Arial" w:hAnsi="Arial" w:cs="Arial"/>
          <w:lang w:val="en-PH"/>
        </w:rPr>
        <w:t>Most studies have focused primarily on the well-being of elderly patients in nursing homes, often overlooking the essential role and personal experiences of nurses, as well as the unique challenges they face in this setting. Few studies specifically examine the emotional and professional impact on nurses working with elderly residents. Addressing this gap is important, as a deeper understanding of nurses’ experiences can help enhance the quality of care for older adults. In addition, there is limited research conducted in Iloilo regarding the experiences of nurses in nursing homes. Furthermore, there is no established policy setting baseline staffing levels for long-term care facilities, including nursing homes, which is crucial for ensuring safe and quality care for residents. Implementing such policies could help reduce excessive workloads, improve working conditions, and minimize staff turnover. Therefore, this study aims to explore and understand the experiences of nurses in addressing residents' needs in Iloilo nursing homes.</w:t>
      </w:r>
    </w:p>
    <w:p w14:paraId="4F9D4C04" w14:textId="77777777" w:rsidR="007F23F3" w:rsidRPr="007F23F3" w:rsidRDefault="007F23F3" w:rsidP="007F23F3">
      <w:pPr>
        <w:pBdr>
          <w:top w:val="nil"/>
          <w:left w:val="nil"/>
          <w:bottom w:val="nil"/>
          <w:right w:val="nil"/>
          <w:between w:val="nil"/>
        </w:pBdr>
        <w:jc w:val="both"/>
        <w:rPr>
          <w:rFonts w:ascii="Arial" w:eastAsia="Arial" w:hAnsi="Arial" w:cs="Arial"/>
          <w:sz w:val="22"/>
          <w:szCs w:val="22"/>
          <w:lang w:val="en-PH"/>
        </w:rPr>
      </w:pPr>
    </w:p>
    <w:p w14:paraId="607A0B65" w14:textId="6133F59C" w:rsidR="007F23F3" w:rsidRDefault="007F23F3" w:rsidP="007F23F3">
      <w:pPr>
        <w:pBdr>
          <w:top w:val="nil"/>
          <w:left w:val="nil"/>
          <w:bottom w:val="nil"/>
          <w:right w:val="nil"/>
          <w:between w:val="nil"/>
        </w:pBdr>
        <w:jc w:val="both"/>
        <w:rPr>
          <w:rFonts w:ascii="Arial" w:eastAsia="Arial" w:hAnsi="Arial" w:cs="Arial"/>
          <w:b/>
          <w:bCs/>
          <w:sz w:val="22"/>
          <w:szCs w:val="22"/>
          <w:lang w:val="en-PH"/>
        </w:rPr>
      </w:pPr>
      <w:r w:rsidRPr="007F23F3">
        <w:rPr>
          <w:rFonts w:ascii="Arial" w:eastAsia="Arial" w:hAnsi="Arial" w:cs="Arial"/>
          <w:b/>
          <w:bCs/>
          <w:sz w:val="22"/>
          <w:szCs w:val="22"/>
          <w:lang w:val="en-PH"/>
        </w:rPr>
        <w:t>Literature Review</w:t>
      </w:r>
    </w:p>
    <w:p w14:paraId="7E7A9341" w14:textId="77777777" w:rsidR="007F23F3" w:rsidRPr="007F23F3" w:rsidRDefault="007F23F3" w:rsidP="007F23F3">
      <w:pPr>
        <w:pBdr>
          <w:top w:val="nil"/>
          <w:left w:val="nil"/>
          <w:bottom w:val="nil"/>
          <w:right w:val="nil"/>
          <w:between w:val="nil"/>
        </w:pBdr>
        <w:jc w:val="both"/>
        <w:rPr>
          <w:rFonts w:ascii="Arial" w:eastAsia="Arial" w:hAnsi="Arial" w:cs="Arial"/>
          <w:lang w:val="en-PH"/>
        </w:rPr>
      </w:pPr>
    </w:p>
    <w:p w14:paraId="22BC2A16" w14:textId="3C7B4082" w:rsidR="007F23F3" w:rsidRPr="00014EBC" w:rsidRDefault="007F23F3" w:rsidP="007F23F3">
      <w:pPr>
        <w:pBdr>
          <w:top w:val="nil"/>
          <w:left w:val="nil"/>
          <w:bottom w:val="nil"/>
          <w:right w:val="nil"/>
          <w:between w:val="nil"/>
        </w:pBdr>
        <w:jc w:val="both"/>
        <w:rPr>
          <w:rFonts w:ascii="Arial" w:eastAsia="Arial" w:hAnsi="Arial" w:cs="Arial"/>
          <w:lang w:val="en-PH"/>
        </w:rPr>
      </w:pPr>
      <w:r w:rsidRPr="00014EBC">
        <w:rPr>
          <w:rFonts w:ascii="Arial" w:eastAsia="Arial" w:hAnsi="Arial" w:cs="Arial"/>
          <w:lang w:val="en-PH"/>
        </w:rPr>
        <w:t xml:space="preserve">The growing geriatric </w:t>
      </w:r>
      <w:proofErr w:type="spellStart"/>
      <w:r w:rsidRPr="00014EBC">
        <w:rPr>
          <w:rFonts w:ascii="Arial" w:eastAsia="Arial" w:hAnsi="Arial" w:cs="Arial"/>
          <w:lang w:val="en-PH"/>
        </w:rPr>
        <w:t>geriatric</w:t>
      </w:r>
      <w:proofErr w:type="spellEnd"/>
      <w:r w:rsidRPr="00014EBC">
        <w:rPr>
          <w:rFonts w:ascii="Arial" w:eastAsia="Arial" w:hAnsi="Arial" w:cs="Arial"/>
          <w:lang w:val="en-PH"/>
        </w:rPr>
        <w:t xml:space="preserve"> aging population has added pressure to the need to provide high-quality geriatric and long-term services, which increases the need to utilize trained nursing professionals in assisting older adults with chronic and functional decline (World Health Organization, 2021). Nursing homes, as a result, have become the necessary care facilities where elderly people that are not able to live alone can spend their time because of illness, disability, or cognitive impairment (</w:t>
      </w:r>
      <w:proofErr w:type="spellStart"/>
      <w:r w:rsidRPr="00014EBC">
        <w:rPr>
          <w:rFonts w:ascii="Arial" w:eastAsia="Arial" w:hAnsi="Arial" w:cs="Arial"/>
          <w:lang w:val="en-PH"/>
        </w:rPr>
        <w:t>Heiks</w:t>
      </w:r>
      <w:proofErr w:type="spellEnd"/>
      <w:r w:rsidRPr="00014EBC">
        <w:rPr>
          <w:rFonts w:ascii="Arial" w:eastAsia="Arial" w:hAnsi="Arial" w:cs="Arial"/>
          <w:lang w:val="en-PH"/>
        </w:rPr>
        <w:t xml:space="preserve"> &amp; Sabine, 2022). The needs of the residents have become so complex that the use of person centered gerontological nursing practices, which address physical, emotional, social and spiritual health without ignoring dignity and autonomy, has been adopted (</w:t>
      </w:r>
      <w:proofErr w:type="spellStart"/>
      <w:r w:rsidRPr="00014EBC">
        <w:rPr>
          <w:rFonts w:ascii="Arial" w:eastAsia="Arial" w:hAnsi="Arial" w:cs="Arial"/>
          <w:lang w:val="en-PH"/>
        </w:rPr>
        <w:t>Sillner</w:t>
      </w:r>
      <w:proofErr w:type="spellEnd"/>
      <w:r w:rsidRPr="00014EBC">
        <w:rPr>
          <w:rFonts w:ascii="Arial" w:eastAsia="Arial" w:hAnsi="Arial" w:cs="Arial"/>
          <w:lang w:val="en-PH"/>
        </w:rPr>
        <w:t xml:space="preserve">, 2021). In this context, nurses engage in various roles, </w:t>
      </w:r>
      <w:r w:rsidRPr="00014EBC">
        <w:rPr>
          <w:rFonts w:ascii="Arial" w:eastAsia="Arial" w:hAnsi="Arial" w:cs="Arial"/>
          <w:lang w:val="en-PH"/>
        </w:rPr>
        <w:lastRenderedPageBreak/>
        <w:t>which involve direct care provision, care management, and psychosocial assistance, in addition to the role of care coordinator, educators, and well-being promoters of residents in general (Park and Kim, 2025). Nevertheless, it is the stressing workload of nursing homes, alongside staffing shortage and excessive workload that causes stress and burnout among nurses (</w:t>
      </w:r>
      <w:proofErr w:type="spellStart"/>
      <w:r w:rsidRPr="00014EBC">
        <w:rPr>
          <w:rFonts w:ascii="Arial" w:eastAsia="Arial" w:hAnsi="Arial" w:cs="Arial"/>
          <w:lang w:val="en-PH"/>
        </w:rPr>
        <w:t>Gruneir</w:t>
      </w:r>
      <w:proofErr w:type="spellEnd"/>
      <w:r w:rsidRPr="00014EBC">
        <w:rPr>
          <w:rFonts w:ascii="Arial" w:eastAsia="Arial" w:hAnsi="Arial" w:cs="Arial"/>
          <w:lang w:val="en-PH"/>
        </w:rPr>
        <w:t xml:space="preserve"> et al., 2023). Regardless of the difficulties, nurses tend to establish strong emotional connections with the residents and, as a result, it can help to build resilience and professional satisfaction (</w:t>
      </w:r>
      <w:proofErr w:type="spellStart"/>
      <w:r w:rsidRPr="00014EBC">
        <w:rPr>
          <w:rFonts w:ascii="Arial" w:eastAsia="Arial" w:hAnsi="Arial" w:cs="Arial"/>
          <w:lang w:val="en-PH"/>
        </w:rPr>
        <w:t>Sihvola</w:t>
      </w:r>
      <w:proofErr w:type="spellEnd"/>
      <w:r w:rsidRPr="00014EBC">
        <w:rPr>
          <w:rFonts w:ascii="Arial" w:eastAsia="Arial" w:hAnsi="Arial" w:cs="Arial"/>
          <w:lang w:val="en-PH"/>
        </w:rPr>
        <w:t xml:space="preserve"> et al., 2023). Nevertheless, the demand to participate in long-term care has only increased the demand of nursing homes since families and elderly citizens have realized that they need specialized services especially those with special needs (Deep, 2024).</w:t>
      </w:r>
    </w:p>
    <w:p w14:paraId="4230DF48" w14:textId="77777777" w:rsidR="00CC37C7" w:rsidRDefault="00CC37C7">
      <w:pPr>
        <w:pBdr>
          <w:top w:val="nil"/>
          <w:left w:val="nil"/>
          <w:bottom w:val="nil"/>
          <w:right w:val="nil"/>
          <w:between w:val="nil"/>
        </w:pBdr>
        <w:jc w:val="both"/>
        <w:rPr>
          <w:rFonts w:ascii="Arial" w:eastAsia="Arial" w:hAnsi="Arial" w:cs="Arial"/>
          <w:sz w:val="22"/>
          <w:szCs w:val="22"/>
        </w:rPr>
      </w:pPr>
    </w:p>
    <w:p w14:paraId="67F29AC8" w14:textId="77777777" w:rsidR="00CC37C7" w:rsidRDefault="00EF3385">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2. METHODOLOGY</w:t>
      </w:r>
    </w:p>
    <w:p w14:paraId="6128CB63" w14:textId="77777777" w:rsidR="00CC37C7" w:rsidRDefault="00CC37C7">
      <w:pPr>
        <w:pBdr>
          <w:top w:val="nil"/>
          <w:left w:val="nil"/>
          <w:bottom w:val="nil"/>
          <w:right w:val="nil"/>
          <w:between w:val="nil"/>
        </w:pBdr>
        <w:jc w:val="both"/>
        <w:rPr>
          <w:rFonts w:ascii="Arial" w:eastAsia="Arial" w:hAnsi="Arial" w:cs="Arial"/>
          <w:b/>
          <w:bCs/>
          <w:sz w:val="22"/>
          <w:szCs w:val="22"/>
        </w:rPr>
      </w:pPr>
    </w:p>
    <w:p w14:paraId="017DD659" w14:textId="77777777" w:rsidR="003E65E8" w:rsidRDefault="00EF3385" w:rsidP="003E65E8">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2.1 RESEARCH DESIGN</w:t>
      </w:r>
    </w:p>
    <w:p w14:paraId="5ACB546C" w14:textId="77777777" w:rsidR="003E65E8" w:rsidRDefault="003E65E8" w:rsidP="003E65E8">
      <w:pPr>
        <w:pBdr>
          <w:top w:val="nil"/>
          <w:left w:val="nil"/>
          <w:bottom w:val="nil"/>
          <w:right w:val="nil"/>
          <w:between w:val="nil"/>
        </w:pBdr>
        <w:jc w:val="both"/>
        <w:rPr>
          <w:rFonts w:ascii="Arial" w:eastAsia="Arial" w:hAnsi="Arial" w:cs="Arial"/>
          <w:b/>
          <w:bCs/>
          <w:sz w:val="22"/>
          <w:szCs w:val="22"/>
        </w:rPr>
      </w:pPr>
    </w:p>
    <w:p w14:paraId="7397D82A"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r w:rsidRPr="00014EBC">
        <w:rPr>
          <w:rFonts w:ascii="Arial" w:eastAsia="Arial" w:hAnsi="Arial" w:cs="Arial"/>
          <w:lang w:val="en-PH"/>
        </w:rPr>
        <w:t>This study employed a descriptive qualitative research design to explore and understand the experiences of nurses in handling residents in nursing homes. A qualitative descriptive approach is widely used in nursing and healthcare research as it provides a comprehensive understanding of specific phenomena in their natural context (Doyle et al., 2019). This design is appropriate for studies that aim to generate insights into areas that are not yet well understood, focusing on describing participants’ experiences rather than explaining them through theoretical frameworks (Ayton, 2023). Furthermore, this approach allows researchers to gather rich, detailed information based on participants’ perspectives, enabling them to remain close to the data and gain a clear understanding of the phenomenon (Villamin et al., 2024). In this study, the design facilitated an in-depth exploration of how nurses respond to the vulnerabilities of residents, particularly within the cultural and institutional context of nursing homes in Iloilo, Philippines.</w:t>
      </w:r>
    </w:p>
    <w:p w14:paraId="09EE3BCA" w14:textId="77777777" w:rsidR="007F23F3" w:rsidRDefault="007F23F3" w:rsidP="007F23F3">
      <w:pPr>
        <w:pBdr>
          <w:top w:val="nil"/>
          <w:left w:val="nil"/>
          <w:bottom w:val="nil"/>
          <w:right w:val="nil"/>
          <w:between w:val="nil"/>
        </w:pBdr>
        <w:jc w:val="both"/>
        <w:rPr>
          <w:rFonts w:ascii="Arial" w:eastAsia="Arial" w:hAnsi="Arial" w:cs="Arial"/>
          <w:sz w:val="22"/>
          <w:szCs w:val="22"/>
          <w:lang w:val="en-PH"/>
        </w:rPr>
      </w:pPr>
    </w:p>
    <w:p w14:paraId="3BD2D96C" w14:textId="77777777" w:rsidR="007F23F3" w:rsidRPr="008639C1" w:rsidRDefault="007F23F3" w:rsidP="007F23F3">
      <w:pPr>
        <w:pBdr>
          <w:top w:val="nil"/>
          <w:left w:val="nil"/>
          <w:bottom w:val="nil"/>
          <w:right w:val="nil"/>
          <w:between w:val="nil"/>
        </w:pBdr>
        <w:jc w:val="both"/>
        <w:rPr>
          <w:rFonts w:ascii="Arial" w:eastAsia="Arial" w:hAnsi="Arial" w:cs="Arial"/>
          <w:b/>
          <w:bCs/>
          <w:sz w:val="22"/>
          <w:szCs w:val="22"/>
          <w:lang w:val="en-PH"/>
        </w:rPr>
      </w:pPr>
      <w:r w:rsidRPr="007F23F3">
        <w:rPr>
          <w:rFonts w:ascii="Arial" w:eastAsia="Arial" w:hAnsi="Arial" w:cs="Arial"/>
          <w:b/>
          <w:bCs/>
          <w:sz w:val="22"/>
          <w:szCs w:val="22"/>
          <w:lang w:val="en-PH"/>
        </w:rPr>
        <w:t>2.2. Study Setting</w:t>
      </w:r>
    </w:p>
    <w:p w14:paraId="3535BB00" w14:textId="77777777" w:rsidR="007F23F3" w:rsidRPr="007F23F3" w:rsidRDefault="007F23F3" w:rsidP="007F23F3">
      <w:pPr>
        <w:pBdr>
          <w:top w:val="nil"/>
          <w:left w:val="nil"/>
          <w:bottom w:val="nil"/>
          <w:right w:val="nil"/>
          <w:between w:val="nil"/>
        </w:pBdr>
        <w:jc w:val="both"/>
        <w:rPr>
          <w:rFonts w:ascii="Arial" w:eastAsia="Arial" w:hAnsi="Arial" w:cs="Arial"/>
          <w:sz w:val="22"/>
          <w:szCs w:val="22"/>
          <w:lang w:val="en-PH"/>
        </w:rPr>
      </w:pPr>
    </w:p>
    <w:p w14:paraId="22EBE45F"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r w:rsidRPr="00014EBC">
        <w:rPr>
          <w:rFonts w:ascii="Arial" w:eastAsia="Arial" w:hAnsi="Arial" w:cs="Arial"/>
          <w:lang w:val="en-PH"/>
        </w:rPr>
        <w:t>This study was conducted in selected nursing homes located in Iloilo City, Philippines. The study focuses on the facilities that offer long-term care to older adults, including those with physical limitations, dementia, and chronic illnesses. Numerous nursing homes in Iloilo City, a significant urban hub in the Visayas, serve the needs of geriatrics in need of specialized care and assistance.</w:t>
      </w:r>
    </w:p>
    <w:p w14:paraId="376E60CD" w14:textId="77777777" w:rsidR="007F23F3" w:rsidRPr="008639C1" w:rsidRDefault="007F23F3" w:rsidP="003E65E8">
      <w:pPr>
        <w:pBdr>
          <w:top w:val="nil"/>
          <w:left w:val="nil"/>
          <w:bottom w:val="nil"/>
          <w:right w:val="nil"/>
          <w:between w:val="nil"/>
        </w:pBdr>
        <w:jc w:val="both"/>
        <w:rPr>
          <w:rFonts w:ascii="Arial" w:eastAsia="Arial" w:hAnsi="Arial" w:cs="Arial"/>
          <w:b/>
          <w:bCs/>
          <w:sz w:val="22"/>
          <w:szCs w:val="22"/>
        </w:rPr>
      </w:pPr>
    </w:p>
    <w:p w14:paraId="55C1BB05" w14:textId="79C02626" w:rsidR="003E65E8" w:rsidRPr="008639C1" w:rsidRDefault="00EF3385" w:rsidP="003E65E8">
      <w:pPr>
        <w:pBdr>
          <w:top w:val="nil"/>
          <w:left w:val="nil"/>
          <w:bottom w:val="nil"/>
          <w:right w:val="nil"/>
          <w:between w:val="nil"/>
        </w:pBdr>
        <w:jc w:val="both"/>
        <w:rPr>
          <w:rFonts w:ascii="Arial" w:eastAsia="Arial" w:hAnsi="Arial" w:cs="Arial"/>
          <w:b/>
          <w:bCs/>
          <w:sz w:val="22"/>
          <w:szCs w:val="22"/>
        </w:rPr>
      </w:pPr>
      <w:r w:rsidRPr="008639C1">
        <w:rPr>
          <w:rFonts w:ascii="Arial" w:eastAsia="Arial" w:hAnsi="Arial" w:cs="Arial"/>
          <w:b/>
          <w:bCs/>
          <w:sz w:val="22"/>
          <w:szCs w:val="22"/>
        </w:rPr>
        <w:t>2.</w:t>
      </w:r>
      <w:r w:rsidR="007F23F3" w:rsidRPr="008639C1">
        <w:rPr>
          <w:rFonts w:ascii="Arial" w:eastAsia="Arial" w:hAnsi="Arial" w:cs="Arial"/>
          <w:b/>
          <w:bCs/>
          <w:sz w:val="22"/>
          <w:szCs w:val="22"/>
        </w:rPr>
        <w:t>1</w:t>
      </w:r>
      <w:r w:rsidRPr="008639C1">
        <w:rPr>
          <w:rFonts w:ascii="Arial" w:eastAsia="Arial" w:hAnsi="Arial" w:cs="Arial"/>
          <w:b/>
          <w:bCs/>
          <w:sz w:val="22"/>
          <w:szCs w:val="22"/>
        </w:rPr>
        <w:t xml:space="preserve"> </w:t>
      </w:r>
      <w:r w:rsidR="00F324E3" w:rsidRPr="008639C1">
        <w:rPr>
          <w:rFonts w:ascii="Arial" w:eastAsia="Arial" w:hAnsi="Arial" w:cs="Arial"/>
          <w:b/>
          <w:bCs/>
          <w:sz w:val="22"/>
          <w:szCs w:val="22"/>
        </w:rPr>
        <w:t>Participants of the Study</w:t>
      </w:r>
    </w:p>
    <w:p w14:paraId="259682E0" w14:textId="77777777" w:rsidR="003E65E8" w:rsidRPr="008639C1" w:rsidRDefault="003E65E8" w:rsidP="003E65E8">
      <w:pPr>
        <w:pBdr>
          <w:top w:val="nil"/>
          <w:left w:val="nil"/>
          <w:bottom w:val="nil"/>
          <w:right w:val="nil"/>
          <w:between w:val="nil"/>
        </w:pBdr>
        <w:jc w:val="both"/>
        <w:rPr>
          <w:rFonts w:ascii="Arial" w:eastAsia="Arial" w:hAnsi="Arial" w:cs="Arial"/>
          <w:b/>
          <w:bCs/>
          <w:sz w:val="22"/>
          <w:szCs w:val="22"/>
        </w:rPr>
      </w:pPr>
    </w:p>
    <w:p w14:paraId="340306A4"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r w:rsidRPr="00014EBC">
        <w:rPr>
          <w:rFonts w:ascii="Arial" w:eastAsia="Arial" w:hAnsi="Arial" w:cs="Arial"/>
          <w:lang w:val="en-PH"/>
        </w:rPr>
        <w:t xml:space="preserve">The participants of this study were for registered nurses working in nursing homes in Iloilo. They were selected because of their direct involvement in the daily care and management of elderly residents. The study aimed to explore their lived experiences, including how they perceive, respond to, and cope with the physical, emotional, social, and spiritual needs of geriatric residents. Purposive sampling was utilized to select participants based on specific characteristics relevant to the study (Crossman, 2020). The inclusion criteria were as follows: (1) registered nurses currently working in nursing homes in Iloilo, (2) direct involvement in providing daily care for residents, and (3) at least one (1) year of work experience in a nursing home setting to ensure adequate exposure and the ability to describe their experiences clearly (Ercan-Şahin &amp; Öner, 2025). Nurses who refused to participate or were unable to provide informed consent were excluded from the study. The minimum number of participants required was six (6), as suggested for qualitative research (Creswell, 2009). In this study the final sample size was eight (8) participants, However, the final number of participants was </w:t>
      </w:r>
      <w:r w:rsidRPr="00014EBC">
        <w:rPr>
          <w:rFonts w:ascii="Arial" w:eastAsia="Arial" w:hAnsi="Arial" w:cs="Arial"/>
          <w:lang w:val="en-PH"/>
        </w:rPr>
        <w:lastRenderedPageBreak/>
        <w:t>determined through data saturation, which occurs when no new themes or insights emerge from the data (</w:t>
      </w:r>
      <w:proofErr w:type="spellStart"/>
      <w:r w:rsidRPr="00014EBC">
        <w:rPr>
          <w:rFonts w:ascii="Arial" w:eastAsia="Arial" w:hAnsi="Arial" w:cs="Arial"/>
          <w:lang w:val="en-PH"/>
        </w:rPr>
        <w:t>Hennink</w:t>
      </w:r>
      <w:proofErr w:type="spellEnd"/>
      <w:r w:rsidRPr="00014EBC">
        <w:rPr>
          <w:rFonts w:ascii="Arial" w:eastAsia="Arial" w:hAnsi="Arial" w:cs="Arial"/>
          <w:lang w:val="en-PH"/>
        </w:rPr>
        <w:t xml:space="preserve"> &amp; Kaiser, 2022). </w:t>
      </w:r>
    </w:p>
    <w:p w14:paraId="7B5F3728" w14:textId="77777777" w:rsidR="00F324E3" w:rsidRPr="008639C1" w:rsidRDefault="00F324E3" w:rsidP="00F324E3">
      <w:pPr>
        <w:pBdr>
          <w:top w:val="nil"/>
          <w:left w:val="nil"/>
          <w:bottom w:val="nil"/>
          <w:right w:val="nil"/>
          <w:between w:val="nil"/>
        </w:pBdr>
        <w:jc w:val="both"/>
        <w:rPr>
          <w:rFonts w:ascii="Arial" w:eastAsia="Arial" w:hAnsi="Arial" w:cs="Arial"/>
          <w:b/>
          <w:bCs/>
          <w:sz w:val="22"/>
          <w:szCs w:val="22"/>
        </w:rPr>
      </w:pPr>
    </w:p>
    <w:p w14:paraId="2AE00221" w14:textId="222461BB" w:rsidR="00F324E3" w:rsidRPr="008639C1" w:rsidRDefault="00EF3385" w:rsidP="00F324E3">
      <w:pPr>
        <w:pBdr>
          <w:top w:val="nil"/>
          <w:left w:val="nil"/>
          <w:bottom w:val="nil"/>
          <w:right w:val="nil"/>
          <w:between w:val="nil"/>
        </w:pBdr>
        <w:jc w:val="both"/>
        <w:rPr>
          <w:rFonts w:ascii="Arial" w:eastAsia="Arial" w:hAnsi="Arial" w:cs="Arial"/>
          <w:b/>
          <w:bCs/>
          <w:sz w:val="22"/>
          <w:szCs w:val="22"/>
        </w:rPr>
      </w:pPr>
      <w:r w:rsidRPr="008639C1">
        <w:rPr>
          <w:rFonts w:ascii="Arial" w:eastAsia="Arial" w:hAnsi="Arial" w:cs="Arial"/>
          <w:b/>
          <w:bCs/>
          <w:sz w:val="22"/>
          <w:szCs w:val="22"/>
        </w:rPr>
        <w:t>2.</w:t>
      </w:r>
      <w:r w:rsidR="007F23F3" w:rsidRPr="008639C1">
        <w:rPr>
          <w:rFonts w:ascii="Arial" w:eastAsia="Arial" w:hAnsi="Arial" w:cs="Arial"/>
          <w:b/>
          <w:bCs/>
          <w:sz w:val="22"/>
          <w:szCs w:val="22"/>
        </w:rPr>
        <w:t>4</w:t>
      </w:r>
      <w:r w:rsidRPr="008639C1">
        <w:rPr>
          <w:rFonts w:ascii="Arial" w:eastAsia="Arial" w:hAnsi="Arial" w:cs="Arial"/>
          <w:b/>
          <w:bCs/>
          <w:sz w:val="22"/>
          <w:szCs w:val="22"/>
        </w:rPr>
        <w:t xml:space="preserve"> </w:t>
      </w:r>
      <w:r w:rsidR="00F324E3" w:rsidRPr="008639C1">
        <w:rPr>
          <w:rFonts w:ascii="Arial" w:eastAsia="Arial" w:hAnsi="Arial" w:cs="Arial"/>
          <w:b/>
          <w:bCs/>
          <w:sz w:val="22"/>
          <w:szCs w:val="22"/>
        </w:rPr>
        <w:t>Research Instrument</w:t>
      </w:r>
    </w:p>
    <w:p w14:paraId="16832D61" w14:textId="77777777" w:rsidR="00F324E3" w:rsidRPr="008639C1" w:rsidRDefault="00F324E3" w:rsidP="00F324E3">
      <w:pPr>
        <w:pBdr>
          <w:top w:val="nil"/>
          <w:left w:val="nil"/>
          <w:bottom w:val="nil"/>
          <w:right w:val="nil"/>
          <w:between w:val="nil"/>
        </w:pBdr>
        <w:jc w:val="both"/>
        <w:rPr>
          <w:rFonts w:ascii="Arial" w:eastAsia="Arial" w:hAnsi="Arial" w:cs="Arial"/>
          <w:sz w:val="22"/>
          <w:szCs w:val="22"/>
        </w:rPr>
      </w:pPr>
    </w:p>
    <w:p w14:paraId="44D93806"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r w:rsidRPr="00014EBC">
        <w:rPr>
          <w:rFonts w:ascii="Arial" w:eastAsia="Arial" w:hAnsi="Arial" w:cs="Arial"/>
          <w:lang w:val="en-PH"/>
        </w:rPr>
        <w:t>The research instrument used in this study was a semi-structured interview guide designed to explore the experiences of nurses in nursing homes. This type of instrument allows flexibility while ensuring that essential topics are covered. The interview guide consisted of two parts. Part I gathered demographic information such as name, age, address, and sex. Part II included one main open-ended question supported by several probing questions to elicit deeper responses. The primary question asked was: “Can you describe your experiences as a nurse in a nursing home, particularly in caring for residents with memory-related disorders, chronic illnesses, or physical limitations?” Probing questions focused on areas such as motivations for working in a nursing home, strategies in addressing residents’ emotional needs, workload management, interpersonal relationships, coping mechanisms, and professional development. This structure enabled participants to share their experiences freely and in detail.</w:t>
      </w:r>
    </w:p>
    <w:p w14:paraId="64AC569E" w14:textId="77777777" w:rsidR="00F324E3" w:rsidRPr="008639C1" w:rsidRDefault="00F324E3" w:rsidP="00F324E3">
      <w:pPr>
        <w:pBdr>
          <w:top w:val="nil"/>
          <w:left w:val="nil"/>
          <w:bottom w:val="nil"/>
          <w:right w:val="nil"/>
          <w:between w:val="nil"/>
        </w:pBdr>
        <w:jc w:val="both"/>
        <w:rPr>
          <w:rFonts w:ascii="Arial" w:eastAsia="Arial" w:hAnsi="Arial" w:cs="Arial"/>
          <w:b/>
          <w:bCs/>
          <w:sz w:val="22"/>
          <w:szCs w:val="22"/>
        </w:rPr>
      </w:pPr>
    </w:p>
    <w:p w14:paraId="3472DA56" w14:textId="6C5B5FA6" w:rsidR="00F324E3" w:rsidRPr="008639C1" w:rsidRDefault="00EF3385" w:rsidP="00F324E3">
      <w:pPr>
        <w:pBdr>
          <w:top w:val="nil"/>
          <w:left w:val="nil"/>
          <w:bottom w:val="nil"/>
          <w:right w:val="nil"/>
          <w:between w:val="nil"/>
        </w:pBdr>
        <w:jc w:val="both"/>
        <w:rPr>
          <w:rFonts w:ascii="Arial" w:eastAsia="Arial" w:hAnsi="Arial" w:cs="Arial"/>
          <w:b/>
          <w:bCs/>
          <w:sz w:val="22"/>
          <w:szCs w:val="22"/>
        </w:rPr>
      </w:pPr>
      <w:r w:rsidRPr="008639C1">
        <w:rPr>
          <w:rFonts w:ascii="Arial" w:eastAsia="Arial" w:hAnsi="Arial" w:cs="Arial"/>
          <w:b/>
          <w:bCs/>
          <w:sz w:val="22"/>
          <w:szCs w:val="22"/>
        </w:rPr>
        <w:t>2.</w:t>
      </w:r>
      <w:r w:rsidR="007F23F3" w:rsidRPr="008639C1">
        <w:rPr>
          <w:rFonts w:ascii="Arial" w:eastAsia="Arial" w:hAnsi="Arial" w:cs="Arial"/>
          <w:b/>
          <w:bCs/>
          <w:sz w:val="22"/>
          <w:szCs w:val="22"/>
        </w:rPr>
        <w:t xml:space="preserve">5 </w:t>
      </w:r>
      <w:r w:rsidR="00F324E3" w:rsidRPr="008639C1">
        <w:rPr>
          <w:rFonts w:ascii="Arial" w:eastAsia="Arial" w:hAnsi="Arial" w:cs="Arial"/>
          <w:b/>
          <w:bCs/>
          <w:sz w:val="22"/>
          <w:szCs w:val="22"/>
        </w:rPr>
        <w:t>Data Gathering Procedure</w:t>
      </w:r>
    </w:p>
    <w:p w14:paraId="7D82F0A5" w14:textId="77777777" w:rsidR="00F324E3" w:rsidRPr="008639C1" w:rsidRDefault="00F324E3" w:rsidP="00F324E3">
      <w:pPr>
        <w:pBdr>
          <w:top w:val="nil"/>
          <w:left w:val="nil"/>
          <w:bottom w:val="nil"/>
          <w:right w:val="nil"/>
          <w:between w:val="nil"/>
        </w:pBdr>
        <w:jc w:val="both"/>
        <w:rPr>
          <w:rFonts w:ascii="Arial" w:eastAsia="Arial" w:hAnsi="Arial" w:cs="Arial"/>
          <w:sz w:val="22"/>
          <w:szCs w:val="22"/>
        </w:rPr>
      </w:pPr>
    </w:p>
    <w:p w14:paraId="062AD273" w14:textId="76411ED9" w:rsidR="007F23F3" w:rsidRPr="00014EBC" w:rsidRDefault="007F23F3" w:rsidP="00F324E3">
      <w:pPr>
        <w:pBdr>
          <w:top w:val="nil"/>
          <w:left w:val="nil"/>
          <w:bottom w:val="nil"/>
          <w:right w:val="nil"/>
          <w:between w:val="nil"/>
        </w:pBdr>
        <w:jc w:val="both"/>
        <w:rPr>
          <w:rFonts w:ascii="Arial" w:eastAsia="Arial" w:hAnsi="Arial" w:cs="Arial"/>
        </w:rPr>
      </w:pPr>
      <w:r w:rsidRPr="00014EBC">
        <w:rPr>
          <w:rFonts w:ascii="Arial" w:eastAsia="Arial" w:hAnsi="Arial" w:cs="Arial"/>
        </w:rPr>
        <w:t>Data collected through semi-structured face-to-face interviews took place between January and February 2026, following ethical approval from the Iloilo Doctors’ College Institutional Research Ethics Committee. The interview questions were carefully prepared based on the study objectives and reviewed for clarity and relevance. Each interview was conducted in a private and comfortable setting, depending on participants’ availability and existing health protocols. With the participants’ consent, all interviews were audio-recorded and later transcribed verbatim for analysis. Before conducting the interviews, the researcher explained the purpose of the study and obtained informed consent from each participant. Ethical principles such as voluntary participation, confidentiality, and the right to withdraw at any time were strictly observed. All collected data were securely stored to ensure participants’ privacy.</w:t>
      </w:r>
    </w:p>
    <w:p w14:paraId="2C90E3E5" w14:textId="77777777" w:rsidR="007F23F3" w:rsidRPr="008639C1" w:rsidRDefault="007F23F3" w:rsidP="00F324E3">
      <w:pPr>
        <w:pBdr>
          <w:top w:val="nil"/>
          <w:left w:val="nil"/>
          <w:bottom w:val="nil"/>
          <w:right w:val="nil"/>
          <w:between w:val="nil"/>
        </w:pBdr>
        <w:jc w:val="both"/>
        <w:rPr>
          <w:rFonts w:ascii="Arial" w:eastAsia="Arial" w:hAnsi="Arial" w:cs="Arial"/>
          <w:b/>
          <w:bCs/>
          <w:sz w:val="22"/>
          <w:szCs w:val="22"/>
        </w:rPr>
      </w:pPr>
    </w:p>
    <w:p w14:paraId="2AB99C8B" w14:textId="1092E013" w:rsidR="00F324E3" w:rsidRPr="008639C1" w:rsidRDefault="00EF3385" w:rsidP="00F324E3">
      <w:pPr>
        <w:pBdr>
          <w:top w:val="nil"/>
          <w:left w:val="nil"/>
          <w:bottom w:val="nil"/>
          <w:right w:val="nil"/>
          <w:between w:val="nil"/>
        </w:pBdr>
        <w:jc w:val="both"/>
        <w:rPr>
          <w:rFonts w:ascii="Arial" w:eastAsia="Arial" w:hAnsi="Arial" w:cs="Arial"/>
          <w:b/>
          <w:bCs/>
          <w:sz w:val="22"/>
          <w:szCs w:val="22"/>
        </w:rPr>
      </w:pPr>
      <w:r w:rsidRPr="008639C1">
        <w:rPr>
          <w:rFonts w:ascii="Arial" w:eastAsia="Arial" w:hAnsi="Arial" w:cs="Arial"/>
          <w:b/>
          <w:bCs/>
          <w:sz w:val="22"/>
          <w:szCs w:val="22"/>
        </w:rPr>
        <w:t>2.</w:t>
      </w:r>
      <w:r w:rsidR="007F23F3" w:rsidRPr="008639C1">
        <w:rPr>
          <w:rFonts w:ascii="Arial" w:eastAsia="Arial" w:hAnsi="Arial" w:cs="Arial"/>
          <w:b/>
          <w:bCs/>
          <w:sz w:val="22"/>
          <w:szCs w:val="22"/>
        </w:rPr>
        <w:t>7</w:t>
      </w:r>
      <w:r w:rsidRPr="008639C1">
        <w:rPr>
          <w:rFonts w:ascii="Arial" w:eastAsia="Arial" w:hAnsi="Arial" w:cs="Arial"/>
          <w:b/>
          <w:bCs/>
          <w:sz w:val="22"/>
          <w:szCs w:val="22"/>
        </w:rPr>
        <w:t xml:space="preserve"> </w:t>
      </w:r>
      <w:r w:rsidR="00F324E3" w:rsidRPr="008639C1">
        <w:rPr>
          <w:rFonts w:ascii="Arial" w:eastAsia="Arial" w:hAnsi="Arial" w:cs="Arial"/>
          <w:b/>
          <w:bCs/>
          <w:sz w:val="22"/>
          <w:szCs w:val="22"/>
        </w:rPr>
        <w:t>Data Analysis Procedure</w:t>
      </w:r>
    </w:p>
    <w:p w14:paraId="11099F1D" w14:textId="77777777" w:rsidR="00F324E3" w:rsidRPr="008639C1" w:rsidRDefault="00F324E3" w:rsidP="00F324E3">
      <w:pPr>
        <w:pBdr>
          <w:top w:val="nil"/>
          <w:left w:val="nil"/>
          <w:bottom w:val="nil"/>
          <w:right w:val="nil"/>
          <w:between w:val="nil"/>
        </w:pBdr>
        <w:jc w:val="both"/>
        <w:rPr>
          <w:rFonts w:ascii="Arial" w:eastAsia="Arial" w:hAnsi="Arial" w:cs="Arial"/>
          <w:b/>
          <w:bCs/>
          <w:sz w:val="22"/>
          <w:szCs w:val="22"/>
        </w:rPr>
      </w:pPr>
    </w:p>
    <w:p w14:paraId="00599021"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r w:rsidRPr="00014EBC">
        <w:rPr>
          <w:rFonts w:ascii="Arial" w:eastAsia="Arial" w:hAnsi="Arial" w:cs="Arial"/>
          <w:lang w:val="en-PH"/>
        </w:rPr>
        <w:t>The data gathered were analyzed using thematic analysis based on the six-step framework developed by Braun and Clarke (2006). This method is widely used in qualitative research to identify, analyze, and interpret patterns or themes within the data. The process involved the following steps: (1) familiarization with the data through repeated reading of transcripts, (2) generating initial codes by labeling significant data segments, (3) searching for themes by grouping related codes, (4) reviewing themes to ensure accuracy and coherence, (5) defining and naming themes to capture their essence, and (6) writing the report by presenting a clear narrative supported by participants’ responses. This approach allowed for a comprehensive understanding of the nurses’ experiences and perspectives.</w:t>
      </w:r>
    </w:p>
    <w:p w14:paraId="5A0A4B9B" w14:textId="77777777" w:rsidR="00F324E3" w:rsidRPr="008639C1" w:rsidRDefault="00F324E3" w:rsidP="00F324E3">
      <w:pPr>
        <w:pBdr>
          <w:top w:val="nil"/>
          <w:left w:val="nil"/>
          <w:bottom w:val="nil"/>
          <w:right w:val="nil"/>
          <w:between w:val="nil"/>
        </w:pBdr>
        <w:jc w:val="both"/>
        <w:rPr>
          <w:rFonts w:ascii="Arial" w:eastAsia="Arial" w:hAnsi="Arial" w:cs="Arial"/>
          <w:b/>
          <w:bCs/>
          <w:sz w:val="22"/>
          <w:szCs w:val="22"/>
        </w:rPr>
      </w:pPr>
    </w:p>
    <w:p w14:paraId="181929BC" w14:textId="42D89B72" w:rsidR="00F324E3" w:rsidRPr="008639C1" w:rsidRDefault="00EF3385" w:rsidP="00F324E3">
      <w:pPr>
        <w:pBdr>
          <w:top w:val="nil"/>
          <w:left w:val="nil"/>
          <w:bottom w:val="nil"/>
          <w:right w:val="nil"/>
          <w:between w:val="nil"/>
        </w:pBdr>
        <w:jc w:val="both"/>
        <w:rPr>
          <w:rFonts w:ascii="Arial" w:eastAsia="Arial" w:hAnsi="Arial" w:cs="Arial"/>
          <w:b/>
          <w:bCs/>
          <w:sz w:val="22"/>
          <w:szCs w:val="22"/>
        </w:rPr>
      </w:pPr>
      <w:r w:rsidRPr="008639C1">
        <w:rPr>
          <w:rFonts w:ascii="Arial" w:eastAsia="Arial" w:hAnsi="Arial" w:cs="Arial"/>
          <w:b/>
          <w:bCs/>
          <w:sz w:val="22"/>
          <w:szCs w:val="22"/>
        </w:rPr>
        <w:t xml:space="preserve">2.6 </w:t>
      </w:r>
      <w:r w:rsidR="00F324E3" w:rsidRPr="008639C1">
        <w:rPr>
          <w:rFonts w:ascii="Arial" w:eastAsia="Arial" w:hAnsi="Arial" w:cs="Arial"/>
          <w:b/>
          <w:bCs/>
          <w:sz w:val="22"/>
          <w:szCs w:val="22"/>
        </w:rPr>
        <w:t>Rigor and Trustworthiness</w:t>
      </w:r>
    </w:p>
    <w:p w14:paraId="334AEDF1" w14:textId="77777777" w:rsidR="007F23F3" w:rsidRPr="00014EBC" w:rsidRDefault="007F23F3" w:rsidP="007F23F3">
      <w:pPr>
        <w:pBdr>
          <w:top w:val="nil"/>
          <w:left w:val="nil"/>
          <w:bottom w:val="nil"/>
          <w:right w:val="nil"/>
          <w:between w:val="nil"/>
        </w:pBdr>
        <w:jc w:val="both"/>
        <w:rPr>
          <w:rFonts w:ascii="Arial" w:eastAsia="Arial" w:hAnsi="Arial" w:cs="Arial"/>
          <w:lang w:val="en-PH"/>
        </w:rPr>
      </w:pPr>
      <w:r w:rsidRPr="00014EBC">
        <w:rPr>
          <w:rFonts w:ascii="Arial" w:eastAsia="Arial" w:hAnsi="Arial" w:cs="Arial"/>
          <w:lang w:val="en-PH"/>
        </w:rPr>
        <w:t xml:space="preserve">To ensure the quality of the study, the researchers applied Lincoln and Guba’s (1985) criteria, including credibility, transferability, dependability, confirmability, and authenticity. Credibility was established through techniques such as triangulation and member checking, where participants reviewed their responses to ensure accuracy. Transferability was ensured by providing detailed descriptions of the study context and participants. Dependability was achieved by maintaining consistent procedures and proper documentation throughout the research process. Confirmability was ensured through reflexive journaling and maintaining </w:t>
      </w:r>
      <w:r w:rsidRPr="00014EBC">
        <w:rPr>
          <w:rFonts w:ascii="Arial" w:eastAsia="Arial" w:hAnsi="Arial" w:cs="Arial"/>
          <w:lang w:val="en-PH"/>
        </w:rPr>
        <w:lastRenderedPageBreak/>
        <w:t>records to minimize researcher bias. Authenticity was established by presenting participants’ experiences accurately and allowing them to verify their responses.</w:t>
      </w:r>
    </w:p>
    <w:p w14:paraId="4106D295" w14:textId="77777777" w:rsidR="00F324E3" w:rsidRPr="008639C1" w:rsidRDefault="00F324E3" w:rsidP="00F324E3">
      <w:pPr>
        <w:pBdr>
          <w:top w:val="nil"/>
          <w:left w:val="nil"/>
          <w:bottom w:val="nil"/>
          <w:right w:val="nil"/>
          <w:between w:val="nil"/>
        </w:pBdr>
        <w:jc w:val="both"/>
        <w:rPr>
          <w:rFonts w:ascii="Arial" w:eastAsia="Arial" w:hAnsi="Arial" w:cs="Arial"/>
          <w:b/>
          <w:bCs/>
          <w:sz w:val="22"/>
          <w:szCs w:val="22"/>
        </w:rPr>
      </w:pPr>
    </w:p>
    <w:p w14:paraId="42810EAF" w14:textId="679D2CCB" w:rsidR="00F324E3" w:rsidRPr="008639C1" w:rsidRDefault="00EF3385" w:rsidP="00F324E3">
      <w:pPr>
        <w:pBdr>
          <w:top w:val="nil"/>
          <w:left w:val="nil"/>
          <w:bottom w:val="nil"/>
          <w:right w:val="nil"/>
          <w:between w:val="nil"/>
        </w:pBdr>
        <w:jc w:val="both"/>
        <w:rPr>
          <w:rFonts w:ascii="Arial" w:eastAsia="Arial" w:hAnsi="Arial" w:cs="Arial"/>
          <w:b/>
          <w:bCs/>
          <w:sz w:val="22"/>
          <w:szCs w:val="22"/>
        </w:rPr>
      </w:pPr>
      <w:r w:rsidRPr="008639C1">
        <w:rPr>
          <w:rFonts w:ascii="Arial" w:eastAsia="Arial" w:hAnsi="Arial" w:cs="Arial"/>
          <w:b/>
          <w:bCs/>
          <w:sz w:val="22"/>
          <w:szCs w:val="22"/>
        </w:rPr>
        <w:t>2.</w:t>
      </w:r>
      <w:r w:rsidR="007F23F3" w:rsidRPr="008639C1">
        <w:rPr>
          <w:rFonts w:ascii="Arial" w:eastAsia="Arial" w:hAnsi="Arial" w:cs="Arial"/>
          <w:b/>
          <w:bCs/>
          <w:sz w:val="22"/>
          <w:szCs w:val="22"/>
        </w:rPr>
        <w:t>8</w:t>
      </w:r>
      <w:r w:rsidRPr="008639C1">
        <w:rPr>
          <w:rFonts w:ascii="Arial" w:eastAsia="Arial" w:hAnsi="Arial" w:cs="Arial"/>
          <w:b/>
          <w:bCs/>
          <w:sz w:val="22"/>
          <w:szCs w:val="22"/>
        </w:rPr>
        <w:t xml:space="preserve"> </w:t>
      </w:r>
      <w:r w:rsidR="00F324E3" w:rsidRPr="008639C1">
        <w:rPr>
          <w:rFonts w:ascii="Arial" w:eastAsia="Arial" w:hAnsi="Arial" w:cs="Arial"/>
          <w:b/>
          <w:bCs/>
          <w:sz w:val="22"/>
          <w:szCs w:val="22"/>
        </w:rPr>
        <w:t>Ethical Considerations</w:t>
      </w:r>
    </w:p>
    <w:p w14:paraId="3BBBEFEF" w14:textId="77777777" w:rsidR="007F23F3" w:rsidRPr="008639C1" w:rsidRDefault="007F23F3" w:rsidP="00F324E3">
      <w:pPr>
        <w:pBdr>
          <w:top w:val="nil"/>
          <w:left w:val="nil"/>
          <w:bottom w:val="nil"/>
          <w:right w:val="nil"/>
          <w:between w:val="nil"/>
        </w:pBdr>
        <w:jc w:val="both"/>
        <w:rPr>
          <w:rFonts w:ascii="Arial" w:eastAsia="Arial" w:hAnsi="Arial" w:cs="Arial"/>
          <w:b/>
          <w:bCs/>
          <w:sz w:val="22"/>
          <w:szCs w:val="22"/>
        </w:rPr>
      </w:pPr>
    </w:p>
    <w:p w14:paraId="6EEAC219" w14:textId="5D07C4A0" w:rsidR="007F23F3" w:rsidRPr="00014EBC" w:rsidRDefault="007F23F3" w:rsidP="00F324E3">
      <w:pPr>
        <w:pBdr>
          <w:top w:val="nil"/>
          <w:left w:val="nil"/>
          <w:bottom w:val="nil"/>
          <w:right w:val="nil"/>
          <w:between w:val="nil"/>
        </w:pBdr>
        <w:jc w:val="both"/>
        <w:rPr>
          <w:rFonts w:ascii="Arial" w:eastAsia="Arial" w:hAnsi="Arial" w:cs="Arial"/>
        </w:rPr>
      </w:pPr>
      <w:r w:rsidRPr="00014EBC">
        <w:rPr>
          <w:rFonts w:ascii="Arial" w:eastAsia="Arial" w:hAnsi="Arial" w:cs="Arial"/>
        </w:rPr>
        <w:t>This study adhered to ethical principles and was conducted in accordance with the guidelines of the Iloilo Doctors’ College Institutional Research Ethics Committee (IDIREC). Approval was obtained prior to data collection to ensure the protection of participants’ rights and welfare. Participants were informed about the purpose, procedures, risks, and benefits of the study, and informed consent was obtained prior to participation. Participation was voluntary, and participants were free to withdraw at any time without consequences. Confidentiality and privacy were strictly maintained by using pseudonyms and removing identifying information from the data. No monetary incentives were provided. All collected data were securely stored and disposed of properly after the study. The researchers ensured transparency, integrity, and objectivity throughout the research process. The findings were disseminated through appropriate academic channels to contribute to nursing practice and research.</w:t>
      </w:r>
    </w:p>
    <w:p w14:paraId="3CAEA0A8" w14:textId="77777777" w:rsidR="00F324E3" w:rsidRPr="008639C1" w:rsidRDefault="00F324E3" w:rsidP="00F324E3">
      <w:pPr>
        <w:pBdr>
          <w:top w:val="nil"/>
          <w:left w:val="nil"/>
          <w:bottom w:val="nil"/>
          <w:right w:val="nil"/>
          <w:between w:val="nil"/>
        </w:pBdr>
        <w:jc w:val="both"/>
        <w:rPr>
          <w:rFonts w:ascii="Arial" w:eastAsia="Arial" w:hAnsi="Arial" w:cs="Arial"/>
          <w:b/>
          <w:bCs/>
          <w:sz w:val="22"/>
          <w:szCs w:val="22"/>
        </w:rPr>
      </w:pPr>
    </w:p>
    <w:p w14:paraId="3FA21066" w14:textId="7BD399B9" w:rsidR="00CC37C7" w:rsidRPr="008639C1" w:rsidRDefault="00EF3385">
      <w:pPr>
        <w:keepNext/>
        <w:pBdr>
          <w:top w:val="nil"/>
          <w:left w:val="nil"/>
          <w:bottom w:val="nil"/>
          <w:right w:val="nil"/>
          <w:between w:val="nil"/>
        </w:pBdr>
        <w:jc w:val="both"/>
        <w:rPr>
          <w:rFonts w:ascii="Arial" w:eastAsia="Arial" w:hAnsi="Arial" w:cs="Arial"/>
          <w:b/>
          <w:bCs/>
          <w:sz w:val="22"/>
          <w:szCs w:val="22"/>
        </w:rPr>
      </w:pPr>
      <w:r w:rsidRPr="008639C1">
        <w:rPr>
          <w:rFonts w:ascii="Arial" w:eastAsia="Arial" w:hAnsi="Arial" w:cs="Arial"/>
          <w:b/>
          <w:bCs/>
          <w:smallCaps/>
          <w:color w:val="000000"/>
          <w:sz w:val="22"/>
          <w:szCs w:val="22"/>
        </w:rPr>
        <w:t>3</w:t>
      </w:r>
      <w:r w:rsidRPr="008639C1">
        <w:rPr>
          <w:rFonts w:ascii="Arial" w:eastAsia="Arial" w:hAnsi="Arial" w:cs="Arial"/>
          <w:b/>
          <w:bCs/>
          <w:smallCaps/>
          <w:sz w:val="22"/>
          <w:szCs w:val="22"/>
        </w:rPr>
        <w:t xml:space="preserve">. </w:t>
      </w:r>
      <w:r w:rsidRPr="008639C1">
        <w:rPr>
          <w:rFonts w:ascii="Arial" w:eastAsia="Arial" w:hAnsi="Arial" w:cs="Arial"/>
          <w:b/>
          <w:bCs/>
          <w:sz w:val="22"/>
          <w:szCs w:val="22"/>
        </w:rPr>
        <w:t>RESULTS</w:t>
      </w:r>
      <w:r w:rsidR="00EC7CFF">
        <w:rPr>
          <w:rFonts w:ascii="Arial" w:eastAsia="Arial" w:hAnsi="Arial" w:cs="Arial"/>
          <w:b/>
          <w:bCs/>
          <w:sz w:val="22"/>
          <w:szCs w:val="22"/>
        </w:rPr>
        <w:t xml:space="preserve"> AND DISCUSSION</w:t>
      </w:r>
      <w:bookmarkStart w:id="0" w:name="_GoBack"/>
      <w:bookmarkEnd w:id="0"/>
    </w:p>
    <w:p w14:paraId="06110A54" w14:textId="77777777" w:rsidR="00F324E3" w:rsidRPr="008639C1" w:rsidRDefault="00F324E3">
      <w:pPr>
        <w:spacing w:line="276" w:lineRule="auto"/>
        <w:rPr>
          <w:rFonts w:ascii="Arial" w:eastAsia="Arial" w:hAnsi="Arial" w:cs="Arial"/>
          <w:b/>
          <w:bCs/>
          <w:sz w:val="22"/>
          <w:szCs w:val="22"/>
        </w:rPr>
      </w:pPr>
    </w:p>
    <w:p w14:paraId="475BE43F" w14:textId="6D9FBF1D" w:rsidR="00CC37C7" w:rsidRPr="008639C1" w:rsidRDefault="00EF3385">
      <w:pPr>
        <w:spacing w:line="276" w:lineRule="auto"/>
        <w:rPr>
          <w:rFonts w:ascii="Arial" w:eastAsia="Arial" w:hAnsi="Arial" w:cs="Arial"/>
          <w:b/>
          <w:bCs/>
          <w:sz w:val="22"/>
          <w:szCs w:val="22"/>
        </w:rPr>
      </w:pPr>
      <w:r w:rsidRPr="008639C1">
        <w:rPr>
          <w:rFonts w:ascii="Arial" w:eastAsia="Arial" w:hAnsi="Arial" w:cs="Arial"/>
          <w:b/>
          <w:bCs/>
          <w:sz w:val="22"/>
          <w:szCs w:val="22"/>
        </w:rPr>
        <w:t>3.1 Profile of the Participants</w:t>
      </w:r>
    </w:p>
    <w:p w14:paraId="2B50161C" w14:textId="77777777" w:rsidR="00CC37C7" w:rsidRPr="00014EBC" w:rsidRDefault="00EF3385" w:rsidP="00F324E3">
      <w:pPr>
        <w:spacing w:line="276" w:lineRule="auto"/>
        <w:jc w:val="both"/>
        <w:rPr>
          <w:rFonts w:ascii="Arial" w:eastAsia="Arial" w:hAnsi="Arial" w:cs="Arial"/>
        </w:rPr>
      </w:pPr>
      <w:r w:rsidRPr="00014EBC">
        <w:rPr>
          <w:rFonts w:ascii="Arial" w:eastAsia="Arial" w:hAnsi="Arial" w:cs="Arial"/>
        </w:rPr>
        <w:t>The eight (8) participants who took part in this study were registered nurses currently working in selected nursing homes in Iloilo City. All participants had direct experience with a minimum one (1) year of experience in handling and providing care to residents in nursing home settings. To safeguard the participants’ identities and to ensure confidentiality. They were assigned pseudonyms identified as P1, P2, P3, P4, P5, P6, P7, P8. Their experiences in handling residents in nursing homes are summarized below.</w:t>
      </w:r>
    </w:p>
    <w:p w14:paraId="47AC3881" w14:textId="77777777" w:rsidR="002F5EF5" w:rsidRDefault="002F5EF5" w:rsidP="002F5EF5">
      <w:pPr>
        <w:spacing w:line="276" w:lineRule="auto"/>
        <w:rPr>
          <w:rFonts w:ascii="Arial" w:eastAsia="Arial" w:hAnsi="Arial" w:cs="Arial"/>
          <w:b/>
          <w:bCs/>
        </w:rPr>
      </w:pPr>
    </w:p>
    <w:p w14:paraId="03906D7E" w14:textId="18D44566" w:rsidR="00CC37C7" w:rsidRPr="002F5EF5" w:rsidRDefault="00EF3385" w:rsidP="002F5EF5">
      <w:pPr>
        <w:spacing w:line="276" w:lineRule="auto"/>
        <w:rPr>
          <w:rFonts w:ascii="Arial" w:eastAsia="Arial" w:hAnsi="Arial" w:cs="Arial"/>
        </w:rPr>
      </w:pPr>
      <w:r w:rsidRPr="002F5EF5">
        <w:rPr>
          <w:rFonts w:ascii="Arial" w:eastAsia="Arial" w:hAnsi="Arial" w:cs="Arial"/>
          <w:b/>
          <w:bCs/>
        </w:rPr>
        <w:t xml:space="preserve">Table 1. </w:t>
      </w:r>
      <w:r w:rsidRPr="002F5EF5">
        <w:rPr>
          <w:rFonts w:ascii="Arial" w:eastAsia="Times New Roman" w:hAnsi="Arial" w:cs="Arial"/>
          <w:b/>
          <w:bCs/>
        </w:rPr>
        <w:t>Profile of Participants</w:t>
      </w:r>
    </w:p>
    <w:tbl>
      <w:tblPr>
        <w:tblStyle w:val="a0"/>
        <w:tblW w:w="6520" w:type="dxa"/>
        <w:tblInd w:w="1134" w:type="dxa"/>
        <w:tblBorders>
          <w:top w:val="nil"/>
          <w:left w:val="nil"/>
          <w:bottom w:val="nil"/>
          <w:right w:val="nil"/>
          <w:insideH w:val="nil"/>
          <w:insideV w:val="nil"/>
        </w:tblBorders>
        <w:tblLayout w:type="fixed"/>
        <w:tblLook w:val="0400" w:firstRow="0" w:lastRow="0" w:firstColumn="0" w:lastColumn="0" w:noHBand="0" w:noVBand="1"/>
      </w:tblPr>
      <w:tblGrid>
        <w:gridCol w:w="2693"/>
        <w:gridCol w:w="1275"/>
        <w:gridCol w:w="2552"/>
      </w:tblGrid>
      <w:tr w:rsidR="00CC37C7" w:rsidRPr="002F5EF5" w14:paraId="63ECD6A5" w14:textId="77777777" w:rsidTr="00512B2A">
        <w:tc>
          <w:tcPr>
            <w:tcW w:w="2693" w:type="dxa"/>
            <w:tcBorders>
              <w:top w:val="single" w:sz="4" w:space="0" w:color="000000"/>
              <w:bottom w:val="single" w:sz="4" w:space="0" w:color="000000"/>
            </w:tcBorders>
          </w:tcPr>
          <w:p w14:paraId="56C51DEA" w14:textId="607B749A" w:rsidR="00CC37C7" w:rsidRPr="002F5EF5" w:rsidRDefault="00EF3385" w:rsidP="00512B2A">
            <w:pPr>
              <w:spacing w:line="360" w:lineRule="auto"/>
              <w:jc w:val="center"/>
              <w:rPr>
                <w:rFonts w:ascii="Times New Roman" w:eastAsia="Times New Roman" w:hAnsi="Times New Roman" w:cs="Times New Roman"/>
                <w:b/>
                <w:bCs/>
                <w:sz w:val="22"/>
                <w:szCs w:val="22"/>
              </w:rPr>
            </w:pPr>
            <w:r w:rsidRPr="002F5EF5">
              <w:rPr>
                <w:rFonts w:ascii="Times New Roman" w:eastAsia="Times New Roman" w:hAnsi="Times New Roman" w:cs="Times New Roman"/>
                <w:b/>
                <w:bCs/>
                <w:sz w:val="22"/>
                <w:szCs w:val="22"/>
              </w:rPr>
              <w:t>Participant</w:t>
            </w:r>
          </w:p>
        </w:tc>
        <w:tc>
          <w:tcPr>
            <w:tcW w:w="1275" w:type="dxa"/>
            <w:tcBorders>
              <w:top w:val="single" w:sz="4" w:space="0" w:color="000000"/>
              <w:bottom w:val="single" w:sz="4" w:space="0" w:color="000000"/>
            </w:tcBorders>
          </w:tcPr>
          <w:p w14:paraId="63197B1D" w14:textId="77777777" w:rsidR="00CC37C7" w:rsidRPr="002F5EF5" w:rsidRDefault="00EF3385" w:rsidP="00512B2A">
            <w:pPr>
              <w:spacing w:line="360" w:lineRule="auto"/>
              <w:jc w:val="center"/>
              <w:rPr>
                <w:rFonts w:ascii="Times New Roman" w:eastAsia="Times New Roman" w:hAnsi="Times New Roman" w:cs="Times New Roman"/>
                <w:b/>
                <w:bCs/>
                <w:sz w:val="22"/>
                <w:szCs w:val="22"/>
              </w:rPr>
            </w:pPr>
            <w:r w:rsidRPr="002F5EF5">
              <w:rPr>
                <w:rFonts w:ascii="Times New Roman" w:eastAsia="Times New Roman" w:hAnsi="Times New Roman" w:cs="Times New Roman"/>
                <w:b/>
                <w:bCs/>
                <w:sz w:val="22"/>
                <w:szCs w:val="22"/>
              </w:rPr>
              <w:t>Sex</w:t>
            </w:r>
          </w:p>
        </w:tc>
        <w:tc>
          <w:tcPr>
            <w:tcW w:w="2552" w:type="dxa"/>
            <w:tcBorders>
              <w:top w:val="single" w:sz="4" w:space="0" w:color="000000"/>
              <w:bottom w:val="single" w:sz="4" w:space="0" w:color="000000"/>
            </w:tcBorders>
          </w:tcPr>
          <w:p w14:paraId="6394F0F5" w14:textId="77777777" w:rsidR="00CC37C7" w:rsidRPr="002F5EF5" w:rsidRDefault="00EF3385" w:rsidP="00512B2A">
            <w:pPr>
              <w:spacing w:line="360" w:lineRule="auto"/>
              <w:jc w:val="center"/>
              <w:rPr>
                <w:rFonts w:ascii="Times New Roman" w:eastAsia="Times New Roman" w:hAnsi="Times New Roman" w:cs="Times New Roman"/>
                <w:b/>
                <w:bCs/>
                <w:sz w:val="22"/>
                <w:szCs w:val="22"/>
              </w:rPr>
            </w:pPr>
            <w:r w:rsidRPr="002F5EF5">
              <w:rPr>
                <w:rFonts w:ascii="Times New Roman" w:eastAsia="Times New Roman" w:hAnsi="Times New Roman" w:cs="Times New Roman"/>
                <w:b/>
                <w:bCs/>
                <w:sz w:val="22"/>
                <w:szCs w:val="22"/>
              </w:rPr>
              <w:t>Years of Experience</w:t>
            </w:r>
          </w:p>
        </w:tc>
      </w:tr>
      <w:tr w:rsidR="00CC37C7" w:rsidRPr="002F5EF5" w14:paraId="4609776B" w14:textId="77777777" w:rsidTr="00512B2A">
        <w:tc>
          <w:tcPr>
            <w:tcW w:w="2693" w:type="dxa"/>
            <w:tcBorders>
              <w:top w:val="single" w:sz="4" w:space="0" w:color="000000"/>
            </w:tcBorders>
          </w:tcPr>
          <w:p w14:paraId="0FF36A83"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P1</w:t>
            </w:r>
          </w:p>
        </w:tc>
        <w:tc>
          <w:tcPr>
            <w:tcW w:w="1275" w:type="dxa"/>
            <w:tcBorders>
              <w:top w:val="single" w:sz="4" w:space="0" w:color="000000"/>
            </w:tcBorders>
          </w:tcPr>
          <w:p w14:paraId="0849CCA7"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F</w:t>
            </w:r>
          </w:p>
        </w:tc>
        <w:tc>
          <w:tcPr>
            <w:tcW w:w="2552" w:type="dxa"/>
            <w:tcBorders>
              <w:top w:val="single" w:sz="4" w:space="0" w:color="000000"/>
            </w:tcBorders>
          </w:tcPr>
          <w:p w14:paraId="123CEAD4"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3 years</w:t>
            </w:r>
          </w:p>
        </w:tc>
      </w:tr>
      <w:tr w:rsidR="00CC37C7" w:rsidRPr="002F5EF5" w14:paraId="6D57836F" w14:textId="77777777" w:rsidTr="00512B2A">
        <w:tc>
          <w:tcPr>
            <w:tcW w:w="2693" w:type="dxa"/>
          </w:tcPr>
          <w:p w14:paraId="74372ABF"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P2</w:t>
            </w:r>
          </w:p>
        </w:tc>
        <w:tc>
          <w:tcPr>
            <w:tcW w:w="1275" w:type="dxa"/>
          </w:tcPr>
          <w:p w14:paraId="036FCA4A"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F</w:t>
            </w:r>
          </w:p>
        </w:tc>
        <w:tc>
          <w:tcPr>
            <w:tcW w:w="2552" w:type="dxa"/>
          </w:tcPr>
          <w:p w14:paraId="72B037BF"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3 years</w:t>
            </w:r>
          </w:p>
        </w:tc>
      </w:tr>
      <w:tr w:rsidR="00CC37C7" w:rsidRPr="002F5EF5" w14:paraId="5F275A40" w14:textId="77777777" w:rsidTr="00512B2A">
        <w:tc>
          <w:tcPr>
            <w:tcW w:w="2693" w:type="dxa"/>
          </w:tcPr>
          <w:p w14:paraId="515A2CA3"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P3</w:t>
            </w:r>
          </w:p>
        </w:tc>
        <w:tc>
          <w:tcPr>
            <w:tcW w:w="1275" w:type="dxa"/>
          </w:tcPr>
          <w:p w14:paraId="0B6F580A"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F</w:t>
            </w:r>
          </w:p>
        </w:tc>
        <w:tc>
          <w:tcPr>
            <w:tcW w:w="2552" w:type="dxa"/>
          </w:tcPr>
          <w:p w14:paraId="49911D8C"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2 years</w:t>
            </w:r>
          </w:p>
        </w:tc>
      </w:tr>
      <w:tr w:rsidR="00CC37C7" w:rsidRPr="002F5EF5" w14:paraId="4D241FDC" w14:textId="77777777" w:rsidTr="00512B2A">
        <w:tc>
          <w:tcPr>
            <w:tcW w:w="2693" w:type="dxa"/>
          </w:tcPr>
          <w:p w14:paraId="03BE33A7"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P4</w:t>
            </w:r>
          </w:p>
        </w:tc>
        <w:tc>
          <w:tcPr>
            <w:tcW w:w="1275" w:type="dxa"/>
          </w:tcPr>
          <w:p w14:paraId="32D03E73"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M</w:t>
            </w:r>
          </w:p>
        </w:tc>
        <w:tc>
          <w:tcPr>
            <w:tcW w:w="2552" w:type="dxa"/>
          </w:tcPr>
          <w:p w14:paraId="79F87EC4"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8 years</w:t>
            </w:r>
          </w:p>
        </w:tc>
      </w:tr>
      <w:tr w:rsidR="00CC37C7" w:rsidRPr="002F5EF5" w14:paraId="5FB1BF80" w14:textId="77777777" w:rsidTr="00512B2A">
        <w:tc>
          <w:tcPr>
            <w:tcW w:w="2693" w:type="dxa"/>
          </w:tcPr>
          <w:p w14:paraId="7DE72218"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P5</w:t>
            </w:r>
          </w:p>
        </w:tc>
        <w:tc>
          <w:tcPr>
            <w:tcW w:w="1275" w:type="dxa"/>
          </w:tcPr>
          <w:p w14:paraId="2713F77E"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M</w:t>
            </w:r>
          </w:p>
        </w:tc>
        <w:tc>
          <w:tcPr>
            <w:tcW w:w="2552" w:type="dxa"/>
          </w:tcPr>
          <w:p w14:paraId="440A7184"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5 years</w:t>
            </w:r>
          </w:p>
        </w:tc>
      </w:tr>
      <w:tr w:rsidR="00CC37C7" w:rsidRPr="002F5EF5" w14:paraId="4AB34AB7" w14:textId="77777777" w:rsidTr="00512B2A">
        <w:tc>
          <w:tcPr>
            <w:tcW w:w="2693" w:type="dxa"/>
          </w:tcPr>
          <w:p w14:paraId="410C7694"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P6</w:t>
            </w:r>
          </w:p>
        </w:tc>
        <w:tc>
          <w:tcPr>
            <w:tcW w:w="1275" w:type="dxa"/>
          </w:tcPr>
          <w:p w14:paraId="162DE6E2" w14:textId="77777777"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M</w:t>
            </w:r>
          </w:p>
        </w:tc>
        <w:tc>
          <w:tcPr>
            <w:tcW w:w="2552" w:type="dxa"/>
          </w:tcPr>
          <w:p w14:paraId="79FF1AC7" w14:textId="10A336D6" w:rsidR="00CC37C7" w:rsidRPr="002F5EF5" w:rsidRDefault="00EF3385"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10 years</w:t>
            </w:r>
          </w:p>
        </w:tc>
      </w:tr>
      <w:tr w:rsidR="00512B2A" w:rsidRPr="002F5EF5" w14:paraId="477411A3" w14:textId="77777777" w:rsidTr="00512B2A">
        <w:tc>
          <w:tcPr>
            <w:tcW w:w="2693" w:type="dxa"/>
          </w:tcPr>
          <w:p w14:paraId="7BF59EE6" w14:textId="186FB880" w:rsidR="00512B2A" w:rsidRPr="002F5EF5" w:rsidRDefault="00512B2A"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 xml:space="preserve">P7 </w:t>
            </w:r>
          </w:p>
        </w:tc>
        <w:tc>
          <w:tcPr>
            <w:tcW w:w="1275" w:type="dxa"/>
          </w:tcPr>
          <w:p w14:paraId="18DDCAF4" w14:textId="1105D687" w:rsidR="00512B2A" w:rsidRPr="002F5EF5" w:rsidRDefault="00512B2A"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F</w:t>
            </w:r>
          </w:p>
        </w:tc>
        <w:tc>
          <w:tcPr>
            <w:tcW w:w="2552" w:type="dxa"/>
          </w:tcPr>
          <w:p w14:paraId="0FBFAD9D" w14:textId="3B04F88F" w:rsidR="00512B2A" w:rsidRPr="002F5EF5" w:rsidRDefault="00512B2A" w:rsidP="00512B2A">
            <w:pPr>
              <w:spacing w:line="360" w:lineRule="auto"/>
              <w:jc w:val="center"/>
              <w:rPr>
                <w:rFonts w:ascii="Times New Roman" w:eastAsia="Times New Roman" w:hAnsi="Times New Roman" w:cs="Times New Roman"/>
                <w:sz w:val="22"/>
                <w:szCs w:val="22"/>
              </w:rPr>
            </w:pPr>
            <w:r w:rsidRPr="002F5EF5">
              <w:rPr>
                <w:rFonts w:ascii="Times New Roman" w:eastAsia="Times New Roman" w:hAnsi="Times New Roman" w:cs="Times New Roman"/>
                <w:sz w:val="22"/>
                <w:szCs w:val="22"/>
              </w:rPr>
              <w:t>5 years</w:t>
            </w:r>
          </w:p>
        </w:tc>
      </w:tr>
      <w:tr w:rsidR="00512B2A" w14:paraId="5DA1BCC5" w14:textId="77777777" w:rsidTr="00512B2A">
        <w:tc>
          <w:tcPr>
            <w:tcW w:w="2693" w:type="dxa"/>
            <w:tcBorders>
              <w:bottom w:val="single" w:sz="4" w:space="0" w:color="000000"/>
            </w:tcBorders>
          </w:tcPr>
          <w:p w14:paraId="5F8B8348" w14:textId="75B065E9" w:rsidR="00512B2A" w:rsidRDefault="00512B2A" w:rsidP="00512B2A">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P8 </w:t>
            </w:r>
          </w:p>
        </w:tc>
        <w:tc>
          <w:tcPr>
            <w:tcW w:w="1275" w:type="dxa"/>
            <w:tcBorders>
              <w:bottom w:val="single" w:sz="4" w:space="0" w:color="000000"/>
            </w:tcBorders>
          </w:tcPr>
          <w:p w14:paraId="06385333" w14:textId="12C2FAE6" w:rsidR="00512B2A" w:rsidRDefault="00512B2A" w:rsidP="00512B2A">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 </w:t>
            </w:r>
          </w:p>
        </w:tc>
        <w:tc>
          <w:tcPr>
            <w:tcW w:w="2552" w:type="dxa"/>
            <w:tcBorders>
              <w:bottom w:val="single" w:sz="4" w:space="0" w:color="000000"/>
            </w:tcBorders>
          </w:tcPr>
          <w:p w14:paraId="39DC9089" w14:textId="46815595" w:rsidR="00512B2A" w:rsidRDefault="00512B2A" w:rsidP="00512B2A">
            <w:pPr>
              <w:spacing w:line="360" w:lineRule="auto"/>
              <w:jc w:val="center"/>
              <w:rPr>
                <w:rFonts w:ascii="Times New Roman" w:eastAsia="Times New Roman" w:hAnsi="Times New Roman" w:cs="Times New Roman"/>
              </w:rPr>
            </w:pPr>
            <w:r>
              <w:rPr>
                <w:rFonts w:ascii="Times New Roman" w:eastAsia="Times New Roman" w:hAnsi="Times New Roman" w:cs="Times New Roman"/>
              </w:rPr>
              <w:t>3 years</w:t>
            </w:r>
          </w:p>
        </w:tc>
      </w:tr>
    </w:tbl>
    <w:p w14:paraId="503E79C6" w14:textId="77777777" w:rsidR="002F5EF5" w:rsidRDefault="002F5EF5">
      <w:pPr>
        <w:spacing w:line="276" w:lineRule="auto"/>
        <w:rPr>
          <w:rFonts w:ascii="Arial" w:eastAsia="Arial" w:hAnsi="Arial" w:cs="Arial"/>
          <w:b/>
          <w:bCs/>
          <w:sz w:val="22"/>
          <w:szCs w:val="22"/>
        </w:rPr>
      </w:pPr>
    </w:p>
    <w:p w14:paraId="5B462339" w14:textId="5F190471" w:rsidR="00CC37C7" w:rsidRPr="008639C1" w:rsidRDefault="00EF3385">
      <w:pPr>
        <w:spacing w:line="276" w:lineRule="auto"/>
        <w:rPr>
          <w:rFonts w:ascii="Arial" w:eastAsia="Arial" w:hAnsi="Arial" w:cs="Arial"/>
          <w:b/>
          <w:bCs/>
          <w:sz w:val="22"/>
          <w:szCs w:val="22"/>
        </w:rPr>
      </w:pPr>
      <w:r w:rsidRPr="008639C1">
        <w:rPr>
          <w:rFonts w:ascii="Arial" w:eastAsia="Arial" w:hAnsi="Arial" w:cs="Arial"/>
          <w:b/>
          <w:bCs/>
          <w:sz w:val="22"/>
          <w:szCs w:val="22"/>
        </w:rPr>
        <w:t>3.2 Theme 1: Care Under Strain</w:t>
      </w:r>
    </w:p>
    <w:p w14:paraId="3860D5CC" w14:textId="77777777" w:rsidR="00F324E3" w:rsidRPr="008639C1" w:rsidRDefault="00F324E3">
      <w:pPr>
        <w:spacing w:line="276" w:lineRule="auto"/>
        <w:rPr>
          <w:rFonts w:ascii="Arial" w:eastAsia="Arial" w:hAnsi="Arial" w:cs="Arial"/>
          <w:sz w:val="22"/>
          <w:szCs w:val="22"/>
        </w:rPr>
      </w:pPr>
    </w:p>
    <w:p w14:paraId="2CC22C42" w14:textId="75EDA1B0" w:rsidR="00CC37C7" w:rsidRPr="002F5EF5" w:rsidRDefault="00EF3385" w:rsidP="00F324E3">
      <w:pPr>
        <w:spacing w:line="276" w:lineRule="auto"/>
        <w:jc w:val="both"/>
        <w:rPr>
          <w:rFonts w:ascii="Arial" w:eastAsia="Arial" w:hAnsi="Arial" w:cs="Arial"/>
        </w:rPr>
      </w:pPr>
      <w:r w:rsidRPr="002F5EF5">
        <w:rPr>
          <w:rFonts w:ascii="Arial" w:eastAsia="Arial" w:hAnsi="Arial" w:cs="Arial"/>
        </w:rPr>
        <w:t xml:space="preserve">The participants identified caregiving in nursing homes as physically exhausting, emotionally draining, and highly demanding. Behavioral challenges among residents, such as agitation, aggression, and mood unpredictability, significantly contribute to the strain experienced by nurses. They emphasized that managing such behaviors requires patience, proper timing, and </w:t>
      </w:r>
      <w:r w:rsidRPr="002F5EF5">
        <w:rPr>
          <w:rFonts w:ascii="Arial" w:eastAsia="Arial" w:hAnsi="Arial" w:cs="Arial"/>
        </w:rPr>
        <w:lastRenderedPageBreak/>
        <w:t xml:space="preserve">emotional control, which often leads to fatigue and stress. In addition, communication barriers, staffing shortages, and lack of proper facilities further intensify these challenges. These factors affect not only the quality of care but also the well-being of nurses. “Combative man </w:t>
      </w:r>
      <w:proofErr w:type="spellStart"/>
      <w:r w:rsidRPr="002F5EF5">
        <w:rPr>
          <w:rFonts w:ascii="Arial" w:eastAsia="Arial" w:hAnsi="Arial" w:cs="Arial"/>
        </w:rPr>
        <w:t>siya</w:t>
      </w:r>
      <w:proofErr w:type="spellEnd"/>
      <w:r w:rsidRPr="002F5EF5">
        <w:rPr>
          <w:rFonts w:ascii="Arial" w:eastAsia="Arial" w:hAnsi="Arial" w:cs="Arial"/>
        </w:rPr>
        <w:t xml:space="preserve">… </w:t>
      </w:r>
      <w:proofErr w:type="spellStart"/>
      <w:r w:rsidRPr="002F5EF5">
        <w:rPr>
          <w:rFonts w:ascii="Arial" w:eastAsia="Arial" w:hAnsi="Arial" w:cs="Arial"/>
        </w:rPr>
        <w:t>dapat</w:t>
      </w:r>
      <w:proofErr w:type="spellEnd"/>
      <w:r w:rsidRPr="002F5EF5">
        <w:rPr>
          <w:rFonts w:ascii="Arial" w:eastAsia="Arial" w:hAnsi="Arial" w:cs="Arial"/>
        </w:rPr>
        <w:t xml:space="preserve"> </w:t>
      </w:r>
      <w:proofErr w:type="spellStart"/>
      <w:r w:rsidRPr="002F5EF5">
        <w:rPr>
          <w:rFonts w:ascii="Arial" w:eastAsia="Arial" w:hAnsi="Arial" w:cs="Arial"/>
        </w:rPr>
        <w:t>timingan</w:t>
      </w:r>
      <w:proofErr w:type="spellEnd"/>
      <w:r w:rsidRPr="002F5EF5">
        <w:rPr>
          <w:rFonts w:ascii="Arial" w:eastAsia="Arial" w:hAnsi="Arial" w:cs="Arial"/>
        </w:rPr>
        <w:t xml:space="preserve"> </w:t>
      </w:r>
      <w:proofErr w:type="spellStart"/>
      <w:r w:rsidRPr="002F5EF5">
        <w:rPr>
          <w:rFonts w:ascii="Arial" w:eastAsia="Arial" w:hAnsi="Arial" w:cs="Arial"/>
        </w:rPr>
        <w:t>mo</w:t>
      </w:r>
      <w:proofErr w:type="spellEnd"/>
      <w:r w:rsidRPr="002F5EF5">
        <w:rPr>
          <w:rFonts w:ascii="Arial" w:eastAsia="Arial" w:hAnsi="Arial" w:cs="Arial"/>
        </w:rPr>
        <w:t xml:space="preserve"> ang </w:t>
      </w:r>
      <w:proofErr w:type="spellStart"/>
      <w:r w:rsidRPr="002F5EF5">
        <w:rPr>
          <w:rFonts w:ascii="Arial" w:eastAsia="Arial" w:hAnsi="Arial" w:cs="Arial"/>
        </w:rPr>
        <w:t>iya</w:t>
      </w:r>
      <w:proofErr w:type="spellEnd"/>
      <w:r w:rsidRPr="002F5EF5">
        <w:rPr>
          <w:rFonts w:ascii="Arial" w:eastAsia="Arial" w:hAnsi="Arial" w:cs="Arial"/>
        </w:rPr>
        <w:t xml:space="preserve"> </w:t>
      </w:r>
      <w:proofErr w:type="spellStart"/>
      <w:r w:rsidRPr="002F5EF5">
        <w:rPr>
          <w:rFonts w:ascii="Arial" w:eastAsia="Arial" w:hAnsi="Arial" w:cs="Arial"/>
        </w:rPr>
        <w:t>nga</w:t>
      </w:r>
      <w:proofErr w:type="spellEnd"/>
      <w:r w:rsidRPr="002F5EF5">
        <w:rPr>
          <w:rFonts w:ascii="Arial" w:eastAsia="Arial" w:hAnsi="Arial" w:cs="Arial"/>
        </w:rPr>
        <w:t xml:space="preserve"> mood… </w:t>
      </w:r>
      <w:proofErr w:type="spellStart"/>
      <w:r w:rsidRPr="002F5EF5">
        <w:rPr>
          <w:rFonts w:ascii="Arial" w:eastAsia="Arial" w:hAnsi="Arial" w:cs="Arial"/>
        </w:rPr>
        <w:t>kapoy</w:t>
      </w:r>
      <w:proofErr w:type="spellEnd"/>
      <w:r w:rsidRPr="002F5EF5">
        <w:rPr>
          <w:rFonts w:ascii="Arial" w:eastAsia="Arial" w:hAnsi="Arial" w:cs="Arial"/>
        </w:rPr>
        <w:t xml:space="preserve"> </w:t>
      </w:r>
      <w:proofErr w:type="spellStart"/>
      <w:r w:rsidRPr="002F5EF5">
        <w:rPr>
          <w:rFonts w:ascii="Arial" w:eastAsia="Arial" w:hAnsi="Arial" w:cs="Arial"/>
        </w:rPr>
        <w:t>gid</w:t>
      </w:r>
      <w:proofErr w:type="spellEnd"/>
      <w:r w:rsidRPr="002F5EF5">
        <w:rPr>
          <w:rFonts w:ascii="Arial" w:eastAsia="Arial" w:hAnsi="Arial" w:cs="Arial"/>
        </w:rPr>
        <w:t xml:space="preserve"> </w:t>
      </w:r>
      <w:proofErr w:type="spellStart"/>
      <w:r w:rsidRPr="002F5EF5">
        <w:rPr>
          <w:rFonts w:ascii="Arial" w:eastAsia="Arial" w:hAnsi="Arial" w:cs="Arial"/>
        </w:rPr>
        <w:t>ya</w:t>
      </w:r>
      <w:proofErr w:type="spellEnd"/>
      <w:r w:rsidRPr="002F5EF5">
        <w:rPr>
          <w:rFonts w:ascii="Arial" w:eastAsia="Arial" w:hAnsi="Arial" w:cs="Arial"/>
        </w:rPr>
        <w:t xml:space="preserve">… </w:t>
      </w:r>
      <w:proofErr w:type="spellStart"/>
      <w:r w:rsidRPr="002F5EF5">
        <w:rPr>
          <w:rFonts w:ascii="Arial" w:eastAsia="Arial" w:hAnsi="Arial" w:cs="Arial"/>
        </w:rPr>
        <w:t>sakit</w:t>
      </w:r>
      <w:proofErr w:type="spellEnd"/>
      <w:r w:rsidRPr="002F5EF5">
        <w:rPr>
          <w:rFonts w:ascii="Arial" w:eastAsia="Arial" w:hAnsi="Arial" w:cs="Arial"/>
        </w:rPr>
        <w:t xml:space="preserve"> </w:t>
      </w:r>
      <w:proofErr w:type="spellStart"/>
      <w:r w:rsidRPr="002F5EF5">
        <w:rPr>
          <w:rFonts w:ascii="Arial" w:eastAsia="Arial" w:hAnsi="Arial" w:cs="Arial"/>
        </w:rPr>
        <w:t>lawas</w:t>
      </w:r>
      <w:proofErr w:type="spellEnd"/>
      <w:r w:rsidRPr="002F5EF5">
        <w:rPr>
          <w:rFonts w:ascii="Arial" w:eastAsia="Arial" w:hAnsi="Arial" w:cs="Arial"/>
        </w:rPr>
        <w:t xml:space="preserve"> mo.”</w:t>
      </w:r>
    </w:p>
    <w:p w14:paraId="30289EB1" w14:textId="77777777" w:rsidR="00CC37C7" w:rsidRPr="002F5EF5" w:rsidRDefault="00EF3385" w:rsidP="00F324E3">
      <w:pPr>
        <w:spacing w:line="276" w:lineRule="auto"/>
        <w:jc w:val="both"/>
        <w:rPr>
          <w:rFonts w:ascii="Arial" w:eastAsia="Arial" w:hAnsi="Arial" w:cs="Arial"/>
        </w:rPr>
      </w:pPr>
      <w:r w:rsidRPr="002F5EF5">
        <w:rPr>
          <w:rFonts w:ascii="Arial" w:eastAsia="Arial" w:hAnsi="Arial" w:cs="Arial"/>
        </w:rPr>
        <w:t xml:space="preserve">[He was combative… you had to time it according to his mood… it was really exhausting… your body would really hurt.] “Ikaw </w:t>
      </w:r>
      <w:proofErr w:type="spellStart"/>
      <w:r w:rsidRPr="002F5EF5">
        <w:rPr>
          <w:rFonts w:ascii="Arial" w:eastAsia="Arial" w:hAnsi="Arial" w:cs="Arial"/>
        </w:rPr>
        <w:t>lang</w:t>
      </w:r>
      <w:proofErr w:type="spellEnd"/>
      <w:r w:rsidRPr="002F5EF5">
        <w:rPr>
          <w:rFonts w:ascii="Arial" w:eastAsia="Arial" w:hAnsi="Arial" w:cs="Arial"/>
        </w:rPr>
        <w:t xml:space="preserve"> </w:t>
      </w:r>
      <w:proofErr w:type="spellStart"/>
      <w:r w:rsidRPr="002F5EF5">
        <w:rPr>
          <w:rFonts w:ascii="Arial" w:eastAsia="Arial" w:hAnsi="Arial" w:cs="Arial"/>
        </w:rPr>
        <w:t>isa</w:t>
      </w:r>
      <w:proofErr w:type="spellEnd"/>
      <w:r w:rsidRPr="002F5EF5">
        <w:rPr>
          <w:rFonts w:ascii="Arial" w:eastAsia="Arial" w:hAnsi="Arial" w:cs="Arial"/>
        </w:rPr>
        <w:t xml:space="preserve"> ang </w:t>
      </w:r>
      <w:proofErr w:type="spellStart"/>
      <w:r w:rsidRPr="002F5EF5">
        <w:rPr>
          <w:rFonts w:ascii="Arial" w:eastAsia="Arial" w:hAnsi="Arial" w:cs="Arial"/>
        </w:rPr>
        <w:t>ga</w:t>
      </w:r>
      <w:proofErr w:type="spellEnd"/>
      <w:r w:rsidRPr="002F5EF5">
        <w:rPr>
          <w:rFonts w:ascii="Arial" w:eastAsia="Arial" w:hAnsi="Arial" w:cs="Arial"/>
        </w:rPr>
        <w:t xml:space="preserve"> duty </w:t>
      </w:r>
      <w:proofErr w:type="spellStart"/>
      <w:r w:rsidRPr="002F5EF5">
        <w:rPr>
          <w:rFonts w:ascii="Arial" w:eastAsia="Arial" w:hAnsi="Arial" w:cs="Arial"/>
        </w:rPr>
        <w:t>nga</w:t>
      </w:r>
      <w:proofErr w:type="spellEnd"/>
      <w:r w:rsidRPr="002F5EF5">
        <w:rPr>
          <w:rFonts w:ascii="Arial" w:eastAsia="Arial" w:hAnsi="Arial" w:cs="Arial"/>
        </w:rPr>
        <w:t xml:space="preserve"> nurse </w:t>
      </w:r>
      <w:proofErr w:type="spellStart"/>
      <w:r w:rsidRPr="002F5EF5">
        <w:rPr>
          <w:rFonts w:ascii="Arial" w:eastAsia="Arial" w:hAnsi="Arial" w:cs="Arial"/>
        </w:rPr>
        <w:t>sa</w:t>
      </w:r>
      <w:proofErr w:type="spellEnd"/>
      <w:r w:rsidRPr="002F5EF5">
        <w:rPr>
          <w:rFonts w:ascii="Arial" w:eastAsia="Arial" w:hAnsi="Arial" w:cs="Arial"/>
        </w:rPr>
        <w:t xml:space="preserve"> 12 </w:t>
      </w:r>
      <w:proofErr w:type="spellStart"/>
      <w:r w:rsidRPr="002F5EF5">
        <w:rPr>
          <w:rFonts w:ascii="Arial" w:eastAsia="Arial" w:hAnsi="Arial" w:cs="Arial"/>
        </w:rPr>
        <w:t>nga</w:t>
      </w:r>
      <w:proofErr w:type="spellEnd"/>
      <w:r w:rsidRPr="002F5EF5">
        <w:rPr>
          <w:rFonts w:ascii="Arial" w:eastAsia="Arial" w:hAnsi="Arial" w:cs="Arial"/>
        </w:rPr>
        <w:t xml:space="preserve"> residents… </w:t>
      </w:r>
      <w:proofErr w:type="spellStart"/>
      <w:r w:rsidRPr="002F5EF5">
        <w:rPr>
          <w:rFonts w:ascii="Arial" w:eastAsia="Arial" w:hAnsi="Arial" w:cs="Arial"/>
        </w:rPr>
        <w:t>nd</w:t>
      </w:r>
      <w:proofErr w:type="spellEnd"/>
      <w:r w:rsidRPr="002F5EF5">
        <w:rPr>
          <w:rFonts w:ascii="Arial" w:eastAsia="Arial" w:hAnsi="Arial" w:cs="Arial"/>
        </w:rPr>
        <w:t xml:space="preserve"> </w:t>
      </w:r>
      <w:proofErr w:type="spellStart"/>
      <w:r w:rsidRPr="002F5EF5">
        <w:rPr>
          <w:rFonts w:ascii="Arial" w:eastAsia="Arial" w:hAnsi="Arial" w:cs="Arial"/>
        </w:rPr>
        <w:t>mo</w:t>
      </w:r>
      <w:proofErr w:type="spellEnd"/>
      <w:r w:rsidRPr="002F5EF5">
        <w:rPr>
          <w:rFonts w:ascii="Arial" w:eastAsia="Arial" w:hAnsi="Arial" w:cs="Arial"/>
        </w:rPr>
        <w:t xml:space="preserve"> ka mag </w:t>
      </w:r>
      <w:proofErr w:type="spellStart"/>
      <w:r w:rsidRPr="002F5EF5">
        <w:rPr>
          <w:rFonts w:ascii="Arial" w:eastAsia="Arial" w:hAnsi="Arial" w:cs="Arial"/>
        </w:rPr>
        <w:t>dungan</w:t>
      </w:r>
      <w:proofErr w:type="spellEnd"/>
      <w:r w:rsidRPr="002F5EF5">
        <w:rPr>
          <w:rFonts w:ascii="Arial" w:eastAsia="Arial" w:hAnsi="Arial" w:cs="Arial"/>
        </w:rPr>
        <w:t>.” [You are the only nurse on duty for 12 residents… you cannot do tasks at the same time.]</w:t>
      </w:r>
    </w:p>
    <w:p w14:paraId="215CC76A" w14:textId="77777777" w:rsidR="00CC37C7" w:rsidRPr="008639C1" w:rsidRDefault="00CC37C7">
      <w:pPr>
        <w:spacing w:line="276" w:lineRule="auto"/>
        <w:rPr>
          <w:rFonts w:ascii="Arial" w:eastAsia="Arial" w:hAnsi="Arial" w:cs="Arial"/>
          <w:sz w:val="22"/>
          <w:szCs w:val="22"/>
        </w:rPr>
      </w:pPr>
    </w:p>
    <w:p w14:paraId="7F5B028C" w14:textId="0E6747CB" w:rsidR="00CC37C7" w:rsidRPr="008639C1" w:rsidRDefault="00EF3385">
      <w:pPr>
        <w:spacing w:line="276" w:lineRule="auto"/>
        <w:rPr>
          <w:rFonts w:ascii="Arial" w:eastAsia="Arial" w:hAnsi="Arial" w:cs="Arial"/>
          <w:b/>
          <w:bCs/>
          <w:sz w:val="22"/>
          <w:szCs w:val="22"/>
        </w:rPr>
      </w:pPr>
      <w:r w:rsidRPr="008639C1">
        <w:rPr>
          <w:rFonts w:ascii="Arial" w:eastAsia="Arial" w:hAnsi="Arial" w:cs="Arial"/>
          <w:b/>
          <w:bCs/>
          <w:sz w:val="22"/>
          <w:szCs w:val="22"/>
        </w:rPr>
        <w:t>3.</w:t>
      </w:r>
      <w:r w:rsidR="00F324E3" w:rsidRPr="008639C1">
        <w:rPr>
          <w:rFonts w:ascii="Arial" w:eastAsia="Arial" w:hAnsi="Arial" w:cs="Arial"/>
          <w:b/>
          <w:bCs/>
          <w:sz w:val="22"/>
          <w:szCs w:val="22"/>
        </w:rPr>
        <w:t xml:space="preserve">3 </w:t>
      </w:r>
      <w:r w:rsidRPr="008639C1">
        <w:rPr>
          <w:rFonts w:ascii="Arial" w:eastAsia="Arial" w:hAnsi="Arial" w:cs="Arial"/>
          <w:b/>
          <w:bCs/>
          <w:sz w:val="22"/>
          <w:szCs w:val="22"/>
        </w:rPr>
        <w:t>Theme 2: Therapeutic Companionship</w:t>
      </w:r>
    </w:p>
    <w:p w14:paraId="41ACF1CD" w14:textId="77777777" w:rsidR="00F324E3" w:rsidRPr="008639C1" w:rsidRDefault="00F324E3">
      <w:pPr>
        <w:spacing w:line="276" w:lineRule="auto"/>
        <w:rPr>
          <w:rFonts w:ascii="Arial" w:eastAsia="Arial" w:hAnsi="Arial" w:cs="Arial"/>
          <w:sz w:val="22"/>
          <w:szCs w:val="22"/>
        </w:rPr>
      </w:pPr>
    </w:p>
    <w:p w14:paraId="617DBB47" w14:textId="0115F036" w:rsidR="00CC37C7" w:rsidRPr="002F5EF5" w:rsidRDefault="00EF3385" w:rsidP="00F324E3">
      <w:pPr>
        <w:spacing w:line="276" w:lineRule="auto"/>
        <w:jc w:val="both"/>
        <w:rPr>
          <w:rFonts w:ascii="Arial" w:eastAsia="Arial" w:hAnsi="Arial" w:cs="Arial"/>
        </w:rPr>
      </w:pPr>
      <w:r w:rsidRPr="002F5EF5">
        <w:rPr>
          <w:rFonts w:ascii="Arial" w:eastAsia="Arial" w:hAnsi="Arial" w:cs="Arial"/>
        </w:rPr>
        <w:t xml:space="preserve">The participants highlighted that companionship plays an essential role in nursing care, as they build emotional connections with elderly residents through compassion, patience, and empathy. Nurses described caregiving as rewarding, especially when residents express gratitude. They often treat residents like family members, which strengthens trust and emotional bonds. Consistent interaction, patience, and understanding of residents’ behaviors are necessary to maintain these relationships. Additionally, recreational and social activities are used to promote engagement and reduce loneliness. “Rewarding para </w:t>
      </w:r>
      <w:proofErr w:type="spellStart"/>
      <w:r w:rsidRPr="002F5EF5">
        <w:rPr>
          <w:rFonts w:ascii="Arial" w:eastAsia="Arial" w:hAnsi="Arial" w:cs="Arial"/>
        </w:rPr>
        <w:t>sa</w:t>
      </w:r>
      <w:proofErr w:type="spellEnd"/>
      <w:r w:rsidRPr="002F5EF5">
        <w:rPr>
          <w:rFonts w:ascii="Arial" w:eastAsia="Arial" w:hAnsi="Arial" w:cs="Arial"/>
        </w:rPr>
        <w:t xml:space="preserve"> </w:t>
      </w:r>
      <w:proofErr w:type="spellStart"/>
      <w:r w:rsidRPr="002F5EF5">
        <w:rPr>
          <w:rFonts w:ascii="Arial" w:eastAsia="Arial" w:hAnsi="Arial" w:cs="Arial"/>
        </w:rPr>
        <w:t>akon</w:t>
      </w:r>
      <w:proofErr w:type="spellEnd"/>
      <w:r w:rsidRPr="002F5EF5">
        <w:rPr>
          <w:rFonts w:ascii="Arial" w:eastAsia="Arial" w:hAnsi="Arial" w:cs="Arial"/>
        </w:rPr>
        <w:t xml:space="preserve"> ang smile </w:t>
      </w:r>
      <w:proofErr w:type="spellStart"/>
      <w:r w:rsidRPr="002F5EF5">
        <w:rPr>
          <w:rFonts w:ascii="Arial" w:eastAsia="Arial" w:hAnsi="Arial" w:cs="Arial"/>
        </w:rPr>
        <w:t>nila</w:t>
      </w:r>
      <w:proofErr w:type="spellEnd"/>
      <w:r w:rsidRPr="002F5EF5">
        <w:rPr>
          <w:rFonts w:ascii="Arial" w:eastAsia="Arial" w:hAnsi="Arial" w:cs="Arial"/>
        </w:rPr>
        <w:t xml:space="preserve"> </w:t>
      </w:r>
      <w:proofErr w:type="spellStart"/>
      <w:r w:rsidRPr="002F5EF5">
        <w:rPr>
          <w:rFonts w:ascii="Arial" w:eastAsia="Arial" w:hAnsi="Arial" w:cs="Arial"/>
        </w:rPr>
        <w:t>kag</w:t>
      </w:r>
      <w:proofErr w:type="spellEnd"/>
      <w:r w:rsidRPr="002F5EF5">
        <w:rPr>
          <w:rFonts w:ascii="Arial" w:eastAsia="Arial" w:hAnsi="Arial" w:cs="Arial"/>
        </w:rPr>
        <w:t xml:space="preserve"> thank you… </w:t>
      </w:r>
      <w:proofErr w:type="spellStart"/>
      <w:r w:rsidRPr="002F5EF5">
        <w:rPr>
          <w:rFonts w:ascii="Arial" w:eastAsia="Arial" w:hAnsi="Arial" w:cs="Arial"/>
        </w:rPr>
        <w:t>gina</w:t>
      </w:r>
      <w:proofErr w:type="spellEnd"/>
      <w:r w:rsidRPr="002F5EF5">
        <w:rPr>
          <w:rFonts w:ascii="Arial" w:eastAsia="Arial" w:hAnsi="Arial" w:cs="Arial"/>
        </w:rPr>
        <w:t xml:space="preserve"> consider </w:t>
      </w:r>
      <w:proofErr w:type="spellStart"/>
      <w:r w:rsidRPr="002F5EF5">
        <w:rPr>
          <w:rFonts w:ascii="Arial" w:eastAsia="Arial" w:hAnsi="Arial" w:cs="Arial"/>
        </w:rPr>
        <w:t>namon</w:t>
      </w:r>
      <w:proofErr w:type="spellEnd"/>
      <w:r w:rsidRPr="002F5EF5">
        <w:rPr>
          <w:rFonts w:ascii="Arial" w:eastAsia="Arial" w:hAnsi="Arial" w:cs="Arial"/>
        </w:rPr>
        <w:t xml:space="preserve"> </w:t>
      </w:r>
      <w:proofErr w:type="spellStart"/>
      <w:r w:rsidRPr="002F5EF5">
        <w:rPr>
          <w:rFonts w:ascii="Arial" w:eastAsia="Arial" w:hAnsi="Arial" w:cs="Arial"/>
        </w:rPr>
        <w:t>sila</w:t>
      </w:r>
      <w:proofErr w:type="spellEnd"/>
      <w:r w:rsidRPr="002F5EF5">
        <w:rPr>
          <w:rFonts w:ascii="Arial" w:eastAsia="Arial" w:hAnsi="Arial" w:cs="Arial"/>
        </w:rPr>
        <w:t xml:space="preserve"> </w:t>
      </w:r>
      <w:proofErr w:type="spellStart"/>
      <w:r w:rsidRPr="002F5EF5">
        <w:rPr>
          <w:rFonts w:ascii="Arial" w:eastAsia="Arial" w:hAnsi="Arial" w:cs="Arial"/>
        </w:rPr>
        <w:t>nga</w:t>
      </w:r>
      <w:proofErr w:type="spellEnd"/>
      <w:r w:rsidRPr="002F5EF5">
        <w:rPr>
          <w:rFonts w:ascii="Arial" w:eastAsia="Arial" w:hAnsi="Arial" w:cs="Arial"/>
        </w:rPr>
        <w:t xml:space="preserve"> family.”</w:t>
      </w:r>
    </w:p>
    <w:p w14:paraId="2F868DE7" w14:textId="77777777" w:rsidR="00CC37C7" w:rsidRPr="002F5EF5" w:rsidRDefault="00EF3385" w:rsidP="00F324E3">
      <w:pPr>
        <w:spacing w:line="276" w:lineRule="auto"/>
        <w:jc w:val="both"/>
        <w:rPr>
          <w:rFonts w:ascii="Arial" w:eastAsia="Arial" w:hAnsi="Arial" w:cs="Arial"/>
        </w:rPr>
      </w:pPr>
      <w:r w:rsidRPr="002F5EF5">
        <w:rPr>
          <w:rFonts w:ascii="Arial" w:eastAsia="Arial" w:hAnsi="Arial" w:cs="Arial"/>
        </w:rPr>
        <w:t xml:space="preserve">[Seeing their smiles and hearing their thank you is rewarding for me… we consider them as family.] “Gina connect </w:t>
      </w:r>
      <w:proofErr w:type="spellStart"/>
      <w:r w:rsidRPr="002F5EF5">
        <w:rPr>
          <w:rFonts w:ascii="Arial" w:eastAsia="Arial" w:hAnsi="Arial" w:cs="Arial"/>
        </w:rPr>
        <w:t>namon</w:t>
      </w:r>
      <w:proofErr w:type="spellEnd"/>
      <w:r w:rsidRPr="002F5EF5">
        <w:rPr>
          <w:rFonts w:ascii="Arial" w:eastAsia="Arial" w:hAnsi="Arial" w:cs="Arial"/>
        </w:rPr>
        <w:t xml:space="preserve"> </w:t>
      </w:r>
      <w:proofErr w:type="spellStart"/>
      <w:r w:rsidRPr="002F5EF5">
        <w:rPr>
          <w:rFonts w:ascii="Arial" w:eastAsia="Arial" w:hAnsi="Arial" w:cs="Arial"/>
        </w:rPr>
        <w:t>adlaw</w:t>
      </w:r>
      <w:proofErr w:type="spellEnd"/>
      <w:r w:rsidRPr="002F5EF5">
        <w:rPr>
          <w:rFonts w:ascii="Arial" w:eastAsia="Arial" w:hAnsi="Arial" w:cs="Arial"/>
        </w:rPr>
        <w:t xml:space="preserve"> </w:t>
      </w:r>
      <w:proofErr w:type="spellStart"/>
      <w:r w:rsidRPr="002F5EF5">
        <w:rPr>
          <w:rFonts w:ascii="Arial" w:eastAsia="Arial" w:hAnsi="Arial" w:cs="Arial"/>
        </w:rPr>
        <w:t>adlaw</w:t>
      </w:r>
      <w:proofErr w:type="spellEnd"/>
      <w:r w:rsidRPr="002F5EF5">
        <w:rPr>
          <w:rFonts w:ascii="Arial" w:eastAsia="Arial" w:hAnsi="Arial" w:cs="Arial"/>
        </w:rPr>
        <w:t xml:space="preserve"> para </w:t>
      </w:r>
      <w:proofErr w:type="spellStart"/>
      <w:r w:rsidRPr="002F5EF5">
        <w:rPr>
          <w:rFonts w:ascii="Arial" w:eastAsia="Arial" w:hAnsi="Arial" w:cs="Arial"/>
        </w:rPr>
        <w:t>makwa</w:t>
      </w:r>
      <w:proofErr w:type="spellEnd"/>
      <w:r w:rsidRPr="002F5EF5">
        <w:rPr>
          <w:rFonts w:ascii="Arial" w:eastAsia="Arial" w:hAnsi="Arial" w:cs="Arial"/>
        </w:rPr>
        <w:t xml:space="preserve"> </w:t>
      </w:r>
      <w:proofErr w:type="spellStart"/>
      <w:r w:rsidRPr="002F5EF5">
        <w:rPr>
          <w:rFonts w:ascii="Arial" w:eastAsia="Arial" w:hAnsi="Arial" w:cs="Arial"/>
        </w:rPr>
        <w:t>namon</w:t>
      </w:r>
      <w:proofErr w:type="spellEnd"/>
      <w:r w:rsidRPr="002F5EF5">
        <w:rPr>
          <w:rFonts w:ascii="Arial" w:eastAsia="Arial" w:hAnsi="Arial" w:cs="Arial"/>
        </w:rPr>
        <w:t xml:space="preserve"> </w:t>
      </w:r>
      <w:proofErr w:type="spellStart"/>
      <w:r w:rsidRPr="002F5EF5">
        <w:rPr>
          <w:rFonts w:ascii="Arial" w:eastAsia="Arial" w:hAnsi="Arial" w:cs="Arial"/>
        </w:rPr>
        <w:t>iya</w:t>
      </w:r>
      <w:proofErr w:type="spellEnd"/>
      <w:r w:rsidRPr="002F5EF5">
        <w:rPr>
          <w:rFonts w:ascii="Arial" w:eastAsia="Arial" w:hAnsi="Arial" w:cs="Arial"/>
        </w:rPr>
        <w:t xml:space="preserve"> </w:t>
      </w:r>
      <w:proofErr w:type="spellStart"/>
      <w:r w:rsidRPr="002F5EF5">
        <w:rPr>
          <w:rFonts w:ascii="Arial" w:eastAsia="Arial" w:hAnsi="Arial" w:cs="Arial"/>
        </w:rPr>
        <w:t>salig</w:t>
      </w:r>
      <w:proofErr w:type="spellEnd"/>
      <w:r w:rsidRPr="002F5EF5">
        <w:rPr>
          <w:rFonts w:ascii="Arial" w:eastAsia="Arial" w:hAnsi="Arial" w:cs="Arial"/>
        </w:rPr>
        <w:t>.”</w:t>
      </w:r>
    </w:p>
    <w:p w14:paraId="57FE9B1A" w14:textId="77777777" w:rsidR="00CC37C7" w:rsidRPr="002F5EF5" w:rsidRDefault="00EF3385" w:rsidP="00F324E3">
      <w:pPr>
        <w:spacing w:line="276" w:lineRule="auto"/>
        <w:jc w:val="both"/>
        <w:rPr>
          <w:rFonts w:ascii="Arial" w:eastAsia="Arial" w:hAnsi="Arial" w:cs="Arial"/>
        </w:rPr>
      </w:pPr>
      <w:r w:rsidRPr="002F5EF5">
        <w:rPr>
          <w:rFonts w:ascii="Arial" w:eastAsia="Arial" w:hAnsi="Arial" w:cs="Arial"/>
        </w:rPr>
        <w:t>[We connect with them every day so that we can gain their trust.]</w:t>
      </w:r>
    </w:p>
    <w:p w14:paraId="5D911986" w14:textId="77777777" w:rsidR="00CC37C7" w:rsidRPr="002F5EF5" w:rsidRDefault="00CC37C7">
      <w:pPr>
        <w:spacing w:line="276" w:lineRule="auto"/>
        <w:rPr>
          <w:rFonts w:ascii="Arial" w:eastAsia="Arial" w:hAnsi="Arial" w:cs="Arial"/>
        </w:rPr>
      </w:pPr>
    </w:p>
    <w:p w14:paraId="228D04CB" w14:textId="27BDD2F1" w:rsidR="00CC37C7" w:rsidRPr="008639C1" w:rsidRDefault="00EF3385">
      <w:pPr>
        <w:spacing w:line="276" w:lineRule="auto"/>
        <w:rPr>
          <w:rFonts w:ascii="Arial" w:eastAsia="Arial" w:hAnsi="Arial" w:cs="Arial"/>
          <w:b/>
          <w:bCs/>
          <w:sz w:val="22"/>
          <w:szCs w:val="22"/>
        </w:rPr>
      </w:pPr>
      <w:r w:rsidRPr="008639C1">
        <w:rPr>
          <w:rFonts w:ascii="Arial" w:eastAsia="Arial" w:hAnsi="Arial" w:cs="Arial"/>
          <w:b/>
          <w:bCs/>
          <w:sz w:val="22"/>
          <w:szCs w:val="22"/>
        </w:rPr>
        <w:t>3.</w:t>
      </w:r>
      <w:r w:rsidR="00F324E3" w:rsidRPr="008639C1">
        <w:rPr>
          <w:rFonts w:ascii="Arial" w:eastAsia="Arial" w:hAnsi="Arial" w:cs="Arial"/>
          <w:b/>
          <w:bCs/>
          <w:sz w:val="22"/>
          <w:szCs w:val="22"/>
        </w:rPr>
        <w:t>4</w:t>
      </w:r>
      <w:r w:rsidRPr="008639C1">
        <w:rPr>
          <w:rFonts w:ascii="Arial" w:eastAsia="Arial" w:hAnsi="Arial" w:cs="Arial"/>
          <w:b/>
          <w:bCs/>
          <w:sz w:val="22"/>
          <w:szCs w:val="22"/>
        </w:rPr>
        <w:t xml:space="preserve"> Theme 3: Compassionate Communication</w:t>
      </w:r>
    </w:p>
    <w:p w14:paraId="6771F188" w14:textId="77777777" w:rsidR="00F324E3" w:rsidRPr="008639C1" w:rsidRDefault="00F324E3">
      <w:pPr>
        <w:spacing w:line="276" w:lineRule="auto"/>
        <w:rPr>
          <w:rFonts w:ascii="Arial" w:eastAsia="Arial" w:hAnsi="Arial" w:cs="Arial"/>
          <w:sz w:val="22"/>
          <w:szCs w:val="22"/>
        </w:rPr>
      </w:pPr>
    </w:p>
    <w:p w14:paraId="16FDB4CB" w14:textId="44255670" w:rsidR="00CC37C7" w:rsidRPr="002F5EF5" w:rsidRDefault="00EF3385" w:rsidP="00F324E3">
      <w:pPr>
        <w:spacing w:line="276" w:lineRule="auto"/>
        <w:jc w:val="both"/>
        <w:rPr>
          <w:rFonts w:ascii="Arial" w:eastAsia="Arial" w:hAnsi="Arial" w:cs="Arial"/>
        </w:rPr>
      </w:pPr>
      <w:r w:rsidRPr="002F5EF5">
        <w:rPr>
          <w:rFonts w:ascii="Arial" w:eastAsia="Arial" w:hAnsi="Arial" w:cs="Arial"/>
        </w:rPr>
        <w:t>The participants emphasized the importance of using compassionate and therapeutic communication when caring for elderly residents, especially those with cognitive impairment. They explained that simple language, repetition, and nonverbal cues are necessary to ensure understanding and cooperation. Nurses also use reorientation techniques to help residents remain aware of time, place, and situation. Instead of confronting negative behaviors, they gently redirect residents to calming activities. These approaches help maintain dignity and create a supportive environment. “</w:t>
      </w:r>
      <w:proofErr w:type="spellStart"/>
      <w:r w:rsidRPr="002F5EF5">
        <w:rPr>
          <w:rFonts w:ascii="Arial" w:eastAsia="Arial" w:hAnsi="Arial" w:cs="Arial"/>
        </w:rPr>
        <w:t>Tubang</w:t>
      </w:r>
      <w:proofErr w:type="spellEnd"/>
      <w:r w:rsidRPr="002F5EF5">
        <w:rPr>
          <w:rFonts w:ascii="Arial" w:eastAsia="Arial" w:hAnsi="Arial" w:cs="Arial"/>
        </w:rPr>
        <w:t xml:space="preserve"> </w:t>
      </w:r>
      <w:proofErr w:type="spellStart"/>
      <w:r w:rsidRPr="002F5EF5">
        <w:rPr>
          <w:rFonts w:ascii="Arial" w:eastAsia="Arial" w:hAnsi="Arial" w:cs="Arial"/>
        </w:rPr>
        <w:t>dapat</w:t>
      </w:r>
      <w:proofErr w:type="spellEnd"/>
      <w:r w:rsidRPr="002F5EF5">
        <w:rPr>
          <w:rFonts w:ascii="Arial" w:eastAsia="Arial" w:hAnsi="Arial" w:cs="Arial"/>
        </w:rPr>
        <w:t xml:space="preserve"> </w:t>
      </w:r>
      <w:proofErr w:type="spellStart"/>
      <w:r w:rsidRPr="002F5EF5">
        <w:rPr>
          <w:rFonts w:ascii="Arial" w:eastAsia="Arial" w:hAnsi="Arial" w:cs="Arial"/>
        </w:rPr>
        <w:t>hambalin</w:t>
      </w:r>
      <w:proofErr w:type="spellEnd"/>
      <w:r w:rsidRPr="002F5EF5">
        <w:rPr>
          <w:rFonts w:ascii="Arial" w:eastAsia="Arial" w:hAnsi="Arial" w:cs="Arial"/>
        </w:rPr>
        <w:t xml:space="preserve"> </w:t>
      </w:r>
      <w:proofErr w:type="spellStart"/>
      <w:r w:rsidRPr="002F5EF5">
        <w:rPr>
          <w:rFonts w:ascii="Arial" w:eastAsia="Arial" w:hAnsi="Arial" w:cs="Arial"/>
        </w:rPr>
        <w:t>mo</w:t>
      </w:r>
      <w:proofErr w:type="spellEnd"/>
      <w:r w:rsidRPr="002F5EF5">
        <w:rPr>
          <w:rFonts w:ascii="Arial" w:eastAsia="Arial" w:hAnsi="Arial" w:cs="Arial"/>
        </w:rPr>
        <w:t xml:space="preserve">… </w:t>
      </w:r>
      <w:proofErr w:type="spellStart"/>
      <w:r w:rsidRPr="002F5EF5">
        <w:rPr>
          <w:rFonts w:ascii="Arial" w:eastAsia="Arial" w:hAnsi="Arial" w:cs="Arial"/>
        </w:rPr>
        <w:t>dapat</w:t>
      </w:r>
      <w:proofErr w:type="spellEnd"/>
      <w:r w:rsidRPr="002F5EF5">
        <w:rPr>
          <w:rFonts w:ascii="Arial" w:eastAsia="Arial" w:hAnsi="Arial" w:cs="Arial"/>
        </w:rPr>
        <w:t xml:space="preserve"> </w:t>
      </w:r>
      <w:proofErr w:type="spellStart"/>
      <w:r w:rsidRPr="002F5EF5">
        <w:rPr>
          <w:rFonts w:ascii="Arial" w:eastAsia="Arial" w:hAnsi="Arial" w:cs="Arial"/>
        </w:rPr>
        <w:t>iexplain</w:t>
      </w:r>
      <w:proofErr w:type="spellEnd"/>
      <w:r w:rsidRPr="002F5EF5">
        <w:rPr>
          <w:rFonts w:ascii="Arial" w:eastAsia="Arial" w:hAnsi="Arial" w:cs="Arial"/>
        </w:rPr>
        <w:t xml:space="preserve"> </w:t>
      </w:r>
      <w:proofErr w:type="spellStart"/>
      <w:r w:rsidRPr="002F5EF5">
        <w:rPr>
          <w:rFonts w:ascii="Arial" w:eastAsia="Arial" w:hAnsi="Arial" w:cs="Arial"/>
        </w:rPr>
        <w:t>mo</w:t>
      </w:r>
      <w:proofErr w:type="spellEnd"/>
      <w:r w:rsidRPr="002F5EF5">
        <w:rPr>
          <w:rFonts w:ascii="Arial" w:eastAsia="Arial" w:hAnsi="Arial" w:cs="Arial"/>
        </w:rPr>
        <w:t xml:space="preserve"> </w:t>
      </w:r>
      <w:proofErr w:type="spellStart"/>
      <w:r w:rsidRPr="002F5EF5">
        <w:rPr>
          <w:rFonts w:ascii="Arial" w:eastAsia="Arial" w:hAnsi="Arial" w:cs="Arial"/>
        </w:rPr>
        <w:t>gid</w:t>
      </w:r>
      <w:proofErr w:type="spellEnd"/>
      <w:r w:rsidRPr="002F5EF5">
        <w:rPr>
          <w:rFonts w:ascii="Arial" w:eastAsia="Arial" w:hAnsi="Arial" w:cs="Arial"/>
        </w:rPr>
        <w:t xml:space="preserve"> </w:t>
      </w:r>
      <w:proofErr w:type="spellStart"/>
      <w:r w:rsidRPr="002F5EF5">
        <w:rPr>
          <w:rFonts w:ascii="Arial" w:eastAsia="Arial" w:hAnsi="Arial" w:cs="Arial"/>
        </w:rPr>
        <w:t>tanan</w:t>
      </w:r>
      <w:proofErr w:type="spellEnd"/>
      <w:r w:rsidRPr="002F5EF5">
        <w:rPr>
          <w:rFonts w:ascii="Arial" w:eastAsia="Arial" w:hAnsi="Arial" w:cs="Arial"/>
        </w:rPr>
        <w:t xml:space="preserve"> </w:t>
      </w:r>
      <w:proofErr w:type="spellStart"/>
      <w:r w:rsidRPr="002F5EF5">
        <w:rPr>
          <w:rFonts w:ascii="Arial" w:eastAsia="Arial" w:hAnsi="Arial" w:cs="Arial"/>
        </w:rPr>
        <w:t>asta</w:t>
      </w:r>
      <w:proofErr w:type="spellEnd"/>
      <w:r w:rsidRPr="002F5EF5">
        <w:rPr>
          <w:rFonts w:ascii="Arial" w:eastAsia="Arial" w:hAnsi="Arial" w:cs="Arial"/>
        </w:rPr>
        <w:t xml:space="preserve"> ma </w:t>
      </w:r>
      <w:proofErr w:type="spellStart"/>
      <w:r w:rsidRPr="002F5EF5">
        <w:rPr>
          <w:rFonts w:ascii="Arial" w:eastAsia="Arial" w:hAnsi="Arial" w:cs="Arial"/>
        </w:rPr>
        <w:t>intindihan</w:t>
      </w:r>
      <w:proofErr w:type="spellEnd"/>
      <w:r w:rsidRPr="002F5EF5">
        <w:rPr>
          <w:rFonts w:ascii="Arial" w:eastAsia="Arial" w:hAnsi="Arial" w:cs="Arial"/>
        </w:rPr>
        <w:t xml:space="preserve"> </w:t>
      </w:r>
      <w:proofErr w:type="spellStart"/>
      <w:r w:rsidRPr="002F5EF5">
        <w:rPr>
          <w:rFonts w:ascii="Arial" w:eastAsia="Arial" w:hAnsi="Arial" w:cs="Arial"/>
        </w:rPr>
        <w:t>ya</w:t>
      </w:r>
      <w:proofErr w:type="spellEnd"/>
      <w:r w:rsidRPr="002F5EF5">
        <w:rPr>
          <w:rFonts w:ascii="Arial" w:eastAsia="Arial" w:hAnsi="Arial" w:cs="Arial"/>
        </w:rPr>
        <w:t xml:space="preserve">.” [You have to face them and explain everything until they understand.] “Gina </w:t>
      </w:r>
      <w:proofErr w:type="spellStart"/>
      <w:r w:rsidRPr="002F5EF5">
        <w:rPr>
          <w:rFonts w:ascii="Arial" w:eastAsia="Arial" w:hAnsi="Arial" w:cs="Arial"/>
        </w:rPr>
        <w:t>ubra</w:t>
      </w:r>
      <w:proofErr w:type="spellEnd"/>
      <w:r w:rsidRPr="002F5EF5">
        <w:rPr>
          <w:rFonts w:ascii="Arial" w:eastAsia="Arial" w:hAnsi="Arial" w:cs="Arial"/>
        </w:rPr>
        <w:t xml:space="preserve"> </w:t>
      </w:r>
      <w:proofErr w:type="spellStart"/>
      <w:r w:rsidRPr="002F5EF5">
        <w:rPr>
          <w:rFonts w:ascii="Arial" w:eastAsia="Arial" w:hAnsi="Arial" w:cs="Arial"/>
        </w:rPr>
        <w:t>namon</w:t>
      </w:r>
      <w:proofErr w:type="spellEnd"/>
      <w:r w:rsidRPr="002F5EF5">
        <w:rPr>
          <w:rFonts w:ascii="Arial" w:eastAsia="Arial" w:hAnsi="Arial" w:cs="Arial"/>
        </w:rPr>
        <w:t xml:space="preserve"> </w:t>
      </w:r>
      <w:proofErr w:type="spellStart"/>
      <w:r w:rsidRPr="002F5EF5">
        <w:rPr>
          <w:rFonts w:ascii="Arial" w:eastAsia="Arial" w:hAnsi="Arial" w:cs="Arial"/>
        </w:rPr>
        <w:t>sa</w:t>
      </w:r>
      <w:proofErr w:type="spellEnd"/>
      <w:r w:rsidRPr="002F5EF5">
        <w:rPr>
          <w:rFonts w:ascii="Arial" w:eastAsia="Arial" w:hAnsi="Arial" w:cs="Arial"/>
        </w:rPr>
        <w:t xml:space="preserve"> </w:t>
      </w:r>
      <w:proofErr w:type="spellStart"/>
      <w:r w:rsidRPr="002F5EF5">
        <w:rPr>
          <w:rFonts w:ascii="Arial" w:eastAsia="Arial" w:hAnsi="Arial" w:cs="Arial"/>
        </w:rPr>
        <w:t>ila</w:t>
      </w:r>
      <w:proofErr w:type="spellEnd"/>
      <w:r w:rsidRPr="002F5EF5">
        <w:rPr>
          <w:rFonts w:ascii="Arial" w:eastAsia="Arial" w:hAnsi="Arial" w:cs="Arial"/>
        </w:rPr>
        <w:t xml:space="preserve"> is </w:t>
      </w:r>
      <w:proofErr w:type="spellStart"/>
      <w:r w:rsidRPr="002F5EF5">
        <w:rPr>
          <w:rFonts w:ascii="Arial" w:eastAsia="Arial" w:hAnsi="Arial" w:cs="Arial"/>
        </w:rPr>
        <w:t>i</w:t>
      </w:r>
      <w:proofErr w:type="spellEnd"/>
      <w:r w:rsidRPr="002F5EF5">
        <w:rPr>
          <w:rFonts w:ascii="Arial" w:eastAsia="Arial" w:hAnsi="Arial" w:cs="Arial"/>
        </w:rPr>
        <w:t xml:space="preserve">-reorient </w:t>
      </w:r>
      <w:proofErr w:type="spellStart"/>
      <w:r w:rsidRPr="002F5EF5">
        <w:rPr>
          <w:rFonts w:ascii="Arial" w:eastAsia="Arial" w:hAnsi="Arial" w:cs="Arial"/>
        </w:rPr>
        <w:t>sila</w:t>
      </w:r>
      <w:proofErr w:type="spellEnd"/>
      <w:r w:rsidRPr="002F5EF5">
        <w:rPr>
          <w:rFonts w:ascii="Arial" w:eastAsia="Arial" w:hAnsi="Arial" w:cs="Arial"/>
        </w:rPr>
        <w:t xml:space="preserve"> </w:t>
      </w:r>
      <w:proofErr w:type="spellStart"/>
      <w:r w:rsidRPr="002F5EF5">
        <w:rPr>
          <w:rFonts w:ascii="Arial" w:eastAsia="Arial" w:hAnsi="Arial" w:cs="Arial"/>
        </w:rPr>
        <w:t>sa</w:t>
      </w:r>
      <w:proofErr w:type="spellEnd"/>
      <w:r w:rsidRPr="002F5EF5">
        <w:rPr>
          <w:rFonts w:ascii="Arial" w:eastAsia="Arial" w:hAnsi="Arial" w:cs="Arial"/>
        </w:rPr>
        <w:t xml:space="preserve"> time or day </w:t>
      </w:r>
      <w:proofErr w:type="spellStart"/>
      <w:r w:rsidRPr="002F5EF5">
        <w:rPr>
          <w:rFonts w:ascii="Arial" w:eastAsia="Arial" w:hAnsi="Arial" w:cs="Arial"/>
        </w:rPr>
        <w:t>kag</w:t>
      </w:r>
      <w:proofErr w:type="spellEnd"/>
      <w:r w:rsidRPr="002F5EF5">
        <w:rPr>
          <w:rFonts w:ascii="Arial" w:eastAsia="Arial" w:hAnsi="Arial" w:cs="Arial"/>
        </w:rPr>
        <w:t xml:space="preserve"> year.” [What we do is reorient them to the time, day, and year.]</w:t>
      </w:r>
    </w:p>
    <w:p w14:paraId="1E0D8971" w14:textId="77777777" w:rsidR="00CC37C7" w:rsidRPr="008639C1" w:rsidRDefault="00CC37C7">
      <w:pPr>
        <w:spacing w:line="276" w:lineRule="auto"/>
        <w:rPr>
          <w:rFonts w:ascii="Arial" w:eastAsia="Arial" w:hAnsi="Arial" w:cs="Arial"/>
          <w:sz w:val="22"/>
          <w:szCs w:val="22"/>
        </w:rPr>
      </w:pPr>
    </w:p>
    <w:p w14:paraId="085E88A6" w14:textId="6FF5301D" w:rsidR="00CC37C7" w:rsidRPr="008639C1" w:rsidRDefault="00EF3385">
      <w:pPr>
        <w:spacing w:line="276" w:lineRule="auto"/>
        <w:rPr>
          <w:rFonts w:ascii="Arial" w:eastAsia="Arial" w:hAnsi="Arial" w:cs="Arial"/>
          <w:b/>
          <w:bCs/>
          <w:sz w:val="22"/>
          <w:szCs w:val="22"/>
        </w:rPr>
      </w:pPr>
      <w:r w:rsidRPr="008639C1">
        <w:rPr>
          <w:rFonts w:ascii="Arial" w:eastAsia="Arial" w:hAnsi="Arial" w:cs="Arial"/>
          <w:b/>
          <w:bCs/>
          <w:sz w:val="22"/>
          <w:szCs w:val="22"/>
        </w:rPr>
        <w:t>3.</w:t>
      </w:r>
      <w:r w:rsidR="00F324E3" w:rsidRPr="008639C1">
        <w:rPr>
          <w:rFonts w:ascii="Arial" w:eastAsia="Arial" w:hAnsi="Arial" w:cs="Arial"/>
          <w:b/>
          <w:bCs/>
          <w:sz w:val="22"/>
          <w:szCs w:val="22"/>
        </w:rPr>
        <w:t>5</w:t>
      </w:r>
      <w:r w:rsidRPr="008639C1">
        <w:rPr>
          <w:rFonts w:ascii="Arial" w:eastAsia="Arial" w:hAnsi="Arial" w:cs="Arial"/>
          <w:b/>
          <w:bCs/>
          <w:sz w:val="22"/>
          <w:szCs w:val="22"/>
        </w:rPr>
        <w:t xml:space="preserve"> Theme 4: The Reward of Compassion</w:t>
      </w:r>
    </w:p>
    <w:p w14:paraId="407B8753" w14:textId="77777777" w:rsidR="007F23F3" w:rsidRPr="008639C1" w:rsidRDefault="007F23F3" w:rsidP="00F324E3">
      <w:pPr>
        <w:spacing w:line="276" w:lineRule="auto"/>
        <w:jc w:val="both"/>
        <w:rPr>
          <w:rFonts w:ascii="Arial" w:eastAsia="Arial" w:hAnsi="Arial" w:cs="Arial"/>
          <w:sz w:val="22"/>
          <w:szCs w:val="22"/>
        </w:rPr>
      </w:pPr>
    </w:p>
    <w:p w14:paraId="60AE548B" w14:textId="6C4F7D01" w:rsidR="00CC37C7" w:rsidRPr="002F5EF5" w:rsidRDefault="00EF3385" w:rsidP="00F324E3">
      <w:pPr>
        <w:spacing w:line="276" w:lineRule="auto"/>
        <w:jc w:val="both"/>
        <w:rPr>
          <w:rFonts w:ascii="Arial" w:eastAsia="Arial" w:hAnsi="Arial" w:cs="Arial"/>
        </w:rPr>
      </w:pPr>
      <w:r w:rsidRPr="002F5EF5">
        <w:rPr>
          <w:rFonts w:ascii="Arial" w:eastAsia="Arial" w:hAnsi="Arial" w:cs="Arial"/>
        </w:rPr>
        <w:t xml:space="preserve">The participants described nursing in nursing homes as a source of personal fulfillment and emotional reward. Despite the challenges, they expressed happiness and satisfaction in their work, especially when residents show appreciation. Caring for the elderly gives them a sense of purpose and reinforces their commitment to serve others. They also view their experiences as valuable for personal and professional growth. “Lain </w:t>
      </w:r>
      <w:proofErr w:type="spellStart"/>
      <w:r w:rsidRPr="002F5EF5">
        <w:rPr>
          <w:rFonts w:ascii="Arial" w:eastAsia="Arial" w:hAnsi="Arial" w:cs="Arial"/>
        </w:rPr>
        <w:t>gid</w:t>
      </w:r>
      <w:proofErr w:type="spellEnd"/>
      <w:r w:rsidRPr="002F5EF5">
        <w:rPr>
          <w:rFonts w:ascii="Arial" w:eastAsia="Arial" w:hAnsi="Arial" w:cs="Arial"/>
        </w:rPr>
        <w:t xml:space="preserve"> </w:t>
      </w:r>
      <w:proofErr w:type="spellStart"/>
      <w:r w:rsidRPr="002F5EF5">
        <w:rPr>
          <w:rFonts w:ascii="Arial" w:eastAsia="Arial" w:hAnsi="Arial" w:cs="Arial"/>
        </w:rPr>
        <w:t>ya</w:t>
      </w:r>
      <w:proofErr w:type="spellEnd"/>
      <w:r w:rsidRPr="002F5EF5">
        <w:rPr>
          <w:rFonts w:ascii="Arial" w:eastAsia="Arial" w:hAnsi="Arial" w:cs="Arial"/>
        </w:rPr>
        <w:t xml:space="preserve"> kung </w:t>
      </w:r>
      <w:proofErr w:type="spellStart"/>
      <w:r w:rsidRPr="002F5EF5">
        <w:rPr>
          <w:rFonts w:ascii="Arial" w:eastAsia="Arial" w:hAnsi="Arial" w:cs="Arial"/>
        </w:rPr>
        <w:t>gaubra</w:t>
      </w:r>
      <w:proofErr w:type="spellEnd"/>
      <w:r w:rsidRPr="002F5EF5">
        <w:rPr>
          <w:rFonts w:ascii="Arial" w:eastAsia="Arial" w:hAnsi="Arial" w:cs="Arial"/>
        </w:rPr>
        <w:t xml:space="preserve"> ka </w:t>
      </w:r>
      <w:proofErr w:type="spellStart"/>
      <w:r w:rsidRPr="002F5EF5">
        <w:rPr>
          <w:rFonts w:ascii="Arial" w:eastAsia="Arial" w:hAnsi="Arial" w:cs="Arial"/>
        </w:rPr>
        <w:t>nga</w:t>
      </w:r>
      <w:proofErr w:type="spellEnd"/>
      <w:r w:rsidRPr="002F5EF5">
        <w:rPr>
          <w:rFonts w:ascii="Arial" w:eastAsia="Arial" w:hAnsi="Arial" w:cs="Arial"/>
        </w:rPr>
        <w:t xml:space="preserve"> happy ka </w:t>
      </w:r>
      <w:proofErr w:type="spellStart"/>
      <w:r w:rsidRPr="002F5EF5">
        <w:rPr>
          <w:rFonts w:ascii="Arial" w:eastAsia="Arial" w:hAnsi="Arial" w:cs="Arial"/>
        </w:rPr>
        <w:t>pagsulod</w:t>
      </w:r>
      <w:proofErr w:type="spellEnd"/>
      <w:r w:rsidRPr="002F5EF5">
        <w:rPr>
          <w:rFonts w:ascii="Arial" w:eastAsia="Arial" w:hAnsi="Arial" w:cs="Arial"/>
        </w:rPr>
        <w:t xml:space="preserve"> </w:t>
      </w:r>
      <w:proofErr w:type="spellStart"/>
      <w:r w:rsidRPr="002F5EF5">
        <w:rPr>
          <w:rFonts w:ascii="Arial" w:eastAsia="Arial" w:hAnsi="Arial" w:cs="Arial"/>
        </w:rPr>
        <w:t>kag</w:t>
      </w:r>
      <w:proofErr w:type="spellEnd"/>
      <w:r w:rsidRPr="002F5EF5">
        <w:rPr>
          <w:rFonts w:ascii="Arial" w:eastAsia="Arial" w:hAnsi="Arial" w:cs="Arial"/>
        </w:rPr>
        <w:t xml:space="preserve"> </w:t>
      </w:r>
      <w:proofErr w:type="spellStart"/>
      <w:r w:rsidRPr="002F5EF5">
        <w:rPr>
          <w:rFonts w:ascii="Arial" w:eastAsia="Arial" w:hAnsi="Arial" w:cs="Arial"/>
        </w:rPr>
        <w:t>pag</w:t>
      </w:r>
      <w:proofErr w:type="spellEnd"/>
      <w:r w:rsidRPr="002F5EF5">
        <w:rPr>
          <w:rFonts w:ascii="Arial" w:eastAsia="Arial" w:hAnsi="Arial" w:cs="Arial"/>
        </w:rPr>
        <w:t xml:space="preserve"> </w:t>
      </w:r>
      <w:proofErr w:type="spellStart"/>
      <w:r w:rsidRPr="002F5EF5">
        <w:rPr>
          <w:rFonts w:ascii="Arial" w:eastAsia="Arial" w:hAnsi="Arial" w:cs="Arial"/>
        </w:rPr>
        <w:t>gwa</w:t>
      </w:r>
      <w:proofErr w:type="spellEnd"/>
      <w:r w:rsidRPr="002F5EF5">
        <w:rPr>
          <w:rFonts w:ascii="Arial" w:eastAsia="Arial" w:hAnsi="Arial" w:cs="Arial"/>
        </w:rPr>
        <w:t xml:space="preserve">… may fulfillment ka </w:t>
      </w:r>
      <w:proofErr w:type="spellStart"/>
      <w:r w:rsidRPr="002F5EF5">
        <w:rPr>
          <w:rFonts w:ascii="Arial" w:eastAsia="Arial" w:hAnsi="Arial" w:cs="Arial"/>
        </w:rPr>
        <w:t>ya</w:t>
      </w:r>
      <w:proofErr w:type="spellEnd"/>
      <w:r w:rsidRPr="002F5EF5">
        <w:rPr>
          <w:rFonts w:ascii="Arial" w:eastAsia="Arial" w:hAnsi="Arial" w:cs="Arial"/>
        </w:rPr>
        <w:t>.” [It feels different when you are happy when you go in and still happy when you go out… you feel fulfilled.] “</w:t>
      </w:r>
      <w:proofErr w:type="spellStart"/>
      <w:r w:rsidRPr="002F5EF5">
        <w:rPr>
          <w:rFonts w:ascii="Arial" w:eastAsia="Arial" w:hAnsi="Arial" w:cs="Arial"/>
        </w:rPr>
        <w:t>Kanami</w:t>
      </w:r>
      <w:proofErr w:type="spellEnd"/>
      <w:r w:rsidRPr="002F5EF5">
        <w:rPr>
          <w:rFonts w:ascii="Arial" w:eastAsia="Arial" w:hAnsi="Arial" w:cs="Arial"/>
        </w:rPr>
        <w:t xml:space="preserve"> </w:t>
      </w:r>
      <w:proofErr w:type="spellStart"/>
      <w:r w:rsidRPr="002F5EF5">
        <w:rPr>
          <w:rFonts w:ascii="Arial" w:eastAsia="Arial" w:hAnsi="Arial" w:cs="Arial"/>
        </w:rPr>
        <w:t>sa</w:t>
      </w:r>
      <w:proofErr w:type="spellEnd"/>
      <w:r w:rsidRPr="002F5EF5">
        <w:rPr>
          <w:rFonts w:ascii="Arial" w:eastAsia="Arial" w:hAnsi="Arial" w:cs="Arial"/>
        </w:rPr>
        <w:t xml:space="preserve"> </w:t>
      </w:r>
      <w:proofErr w:type="spellStart"/>
      <w:r w:rsidRPr="002F5EF5">
        <w:rPr>
          <w:rFonts w:ascii="Arial" w:eastAsia="Arial" w:hAnsi="Arial" w:cs="Arial"/>
        </w:rPr>
        <w:t>pamasalamat</w:t>
      </w:r>
      <w:proofErr w:type="spellEnd"/>
      <w:r w:rsidRPr="002F5EF5">
        <w:rPr>
          <w:rFonts w:ascii="Arial" w:eastAsia="Arial" w:hAnsi="Arial" w:cs="Arial"/>
        </w:rPr>
        <w:t xml:space="preserve">… </w:t>
      </w:r>
      <w:proofErr w:type="spellStart"/>
      <w:r w:rsidRPr="002F5EF5">
        <w:rPr>
          <w:rFonts w:ascii="Arial" w:eastAsia="Arial" w:hAnsi="Arial" w:cs="Arial"/>
        </w:rPr>
        <w:lastRenderedPageBreak/>
        <w:t>nami</w:t>
      </w:r>
      <w:proofErr w:type="spellEnd"/>
      <w:r w:rsidRPr="002F5EF5">
        <w:rPr>
          <w:rFonts w:ascii="Arial" w:eastAsia="Arial" w:hAnsi="Arial" w:cs="Arial"/>
        </w:rPr>
        <w:t xml:space="preserve"> </w:t>
      </w:r>
      <w:proofErr w:type="spellStart"/>
      <w:r w:rsidRPr="002F5EF5">
        <w:rPr>
          <w:rFonts w:ascii="Arial" w:eastAsia="Arial" w:hAnsi="Arial" w:cs="Arial"/>
        </w:rPr>
        <w:t>sa</w:t>
      </w:r>
      <w:proofErr w:type="spellEnd"/>
      <w:r w:rsidRPr="002F5EF5">
        <w:rPr>
          <w:rFonts w:ascii="Arial" w:eastAsia="Arial" w:hAnsi="Arial" w:cs="Arial"/>
        </w:rPr>
        <w:t xml:space="preserve"> feeling </w:t>
      </w:r>
      <w:proofErr w:type="spellStart"/>
      <w:r w:rsidRPr="002F5EF5">
        <w:rPr>
          <w:rFonts w:ascii="Arial" w:eastAsia="Arial" w:hAnsi="Arial" w:cs="Arial"/>
        </w:rPr>
        <w:t>nga</w:t>
      </w:r>
      <w:proofErr w:type="spellEnd"/>
      <w:r w:rsidRPr="002F5EF5">
        <w:rPr>
          <w:rFonts w:ascii="Arial" w:eastAsia="Arial" w:hAnsi="Arial" w:cs="Arial"/>
        </w:rPr>
        <w:t xml:space="preserve"> may </w:t>
      </w:r>
      <w:proofErr w:type="spellStart"/>
      <w:r w:rsidRPr="002F5EF5">
        <w:rPr>
          <w:rFonts w:ascii="Arial" w:eastAsia="Arial" w:hAnsi="Arial" w:cs="Arial"/>
        </w:rPr>
        <w:t>mahatag</w:t>
      </w:r>
      <w:proofErr w:type="spellEnd"/>
      <w:r w:rsidRPr="002F5EF5">
        <w:rPr>
          <w:rFonts w:ascii="Arial" w:eastAsia="Arial" w:hAnsi="Arial" w:cs="Arial"/>
        </w:rPr>
        <w:t>.” [Gratitude feels good… it feels nice to be able to give something.]</w:t>
      </w:r>
    </w:p>
    <w:p w14:paraId="6436A518" w14:textId="77777777" w:rsidR="007F23F3" w:rsidRPr="008639C1" w:rsidRDefault="007F23F3" w:rsidP="00F324E3">
      <w:pPr>
        <w:spacing w:line="276" w:lineRule="auto"/>
        <w:jc w:val="both"/>
        <w:rPr>
          <w:rFonts w:ascii="Arial" w:eastAsia="Arial" w:hAnsi="Arial" w:cs="Arial"/>
          <w:sz w:val="22"/>
          <w:szCs w:val="22"/>
        </w:rPr>
      </w:pPr>
    </w:p>
    <w:p w14:paraId="4DE6D663" w14:textId="77777777" w:rsidR="007F23F3" w:rsidRPr="007F23F3" w:rsidRDefault="007F23F3" w:rsidP="007F23F3">
      <w:pPr>
        <w:spacing w:line="276" w:lineRule="auto"/>
        <w:jc w:val="both"/>
        <w:rPr>
          <w:rFonts w:ascii="Arial" w:eastAsia="Arial" w:hAnsi="Arial" w:cs="Arial"/>
          <w:sz w:val="22"/>
          <w:szCs w:val="22"/>
          <w:lang w:val="en-PH"/>
        </w:rPr>
      </w:pPr>
      <w:r w:rsidRPr="007F23F3">
        <w:rPr>
          <w:rFonts w:ascii="Arial" w:eastAsia="Arial" w:hAnsi="Arial" w:cs="Arial"/>
          <w:b/>
          <w:bCs/>
          <w:sz w:val="22"/>
          <w:szCs w:val="22"/>
          <w:lang w:val="en-PH"/>
        </w:rPr>
        <w:t>Integrations of Finding </w:t>
      </w:r>
    </w:p>
    <w:p w14:paraId="2BBB8422" w14:textId="77777777" w:rsidR="007F23F3" w:rsidRPr="007F23F3" w:rsidRDefault="007F23F3" w:rsidP="007F23F3">
      <w:pPr>
        <w:spacing w:line="276" w:lineRule="auto"/>
        <w:jc w:val="both"/>
        <w:rPr>
          <w:rFonts w:ascii="Arial" w:eastAsia="Arial" w:hAnsi="Arial" w:cs="Arial"/>
          <w:sz w:val="22"/>
          <w:szCs w:val="22"/>
          <w:lang w:val="en-PH"/>
        </w:rPr>
      </w:pPr>
    </w:p>
    <w:p w14:paraId="53C8E2F8" w14:textId="77777777"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 xml:space="preserve">The theme Care Under Strain shows the physical, emotional, and systemic problems that nurses have to face such as dealing with combative and agitated residents, communication barriers, delayed care, staffing shortages, and the lack of appropriate equipment and facilities. These circumstances cause physical fatigue, emotional stress, and vulnerability to injuries. The results are congruent with the literature that highlights that behavioral problems, insufficient staffing, and poor working conditions are crucial factors that influence the welfare of nurses and quality of provided care (Stephen et al., 2024; Sun et al., 2023; </w:t>
      </w:r>
      <w:proofErr w:type="spellStart"/>
      <w:r w:rsidRPr="002F5EF5">
        <w:rPr>
          <w:rFonts w:ascii="Arial" w:eastAsia="Arial" w:hAnsi="Arial" w:cs="Arial"/>
          <w:lang w:val="en-PH"/>
        </w:rPr>
        <w:t>Gruneir</w:t>
      </w:r>
      <w:proofErr w:type="spellEnd"/>
      <w:r w:rsidRPr="002F5EF5">
        <w:rPr>
          <w:rFonts w:ascii="Arial" w:eastAsia="Arial" w:hAnsi="Arial" w:cs="Arial"/>
          <w:lang w:val="en-PH"/>
        </w:rPr>
        <w:t xml:space="preserve"> et al., 2023; Shaw et al., 2024; </w:t>
      </w:r>
      <w:proofErr w:type="spellStart"/>
      <w:r w:rsidRPr="002F5EF5">
        <w:rPr>
          <w:rFonts w:ascii="Arial" w:eastAsia="Arial" w:hAnsi="Arial" w:cs="Arial"/>
          <w:lang w:val="en-PH"/>
        </w:rPr>
        <w:t>Alibudbud</w:t>
      </w:r>
      <w:proofErr w:type="spellEnd"/>
      <w:r w:rsidRPr="002F5EF5">
        <w:rPr>
          <w:rFonts w:ascii="Arial" w:eastAsia="Arial" w:hAnsi="Arial" w:cs="Arial"/>
          <w:lang w:val="en-PH"/>
        </w:rPr>
        <w:t xml:space="preserve">, 2023; Tan et al., 2024; </w:t>
      </w:r>
      <w:proofErr w:type="spellStart"/>
      <w:r w:rsidRPr="002F5EF5">
        <w:rPr>
          <w:rFonts w:ascii="Arial" w:eastAsia="Arial" w:hAnsi="Arial" w:cs="Arial"/>
          <w:lang w:val="en-PH"/>
        </w:rPr>
        <w:t>Sihvola</w:t>
      </w:r>
      <w:proofErr w:type="spellEnd"/>
      <w:r w:rsidRPr="002F5EF5">
        <w:rPr>
          <w:rFonts w:ascii="Arial" w:eastAsia="Arial" w:hAnsi="Arial" w:cs="Arial"/>
          <w:lang w:val="en-PH"/>
        </w:rPr>
        <w:t xml:space="preserve"> et al., 2023). This implies that strain is a structural and chronic problem in long-term care that needs resilience and adaptive coping.</w:t>
      </w:r>
    </w:p>
    <w:p w14:paraId="547210A5" w14:textId="77777777" w:rsidR="007F23F3" w:rsidRPr="002F5EF5" w:rsidRDefault="007F23F3" w:rsidP="007F23F3">
      <w:pPr>
        <w:spacing w:line="276" w:lineRule="auto"/>
        <w:jc w:val="both"/>
        <w:rPr>
          <w:rFonts w:ascii="Arial" w:eastAsia="Arial" w:hAnsi="Arial" w:cs="Arial"/>
          <w:lang w:val="en-PH"/>
        </w:rPr>
      </w:pPr>
    </w:p>
    <w:p w14:paraId="379D52B4" w14:textId="77777777"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 xml:space="preserve">Building upon this, the theme Therapeutic Companionship highlights the importance of nurses developing trust and meaningful relationships due to empathy, patience, making residents their family, and always providing emotional support. It involves also recreational and individualized activities like music therapy, socialization, and redirection to minimize agitations and encourage engagement. These results corroborate the literature stating the importance of person-centered care, emotional attachment, and conducive settings to enhance residents' and nurses' well-being and satisfaction (Stephen et al., 2024; Sun et al., 2023; </w:t>
      </w:r>
      <w:proofErr w:type="spellStart"/>
      <w:r w:rsidRPr="002F5EF5">
        <w:rPr>
          <w:rFonts w:ascii="Arial" w:eastAsia="Arial" w:hAnsi="Arial" w:cs="Arial"/>
          <w:lang w:val="en-PH"/>
        </w:rPr>
        <w:t>Falguera</w:t>
      </w:r>
      <w:proofErr w:type="spellEnd"/>
      <w:r w:rsidRPr="002F5EF5">
        <w:rPr>
          <w:rFonts w:ascii="Arial" w:eastAsia="Arial" w:hAnsi="Arial" w:cs="Arial"/>
          <w:lang w:val="en-PH"/>
        </w:rPr>
        <w:t xml:space="preserve"> et al., 2023; Tan et al., 2024; Philippine Statistics Authority, 2022; Deep, 2024). This implies that companionship is a relational and therapeutic form of care.</w:t>
      </w:r>
    </w:p>
    <w:p w14:paraId="297AA746" w14:textId="77777777" w:rsidR="007F23F3" w:rsidRPr="002F5EF5" w:rsidRDefault="007F23F3" w:rsidP="007F23F3">
      <w:pPr>
        <w:spacing w:line="276" w:lineRule="auto"/>
        <w:jc w:val="both"/>
        <w:rPr>
          <w:rFonts w:ascii="Arial" w:eastAsia="Arial" w:hAnsi="Arial" w:cs="Arial"/>
          <w:lang w:val="en-PH"/>
        </w:rPr>
      </w:pPr>
    </w:p>
    <w:p w14:paraId="616FE0C6" w14:textId="77777777"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 xml:space="preserve">Closely related, the theme Compassionate Communication reveals that the language nurses use to assist residents with cognitive decline is simplified, repetitive, reorients, and maintains eye contact and emotional reassurance. The confusion, resistance, and behavioral disturbances may be dealt with </w:t>
      </w:r>
      <w:proofErr w:type="spellStart"/>
      <w:r w:rsidRPr="002F5EF5">
        <w:rPr>
          <w:rFonts w:ascii="Arial" w:eastAsia="Arial" w:hAnsi="Arial" w:cs="Arial"/>
          <w:lang w:val="en-PH"/>
        </w:rPr>
        <w:t>with</w:t>
      </w:r>
      <w:proofErr w:type="spellEnd"/>
      <w:r w:rsidRPr="002F5EF5">
        <w:rPr>
          <w:rFonts w:ascii="Arial" w:eastAsia="Arial" w:hAnsi="Arial" w:cs="Arial"/>
          <w:lang w:val="en-PH"/>
        </w:rPr>
        <w:t xml:space="preserve"> the help of strategies like diversion of attention, promotion of interaction, and constant guidance. These results match the literature that underlines the importance of therapeutic communication and non-pharmacological intervention as the key to facilitating cooperation, dignity, and stability among aged residents (Sun et al., 2023; Park and Kim, 2025). This brings to the fore communication as a very important aspect of holistic and person-centered care.</w:t>
      </w:r>
    </w:p>
    <w:p w14:paraId="1C0EFC8D" w14:textId="77777777" w:rsidR="007F23F3" w:rsidRPr="002F5EF5" w:rsidRDefault="007F23F3" w:rsidP="007F23F3">
      <w:pPr>
        <w:spacing w:line="276" w:lineRule="auto"/>
        <w:jc w:val="both"/>
        <w:rPr>
          <w:rFonts w:ascii="Arial" w:eastAsia="Arial" w:hAnsi="Arial" w:cs="Arial"/>
          <w:lang w:val="en-PH"/>
        </w:rPr>
      </w:pPr>
    </w:p>
    <w:p w14:paraId="05FB60ED" w14:textId="77777777"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 xml:space="preserve">Finally, the theme The Reward of Compassion displays the emotional satisfaction, the sense of purpose, or professional development nurses receive in giving care. The challenges notwithstanding, gratitude, meaningful connections, learning, and development are areas where nurses derive satisfaction because of the residents. These results are consistent with the literature findings that compassion satisfaction, emotional involvement, and resilience are the factors to promote lasting commitment and positive outcomes in nursing practice (Tan et al., 2024; </w:t>
      </w:r>
      <w:proofErr w:type="spellStart"/>
      <w:r w:rsidRPr="002F5EF5">
        <w:rPr>
          <w:rFonts w:ascii="Arial" w:eastAsia="Arial" w:hAnsi="Arial" w:cs="Arial"/>
          <w:lang w:val="en-PH"/>
        </w:rPr>
        <w:t>Sihvola</w:t>
      </w:r>
      <w:proofErr w:type="spellEnd"/>
      <w:r w:rsidRPr="002F5EF5">
        <w:rPr>
          <w:rFonts w:ascii="Arial" w:eastAsia="Arial" w:hAnsi="Arial" w:cs="Arial"/>
          <w:lang w:val="en-PH"/>
        </w:rPr>
        <w:t xml:space="preserve"> et al., 2023; Eliopoulos, 2022; Park and Kim, 2025; Shaw et al., 2024; </w:t>
      </w:r>
      <w:proofErr w:type="spellStart"/>
      <w:r w:rsidRPr="002F5EF5">
        <w:rPr>
          <w:rFonts w:ascii="Arial" w:eastAsia="Arial" w:hAnsi="Arial" w:cs="Arial"/>
          <w:lang w:val="en-PH"/>
        </w:rPr>
        <w:t>Gruneir</w:t>
      </w:r>
      <w:proofErr w:type="spellEnd"/>
      <w:r w:rsidRPr="002F5EF5">
        <w:rPr>
          <w:rFonts w:ascii="Arial" w:eastAsia="Arial" w:hAnsi="Arial" w:cs="Arial"/>
          <w:lang w:val="en-PH"/>
        </w:rPr>
        <w:t xml:space="preserve"> et al., 2023). This is an indication that the process of caregiving is both satisfying and enriching to the profession.</w:t>
      </w:r>
    </w:p>
    <w:p w14:paraId="3D49EA90" w14:textId="77777777" w:rsidR="007F23F3" w:rsidRPr="008639C1" w:rsidRDefault="007F23F3" w:rsidP="007F23F3">
      <w:pPr>
        <w:spacing w:line="276" w:lineRule="auto"/>
        <w:jc w:val="both"/>
        <w:rPr>
          <w:rFonts w:ascii="Arial" w:eastAsia="Arial" w:hAnsi="Arial" w:cs="Arial"/>
          <w:sz w:val="22"/>
          <w:szCs w:val="22"/>
          <w:lang w:val="en-PH"/>
        </w:rPr>
      </w:pPr>
    </w:p>
    <w:p w14:paraId="6DCB7507" w14:textId="77777777" w:rsidR="007F23F3" w:rsidRPr="008639C1" w:rsidRDefault="007F23F3" w:rsidP="007F23F3">
      <w:pPr>
        <w:spacing w:line="276" w:lineRule="auto"/>
        <w:jc w:val="both"/>
        <w:rPr>
          <w:rFonts w:ascii="Arial" w:eastAsia="Arial" w:hAnsi="Arial" w:cs="Arial"/>
          <w:b/>
          <w:bCs/>
          <w:sz w:val="22"/>
          <w:szCs w:val="22"/>
          <w:lang w:val="en-PH"/>
        </w:rPr>
      </w:pPr>
      <w:r w:rsidRPr="007F23F3">
        <w:rPr>
          <w:rFonts w:ascii="Arial" w:eastAsia="Arial" w:hAnsi="Arial" w:cs="Arial"/>
          <w:b/>
          <w:bCs/>
          <w:sz w:val="22"/>
          <w:szCs w:val="22"/>
          <w:lang w:val="en-PH"/>
        </w:rPr>
        <w:lastRenderedPageBreak/>
        <w:t>Limitation of Study </w:t>
      </w:r>
    </w:p>
    <w:p w14:paraId="1EF65B96" w14:textId="77777777" w:rsidR="007F23F3" w:rsidRPr="007F23F3" w:rsidRDefault="007F23F3" w:rsidP="007F23F3">
      <w:pPr>
        <w:spacing w:line="276" w:lineRule="auto"/>
        <w:jc w:val="both"/>
        <w:rPr>
          <w:rFonts w:ascii="Arial" w:eastAsia="Arial" w:hAnsi="Arial" w:cs="Arial"/>
          <w:sz w:val="22"/>
          <w:szCs w:val="22"/>
          <w:lang w:val="en-PH"/>
        </w:rPr>
      </w:pPr>
    </w:p>
    <w:p w14:paraId="31557253" w14:textId="77777777"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This study was conducted only in selected nursing homes within the province of Iloilo, so results may not be generalizable to nurses working in other healthcare settings. The use of purposive sampling with a small number of participants, which may not have captured the full range of nurses’ experiences. The data came from self-reported stories through semi-structed interviews, which means the results could be affected by recall bias and participants’ willingness to talk about difficult topics. Interviews were scheduled for participants’ convenience, which may have limited depth of some responses. Finally, findings reflect the specific time and place of the study. More research may be needed to explore changes in practice, policy, or environment.</w:t>
      </w:r>
    </w:p>
    <w:p w14:paraId="360E804B" w14:textId="77777777" w:rsidR="007F23F3" w:rsidRPr="008639C1" w:rsidRDefault="007F23F3" w:rsidP="007F23F3">
      <w:pPr>
        <w:spacing w:line="276" w:lineRule="auto"/>
        <w:jc w:val="both"/>
        <w:rPr>
          <w:rFonts w:ascii="Arial" w:eastAsia="Arial" w:hAnsi="Arial" w:cs="Arial"/>
          <w:sz w:val="22"/>
          <w:szCs w:val="22"/>
          <w:lang w:val="en-PH"/>
        </w:rPr>
      </w:pPr>
    </w:p>
    <w:p w14:paraId="25E8A2FE" w14:textId="77777777" w:rsidR="007F23F3" w:rsidRPr="007F23F3" w:rsidRDefault="007F23F3" w:rsidP="007F23F3">
      <w:pPr>
        <w:spacing w:line="276" w:lineRule="auto"/>
        <w:jc w:val="both"/>
        <w:rPr>
          <w:rFonts w:ascii="Arial" w:eastAsia="Arial" w:hAnsi="Arial" w:cs="Arial"/>
          <w:sz w:val="22"/>
          <w:szCs w:val="22"/>
          <w:lang w:val="en-PH"/>
        </w:rPr>
      </w:pPr>
      <w:r w:rsidRPr="007F23F3">
        <w:rPr>
          <w:rFonts w:ascii="Arial" w:eastAsia="Arial" w:hAnsi="Arial" w:cs="Arial"/>
          <w:b/>
          <w:bCs/>
          <w:sz w:val="22"/>
          <w:szCs w:val="22"/>
          <w:lang w:val="en-PH"/>
        </w:rPr>
        <w:t>4. Conclusion</w:t>
      </w:r>
    </w:p>
    <w:p w14:paraId="68C1AED5" w14:textId="77777777" w:rsidR="007F23F3" w:rsidRPr="007F23F3" w:rsidRDefault="007F23F3" w:rsidP="007F23F3">
      <w:pPr>
        <w:spacing w:line="276" w:lineRule="auto"/>
        <w:jc w:val="both"/>
        <w:rPr>
          <w:rFonts w:ascii="Arial" w:eastAsia="Arial" w:hAnsi="Arial" w:cs="Arial"/>
          <w:sz w:val="22"/>
          <w:szCs w:val="22"/>
          <w:lang w:val="en-PH"/>
        </w:rPr>
      </w:pPr>
    </w:p>
    <w:p w14:paraId="695D02EF" w14:textId="77777777"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Based on the findings of this study, the following conclusions are drawn:</w:t>
      </w:r>
    </w:p>
    <w:p w14:paraId="304677B2" w14:textId="77777777" w:rsidR="007F23F3" w:rsidRPr="002F5EF5" w:rsidRDefault="007F23F3" w:rsidP="007F23F3">
      <w:pPr>
        <w:numPr>
          <w:ilvl w:val="0"/>
          <w:numId w:val="3"/>
        </w:numPr>
        <w:spacing w:line="276" w:lineRule="auto"/>
        <w:jc w:val="both"/>
        <w:rPr>
          <w:rFonts w:ascii="Arial" w:eastAsia="Arial" w:hAnsi="Arial" w:cs="Arial"/>
          <w:lang w:val="en-PH"/>
        </w:rPr>
      </w:pPr>
      <w:r w:rsidRPr="002F5EF5">
        <w:rPr>
          <w:rFonts w:ascii="Arial" w:eastAsia="Arial" w:hAnsi="Arial" w:cs="Arial"/>
          <w:b/>
          <w:bCs/>
          <w:lang w:val="en-PH"/>
        </w:rPr>
        <w:t>Personalized and Holistic Care Approaches.</w:t>
      </w:r>
      <w:r w:rsidRPr="002F5EF5">
        <w:rPr>
          <w:rFonts w:ascii="Arial" w:eastAsia="Arial" w:hAnsi="Arial" w:cs="Arial"/>
          <w:lang w:val="en-PH"/>
        </w:rPr>
        <w:t xml:space="preserve"> Nurses working in nursing homes in Iloilo employ personalized and adaptable strategies to meet the physical, emotional, and psychosocial needs of residents. Their practice in addressing varying degrees of vulnerability is guided by person-centered care (PCC), therapeutic communication, behavioral management, and safety-focused interventions. Nursing care in these settings extends beyond routine clinical tasks, requiring patience, constant adjustment to changing conditions, attentive monitoring, and focused engagement with residents.</w:t>
      </w:r>
    </w:p>
    <w:p w14:paraId="1A6ABE95" w14:textId="77777777" w:rsidR="007F23F3" w:rsidRPr="002F5EF5" w:rsidRDefault="007F23F3" w:rsidP="007F23F3">
      <w:pPr>
        <w:numPr>
          <w:ilvl w:val="0"/>
          <w:numId w:val="3"/>
        </w:numPr>
        <w:spacing w:line="276" w:lineRule="auto"/>
        <w:jc w:val="both"/>
        <w:rPr>
          <w:rFonts w:ascii="Arial" w:eastAsia="Arial" w:hAnsi="Arial" w:cs="Arial"/>
          <w:lang w:val="en-PH"/>
        </w:rPr>
      </w:pPr>
      <w:r w:rsidRPr="002F5EF5">
        <w:rPr>
          <w:rFonts w:ascii="Arial" w:eastAsia="Arial" w:hAnsi="Arial" w:cs="Arial"/>
          <w:b/>
          <w:bCs/>
          <w:lang w:val="en-PH"/>
        </w:rPr>
        <w:t>Balancing Professional Dedication and Emotional Burden.</w:t>
      </w:r>
      <w:r w:rsidRPr="002F5EF5">
        <w:rPr>
          <w:rFonts w:ascii="Arial" w:eastAsia="Arial" w:hAnsi="Arial" w:cs="Arial"/>
          <w:lang w:val="en-PH"/>
        </w:rPr>
        <w:t xml:space="preserve"> Nurses experience a dynamic balance between professional commitment and emotional challenges. While providing care, they form attachments with residents, demonstrate compassion, and derive fulfillment from their work. At the same time, they face emotional fatigue resulting from residents’ cognitive decline, behavioral issues, limited family involvement, and end-of-life care. These experiences strengthen nurses’ ethical awareness, particularly in decision-making and in safeguarding the dignity of older adults. This underscores the relational and ethically complex nature of nursing home care.</w:t>
      </w:r>
    </w:p>
    <w:p w14:paraId="0C1E2895" w14:textId="77777777" w:rsidR="007F23F3" w:rsidRPr="002F5EF5" w:rsidRDefault="007F23F3" w:rsidP="007F23F3">
      <w:pPr>
        <w:numPr>
          <w:ilvl w:val="0"/>
          <w:numId w:val="3"/>
        </w:numPr>
        <w:spacing w:line="276" w:lineRule="auto"/>
        <w:jc w:val="both"/>
        <w:rPr>
          <w:rFonts w:ascii="Arial" w:eastAsia="Arial" w:hAnsi="Arial" w:cs="Arial"/>
          <w:lang w:val="en-PH"/>
        </w:rPr>
      </w:pPr>
      <w:r w:rsidRPr="002F5EF5">
        <w:rPr>
          <w:rFonts w:ascii="Arial" w:eastAsia="Arial" w:hAnsi="Arial" w:cs="Arial"/>
          <w:b/>
          <w:bCs/>
          <w:lang w:val="en-PH"/>
        </w:rPr>
        <w:t>Systemic and Institutional Challenges.</w:t>
      </w:r>
      <w:r w:rsidRPr="002F5EF5">
        <w:rPr>
          <w:rFonts w:ascii="Arial" w:eastAsia="Arial" w:hAnsi="Arial" w:cs="Arial"/>
          <w:lang w:val="en-PH"/>
        </w:rPr>
        <w:t xml:space="preserve"> Many of the difficulties encountered by </w:t>
      </w:r>
      <w:proofErr w:type="gramStart"/>
      <w:r w:rsidRPr="002F5EF5">
        <w:rPr>
          <w:rFonts w:ascii="Arial" w:eastAsia="Arial" w:hAnsi="Arial" w:cs="Arial"/>
          <w:lang w:val="en-PH"/>
        </w:rPr>
        <w:t>nurses</w:t>
      </w:r>
      <w:proofErr w:type="gramEnd"/>
      <w:r w:rsidRPr="002F5EF5">
        <w:rPr>
          <w:rFonts w:ascii="Arial" w:eastAsia="Arial" w:hAnsi="Arial" w:cs="Arial"/>
          <w:lang w:val="en-PH"/>
        </w:rPr>
        <w:t xml:space="preserve"> stem from systemic and institutional constraints, including staff shortages, heavy workloads, inadequate facilities, and the complex care needs of residents with chronic illnesses or memory disorders. Such conditions contribute to physical and emotional strain. Despite these challenges, nurses demonstrate resilience, flexibility, and sustained dedication, ensuring that high-quality geriatric care continues in long-term care settings.</w:t>
      </w:r>
    </w:p>
    <w:p w14:paraId="7C07966B" w14:textId="77777777"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Overall, this study highlights that the work of nurses in nursing homes is both demanding and intentional, characterized by compassion, adaptability, and persistence in navigating systemic constraints while maintaining the dignity, well-being, and quality of life of residents.</w:t>
      </w:r>
    </w:p>
    <w:p w14:paraId="13AE5908" w14:textId="77777777" w:rsidR="007F23F3" w:rsidRPr="008639C1" w:rsidRDefault="007F23F3" w:rsidP="007F23F3">
      <w:pPr>
        <w:spacing w:line="276" w:lineRule="auto"/>
        <w:jc w:val="both"/>
        <w:rPr>
          <w:rFonts w:ascii="Arial" w:eastAsia="Arial" w:hAnsi="Arial" w:cs="Arial"/>
          <w:sz w:val="22"/>
          <w:szCs w:val="22"/>
          <w:lang w:val="en-PH"/>
        </w:rPr>
      </w:pPr>
    </w:p>
    <w:p w14:paraId="06BAF4E4" w14:textId="77777777" w:rsidR="007F23F3" w:rsidRPr="007F23F3" w:rsidRDefault="007F23F3" w:rsidP="007F23F3">
      <w:pPr>
        <w:spacing w:line="276" w:lineRule="auto"/>
        <w:jc w:val="both"/>
        <w:rPr>
          <w:rFonts w:ascii="Arial" w:eastAsia="Arial" w:hAnsi="Arial" w:cs="Arial"/>
          <w:sz w:val="22"/>
          <w:szCs w:val="22"/>
          <w:lang w:val="en-PH"/>
        </w:rPr>
      </w:pPr>
      <w:r w:rsidRPr="007F23F3">
        <w:rPr>
          <w:rFonts w:ascii="Arial" w:eastAsia="Arial" w:hAnsi="Arial" w:cs="Arial"/>
          <w:b/>
          <w:bCs/>
          <w:sz w:val="22"/>
          <w:szCs w:val="22"/>
          <w:lang w:val="en-PH"/>
        </w:rPr>
        <w:t>Acknowledgements</w:t>
      </w:r>
    </w:p>
    <w:p w14:paraId="4D5185E6" w14:textId="77777777" w:rsidR="007F23F3" w:rsidRPr="007F23F3" w:rsidRDefault="007F23F3" w:rsidP="007F23F3">
      <w:pPr>
        <w:spacing w:line="276" w:lineRule="auto"/>
        <w:jc w:val="both"/>
        <w:rPr>
          <w:rFonts w:ascii="Arial" w:eastAsia="Arial" w:hAnsi="Arial" w:cs="Arial"/>
          <w:sz w:val="22"/>
          <w:szCs w:val="22"/>
          <w:lang w:val="en-PH"/>
        </w:rPr>
      </w:pPr>
    </w:p>
    <w:p w14:paraId="4B8AB5CD" w14:textId="77777777"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 xml:space="preserve">The researchers would like to express their sincere gratitude to all the nurses who participated in this study for sharing their valuable experiences and insights. Special thanks are also </w:t>
      </w:r>
      <w:r w:rsidRPr="002F5EF5">
        <w:rPr>
          <w:rFonts w:ascii="Arial" w:eastAsia="Arial" w:hAnsi="Arial" w:cs="Arial"/>
          <w:lang w:val="en-PH"/>
        </w:rPr>
        <w:lastRenderedPageBreak/>
        <w:t>extended to the research adviser and panel members for their guidance and support throughout the study. Appreciation is likewise given to Iloilo Doctors’ College for providing the necessary academic support.</w:t>
      </w:r>
    </w:p>
    <w:p w14:paraId="236D4CDF" w14:textId="77777777" w:rsidR="007F23F3" w:rsidRPr="002F5EF5" w:rsidRDefault="007F23F3" w:rsidP="007F23F3">
      <w:pPr>
        <w:spacing w:line="276" w:lineRule="auto"/>
        <w:jc w:val="both"/>
        <w:rPr>
          <w:rFonts w:ascii="Arial" w:eastAsia="Arial" w:hAnsi="Arial" w:cs="Arial"/>
          <w:lang w:val="en-PH"/>
        </w:rPr>
      </w:pPr>
    </w:p>
    <w:p w14:paraId="332AC0DC" w14:textId="77777777"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This study did not receive any specific grant from funding agencies in the public, commercial, or not-for-profit sectors. The funding agency had no role in the study design, data collection, analysis, interpretation, or writing of the manuscript.</w:t>
      </w:r>
    </w:p>
    <w:p w14:paraId="08F928A5" w14:textId="77777777" w:rsidR="007F23F3" w:rsidRPr="008639C1" w:rsidRDefault="007F23F3" w:rsidP="007F23F3">
      <w:pPr>
        <w:spacing w:line="276" w:lineRule="auto"/>
        <w:jc w:val="both"/>
        <w:rPr>
          <w:rFonts w:ascii="Arial" w:eastAsia="Arial" w:hAnsi="Arial" w:cs="Arial"/>
          <w:sz w:val="22"/>
          <w:szCs w:val="22"/>
          <w:lang w:val="en-PH"/>
        </w:rPr>
      </w:pPr>
    </w:p>
    <w:p w14:paraId="1FF3F2F3" w14:textId="77777777" w:rsidR="007F23F3" w:rsidRPr="007F23F3" w:rsidRDefault="007F23F3" w:rsidP="007F23F3">
      <w:pPr>
        <w:spacing w:line="276" w:lineRule="auto"/>
        <w:jc w:val="both"/>
        <w:rPr>
          <w:rFonts w:ascii="Arial" w:eastAsia="Arial" w:hAnsi="Arial" w:cs="Arial"/>
          <w:sz w:val="22"/>
          <w:szCs w:val="22"/>
          <w:lang w:val="en-PH"/>
        </w:rPr>
      </w:pPr>
      <w:r w:rsidRPr="007F23F3">
        <w:rPr>
          <w:rFonts w:ascii="Arial" w:eastAsia="Arial" w:hAnsi="Arial" w:cs="Arial"/>
          <w:b/>
          <w:bCs/>
          <w:sz w:val="22"/>
          <w:szCs w:val="22"/>
          <w:lang w:val="en-PH"/>
        </w:rPr>
        <w:t>Competing Interests</w:t>
      </w:r>
    </w:p>
    <w:p w14:paraId="6CBC2546" w14:textId="77777777" w:rsidR="007F23F3" w:rsidRPr="007F23F3" w:rsidRDefault="007F23F3" w:rsidP="007F23F3">
      <w:pPr>
        <w:spacing w:line="276" w:lineRule="auto"/>
        <w:jc w:val="both"/>
        <w:rPr>
          <w:rFonts w:ascii="Arial" w:eastAsia="Arial" w:hAnsi="Arial" w:cs="Arial"/>
          <w:sz w:val="22"/>
          <w:szCs w:val="22"/>
          <w:lang w:val="en-PH"/>
        </w:rPr>
      </w:pPr>
    </w:p>
    <w:p w14:paraId="08EED5D6" w14:textId="77777777"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Authors have declared that no competing interests exist.</w:t>
      </w:r>
    </w:p>
    <w:p w14:paraId="4D8E1954" w14:textId="77777777" w:rsidR="007F23F3" w:rsidRPr="007F23F3" w:rsidRDefault="007F23F3" w:rsidP="007F23F3">
      <w:pPr>
        <w:spacing w:line="276" w:lineRule="auto"/>
        <w:jc w:val="both"/>
        <w:rPr>
          <w:rFonts w:ascii="Arial" w:eastAsia="Arial" w:hAnsi="Arial" w:cs="Arial"/>
          <w:sz w:val="22"/>
          <w:szCs w:val="22"/>
          <w:lang w:val="en-PH"/>
        </w:rPr>
      </w:pPr>
    </w:p>
    <w:p w14:paraId="5F6E9A42" w14:textId="77777777" w:rsidR="007F23F3" w:rsidRPr="007F23F3" w:rsidRDefault="007F23F3" w:rsidP="007F23F3">
      <w:pPr>
        <w:spacing w:line="276" w:lineRule="auto"/>
        <w:jc w:val="both"/>
        <w:rPr>
          <w:rFonts w:ascii="Arial" w:eastAsia="Arial" w:hAnsi="Arial" w:cs="Arial"/>
          <w:sz w:val="22"/>
          <w:szCs w:val="22"/>
          <w:lang w:val="en-PH"/>
        </w:rPr>
      </w:pPr>
      <w:r w:rsidRPr="007F23F3">
        <w:rPr>
          <w:rFonts w:ascii="Arial" w:eastAsia="Arial" w:hAnsi="Arial" w:cs="Arial"/>
          <w:b/>
          <w:bCs/>
          <w:sz w:val="22"/>
          <w:szCs w:val="22"/>
          <w:lang w:val="en-PH"/>
        </w:rPr>
        <w:t>Authors’ Contributions</w:t>
      </w:r>
    </w:p>
    <w:p w14:paraId="3120C1A6" w14:textId="77777777" w:rsidR="007F23F3" w:rsidRPr="007F23F3" w:rsidRDefault="007F23F3" w:rsidP="007F23F3">
      <w:pPr>
        <w:spacing w:line="276" w:lineRule="auto"/>
        <w:jc w:val="both"/>
        <w:rPr>
          <w:rFonts w:ascii="Arial" w:eastAsia="Arial" w:hAnsi="Arial" w:cs="Arial"/>
          <w:sz w:val="22"/>
          <w:szCs w:val="22"/>
          <w:lang w:val="en-PH"/>
        </w:rPr>
      </w:pPr>
    </w:p>
    <w:p w14:paraId="50B1D7D1" w14:textId="77777777"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This work was carried out collaboratively by all authors. All authors read, reviewed, and approved the final manuscript. </w:t>
      </w:r>
    </w:p>
    <w:p w14:paraId="51B156F3" w14:textId="77777777" w:rsidR="007F23F3" w:rsidRPr="002F5EF5" w:rsidRDefault="007F23F3" w:rsidP="007F23F3">
      <w:pPr>
        <w:spacing w:line="276" w:lineRule="auto"/>
        <w:jc w:val="both"/>
        <w:rPr>
          <w:rFonts w:ascii="Arial" w:eastAsia="Arial" w:hAnsi="Arial" w:cs="Arial"/>
          <w:lang w:val="en-PH"/>
        </w:rPr>
      </w:pPr>
    </w:p>
    <w:p w14:paraId="1B6182F1" w14:textId="77777777" w:rsidR="007F23F3" w:rsidRPr="007F23F3" w:rsidRDefault="007F23F3" w:rsidP="007F23F3">
      <w:pPr>
        <w:spacing w:line="276" w:lineRule="auto"/>
        <w:jc w:val="both"/>
        <w:rPr>
          <w:rFonts w:ascii="Arial" w:eastAsia="Arial" w:hAnsi="Arial" w:cs="Arial"/>
          <w:sz w:val="22"/>
          <w:szCs w:val="22"/>
          <w:lang w:val="en-PH"/>
        </w:rPr>
      </w:pPr>
      <w:r w:rsidRPr="007F23F3">
        <w:rPr>
          <w:rFonts w:ascii="Arial" w:eastAsia="Arial" w:hAnsi="Arial" w:cs="Arial"/>
          <w:b/>
          <w:bCs/>
          <w:sz w:val="22"/>
          <w:szCs w:val="22"/>
          <w:lang w:val="en-PH"/>
        </w:rPr>
        <w:t>Consent </w:t>
      </w:r>
    </w:p>
    <w:p w14:paraId="06E92927" w14:textId="77777777" w:rsidR="007F23F3" w:rsidRPr="007F23F3" w:rsidRDefault="007F23F3" w:rsidP="007F23F3">
      <w:pPr>
        <w:spacing w:line="276" w:lineRule="auto"/>
        <w:jc w:val="both"/>
        <w:rPr>
          <w:rFonts w:ascii="Arial" w:eastAsia="Arial" w:hAnsi="Arial" w:cs="Arial"/>
          <w:sz w:val="22"/>
          <w:szCs w:val="22"/>
          <w:lang w:val="en-PH"/>
        </w:rPr>
      </w:pPr>
    </w:p>
    <w:p w14:paraId="39DC693A" w14:textId="77777777"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All authors declare that written informed consent was obtained from all participants prior to data collection. Participants were informed about the purpose of the study, their voluntary participation, and their right to withdraw at any time without penalty. A copy of the written consent is available for review by the Editorial Office upon request.</w:t>
      </w:r>
    </w:p>
    <w:p w14:paraId="57BDA86A" w14:textId="77777777" w:rsidR="007F23F3" w:rsidRPr="007F23F3" w:rsidRDefault="007F23F3" w:rsidP="007F23F3">
      <w:pPr>
        <w:spacing w:line="276" w:lineRule="auto"/>
        <w:jc w:val="both"/>
        <w:rPr>
          <w:rFonts w:ascii="Arial" w:eastAsia="Arial" w:hAnsi="Arial" w:cs="Arial"/>
          <w:sz w:val="22"/>
          <w:szCs w:val="22"/>
          <w:lang w:val="en-PH"/>
        </w:rPr>
      </w:pPr>
    </w:p>
    <w:p w14:paraId="21F2DC40" w14:textId="77777777" w:rsidR="007F23F3" w:rsidRPr="007F23F3" w:rsidRDefault="007F23F3" w:rsidP="007F23F3">
      <w:pPr>
        <w:spacing w:line="276" w:lineRule="auto"/>
        <w:jc w:val="both"/>
        <w:rPr>
          <w:rFonts w:ascii="Arial" w:eastAsia="Arial" w:hAnsi="Arial" w:cs="Arial"/>
          <w:sz w:val="22"/>
          <w:szCs w:val="22"/>
          <w:lang w:val="en-PH"/>
        </w:rPr>
      </w:pPr>
      <w:r w:rsidRPr="007F23F3">
        <w:rPr>
          <w:rFonts w:ascii="Arial" w:eastAsia="Arial" w:hAnsi="Arial" w:cs="Arial"/>
          <w:b/>
          <w:bCs/>
          <w:sz w:val="22"/>
          <w:szCs w:val="22"/>
          <w:lang w:val="en-PH"/>
        </w:rPr>
        <w:t>Ethical Approval</w:t>
      </w:r>
    </w:p>
    <w:p w14:paraId="7CF852BF" w14:textId="77777777" w:rsidR="007F23F3" w:rsidRPr="007F23F3" w:rsidRDefault="007F23F3" w:rsidP="007F23F3">
      <w:pPr>
        <w:spacing w:line="276" w:lineRule="auto"/>
        <w:jc w:val="both"/>
        <w:rPr>
          <w:rFonts w:ascii="Arial" w:eastAsia="Arial" w:hAnsi="Arial" w:cs="Arial"/>
          <w:sz w:val="22"/>
          <w:szCs w:val="22"/>
          <w:lang w:val="en-PH"/>
        </w:rPr>
      </w:pPr>
    </w:p>
    <w:p w14:paraId="5D8B5EDF" w14:textId="69600063"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Permission to conduct the study was obtained from the Iloilo Doctors’ College Institutional Research Ethics Committee (IDIREC) prior to data collection (Approval Code: IDIREC-2025.OI_208), ensuring that the research complied with ethical standards for studies involving human participants.</w:t>
      </w:r>
    </w:p>
    <w:p w14:paraId="46C38A05" w14:textId="77777777" w:rsidR="007F23F3" w:rsidRPr="007F23F3" w:rsidRDefault="007F23F3" w:rsidP="007F23F3">
      <w:pPr>
        <w:spacing w:line="276" w:lineRule="auto"/>
        <w:jc w:val="both"/>
        <w:rPr>
          <w:rFonts w:ascii="Arial" w:eastAsia="Arial" w:hAnsi="Arial" w:cs="Arial"/>
          <w:sz w:val="22"/>
          <w:szCs w:val="22"/>
          <w:lang w:val="en-PH"/>
        </w:rPr>
      </w:pPr>
    </w:p>
    <w:p w14:paraId="5692C911" w14:textId="77777777" w:rsidR="007F23F3" w:rsidRPr="007F23F3" w:rsidRDefault="007F23F3" w:rsidP="007F23F3">
      <w:pPr>
        <w:spacing w:line="276" w:lineRule="auto"/>
        <w:jc w:val="both"/>
        <w:rPr>
          <w:rFonts w:ascii="Arial" w:eastAsia="Arial" w:hAnsi="Arial" w:cs="Arial"/>
          <w:sz w:val="22"/>
          <w:szCs w:val="22"/>
          <w:lang w:val="en-PH"/>
        </w:rPr>
      </w:pPr>
      <w:r w:rsidRPr="007F23F3">
        <w:rPr>
          <w:rFonts w:ascii="Arial" w:eastAsia="Arial" w:hAnsi="Arial" w:cs="Arial"/>
          <w:b/>
          <w:bCs/>
          <w:sz w:val="22"/>
          <w:szCs w:val="22"/>
          <w:lang w:val="en-PH"/>
        </w:rPr>
        <w:t xml:space="preserve">Disclaimer </w:t>
      </w:r>
      <w:proofErr w:type="gramStart"/>
      <w:r w:rsidRPr="007F23F3">
        <w:rPr>
          <w:rFonts w:ascii="Arial" w:eastAsia="Arial" w:hAnsi="Arial" w:cs="Arial"/>
          <w:b/>
          <w:bCs/>
          <w:sz w:val="22"/>
          <w:szCs w:val="22"/>
          <w:lang w:val="en-PH"/>
        </w:rPr>
        <w:t>( Artificial</w:t>
      </w:r>
      <w:proofErr w:type="gramEnd"/>
      <w:r w:rsidRPr="007F23F3">
        <w:rPr>
          <w:rFonts w:ascii="Arial" w:eastAsia="Arial" w:hAnsi="Arial" w:cs="Arial"/>
          <w:b/>
          <w:bCs/>
          <w:sz w:val="22"/>
          <w:szCs w:val="22"/>
          <w:lang w:val="en-PH"/>
        </w:rPr>
        <w:t xml:space="preserve"> Intelligence) </w:t>
      </w:r>
    </w:p>
    <w:p w14:paraId="5838768D" w14:textId="77777777" w:rsidR="007F23F3" w:rsidRPr="007F23F3" w:rsidRDefault="007F23F3" w:rsidP="007F23F3">
      <w:pPr>
        <w:spacing w:line="276" w:lineRule="auto"/>
        <w:jc w:val="both"/>
        <w:rPr>
          <w:rFonts w:ascii="Arial" w:eastAsia="Arial" w:hAnsi="Arial" w:cs="Arial"/>
          <w:sz w:val="22"/>
          <w:szCs w:val="22"/>
          <w:lang w:val="en-PH"/>
        </w:rPr>
      </w:pPr>
    </w:p>
    <w:p w14:paraId="0928F636" w14:textId="77777777" w:rsidR="007F23F3" w:rsidRPr="002F5EF5" w:rsidRDefault="007F23F3" w:rsidP="007F23F3">
      <w:pPr>
        <w:spacing w:line="276" w:lineRule="auto"/>
        <w:jc w:val="both"/>
        <w:rPr>
          <w:rFonts w:ascii="Arial" w:eastAsia="Arial" w:hAnsi="Arial" w:cs="Arial"/>
          <w:lang w:val="en-PH"/>
        </w:rPr>
      </w:pPr>
      <w:r w:rsidRPr="002F5EF5">
        <w:rPr>
          <w:rFonts w:ascii="Arial" w:eastAsia="Arial" w:hAnsi="Arial" w:cs="Arial"/>
          <w:lang w:val="en-PH"/>
        </w:rPr>
        <w:t>Author(s) hereby declare that generative Artificial Intelligence (AI) technologies, including ChatGPT, was used during the writing or editing of this manuscript especially for consultation and for understanding complex and unfamiliar concepts.</w:t>
      </w:r>
    </w:p>
    <w:p w14:paraId="037A3A2E" w14:textId="77777777" w:rsidR="007F23F3" w:rsidRPr="007F23F3" w:rsidRDefault="007F23F3" w:rsidP="007F23F3">
      <w:pPr>
        <w:spacing w:line="276" w:lineRule="auto"/>
        <w:jc w:val="both"/>
        <w:rPr>
          <w:rFonts w:ascii="Arial" w:eastAsia="Arial" w:hAnsi="Arial" w:cs="Arial"/>
          <w:sz w:val="22"/>
          <w:szCs w:val="22"/>
          <w:lang w:val="en-PH"/>
        </w:rPr>
      </w:pPr>
    </w:p>
    <w:p w14:paraId="0316B1E9" w14:textId="447B769B" w:rsidR="007F23F3" w:rsidRPr="007F23F3" w:rsidRDefault="007F23F3" w:rsidP="007F23F3">
      <w:pPr>
        <w:spacing w:line="276" w:lineRule="auto"/>
        <w:jc w:val="both"/>
        <w:rPr>
          <w:rFonts w:ascii="Arial" w:eastAsia="Arial" w:hAnsi="Arial" w:cs="Arial"/>
          <w:sz w:val="22"/>
          <w:szCs w:val="22"/>
          <w:lang w:val="en-PH"/>
        </w:rPr>
      </w:pPr>
      <w:r w:rsidRPr="007F23F3">
        <w:rPr>
          <w:rFonts w:ascii="Arial" w:eastAsia="Arial" w:hAnsi="Arial" w:cs="Arial"/>
          <w:b/>
          <w:bCs/>
          <w:sz w:val="22"/>
          <w:szCs w:val="22"/>
          <w:lang w:val="en-PH"/>
        </w:rPr>
        <w:t>References</w:t>
      </w:r>
    </w:p>
    <w:p w14:paraId="04AC15F0" w14:textId="77777777" w:rsidR="007F23F3" w:rsidRPr="008639C1" w:rsidRDefault="007F23F3">
      <w:pPr>
        <w:pBdr>
          <w:top w:val="nil"/>
          <w:left w:val="nil"/>
          <w:bottom w:val="nil"/>
          <w:right w:val="nil"/>
          <w:between w:val="nil"/>
        </w:pBdr>
        <w:jc w:val="both"/>
        <w:rPr>
          <w:rFonts w:ascii="Arial" w:eastAsia="Arial" w:hAnsi="Arial" w:cs="Arial"/>
          <w:sz w:val="22"/>
          <w:szCs w:val="22"/>
          <w:lang w:val="en-PH"/>
        </w:rPr>
      </w:pPr>
    </w:p>
    <w:p w14:paraId="3FA736A5" w14:textId="4BDDF57B" w:rsidR="00DA7264" w:rsidRPr="002F5EF5" w:rsidRDefault="00DA7264" w:rsidP="002F5EF5">
      <w:pPr>
        <w:pBdr>
          <w:top w:val="nil"/>
          <w:left w:val="nil"/>
          <w:bottom w:val="nil"/>
          <w:right w:val="nil"/>
          <w:between w:val="nil"/>
        </w:pBdr>
        <w:jc w:val="both"/>
        <w:rPr>
          <w:rFonts w:ascii="Arial" w:hAnsi="Arial" w:cs="Arial"/>
          <w:color w:val="000000"/>
        </w:rPr>
      </w:pPr>
      <w:r w:rsidRPr="002F5EF5">
        <w:rPr>
          <w:rFonts w:ascii="Arial" w:hAnsi="Arial" w:cs="Arial"/>
          <w:color w:val="000000"/>
        </w:rPr>
        <w:t xml:space="preserve">Ham-Baloyi, W. T. (2022). Nurses’ roles in changing practice through implementing best practices: A systematic review. </w:t>
      </w:r>
      <w:r w:rsidRPr="002F5EF5">
        <w:rPr>
          <w:rFonts w:ascii="Arial" w:hAnsi="Arial" w:cs="Arial"/>
          <w:i/>
          <w:iCs/>
          <w:color w:val="000000"/>
        </w:rPr>
        <w:t xml:space="preserve">Health SA </w:t>
      </w:r>
      <w:proofErr w:type="spellStart"/>
      <w:r w:rsidRPr="002F5EF5">
        <w:rPr>
          <w:rFonts w:ascii="Arial" w:hAnsi="Arial" w:cs="Arial"/>
          <w:i/>
          <w:iCs/>
          <w:color w:val="000000"/>
        </w:rPr>
        <w:t>Gesondheid</w:t>
      </w:r>
      <w:proofErr w:type="spellEnd"/>
      <w:r w:rsidRPr="002F5EF5">
        <w:rPr>
          <w:rFonts w:ascii="Arial" w:hAnsi="Arial" w:cs="Arial"/>
          <w:color w:val="000000"/>
        </w:rPr>
        <w:t xml:space="preserve">, 27, 1776. </w:t>
      </w:r>
      <w:hyperlink r:id="rId15" w:history="1">
        <w:r w:rsidRPr="002F5EF5">
          <w:rPr>
            <w:rStyle w:val="Hyperlink"/>
            <w:rFonts w:ascii="Arial" w:hAnsi="Arial" w:cs="Arial"/>
          </w:rPr>
          <w:t>https://doi.org/10.4102/hsag.v27i0.1776</w:t>
        </w:r>
      </w:hyperlink>
    </w:p>
    <w:p w14:paraId="614882C3" w14:textId="77777777" w:rsidR="00DA7264" w:rsidRPr="002F5EF5" w:rsidRDefault="00DA7264" w:rsidP="002F5EF5">
      <w:pPr>
        <w:pBdr>
          <w:top w:val="nil"/>
          <w:left w:val="nil"/>
          <w:bottom w:val="nil"/>
          <w:right w:val="nil"/>
          <w:between w:val="nil"/>
        </w:pBdr>
        <w:jc w:val="both"/>
        <w:rPr>
          <w:rFonts w:ascii="Arial" w:hAnsi="Arial" w:cs="Arial"/>
          <w:color w:val="000000"/>
        </w:rPr>
      </w:pPr>
    </w:p>
    <w:p w14:paraId="577CB5DE" w14:textId="77777777" w:rsidR="00DA7264" w:rsidRPr="00DA7264" w:rsidRDefault="00DA7264" w:rsidP="002F5EF5">
      <w:pPr>
        <w:pBdr>
          <w:top w:val="nil"/>
          <w:left w:val="nil"/>
          <w:bottom w:val="nil"/>
          <w:right w:val="nil"/>
          <w:between w:val="nil"/>
        </w:pBdr>
        <w:jc w:val="both"/>
        <w:rPr>
          <w:rFonts w:ascii="Arial" w:hAnsi="Arial" w:cs="Arial"/>
          <w:color w:val="000000"/>
          <w:lang w:val="en-US"/>
        </w:rPr>
      </w:pPr>
      <w:proofErr w:type="spellStart"/>
      <w:r w:rsidRPr="00DA7264">
        <w:rPr>
          <w:rFonts w:ascii="Arial" w:hAnsi="Arial" w:cs="Arial"/>
          <w:color w:val="000000"/>
          <w:lang w:val="en-US"/>
        </w:rPr>
        <w:t>Godalle</w:t>
      </w:r>
      <w:proofErr w:type="spellEnd"/>
      <w:r w:rsidRPr="00DA7264">
        <w:rPr>
          <w:rFonts w:ascii="Arial" w:hAnsi="Arial" w:cs="Arial"/>
          <w:color w:val="000000"/>
          <w:lang w:val="en-US"/>
        </w:rPr>
        <w:t xml:space="preserve">, A. (2023). Residential care facility vs nursing home: What’s the difference? </w:t>
      </w:r>
      <w:r w:rsidRPr="00DA7264">
        <w:rPr>
          <w:rFonts w:ascii="Arial" w:hAnsi="Arial" w:cs="Arial"/>
          <w:i/>
          <w:iCs/>
          <w:color w:val="000000"/>
          <w:lang w:val="en-US"/>
        </w:rPr>
        <w:t>Elegant Care Villa</w:t>
      </w:r>
      <w:r w:rsidRPr="00DA7264">
        <w:rPr>
          <w:rFonts w:ascii="Arial" w:hAnsi="Arial" w:cs="Arial"/>
          <w:color w:val="000000"/>
          <w:lang w:val="en-US"/>
        </w:rPr>
        <w:t>. https://elegantcarevilla.org/careblog/residential-care-facility-vs-nursing-home-whats-thedifference</w:t>
      </w:r>
    </w:p>
    <w:p w14:paraId="13BAAF74"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
    <w:p w14:paraId="1E2520C5"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Baxter, R., Corneliusson, L., Wallin, L., &amp; Söderman, M. (2021). Promoting residents thriving in nursing homes: A qualitative study. </w:t>
      </w:r>
      <w:r w:rsidRPr="002F5EF5">
        <w:rPr>
          <w:rFonts w:ascii="Arial" w:hAnsi="Arial" w:cs="Arial"/>
          <w:i/>
          <w:iCs/>
          <w:color w:val="000000"/>
        </w:rPr>
        <w:t>Journal of Advanced Nursing</w:t>
      </w:r>
      <w:r w:rsidRPr="002F5EF5">
        <w:rPr>
          <w:rFonts w:ascii="Arial" w:hAnsi="Arial" w:cs="Arial"/>
          <w:color w:val="000000"/>
        </w:rPr>
        <w:t xml:space="preserve">, 77(9), 3881–3890. </w:t>
      </w:r>
      <w:hyperlink r:id="rId16" w:history="1">
        <w:r w:rsidRPr="002F5EF5">
          <w:rPr>
            <w:rStyle w:val="Hyperlink"/>
            <w:rFonts w:ascii="Arial" w:hAnsi="Arial" w:cs="Arial"/>
          </w:rPr>
          <w:t>https://doi.org/10.1111/jan.16206</w:t>
        </w:r>
      </w:hyperlink>
    </w:p>
    <w:p w14:paraId="44CBB33A"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
    <w:p w14:paraId="5945EC34"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Yang, O., Yong, J., Scott, A., et al. (2021). Nursing home competition, prices, and quality: A scoping review and policy lessons. </w:t>
      </w:r>
      <w:r w:rsidRPr="002F5EF5">
        <w:rPr>
          <w:rFonts w:ascii="Arial" w:hAnsi="Arial" w:cs="Arial"/>
          <w:i/>
          <w:iCs/>
          <w:color w:val="000000"/>
        </w:rPr>
        <w:t>The Gerontologist</w:t>
      </w:r>
      <w:r w:rsidRPr="002F5EF5">
        <w:rPr>
          <w:rFonts w:ascii="Arial" w:hAnsi="Arial" w:cs="Arial"/>
          <w:color w:val="000000"/>
        </w:rPr>
        <w:t xml:space="preserve">, 62(7), e384–e401. </w:t>
      </w:r>
      <w:hyperlink r:id="rId17" w:history="1">
        <w:r w:rsidRPr="002F5EF5">
          <w:rPr>
            <w:rStyle w:val="Hyperlink"/>
            <w:rFonts w:ascii="Arial" w:hAnsi="Arial" w:cs="Arial"/>
          </w:rPr>
          <w:t>https://doi.org/10.1093/geront/gnab050</w:t>
        </w:r>
      </w:hyperlink>
      <w:r w:rsidRPr="002F5EF5">
        <w:rPr>
          <w:rFonts w:ascii="Arial" w:hAnsi="Arial" w:cs="Arial"/>
          <w:color w:val="000000"/>
          <w:lang w:val="en-US"/>
        </w:rPr>
        <w:t xml:space="preserve"> </w:t>
      </w:r>
    </w:p>
    <w:p w14:paraId="7EACC4D4"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
    <w:p w14:paraId="387AC8B6" w14:textId="17B465A9" w:rsidR="00DA7264" w:rsidRPr="002F5EF5" w:rsidRDefault="00DA7264"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lang w:val="en-US"/>
        </w:rPr>
        <w:t xml:space="preserve">Muller-Schoof, I., </w:t>
      </w:r>
      <w:proofErr w:type="spellStart"/>
      <w:r w:rsidRPr="002F5EF5">
        <w:rPr>
          <w:rFonts w:ascii="Arial" w:hAnsi="Arial" w:cs="Arial"/>
          <w:color w:val="000000"/>
          <w:lang w:val="en-US"/>
        </w:rPr>
        <w:t>Meekes</w:t>
      </w:r>
      <w:proofErr w:type="spellEnd"/>
      <w:r w:rsidRPr="002F5EF5">
        <w:rPr>
          <w:rFonts w:ascii="Arial" w:hAnsi="Arial" w:cs="Arial"/>
          <w:color w:val="000000"/>
          <w:lang w:val="en-US"/>
        </w:rPr>
        <w:t xml:space="preserve">, W., Raaijmakers, N., Schellekens, M., </w:t>
      </w:r>
      <w:proofErr w:type="spellStart"/>
      <w:r w:rsidRPr="002F5EF5">
        <w:rPr>
          <w:rFonts w:ascii="Arial" w:hAnsi="Arial" w:cs="Arial"/>
          <w:color w:val="000000"/>
          <w:lang w:val="en-US"/>
        </w:rPr>
        <w:t>Rocdi</w:t>
      </w:r>
      <w:proofErr w:type="spellEnd"/>
      <w:r w:rsidRPr="002F5EF5">
        <w:rPr>
          <w:rFonts w:ascii="Arial" w:hAnsi="Arial" w:cs="Arial"/>
          <w:color w:val="000000"/>
          <w:lang w:val="en-US"/>
        </w:rPr>
        <w:t xml:space="preserve">, Y. A., </w:t>
      </w:r>
      <w:proofErr w:type="spellStart"/>
      <w:r w:rsidRPr="002F5EF5">
        <w:rPr>
          <w:rFonts w:ascii="Arial" w:hAnsi="Arial" w:cs="Arial"/>
          <w:color w:val="000000"/>
          <w:lang w:val="en-US"/>
        </w:rPr>
        <w:t>Luijkx</w:t>
      </w:r>
      <w:proofErr w:type="spellEnd"/>
      <w:r w:rsidRPr="002F5EF5">
        <w:rPr>
          <w:rFonts w:ascii="Arial" w:hAnsi="Arial" w:cs="Arial"/>
          <w:color w:val="000000"/>
          <w:lang w:val="en-US"/>
        </w:rPr>
        <w:t xml:space="preserve">, K., et al. (2025). Implementing research findings into nursing homes: A mixed-methods study. </w:t>
      </w:r>
      <w:r w:rsidRPr="002F5EF5">
        <w:rPr>
          <w:rFonts w:ascii="Arial" w:hAnsi="Arial" w:cs="Arial"/>
          <w:i/>
          <w:iCs/>
          <w:color w:val="000000"/>
          <w:lang w:val="en-US"/>
        </w:rPr>
        <w:t>International Journal of Nursing Studies</w:t>
      </w:r>
      <w:r w:rsidRPr="002F5EF5">
        <w:rPr>
          <w:rFonts w:ascii="Arial" w:hAnsi="Arial" w:cs="Arial"/>
          <w:color w:val="000000"/>
          <w:lang w:val="en-US"/>
        </w:rPr>
        <w:t xml:space="preserve">. </w:t>
      </w:r>
      <w:hyperlink r:id="rId18" w:history="1">
        <w:r w:rsidRPr="002F5EF5">
          <w:rPr>
            <w:rStyle w:val="Hyperlink"/>
            <w:rFonts w:ascii="Arial" w:hAnsi="Arial" w:cs="Arial"/>
            <w:lang w:val="en-US"/>
          </w:rPr>
          <w:t>https://doi.org/10.1016/j.ijnurstu.2025.105179</w:t>
        </w:r>
      </w:hyperlink>
    </w:p>
    <w:p w14:paraId="5CD6F259"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
    <w:p w14:paraId="647D2E91"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Mutual, P., &amp; Mutual, P. (2025). A global perspective on elder care: Understanding Filipino caregiving culture. </w:t>
      </w:r>
      <w:r w:rsidRPr="002F5EF5">
        <w:rPr>
          <w:rFonts w:ascii="Arial" w:hAnsi="Arial" w:cs="Arial"/>
          <w:i/>
          <w:iCs/>
          <w:color w:val="000000"/>
        </w:rPr>
        <w:t>PCH Mutual</w:t>
      </w:r>
      <w:r w:rsidRPr="002F5EF5">
        <w:rPr>
          <w:rFonts w:ascii="Arial" w:hAnsi="Arial" w:cs="Arial"/>
          <w:color w:val="000000"/>
        </w:rPr>
        <w:t xml:space="preserve">. </w:t>
      </w:r>
      <w:hyperlink r:id="rId19" w:history="1">
        <w:r w:rsidRPr="002F5EF5">
          <w:rPr>
            <w:rStyle w:val="Hyperlink"/>
            <w:rFonts w:ascii="Arial" w:hAnsi="Arial" w:cs="Arial"/>
          </w:rPr>
          <w:t>https://pchmutual.com/2025/02/21/a-global-perspective-on-elder-care-understanding-filipino-caregiving-culture/</w:t>
        </w:r>
      </w:hyperlink>
    </w:p>
    <w:p w14:paraId="315EC692"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
    <w:p w14:paraId="5009D429"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roofErr w:type="spellStart"/>
      <w:r w:rsidRPr="00DA7264">
        <w:rPr>
          <w:rFonts w:ascii="Arial" w:hAnsi="Arial" w:cs="Arial"/>
          <w:color w:val="000000"/>
          <w:lang w:val="en-US"/>
        </w:rPr>
        <w:t>Dall’Ora</w:t>
      </w:r>
      <w:proofErr w:type="spellEnd"/>
      <w:r w:rsidRPr="00DA7264">
        <w:rPr>
          <w:rFonts w:ascii="Arial" w:hAnsi="Arial" w:cs="Arial"/>
          <w:color w:val="000000"/>
          <w:lang w:val="en-US"/>
        </w:rPr>
        <w:t xml:space="preserve">, C., Ball, J., </w:t>
      </w:r>
      <w:proofErr w:type="spellStart"/>
      <w:r w:rsidRPr="00DA7264">
        <w:rPr>
          <w:rFonts w:ascii="Arial" w:hAnsi="Arial" w:cs="Arial"/>
          <w:color w:val="000000"/>
          <w:lang w:val="en-US"/>
        </w:rPr>
        <w:t>Reinius</w:t>
      </w:r>
      <w:proofErr w:type="spellEnd"/>
      <w:r w:rsidRPr="00DA7264">
        <w:rPr>
          <w:rFonts w:ascii="Arial" w:hAnsi="Arial" w:cs="Arial"/>
          <w:color w:val="000000"/>
          <w:lang w:val="en-US"/>
        </w:rPr>
        <w:t xml:space="preserve">, M., &amp; Griffiths, P. (2020). Burnout in nursing: A theoretical review. </w:t>
      </w:r>
      <w:r w:rsidRPr="00DA7264">
        <w:rPr>
          <w:rFonts w:ascii="Arial" w:hAnsi="Arial" w:cs="Arial"/>
          <w:i/>
          <w:iCs/>
          <w:color w:val="000000"/>
          <w:lang w:val="en-US"/>
        </w:rPr>
        <w:t>Human Resources for Health</w:t>
      </w:r>
      <w:r w:rsidRPr="00DA7264">
        <w:rPr>
          <w:rFonts w:ascii="Arial" w:hAnsi="Arial" w:cs="Arial"/>
          <w:color w:val="000000"/>
          <w:lang w:val="en-US"/>
        </w:rPr>
        <w:t xml:space="preserve">, 18(1). </w:t>
      </w:r>
      <w:hyperlink r:id="rId20" w:history="1">
        <w:r w:rsidRPr="00DA7264">
          <w:rPr>
            <w:rStyle w:val="Hyperlink"/>
            <w:rFonts w:ascii="Arial" w:hAnsi="Arial" w:cs="Arial"/>
            <w:lang w:val="en-US"/>
          </w:rPr>
          <w:t>https://doi.org/10.1186/s12960-020-00469-9</w:t>
        </w:r>
      </w:hyperlink>
    </w:p>
    <w:p w14:paraId="189D175D" w14:textId="77777777" w:rsidR="009E62EF" w:rsidRPr="002F5EF5" w:rsidRDefault="009E62EF" w:rsidP="002F5EF5">
      <w:pPr>
        <w:pBdr>
          <w:top w:val="nil"/>
          <w:left w:val="nil"/>
          <w:bottom w:val="nil"/>
          <w:right w:val="nil"/>
          <w:between w:val="nil"/>
        </w:pBdr>
        <w:jc w:val="both"/>
        <w:rPr>
          <w:rFonts w:ascii="Arial" w:hAnsi="Arial" w:cs="Arial"/>
          <w:color w:val="000000"/>
          <w:lang w:val="en-US"/>
        </w:rPr>
      </w:pPr>
    </w:p>
    <w:p w14:paraId="14D4FCA4" w14:textId="4A57E9CD" w:rsidR="009E62EF" w:rsidRPr="00DA7264" w:rsidRDefault="009E62EF"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Goal 3: Good health and well-being - The Global Goals. (2024). </w:t>
      </w:r>
      <w:r w:rsidRPr="002F5EF5">
        <w:rPr>
          <w:rFonts w:ascii="Arial" w:hAnsi="Arial" w:cs="Arial"/>
          <w:i/>
          <w:iCs/>
          <w:color w:val="000000"/>
        </w:rPr>
        <w:t>The Global Goals</w:t>
      </w:r>
      <w:r w:rsidRPr="002F5EF5">
        <w:rPr>
          <w:rFonts w:ascii="Arial" w:hAnsi="Arial" w:cs="Arial"/>
          <w:color w:val="000000"/>
        </w:rPr>
        <w:t xml:space="preserve">. </w:t>
      </w:r>
      <w:hyperlink r:id="rId21" w:history="1">
        <w:r w:rsidRPr="002F5EF5">
          <w:rPr>
            <w:rStyle w:val="Hyperlink"/>
            <w:rFonts w:ascii="Arial" w:hAnsi="Arial" w:cs="Arial"/>
          </w:rPr>
          <w:t>https://globalgoals.org/goals/3-good-health-and-well-being/</w:t>
        </w:r>
      </w:hyperlink>
    </w:p>
    <w:p w14:paraId="6B923F94"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
    <w:p w14:paraId="2CCBDB11"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roofErr w:type="spellStart"/>
      <w:r w:rsidRPr="002F5EF5">
        <w:rPr>
          <w:rFonts w:ascii="Arial" w:hAnsi="Arial" w:cs="Arial"/>
          <w:color w:val="000000"/>
        </w:rPr>
        <w:t>Taminato</w:t>
      </w:r>
      <w:proofErr w:type="spellEnd"/>
      <w:r w:rsidRPr="002F5EF5">
        <w:rPr>
          <w:rFonts w:ascii="Arial" w:hAnsi="Arial" w:cs="Arial"/>
          <w:color w:val="000000"/>
        </w:rPr>
        <w:t xml:space="preserve">, M., Fernandes, H., Barbosa, D. A., et al. (2023). Nursing and the Sustainable Development Goals (SDGs): An essential commitment. </w:t>
      </w:r>
      <w:r w:rsidRPr="002F5EF5">
        <w:rPr>
          <w:rFonts w:ascii="Arial" w:hAnsi="Arial" w:cs="Arial"/>
          <w:i/>
          <w:iCs/>
          <w:color w:val="000000"/>
        </w:rPr>
        <w:t>Revista Brasileira de Enfermagem</w:t>
      </w:r>
      <w:r w:rsidRPr="002F5EF5">
        <w:rPr>
          <w:rFonts w:ascii="Arial" w:hAnsi="Arial" w:cs="Arial"/>
          <w:color w:val="000000"/>
        </w:rPr>
        <w:t xml:space="preserve">, 76(6), e760601. </w:t>
      </w:r>
      <w:hyperlink r:id="rId22" w:history="1">
        <w:r w:rsidRPr="002F5EF5">
          <w:rPr>
            <w:rStyle w:val="Hyperlink"/>
            <w:rFonts w:ascii="Arial" w:hAnsi="Arial" w:cs="Arial"/>
          </w:rPr>
          <w:t>https://doi.org/10.1590/0034-7167.2023760601</w:t>
        </w:r>
      </w:hyperlink>
    </w:p>
    <w:p w14:paraId="68218F37"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
    <w:p w14:paraId="04C40765"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World Health Organization. (2022). Ageing and health. </w:t>
      </w:r>
      <w:hyperlink r:id="rId23" w:history="1">
        <w:r w:rsidRPr="002F5EF5">
          <w:rPr>
            <w:rStyle w:val="Hyperlink"/>
            <w:rFonts w:ascii="Arial" w:hAnsi="Arial" w:cs="Arial"/>
          </w:rPr>
          <w:t>https://www.who.int/news-room/fact-sheets/detail/ageing-and-health</w:t>
        </w:r>
      </w:hyperlink>
    </w:p>
    <w:p w14:paraId="66659322"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
    <w:p w14:paraId="71629B24"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roofErr w:type="spellStart"/>
      <w:r w:rsidRPr="002F5EF5">
        <w:rPr>
          <w:rFonts w:ascii="Arial" w:hAnsi="Arial" w:cs="Arial"/>
          <w:color w:val="000000"/>
        </w:rPr>
        <w:t>Heiks</w:t>
      </w:r>
      <w:proofErr w:type="spellEnd"/>
      <w:r w:rsidRPr="002F5EF5">
        <w:rPr>
          <w:rFonts w:ascii="Arial" w:hAnsi="Arial" w:cs="Arial"/>
          <w:color w:val="000000"/>
        </w:rPr>
        <w:t xml:space="preserve">, H., &amp; Sabine, B. (2023). Long-term care and skilled nursing facilities. </w:t>
      </w:r>
      <w:r w:rsidRPr="002F5EF5">
        <w:rPr>
          <w:rFonts w:ascii="Arial" w:hAnsi="Arial" w:cs="Arial"/>
          <w:i/>
          <w:iCs/>
          <w:color w:val="000000"/>
        </w:rPr>
        <w:t>National Library of Medicine</w:t>
      </w:r>
      <w:r w:rsidRPr="002F5EF5">
        <w:rPr>
          <w:rFonts w:ascii="Arial" w:hAnsi="Arial" w:cs="Arial"/>
          <w:color w:val="000000"/>
        </w:rPr>
        <w:t xml:space="preserve">. </w:t>
      </w:r>
      <w:hyperlink r:id="rId24" w:history="1">
        <w:r w:rsidRPr="002F5EF5">
          <w:rPr>
            <w:rStyle w:val="Hyperlink"/>
            <w:rFonts w:ascii="Arial" w:hAnsi="Arial" w:cs="Arial"/>
          </w:rPr>
          <w:t>https://pmc.ncbi.nlm.nih.gov/articles/PMC9894029/</w:t>
        </w:r>
      </w:hyperlink>
    </w:p>
    <w:p w14:paraId="3F82A4A4"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
    <w:p w14:paraId="1E6E8114" w14:textId="77777777" w:rsidR="00DA7264" w:rsidRPr="002F5EF5" w:rsidRDefault="00DA7264" w:rsidP="002F5EF5">
      <w:pPr>
        <w:pBdr>
          <w:top w:val="nil"/>
          <w:left w:val="nil"/>
          <w:bottom w:val="nil"/>
          <w:right w:val="nil"/>
          <w:between w:val="nil"/>
        </w:pBdr>
        <w:jc w:val="both"/>
        <w:rPr>
          <w:rFonts w:ascii="Arial" w:hAnsi="Arial" w:cs="Arial"/>
          <w:color w:val="000000"/>
        </w:rPr>
      </w:pPr>
      <w:proofErr w:type="spellStart"/>
      <w:r w:rsidRPr="002F5EF5">
        <w:rPr>
          <w:rFonts w:ascii="Arial" w:hAnsi="Arial" w:cs="Arial"/>
          <w:color w:val="000000"/>
        </w:rPr>
        <w:t>Sillner</w:t>
      </w:r>
      <w:proofErr w:type="spellEnd"/>
      <w:r w:rsidRPr="002F5EF5">
        <w:rPr>
          <w:rFonts w:ascii="Arial" w:hAnsi="Arial" w:cs="Arial"/>
          <w:color w:val="000000"/>
        </w:rPr>
        <w:t xml:space="preserve">, A. Y., Madden, K. M., Moreno, G., et al. (2021). Person-centered gerontological nursing: An overview across care settings. </w:t>
      </w:r>
      <w:r w:rsidRPr="002F5EF5">
        <w:rPr>
          <w:rFonts w:ascii="Arial" w:hAnsi="Arial" w:cs="Arial"/>
          <w:i/>
          <w:iCs/>
          <w:color w:val="000000"/>
        </w:rPr>
        <w:t>Journal of Gerontological Nursing</w:t>
      </w:r>
      <w:r w:rsidRPr="002F5EF5">
        <w:rPr>
          <w:rFonts w:ascii="Arial" w:hAnsi="Arial" w:cs="Arial"/>
          <w:color w:val="000000"/>
        </w:rPr>
        <w:t>, 47(5), 7–13.</w:t>
      </w:r>
    </w:p>
    <w:p w14:paraId="1F700BA2" w14:textId="77777777" w:rsidR="00DA7264" w:rsidRPr="002F5EF5" w:rsidRDefault="00DA7264" w:rsidP="002F5EF5">
      <w:pPr>
        <w:pBdr>
          <w:top w:val="nil"/>
          <w:left w:val="nil"/>
          <w:bottom w:val="nil"/>
          <w:right w:val="nil"/>
          <w:between w:val="nil"/>
        </w:pBdr>
        <w:jc w:val="both"/>
        <w:rPr>
          <w:rFonts w:ascii="Arial" w:hAnsi="Arial" w:cs="Arial"/>
          <w:color w:val="000000"/>
        </w:rPr>
      </w:pPr>
    </w:p>
    <w:p w14:paraId="3059B04F"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lang w:val="pl-PL"/>
        </w:rPr>
        <w:t xml:space="preserve">Park, K. H., &amp; Kim, H. (2025). </w:t>
      </w:r>
      <w:r w:rsidRPr="002F5EF5">
        <w:rPr>
          <w:rFonts w:ascii="Arial" w:hAnsi="Arial" w:cs="Arial"/>
          <w:color w:val="000000"/>
        </w:rPr>
        <w:t xml:space="preserve">Mapping nursing roles in long-term care: A systematic review with network analysis. </w:t>
      </w:r>
      <w:r w:rsidRPr="002F5EF5">
        <w:rPr>
          <w:rFonts w:ascii="Arial" w:hAnsi="Arial" w:cs="Arial"/>
          <w:i/>
          <w:iCs/>
          <w:color w:val="000000"/>
        </w:rPr>
        <w:t>Journal of Advanced Nursing</w:t>
      </w:r>
      <w:r w:rsidRPr="002F5EF5">
        <w:rPr>
          <w:rFonts w:ascii="Arial" w:hAnsi="Arial" w:cs="Arial"/>
          <w:color w:val="000000"/>
        </w:rPr>
        <w:t xml:space="preserve">. </w:t>
      </w:r>
      <w:hyperlink r:id="rId25" w:history="1">
        <w:r w:rsidRPr="002F5EF5">
          <w:rPr>
            <w:rStyle w:val="Hyperlink"/>
            <w:rFonts w:ascii="Arial" w:hAnsi="Arial" w:cs="Arial"/>
          </w:rPr>
          <w:t>https://doi.org/10.1111/jan.70242</w:t>
        </w:r>
      </w:hyperlink>
    </w:p>
    <w:p w14:paraId="78E1B412"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
    <w:p w14:paraId="549EB1F5" w14:textId="77777777" w:rsidR="00DA7264" w:rsidRPr="00DA7264" w:rsidRDefault="00DA7264" w:rsidP="002F5EF5">
      <w:pPr>
        <w:pBdr>
          <w:top w:val="nil"/>
          <w:left w:val="nil"/>
          <w:bottom w:val="nil"/>
          <w:right w:val="nil"/>
          <w:between w:val="nil"/>
        </w:pBdr>
        <w:jc w:val="both"/>
        <w:rPr>
          <w:rFonts w:ascii="Arial" w:hAnsi="Arial" w:cs="Arial"/>
          <w:color w:val="000000"/>
          <w:lang w:val="en-US"/>
        </w:rPr>
      </w:pPr>
      <w:proofErr w:type="spellStart"/>
      <w:r w:rsidRPr="00DA7264">
        <w:rPr>
          <w:rFonts w:ascii="Arial" w:hAnsi="Arial" w:cs="Arial"/>
          <w:color w:val="000000"/>
          <w:lang w:val="en-US"/>
        </w:rPr>
        <w:t>Gruneir</w:t>
      </w:r>
      <w:proofErr w:type="spellEnd"/>
      <w:r w:rsidRPr="00DA7264">
        <w:rPr>
          <w:rFonts w:ascii="Arial" w:hAnsi="Arial" w:cs="Arial"/>
          <w:color w:val="000000"/>
          <w:lang w:val="en-US"/>
        </w:rPr>
        <w:t xml:space="preserve">, A., Hoben, M., Easterbrook, A., Jensen, C., Buencamino, M., Tompalski, J., et al. (2023). Exploring nursing home residents and their care partner priorities for care using the action-project method. </w:t>
      </w:r>
      <w:r w:rsidRPr="00DA7264">
        <w:rPr>
          <w:rFonts w:ascii="Arial" w:hAnsi="Arial" w:cs="Arial"/>
          <w:i/>
          <w:iCs/>
          <w:color w:val="000000"/>
          <w:lang w:val="en-US"/>
        </w:rPr>
        <w:t>BMC Geriatrics</w:t>
      </w:r>
      <w:r w:rsidRPr="00DA7264">
        <w:rPr>
          <w:rFonts w:ascii="Arial" w:hAnsi="Arial" w:cs="Arial"/>
          <w:color w:val="000000"/>
          <w:lang w:val="en-US"/>
        </w:rPr>
        <w:t xml:space="preserve">, 23(1), 133. </w:t>
      </w:r>
      <w:hyperlink r:id="rId26" w:history="1">
        <w:r w:rsidRPr="00DA7264">
          <w:rPr>
            <w:rStyle w:val="Hyperlink"/>
            <w:rFonts w:ascii="Arial" w:hAnsi="Arial" w:cs="Arial"/>
            <w:lang w:val="en-US"/>
          </w:rPr>
          <w:t>https://doi.org/10.1186/s12877-023-03863-9</w:t>
        </w:r>
      </w:hyperlink>
    </w:p>
    <w:p w14:paraId="48CE00DB"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
    <w:p w14:paraId="2096D1E9" w14:textId="77777777" w:rsidR="00DA7264" w:rsidRPr="00DA7264" w:rsidRDefault="00DA7264" w:rsidP="002F5EF5">
      <w:pPr>
        <w:pBdr>
          <w:top w:val="nil"/>
          <w:left w:val="nil"/>
          <w:bottom w:val="nil"/>
          <w:right w:val="nil"/>
          <w:between w:val="nil"/>
        </w:pBdr>
        <w:jc w:val="both"/>
        <w:rPr>
          <w:rFonts w:ascii="Arial" w:hAnsi="Arial" w:cs="Arial"/>
          <w:color w:val="000000"/>
          <w:lang w:val="en-US"/>
        </w:rPr>
      </w:pPr>
      <w:proofErr w:type="spellStart"/>
      <w:r w:rsidRPr="00DA7264">
        <w:rPr>
          <w:rFonts w:ascii="Arial" w:hAnsi="Arial" w:cs="Arial"/>
          <w:color w:val="000000"/>
          <w:lang w:val="en-US"/>
        </w:rPr>
        <w:t>Sihvola</w:t>
      </w:r>
      <w:proofErr w:type="spellEnd"/>
      <w:r w:rsidRPr="00DA7264">
        <w:rPr>
          <w:rFonts w:ascii="Arial" w:hAnsi="Arial" w:cs="Arial"/>
          <w:color w:val="000000"/>
          <w:lang w:val="en-US"/>
        </w:rPr>
        <w:t xml:space="preserve">, S., </w:t>
      </w:r>
      <w:proofErr w:type="spellStart"/>
      <w:r w:rsidRPr="00DA7264">
        <w:rPr>
          <w:rFonts w:ascii="Arial" w:hAnsi="Arial" w:cs="Arial"/>
          <w:color w:val="000000"/>
          <w:lang w:val="en-US"/>
        </w:rPr>
        <w:t>Nurmeksela</w:t>
      </w:r>
      <w:proofErr w:type="spellEnd"/>
      <w:r w:rsidRPr="00DA7264">
        <w:rPr>
          <w:rFonts w:ascii="Arial" w:hAnsi="Arial" w:cs="Arial"/>
          <w:color w:val="000000"/>
          <w:lang w:val="en-US"/>
        </w:rPr>
        <w:t xml:space="preserve">, A., Mikkonen, S., Peltokoski, J., Kvist, T., et al. (2023). Resilience, job satisfaction, intentions to leave nursing and quality of care among nurses during the COVID-19 pandemic: A questionnaire study. </w:t>
      </w:r>
      <w:r w:rsidRPr="00DA7264">
        <w:rPr>
          <w:rFonts w:ascii="Arial" w:hAnsi="Arial" w:cs="Arial"/>
          <w:i/>
          <w:iCs/>
          <w:color w:val="000000"/>
          <w:lang w:val="en-US"/>
        </w:rPr>
        <w:t>BMC Health Services Research</w:t>
      </w:r>
      <w:r w:rsidRPr="00DA7264">
        <w:rPr>
          <w:rFonts w:ascii="Arial" w:hAnsi="Arial" w:cs="Arial"/>
          <w:color w:val="000000"/>
          <w:lang w:val="en-US"/>
        </w:rPr>
        <w:t xml:space="preserve">, 23(1). </w:t>
      </w:r>
      <w:hyperlink r:id="rId27" w:history="1">
        <w:r w:rsidRPr="00DA7264">
          <w:rPr>
            <w:rStyle w:val="Hyperlink"/>
            <w:rFonts w:ascii="Arial" w:hAnsi="Arial" w:cs="Arial"/>
            <w:lang w:val="en-US"/>
          </w:rPr>
          <w:t>https://doi.org/10.1186/s12913-023-09648-5</w:t>
        </w:r>
      </w:hyperlink>
    </w:p>
    <w:p w14:paraId="4876F401" w14:textId="77777777" w:rsidR="00DA7264" w:rsidRPr="002F5EF5" w:rsidRDefault="00DA7264" w:rsidP="002F5EF5">
      <w:pPr>
        <w:pBdr>
          <w:top w:val="nil"/>
          <w:left w:val="nil"/>
          <w:bottom w:val="nil"/>
          <w:right w:val="nil"/>
          <w:between w:val="nil"/>
        </w:pBdr>
        <w:jc w:val="both"/>
        <w:rPr>
          <w:rFonts w:ascii="Arial" w:hAnsi="Arial" w:cs="Arial"/>
          <w:color w:val="000000"/>
        </w:rPr>
      </w:pPr>
    </w:p>
    <w:p w14:paraId="2CADAA5B" w14:textId="342D49DA" w:rsidR="00DA7264" w:rsidRPr="002F5EF5" w:rsidRDefault="00DA7264"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Deep, S. (2024). Philippines nursing homes and long-term care facilities market (2025–2031): Trends &amp; outlook. </w:t>
      </w:r>
      <w:r w:rsidRPr="002F5EF5">
        <w:rPr>
          <w:rFonts w:ascii="Arial" w:hAnsi="Arial" w:cs="Arial"/>
          <w:i/>
          <w:iCs/>
          <w:color w:val="000000"/>
        </w:rPr>
        <w:t>6Wresearch</w:t>
      </w:r>
      <w:r w:rsidRPr="002F5EF5">
        <w:rPr>
          <w:rFonts w:ascii="Arial" w:hAnsi="Arial" w:cs="Arial"/>
          <w:color w:val="000000"/>
        </w:rPr>
        <w:t xml:space="preserve">. </w:t>
      </w:r>
      <w:hyperlink r:id="rId28" w:history="1">
        <w:r w:rsidRPr="002F5EF5">
          <w:rPr>
            <w:rStyle w:val="Hyperlink"/>
            <w:rFonts w:ascii="Arial" w:hAnsi="Arial" w:cs="Arial"/>
          </w:rPr>
          <w:t>https://www.6wresearch.com/industry-report/philippines-nursing-homes-and-long-term-care-facilities-market</w:t>
        </w:r>
      </w:hyperlink>
    </w:p>
    <w:p w14:paraId="058AED78"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
    <w:p w14:paraId="13B5D41F" w14:textId="018D6450" w:rsidR="00DA7264" w:rsidRPr="002F5EF5" w:rsidRDefault="00DA7264"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lastRenderedPageBreak/>
        <w:t xml:space="preserve">Doyle, L., McCabe, C., Keogh, B., Brady, A., McCann, M., et al. (2019). An overview of the qualitative descriptive design within nursing research. </w:t>
      </w:r>
      <w:r w:rsidRPr="002F5EF5">
        <w:rPr>
          <w:rFonts w:ascii="Arial" w:hAnsi="Arial" w:cs="Arial"/>
          <w:i/>
          <w:iCs/>
          <w:color w:val="000000"/>
        </w:rPr>
        <w:t>Journal of Research in Nursing</w:t>
      </w:r>
      <w:r w:rsidRPr="002F5EF5">
        <w:rPr>
          <w:rFonts w:ascii="Arial" w:hAnsi="Arial" w:cs="Arial"/>
          <w:color w:val="000000"/>
        </w:rPr>
        <w:t xml:space="preserve">, 25(5), 443–455. </w:t>
      </w:r>
      <w:hyperlink r:id="rId29" w:history="1">
        <w:r w:rsidRPr="002F5EF5">
          <w:rPr>
            <w:rStyle w:val="Hyperlink"/>
            <w:rFonts w:ascii="Arial" w:hAnsi="Arial" w:cs="Arial"/>
          </w:rPr>
          <w:t>https://doi.org/10.1177/1744987119880234</w:t>
        </w:r>
      </w:hyperlink>
    </w:p>
    <w:p w14:paraId="0ABBDD4D" w14:textId="77777777" w:rsidR="00DA7264" w:rsidRPr="002F5EF5" w:rsidRDefault="00DA7264" w:rsidP="002F5EF5">
      <w:pPr>
        <w:pBdr>
          <w:top w:val="nil"/>
          <w:left w:val="nil"/>
          <w:bottom w:val="nil"/>
          <w:right w:val="nil"/>
          <w:between w:val="nil"/>
        </w:pBdr>
        <w:jc w:val="both"/>
        <w:rPr>
          <w:rFonts w:ascii="Arial" w:hAnsi="Arial" w:cs="Arial"/>
          <w:color w:val="000000"/>
        </w:rPr>
      </w:pPr>
    </w:p>
    <w:p w14:paraId="017B5D1E" w14:textId="1F7FF3E2" w:rsidR="00DA7264" w:rsidRPr="002F5EF5" w:rsidRDefault="00DA7264"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Ayton, D. (2023). Chapter 5: Qualitative descriptive research. </w:t>
      </w:r>
      <w:r w:rsidRPr="002F5EF5">
        <w:rPr>
          <w:rFonts w:ascii="Arial" w:hAnsi="Arial" w:cs="Arial"/>
          <w:i/>
          <w:iCs/>
          <w:color w:val="000000"/>
        </w:rPr>
        <w:t>Qualitative Research – A Practical Guide for Health and Social Care Researchers and Practitioners</w:t>
      </w:r>
      <w:r w:rsidRPr="002F5EF5">
        <w:rPr>
          <w:rFonts w:ascii="Arial" w:hAnsi="Arial" w:cs="Arial"/>
          <w:color w:val="000000"/>
        </w:rPr>
        <w:t xml:space="preserve">. </w:t>
      </w:r>
      <w:hyperlink r:id="rId30" w:history="1">
        <w:r w:rsidRPr="002F5EF5">
          <w:rPr>
            <w:rStyle w:val="Hyperlink"/>
            <w:rFonts w:ascii="Arial" w:hAnsi="Arial" w:cs="Arial"/>
          </w:rPr>
          <w:t>https://oercollective.caul.edu.au/qualitativeresearch/chapter/__unknown__-5/</w:t>
        </w:r>
      </w:hyperlink>
    </w:p>
    <w:p w14:paraId="29999FBB" w14:textId="77777777" w:rsidR="00DA7264" w:rsidRPr="002F5EF5" w:rsidRDefault="00DA7264" w:rsidP="002F5EF5">
      <w:pPr>
        <w:pBdr>
          <w:top w:val="nil"/>
          <w:left w:val="nil"/>
          <w:bottom w:val="nil"/>
          <w:right w:val="nil"/>
          <w:between w:val="nil"/>
        </w:pBdr>
        <w:jc w:val="both"/>
        <w:rPr>
          <w:rFonts w:ascii="Arial" w:hAnsi="Arial" w:cs="Arial"/>
          <w:color w:val="000000"/>
          <w:lang w:val="en-US"/>
        </w:rPr>
      </w:pPr>
    </w:p>
    <w:p w14:paraId="7E115DFC" w14:textId="4CB30C82" w:rsidR="00DA7264" w:rsidRPr="002F5EF5" w:rsidRDefault="00F27431"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Villamin, P., Lopez, V., Thapa, D. K., Cleary, M., et al. (2024). A worked example of qualitative descriptive design: A step-by-step guide for novice and early career researchers. </w:t>
      </w:r>
      <w:r w:rsidRPr="002F5EF5">
        <w:rPr>
          <w:rFonts w:ascii="Arial" w:hAnsi="Arial" w:cs="Arial"/>
          <w:i/>
          <w:iCs/>
          <w:color w:val="000000"/>
        </w:rPr>
        <w:t>Journal of Advanced Nursing</w:t>
      </w:r>
      <w:r w:rsidRPr="002F5EF5">
        <w:rPr>
          <w:rFonts w:ascii="Arial" w:hAnsi="Arial" w:cs="Arial"/>
          <w:color w:val="000000"/>
        </w:rPr>
        <w:t xml:space="preserve">. </w:t>
      </w:r>
      <w:hyperlink r:id="rId31" w:history="1">
        <w:r w:rsidRPr="002F5EF5">
          <w:rPr>
            <w:rStyle w:val="Hyperlink"/>
            <w:rFonts w:ascii="Arial" w:hAnsi="Arial" w:cs="Arial"/>
          </w:rPr>
          <w:t>https://doi.org/10.1111/jan.16481</w:t>
        </w:r>
      </w:hyperlink>
    </w:p>
    <w:p w14:paraId="12A73D90" w14:textId="08776703" w:rsidR="00F27431" w:rsidRPr="002F5EF5" w:rsidRDefault="00F27431"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Crossman, A. (2020). Understanding purposive sampling. </w:t>
      </w:r>
      <w:r w:rsidRPr="002F5EF5">
        <w:rPr>
          <w:rFonts w:ascii="Arial" w:hAnsi="Arial" w:cs="Arial"/>
          <w:i/>
          <w:iCs/>
          <w:color w:val="000000"/>
        </w:rPr>
        <w:t>ThoughtCo</w:t>
      </w:r>
      <w:r w:rsidRPr="002F5EF5">
        <w:rPr>
          <w:rFonts w:ascii="Arial" w:hAnsi="Arial" w:cs="Arial"/>
          <w:color w:val="000000"/>
        </w:rPr>
        <w:t xml:space="preserve">. </w:t>
      </w:r>
      <w:hyperlink r:id="rId32" w:history="1">
        <w:r w:rsidRPr="002F5EF5">
          <w:rPr>
            <w:rStyle w:val="Hyperlink"/>
            <w:rFonts w:ascii="Arial" w:hAnsi="Arial" w:cs="Arial"/>
          </w:rPr>
          <w:t>https://www.thoughtco.com/purposive-sampling-3026727</w:t>
        </w:r>
      </w:hyperlink>
    </w:p>
    <w:p w14:paraId="7CD9431D" w14:textId="77777777" w:rsidR="00F27431" w:rsidRPr="002F5EF5" w:rsidRDefault="00F27431" w:rsidP="002F5EF5">
      <w:pPr>
        <w:pBdr>
          <w:top w:val="nil"/>
          <w:left w:val="nil"/>
          <w:bottom w:val="nil"/>
          <w:right w:val="nil"/>
          <w:between w:val="nil"/>
        </w:pBdr>
        <w:jc w:val="both"/>
        <w:rPr>
          <w:rFonts w:ascii="Arial" w:hAnsi="Arial" w:cs="Arial"/>
          <w:color w:val="000000"/>
        </w:rPr>
      </w:pPr>
    </w:p>
    <w:p w14:paraId="38C50FC7" w14:textId="43F7A1EC" w:rsidR="00F27431" w:rsidRPr="002F5EF5" w:rsidRDefault="00F27431" w:rsidP="002F5EF5">
      <w:pPr>
        <w:pBdr>
          <w:top w:val="nil"/>
          <w:left w:val="nil"/>
          <w:bottom w:val="nil"/>
          <w:right w:val="nil"/>
          <w:between w:val="nil"/>
        </w:pBdr>
        <w:jc w:val="both"/>
        <w:rPr>
          <w:rFonts w:ascii="Arial" w:hAnsi="Arial" w:cs="Arial"/>
          <w:color w:val="000000"/>
        </w:rPr>
      </w:pPr>
      <w:r w:rsidRPr="002F5EF5">
        <w:rPr>
          <w:rFonts w:ascii="Arial" w:hAnsi="Arial" w:cs="Arial"/>
          <w:color w:val="000000"/>
        </w:rPr>
        <w:t xml:space="preserve">Ercan-Şahin, N., &amp; Öner, M. (2025). A phenomenological study on the experiences of nursing home nurses. </w:t>
      </w:r>
      <w:r w:rsidRPr="002F5EF5">
        <w:rPr>
          <w:rFonts w:ascii="Arial" w:hAnsi="Arial" w:cs="Arial"/>
          <w:i/>
          <w:iCs/>
          <w:color w:val="000000"/>
        </w:rPr>
        <w:t>BMC Nursing</w:t>
      </w:r>
      <w:r w:rsidRPr="002F5EF5">
        <w:rPr>
          <w:rFonts w:ascii="Arial" w:hAnsi="Arial" w:cs="Arial"/>
          <w:color w:val="000000"/>
        </w:rPr>
        <w:t xml:space="preserve">, 24(1). </w:t>
      </w:r>
      <w:hyperlink r:id="rId33" w:history="1">
        <w:r w:rsidRPr="002F5EF5">
          <w:rPr>
            <w:rStyle w:val="Hyperlink"/>
            <w:rFonts w:ascii="Arial" w:hAnsi="Arial" w:cs="Arial"/>
          </w:rPr>
          <w:t>https://doi.org/10.1186/s12912-025-03192-9</w:t>
        </w:r>
      </w:hyperlink>
    </w:p>
    <w:p w14:paraId="37AD418D" w14:textId="77777777" w:rsidR="00F27431" w:rsidRPr="002F5EF5" w:rsidRDefault="00F27431" w:rsidP="002F5EF5">
      <w:pPr>
        <w:pBdr>
          <w:top w:val="nil"/>
          <w:left w:val="nil"/>
          <w:bottom w:val="nil"/>
          <w:right w:val="nil"/>
          <w:between w:val="nil"/>
        </w:pBdr>
        <w:jc w:val="both"/>
        <w:rPr>
          <w:rFonts w:ascii="Arial" w:hAnsi="Arial" w:cs="Arial"/>
          <w:color w:val="000000"/>
        </w:rPr>
      </w:pPr>
    </w:p>
    <w:p w14:paraId="3D2C1B84" w14:textId="002CD784" w:rsidR="00F27431" w:rsidRPr="002F5EF5" w:rsidRDefault="00F27431" w:rsidP="002F5EF5">
      <w:pPr>
        <w:pBdr>
          <w:top w:val="nil"/>
          <w:left w:val="nil"/>
          <w:bottom w:val="nil"/>
          <w:right w:val="nil"/>
          <w:between w:val="nil"/>
        </w:pBdr>
        <w:jc w:val="both"/>
        <w:rPr>
          <w:rFonts w:ascii="Arial" w:hAnsi="Arial" w:cs="Arial"/>
          <w:color w:val="000000"/>
        </w:rPr>
      </w:pPr>
      <w:r w:rsidRPr="002F5EF5">
        <w:rPr>
          <w:rFonts w:ascii="Arial" w:hAnsi="Arial" w:cs="Arial"/>
          <w:color w:val="000000"/>
        </w:rPr>
        <w:t xml:space="preserve">Creswell, J. W. (2009). </w:t>
      </w:r>
      <w:r w:rsidRPr="002F5EF5">
        <w:rPr>
          <w:rFonts w:ascii="Arial" w:hAnsi="Arial" w:cs="Arial"/>
          <w:i/>
          <w:iCs/>
          <w:color w:val="000000"/>
        </w:rPr>
        <w:t>Research design: Qualitative, quantitative, and mixed methods approaches</w:t>
      </w:r>
      <w:r w:rsidRPr="002F5EF5">
        <w:rPr>
          <w:rFonts w:ascii="Arial" w:hAnsi="Arial" w:cs="Arial"/>
          <w:color w:val="000000"/>
        </w:rPr>
        <w:t xml:space="preserve"> (3rd ed.). SAGE Publications.</w:t>
      </w:r>
    </w:p>
    <w:p w14:paraId="3BFB5C12" w14:textId="77777777" w:rsidR="00F27431" w:rsidRPr="002F5EF5" w:rsidRDefault="00F27431" w:rsidP="002F5EF5">
      <w:pPr>
        <w:pBdr>
          <w:top w:val="nil"/>
          <w:left w:val="nil"/>
          <w:bottom w:val="nil"/>
          <w:right w:val="nil"/>
          <w:between w:val="nil"/>
        </w:pBdr>
        <w:jc w:val="both"/>
        <w:rPr>
          <w:rFonts w:ascii="Arial" w:hAnsi="Arial" w:cs="Arial"/>
          <w:color w:val="000000"/>
        </w:rPr>
      </w:pPr>
    </w:p>
    <w:p w14:paraId="6596F47E" w14:textId="25E0CBE8" w:rsidR="00F27431" w:rsidRPr="002F5EF5" w:rsidRDefault="00F27431" w:rsidP="002F5EF5">
      <w:pPr>
        <w:pBdr>
          <w:top w:val="nil"/>
          <w:left w:val="nil"/>
          <w:bottom w:val="nil"/>
          <w:right w:val="nil"/>
          <w:between w:val="nil"/>
        </w:pBdr>
        <w:jc w:val="both"/>
        <w:rPr>
          <w:rFonts w:ascii="Arial" w:hAnsi="Arial" w:cs="Arial"/>
          <w:color w:val="000000"/>
        </w:rPr>
      </w:pPr>
      <w:proofErr w:type="spellStart"/>
      <w:r w:rsidRPr="002F5EF5">
        <w:rPr>
          <w:rFonts w:ascii="Arial" w:hAnsi="Arial" w:cs="Arial"/>
          <w:color w:val="000000"/>
        </w:rPr>
        <w:t>Hennink</w:t>
      </w:r>
      <w:proofErr w:type="spellEnd"/>
      <w:r w:rsidRPr="002F5EF5">
        <w:rPr>
          <w:rFonts w:ascii="Arial" w:hAnsi="Arial" w:cs="Arial"/>
          <w:color w:val="000000"/>
        </w:rPr>
        <w:t xml:space="preserve">, M., &amp; Kaiser, B. N. (2021). Sample sizes for saturation in qualitative research: A systematic review of empirical tests. </w:t>
      </w:r>
      <w:r w:rsidRPr="002F5EF5">
        <w:rPr>
          <w:rFonts w:ascii="Arial" w:hAnsi="Arial" w:cs="Arial"/>
          <w:i/>
          <w:iCs/>
          <w:color w:val="000000"/>
        </w:rPr>
        <w:t>Social Science &amp; Medicine</w:t>
      </w:r>
      <w:r w:rsidRPr="002F5EF5">
        <w:rPr>
          <w:rFonts w:ascii="Arial" w:hAnsi="Arial" w:cs="Arial"/>
          <w:color w:val="000000"/>
        </w:rPr>
        <w:t xml:space="preserve">, 292, 114523. </w:t>
      </w:r>
      <w:hyperlink r:id="rId34" w:history="1">
        <w:r w:rsidRPr="002F5EF5">
          <w:rPr>
            <w:rStyle w:val="Hyperlink"/>
            <w:rFonts w:ascii="Arial" w:hAnsi="Arial" w:cs="Arial"/>
          </w:rPr>
          <w:t>https://doi.org/10.1016/j.socscimed.2021.114523</w:t>
        </w:r>
      </w:hyperlink>
    </w:p>
    <w:p w14:paraId="2EBC1B22" w14:textId="77777777" w:rsidR="00F27431" w:rsidRPr="002F5EF5" w:rsidRDefault="00F27431" w:rsidP="002F5EF5">
      <w:pPr>
        <w:pBdr>
          <w:top w:val="nil"/>
          <w:left w:val="nil"/>
          <w:bottom w:val="nil"/>
          <w:right w:val="nil"/>
          <w:between w:val="nil"/>
        </w:pBdr>
        <w:jc w:val="both"/>
        <w:rPr>
          <w:rFonts w:ascii="Arial" w:hAnsi="Arial" w:cs="Arial"/>
          <w:color w:val="000000"/>
        </w:rPr>
      </w:pPr>
    </w:p>
    <w:p w14:paraId="146E6E91" w14:textId="3F8CE0A1" w:rsidR="00F27431" w:rsidRPr="002F5EF5" w:rsidRDefault="00F27431" w:rsidP="002F5EF5">
      <w:pPr>
        <w:pBdr>
          <w:top w:val="nil"/>
          <w:left w:val="nil"/>
          <w:bottom w:val="nil"/>
          <w:right w:val="nil"/>
          <w:between w:val="nil"/>
        </w:pBdr>
        <w:jc w:val="both"/>
        <w:rPr>
          <w:rFonts w:ascii="Arial" w:hAnsi="Arial" w:cs="Arial"/>
          <w:color w:val="000000"/>
        </w:rPr>
      </w:pPr>
      <w:r w:rsidRPr="002F5EF5">
        <w:rPr>
          <w:rFonts w:ascii="Arial" w:hAnsi="Arial" w:cs="Arial"/>
          <w:color w:val="000000"/>
        </w:rPr>
        <w:t xml:space="preserve">Stephen, A., Connelly, D., Hung, L., &amp; Unger, J. (2024). Staff-family communication methods in long-term care homes: An integrative review. </w:t>
      </w:r>
      <w:r w:rsidRPr="002F5EF5">
        <w:rPr>
          <w:rFonts w:ascii="Arial" w:hAnsi="Arial" w:cs="Arial"/>
          <w:i/>
          <w:iCs/>
          <w:color w:val="000000"/>
        </w:rPr>
        <w:t>Journal of Long-Term Care</w:t>
      </w:r>
      <w:r w:rsidRPr="002F5EF5">
        <w:rPr>
          <w:rFonts w:ascii="Arial" w:hAnsi="Arial" w:cs="Arial"/>
          <w:color w:val="000000"/>
        </w:rPr>
        <w:t xml:space="preserve">. </w:t>
      </w:r>
      <w:hyperlink r:id="rId35" w:history="1">
        <w:r w:rsidRPr="002F5EF5">
          <w:rPr>
            <w:rStyle w:val="Hyperlink"/>
            <w:rFonts w:ascii="Arial" w:hAnsi="Arial" w:cs="Arial"/>
          </w:rPr>
          <w:t>https://doi.org/10.31389/jltc.282</w:t>
        </w:r>
      </w:hyperlink>
    </w:p>
    <w:p w14:paraId="3CC4137B" w14:textId="77777777" w:rsidR="00F27431" w:rsidRPr="002F5EF5" w:rsidRDefault="00F27431" w:rsidP="002F5EF5">
      <w:pPr>
        <w:pBdr>
          <w:top w:val="nil"/>
          <w:left w:val="nil"/>
          <w:bottom w:val="nil"/>
          <w:right w:val="nil"/>
          <w:between w:val="nil"/>
        </w:pBdr>
        <w:jc w:val="both"/>
        <w:rPr>
          <w:rFonts w:ascii="Arial" w:hAnsi="Arial" w:cs="Arial"/>
          <w:color w:val="000000"/>
        </w:rPr>
      </w:pPr>
    </w:p>
    <w:p w14:paraId="17836507" w14:textId="1BEE2080" w:rsidR="00F27431" w:rsidRPr="002F5EF5" w:rsidRDefault="00F27431"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Sun, Y., Wang, S., Tsai, Y., Wei, W., Chang, H., et al. (2023). Registered nurses’ perceptions and experience of working in aged care: A qualitative approach. </w:t>
      </w:r>
      <w:r w:rsidRPr="002F5EF5">
        <w:rPr>
          <w:rFonts w:ascii="Arial" w:hAnsi="Arial" w:cs="Arial"/>
          <w:i/>
          <w:iCs/>
          <w:color w:val="000000"/>
        </w:rPr>
        <w:t>Nursing Open</w:t>
      </w:r>
      <w:r w:rsidRPr="002F5EF5">
        <w:rPr>
          <w:rFonts w:ascii="Arial" w:hAnsi="Arial" w:cs="Arial"/>
          <w:color w:val="000000"/>
        </w:rPr>
        <w:t xml:space="preserve">, 11(1). </w:t>
      </w:r>
      <w:hyperlink r:id="rId36" w:history="1">
        <w:r w:rsidRPr="002F5EF5">
          <w:rPr>
            <w:rStyle w:val="Hyperlink"/>
            <w:rFonts w:ascii="Arial" w:hAnsi="Arial" w:cs="Arial"/>
          </w:rPr>
          <w:t>https://doi.org/10.1002/nop2.2060</w:t>
        </w:r>
      </w:hyperlink>
    </w:p>
    <w:p w14:paraId="6CCF4DB7" w14:textId="77777777" w:rsidR="00F27431" w:rsidRPr="002F5EF5" w:rsidRDefault="00F27431" w:rsidP="002F5EF5">
      <w:pPr>
        <w:pBdr>
          <w:top w:val="nil"/>
          <w:left w:val="nil"/>
          <w:bottom w:val="nil"/>
          <w:right w:val="nil"/>
          <w:between w:val="nil"/>
        </w:pBdr>
        <w:jc w:val="both"/>
        <w:rPr>
          <w:rFonts w:ascii="Arial" w:hAnsi="Arial" w:cs="Arial"/>
          <w:color w:val="000000"/>
          <w:lang w:val="en-US"/>
        </w:rPr>
      </w:pPr>
    </w:p>
    <w:p w14:paraId="5CFC3D2B" w14:textId="77777777" w:rsidR="00DA7264" w:rsidRPr="002F5EF5" w:rsidRDefault="00F27431"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Shaw, L., Masood, M., Neufeld, K., Connelly, D., Stanley, M., Guitar, N. A., et al. (2024). Work disparities and the health of nurses in long-term care: A scoping review. </w:t>
      </w:r>
      <w:r w:rsidRPr="002F5EF5">
        <w:rPr>
          <w:rFonts w:ascii="Arial" w:hAnsi="Arial" w:cs="Arial"/>
          <w:i/>
          <w:iCs/>
          <w:color w:val="000000"/>
        </w:rPr>
        <w:t>Healthcare</w:t>
      </w:r>
      <w:r w:rsidRPr="002F5EF5">
        <w:rPr>
          <w:rFonts w:ascii="Arial" w:hAnsi="Arial" w:cs="Arial"/>
          <w:color w:val="000000"/>
        </w:rPr>
        <w:t xml:space="preserve">, 12(20), 2065. </w:t>
      </w:r>
      <w:hyperlink r:id="rId37" w:history="1">
        <w:r w:rsidRPr="002F5EF5">
          <w:rPr>
            <w:rStyle w:val="Hyperlink"/>
            <w:rFonts w:ascii="Arial" w:hAnsi="Arial" w:cs="Arial"/>
          </w:rPr>
          <w:t>https://doi.org/10.3390/healthcare12202065</w:t>
        </w:r>
      </w:hyperlink>
    </w:p>
    <w:p w14:paraId="0512B06B" w14:textId="77777777" w:rsidR="00F27431" w:rsidRPr="002F5EF5" w:rsidRDefault="00F27431" w:rsidP="002F5EF5">
      <w:pPr>
        <w:pBdr>
          <w:top w:val="nil"/>
          <w:left w:val="nil"/>
          <w:bottom w:val="nil"/>
          <w:right w:val="nil"/>
          <w:between w:val="nil"/>
        </w:pBdr>
        <w:jc w:val="both"/>
        <w:rPr>
          <w:rFonts w:ascii="Arial" w:hAnsi="Arial" w:cs="Arial"/>
          <w:color w:val="000000"/>
          <w:lang w:val="en-US"/>
        </w:rPr>
      </w:pPr>
    </w:p>
    <w:p w14:paraId="17D34844" w14:textId="35C13899" w:rsidR="00F27431" w:rsidRPr="002F5EF5" w:rsidRDefault="00F27431"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Alibudbud, R. (2023). Addressing the burnout and shortage of nurses in the Philippines. </w:t>
      </w:r>
      <w:r w:rsidRPr="002F5EF5">
        <w:rPr>
          <w:rFonts w:ascii="Arial" w:hAnsi="Arial" w:cs="Arial"/>
          <w:i/>
          <w:iCs/>
          <w:color w:val="000000"/>
        </w:rPr>
        <w:t>SAGE Open Nursing</w:t>
      </w:r>
      <w:r w:rsidRPr="002F5EF5">
        <w:rPr>
          <w:rFonts w:ascii="Arial" w:hAnsi="Arial" w:cs="Arial"/>
          <w:color w:val="000000"/>
        </w:rPr>
        <w:t xml:space="preserve">, 9. </w:t>
      </w:r>
      <w:hyperlink r:id="rId38" w:history="1">
        <w:r w:rsidRPr="002F5EF5">
          <w:rPr>
            <w:rStyle w:val="Hyperlink"/>
            <w:rFonts w:ascii="Arial" w:hAnsi="Arial" w:cs="Arial"/>
          </w:rPr>
          <w:t>https://doi.org/10.1177/23779608231195737</w:t>
        </w:r>
      </w:hyperlink>
    </w:p>
    <w:p w14:paraId="66CC8C68" w14:textId="77777777" w:rsidR="00F27431" w:rsidRPr="002F5EF5" w:rsidRDefault="00F27431" w:rsidP="002F5EF5">
      <w:pPr>
        <w:pBdr>
          <w:top w:val="nil"/>
          <w:left w:val="nil"/>
          <w:bottom w:val="nil"/>
          <w:right w:val="nil"/>
          <w:between w:val="nil"/>
        </w:pBdr>
        <w:jc w:val="both"/>
        <w:rPr>
          <w:rFonts w:ascii="Arial" w:hAnsi="Arial" w:cs="Arial"/>
          <w:color w:val="000000"/>
          <w:lang w:val="en-US"/>
        </w:rPr>
      </w:pPr>
    </w:p>
    <w:p w14:paraId="405742B7" w14:textId="222DBDA5" w:rsidR="00F27431" w:rsidRPr="002F5EF5" w:rsidRDefault="00F27431"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Tan, L., Ee, L. S., Jin, T. H., et al. (2024). A qualitative study on burnout and coping in palliative nurses. </w:t>
      </w:r>
      <w:r w:rsidRPr="002F5EF5">
        <w:rPr>
          <w:rFonts w:ascii="Arial" w:hAnsi="Arial" w:cs="Arial"/>
          <w:i/>
          <w:iCs/>
          <w:color w:val="000000"/>
        </w:rPr>
        <w:t>International Journal of Palliative Nursing</w:t>
      </w:r>
      <w:r w:rsidRPr="002F5EF5">
        <w:rPr>
          <w:rFonts w:ascii="Arial" w:hAnsi="Arial" w:cs="Arial"/>
          <w:color w:val="000000"/>
        </w:rPr>
        <w:t xml:space="preserve">, 30(12), 654–662. </w:t>
      </w:r>
      <w:hyperlink r:id="rId39" w:history="1">
        <w:r w:rsidRPr="002F5EF5">
          <w:rPr>
            <w:rStyle w:val="Hyperlink"/>
            <w:rFonts w:ascii="Arial" w:hAnsi="Arial" w:cs="Arial"/>
          </w:rPr>
          <w:t>https://doi.org/10.12968/ijpn.2024.30.12.654</w:t>
        </w:r>
      </w:hyperlink>
    </w:p>
    <w:p w14:paraId="6C3BFD84" w14:textId="77777777" w:rsidR="00F27431" w:rsidRPr="002F5EF5" w:rsidRDefault="00F27431" w:rsidP="002F5EF5">
      <w:pPr>
        <w:pBdr>
          <w:top w:val="nil"/>
          <w:left w:val="nil"/>
          <w:bottom w:val="nil"/>
          <w:right w:val="nil"/>
          <w:between w:val="nil"/>
        </w:pBdr>
        <w:jc w:val="both"/>
        <w:rPr>
          <w:rFonts w:ascii="Arial" w:hAnsi="Arial" w:cs="Arial"/>
          <w:color w:val="000000"/>
          <w:lang w:val="en-US"/>
        </w:rPr>
      </w:pPr>
    </w:p>
    <w:p w14:paraId="429B966A" w14:textId="3ED93C68" w:rsidR="00F27431" w:rsidRPr="002F5EF5" w:rsidRDefault="00F27431" w:rsidP="002F5EF5">
      <w:pPr>
        <w:pBdr>
          <w:top w:val="nil"/>
          <w:left w:val="nil"/>
          <w:bottom w:val="nil"/>
          <w:right w:val="nil"/>
          <w:between w:val="nil"/>
        </w:pBdr>
        <w:jc w:val="both"/>
        <w:rPr>
          <w:rFonts w:ascii="Arial" w:hAnsi="Arial" w:cs="Arial"/>
          <w:color w:val="000000"/>
          <w:lang w:val="en-US"/>
        </w:rPr>
      </w:pPr>
      <w:proofErr w:type="spellStart"/>
      <w:r w:rsidRPr="002F5EF5">
        <w:rPr>
          <w:rFonts w:ascii="Arial" w:hAnsi="Arial" w:cs="Arial"/>
          <w:color w:val="000000"/>
        </w:rPr>
        <w:t>Falguera</w:t>
      </w:r>
      <w:proofErr w:type="spellEnd"/>
      <w:r w:rsidRPr="002F5EF5">
        <w:rPr>
          <w:rFonts w:ascii="Arial" w:hAnsi="Arial" w:cs="Arial"/>
          <w:color w:val="000000"/>
        </w:rPr>
        <w:t xml:space="preserve">, C. C., </w:t>
      </w:r>
      <w:proofErr w:type="spellStart"/>
      <w:r w:rsidRPr="002F5EF5">
        <w:rPr>
          <w:rFonts w:ascii="Arial" w:hAnsi="Arial" w:cs="Arial"/>
          <w:color w:val="000000"/>
        </w:rPr>
        <w:t>Labrague</w:t>
      </w:r>
      <w:proofErr w:type="spellEnd"/>
      <w:r w:rsidRPr="002F5EF5">
        <w:rPr>
          <w:rFonts w:ascii="Arial" w:hAnsi="Arial" w:cs="Arial"/>
          <w:color w:val="000000"/>
        </w:rPr>
        <w:t xml:space="preserve">, L. J., Firmo, C. N., De Los Santos, J. A. A., </w:t>
      </w:r>
      <w:proofErr w:type="spellStart"/>
      <w:r w:rsidRPr="002F5EF5">
        <w:rPr>
          <w:rFonts w:ascii="Arial" w:hAnsi="Arial" w:cs="Arial"/>
          <w:color w:val="000000"/>
        </w:rPr>
        <w:t>Tsaras</w:t>
      </w:r>
      <w:proofErr w:type="spellEnd"/>
      <w:r w:rsidRPr="002F5EF5">
        <w:rPr>
          <w:rFonts w:ascii="Arial" w:hAnsi="Arial" w:cs="Arial"/>
          <w:color w:val="000000"/>
        </w:rPr>
        <w:t xml:space="preserve">, K., et al. (2022). Relationship of work engagement with nurse work and patient outcomes among nurses in Central Philippines. </w:t>
      </w:r>
      <w:r w:rsidRPr="002F5EF5">
        <w:rPr>
          <w:rFonts w:ascii="Arial" w:hAnsi="Arial" w:cs="Arial"/>
          <w:i/>
          <w:iCs/>
          <w:color w:val="000000"/>
        </w:rPr>
        <w:t>Acta Medica Philippina</w:t>
      </w:r>
      <w:r w:rsidRPr="002F5EF5">
        <w:rPr>
          <w:rFonts w:ascii="Arial" w:hAnsi="Arial" w:cs="Arial"/>
          <w:color w:val="000000"/>
        </w:rPr>
        <w:t xml:space="preserve">. </w:t>
      </w:r>
      <w:hyperlink r:id="rId40" w:history="1">
        <w:r w:rsidRPr="002F5EF5">
          <w:rPr>
            <w:rStyle w:val="Hyperlink"/>
            <w:rFonts w:ascii="Arial" w:hAnsi="Arial" w:cs="Arial"/>
          </w:rPr>
          <w:t>https://doi.org/10.47895/amp.vi0.4426</w:t>
        </w:r>
      </w:hyperlink>
    </w:p>
    <w:p w14:paraId="3D50D5DC" w14:textId="77777777" w:rsidR="00F27431" w:rsidRPr="002F5EF5" w:rsidRDefault="00F27431" w:rsidP="002F5EF5">
      <w:pPr>
        <w:pBdr>
          <w:top w:val="nil"/>
          <w:left w:val="nil"/>
          <w:bottom w:val="nil"/>
          <w:right w:val="nil"/>
          <w:between w:val="nil"/>
        </w:pBdr>
        <w:jc w:val="both"/>
        <w:rPr>
          <w:rFonts w:ascii="Arial" w:hAnsi="Arial" w:cs="Arial"/>
          <w:color w:val="000000"/>
          <w:lang w:val="en-US"/>
        </w:rPr>
      </w:pPr>
    </w:p>
    <w:p w14:paraId="7DA501EE" w14:textId="4592AE96" w:rsidR="00F27431" w:rsidRPr="002F5EF5" w:rsidRDefault="00F27431"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Philippine Statistics Authority. (2022). Age and sex distribution in the Philippine population (2020 census of population and housing). </w:t>
      </w:r>
      <w:hyperlink r:id="rId41" w:history="1">
        <w:r w:rsidRPr="002F5EF5">
          <w:rPr>
            <w:rStyle w:val="Hyperlink"/>
            <w:rFonts w:ascii="Arial" w:hAnsi="Arial" w:cs="Arial"/>
          </w:rPr>
          <w:t>https://psa.gov.ph/content/age-and-sex-distribution-philippine-population-2020-census-population-and-housing</w:t>
        </w:r>
      </w:hyperlink>
    </w:p>
    <w:p w14:paraId="37E92C0B" w14:textId="77777777" w:rsidR="00F27431" w:rsidRPr="002F5EF5" w:rsidRDefault="00F27431" w:rsidP="002F5EF5">
      <w:pPr>
        <w:pBdr>
          <w:top w:val="nil"/>
          <w:left w:val="nil"/>
          <w:bottom w:val="nil"/>
          <w:right w:val="nil"/>
          <w:between w:val="nil"/>
        </w:pBdr>
        <w:jc w:val="both"/>
        <w:rPr>
          <w:rFonts w:ascii="Arial" w:hAnsi="Arial" w:cs="Arial"/>
          <w:color w:val="000000"/>
          <w:lang w:val="en-US"/>
        </w:rPr>
      </w:pPr>
    </w:p>
    <w:p w14:paraId="2237BD8B" w14:textId="4806FE37" w:rsidR="009E62EF" w:rsidRPr="002F5EF5" w:rsidRDefault="009E62EF" w:rsidP="002F5EF5">
      <w:pPr>
        <w:pBdr>
          <w:top w:val="nil"/>
          <w:left w:val="nil"/>
          <w:bottom w:val="nil"/>
          <w:right w:val="nil"/>
          <w:between w:val="nil"/>
        </w:pBdr>
        <w:jc w:val="both"/>
        <w:rPr>
          <w:rFonts w:ascii="Arial" w:hAnsi="Arial" w:cs="Arial"/>
          <w:color w:val="000000"/>
          <w:lang w:val="en-US"/>
        </w:rPr>
      </w:pPr>
      <w:r w:rsidRPr="002F5EF5">
        <w:rPr>
          <w:rFonts w:ascii="Arial" w:hAnsi="Arial" w:cs="Arial"/>
          <w:color w:val="000000"/>
        </w:rPr>
        <w:t xml:space="preserve">Eliopoulos, C. (2022). </w:t>
      </w:r>
      <w:r w:rsidRPr="002F5EF5">
        <w:rPr>
          <w:rFonts w:ascii="Arial" w:hAnsi="Arial" w:cs="Arial"/>
          <w:i/>
          <w:iCs/>
          <w:color w:val="000000"/>
        </w:rPr>
        <w:t>Gerontological nursing</w:t>
      </w:r>
      <w:r w:rsidRPr="002F5EF5">
        <w:rPr>
          <w:rFonts w:ascii="Arial" w:hAnsi="Arial" w:cs="Arial"/>
          <w:color w:val="000000"/>
        </w:rPr>
        <w:t xml:space="preserve"> (10th ed.). Wolters Kluwer.</w:t>
      </w:r>
    </w:p>
    <w:p w14:paraId="636A23D0" w14:textId="77777777" w:rsidR="00F27431" w:rsidRDefault="00F27431" w:rsidP="00B470F9">
      <w:pPr>
        <w:pBdr>
          <w:top w:val="nil"/>
          <w:left w:val="nil"/>
          <w:bottom w:val="nil"/>
          <w:right w:val="nil"/>
          <w:between w:val="nil"/>
        </w:pBdr>
        <w:jc w:val="both"/>
        <w:rPr>
          <w:rFonts w:ascii="Arial" w:hAnsi="Arial" w:cs="Arial"/>
          <w:color w:val="000000"/>
          <w:sz w:val="22"/>
          <w:szCs w:val="22"/>
          <w:lang w:val="en-US"/>
        </w:rPr>
      </w:pPr>
    </w:p>
    <w:p w14:paraId="4EE57951" w14:textId="194BFBAA" w:rsidR="00F27431" w:rsidRPr="00DA7264" w:rsidRDefault="00F27431" w:rsidP="00B470F9">
      <w:pPr>
        <w:pBdr>
          <w:top w:val="nil"/>
          <w:left w:val="nil"/>
          <w:bottom w:val="nil"/>
          <w:right w:val="nil"/>
          <w:between w:val="nil"/>
        </w:pBdr>
        <w:jc w:val="both"/>
        <w:rPr>
          <w:rFonts w:ascii="Arial" w:hAnsi="Arial" w:cs="Arial"/>
          <w:color w:val="000000"/>
          <w:sz w:val="22"/>
          <w:szCs w:val="22"/>
          <w:lang w:val="en-US"/>
        </w:rPr>
        <w:sectPr w:rsidR="00F27431" w:rsidRPr="00DA7264">
          <w:footerReference w:type="default" r:id="rId42"/>
          <w:type w:val="continuous"/>
          <w:pgSz w:w="12240" w:h="15840"/>
          <w:pgMar w:top="1440" w:right="2016" w:bottom="2016" w:left="2016" w:header="720" w:footer="1123" w:gutter="0"/>
          <w:lnNumType w:countBy="1" w:restart="continuous"/>
          <w:cols w:space="720"/>
        </w:sectPr>
      </w:pPr>
    </w:p>
    <w:p w14:paraId="546BFDBA" w14:textId="4CB365D4" w:rsidR="00CC37C7" w:rsidRPr="008639C1" w:rsidRDefault="00CC37C7" w:rsidP="00B470F9">
      <w:pPr>
        <w:keepNext/>
        <w:pBdr>
          <w:top w:val="nil"/>
          <w:left w:val="nil"/>
          <w:bottom w:val="nil"/>
          <w:right w:val="nil"/>
          <w:between w:val="nil"/>
        </w:pBdr>
        <w:jc w:val="both"/>
        <w:rPr>
          <w:rFonts w:ascii="Arial" w:eastAsia="Arial" w:hAnsi="Arial" w:cs="Arial"/>
          <w:smallCaps/>
          <w:color w:val="000000"/>
          <w:sz w:val="22"/>
          <w:szCs w:val="22"/>
        </w:rPr>
      </w:pPr>
    </w:p>
    <w:sectPr w:rsidR="00CC37C7" w:rsidRPr="008639C1">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7208D" w14:textId="77777777" w:rsidR="00B941C2" w:rsidRDefault="00B941C2">
      <w:r>
        <w:separator/>
      </w:r>
    </w:p>
  </w:endnote>
  <w:endnote w:type="continuationSeparator" w:id="0">
    <w:p w14:paraId="228B9B3C" w14:textId="77777777" w:rsidR="00B941C2" w:rsidRDefault="00B94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BCBFDEC8-024A-472E-BB60-35F67DB40C55}"/>
    <w:embedBold r:id="rId2" w:fontKey="{F3493CE0-41E3-495C-BE87-B17CD818882E}"/>
    <w:embedItalic r:id="rId3" w:fontKey="{A78971F7-042B-4CBD-8107-593E461E9D5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B6C000B5-45AF-4C23-9291-4C25C943A42A}"/>
  </w:font>
  <w:font w:name="Helvetica">
    <w:panose1 w:val="020B0604020202020204"/>
    <w:charset w:val="00"/>
    <w:family w:val="swiss"/>
    <w:pitch w:val="variable"/>
    <w:sig w:usb0="E0002EFF" w:usb1="C000785B" w:usb2="00000009" w:usb3="00000000" w:csb0="000001FF" w:csb1="00000000"/>
    <w:embedRegular r:id="rId5" w:fontKey="{F303DF43-5099-4069-BC1B-12EC71ECF9E5}"/>
  </w:font>
  <w:font w:name="Tahoma">
    <w:panose1 w:val="020B0604030504040204"/>
    <w:charset w:val="00"/>
    <w:family w:val="swiss"/>
    <w:pitch w:val="variable"/>
    <w:sig w:usb0="E1002EFF" w:usb1="C000605B" w:usb2="00000029" w:usb3="00000000" w:csb0="000101FF" w:csb1="00000000"/>
    <w:embedRegular r:id="rId6" w:fontKey="{2D498F40-6E3B-4B84-B4C2-357326C6A3A1}"/>
  </w:font>
  <w:font w:name="Georgia">
    <w:panose1 w:val="02040502050405020303"/>
    <w:charset w:val="00"/>
    <w:family w:val="roman"/>
    <w:pitch w:val="variable"/>
    <w:sig w:usb0="00000287" w:usb1="00000000" w:usb2="00000000" w:usb3="00000000" w:csb0="0000009F" w:csb1="00000000"/>
    <w:embedItalic r:id="rId7" w:fontKey="{7AC6FB35-C8E2-42D8-8300-5D50EBBAAB9E}"/>
  </w:font>
  <w:font w:name="Cambria">
    <w:panose1 w:val="02040503050406030204"/>
    <w:charset w:val="00"/>
    <w:family w:val="roman"/>
    <w:pitch w:val="variable"/>
    <w:sig w:usb0="E00006FF" w:usb1="420024FF" w:usb2="02000000" w:usb3="00000000" w:csb0="0000019F" w:csb1="00000000"/>
    <w:embedRegular r:id="rId8" w:fontKey="{FD8DE762-4138-4F56-8384-A95C86703B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53A94" w14:textId="77777777" w:rsidR="00CC37C7" w:rsidRDefault="00CC37C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DCE21" w14:textId="77777777" w:rsidR="00CC37C7" w:rsidRDefault="00CC37C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E49CEDC" w14:textId="77777777" w:rsidR="00CC37C7" w:rsidRDefault="00EF3385">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3091A5F7" w14:textId="77777777" w:rsidR="00CC37C7" w:rsidRDefault="00CC37C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E98B89D" w14:textId="77777777" w:rsidR="00CC37C7" w:rsidRDefault="00EF3385">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7558B" w14:textId="77777777" w:rsidR="00CC37C7" w:rsidRDefault="00CC37C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7E7DB" w14:textId="77777777" w:rsidR="00B941C2" w:rsidRDefault="00B941C2">
      <w:r>
        <w:separator/>
      </w:r>
    </w:p>
  </w:footnote>
  <w:footnote w:type="continuationSeparator" w:id="0">
    <w:p w14:paraId="3369028A" w14:textId="77777777" w:rsidR="00B941C2" w:rsidRDefault="00B94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5B3A8" w14:textId="77777777" w:rsidR="00CC37C7" w:rsidRDefault="00CC37C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9F4A6" w14:textId="77777777" w:rsidR="00CC37C7" w:rsidRDefault="00CC37C7">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FD40E" w14:textId="77777777" w:rsidR="00CC37C7" w:rsidRDefault="00CC37C7">
    <w:pPr>
      <w:ind w:left="2160"/>
      <w:jc w:val="center"/>
      <w:rPr>
        <w:rFonts w:ascii="Times New Roman" w:eastAsia="Times New Roman" w:hAnsi="Times New Roman" w:cs="Times New Roman"/>
        <w:i/>
        <w:iCs/>
        <w:sz w:val="18"/>
        <w:szCs w:val="18"/>
      </w:rPr>
    </w:pPr>
  </w:p>
  <w:p w14:paraId="0D96E672" w14:textId="77777777" w:rsidR="00CC37C7" w:rsidRDefault="00EF3385">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1135038" w14:textId="77777777" w:rsidR="00CC37C7" w:rsidRDefault="00EF338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CF96603" w14:textId="77777777" w:rsidR="00CC37C7" w:rsidRDefault="00EF3385">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56CB49B2" w14:textId="77777777" w:rsidR="00CC37C7" w:rsidRDefault="00EF338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FD70BE1" w14:textId="77777777" w:rsidR="00CC37C7" w:rsidRDefault="00EF3385">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07EF84E4" w14:textId="77777777" w:rsidR="00CC37C7" w:rsidRDefault="00EF3385">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3A6CF8"/>
    <w:multiLevelType w:val="multilevel"/>
    <w:tmpl w:val="4CE097C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48400A8"/>
    <w:multiLevelType w:val="multilevel"/>
    <w:tmpl w:val="930E2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1AD5B94"/>
    <w:multiLevelType w:val="multilevel"/>
    <w:tmpl w:val="2D742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7C7"/>
    <w:rsid w:val="00014EBC"/>
    <w:rsid w:val="000B4F9B"/>
    <w:rsid w:val="000E087D"/>
    <w:rsid w:val="001C5A81"/>
    <w:rsid w:val="002D2A40"/>
    <w:rsid w:val="002F5EF5"/>
    <w:rsid w:val="00303794"/>
    <w:rsid w:val="003C1390"/>
    <w:rsid w:val="003E65E8"/>
    <w:rsid w:val="00512B2A"/>
    <w:rsid w:val="006077B8"/>
    <w:rsid w:val="00624B34"/>
    <w:rsid w:val="00746041"/>
    <w:rsid w:val="007F23F3"/>
    <w:rsid w:val="008639C1"/>
    <w:rsid w:val="00900EB4"/>
    <w:rsid w:val="009E62EF"/>
    <w:rsid w:val="00A31F48"/>
    <w:rsid w:val="00B470F9"/>
    <w:rsid w:val="00B941C2"/>
    <w:rsid w:val="00B96E2C"/>
    <w:rsid w:val="00C962D0"/>
    <w:rsid w:val="00CC37C7"/>
    <w:rsid w:val="00CD07BD"/>
    <w:rsid w:val="00DA7264"/>
    <w:rsid w:val="00DA799F"/>
    <w:rsid w:val="00E21E0F"/>
    <w:rsid w:val="00EC7CFF"/>
    <w:rsid w:val="00EF3385"/>
    <w:rsid w:val="00F27431"/>
    <w:rsid w:val="00F324E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FE73F"/>
  <w15:docId w15:val="{9EC53A41-32BC-4AC7-9E2A-65F3CE575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4"/>
      <w:szCs w:val="24"/>
    </w:rPr>
    <w:tblPr>
      <w:tblStyleRowBandSize w:val="1"/>
      <w:tblStyleColBandSize w:val="1"/>
    </w:tblPr>
  </w:style>
  <w:style w:type="paragraph" w:styleId="NormalWeb">
    <w:name w:val="Normal (Web)"/>
    <w:basedOn w:val="Normal"/>
    <w:uiPriority w:val="99"/>
    <w:semiHidden/>
    <w:unhideWhenUsed/>
    <w:rsid w:val="00DA726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https://doi.org/10.1016/j.ijnurstu.2025.105179" TargetMode="External"/><Relationship Id="rId26" Type="http://schemas.openxmlformats.org/officeDocument/2006/relationships/hyperlink" Target="https://doi.org/10.1186/s12877-023-03863-9" TargetMode="External"/><Relationship Id="rId39" Type="http://schemas.openxmlformats.org/officeDocument/2006/relationships/hyperlink" Target="https://doi.org/10.12968/ijpn.2024.30.12.654" TargetMode="External"/><Relationship Id="rId21" Type="http://schemas.openxmlformats.org/officeDocument/2006/relationships/hyperlink" Target="https://globalgoals.org/goals/3-good-health-and-well-being/" TargetMode="External"/><Relationship Id="rId34" Type="http://schemas.openxmlformats.org/officeDocument/2006/relationships/hyperlink" Target="https://doi.org/10.1016/j.socscimed.2021.114523"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11/jan.16206" TargetMode="External"/><Relationship Id="rId20" Type="http://schemas.openxmlformats.org/officeDocument/2006/relationships/hyperlink" Target="https://doi.org/10.1186/s12960-020-00469-9" TargetMode="External"/><Relationship Id="rId29" Type="http://schemas.openxmlformats.org/officeDocument/2006/relationships/hyperlink" Target="https://doi.org/10.1177/1744987119880234" TargetMode="External"/><Relationship Id="rId41" Type="http://schemas.openxmlformats.org/officeDocument/2006/relationships/hyperlink" Target="https://psa.gov.ph/content/age-and-sex-distribution-philippine-population-2020-census-population-and-hous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pmc.ncbi.nlm.nih.gov/articles/PMC9894029/" TargetMode="External"/><Relationship Id="rId32" Type="http://schemas.openxmlformats.org/officeDocument/2006/relationships/hyperlink" Target="https://www.thoughtco.com/purposive-sampling-3026727" TargetMode="External"/><Relationship Id="rId37" Type="http://schemas.openxmlformats.org/officeDocument/2006/relationships/hyperlink" Target="https://doi.org/10.3390/healthcare12202065" TargetMode="External"/><Relationship Id="rId40" Type="http://schemas.openxmlformats.org/officeDocument/2006/relationships/hyperlink" Target="https://doi.org/10.47895/amp.vi0.4426" TargetMode="External"/><Relationship Id="rId5" Type="http://schemas.openxmlformats.org/officeDocument/2006/relationships/webSettings" Target="webSettings.xml"/><Relationship Id="rId15" Type="http://schemas.openxmlformats.org/officeDocument/2006/relationships/hyperlink" Target="https://doi.org/10.4102/hsag.v27i0.1776" TargetMode="External"/><Relationship Id="rId23" Type="http://schemas.openxmlformats.org/officeDocument/2006/relationships/hyperlink" Target="https://www.who.int/news-room/fact-sheets/detail/ageing-and-health" TargetMode="External"/><Relationship Id="rId28" Type="http://schemas.openxmlformats.org/officeDocument/2006/relationships/hyperlink" Target="https://www.6wresearch.com/industry-report/philippines-nursing-homes-and-long-term-care-facilities-market" TargetMode="External"/><Relationship Id="rId36" Type="http://schemas.openxmlformats.org/officeDocument/2006/relationships/hyperlink" Target="https://doi.org/10.1002/nop2.2060" TargetMode="External"/><Relationship Id="rId10" Type="http://schemas.openxmlformats.org/officeDocument/2006/relationships/footer" Target="footer1.xml"/><Relationship Id="rId19" Type="http://schemas.openxmlformats.org/officeDocument/2006/relationships/hyperlink" Target="https://pchmutual.com/2025/02/21/a-global-perspective-on-elder-care-understanding-filipino-caregiving-culture/" TargetMode="External"/><Relationship Id="rId31" Type="http://schemas.openxmlformats.org/officeDocument/2006/relationships/hyperlink" Target="https://doi.org/10.1111/jan.1648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590/0034-7167.2023760601" TargetMode="External"/><Relationship Id="rId27" Type="http://schemas.openxmlformats.org/officeDocument/2006/relationships/hyperlink" Target="https://doi.org/10.1186/s12913-023-09648-5" TargetMode="External"/><Relationship Id="rId30" Type="http://schemas.openxmlformats.org/officeDocument/2006/relationships/hyperlink" Target="https://oercollective.caul.edu.au/qualitativeresearch/chapter/__unknown__-5/" TargetMode="External"/><Relationship Id="rId35" Type="http://schemas.openxmlformats.org/officeDocument/2006/relationships/hyperlink" Target="https://doi.org/10.31389/jltc.282"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1093/geront/gnab050" TargetMode="External"/><Relationship Id="rId25" Type="http://schemas.openxmlformats.org/officeDocument/2006/relationships/hyperlink" Target="https://doi.org/10.1111/jan.70242" TargetMode="External"/><Relationship Id="rId33" Type="http://schemas.openxmlformats.org/officeDocument/2006/relationships/hyperlink" Target="https://doi.org/10.1186/s12912-025-03192-9" TargetMode="External"/><Relationship Id="rId38" Type="http://schemas.openxmlformats.org/officeDocument/2006/relationships/hyperlink" Target="https://doi.org/10.1177/2377960823119573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Wrcl1U1WX5XW5oeHmAFUUx8bnQ==">CgMxLjAaHwoBMBIaChgICVIUChJ0YWJsZS5renF5dGJsYTQyMnM4AHIhMWczbVVLemVFWnJoNWVnQXdIWlE2cG8wRGhOQU9EUzZw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5437</Words>
  <Characters>30993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1089</cp:lastModifiedBy>
  <cp:revision>5</cp:revision>
  <cp:lastPrinted>2026-03-30T15:19:00Z</cp:lastPrinted>
  <dcterms:created xsi:type="dcterms:W3CDTF">2026-03-30T15:19:00Z</dcterms:created>
  <dcterms:modified xsi:type="dcterms:W3CDTF">2026-04-06T07:50:00Z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8dc19f74-98dc-48de-b915-80fcda5145e2</vt:lpwstr>
  </property>
</Properties>
</file>