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t xml:space="preserve">Original Research Article</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bCs w:val="1"/>
          <w:color w:val="000000"/>
          <w:sz w:val="36"/>
          <w:szCs w:val="36"/>
        </w:rPr>
      </w:pPr>
      <w:r w:rsidDel="00000000" w:rsidR="00000000" w:rsidRPr="00000000">
        <w:rPr>
          <w:rFonts w:ascii="Arial" w:cs="Arial" w:eastAsia="Arial" w:hAnsi="Arial"/>
          <w:b w:val="1"/>
          <w:bCs w:val="1"/>
          <w:sz w:val="36"/>
          <w:szCs w:val="36"/>
          <w:rtl w:val="0"/>
        </w:rPr>
        <w:t xml:space="preserve"> </w:t>
      </w:r>
      <w:r w:rsidDel="00000000" w:rsidR="00000000" w:rsidRPr="00000000">
        <w:rPr>
          <w:rFonts w:ascii="Arial" w:cs="Arial" w:eastAsia="Arial" w:hAnsi="Arial"/>
          <w:b w:val="1"/>
          <w:bCs w:val="1"/>
          <w:color w:val="000000"/>
          <w:sz w:val="36"/>
          <w:szCs w:val="36"/>
          <w:rtl w:val="0"/>
        </w:rPr>
        <w:t xml:space="preserve">Factors Associated with Nomophobia among Nursing Students in a Private College of Nursing</w:t>
      </w:r>
    </w:p>
    <w:p w:rsidR="00000000" w:rsidDel="00000000" w:rsidP="00000000" w:rsidRDefault="00000000" w:rsidRPr="00000000" w14:paraId="00000006">
      <w:pPr>
        <w:pBdr>
          <w:top w:space="0" w:sz="0" w:val="nil"/>
          <w:left w:space="0" w:sz="0" w:val="nil"/>
          <w:bottom w:space="0" w:sz="0" w:val="nil"/>
          <w:right w:space="0" w:sz="0" w:val="nil"/>
          <w:between w:space="0" w:sz="0" w:val="nil"/>
        </w:pBdr>
        <w:jc w:val="right"/>
        <w:rPr>
          <w:rFonts w:ascii="Arial" w:cs="Arial" w:eastAsia="Arial" w:hAnsi="Arial"/>
          <w:b w:val="1"/>
          <w:bCs w:val="1"/>
          <w:color w:val="000000"/>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jc w:val="right"/>
        <w:rPr>
          <w:rFonts w:ascii="Arial" w:cs="Arial" w:eastAsia="Arial" w:hAnsi="Arial"/>
          <w:b w:val="1"/>
          <w:bCs w:val="1"/>
          <w:color w:val="000000"/>
          <w:sz w:val="36"/>
          <w:szCs w:val="3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jc w:val="right"/>
        <w:rPr>
          <w:rFonts w:ascii="Arial" w:cs="Arial" w:eastAsia="Arial" w:hAnsi="Arial"/>
          <w:b w:val="1"/>
          <w:bCs w:val="1"/>
          <w:color w:val="000000"/>
          <w:sz w:val="36"/>
          <w:szCs w:val="36"/>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rFonts w:ascii="Arial" w:cs="Arial" w:eastAsia="Arial" w:hAnsi="Arial"/>
          <w:b w:val="1"/>
          <w:bCs w:val="1"/>
          <w:color w:val="000000"/>
          <w:sz w:val="36"/>
          <w:szCs w:val="36"/>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jc w:val="both"/>
        <w:rPr>
          <w:rFonts w:ascii="Arial" w:cs="Arial" w:eastAsia="Arial" w:hAnsi="Arial"/>
          <w:color w:val="000000"/>
          <w:sz w:val="16"/>
          <w:szCs w:val="16"/>
        </w:rPr>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1296"/>
          <w:pgNumType w:start="1"/>
        </w:sectPr>
      </w:pPr>
      <w:r w:rsidDel="00000000" w:rsidR="00000000" w:rsidRPr="00000000">
        <w:rPr>
          <w:rFonts w:ascii="Arial" w:cs="Arial" w:eastAsia="Arial" w:hAnsi="Arial"/>
          <w:color w:val="000000"/>
          <w:sz w:val="16"/>
          <w:szCs w:val="16"/>
        </w:rPr>
        <mc:AlternateContent>
          <mc:Choice Requires="wps">
            <w:drawing>
              <wp:inline distB="0" distT="0" distL="114300" distR="114300">
                <wp:extent cx="0" cy="19050"/>
                <wp:effectExtent b="0" l="0" r="0" t="0"/>
                <wp:docPr id="3" name=""/>
                <a:graphic>
                  <a:graphicData uri="http://schemas.microsoft.com/office/word/2010/wordprocessingShape">
                    <wps:wsp>
                      <wps:cNvSpPr/>
                      <wps:cNvPr id="2" name="Shape 2"/>
                      <wps:spPr>
                        <a:xfrm>
                          <a:off x="2694240" y="3780000"/>
                          <a:ext cx="5303520" cy="0"/>
                        </a:xfrm>
                        <a:custGeom>
                          <a:rect b="b" l="l" r="r" t="t"/>
                          <a:pathLst>
                            <a:path extrusionOk="0" h="1" w="5303520">
                              <a:moveTo>
                                <a:pt x="0" y="0"/>
                              </a:moveTo>
                              <a:lnTo>
                                <a:pt x="5303520" y="0"/>
                              </a:lnTo>
                            </a:path>
                          </a:pathLst>
                        </a:custGeom>
                        <a:no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inline>
            </w:drawing>
          </mc:Choice>
          <mc:Fallback>
            <w:drawing>
              <wp:inline distB="0" distT="0" distL="114300" distR="114300">
                <wp:extent cx="0" cy="19050"/>
                <wp:effectExtent b="0" l="0" r="0" t="0"/>
                <wp:docPr id="3" name="image1.png"/>
                <a:graphic>
                  <a:graphicData uri="http://schemas.openxmlformats.org/drawingml/2006/picture">
                    <pic:pic>
                      <pic:nvPicPr>
                        <pic:cNvPr id="0" name="image1.png"/>
                        <pic:cNvPicPr preferRelativeResize="0"/>
                      </pic:nvPicPr>
                      <pic:blipFill>
                        <a:blip r:embed="rId13"/>
                        <a:srcRect/>
                        <a:stretch>
                          <a:fillRect/>
                        </a:stretch>
                      </pic:blipFill>
                      <pic:spPr>
                        <a:xfrm>
                          <a:off x="0" y="0"/>
                          <a:ext cx="0" cy="190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B">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sz w:val="22"/>
          <w:szCs w:val="22"/>
          <w:rtl w:val="0"/>
        </w:rPr>
        <w:t xml:space="preserve"> </w:t>
      </w:r>
      <w:r w:rsidDel="00000000" w:rsidR="00000000" w:rsidRPr="00000000">
        <w:rPr>
          <w:rFonts w:ascii="Arial" w:cs="Arial" w:eastAsia="Arial" w:hAnsi="Arial"/>
          <w:b w:val="1"/>
          <w:bCs w:val="1"/>
          <w:smallCaps w:val="1"/>
          <w:color w:val="000000"/>
          <w:sz w:val="22"/>
          <w:szCs w:val="22"/>
          <w:rtl w:val="0"/>
        </w:rPr>
        <w:t xml:space="preserve">ABSTRACT </w:t>
      </w:r>
    </w:p>
    <w:p w:rsidR="00000000" w:rsidDel="00000000" w:rsidP="00000000" w:rsidRDefault="00000000" w:rsidRPr="00000000" w14:paraId="0000000C">
      <w:pPr>
        <w:keepNext w:val="1"/>
        <w:jc w:val="both"/>
        <w:rPr>
          <w:rFonts w:ascii="Arial" w:cs="Arial" w:eastAsia="Arial" w:hAnsi="Arial"/>
          <w:b w:val="1"/>
          <w:bCs w:val="1"/>
          <w:smallCaps w:val="1"/>
          <w:sz w:val="22"/>
          <w:szCs w:val="22"/>
        </w:rPr>
      </w:pPr>
      <w:r w:rsidDel="00000000" w:rsidR="00000000" w:rsidRPr="00000000">
        <w:rPr>
          <w:rtl w:val="0"/>
        </w:rPr>
      </w:r>
    </w:p>
    <w:tbl>
      <w:tblPr>
        <w:tblStyle w:val="Table1"/>
        <w:tblpPr w:leftFromText="180" w:rightFromText="180" w:topFromText="180" w:bottomFromText="180" w:vertAnchor="text" w:horzAnchor="text" w:tblpX="0" w:tblpY="0"/>
        <w:tblW w:w="939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96"/>
        <w:tblGridChange w:id="0">
          <w:tblGrid>
            <w:gridCol w:w="9396"/>
          </w:tblGrid>
        </w:tblGridChange>
      </w:tblGrid>
      <w:tr>
        <w:trPr>
          <w:cantSplit w:val="0"/>
          <w:trHeight w:val="3507" w:hRule="atLeast"/>
          <w:tblHeader w:val="0"/>
        </w:trPr>
        <w:tc>
          <w:tcPr>
            <w:shd w:fill="f2f2f2" w:val="clear"/>
          </w:tcPr>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Aims: </w:t>
            </w:r>
            <w:r w:rsidDel="00000000" w:rsidR="00000000" w:rsidRPr="00000000">
              <w:rPr>
                <w:rFonts w:ascii="Arial" w:cs="Arial" w:eastAsia="Arial" w:hAnsi="Arial"/>
                <w:sz w:val="22"/>
                <w:szCs w:val="22"/>
                <w:rtl w:val="0"/>
              </w:rPr>
              <w:t xml:space="preserve">This study aimed to determine the level of nomophobia and identify the demographic and behavioral factors associated with it among nursing students. Specifically, this study aims to answer the following questions: (1) What is the profile of nursing students in terms of sex, year level, number of hours of daily smartphone use, and main reason for smartphone use </w:t>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 (2) What is the level of nomophobia among nursing students ; and (3) Is there a significant difference in the level of nomophobia when grouped according to sex, year level, number of hours of daily smartphone use, and main  reason for smartphone use. </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Study design:</w:t>
            </w:r>
            <w:r w:rsidDel="00000000" w:rsidR="00000000" w:rsidRPr="00000000">
              <w:rPr>
                <w:rFonts w:ascii="Arial" w:cs="Arial" w:eastAsia="Arial" w:hAnsi="Arial"/>
                <w:sz w:val="22"/>
                <w:szCs w:val="22"/>
                <w:rtl w:val="0"/>
              </w:rPr>
              <w:t xml:space="preserve">  Quantitative descriptive research design.</w:t>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Place and Duration of Study:</w:t>
            </w:r>
            <w:r w:rsidDel="00000000" w:rsidR="00000000" w:rsidRPr="00000000">
              <w:rPr>
                <w:rFonts w:ascii="Arial" w:cs="Arial" w:eastAsia="Arial" w:hAnsi="Arial"/>
                <w:sz w:val="22"/>
                <w:szCs w:val="22"/>
                <w:rtl w:val="0"/>
              </w:rPr>
              <w:t xml:space="preserve"> Private college of nursing located in Iloilo City, Philippines, from  January 15 and January 28, 2026.</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Methodology:</w:t>
            </w:r>
            <w:r w:rsidDel="00000000" w:rsidR="00000000" w:rsidRPr="00000000">
              <w:rPr>
                <w:rFonts w:ascii="Arial" w:cs="Arial" w:eastAsia="Arial" w:hAnsi="Arial"/>
                <w:sz w:val="22"/>
                <w:szCs w:val="22"/>
                <w:rtl w:val="0"/>
              </w:rPr>
              <w:t xml:space="preserve"> A total of 292 nursing students were selected using stratified random sampling. Data were collected using the Nomophobia Questionnaire (NMP-Q). Descriptive statistics( Mean, Standard Deviation, Frequency and Percentage) and non-parametric tests (Mann-Whitney U and Kruskal-Wallis) were used for analysis.</w:t>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Results:</w:t>
            </w:r>
            <w:r w:rsidDel="00000000" w:rsidR="00000000" w:rsidRPr="00000000">
              <w:rPr>
                <w:rFonts w:ascii="Arial" w:cs="Arial" w:eastAsia="Arial" w:hAnsi="Arial"/>
                <w:sz w:val="22"/>
                <w:szCs w:val="22"/>
                <w:rtl w:val="0"/>
              </w:rPr>
              <w:t xml:space="preserve"> The findings revealed that respondents exhibited a positive level of nomophobia (overall mean = 4.33). Among the domains, inability to access information (M = 4.72) and loss of connectedness (M = 4.42) showed the highest levels. Significant differences were found according to sex (p = 0.013), year level (p = 0.021), and daily smartphone use (p = 0.028), indicating that these factors are associated with nomophobia. However, no significant difference was observed based on the main reason for smartphone use (p = 0.628).</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Conclusion:</w:t>
            </w:r>
            <w:r w:rsidDel="00000000" w:rsidR="00000000" w:rsidRPr="00000000">
              <w:rPr>
                <w:rFonts w:ascii="Arial" w:cs="Arial" w:eastAsia="Arial" w:hAnsi="Arial"/>
                <w:sz w:val="22"/>
                <w:szCs w:val="22"/>
                <w:rtl w:val="0"/>
              </w:rPr>
              <w:t xml:space="preserve"> Nomophobia is prevalent among undergraduate nursing students and is significantly influenced by demographic and behavioral factors, particularly sex, academic year level, and duration of smartphone use. These findings highlight the need for institutional interventions that promote responsible smartphone use, digital well-being, and effective coping strategies to reduce technology-related anxiety.</w:t>
            </w:r>
          </w:p>
        </w:tc>
      </w:tr>
    </w:tbl>
    <w:p w:rsidR="00000000" w:rsidDel="00000000" w:rsidP="00000000" w:rsidRDefault="00000000" w:rsidRPr="00000000" w14:paraId="00000014">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Fonts w:ascii="Arial" w:cs="Arial" w:eastAsia="Arial" w:hAnsi="Arial"/>
          <w:i w:val="1"/>
          <w:iCs w:val="1"/>
          <w:color w:val="000000"/>
          <w:rtl w:val="0"/>
        </w:rPr>
        <w:t xml:space="preserve">Keywords: Nomophobia; Nursing Students; Smartphone Use; T</w:t>
      </w:r>
      <w:r w:rsidDel="00000000" w:rsidR="00000000" w:rsidRPr="00000000">
        <w:rPr>
          <w:rFonts w:ascii="Arial" w:cs="Arial" w:eastAsia="Arial" w:hAnsi="Arial"/>
          <w:i w:val="1"/>
          <w:iCs w:val="1"/>
          <w:rtl w:val="0"/>
        </w:rPr>
        <w:t xml:space="preserve">echnology Use</w:t>
      </w: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Arial" w:cs="Arial" w:eastAsia="Arial" w:hAnsi="Arial"/>
          <w:i w:val="1"/>
          <w:iCs w:val="1"/>
          <w:color w:val="000000"/>
        </w:rPr>
      </w:pPr>
      <w:r w:rsidDel="00000000" w:rsidR="00000000" w:rsidRPr="00000000">
        <w:rPr>
          <w:rtl w:val="0"/>
        </w:rPr>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1. INTRODUCTION</w:t>
      </w:r>
    </w:p>
    <w:p w:rsidR="00000000" w:rsidDel="00000000" w:rsidP="00000000" w:rsidRDefault="00000000" w:rsidRPr="00000000" w14:paraId="0000001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rPr>
      </w:pPr>
      <w:r w:rsidDel="00000000" w:rsidR="00000000" w:rsidRPr="00000000">
        <w:rPr>
          <w:rFonts w:ascii="Arial" w:cs="Arial" w:eastAsia="Arial" w:hAnsi="Arial"/>
          <w:rtl w:val="0"/>
        </w:rPr>
        <w:t xml:space="preserve">In today’s modern era,</w:t>
      </w:r>
      <w:r w:rsidDel="00000000" w:rsidR="00000000" w:rsidRPr="00000000">
        <w:rPr>
          <w:rFonts w:ascii="Arial" w:cs="Arial" w:eastAsia="Arial" w:hAnsi="Arial"/>
          <w:color w:val="000000"/>
          <w:rtl w:val="0"/>
        </w:rPr>
        <w:t xml:space="preserve"> technology has provided wide educational opportunit</w:t>
      </w:r>
      <w:r w:rsidDel="00000000" w:rsidR="00000000" w:rsidRPr="00000000">
        <w:rPr>
          <w:rFonts w:ascii="Arial" w:cs="Arial" w:eastAsia="Arial" w:hAnsi="Arial"/>
          <w:rtl w:val="0"/>
        </w:rPr>
        <w:t xml:space="preserve">ies, it has</w:t>
      </w:r>
      <w:r w:rsidDel="00000000" w:rsidR="00000000" w:rsidRPr="00000000">
        <w:rPr>
          <w:rFonts w:ascii="Arial" w:cs="Arial" w:eastAsia="Arial" w:hAnsi="Arial"/>
          <w:color w:val="000000"/>
          <w:rtl w:val="0"/>
        </w:rPr>
        <w:t xml:space="preserve"> also </w:t>
      </w:r>
      <w:r w:rsidDel="00000000" w:rsidR="00000000" w:rsidRPr="00000000">
        <w:rPr>
          <w:rFonts w:ascii="Arial" w:cs="Arial" w:eastAsia="Arial" w:hAnsi="Arial"/>
          <w:rtl w:val="0"/>
        </w:rPr>
        <w:t xml:space="preserve">introduced </w:t>
      </w:r>
      <w:r w:rsidDel="00000000" w:rsidR="00000000" w:rsidRPr="00000000">
        <w:rPr>
          <w:rFonts w:ascii="Arial" w:cs="Arial" w:eastAsia="Arial" w:hAnsi="Arial"/>
          <w:color w:val="000000"/>
          <w:rtl w:val="0"/>
        </w:rPr>
        <w:t xml:space="preserve">hindrances to students' learning. One of the hindrances was nomophobia, obtained from no mobile phone and phobia.The terminology nomophobia was characterized as a psychological condition of uncontrolled fear or discomfort when </w:t>
      </w:r>
      <w:r w:rsidDel="00000000" w:rsidR="00000000" w:rsidRPr="00000000">
        <w:rPr>
          <w:rFonts w:ascii="Arial" w:cs="Arial" w:eastAsia="Arial" w:hAnsi="Arial"/>
          <w:rtl w:val="0"/>
        </w:rPr>
        <w:t xml:space="preserve">one's</w:t>
      </w:r>
      <w:r w:rsidDel="00000000" w:rsidR="00000000" w:rsidRPr="00000000">
        <w:rPr>
          <w:rFonts w:ascii="Arial" w:cs="Arial" w:eastAsia="Arial" w:hAnsi="Arial"/>
          <w:color w:val="000000"/>
          <w:rtl w:val="0"/>
        </w:rPr>
        <w:t xml:space="preserve"> services or phone, including access to information and social affinity, were both inaccessible (Garcia et al., 2020; Sui &amp;Sui, 2021). </w:t>
      </w:r>
      <w:r w:rsidDel="00000000" w:rsidR="00000000" w:rsidRPr="00000000">
        <w:rPr>
          <w:rtl w:val="0"/>
        </w:rPr>
      </w:r>
    </w:p>
    <w:p w:rsidR="00000000" w:rsidDel="00000000" w:rsidP="00000000" w:rsidRDefault="00000000" w:rsidRPr="00000000" w14:paraId="00000019">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1A">
      <w:pPr>
        <w:jc w:val="both"/>
        <w:rPr>
          <w:rFonts w:ascii="Arial" w:cs="Arial" w:eastAsia="Arial" w:hAnsi="Arial"/>
        </w:rPr>
      </w:pPr>
      <w:r w:rsidDel="00000000" w:rsidR="00000000" w:rsidRPr="00000000">
        <w:rPr>
          <w:rFonts w:ascii="Arial" w:cs="Arial" w:eastAsia="Arial" w:hAnsi="Arial"/>
          <w:color w:val="000000"/>
          <w:rtl w:val="0"/>
        </w:rPr>
        <w:t xml:space="preserve">Smartphone use became an important part of the students daily activities. The student nurses, specifically, depended on smartphones for many reasons, as well as academic and personal activities. Likewise, in India, it indicated in the study that messaging and use of social websites were the main cause of smartphone use (Mallya, Kumar, &amp; Girish, 2019). Findings indicated that student nurses relied themselves on heavy smartphone use frequently. Their profound understanding with advanced technologies, the enticing nature of smartphones, and the wide range of applications particularly supporting education and learning made them more vulnerable to experiencing nomophobia (Janatolmakan et al., 2024). For example, 96.4% of nursing students in Egypt encountered some level of fear separated by phone, with highest cases total of 40.3% (El-Ashry et al., 2024). Nomophobia among nursing students in Tunisia was found to be common, with 15.8% showing mild, 55.5% moderate, and 28.7% severe forms, with a higher prevalence of nomophobia among female nursing students, but this was not statistically significant (Ferchichi et al., 2023). Nomophobia was described as not being an official classification of a disorder, yet it can cause distress and also produce physical symptoms such as cervicogenic headaches (Goncalves et al., 2020). In the Philippines, nomophobia was similarly widespread among Generation Z students. A survey of 1,447 junior and senior learners found only 0.5% free of nomophobia, while 12.4% had mild, 63.2% moderate, and 23.8% severe levels (Buctot et al., 2020). Another study of 3,374 Filipino teenagers showed 95.5% of mild level, in other levels teenagers showed signs of 60.9% in moderate, and 22.7% in severe cases with an average of 62.4% who was considered to be smartphone-dependent (Buctot et al., 2021). These study</w:t>
      </w:r>
      <w:r w:rsidDel="00000000" w:rsidR="00000000" w:rsidRPr="00000000">
        <w:rPr>
          <w:rFonts w:ascii="Arial" w:cs="Arial" w:eastAsia="Arial" w:hAnsi="Arial"/>
          <w:rtl w:val="0"/>
        </w:rPr>
        <w:t xml:space="preserve">’s </w:t>
      </w:r>
      <w:r w:rsidDel="00000000" w:rsidR="00000000" w:rsidRPr="00000000">
        <w:rPr>
          <w:rFonts w:ascii="Arial" w:cs="Arial" w:eastAsia="Arial" w:hAnsi="Arial"/>
          <w:color w:val="000000"/>
          <w:rtl w:val="0"/>
        </w:rPr>
        <w:t xml:space="preserve">findings confirmed that nomophobia is almost common in all Filipino students. This meant that this study needed to be conducted in order for us to know the impact on its students academic performance and learning.</w:t>
      </w:r>
      <w:r w:rsidDel="00000000" w:rsidR="00000000" w:rsidRPr="00000000">
        <w:rPr>
          <w:rtl w:val="0"/>
        </w:rPr>
      </w:r>
    </w:p>
    <w:p w:rsidR="00000000" w:rsidDel="00000000" w:rsidP="00000000" w:rsidRDefault="00000000" w:rsidRPr="00000000" w14:paraId="0000001B">
      <w:pPr>
        <w:jc w:val="both"/>
        <w:rPr>
          <w:rFonts w:ascii="Arial" w:cs="Arial" w:eastAsia="Arial" w:hAnsi="Arial"/>
        </w:rPr>
      </w:pPr>
      <w:r w:rsidDel="00000000" w:rsidR="00000000" w:rsidRPr="00000000">
        <w:rPr>
          <w:rtl w:val="0"/>
        </w:rPr>
      </w:r>
    </w:p>
    <w:p w:rsidR="00000000" w:rsidDel="00000000" w:rsidP="00000000" w:rsidRDefault="00000000" w:rsidRPr="00000000" w14:paraId="0000001C">
      <w:pPr>
        <w:jc w:val="both"/>
        <w:rPr>
          <w:rFonts w:ascii="Arial" w:cs="Arial" w:eastAsia="Arial" w:hAnsi="Arial"/>
          <w:color w:val="000000"/>
        </w:rPr>
      </w:pPr>
      <w:r w:rsidDel="00000000" w:rsidR="00000000" w:rsidRPr="00000000">
        <w:rPr>
          <w:rFonts w:ascii="Arial" w:cs="Arial" w:eastAsia="Arial" w:hAnsi="Arial"/>
          <w:color w:val="000000"/>
          <w:rtl w:val="0"/>
        </w:rPr>
        <w:t xml:space="preserve">Measures centered on increasing the digital competence of the students as well as tackling mental health issues would lessen the negative effects that are associated with nomophobia. Research studies showed that activities emphasize on teaching students about the being responsible in using digitals, include meditating activities into their lifestyle, and with the use of Cognitive Behavioral Therapy or known as (CBT), this would manage and be responsible in their </w:t>
      </w:r>
      <w:r w:rsidDel="00000000" w:rsidR="00000000" w:rsidRPr="00000000">
        <w:rPr>
          <w:rFonts w:ascii="Arial" w:cs="Arial" w:eastAsia="Arial" w:hAnsi="Arial"/>
          <w:rtl w:val="0"/>
        </w:rPr>
        <w:t xml:space="preserve">feelings might</w:t>
      </w:r>
      <w:r w:rsidDel="00000000" w:rsidR="00000000" w:rsidRPr="00000000">
        <w:rPr>
          <w:rFonts w:ascii="Arial" w:cs="Arial" w:eastAsia="Arial" w:hAnsi="Arial"/>
          <w:color w:val="000000"/>
          <w:rtl w:val="0"/>
        </w:rPr>
        <w:t xml:space="preserve"> be successful in decreasing smartphone reliance, and thus potentially, nomophobia (Lim et al., 2025; Jebanesy &amp;Vasantha, 2024). Both the UN's 2030 Agenda and the UNDP's 2030 Strategy emphasized digital inclusion and education to bridge the digital divide and to promote the Sustainable Development Goals, particularly SDG 4 (Quality Education) and SDG 3 (Good Health and Well-Being) (Lui, 2021). To support this vision, the Department of Education's Digital Rise Program updated the K-12 curriculum to add information and communication technology (ICT) and digital literacy courses, such as word processing, programming, and multimedia, and provided computers, tablets, and teacher training (DepEd, 2022). The Department of Information and Communications Technology (DICT) supported increased access to the internet by providing "Free Wi-Fi for All"and "CLICK"literacy programs (Dela Cruz, 2025). In addition, The Department of Education works together with the Department of Health on mental health programs in schools that are in line with these SDGs.</w:t>
      </w:r>
    </w:p>
    <w:p w:rsidR="00000000" w:rsidDel="00000000" w:rsidP="00000000" w:rsidRDefault="00000000" w:rsidRPr="00000000" w14:paraId="0000001D">
      <w:pPr>
        <w:jc w:val="both"/>
        <w:rPr>
          <w:rFonts w:ascii="Arial" w:cs="Arial" w:eastAsia="Arial" w:hAnsi="Arial"/>
        </w:rPr>
      </w:pPr>
      <w:r w:rsidDel="00000000" w:rsidR="00000000" w:rsidRPr="00000000">
        <w:rPr>
          <w:rtl w:val="0"/>
        </w:rPr>
      </w:r>
    </w:p>
    <w:p w:rsidR="00000000" w:rsidDel="00000000" w:rsidP="00000000" w:rsidRDefault="00000000" w:rsidRPr="00000000" w14:paraId="0000001E">
      <w:pPr>
        <w:jc w:val="both"/>
        <w:rPr>
          <w:rFonts w:ascii="Arial" w:cs="Arial" w:eastAsia="Arial" w:hAnsi="Arial"/>
        </w:rPr>
      </w:pPr>
      <w:r w:rsidDel="00000000" w:rsidR="00000000" w:rsidRPr="00000000">
        <w:rPr>
          <w:rFonts w:ascii="Arial" w:cs="Arial" w:eastAsia="Arial" w:hAnsi="Arial"/>
          <w:rtl w:val="0"/>
        </w:rPr>
        <w:t xml:space="preserve">The proposed research study contributes to the field by examining nomophobia among Filipino nursing students in a private college in Iloilo City during the School Year 2025–2026. It aims to identify factors associated with nomophobia, considering the students’ clinical obligations, academic workload, and responsibilities that may increase smartphone use for both academic and personal purposes. The findings may provide valuable data for educators and policymakers in promoting healthier smartphone practices. Despite the widespread use of smartphones in nursing education, there is limited localized evidence on how nomophobia manifests within this population. Nursing students rely on smartphones for communication, information access, and task management; however, excessive use may negatively affect concentration, learning efficiency, and clinical performance.</w:t>
      </w:r>
    </w:p>
    <w:p w:rsidR="00000000" w:rsidDel="00000000" w:rsidP="00000000" w:rsidRDefault="00000000" w:rsidRPr="00000000" w14:paraId="0000001F">
      <w:pPr>
        <w:jc w:val="both"/>
        <w:rPr>
          <w:rFonts w:ascii="Arial" w:cs="Arial" w:eastAsia="Arial" w:hAnsi="Arial"/>
        </w:rPr>
      </w:pPr>
      <w:r w:rsidDel="00000000" w:rsidR="00000000" w:rsidRPr="00000000">
        <w:rPr>
          <w:rtl w:val="0"/>
        </w:rPr>
      </w:r>
    </w:p>
    <w:p w:rsidR="00000000" w:rsidDel="00000000" w:rsidP="00000000" w:rsidRDefault="00000000" w:rsidRPr="00000000" w14:paraId="00000020">
      <w:pPr>
        <w:jc w:val="both"/>
        <w:rPr>
          <w:rFonts w:ascii="Arial" w:cs="Arial" w:eastAsia="Arial" w:hAnsi="Arial"/>
        </w:rPr>
      </w:pPr>
      <w:r w:rsidDel="00000000" w:rsidR="00000000" w:rsidRPr="00000000">
        <w:rPr>
          <w:rFonts w:ascii="Arial" w:cs="Arial" w:eastAsia="Arial" w:hAnsi="Arial"/>
          <w:rtl w:val="0"/>
        </w:rPr>
        <w:t xml:space="preserve">Currently, most studies on nomophobia are conducted in other countries and focus on general populations, which may not reflect the unique context of nursing students in the Philippines. Differences in academic demands, clinical duties, and usage patterns highlight the need for context-specific research. Therefore, this study seeks to determine the factors associated with nomophobia among nursing students in Iloilo City.</w:t>
      </w:r>
    </w:p>
    <w:p w:rsidR="00000000" w:rsidDel="00000000" w:rsidP="00000000" w:rsidRDefault="00000000" w:rsidRPr="00000000" w14:paraId="00000021">
      <w:pPr>
        <w:ind w:firstLine="720"/>
        <w:jc w:val="both"/>
        <w:rPr>
          <w:rFonts w:ascii="Arial" w:cs="Arial" w:eastAsia="Arial" w:hAnsi="Arial"/>
        </w:rPr>
      </w:pPr>
      <w:r w:rsidDel="00000000" w:rsidR="00000000" w:rsidRPr="00000000">
        <w:rPr>
          <w:rtl w:val="0"/>
        </w:rPr>
      </w:r>
    </w:p>
    <w:p w:rsidR="00000000" w:rsidDel="00000000" w:rsidP="00000000" w:rsidRDefault="00000000" w:rsidRPr="00000000" w14:paraId="00000022">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2. </w:t>
      </w:r>
      <w:r w:rsidDel="00000000" w:rsidR="00000000" w:rsidRPr="00000000">
        <w:rPr>
          <w:rFonts w:ascii="Arial" w:cs="Arial" w:eastAsia="Arial" w:hAnsi="Arial"/>
          <w:b w:val="1"/>
          <w:bCs w:val="1"/>
          <w:smallCaps w:val="1"/>
          <w:sz w:val="22"/>
          <w:szCs w:val="22"/>
          <w:rtl w:val="0"/>
        </w:rPr>
        <w:t xml:space="preserve">MATERIALS AND METHODS</w:t>
      </w:r>
      <w:r w:rsidDel="00000000" w:rsidR="00000000" w:rsidRPr="00000000">
        <w:rPr>
          <w:rtl w:val="0"/>
        </w:rPr>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b w:val="1"/>
          <w:bCs w:val="1"/>
          <w:sz w:val="22"/>
          <w:szCs w:val="22"/>
        </w:rPr>
      </w:pPr>
      <w:r w:rsidDel="00000000" w:rsidR="00000000" w:rsidRPr="00000000">
        <w:rPr>
          <w:rFonts w:ascii="Arial" w:cs="Arial" w:eastAsia="Arial" w:hAnsi="Arial"/>
          <w:b w:val="1"/>
          <w:bCs w:val="1"/>
          <w:color w:val="000000"/>
          <w:sz w:val="22"/>
          <w:szCs w:val="22"/>
          <w:rtl w:val="0"/>
        </w:rPr>
        <w:t xml:space="preserve">2.1 Study Design</w:t>
      </w:r>
      <w:r w:rsidDel="00000000" w:rsidR="00000000" w:rsidRPr="00000000">
        <w:rPr>
          <w:rtl w:val="0"/>
        </w:rPr>
      </w:r>
    </w:p>
    <w:p w:rsidR="00000000" w:rsidDel="00000000" w:rsidP="00000000" w:rsidRDefault="00000000" w:rsidRPr="00000000" w14:paraId="00000025">
      <w:pPr>
        <w:spacing w:after="240" w:before="240" w:lineRule="auto"/>
        <w:jc w:val="both"/>
        <w:rPr>
          <w:rFonts w:ascii=",serif" w:cs=",serif" w:eastAsia=",serif" w:hAnsi=",serif"/>
        </w:rPr>
      </w:pPr>
      <w:r w:rsidDel="00000000" w:rsidR="00000000" w:rsidRPr="00000000">
        <w:rPr>
          <w:rFonts w:ascii=",serif" w:cs=",serif" w:eastAsia=",serif" w:hAnsi=",serif"/>
          <w:rtl w:val="0"/>
        </w:rPr>
        <w:t xml:space="preserve">This study utilized a quantitative descriptive research design in which it determined the factors linked to nomophobia among student nurses in a private nursing institution in Iloilo City. Descriptive design provided a systematic and comprehensive examination of the existing level of nomophobia among respondents. This research design was  appropriate for the study for it systematically and accurately described a population, situation, and or phenomenon, addressing the questions of what, where, when, and how, but not why (McCombes, 2023).</w:t>
      </w:r>
      <w:r w:rsidDel="00000000" w:rsidR="00000000" w:rsidRPr="00000000">
        <w:rPr>
          <w:rtl w:val="0"/>
        </w:rPr>
      </w:r>
    </w:p>
    <w:p w:rsidR="00000000" w:rsidDel="00000000" w:rsidP="00000000" w:rsidRDefault="00000000" w:rsidRPr="00000000" w14:paraId="00000026">
      <w:pPr>
        <w:spacing w:after="240" w:before="240" w:lineRule="auto"/>
        <w:jc w:val="both"/>
        <w:rPr>
          <w:rFonts w:ascii=",serif" w:cs=",serif" w:eastAsia=",serif" w:hAnsi=",serif"/>
        </w:rPr>
      </w:pPr>
      <w:r w:rsidDel="00000000" w:rsidR="00000000" w:rsidRPr="00000000">
        <w:rPr>
          <w:rFonts w:ascii=",serif" w:cs=",serif" w:eastAsia=",serif" w:hAnsi=",serif"/>
          <w:rtl w:val="0"/>
        </w:rPr>
        <w:t xml:space="preserve">The use of a quantitative descriptive design is appropriate for this study as it allows for the systematic measurement of nomophobia levels and the identification of associated factors without manipulating variables. The use of a standardized instrument (NMP-Q) and appropriate statistical tools further strengthens the validity and reliability of the findings</w:t>
      </w:r>
    </w:p>
    <w:p w:rsidR="00000000" w:rsidDel="00000000" w:rsidP="00000000" w:rsidRDefault="00000000" w:rsidRPr="00000000" w14:paraId="00000027">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2.2 Study Area and Population </w:t>
      </w:r>
    </w:p>
    <w:p w:rsidR="00000000" w:rsidDel="00000000" w:rsidP="00000000" w:rsidRDefault="00000000" w:rsidRPr="00000000" w14:paraId="0000002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29">
      <w:pPr>
        <w:jc w:val="both"/>
        <w:rPr>
          <w:rFonts w:ascii="Arial" w:cs="Arial" w:eastAsia="Arial" w:hAnsi="Arial"/>
        </w:rPr>
      </w:pPr>
      <w:r w:rsidDel="00000000" w:rsidR="00000000" w:rsidRPr="00000000">
        <w:rPr>
          <w:rFonts w:ascii=",serif" w:cs=",serif" w:eastAsia=",serif" w:hAnsi=",serif"/>
          <w:color w:val="000000"/>
          <w:rtl w:val="0"/>
        </w:rPr>
        <w:t xml:space="preserve">The study was conducted at a private college of nursing in an urban area of Iloilo City with a total population of 2,084 students. Data </w:t>
      </w:r>
      <w:r w:rsidDel="00000000" w:rsidR="00000000" w:rsidRPr="00000000">
        <w:rPr>
          <w:rFonts w:ascii=",serif" w:cs=",serif" w:eastAsia=",serif" w:hAnsi=",serif"/>
          <w:rtl w:val="0"/>
        </w:rPr>
        <w:t xml:space="preserve">was</w:t>
      </w:r>
      <w:r w:rsidDel="00000000" w:rsidR="00000000" w:rsidRPr="00000000">
        <w:rPr>
          <w:rFonts w:ascii=",serif" w:cs=",serif" w:eastAsia=",serif" w:hAnsi=",serif"/>
          <w:color w:val="000000"/>
          <w:rtl w:val="0"/>
        </w:rPr>
        <w:t xml:space="preserve"> collected in classrooms and designated study areas to ensure convenience, privacy, and confidentiality, and no personal identifiers or the </w:t>
      </w:r>
      <w:r w:rsidDel="00000000" w:rsidR="00000000" w:rsidRPr="00000000">
        <w:rPr>
          <w:rFonts w:ascii=",serif" w:cs=",serif" w:eastAsia=",serif" w:hAnsi=",serif"/>
          <w:rtl w:val="0"/>
        </w:rPr>
        <w:t xml:space="preserve">institution's</w:t>
      </w:r>
      <w:r w:rsidDel="00000000" w:rsidR="00000000" w:rsidRPr="00000000">
        <w:rPr>
          <w:rFonts w:ascii=",serif" w:cs=",serif" w:eastAsia=",serif" w:hAnsi=",serif"/>
          <w:color w:val="000000"/>
          <w:rtl w:val="0"/>
        </w:rPr>
        <w:t xml:space="preserve"> name were disclosed in the report. The population consisted of student nurses from all year levels enrolled in AY 2025–2026. </w:t>
      </w:r>
      <w:r w:rsidDel="00000000" w:rsidR="00000000" w:rsidRPr="00000000">
        <w:rPr>
          <w:color w:val="000000"/>
          <w:rtl w:val="0"/>
        </w:rPr>
        <w:t xml:space="preserve">Respondent</w:t>
      </w:r>
      <w:r w:rsidDel="00000000" w:rsidR="00000000" w:rsidRPr="00000000">
        <w:rPr>
          <w:rFonts w:ascii=",serif" w:cs=",serif" w:eastAsia=",serif" w:hAnsi=",serif"/>
          <w:color w:val="000000"/>
          <w:rtl w:val="0"/>
        </w:rPr>
        <w:t xml:space="preserve">s included regular students who met the inclusion criteria, while those who refused to sign the informed consent and those who participated in the pilot study were excluded.</w:t>
      </w:r>
      <w:r w:rsidDel="00000000" w:rsidR="00000000" w:rsidRPr="00000000">
        <w:rPr>
          <w:rtl w:val="0"/>
        </w:rPr>
      </w:r>
    </w:p>
    <w:p w:rsidR="00000000" w:rsidDel="00000000" w:rsidP="00000000" w:rsidRDefault="00000000" w:rsidRPr="00000000" w14:paraId="0000002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2.3 Sampling Procedure</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Fonts w:ascii=",serif" w:cs=",serif" w:eastAsia=",serif" w:hAnsi=",serif"/>
          <w:color w:val="000000"/>
          <w:rtl w:val="0"/>
        </w:rPr>
        <w:t xml:space="preserve">The respondents were selected from a population of 2,084 student nurses enrolled in a private institution in Iloilo City during the School Year 2025–2026. Using the Raosoft formula, a sample size of </w:t>
      </w:r>
      <w:r w:rsidDel="00000000" w:rsidR="00000000" w:rsidRPr="00000000">
        <w:rPr>
          <w:rFonts w:ascii=",serif" w:cs=",serif" w:eastAsia=",serif" w:hAnsi=",serif"/>
          <w:rtl w:val="0"/>
        </w:rPr>
        <w:t xml:space="preserve">292 </w:t>
      </w:r>
      <w:r w:rsidDel="00000000" w:rsidR="00000000" w:rsidRPr="00000000">
        <w:rPr>
          <w:rFonts w:ascii=",serif" w:cs=",serif" w:eastAsia=",serif" w:hAnsi=",serif"/>
          <w:color w:val="000000"/>
          <w:rtl w:val="0"/>
        </w:rPr>
        <w:t xml:space="preserve">respondents was determined. Probability stratified random sampling was applied to ensure equal representation across year levels: 96 first-year, 79 second-year, 69 third-year, and 81 fourth-year students. Student nurses were chosen as participants because they frequently use smartphones for both academic and personal purposes, which is relevant to the study on nomophobia.</w:t>
      </w:r>
      <w:r w:rsidDel="00000000" w:rsidR="00000000" w:rsidRPr="00000000">
        <w:rPr>
          <w:rtl w:val="0"/>
        </w:rPr>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2.4 Research Instrument</w:t>
      </w:r>
    </w:p>
    <w:p w:rsidR="00000000" w:rsidDel="00000000" w:rsidP="00000000" w:rsidRDefault="00000000" w:rsidRPr="00000000" w14:paraId="0000003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The study utilized the Nomophobia Questionnaire (NMP-Q) developed by Yildirim and Correia (2015) as the primary research instrument to assess respondents’ level of nomophobia. The instrument consisted of two parts. The first part gathered the respondents’ demographic profile, including sex, year level, number of hours of daily smartphone use, and main reason for smartphone use. The second part comprised the 20-item Nomophobia Questionnaire, which measured nomophobia across four dimensions: inability to communicate, loss of connectedness, inability to access information, and giving up convenience. Responses were rated using a seven-point Likert scale ranging from strongly disagree to strongly agree, with higher scores indicating higher levels of nomophobia. The total scores were interpreted using the established classification: absence of nomophobia (20), mild (21–59), moderate (60–99), and severe (100–140). Domain-specific scores were also calculated to determine the aspects of nomophobia experienced by the respondents.</w:t>
      </w:r>
    </w:p>
    <w:p w:rsidR="00000000" w:rsidDel="00000000" w:rsidP="00000000" w:rsidRDefault="00000000" w:rsidRPr="00000000" w14:paraId="0000003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jc w:val="both"/>
        <w:rPr>
          <w:rFonts w:ascii="Arial" w:cs="Arial" w:eastAsia="Arial" w:hAnsi="Arial"/>
          <w:b w:val="1"/>
          <w:bCs w:val="1"/>
        </w:rPr>
      </w:pPr>
      <w:r w:rsidDel="00000000" w:rsidR="00000000" w:rsidRPr="00000000">
        <w:rPr>
          <w:rFonts w:ascii="Arial" w:cs="Arial" w:eastAsia="Arial" w:hAnsi="Arial"/>
          <w:b w:val="1"/>
          <w:bCs w:val="1"/>
          <w:sz w:val="22"/>
          <w:szCs w:val="22"/>
          <w:rtl w:val="0"/>
        </w:rPr>
        <w:t xml:space="preserve">2.5 Reliability of the Instrument</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3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Reliability, it means the consistency of an instrument that was measured by a specific characteristic or attribute (Wienclaw, 2024). This was an essential concept used in research and data collection, this is to make sure that the data obtained were consistent, reliable and dependable. A pilot sample in this study was measured to 10% of the total population and was selected to assess the reliability of the instrument. Consistency also was evaluated by using Cronbach's alpha, which is used in the Likert-Type Scales. The coefficient of the Cronbach’s Alpha of 0.70 or higher was acceptable already for research instruments. (Tavakol &amp; Dennick, 2011). </w:t>
      </w:r>
    </w:p>
    <w:p w:rsidR="00000000" w:rsidDel="00000000" w:rsidP="00000000" w:rsidRDefault="00000000" w:rsidRPr="00000000" w14:paraId="0000003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(NMP-Q) or the Nomophobia Questionnaire had demonstrated strong reliability evidence with the Cronbach’s alpha of 0.945 of the total scale with ranging coefficients from 0.814 to 0.939 for the subscales (Yildirim &amp; Correia, 2025). The overall results of the Cronbach’s Alpha was 0.955, making this an excellent consistency. The Subdomain Coefficients were as follows: Inability to Communicate (α = 0.911), Loss of Connectedness (α = 0.881), Inability to Access Information (α = 0.924), and Giving Up Convenience (α = 0.887). Obtained values exceeded acceptable threshold. This confirms, the instrument and its subdomains were reliable.</w:t>
      </w:r>
    </w:p>
    <w:p w:rsidR="00000000" w:rsidDel="00000000" w:rsidP="00000000" w:rsidRDefault="00000000" w:rsidRPr="00000000" w14:paraId="00000038">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9">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w:t>
      </w:r>
      <w:r w:rsidDel="00000000" w:rsidR="00000000" w:rsidRPr="00000000">
        <w:rPr>
          <w:rFonts w:ascii="Arial" w:cs="Arial" w:eastAsia="Arial" w:hAnsi="Arial"/>
          <w:b w:val="1"/>
          <w:bCs w:val="1"/>
          <w:sz w:val="22"/>
          <w:szCs w:val="22"/>
          <w:rtl w:val="0"/>
        </w:rPr>
        <w:t xml:space="preserve">6</w:t>
      </w:r>
      <w:r w:rsidDel="00000000" w:rsidR="00000000" w:rsidRPr="00000000">
        <w:rPr>
          <w:rFonts w:ascii="Arial" w:cs="Arial" w:eastAsia="Arial" w:hAnsi="Arial"/>
          <w:b w:val="1"/>
          <w:bCs w:val="1"/>
          <w:color w:val="000000"/>
          <w:sz w:val="22"/>
          <w:szCs w:val="22"/>
          <w:rtl w:val="0"/>
        </w:rPr>
        <w:t xml:space="preserve"> Data Collection Procedure</w:t>
      </w:r>
    </w:p>
    <w:p w:rsidR="00000000" w:rsidDel="00000000" w:rsidP="00000000" w:rsidRDefault="00000000" w:rsidRPr="00000000" w14:paraId="0000003A">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Formal authorization was obtained from the dean to conduct the study among nursing students across all year levels who met the inclusion criteria. Participation was voluntary, and informed consent was obtained from all respondents prior to data collection. Data were collected face-to-face using hard copy Nomophobia Questionnaires (NMP-Q) from January 15 to 28, 2026. The researchers provided clear instructions, clarified any questions, and allowed respondents 15 minutes to complete the survey. Participants were assured of confidentiality and informed of their right to skip any questions they found uncomfortable. After completion, the researchers reviewed the questionnaires for missing responses to ensure data completeness. All collected responses were securely stored, and respondents were offered a summary of the research findings via email.</w:t>
      </w:r>
    </w:p>
    <w:p w:rsidR="00000000" w:rsidDel="00000000" w:rsidP="00000000" w:rsidRDefault="00000000" w:rsidRPr="00000000" w14:paraId="0000003C">
      <w:pPr>
        <w:pBdr>
          <w:top w:space="0" w:sz="0" w:val="nil"/>
          <w:left w:space="0" w:sz="0" w:val="nil"/>
          <w:bottom w:space="0" w:sz="0" w:val="nil"/>
          <w:right w:space="0" w:sz="0" w:val="nil"/>
          <w:between w:space="0" w:sz="0" w:val="nil"/>
        </w:pBdr>
        <w:jc w:val="both"/>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2.</w:t>
      </w:r>
      <w:r w:rsidDel="00000000" w:rsidR="00000000" w:rsidRPr="00000000">
        <w:rPr>
          <w:rFonts w:ascii="Arial" w:cs="Arial" w:eastAsia="Arial" w:hAnsi="Arial"/>
          <w:b w:val="1"/>
          <w:bCs w:val="1"/>
          <w:sz w:val="22"/>
          <w:szCs w:val="22"/>
          <w:rtl w:val="0"/>
        </w:rPr>
        <w:t xml:space="preserve">7</w:t>
      </w:r>
      <w:r w:rsidDel="00000000" w:rsidR="00000000" w:rsidRPr="00000000">
        <w:rPr>
          <w:rFonts w:ascii="Arial" w:cs="Arial" w:eastAsia="Arial" w:hAnsi="Arial"/>
          <w:b w:val="1"/>
          <w:bCs w:val="1"/>
          <w:color w:val="000000"/>
          <w:sz w:val="22"/>
          <w:szCs w:val="22"/>
          <w:rtl w:val="0"/>
        </w:rPr>
        <w:t xml:space="preserve"> Data Analysis</w:t>
      </w:r>
    </w:p>
    <w:p w:rsidR="00000000" w:rsidDel="00000000" w:rsidP="00000000" w:rsidRDefault="00000000" w:rsidRPr="00000000" w14:paraId="0000003D">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3E">
      <w:pPr>
        <w:jc w:val="both"/>
        <w:rPr>
          <w:rFonts w:ascii="Arial" w:cs="Arial" w:eastAsia="Arial" w:hAnsi="Arial"/>
        </w:rPr>
      </w:pPr>
      <w:r w:rsidDel="00000000" w:rsidR="00000000" w:rsidRPr="00000000">
        <w:rPr>
          <w:color w:val="000000"/>
          <w:rtl w:val="0"/>
        </w:rPr>
        <w:t xml:space="preserve">The collected data were organized in Google Sheets and analyzed using SPSS version 20. Descriptive statistics, including frequency, percentage, mean, and standard deviation, were used to summarize respondents’ demographic profile and level of nomophobia. Normality of the data was assessed using the Kolmogorov–Smirnov test, which indicated that the data were not normally distributed (</w:t>
      </w:r>
      <w:r w:rsidDel="00000000" w:rsidR="00000000" w:rsidRPr="00000000">
        <w:rPr>
          <w:i w:val="1"/>
          <w:iCs w:val="1"/>
          <w:color w:val="000000"/>
          <w:rtl w:val="0"/>
        </w:rPr>
        <w:t xml:space="preserve">p </w:t>
      </w:r>
      <w:r w:rsidDel="00000000" w:rsidR="00000000" w:rsidRPr="00000000">
        <w:rPr>
          <w:color w:val="000000"/>
          <w:rtl w:val="0"/>
        </w:rPr>
        <w:t xml:space="preserve">&lt; 0.05). Consequently, non-parametric tests were applied: the Mann–Whitney U test for differences based on sex and primary reason for smartphone use, and the Kruskal–Wallis H test for differences across year level and daily smartphone usage hours. Significant results were further analyzed using Dunn’s post hoc test with Bonferroni correction.</w:t>
      </w: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Fonts w:ascii="Arial" w:cs="Arial" w:eastAsia="Arial" w:hAnsi="Arial"/>
          <w:b w:val="1"/>
          <w:bCs w:val="1"/>
          <w:color w:val="000000"/>
          <w:sz w:val="22"/>
          <w:szCs w:val="22"/>
          <w:rtl w:val="0"/>
        </w:rPr>
        <w:t xml:space="preserve">3. R</w:t>
      </w:r>
      <w:r w:rsidDel="00000000" w:rsidR="00000000" w:rsidRPr="00000000">
        <w:rPr>
          <w:rFonts w:ascii="Arial" w:cs="Arial" w:eastAsia="Arial" w:hAnsi="Arial"/>
          <w:b w:val="1"/>
          <w:bCs w:val="1"/>
          <w:sz w:val="22"/>
          <w:szCs w:val="22"/>
          <w:rtl w:val="0"/>
        </w:rPr>
        <w:t xml:space="preserve">ESULTS AND DISCUSSION</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42">
      <w:pPr>
        <w:jc w:val="both"/>
        <w:rPr>
          <w:b w:val="1"/>
          <w:bCs w:val="1"/>
        </w:rPr>
      </w:pPr>
      <w:r w:rsidDel="00000000" w:rsidR="00000000" w:rsidRPr="00000000">
        <w:rPr>
          <w:b w:val="1"/>
          <w:bCs w:val="1"/>
          <w:rtl w:val="0"/>
        </w:rPr>
        <w:t xml:space="preserve">3.1  Demographic Profile of Respondents </w:t>
      </w:r>
    </w:p>
    <w:p w:rsidR="00000000" w:rsidDel="00000000" w:rsidP="00000000" w:rsidRDefault="00000000" w:rsidRPr="00000000" w14:paraId="00000043">
      <w:pPr>
        <w:jc w:val="both"/>
        <w:rPr>
          <w:b w:val="1"/>
          <w:bCs w:val="1"/>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jc w:val="both"/>
        <w:rPr/>
      </w:pPr>
      <w:r w:rsidDel="00000000" w:rsidR="00000000" w:rsidRPr="00000000">
        <w:rPr>
          <w:rtl w:val="0"/>
        </w:rPr>
        <w:t xml:space="preserve">The demographic characteristics of the respondents are presented in Table 1. A total of 292 respondents participated in the study (100%). Most of the respondents were female (80.8%), indicating a predominance of female participants. In terms of year level, the majority of the respondents were first-year students (29.5%). This suggests that a large proportion of the participants were at the early stage of their academic training. With regard to daily smartphone use, most respondents reported using their smartphones for 5–10 hours per day (52.4%), reflecting a high level of engagement with mobile devices. As to the main reason for smartphone use, the majority of respondents reported non-academic purposes (51.7%), indicating that smartphones are more frequently used for activities beyond academic-related tasks.</w:t>
      </w:r>
      <w:r w:rsidDel="00000000" w:rsidR="00000000" w:rsidRPr="00000000">
        <w:rPr>
          <w:rtl w:val="0"/>
        </w:rPr>
      </w:r>
    </w:p>
    <w:p w:rsidR="00000000" w:rsidDel="00000000" w:rsidP="00000000" w:rsidRDefault="00000000" w:rsidRPr="00000000" w14:paraId="00000045">
      <w:pPr>
        <w:jc w:val="both"/>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b w:val="1"/>
          <w:bCs w:val="1"/>
        </w:rPr>
      </w:pP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b w:val="1"/>
          <w:bCs w:val="1"/>
          <w:color w:val="000000"/>
          <w:rtl w:val="0"/>
        </w:rPr>
        <w:t xml:space="preserve">Table </w:t>
      </w:r>
      <w:r w:rsidDel="00000000" w:rsidR="00000000" w:rsidRPr="00000000">
        <w:rPr>
          <w:rFonts w:ascii="Arial" w:cs="Arial" w:eastAsia="Arial" w:hAnsi="Arial"/>
          <w:b w:val="1"/>
          <w:bCs w:val="1"/>
          <w:rtl w:val="0"/>
        </w:rPr>
        <w:t xml:space="preserve">1.     Profile of the Respondents (n= 292)</w:t>
      </w:r>
    </w:p>
    <w:p w:rsidR="00000000" w:rsidDel="00000000" w:rsidP="00000000" w:rsidRDefault="00000000" w:rsidRPr="00000000" w14:paraId="00000047">
      <w:pPr>
        <w:rPr>
          <w:rFonts w:ascii="Arial" w:cs="Arial" w:eastAsia="Arial" w:hAnsi="Arial"/>
          <w:i w:val="1"/>
          <w:iCs w:val="1"/>
        </w:rPr>
      </w:pPr>
      <w:r w:rsidDel="00000000" w:rsidR="00000000" w:rsidRPr="00000000">
        <w:rPr>
          <w:rtl w:val="0"/>
        </w:rPr>
      </w:r>
    </w:p>
    <w:sdt>
      <w:sdtPr>
        <w:lock w:val="contentLocked"/>
        <w:id w:val="931530140"/>
        <w:tag w:val="goog_rdk_0"/>
      </w:sdtPr>
      <w:sdtContent>
        <w:tbl>
          <w:tblPr>
            <w:tblStyle w:val="Table2"/>
            <w:tblpPr w:leftFromText="180" w:rightFromText="180" w:topFromText="180" w:bottomFromText="180" w:vertAnchor="text" w:horzAnchor="text" w:tblpX="0" w:tblpY="0"/>
            <w:tblW w:w="8640.0" w:type="dxa"/>
            <w:jc w:val="left"/>
            <w:tblLayout w:type="fixed"/>
            <w:tblLook w:val="0400"/>
          </w:tblPr>
          <w:tblGrid>
            <w:gridCol w:w="5850"/>
            <w:gridCol w:w="1500"/>
            <w:gridCol w:w="1290"/>
            <w:tblGridChange w:id="0">
              <w:tblGrid>
                <w:gridCol w:w="5850"/>
                <w:gridCol w:w="1500"/>
                <w:gridCol w:w="1290"/>
              </w:tblGrid>
            </w:tblGridChange>
          </w:tblGrid>
          <w:tr>
            <w:trPr>
              <w:cantSplit w:val="0"/>
              <w:tblHeader w:val="0"/>
            </w:trPr>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48">
                <w:pPr>
                  <w:rPr>
                    <w:rFonts w:ascii="Arial" w:cs="Arial" w:eastAsia="Arial" w:hAnsi="Arial"/>
                    <w:b w:val="1"/>
                    <w:bCs w:val="1"/>
                  </w:rPr>
                </w:pPr>
                <w:r w:rsidDel="00000000" w:rsidR="00000000" w:rsidRPr="00000000">
                  <w:rPr>
                    <w:rFonts w:ascii="Arial" w:cs="Arial" w:eastAsia="Arial" w:hAnsi="Arial"/>
                    <w:b w:val="1"/>
                    <w:bCs w:val="1"/>
                    <w:rtl w:val="0"/>
                  </w:rPr>
                  <w:t xml:space="preserve">Variables</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4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Frequency</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4A">
                <w:pPr>
                  <w:rPr>
                    <w:rFonts w:ascii="Arial" w:cs="Arial" w:eastAsia="Arial" w:hAnsi="Arial"/>
                    <w:b w:val="1"/>
                    <w:bCs w:val="1"/>
                  </w:rPr>
                </w:pPr>
                <w:r w:rsidDel="00000000" w:rsidR="00000000" w:rsidRPr="00000000">
                  <w:rPr>
                    <w:rFonts w:ascii="Arial" w:cs="Arial" w:eastAsia="Arial" w:hAnsi="Arial"/>
                    <w:b w:val="1"/>
                    <w:bCs w:val="1"/>
                    <w:rtl w:val="0"/>
                  </w:rPr>
                  <w:t xml:space="preserve">Percentage</w:t>
                </w:r>
              </w:p>
            </w:tc>
          </w:tr>
          <w:tr>
            <w:trPr>
              <w:cantSplit w:val="0"/>
              <w:trHeight w:val="248" w:hRule="atLeast"/>
              <w:tblHeader w:val="0"/>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4B">
                <w:pPr>
                  <w:rPr>
                    <w:rFonts w:ascii="Arial" w:cs="Arial" w:eastAsia="Arial" w:hAnsi="Arial"/>
                  </w:rPr>
                </w:pPr>
                <w:r w:rsidDel="00000000" w:rsidR="00000000" w:rsidRPr="00000000">
                  <w:rPr>
                    <w:rFonts w:ascii="Arial" w:cs="Arial" w:eastAsia="Arial" w:hAnsi="Arial"/>
                    <w:rtl w:val="0"/>
                  </w:rPr>
                  <w:t xml:space="preserve">Sex</w:t>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4C">
                <w:pPr>
                  <w:jc w:val="center"/>
                  <w:rPr>
                    <w:rFonts w:ascii="Arial" w:cs="Arial" w:eastAsia="Arial" w:hAnsi="Arial"/>
                  </w:rPr>
                </w:pPr>
                <w:r w:rsidDel="00000000" w:rsidR="00000000" w:rsidRPr="00000000">
                  <w:rPr>
                    <w:rtl w:val="0"/>
                  </w:rPr>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4D">
                <w:pPr>
                  <w:jc w:val="center"/>
                  <w:rPr>
                    <w:rFonts w:ascii="Arial" w:cs="Arial" w:eastAsia="Arial" w:hAnsi="Arial"/>
                  </w:rPr>
                </w:pPr>
                <w:r w:rsidDel="00000000" w:rsidR="00000000" w:rsidRPr="00000000">
                  <w:rPr>
                    <w:rtl w:val="0"/>
                  </w:rPr>
                </w:r>
              </w:p>
            </w:tc>
          </w:tr>
          <w:tr>
            <w:trPr>
              <w:cantSplit w:val="0"/>
              <w:trHeight w:val="217" w:hRule="atLeast"/>
              <w:tblHeader w:val="0"/>
            </w:trPr>
            <w:tc>
              <w:tcPr>
                <w:tcMar>
                  <w:top w:w="0.0" w:type="dxa"/>
                  <w:left w:w="100.0" w:type="dxa"/>
                  <w:bottom w:w="0.0" w:type="dxa"/>
                  <w:right w:w="100.0" w:type="dxa"/>
                </w:tcMar>
              </w:tcPr>
              <w:p w:rsidR="00000000" w:rsidDel="00000000" w:rsidP="00000000" w:rsidRDefault="00000000" w:rsidRPr="00000000" w14:paraId="0000004E">
                <w:pPr>
                  <w:rPr>
                    <w:rFonts w:ascii="Arial" w:cs="Arial" w:eastAsia="Arial" w:hAnsi="Arial"/>
                  </w:rPr>
                </w:pPr>
                <w:r w:rsidDel="00000000" w:rsidR="00000000" w:rsidRPr="00000000">
                  <w:rPr>
                    <w:rFonts w:ascii="Arial" w:cs="Arial" w:eastAsia="Arial" w:hAnsi="Arial"/>
                    <w:rtl w:val="0"/>
                  </w:rPr>
                  <w:t xml:space="preserve"> </w:t>
                  <w:tab/>
                  <w:t xml:space="preserve">Male</w:t>
                </w:r>
              </w:p>
            </w:tc>
            <w:tc>
              <w:tcPr>
                <w:tcMar>
                  <w:top w:w="0.0" w:type="dxa"/>
                  <w:left w:w="100.0" w:type="dxa"/>
                  <w:bottom w:w="0.0" w:type="dxa"/>
                  <w:right w:w="100.0" w:type="dxa"/>
                </w:tcMar>
                <w:vAlign w:val="center"/>
              </w:tcPr>
              <w:p w:rsidR="00000000" w:rsidDel="00000000" w:rsidP="00000000" w:rsidRDefault="00000000" w:rsidRPr="00000000" w14:paraId="0000004F">
                <w:pPr>
                  <w:jc w:val="center"/>
                  <w:rPr>
                    <w:rFonts w:ascii="Arial" w:cs="Arial" w:eastAsia="Arial" w:hAnsi="Arial"/>
                  </w:rPr>
                </w:pPr>
                <w:r w:rsidDel="00000000" w:rsidR="00000000" w:rsidRPr="00000000">
                  <w:rPr>
                    <w:rFonts w:ascii="Arial" w:cs="Arial" w:eastAsia="Arial" w:hAnsi="Arial"/>
                    <w:rtl w:val="0"/>
                  </w:rPr>
                  <w:t xml:space="preserve">56</w:t>
                </w:r>
              </w:p>
            </w:tc>
            <w:tc>
              <w:tcPr>
                <w:tcMar>
                  <w:top w:w="0.0" w:type="dxa"/>
                  <w:left w:w="100.0" w:type="dxa"/>
                  <w:bottom w:w="0.0" w:type="dxa"/>
                  <w:right w:w="100.0" w:type="dxa"/>
                </w:tcMar>
                <w:vAlign w:val="center"/>
              </w:tcPr>
              <w:p w:rsidR="00000000" w:rsidDel="00000000" w:rsidP="00000000" w:rsidRDefault="00000000" w:rsidRPr="00000000" w14:paraId="00000050">
                <w:pPr>
                  <w:jc w:val="center"/>
                  <w:rPr>
                    <w:rFonts w:ascii="Arial" w:cs="Arial" w:eastAsia="Arial" w:hAnsi="Arial"/>
                  </w:rPr>
                </w:pPr>
                <w:r w:rsidDel="00000000" w:rsidR="00000000" w:rsidRPr="00000000">
                  <w:rPr>
                    <w:rFonts w:ascii="Arial" w:cs="Arial" w:eastAsia="Arial" w:hAnsi="Arial"/>
                    <w:rtl w:val="0"/>
                  </w:rPr>
                  <w:t xml:space="preserve">19.2</w:t>
                </w:r>
              </w:p>
            </w:tc>
          </w:tr>
          <w:tr>
            <w:trPr>
              <w:cantSplit w:val="0"/>
              <w:trHeight w:val="217" w:hRule="atLeast"/>
              <w:tblHeader w:val="0"/>
            </w:trPr>
            <w:tc>
              <w:tcPr>
                <w:tcBorders>
                  <w:bottom w:color="000000" w:space="0" w:sz="8" w:val="single"/>
                </w:tcBorders>
                <w:tcMar>
                  <w:top w:w="0.0" w:type="dxa"/>
                  <w:left w:w="100.0" w:type="dxa"/>
                  <w:bottom w:w="0.0" w:type="dxa"/>
                  <w:right w:w="100.0" w:type="dxa"/>
                </w:tcMar>
              </w:tcPr>
              <w:p w:rsidR="00000000" w:rsidDel="00000000" w:rsidP="00000000" w:rsidRDefault="00000000" w:rsidRPr="00000000" w14:paraId="00000051">
                <w:pPr>
                  <w:rPr>
                    <w:rFonts w:ascii="Arial" w:cs="Arial" w:eastAsia="Arial" w:hAnsi="Arial"/>
                  </w:rPr>
                </w:pPr>
                <w:r w:rsidDel="00000000" w:rsidR="00000000" w:rsidRPr="00000000">
                  <w:rPr>
                    <w:rFonts w:ascii="Arial" w:cs="Arial" w:eastAsia="Arial" w:hAnsi="Arial"/>
                    <w:rtl w:val="0"/>
                  </w:rPr>
                  <w:t xml:space="preserve"> </w:t>
                  <w:tab/>
                  <w:t xml:space="preserve">Female</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236</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053">
                <w:pPr>
                  <w:jc w:val="center"/>
                  <w:rPr>
                    <w:rFonts w:ascii="Arial" w:cs="Arial" w:eastAsia="Arial" w:hAnsi="Arial"/>
                  </w:rPr>
                </w:pPr>
                <w:r w:rsidDel="00000000" w:rsidR="00000000" w:rsidRPr="00000000">
                  <w:rPr>
                    <w:rFonts w:ascii="Arial" w:cs="Arial" w:eastAsia="Arial" w:hAnsi="Arial"/>
                    <w:rtl w:val="0"/>
                  </w:rPr>
                  <w:t xml:space="preserve">80.8</w:t>
                </w:r>
              </w:p>
            </w:tc>
          </w:tr>
          <w:tr>
            <w:trPr>
              <w:cantSplit w:val="0"/>
              <w:trHeight w:val="217" w:hRule="atLeast"/>
              <w:tblHeader w:val="0"/>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54">
                <w:pPr>
                  <w:rPr>
                    <w:rFonts w:ascii="Arial" w:cs="Arial" w:eastAsia="Arial" w:hAnsi="Arial"/>
                  </w:rPr>
                </w:pPr>
                <w:r w:rsidDel="00000000" w:rsidR="00000000" w:rsidRPr="00000000">
                  <w:rPr>
                    <w:rFonts w:ascii="Arial" w:cs="Arial" w:eastAsia="Arial" w:hAnsi="Arial"/>
                    <w:rtl w:val="0"/>
                  </w:rPr>
                  <w:t xml:space="preserve">Year Level</w:t>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55">
                <w:pPr>
                  <w:jc w:val="center"/>
                  <w:rPr>
                    <w:rFonts w:ascii="Arial" w:cs="Arial" w:eastAsia="Arial" w:hAnsi="Arial"/>
                  </w:rPr>
                </w:pPr>
                <w:r w:rsidDel="00000000" w:rsidR="00000000" w:rsidRPr="00000000">
                  <w:rPr>
                    <w:rtl w:val="0"/>
                  </w:rPr>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56">
                <w:pPr>
                  <w:jc w:val="center"/>
                  <w:rPr>
                    <w:rFonts w:ascii="Arial" w:cs="Arial" w:eastAsia="Arial" w:hAnsi="Arial"/>
                  </w:rPr>
                </w:pPr>
                <w:r w:rsidDel="00000000" w:rsidR="00000000" w:rsidRPr="00000000">
                  <w:rPr>
                    <w:rtl w:val="0"/>
                  </w:rPr>
                </w:r>
              </w:p>
            </w:tc>
          </w:tr>
          <w:tr>
            <w:trPr>
              <w:cantSplit w:val="0"/>
              <w:trHeight w:val="217" w:hRule="atLeast"/>
              <w:tblHeader w:val="0"/>
            </w:trPr>
            <w:tc>
              <w:tcPr>
                <w:tcMar>
                  <w:top w:w="0.0" w:type="dxa"/>
                  <w:left w:w="100.0" w:type="dxa"/>
                  <w:bottom w:w="0.0" w:type="dxa"/>
                  <w:right w:w="100.0" w:type="dxa"/>
                </w:tcMar>
              </w:tcPr>
              <w:p w:rsidR="00000000" w:rsidDel="00000000" w:rsidP="00000000" w:rsidRDefault="00000000" w:rsidRPr="00000000" w14:paraId="00000057">
                <w:pPr>
                  <w:rPr>
                    <w:rFonts w:ascii="Arial" w:cs="Arial" w:eastAsia="Arial" w:hAnsi="Arial"/>
                  </w:rPr>
                </w:pPr>
                <w:r w:rsidDel="00000000" w:rsidR="00000000" w:rsidRPr="00000000">
                  <w:rPr>
                    <w:rFonts w:ascii="Arial" w:cs="Arial" w:eastAsia="Arial" w:hAnsi="Arial"/>
                    <w:rtl w:val="0"/>
                  </w:rPr>
                  <w:t xml:space="preserve"> </w:t>
                  <w:tab/>
                  <w:t xml:space="preserve">First Year</w:t>
                </w:r>
              </w:p>
            </w:tc>
            <w:tc>
              <w:tcPr>
                <w:tcMar>
                  <w:top w:w="0.0" w:type="dxa"/>
                  <w:left w:w="100.0" w:type="dxa"/>
                  <w:bottom w:w="0.0" w:type="dxa"/>
                  <w:right w:w="100.0" w:type="dxa"/>
                </w:tcMar>
                <w:vAlign w:val="center"/>
              </w:tcPr>
              <w:p w:rsidR="00000000" w:rsidDel="00000000" w:rsidP="00000000" w:rsidRDefault="00000000" w:rsidRPr="00000000" w14:paraId="00000058">
                <w:pPr>
                  <w:jc w:val="center"/>
                  <w:rPr>
                    <w:rFonts w:ascii="Arial" w:cs="Arial" w:eastAsia="Arial" w:hAnsi="Arial"/>
                  </w:rPr>
                </w:pPr>
                <w:r w:rsidDel="00000000" w:rsidR="00000000" w:rsidRPr="00000000">
                  <w:rPr>
                    <w:rFonts w:ascii="Arial" w:cs="Arial" w:eastAsia="Arial" w:hAnsi="Arial"/>
                    <w:rtl w:val="0"/>
                  </w:rPr>
                  <w:t xml:space="preserve">86</w:t>
                </w:r>
              </w:p>
            </w:tc>
            <w:tc>
              <w:tcPr>
                <w:tcMar>
                  <w:top w:w="0.0" w:type="dxa"/>
                  <w:left w:w="100.0" w:type="dxa"/>
                  <w:bottom w:w="0.0" w:type="dxa"/>
                  <w:right w:w="100.0" w:type="dxa"/>
                </w:tcMar>
                <w:vAlign w:val="center"/>
              </w:tcPr>
              <w:p w:rsidR="00000000" w:rsidDel="00000000" w:rsidP="00000000" w:rsidRDefault="00000000" w:rsidRPr="00000000" w14:paraId="00000059">
                <w:pPr>
                  <w:jc w:val="center"/>
                  <w:rPr>
                    <w:rFonts w:ascii="Arial" w:cs="Arial" w:eastAsia="Arial" w:hAnsi="Arial"/>
                  </w:rPr>
                </w:pPr>
                <w:r w:rsidDel="00000000" w:rsidR="00000000" w:rsidRPr="00000000">
                  <w:rPr>
                    <w:rFonts w:ascii="Arial" w:cs="Arial" w:eastAsia="Arial" w:hAnsi="Arial"/>
                    <w:rtl w:val="0"/>
                  </w:rPr>
                  <w:t xml:space="preserve">29.5</w:t>
                </w:r>
              </w:p>
            </w:tc>
          </w:tr>
          <w:tr>
            <w:trPr>
              <w:cantSplit w:val="0"/>
              <w:trHeight w:val="217" w:hRule="atLeast"/>
              <w:tblHeader w:val="0"/>
            </w:trPr>
            <w:tc>
              <w:tcPr>
                <w:tcMar>
                  <w:top w:w="0.0" w:type="dxa"/>
                  <w:left w:w="100.0" w:type="dxa"/>
                  <w:bottom w:w="0.0" w:type="dxa"/>
                  <w:right w:w="100.0" w:type="dxa"/>
                </w:tcMar>
              </w:tcPr>
              <w:p w:rsidR="00000000" w:rsidDel="00000000" w:rsidP="00000000" w:rsidRDefault="00000000" w:rsidRPr="00000000" w14:paraId="0000005A">
                <w:pPr>
                  <w:rPr>
                    <w:rFonts w:ascii="Arial" w:cs="Arial" w:eastAsia="Arial" w:hAnsi="Arial"/>
                  </w:rPr>
                </w:pPr>
                <w:r w:rsidDel="00000000" w:rsidR="00000000" w:rsidRPr="00000000">
                  <w:rPr>
                    <w:rFonts w:ascii="Arial" w:cs="Arial" w:eastAsia="Arial" w:hAnsi="Arial"/>
                    <w:rtl w:val="0"/>
                  </w:rPr>
                  <w:t xml:space="preserve"> </w:t>
                  <w:tab/>
                  <w:t xml:space="preserve">Second Year</w:t>
                </w:r>
              </w:p>
            </w:tc>
            <w:tc>
              <w:tcPr>
                <w:tcMar>
                  <w:top w:w="0.0" w:type="dxa"/>
                  <w:left w:w="100.0" w:type="dxa"/>
                  <w:bottom w:w="0.0" w:type="dxa"/>
                  <w:right w:w="100.0" w:type="dxa"/>
                </w:tcMar>
                <w:vAlign w:val="center"/>
              </w:tcPr>
              <w:p w:rsidR="00000000" w:rsidDel="00000000" w:rsidP="00000000" w:rsidRDefault="00000000" w:rsidRPr="00000000" w14:paraId="0000005B">
                <w:pPr>
                  <w:jc w:val="center"/>
                  <w:rPr>
                    <w:rFonts w:ascii="Arial" w:cs="Arial" w:eastAsia="Arial" w:hAnsi="Arial"/>
                  </w:rPr>
                </w:pPr>
                <w:r w:rsidDel="00000000" w:rsidR="00000000" w:rsidRPr="00000000">
                  <w:rPr>
                    <w:rFonts w:ascii="Arial" w:cs="Arial" w:eastAsia="Arial" w:hAnsi="Arial"/>
                    <w:rtl w:val="0"/>
                  </w:rPr>
                  <w:t xml:space="preserve">71</w:t>
                </w:r>
              </w:p>
            </w:tc>
            <w:tc>
              <w:tcPr>
                <w:tcMar>
                  <w:top w:w="0.0" w:type="dxa"/>
                  <w:left w:w="100.0" w:type="dxa"/>
                  <w:bottom w:w="0.0" w:type="dxa"/>
                  <w:right w:w="100.0" w:type="dxa"/>
                </w:tcMa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24.3</w:t>
                </w:r>
              </w:p>
            </w:tc>
          </w:tr>
          <w:tr>
            <w:trPr>
              <w:cantSplit w:val="0"/>
              <w:trHeight w:val="217" w:hRule="atLeast"/>
              <w:tblHeader w:val="0"/>
            </w:trPr>
            <w:tc>
              <w:tcPr>
                <w:tcMar>
                  <w:top w:w="0.0" w:type="dxa"/>
                  <w:left w:w="100.0" w:type="dxa"/>
                  <w:bottom w:w="0.0" w:type="dxa"/>
                  <w:right w:w="100.0" w:type="dxa"/>
                </w:tcMa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 </w:t>
                  <w:tab/>
                  <w:t xml:space="preserve">Third Year</w:t>
                </w:r>
              </w:p>
            </w:tc>
            <w:tc>
              <w:tcPr>
                <w:tcMar>
                  <w:top w:w="0.0" w:type="dxa"/>
                  <w:left w:w="100.0" w:type="dxa"/>
                  <w:bottom w:w="0.0" w:type="dxa"/>
                  <w:right w:w="100.0" w:type="dxa"/>
                </w:tcMar>
                <w:vAlign w:val="center"/>
              </w:tcPr>
              <w:p w:rsidR="00000000" w:rsidDel="00000000" w:rsidP="00000000" w:rsidRDefault="00000000" w:rsidRPr="00000000" w14:paraId="0000005E">
                <w:pPr>
                  <w:jc w:val="center"/>
                  <w:rPr>
                    <w:rFonts w:ascii="Arial" w:cs="Arial" w:eastAsia="Arial" w:hAnsi="Arial"/>
                  </w:rPr>
                </w:pPr>
                <w:r w:rsidDel="00000000" w:rsidR="00000000" w:rsidRPr="00000000">
                  <w:rPr>
                    <w:rFonts w:ascii="Arial" w:cs="Arial" w:eastAsia="Arial" w:hAnsi="Arial"/>
                    <w:rtl w:val="0"/>
                  </w:rPr>
                  <w:t xml:space="preserve">62</w:t>
                </w:r>
              </w:p>
            </w:tc>
            <w:tc>
              <w:tcPr>
                <w:tcMar>
                  <w:top w:w="0.0" w:type="dxa"/>
                  <w:left w:w="100.0" w:type="dxa"/>
                  <w:bottom w:w="0.0" w:type="dxa"/>
                  <w:right w:w="100.0" w:type="dxa"/>
                </w:tcM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21.2</w:t>
                </w:r>
              </w:p>
            </w:tc>
          </w:tr>
          <w:tr>
            <w:trPr>
              <w:cantSplit w:val="0"/>
              <w:trHeight w:val="217" w:hRule="atLeast"/>
              <w:tblHeader w:val="0"/>
            </w:trPr>
            <w:tc>
              <w:tcPr>
                <w:tcBorders>
                  <w:bottom w:color="000000" w:space="0" w:sz="8" w:val="single"/>
                </w:tcBorders>
                <w:tcMar>
                  <w:top w:w="0.0" w:type="dxa"/>
                  <w:left w:w="100.0" w:type="dxa"/>
                  <w:bottom w:w="0.0" w:type="dxa"/>
                  <w:right w:w="100.0" w:type="dxa"/>
                </w:tcMa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 </w:t>
                  <w:tab/>
                  <w:t xml:space="preserve">Fourth Year</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061">
                <w:pPr>
                  <w:jc w:val="center"/>
                  <w:rPr>
                    <w:rFonts w:ascii="Arial" w:cs="Arial" w:eastAsia="Arial" w:hAnsi="Arial"/>
                  </w:rPr>
                </w:pPr>
                <w:r w:rsidDel="00000000" w:rsidR="00000000" w:rsidRPr="00000000">
                  <w:rPr>
                    <w:rFonts w:ascii="Arial" w:cs="Arial" w:eastAsia="Arial" w:hAnsi="Arial"/>
                    <w:rtl w:val="0"/>
                  </w:rPr>
                  <w:t xml:space="preserve">73</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25.0</w:t>
                </w:r>
              </w:p>
            </w:tc>
          </w:tr>
          <w:tr>
            <w:trPr>
              <w:cantSplit w:val="0"/>
              <w:trHeight w:val="217" w:hRule="atLeast"/>
              <w:tblHeader w:val="0"/>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Number of hours of daily smartphone use </w:t>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64">
                <w:pPr>
                  <w:jc w:val="center"/>
                  <w:rPr>
                    <w:rFonts w:ascii="Arial" w:cs="Arial" w:eastAsia="Arial" w:hAnsi="Arial"/>
                  </w:rPr>
                </w:pPr>
                <w:r w:rsidDel="00000000" w:rsidR="00000000" w:rsidRPr="00000000">
                  <w:rPr>
                    <w:rtl w:val="0"/>
                  </w:rPr>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065">
                <w:pPr>
                  <w:jc w:val="center"/>
                  <w:rPr>
                    <w:rFonts w:ascii="Arial" w:cs="Arial" w:eastAsia="Arial" w:hAnsi="Arial"/>
                  </w:rPr>
                </w:pPr>
                <w:r w:rsidDel="00000000" w:rsidR="00000000" w:rsidRPr="00000000">
                  <w:rPr>
                    <w:rtl w:val="0"/>
                  </w:rPr>
                </w:r>
              </w:p>
            </w:tc>
          </w:tr>
          <w:tr>
            <w:trPr>
              <w:cantSplit w:val="0"/>
              <w:trHeight w:val="217" w:hRule="atLeast"/>
              <w:tblHeader w:val="0"/>
            </w:trPr>
            <w:tc>
              <w:tcPr>
                <w:tcMar>
                  <w:top w:w="0.0" w:type="dxa"/>
                  <w:left w:w="100.0" w:type="dxa"/>
                  <w:bottom w:w="0.0" w:type="dxa"/>
                  <w:right w:w="100.0" w:type="dxa"/>
                </w:tcMar>
              </w:tcPr>
              <w:p w:rsidR="00000000" w:rsidDel="00000000" w:rsidP="00000000" w:rsidRDefault="00000000" w:rsidRPr="00000000" w14:paraId="00000066">
                <w:pPr>
                  <w:ind w:left="710" w:firstLine="0"/>
                  <w:rPr>
                    <w:rFonts w:ascii="Arial" w:cs="Arial" w:eastAsia="Arial" w:hAnsi="Arial"/>
                  </w:rPr>
                </w:pPr>
                <w:r w:rsidDel="00000000" w:rsidR="00000000" w:rsidRPr="00000000">
                  <w:rPr>
                    <w:rFonts w:ascii="Arial" w:cs="Arial" w:eastAsia="Arial" w:hAnsi="Arial"/>
                    <w:rtl w:val="0"/>
                  </w:rPr>
                  <w:t xml:space="preserve">&lt; 5 hours</w:t>
                </w:r>
              </w:p>
            </w:tc>
            <w:tc>
              <w:tcPr>
                <w:tcMar>
                  <w:top w:w="0.0" w:type="dxa"/>
                  <w:left w:w="100.0" w:type="dxa"/>
                  <w:bottom w:w="0.0" w:type="dxa"/>
                  <w:right w:w="100.0" w:type="dxa"/>
                </w:tcMar>
                <w:vAlign w:val="center"/>
              </w:tcPr>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78</w:t>
                </w:r>
              </w:p>
            </w:tc>
            <w:tc>
              <w:tcPr>
                <w:tcMar>
                  <w:top w:w="0.0" w:type="dxa"/>
                  <w:left w:w="100.0" w:type="dxa"/>
                  <w:bottom w:w="0.0" w:type="dxa"/>
                  <w:right w:w="100.0" w:type="dxa"/>
                </w:tcM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26.7</w:t>
                </w:r>
              </w:p>
            </w:tc>
          </w:tr>
          <w:tr>
            <w:trPr>
              <w:cantSplit w:val="0"/>
              <w:trHeight w:val="217" w:hRule="atLeast"/>
              <w:tblHeader w:val="0"/>
            </w:trPr>
            <w:tc>
              <w:tcPr>
                <w:tcMar>
                  <w:top w:w="0.0" w:type="dxa"/>
                  <w:left w:w="100.0" w:type="dxa"/>
                  <w:bottom w:w="0.0" w:type="dxa"/>
                  <w:right w:w="100.0" w:type="dxa"/>
                </w:tcMar>
              </w:tcPr>
              <w:p w:rsidR="00000000" w:rsidDel="00000000" w:rsidP="00000000" w:rsidRDefault="00000000" w:rsidRPr="00000000" w14:paraId="00000069">
                <w:pPr>
                  <w:ind w:left="710" w:firstLine="0"/>
                  <w:rPr>
                    <w:rFonts w:ascii="Arial" w:cs="Arial" w:eastAsia="Arial" w:hAnsi="Arial"/>
                  </w:rPr>
                </w:pPr>
                <w:r w:rsidDel="00000000" w:rsidR="00000000" w:rsidRPr="00000000">
                  <w:rPr>
                    <w:rFonts w:ascii="Arial" w:cs="Arial" w:eastAsia="Arial" w:hAnsi="Arial"/>
                    <w:rtl w:val="0"/>
                  </w:rPr>
                  <w:t xml:space="preserve">5 – 10 hours</w:t>
                </w:r>
              </w:p>
            </w:tc>
            <w:tc>
              <w:tcPr>
                <w:tcMar>
                  <w:top w:w="0.0" w:type="dxa"/>
                  <w:left w:w="100.0" w:type="dxa"/>
                  <w:bottom w:w="0.0" w:type="dxa"/>
                  <w:right w:w="100.0" w:type="dxa"/>
                </w:tcMar>
                <w:vAlign w:val="center"/>
              </w:tcPr>
              <w:p w:rsidR="00000000" w:rsidDel="00000000" w:rsidP="00000000" w:rsidRDefault="00000000" w:rsidRPr="00000000" w14:paraId="0000006A">
                <w:pPr>
                  <w:jc w:val="center"/>
                  <w:rPr>
                    <w:rFonts w:ascii="Arial" w:cs="Arial" w:eastAsia="Arial" w:hAnsi="Arial"/>
                  </w:rPr>
                </w:pPr>
                <w:r w:rsidDel="00000000" w:rsidR="00000000" w:rsidRPr="00000000">
                  <w:rPr>
                    <w:rFonts w:ascii="Arial" w:cs="Arial" w:eastAsia="Arial" w:hAnsi="Arial"/>
                    <w:rtl w:val="0"/>
                  </w:rPr>
                  <w:t xml:space="preserve">153</w:t>
                </w:r>
              </w:p>
            </w:tc>
            <w:tc>
              <w:tcPr>
                <w:tcMar>
                  <w:top w:w="0.0" w:type="dxa"/>
                  <w:left w:w="100.0" w:type="dxa"/>
                  <w:bottom w:w="0.0" w:type="dxa"/>
                  <w:right w:w="100.0" w:type="dxa"/>
                </w:tcMar>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52.4</w:t>
                </w:r>
              </w:p>
            </w:tc>
          </w:tr>
          <w:tr>
            <w:trPr>
              <w:cantSplit w:val="0"/>
              <w:trHeight w:val="217" w:hRule="atLeast"/>
              <w:tblHeader w:val="0"/>
            </w:trPr>
            <w:tc>
              <w:tcPr>
                <w:tcBorders>
                  <w:bottom w:color="000000" w:space="0" w:sz="4" w:val="single"/>
                </w:tcBorders>
                <w:tcMar>
                  <w:top w:w="0.0" w:type="dxa"/>
                  <w:left w:w="100.0" w:type="dxa"/>
                  <w:bottom w:w="0.0" w:type="dxa"/>
                  <w:right w:w="100.0" w:type="dxa"/>
                </w:tcMar>
              </w:tcPr>
              <w:p w:rsidR="00000000" w:rsidDel="00000000" w:rsidP="00000000" w:rsidRDefault="00000000" w:rsidRPr="00000000" w14:paraId="0000006C">
                <w:pPr>
                  <w:ind w:left="710" w:firstLine="0"/>
                  <w:rPr>
                    <w:rFonts w:ascii="Arial" w:cs="Arial" w:eastAsia="Arial" w:hAnsi="Arial"/>
                  </w:rPr>
                </w:pPr>
                <w:r w:rsidDel="00000000" w:rsidR="00000000" w:rsidRPr="00000000">
                  <w:rPr>
                    <w:rFonts w:ascii="Arial" w:cs="Arial" w:eastAsia="Arial" w:hAnsi="Arial"/>
                    <w:rtl w:val="0"/>
                  </w:rPr>
                  <w:t xml:space="preserve">&gt; 10 hours</w:t>
                </w:r>
              </w:p>
            </w:tc>
            <w:tc>
              <w:tcPr>
                <w:tcBorders>
                  <w:bottom w:color="000000" w:space="0" w:sz="4" w:val="single"/>
                </w:tcBorders>
                <w:tcMar>
                  <w:top w:w="0.0" w:type="dxa"/>
                  <w:left w:w="100.0" w:type="dxa"/>
                  <w:bottom w:w="0.0" w:type="dxa"/>
                  <w:right w:w="100.0" w:type="dxa"/>
                </w:tcMar>
                <w:vAlign w:val="center"/>
              </w:tcPr>
              <w:p w:rsidR="00000000" w:rsidDel="00000000" w:rsidP="00000000" w:rsidRDefault="00000000" w:rsidRPr="00000000" w14:paraId="0000006D">
                <w:pPr>
                  <w:jc w:val="center"/>
                  <w:rPr>
                    <w:rFonts w:ascii="Arial" w:cs="Arial" w:eastAsia="Arial" w:hAnsi="Arial"/>
                  </w:rPr>
                </w:pPr>
                <w:r w:rsidDel="00000000" w:rsidR="00000000" w:rsidRPr="00000000">
                  <w:rPr>
                    <w:rFonts w:ascii="Arial" w:cs="Arial" w:eastAsia="Arial" w:hAnsi="Arial"/>
                    <w:rtl w:val="0"/>
                  </w:rPr>
                  <w:t xml:space="preserve">61</w:t>
                </w:r>
              </w:p>
            </w:tc>
            <w:tc>
              <w:tcPr>
                <w:tcBorders>
                  <w:bottom w:color="000000" w:space="0" w:sz="4" w:val="single"/>
                </w:tcBorders>
                <w:tcMar>
                  <w:top w:w="0.0" w:type="dxa"/>
                  <w:left w:w="100.0" w:type="dxa"/>
                  <w:bottom w:w="0.0" w:type="dxa"/>
                  <w:right w:w="100.0" w:type="dxa"/>
                </w:tcMar>
                <w:vAlign w:val="center"/>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20.9</w:t>
                </w:r>
              </w:p>
            </w:tc>
          </w:tr>
          <w:tr>
            <w:trPr>
              <w:cantSplit w:val="0"/>
              <w:trHeight w:val="217" w:hRule="atLeast"/>
              <w:tblHeader w:val="0"/>
            </w:trPr>
            <w:tc>
              <w:tcPr>
                <w:tcBorders>
                  <w:top w:color="000000" w:space="0" w:sz="4" w:val="single"/>
                </w:tcBorders>
                <w:tcMar>
                  <w:top w:w="0.0" w:type="dxa"/>
                  <w:left w:w="100.0" w:type="dxa"/>
                  <w:bottom w:w="0.0" w:type="dxa"/>
                  <w:right w:w="100.0" w:type="dxa"/>
                </w:tcMa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Main reason for smartphone use </w:t>
                </w:r>
              </w:p>
            </w:tc>
            <w:tc>
              <w:tcPr>
                <w:tcBorders>
                  <w:top w:color="000000" w:space="0" w:sz="4" w:val="single"/>
                </w:tcBorders>
                <w:tcMar>
                  <w:top w:w="0.0" w:type="dxa"/>
                  <w:left w:w="100.0" w:type="dxa"/>
                  <w:bottom w:w="0.0" w:type="dxa"/>
                  <w:right w:w="100.0" w:type="dxa"/>
                </w:tcMar>
              </w:tcPr>
              <w:p w:rsidR="00000000" w:rsidDel="00000000" w:rsidP="00000000" w:rsidRDefault="00000000" w:rsidRPr="00000000" w14:paraId="00000070">
                <w:pPr>
                  <w:jc w:val="center"/>
                  <w:rPr>
                    <w:rFonts w:ascii="Arial" w:cs="Arial" w:eastAsia="Arial" w:hAnsi="Arial"/>
                  </w:rPr>
                </w:pPr>
                <w:r w:rsidDel="00000000" w:rsidR="00000000" w:rsidRPr="00000000">
                  <w:rPr>
                    <w:rtl w:val="0"/>
                  </w:rPr>
                </w:r>
              </w:p>
            </w:tc>
            <w:tc>
              <w:tcPr>
                <w:tcBorders>
                  <w:top w:color="000000" w:space="0" w:sz="4" w:val="single"/>
                </w:tcBorders>
                <w:tcMar>
                  <w:top w:w="0.0" w:type="dxa"/>
                  <w:left w:w="100.0" w:type="dxa"/>
                  <w:bottom w:w="0.0" w:type="dxa"/>
                  <w:right w:w="100.0" w:type="dxa"/>
                </w:tcMar>
              </w:tcPr>
              <w:p w:rsidR="00000000" w:rsidDel="00000000" w:rsidP="00000000" w:rsidRDefault="00000000" w:rsidRPr="00000000" w14:paraId="00000071">
                <w:pPr>
                  <w:jc w:val="center"/>
                  <w:rPr>
                    <w:rFonts w:ascii="Arial" w:cs="Arial" w:eastAsia="Arial" w:hAnsi="Arial"/>
                  </w:rPr>
                </w:pPr>
                <w:r w:rsidDel="00000000" w:rsidR="00000000" w:rsidRPr="00000000">
                  <w:rPr>
                    <w:rtl w:val="0"/>
                  </w:rPr>
                </w:r>
              </w:p>
            </w:tc>
          </w:tr>
          <w:tr>
            <w:trPr>
              <w:cantSplit w:val="0"/>
              <w:trHeight w:val="217" w:hRule="atLeast"/>
              <w:tblHeader w:val="0"/>
            </w:trPr>
            <w:tc>
              <w:tcPr>
                <w:tcMar>
                  <w:top w:w="0.0" w:type="dxa"/>
                  <w:left w:w="100.0" w:type="dxa"/>
                  <w:bottom w:w="0.0" w:type="dxa"/>
                  <w:right w:w="100.0" w:type="dxa"/>
                </w:tcMar>
              </w:tcPr>
              <w:p w:rsidR="00000000" w:rsidDel="00000000" w:rsidP="00000000" w:rsidRDefault="00000000" w:rsidRPr="00000000" w14:paraId="00000072">
                <w:pPr>
                  <w:ind w:left="710" w:firstLine="0"/>
                  <w:rPr>
                    <w:rFonts w:ascii="Arial" w:cs="Arial" w:eastAsia="Arial" w:hAnsi="Arial"/>
                  </w:rPr>
                </w:pPr>
                <w:r w:rsidDel="00000000" w:rsidR="00000000" w:rsidRPr="00000000">
                  <w:rPr>
                    <w:rFonts w:ascii="Arial" w:cs="Arial" w:eastAsia="Arial" w:hAnsi="Arial"/>
                    <w:rtl w:val="0"/>
                  </w:rPr>
                  <w:t xml:space="preserve">Academic</w:t>
                </w:r>
              </w:p>
            </w:tc>
            <w:tc>
              <w:tcPr>
                <w:tcMar>
                  <w:top w:w="0.0" w:type="dxa"/>
                  <w:left w:w="100.0" w:type="dxa"/>
                  <w:bottom w:w="0.0" w:type="dxa"/>
                  <w:right w:w="100.0" w:type="dxa"/>
                </w:tcMar>
                <w:vAlign w:val="center"/>
              </w:tcPr>
              <w:p w:rsidR="00000000" w:rsidDel="00000000" w:rsidP="00000000" w:rsidRDefault="00000000" w:rsidRPr="00000000" w14:paraId="00000073">
                <w:pPr>
                  <w:jc w:val="center"/>
                  <w:rPr>
                    <w:rFonts w:ascii="Arial" w:cs="Arial" w:eastAsia="Arial" w:hAnsi="Arial"/>
                  </w:rPr>
                </w:pPr>
                <w:r w:rsidDel="00000000" w:rsidR="00000000" w:rsidRPr="00000000">
                  <w:rPr>
                    <w:rFonts w:ascii="Arial" w:cs="Arial" w:eastAsia="Arial" w:hAnsi="Arial"/>
                    <w:rtl w:val="0"/>
                  </w:rPr>
                  <w:t xml:space="preserve">141</w:t>
                </w:r>
              </w:p>
            </w:tc>
            <w:tc>
              <w:tcPr>
                <w:tcMar>
                  <w:top w:w="0.0" w:type="dxa"/>
                  <w:left w:w="100.0" w:type="dxa"/>
                  <w:bottom w:w="0.0" w:type="dxa"/>
                  <w:right w:w="100.0" w:type="dxa"/>
                </w:tcMa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48.3</w:t>
                </w:r>
              </w:p>
            </w:tc>
          </w:tr>
          <w:tr>
            <w:trPr>
              <w:cantSplit w:val="0"/>
              <w:trHeight w:val="217" w:hRule="atLeast"/>
              <w:tblHeader w:val="0"/>
            </w:trPr>
            <w:tc>
              <w:tcPr>
                <w:tcBorders>
                  <w:bottom w:color="000000" w:space="0" w:sz="8" w:val="single"/>
                </w:tcBorders>
                <w:tcMar>
                  <w:top w:w="0.0" w:type="dxa"/>
                  <w:left w:w="100.0" w:type="dxa"/>
                  <w:bottom w:w="0.0" w:type="dxa"/>
                  <w:right w:w="100.0" w:type="dxa"/>
                </w:tcMar>
              </w:tcPr>
              <w:p w:rsidR="00000000" w:rsidDel="00000000" w:rsidP="00000000" w:rsidRDefault="00000000" w:rsidRPr="00000000" w14:paraId="00000075">
                <w:pPr>
                  <w:ind w:left="710" w:firstLine="0"/>
                  <w:rPr>
                    <w:rFonts w:ascii="Arial" w:cs="Arial" w:eastAsia="Arial" w:hAnsi="Arial"/>
                  </w:rPr>
                </w:pPr>
                <w:r w:rsidDel="00000000" w:rsidR="00000000" w:rsidRPr="00000000">
                  <w:rPr>
                    <w:rFonts w:ascii="Arial" w:cs="Arial" w:eastAsia="Arial" w:hAnsi="Arial"/>
                    <w:rtl w:val="0"/>
                  </w:rPr>
                  <w:t xml:space="preserve">Non-academic</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151</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51.7</w:t>
                </w:r>
              </w:p>
            </w:tc>
          </w:tr>
          <w:tr>
            <w:trPr>
              <w:cantSplit w:val="0"/>
              <w:trHeight w:val="217" w:hRule="atLeast"/>
              <w:tblHeader w:val="0"/>
            </w:trPr>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78">
                <w:pPr>
                  <w:rPr>
                    <w:rFonts w:ascii="Arial" w:cs="Arial" w:eastAsia="Arial" w:hAnsi="Arial"/>
                    <w:b w:val="1"/>
                    <w:bCs w:val="1"/>
                  </w:rPr>
                </w:pPr>
                <w:r w:rsidDel="00000000" w:rsidR="00000000" w:rsidRPr="00000000">
                  <w:rPr>
                    <w:rFonts w:ascii="Arial" w:cs="Arial" w:eastAsia="Arial" w:hAnsi="Arial"/>
                    <w:b w:val="1"/>
                    <w:bCs w:val="1"/>
                    <w:rtl w:val="0"/>
                  </w:rPr>
                  <w:t xml:space="preserve">Total</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79">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292</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07A">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100</w:t>
                </w:r>
              </w:p>
            </w:tc>
          </w:tr>
        </w:tbl>
      </w:sdtContent>
    </w:sdt>
    <w:p w:rsidR="00000000" w:rsidDel="00000000" w:rsidP="00000000" w:rsidRDefault="00000000" w:rsidRPr="00000000" w14:paraId="0000007B">
      <w:pPr>
        <w:rPr>
          <w:rFonts w:ascii="Arial" w:cs="Arial" w:eastAsia="Arial" w:hAnsi="Arial"/>
        </w:rPr>
      </w:pPr>
      <w:r w:rsidDel="00000000" w:rsidR="00000000" w:rsidRPr="00000000">
        <w:rPr>
          <w:rFonts w:ascii="Arial" w:cs="Arial" w:eastAsia="Arial" w:hAnsi="Arial"/>
          <w:rtl w:val="0"/>
        </w:rPr>
        <w:br w:type="textWrapping"/>
      </w:r>
    </w:p>
    <w:p w:rsidR="00000000" w:rsidDel="00000000" w:rsidP="00000000" w:rsidRDefault="00000000" w:rsidRPr="00000000" w14:paraId="0000007C">
      <w:pPr>
        <w:rPr>
          <w:rFonts w:ascii="Arial" w:cs="Arial" w:eastAsia="Arial" w:hAnsi="Arial"/>
        </w:rPr>
      </w:pPr>
      <w:r w:rsidDel="00000000" w:rsidR="00000000" w:rsidRPr="00000000">
        <w:rPr>
          <w:rtl w:val="0"/>
        </w:rPr>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p w:rsidR="00000000" w:rsidDel="00000000" w:rsidP="00000000" w:rsidRDefault="00000000" w:rsidRPr="00000000" w14:paraId="0000007F">
      <w:pPr>
        <w:rPr>
          <w:rFonts w:ascii="Arial" w:cs="Arial" w:eastAsia="Arial" w:hAnsi="Arial"/>
        </w:rPr>
      </w:pPr>
      <w:r w:rsidDel="00000000" w:rsidR="00000000" w:rsidRPr="00000000">
        <w:rPr>
          <w:rtl w:val="0"/>
        </w:rPr>
      </w:r>
    </w:p>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jc w:val="both"/>
        <w:rPr>
          <w:rFonts w:ascii="Arial" w:cs="Arial" w:eastAsia="Arial" w:hAnsi="Arial"/>
        </w:rPr>
      </w:pPr>
      <w:r w:rsidDel="00000000" w:rsidR="00000000" w:rsidRPr="00000000">
        <w:rPr>
          <w:rtl w:val="0"/>
        </w:rPr>
      </w:r>
    </w:p>
    <w:p w:rsidR="00000000" w:rsidDel="00000000" w:rsidP="00000000" w:rsidRDefault="00000000" w:rsidRPr="00000000" w14:paraId="00000085">
      <w:pPr>
        <w:jc w:val="both"/>
        <w:rPr>
          <w:rFonts w:ascii="Arial" w:cs="Arial" w:eastAsia="Arial" w:hAnsi="Arial"/>
        </w:rPr>
      </w:pPr>
      <w:r w:rsidDel="00000000" w:rsidR="00000000" w:rsidRPr="00000000">
        <w:rPr>
          <w:rtl w:val="0"/>
        </w:rPr>
      </w:r>
    </w:p>
    <w:p w:rsidR="00000000" w:rsidDel="00000000" w:rsidP="00000000" w:rsidRDefault="00000000" w:rsidRPr="00000000" w14:paraId="00000086">
      <w:pPr>
        <w:jc w:val="both"/>
        <w:rPr>
          <w:rFonts w:ascii="Arial" w:cs="Arial" w:eastAsia="Arial" w:hAnsi="Arial"/>
        </w:rPr>
      </w:pPr>
      <w:r w:rsidDel="00000000" w:rsidR="00000000" w:rsidRPr="00000000">
        <w:rPr>
          <w:rFonts w:ascii="Arial" w:cs="Arial" w:eastAsia="Arial" w:hAnsi="Arial"/>
          <w:b w:val="1"/>
          <w:bCs w:val="1"/>
          <w:rtl w:val="0"/>
        </w:rPr>
        <w:t xml:space="preserve">3. 2</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Level of Nomophobia</w:t>
      </w:r>
      <w:r w:rsidDel="00000000" w:rsidR="00000000" w:rsidRPr="00000000">
        <w:rPr>
          <w:rFonts w:ascii="Arial" w:cs="Arial" w:eastAsia="Arial" w:hAnsi="Arial"/>
          <w:rtl w:val="0"/>
        </w:rPr>
        <w:t xml:space="preserve"> </w:t>
      </w:r>
    </w:p>
    <w:p w:rsidR="00000000" w:rsidDel="00000000" w:rsidP="00000000" w:rsidRDefault="00000000" w:rsidRPr="00000000" w14:paraId="00000087">
      <w:pPr>
        <w:jc w:val="both"/>
        <w:rPr>
          <w:rFonts w:ascii="Arial" w:cs="Arial" w:eastAsia="Arial" w:hAnsi="Arial"/>
          <w:b w:val="1"/>
          <w:bCs w:val="1"/>
        </w:rPr>
      </w:pPr>
      <w:r w:rsidDel="00000000" w:rsidR="00000000" w:rsidRPr="00000000">
        <w:rPr>
          <w:rtl w:val="0"/>
        </w:rPr>
      </w:r>
    </w:p>
    <w:p w:rsidR="00000000" w:rsidDel="00000000" w:rsidP="00000000" w:rsidRDefault="00000000" w:rsidRPr="00000000" w14:paraId="00000088">
      <w:pPr>
        <w:jc w:val="both"/>
        <w:rPr>
          <w:rFonts w:ascii="Arial" w:cs="Arial" w:eastAsia="Arial" w:hAnsi="Arial"/>
        </w:rPr>
      </w:pPr>
      <w:r w:rsidDel="00000000" w:rsidR="00000000" w:rsidRPr="00000000">
        <w:rPr>
          <w:rFonts w:ascii="Arial" w:cs="Arial" w:eastAsia="Arial" w:hAnsi="Arial"/>
          <w:rtl w:val="0"/>
        </w:rPr>
        <w:t xml:space="preserve">Overall, the respondents exhibited a positive of nomophobia, as reflected by the overall mean score of 4.33 out of 7. No category was used, as the authors did not specify in the questionnaire whether the overall mean of 4.33 represents low or high level of nomophobia among the respondents. These findings are connected with other research results that have stated high levels of nomophobia among university students (Janatolmakan et al., 2024; Tuco et al., 2023).</w:t>
      </w:r>
      <w:r w:rsidDel="00000000" w:rsidR="00000000" w:rsidRPr="00000000">
        <w:rPr>
          <w:rtl w:val="0"/>
        </w:rPr>
      </w:r>
    </w:p>
    <w:p w:rsidR="00000000" w:rsidDel="00000000" w:rsidP="00000000" w:rsidRDefault="00000000" w:rsidRPr="00000000" w14:paraId="00000089">
      <w:pPr>
        <w:jc w:val="both"/>
        <w:rPr>
          <w:rFonts w:ascii="Arial" w:cs="Arial" w:eastAsia="Arial" w:hAnsi="Arial"/>
        </w:rPr>
      </w:pPr>
      <w:r w:rsidDel="00000000" w:rsidR="00000000" w:rsidRPr="00000000">
        <w:rPr>
          <w:rtl w:val="0"/>
        </w:rPr>
      </w:r>
    </w:p>
    <w:p w:rsidR="00000000" w:rsidDel="00000000" w:rsidP="00000000" w:rsidRDefault="00000000" w:rsidRPr="00000000" w14:paraId="0000008A">
      <w:pPr>
        <w:jc w:val="both"/>
        <w:rPr>
          <w:rFonts w:ascii="Arial" w:cs="Arial" w:eastAsia="Arial" w:hAnsi="Arial"/>
        </w:rPr>
      </w:pPr>
      <w:r w:rsidDel="00000000" w:rsidR="00000000" w:rsidRPr="00000000">
        <w:rPr>
          <w:rFonts w:ascii="Arial" w:cs="Arial" w:eastAsia="Arial" w:hAnsi="Arial"/>
          <w:rtl w:val="0"/>
        </w:rPr>
        <w:t xml:space="preserve">Under inability to communicate (m=4.38), indicated a positive level of nomophobia among respondents. Most students experienced discomfort without constant access to information through their mobile phones (m=4.67), and many felt annoyed if they could not use their smartphones and/or its capabilities when they wanted to do so (m=4.49). Fewer students reported anxiety if their smartphone ran out of battery (m=4.02). Previous research notes that communication-related fears are a primary driver of mobile-phone anxiety in student populations (Aslani et al., 2025).</w:t>
      </w:r>
    </w:p>
    <w:p w:rsidR="00000000" w:rsidDel="00000000" w:rsidP="00000000" w:rsidRDefault="00000000" w:rsidRPr="00000000" w14:paraId="0000008B">
      <w:pPr>
        <w:jc w:val="both"/>
        <w:rPr>
          <w:rFonts w:ascii="Arial" w:cs="Arial" w:eastAsia="Arial" w:hAnsi="Arial"/>
        </w:rPr>
      </w:pPr>
      <w:r w:rsidDel="00000000" w:rsidR="00000000" w:rsidRPr="00000000">
        <w:rPr>
          <w:rtl w:val="0"/>
        </w:rPr>
      </w:r>
    </w:p>
    <w:p w:rsidR="00000000" w:rsidDel="00000000" w:rsidP="00000000" w:rsidRDefault="00000000" w:rsidRPr="00000000" w14:paraId="0000008C">
      <w:pPr>
        <w:jc w:val="both"/>
        <w:rPr>
          <w:rFonts w:ascii="Arial" w:cs="Arial" w:eastAsia="Arial" w:hAnsi="Arial"/>
        </w:rPr>
      </w:pPr>
      <w:r w:rsidDel="00000000" w:rsidR="00000000" w:rsidRPr="00000000">
        <w:rPr>
          <w:rFonts w:ascii="Arial" w:cs="Arial" w:eastAsia="Arial" w:hAnsi="Arial"/>
          <w:rtl w:val="0"/>
        </w:rPr>
        <w:t xml:space="preserve">In the context of loss of connectedness (m=4.42), a positive level of nomophobia was observed among respondents. Most students would constantly check to see if they had a signal or could find a Wi-Fi network if they did not have a data signal or could not connect to Wi-Fi (m=4.82). Many also showed a strong desire to check their smartphones if they could not access them for some time (m=4.70), while fewer students reported panic if they ran out of credits or hit their monthly data limit (m=3.34). This supports the idea that anxiety over being unable to maintain social connections contributes  to nomophobia. Other recent studies have made similar observations, finding that students often report greater fear about losing contact or social connectivity than about other factors (Aslani et al., 2025).</w:t>
      </w:r>
    </w:p>
    <w:p w:rsidR="00000000" w:rsidDel="00000000" w:rsidP="00000000" w:rsidRDefault="00000000" w:rsidRPr="00000000" w14:paraId="0000008D">
      <w:pPr>
        <w:jc w:val="both"/>
        <w:rPr>
          <w:rFonts w:ascii="Arial" w:cs="Arial" w:eastAsia="Arial" w:hAnsi="Arial"/>
        </w:rPr>
      </w:pPr>
      <w:r w:rsidDel="00000000" w:rsidR="00000000" w:rsidRPr="00000000">
        <w:rPr>
          <w:rtl w:val="0"/>
        </w:rPr>
      </w:r>
    </w:p>
    <w:p w:rsidR="00000000" w:rsidDel="00000000" w:rsidP="00000000" w:rsidRDefault="00000000" w:rsidRPr="00000000" w14:paraId="0000008E">
      <w:pPr>
        <w:jc w:val="both"/>
        <w:rPr>
          <w:rFonts w:ascii="Arial" w:cs="Arial" w:eastAsia="Arial" w:hAnsi="Arial"/>
        </w:rPr>
      </w:pPr>
      <w:r w:rsidDel="00000000" w:rsidR="00000000" w:rsidRPr="00000000">
        <w:rPr>
          <w:rFonts w:ascii="Arial" w:cs="Arial" w:eastAsia="Arial" w:hAnsi="Arial"/>
          <w:rtl w:val="0"/>
        </w:rPr>
        <w:t xml:space="preserve">In relation to inability to access information (m=4.72), reflects the most positive among all sub-domains. Most respondents reported feeling anxious if their family and/or friends could not reach them (m=5.12) and many worried when they could not keep in touch with their family and/or friends (m=4.88). Fewer students experienced anxiety when their constant connection to their family and friends would be broken (m=4.34). This pattern of anxiety about losing contact is also connected to the “information access” aspect of nomophobia (Srivastava et al., 2025).</w:t>
      </w:r>
    </w:p>
    <w:p w:rsidR="00000000" w:rsidDel="00000000" w:rsidP="00000000" w:rsidRDefault="00000000" w:rsidRPr="00000000" w14:paraId="0000008F">
      <w:pPr>
        <w:jc w:val="both"/>
        <w:rPr>
          <w:rFonts w:ascii="Arial" w:cs="Arial" w:eastAsia="Arial" w:hAnsi="Arial"/>
        </w:rPr>
      </w:pPr>
      <w:r w:rsidDel="00000000" w:rsidR="00000000" w:rsidRPr="00000000">
        <w:rPr>
          <w:rtl w:val="0"/>
        </w:rPr>
      </w:r>
    </w:p>
    <w:p w:rsidR="00000000" w:rsidDel="00000000" w:rsidP="00000000" w:rsidRDefault="00000000" w:rsidRPr="00000000" w14:paraId="00000090">
      <w:pPr>
        <w:jc w:val="both"/>
        <w:rPr>
          <w:rFonts w:ascii="Arial" w:cs="Arial" w:eastAsia="Arial" w:hAnsi="Arial"/>
        </w:rPr>
      </w:pPr>
      <w:r w:rsidDel="00000000" w:rsidR="00000000" w:rsidRPr="00000000">
        <w:rPr>
          <w:rFonts w:ascii="Arial" w:cs="Arial" w:eastAsia="Arial" w:hAnsi="Arial"/>
          <w:rtl w:val="0"/>
        </w:rPr>
        <w:t xml:space="preserve">Lastly, in relation to giving up convenience (m=3.79), a positive level of nomophobia was identified, although it was lower compared to other subdomains. Some respondents felt awkward when they could not check their notifications for updates from their connections and online networks, and felt anxious when email messages could not be checked and would feel weird from not knowing what to do (m=3.96). While fewer felt nervous when they would be disconnected from their online identity (m=3.38). This shows that convenience plays a role in nomophobia but is not a major factor. Other studies also report that worries about losing convenience are usually lower, with most nomophobia related more to communication and staying connected (Aslani et al., 2025). </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p w:rsidR="00000000" w:rsidDel="00000000" w:rsidP="00000000" w:rsidRDefault="00000000" w:rsidRPr="00000000" w14:paraId="00000093">
      <w:pPr>
        <w:rPr>
          <w:rFonts w:ascii="Arial" w:cs="Arial" w:eastAsia="Arial" w:hAnsi="Arial"/>
          <w:b w:val="1"/>
          <w:bCs w:val="1"/>
          <w:i w:val="1"/>
          <w:iCs w:val="1"/>
        </w:rPr>
      </w:pPr>
      <w:r w:rsidDel="00000000" w:rsidR="00000000" w:rsidRPr="00000000">
        <w:rPr>
          <w:rFonts w:ascii="Arial" w:cs="Arial" w:eastAsia="Arial" w:hAnsi="Arial"/>
          <w:b w:val="1"/>
          <w:bCs w:val="1"/>
          <w:color w:val="000000"/>
          <w:rtl w:val="0"/>
        </w:rPr>
        <w:t xml:space="preserve">Table 2.    </w:t>
      </w:r>
      <w:r w:rsidDel="00000000" w:rsidR="00000000" w:rsidRPr="00000000">
        <w:rPr>
          <w:rFonts w:ascii="Arial" w:cs="Arial" w:eastAsia="Arial" w:hAnsi="Arial"/>
          <w:b w:val="1"/>
          <w:bCs w:val="1"/>
          <w:i w:val="1"/>
          <w:iCs w:val="1"/>
          <w:color w:val="000000"/>
          <w:rtl w:val="0"/>
        </w:rPr>
        <w:t xml:space="preserve">D</w:t>
      </w:r>
      <w:r w:rsidDel="00000000" w:rsidR="00000000" w:rsidRPr="00000000">
        <w:rPr>
          <w:rFonts w:ascii="Arial" w:cs="Arial" w:eastAsia="Arial" w:hAnsi="Arial"/>
          <w:b w:val="1"/>
          <w:bCs w:val="1"/>
          <w:color w:val="000000"/>
          <w:rtl w:val="0"/>
        </w:rPr>
        <w:t xml:space="preserve">istribution of mean responses on nomophobia questionnaire, </w:t>
      </w:r>
      <w:r w:rsidDel="00000000" w:rsidR="00000000" w:rsidRPr="00000000">
        <w:rPr>
          <w:rFonts w:ascii="Arial" w:cs="Arial" w:eastAsia="Arial" w:hAnsi="Arial"/>
          <w:b w:val="1"/>
          <w:bCs w:val="1"/>
          <w:i w:val="1"/>
          <w:iCs w:val="1"/>
          <w:rtl w:val="0"/>
        </w:rPr>
        <w:t xml:space="preserve"> specific indicators  </w:t>
      </w:r>
    </w:p>
    <w:p w:rsidR="00000000" w:rsidDel="00000000" w:rsidP="00000000" w:rsidRDefault="00000000" w:rsidRPr="00000000" w14:paraId="00000094">
      <w:pP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b w:val="1"/>
          <w:bCs w:val="1"/>
          <w:rtl w:val="0"/>
        </w:rPr>
        <w:t xml:space="preserve"> (n=292)     </w:t>
      </w:r>
      <w:r w:rsidDel="00000000" w:rsidR="00000000" w:rsidRPr="00000000">
        <w:rPr>
          <w:rFonts w:ascii="Arial" w:cs="Arial" w:eastAsia="Arial" w:hAnsi="Arial"/>
          <w:b w:val="1"/>
          <w:bCs w:val="1"/>
          <w:i w:val="1"/>
          <w:iCs w:val="1"/>
          <w:rtl w:val="0"/>
        </w:rPr>
        <w:t xml:space="preserve">      </w:t>
      </w:r>
      <w:r w:rsidDel="00000000" w:rsidR="00000000" w:rsidRPr="00000000">
        <w:rPr>
          <w:rFonts w:ascii="Arial" w:cs="Arial" w:eastAsia="Arial" w:hAnsi="Arial"/>
          <w:b w:val="1"/>
          <w:bCs w:val="1"/>
          <w:rtl w:val="0"/>
        </w:rPr>
        <w:t xml:space="preserve">                                         </w:t>
      </w:r>
      <w:r w:rsidDel="00000000" w:rsidR="00000000" w:rsidRPr="00000000">
        <w:rPr>
          <w:rtl w:val="0"/>
        </w:rPr>
      </w:r>
    </w:p>
    <w:tbl>
      <w:tblPr>
        <w:tblStyle w:val="Table3"/>
        <w:tblpPr w:leftFromText="180" w:rightFromText="180" w:topFromText="0" w:bottomFromText="0" w:vertAnchor="text" w:horzAnchor="text" w:tblpX="0" w:tblpY="263"/>
        <w:tblW w:w="9255.0" w:type="dxa"/>
        <w:jc w:val="left"/>
        <w:tblLayout w:type="fixed"/>
        <w:tblLook w:val="0000"/>
      </w:tblPr>
      <w:tblGrid>
        <w:gridCol w:w="7005"/>
        <w:gridCol w:w="1125"/>
        <w:gridCol w:w="1125"/>
        <w:tblGridChange w:id="0">
          <w:tblGrid>
            <w:gridCol w:w="7005"/>
            <w:gridCol w:w="1125"/>
            <w:gridCol w:w="1125"/>
          </w:tblGrid>
        </w:tblGridChange>
      </w:tblGrid>
      <w:tr>
        <w:trPr>
          <w:cantSplit w:val="0"/>
          <w:trHeight w:val="311" w:hRule="atLeast"/>
          <w:tblHeader w:val="0"/>
        </w:trPr>
        <w:tc>
          <w:tcPr>
            <w:tcBorders>
              <w:top w:color="000000" w:space="0" w:sz="4"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95">
            <w:pPr>
              <w:rPr>
                <w:rFonts w:ascii="Arial" w:cs="Arial" w:eastAsia="Arial" w:hAnsi="Arial"/>
                <w:b w:val="1"/>
                <w:bCs w:val="1"/>
              </w:rPr>
            </w:pPr>
            <w:r w:rsidDel="00000000" w:rsidR="00000000" w:rsidRPr="00000000">
              <w:rPr>
                <w:rFonts w:ascii="Arial" w:cs="Arial" w:eastAsia="Arial" w:hAnsi="Arial"/>
                <w:b w:val="1"/>
                <w:bCs w:val="1"/>
                <w:rtl w:val="0"/>
              </w:rPr>
              <w:t xml:space="preserve">Nomophobia indicators</w:t>
            </w:r>
          </w:p>
        </w:tc>
        <w:tc>
          <w:tcPr>
            <w:tcBorders>
              <w:top w:color="000000" w:space="0" w:sz="4"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96">
            <w:pPr>
              <w:rPr>
                <w:rFonts w:ascii="Arial" w:cs="Arial" w:eastAsia="Arial" w:hAnsi="Arial"/>
                <w:b w:val="1"/>
                <w:bCs w:val="1"/>
              </w:rPr>
            </w:pPr>
            <w:r w:rsidDel="00000000" w:rsidR="00000000" w:rsidRPr="00000000">
              <w:rPr>
                <w:rFonts w:ascii="Arial" w:cs="Arial" w:eastAsia="Arial" w:hAnsi="Arial"/>
                <w:b w:val="1"/>
                <w:bCs w:val="1"/>
                <w:rtl w:val="0"/>
              </w:rPr>
              <w:t xml:space="preserve">Mean</w:t>
            </w:r>
          </w:p>
        </w:tc>
        <w:tc>
          <w:tcPr>
            <w:tcBorders>
              <w:top w:color="000000" w:space="0" w:sz="4"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97">
            <w:pPr>
              <w:rPr>
                <w:rFonts w:ascii="Arial" w:cs="Arial" w:eastAsia="Arial" w:hAnsi="Arial"/>
                <w:b w:val="1"/>
                <w:bCs w:val="1"/>
              </w:rPr>
            </w:pPr>
            <w:r w:rsidDel="00000000" w:rsidR="00000000" w:rsidRPr="00000000">
              <w:rPr>
                <w:rFonts w:ascii="Arial" w:cs="Arial" w:eastAsia="Arial" w:hAnsi="Arial"/>
                <w:b w:val="1"/>
                <w:bCs w:val="1"/>
                <w:rtl w:val="0"/>
              </w:rPr>
              <w:t xml:space="preserve">Standard Deviation</w:t>
            </w:r>
          </w:p>
        </w:tc>
      </w:tr>
      <w:tr>
        <w:trPr>
          <w:cantSplit w:val="0"/>
          <w:trHeight w:val="284" w:hRule="atLeast"/>
          <w:tblHeader w:val="0"/>
        </w:trPr>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98">
            <w:pPr>
              <w:rPr>
                <w:rFonts w:ascii="Arial" w:cs="Arial" w:eastAsia="Arial" w:hAnsi="Arial"/>
              </w:rPr>
            </w:pPr>
            <w:r w:rsidDel="00000000" w:rsidR="00000000" w:rsidRPr="00000000">
              <w:rPr>
                <w:rFonts w:ascii="Arial" w:cs="Arial" w:eastAsia="Arial" w:hAnsi="Arial"/>
                <w:b w:val="1"/>
                <w:bCs w:val="1"/>
                <w:rtl w:val="0"/>
              </w:rPr>
              <w:t xml:space="preserve">Inability to communicate</w:t>
            </w:r>
            <w:r w:rsidDel="00000000" w:rsidR="00000000" w:rsidRPr="00000000">
              <w:rPr>
                <w:rtl w:val="0"/>
              </w:rPr>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br w:type="textWrapping"/>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9A">
            <w:pPr>
              <w:rPr>
                <w:rFonts w:ascii="Arial" w:cs="Arial" w:eastAsia="Arial" w:hAnsi="Arial"/>
              </w:rPr>
            </w:pPr>
            <w:r w:rsidDel="00000000" w:rsidR="00000000" w:rsidRPr="00000000">
              <w:rPr>
                <w:rFonts w:ascii="Arial" w:cs="Arial" w:eastAsia="Arial" w:hAnsi="Arial"/>
                <w:rtl w:val="0"/>
              </w:rPr>
              <w:br w:type="textWrapping"/>
            </w:r>
          </w:p>
        </w:tc>
      </w:tr>
      <w:tr>
        <w:trPr>
          <w:cantSplit w:val="0"/>
          <w:trHeight w:val="311" w:hRule="atLeast"/>
          <w:tblHeader w:val="0"/>
        </w:trPr>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9B">
            <w:pPr>
              <w:rPr>
                <w:rFonts w:ascii="Arial" w:cs="Arial" w:eastAsia="Arial" w:hAnsi="Arial"/>
              </w:rPr>
            </w:pPr>
            <w:r w:rsidDel="00000000" w:rsidR="00000000" w:rsidRPr="00000000">
              <w:rPr>
                <w:rFonts w:ascii="Arial" w:cs="Arial" w:eastAsia="Arial" w:hAnsi="Arial"/>
                <w:rtl w:val="0"/>
              </w:rPr>
              <w:t xml:space="preserve">I would feel uncomfortable without constant access to information through my smartphone.</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4.67</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9D">
            <w:pPr>
              <w:rPr>
                <w:rFonts w:ascii="Arial" w:cs="Arial" w:eastAsia="Arial" w:hAnsi="Arial"/>
              </w:rPr>
            </w:pPr>
            <w:r w:rsidDel="00000000" w:rsidR="00000000" w:rsidRPr="00000000">
              <w:rPr>
                <w:rFonts w:ascii="Arial" w:cs="Arial" w:eastAsia="Arial" w:hAnsi="Arial"/>
                <w:rtl w:val="0"/>
              </w:rPr>
              <w:t xml:space="preserve">1.52</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I would be annoyed if I could not use my smartphone and/or its capabilities when I wanted to do so.</w:t>
            </w:r>
          </w:p>
        </w:tc>
        <w:tc>
          <w:tcPr>
            <w:tcMar>
              <w:top w:w="30.0" w:type="dxa"/>
              <w:left w:w="45.0" w:type="dxa"/>
              <w:bottom w:w="30.0" w:type="dxa"/>
              <w:right w:w="45.0" w:type="dxa"/>
            </w:tcMar>
            <w:vAlign w:val="center"/>
          </w:tcPr>
          <w:p w:rsidR="00000000" w:rsidDel="00000000" w:rsidP="00000000" w:rsidRDefault="00000000" w:rsidRPr="00000000" w14:paraId="0000009F">
            <w:pPr>
              <w:rPr>
                <w:rFonts w:ascii="Arial" w:cs="Arial" w:eastAsia="Arial" w:hAnsi="Arial"/>
              </w:rPr>
            </w:pPr>
            <w:r w:rsidDel="00000000" w:rsidR="00000000" w:rsidRPr="00000000">
              <w:rPr>
                <w:rFonts w:ascii="Arial" w:cs="Arial" w:eastAsia="Arial" w:hAnsi="Arial"/>
                <w:rtl w:val="0"/>
              </w:rPr>
              <w:t xml:space="preserve">4.49</w:t>
            </w:r>
          </w:p>
        </w:tc>
        <w:tc>
          <w:tcPr>
            <w:tcMar>
              <w:top w:w="30.0" w:type="dxa"/>
              <w:left w:w="45.0" w:type="dxa"/>
              <w:bottom w:w="30.0" w:type="dxa"/>
              <w:right w:w="45.0" w:type="dxa"/>
            </w:tcMar>
            <w:vAlign w:val="center"/>
          </w:tcPr>
          <w:p w:rsidR="00000000" w:rsidDel="00000000" w:rsidP="00000000" w:rsidRDefault="00000000" w:rsidRPr="00000000" w14:paraId="000000A0">
            <w:pPr>
              <w:rPr>
                <w:rFonts w:ascii="Arial" w:cs="Arial" w:eastAsia="Arial" w:hAnsi="Arial"/>
              </w:rPr>
            </w:pPr>
            <w:r w:rsidDel="00000000" w:rsidR="00000000" w:rsidRPr="00000000">
              <w:rPr>
                <w:rFonts w:ascii="Arial" w:cs="Arial" w:eastAsia="Arial" w:hAnsi="Arial"/>
                <w:rtl w:val="0"/>
              </w:rPr>
              <w:t xml:space="preserve">1.58</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A1">
            <w:pPr>
              <w:rPr>
                <w:rFonts w:ascii="Arial" w:cs="Arial" w:eastAsia="Arial" w:hAnsi="Arial"/>
              </w:rPr>
            </w:pPr>
            <w:r w:rsidDel="00000000" w:rsidR="00000000" w:rsidRPr="00000000">
              <w:rPr>
                <w:rFonts w:ascii="Arial" w:cs="Arial" w:eastAsia="Arial" w:hAnsi="Arial"/>
                <w:rtl w:val="0"/>
              </w:rPr>
              <w:t xml:space="preserve">I would be annoyed if I could not look information up on my smartphone when I</w:t>
            </w:r>
          </w:p>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wanted to do so.</w:t>
            </w:r>
          </w:p>
        </w:tc>
        <w:tc>
          <w:tcPr>
            <w:tcMar>
              <w:top w:w="30.0" w:type="dxa"/>
              <w:left w:w="45.0" w:type="dxa"/>
              <w:bottom w:w="30.0" w:type="dxa"/>
              <w:right w:w="45.0" w:type="dxa"/>
            </w:tcMar>
            <w:vAlign w:val="cente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4.45</w:t>
            </w:r>
          </w:p>
        </w:tc>
        <w:tc>
          <w:tcPr>
            <w:tcMar>
              <w:top w:w="30.0" w:type="dxa"/>
              <w:left w:w="45.0" w:type="dxa"/>
              <w:bottom w:w="30.0" w:type="dxa"/>
              <w:right w:w="45.0" w:type="dxa"/>
            </w:tcMar>
            <w:vAlign w:val="center"/>
          </w:tcPr>
          <w:p w:rsidR="00000000" w:rsidDel="00000000" w:rsidP="00000000" w:rsidRDefault="00000000" w:rsidRPr="00000000" w14:paraId="000000A4">
            <w:pPr>
              <w:rPr>
                <w:rFonts w:ascii="Arial" w:cs="Arial" w:eastAsia="Arial" w:hAnsi="Arial"/>
              </w:rPr>
            </w:pPr>
            <w:r w:rsidDel="00000000" w:rsidR="00000000" w:rsidRPr="00000000">
              <w:rPr>
                <w:rFonts w:ascii="Arial" w:cs="Arial" w:eastAsia="Arial" w:hAnsi="Arial"/>
                <w:rtl w:val="0"/>
              </w:rPr>
              <w:t xml:space="preserve">1.49</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Being unable to get the news (e.g., happenings, weather, etc.) on my smartphone</w:t>
            </w:r>
          </w:p>
          <w:p w:rsidR="00000000" w:rsidDel="00000000" w:rsidP="00000000" w:rsidRDefault="00000000" w:rsidRPr="00000000" w14:paraId="000000A6">
            <w:pPr>
              <w:rPr>
                <w:rFonts w:ascii="Arial" w:cs="Arial" w:eastAsia="Arial" w:hAnsi="Arial"/>
              </w:rPr>
            </w:pPr>
            <w:r w:rsidDel="00000000" w:rsidR="00000000" w:rsidRPr="00000000">
              <w:rPr>
                <w:rFonts w:ascii="Arial" w:cs="Arial" w:eastAsia="Arial" w:hAnsi="Arial"/>
                <w:rtl w:val="0"/>
              </w:rPr>
              <w:t xml:space="preserve">would make me nervous.</w:t>
            </w:r>
          </w:p>
        </w:tc>
        <w:tc>
          <w:tcPr>
            <w:tcMar>
              <w:top w:w="30.0" w:type="dxa"/>
              <w:left w:w="45.0" w:type="dxa"/>
              <w:bottom w:w="30.0" w:type="dxa"/>
              <w:right w:w="45.0" w:type="dxa"/>
            </w:tcMar>
            <w:vAlign w:val="center"/>
          </w:tcPr>
          <w:p w:rsidR="00000000" w:rsidDel="00000000" w:rsidP="00000000" w:rsidRDefault="00000000" w:rsidRPr="00000000" w14:paraId="000000A7">
            <w:pPr>
              <w:rPr>
                <w:rFonts w:ascii="Arial" w:cs="Arial" w:eastAsia="Arial" w:hAnsi="Arial"/>
              </w:rPr>
            </w:pPr>
            <w:r w:rsidDel="00000000" w:rsidR="00000000" w:rsidRPr="00000000">
              <w:rPr>
                <w:rFonts w:ascii="Arial" w:cs="Arial" w:eastAsia="Arial" w:hAnsi="Arial"/>
                <w:rtl w:val="0"/>
              </w:rPr>
              <w:t xml:space="preserve">4.25</w:t>
            </w:r>
          </w:p>
        </w:tc>
        <w:tc>
          <w:tcPr>
            <w:tcMar>
              <w:top w:w="30.0" w:type="dxa"/>
              <w:left w:w="45.0" w:type="dxa"/>
              <w:bottom w:w="30.0" w:type="dxa"/>
              <w:right w:w="45.0" w:type="dxa"/>
            </w:tcMar>
            <w:vAlign w:val="cente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1.54</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A9">
            <w:pPr>
              <w:rPr>
                <w:rFonts w:ascii="Arial" w:cs="Arial" w:eastAsia="Arial" w:hAnsi="Arial"/>
              </w:rPr>
            </w:pPr>
            <w:r w:rsidDel="00000000" w:rsidR="00000000" w:rsidRPr="00000000">
              <w:rPr>
                <w:rFonts w:ascii="Arial" w:cs="Arial" w:eastAsia="Arial" w:hAnsi="Arial"/>
                <w:rtl w:val="0"/>
              </w:rPr>
              <w:t xml:space="preserve">Running out of battery in my smartphone would scare me.</w:t>
            </w:r>
          </w:p>
        </w:tc>
        <w:tc>
          <w:tcPr>
            <w:tcMar>
              <w:top w:w="30.0" w:type="dxa"/>
              <w:left w:w="45.0" w:type="dxa"/>
              <w:bottom w:w="30.0" w:type="dxa"/>
              <w:right w:w="45.0" w:type="dxa"/>
            </w:tcMar>
            <w:vAlign w:val="center"/>
          </w:tcPr>
          <w:p w:rsidR="00000000" w:rsidDel="00000000" w:rsidP="00000000" w:rsidRDefault="00000000" w:rsidRPr="00000000" w14:paraId="000000AA">
            <w:pPr>
              <w:rPr>
                <w:rFonts w:ascii="Arial" w:cs="Arial" w:eastAsia="Arial" w:hAnsi="Arial"/>
              </w:rPr>
            </w:pPr>
            <w:r w:rsidDel="00000000" w:rsidR="00000000" w:rsidRPr="00000000">
              <w:rPr>
                <w:rFonts w:ascii="Arial" w:cs="Arial" w:eastAsia="Arial" w:hAnsi="Arial"/>
                <w:rtl w:val="0"/>
              </w:rPr>
              <w:t xml:space="preserve">4.02</w:t>
            </w:r>
          </w:p>
        </w:tc>
        <w:tc>
          <w:tcPr>
            <w:tcMar>
              <w:top w:w="30.0" w:type="dxa"/>
              <w:left w:w="45.0" w:type="dxa"/>
              <w:bottom w:w="30.0" w:type="dxa"/>
              <w:right w:w="45.0" w:type="dxa"/>
            </w:tcMar>
            <w:vAlign w:val="cente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1.78</w:t>
            </w:r>
          </w:p>
        </w:tc>
      </w:tr>
      <w:tr>
        <w:trPr>
          <w:cantSplit w:val="0"/>
          <w:trHeight w:val="311" w:hRule="atLeast"/>
          <w:tblHeader w:val="0"/>
        </w:trPr>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AC">
            <w:pPr>
              <w:jc w:val="center"/>
              <w:rPr>
                <w:rFonts w:ascii="Arial" w:cs="Arial" w:eastAsia="Arial" w:hAnsi="Arial"/>
              </w:rPr>
            </w:pPr>
            <w:r w:rsidDel="00000000" w:rsidR="00000000" w:rsidRPr="00000000">
              <w:rPr>
                <w:rFonts w:ascii="Arial" w:cs="Arial" w:eastAsia="Arial" w:hAnsi="Arial"/>
                <w:rtl w:val="0"/>
              </w:rPr>
              <w:t xml:space="preserve">Inability to communicate overall</w:t>
            </w:r>
          </w:p>
        </w:tc>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AD">
            <w:pPr>
              <w:rPr>
                <w:rFonts w:ascii="Arial" w:cs="Arial" w:eastAsia="Arial" w:hAnsi="Arial"/>
              </w:rPr>
            </w:pPr>
            <w:r w:rsidDel="00000000" w:rsidR="00000000" w:rsidRPr="00000000">
              <w:rPr>
                <w:rFonts w:ascii="Arial" w:cs="Arial" w:eastAsia="Arial" w:hAnsi="Arial"/>
                <w:rtl w:val="0"/>
              </w:rPr>
              <w:t xml:space="preserve">4.38</w:t>
            </w:r>
          </w:p>
        </w:tc>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AE">
            <w:pPr>
              <w:rPr>
                <w:rFonts w:ascii="Arial" w:cs="Arial" w:eastAsia="Arial" w:hAnsi="Arial"/>
              </w:rPr>
            </w:pPr>
            <w:r w:rsidDel="00000000" w:rsidR="00000000" w:rsidRPr="00000000">
              <w:rPr>
                <w:rFonts w:ascii="Arial" w:cs="Arial" w:eastAsia="Arial" w:hAnsi="Arial"/>
                <w:rtl w:val="0"/>
              </w:rPr>
              <w:t xml:space="preserve">1.26</w:t>
            </w:r>
          </w:p>
        </w:tc>
      </w:tr>
      <w:tr>
        <w:trPr>
          <w:cantSplit w:val="0"/>
          <w:trHeight w:val="311" w:hRule="atLeast"/>
          <w:tblHeader w:val="0"/>
        </w:trPr>
        <w:tc>
          <w:tcPr>
            <w:tcBorders>
              <w:top w:color="000000" w:space="0" w:sz="6" w:val="single"/>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b w:val="1"/>
                <w:bCs w:val="1"/>
                <w:rtl w:val="0"/>
              </w:rPr>
              <w:t xml:space="preserve">Loss of connectedness</w:t>
            </w:r>
            <w:r w:rsidDel="00000000" w:rsidR="00000000" w:rsidRPr="00000000">
              <w:rPr>
                <w:rtl w:val="0"/>
              </w:rPr>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B0">
            <w:pPr>
              <w:rPr>
                <w:rFonts w:ascii="Arial" w:cs="Arial" w:eastAsia="Arial" w:hAnsi="Arial"/>
              </w:rPr>
            </w:pPr>
            <w:r w:rsidDel="00000000" w:rsidR="00000000" w:rsidRPr="00000000">
              <w:rPr>
                <w:rFonts w:ascii="Arial" w:cs="Arial" w:eastAsia="Arial" w:hAnsi="Arial"/>
                <w:rtl w:val="0"/>
              </w:rPr>
              <w:br w:type="textWrapping"/>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br w:type="textWrapping"/>
            </w:r>
          </w:p>
        </w:tc>
      </w:tr>
      <w:tr>
        <w:trPr>
          <w:cantSplit w:val="0"/>
          <w:trHeight w:val="311" w:hRule="atLeast"/>
          <w:tblHeader w:val="0"/>
        </w:trPr>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B2">
            <w:pPr>
              <w:rPr>
                <w:rFonts w:ascii="Arial" w:cs="Arial" w:eastAsia="Arial" w:hAnsi="Arial"/>
              </w:rPr>
            </w:pPr>
            <w:r w:rsidDel="00000000" w:rsidR="00000000" w:rsidRPr="00000000">
              <w:rPr>
                <w:rFonts w:ascii="Arial" w:cs="Arial" w:eastAsia="Arial" w:hAnsi="Arial"/>
                <w:rtl w:val="0"/>
              </w:rPr>
              <w:t xml:space="preserve">If I did not have a data signal or could not connect to Wi-Fi, then I would constantly check to see if I had a signal or could find a Wi-Fi network.</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B3">
            <w:pPr>
              <w:rPr>
                <w:rFonts w:ascii="Arial" w:cs="Arial" w:eastAsia="Arial" w:hAnsi="Arial"/>
              </w:rPr>
            </w:pPr>
            <w:r w:rsidDel="00000000" w:rsidR="00000000" w:rsidRPr="00000000">
              <w:rPr>
                <w:rFonts w:ascii="Arial" w:cs="Arial" w:eastAsia="Arial" w:hAnsi="Arial"/>
                <w:rtl w:val="0"/>
              </w:rPr>
              <w:t xml:space="preserve">4.82</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1.52</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B5">
            <w:pPr>
              <w:rPr>
                <w:rFonts w:ascii="Arial" w:cs="Arial" w:eastAsia="Arial" w:hAnsi="Arial"/>
              </w:rPr>
            </w:pPr>
            <w:r w:rsidDel="00000000" w:rsidR="00000000" w:rsidRPr="00000000">
              <w:rPr>
                <w:rFonts w:ascii="Arial" w:cs="Arial" w:eastAsia="Arial" w:hAnsi="Arial"/>
                <w:rtl w:val="0"/>
              </w:rPr>
              <w:t xml:space="preserve">If I could not check my smartphone for a while, I would feel a desire to check it.</w:t>
            </w:r>
          </w:p>
        </w:tc>
        <w:tc>
          <w:tcPr>
            <w:tcMar>
              <w:top w:w="30.0" w:type="dxa"/>
              <w:left w:w="45.0" w:type="dxa"/>
              <w:bottom w:w="30.0" w:type="dxa"/>
              <w:right w:w="45.0" w:type="dxa"/>
            </w:tcMar>
            <w:vAlign w:val="center"/>
          </w:tcPr>
          <w:p w:rsidR="00000000" w:rsidDel="00000000" w:rsidP="00000000" w:rsidRDefault="00000000" w:rsidRPr="00000000" w14:paraId="000000B6">
            <w:pPr>
              <w:rPr>
                <w:rFonts w:ascii="Arial" w:cs="Arial" w:eastAsia="Arial" w:hAnsi="Arial"/>
              </w:rPr>
            </w:pPr>
            <w:r w:rsidDel="00000000" w:rsidR="00000000" w:rsidRPr="00000000">
              <w:rPr>
                <w:rFonts w:ascii="Arial" w:cs="Arial" w:eastAsia="Arial" w:hAnsi="Arial"/>
                <w:rtl w:val="0"/>
              </w:rPr>
              <w:t xml:space="preserve">4.70</w:t>
            </w:r>
          </w:p>
        </w:tc>
        <w:tc>
          <w:tcPr>
            <w:tcMar>
              <w:top w:w="30.0" w:type="dxa"/>
              <w:left w:w="45.0" w:type="dxa"/>
              <w:bottom w:w="30.0" w:type="dxa"/>
              <w:right w:w="45.0" w:type="dxa"/>
            </w:tcMar>
            <w:vAlign w:val="center"/>
          </w:tcPr>
          <w:p w:rsidR="00000000" w:rsidDel="00000000" w:rsidP="00000000" w:rsidRDefault="00000000" w:rsidRPr="00000000" w14:paraId="000000B7">
            <w:pPr>
              <w:rPr>
                <w:rFonts w:ascii="Arial" w:cs="Arial" w:eastAsia="Arial" w:hAnsi="Arial"/>
              </w:rPr>
            </w:pPr>
            <w:r w:rsidDel="00000000" w:rsidR="00000000" w:rsidRPr="00000000">
              <w:rPr>
                <w:rFonts w:ascii="Arial" w:cs="Arial" w:eastAsia="Arial" w:hAnsi="Arial"/>
                <w:rtl w:val="0"/>
              </w:rPr>
              <w:t xml:space="preserve">1.49</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B8">
            <w:pPr>
              <w:rPr>
                <w:rFonts w:ascii="Arial" w:cs="Arial" w:eastAsia="Arial" w:hAnsi="Arial"/>
              </w:rPr>
            </w:pPr>
            <w:r w:rsidDel="00000000" w:rsidR="00000000" w:rsidRPr="00000000">
              <w:rPr>
                <w:rFonts w:ascii="Arial" w:cs="Arial" w:eastAsia="Arial" w:hAnsi="Arial"/>
                <w:rtl w:val="0"/>
              </w:rPr>
              <w:t xml:space="preserve">I would feel anxious because I could not instantly communicate with my family and/or friends.</w:t>
            </w:r>
          </w:p>
        </w:tc>
        <w:tc>
          <w:tcPr>
            <w:tcMar>
              <w:top w:w="30.0" w:type="dxa"/>
              <w:left w:w="45.0" w:type="dxa"/>
              <w:bottom w:w="30.0" w:type="dxa"/>
              <w:right w:w="45.0" w:type="dxa"/>
            </w:tcMar>
            <w:vAlign w:val="cente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4.64</w:t>
            </w:r>
          </w:p>
        </w:tc>
        <w:tc>
          <w:tcPr>
            <w:tcMar>
              <w:top w:w="30.0" w:type="dxa"/>
              <w:left w:w="45.0" w:type="dxa"/>
              <w:bottom w:w="30.0" w:type="dxa"/>
              <w:right w:w="45.0" w:type="dxa"/>
            </w:tcMar>
            <w:vAlign w:val="center"/>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1.51</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If I could not use my smartphone, I would be afraid of getting stranded somewhere.</w:t>
            </w:r>
          </w:p>
        </w:tc>
        <w:tc>
          <w:tcPr>
            <w:tcMar>
              <w:top w:w="30.0" w:type="dxa"/>
              <w:left w:w="45.0" w:type="dxa"/>
              <w:bottom w:w="30.0" w:type="dxa"/>
              <w:right w:w="45.0" w:type="dxa"/>
            </w:tcMar>
            <w:vAlign w:val="center"/>
          </w:tcPr>
          <w:p w:rsidR="00000000" w:rsidDel="00000000" w:rsidP="00000000" w:rsidRDefault="00000000" w:rsidRPr="00000000" w14:paraId="000000BC">
            <w:pPr>
              <w:rPr>
                <w:rFonts w:ascii="Arial" w:cs="Arial" w:eastAsia="Arial" w:hAnsi="Arial"/>
              </w:rPr>
            </w:pPr>
            <w:r w:rsidDel="00000000" w:rsidR="00000000" w:rsidRPr="00000000">
              <w:rPr>
                <w:rFonts w:ascii="Arial" w:cs="Arial" w:eastAsia="Arial" w:hAnsi="Arial"/>
                <w:rtl w:val="0"/>
              </w:rPr>
              <w:t xml:space="preserve">4.63</w:t>
            </w:r>
          </w:p>
        </w:tc>
        <w:tc>
          <w:tcPr>
            <w:tcMar>
              <w:top w:w="30.0" w:type="dxa"/>
              <w:left w:w="45.0" w:type="dxa"/>
              <w:bottom w:w="30.0" w:type="dxa"/>
              <w:right w:w="45.0" w:type="dxa"/>
            </w:tcMar>
            <w:vAlign w:val="center"/>
          </w:tcPr>
          <w:p w:rsidR="00000000" w:rsidDel="00000000" w:rsidP="00000000" w:rsidRDefault="00000000" w:rsidRPr="00000000" w14:paraId="000000BD">
            <w:pPr>
              <w:rPr>
                <w:rFonts w:ascii="Arial" w:cs="Arial" w:eastAsia="Arial" w:hAnsi="Arial"/>
              </w:rPr>
            </w:pPr>
            <w:r w:rsidDel="00000000" w:rsidR="00000000" w:rsidRPr="00000000">
              <w:rPr>
                <w:rFonts w:ascii="Arial" w:cs="Arial" w:eastAsia="Arial" w:hAnsi="Arial"/>
                <w:rtl w:val="0"/>
              </w:rPr>
              <w:t xml:space="preserve">1.65</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If I were to run out of credits or hit my monthly data limit, I would panic.</w:t>
            </w:r>
          </w:p>
        </w:tc>
        <w:tc>
          <w:tcPr>
            <w:tcMar>
              <w:top w:w="30.0" w:type="dxa"/>
              <w:left w:w="45.0" w:type="dxa"/>
              <w:bottom w:w="30.0" w:type="dxa"/>
              <w:right w:w="45.0" w:type="dxa"/>
            </w:tcMar>
            <w:vAlign w:val="center"/>
          </w:tcPr>
          <w:p w:rsidR="00000000" w:rsidDel="00000000" w:rsidP="00000000" w:rsidRDefault="00000000" w:rsidRPr="00000000" w14:paraId="000000BF">
            <w:pPr>
              <w:rPr>
                <w:rFonts w:ascii="Arial" w:cs="Arial" w:eastAsia="Arial" w:hAnsi="Arial"/>
              </w:rPr>
            </w:pPr>
            <w:r w:rsidDel="00000000" w:rsidR="00000000" w:rsidRPr="00000000">
              <w:rPr>
                <w:rFonts w:ascii="Arial" w:cs="Arial" w:eastAsia="Arial" w:hAnsi="Arial"/>
                <w:rtl w:val="0"/>
              </w:rPr>
              <w:t xml:space="preserve">3.34</w:t>
            </w:r>
          </w:p>
        </w:tc>
        <w:tc>
          <w:tcPr>
            <w:tcMar>
              <w:top w:w="30.0" w:type="dxa"/>
              <w:left w:w="45.0" w:type="dxa"/>
              <w:bottom w:w="30.0" w:type="dxa"/>
              <w:right w:w="45.0" w:type="dxa"/>
            </w:tcMar>
            <w:vAlign w:val="center"/>
          </w:tcPr>
          <w:p w:rsidR="00000000" w:rsidDel="00000000" w:rsidP="00000000" w:rsidRDefault="00000000" w:rsidRPr="00000000" w14:paraId="000000C0">
            <w:pPr>
              <w:rPr>
                <w:rFonts w:ascii="Arial" w:cs="Arial" w:eastAsia="Arial" w:hAnsi="Arial"/>
              </w:rPr>
            </w:pPr>
            <w:r w:rsidDel="00000000" w:rsidR="00000000" w:rsidRPr="00000000">
              <w:rPr>
                <w:rFonts w:ascii="Arial" w:cs="Arial" w:eastAsia="Arial" w:hAnsi="Arial"/>
                <w:rtl w:val="0"/>
              </w:rPr>
              <w:t xml:space="preserve">1.63</w:t>
            </w:r>
          </w:p>
        </w:tc>
      </w:tr>
      <w:tr>
        <w:trPr>
          <w:cantSplit w:val="0"/>
          <w:trHeight w:val="311" w:hRule="atLeast"/>
          <w:tblHeader w:val="0"/>
        </w:trPr>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C1">
            <w:pPr>
              <w:jc w:val="center"/>
              <w:rPr>
                <w:rFonts w:ascii="Arial" w:cs="Arial" w:eastAsia="Arial" w:hAnsi="Arial"/>
              </w:rPr>
            </w:pPr>
            <w:r w:rsidDel="00000000" w:rsidR="00000000" w:rsidRPr="00000000">
              <w:rPr>
                <w:rFonts w:ascii="Arial" w:cs="Arial" w:eastAsia="Arial" w:hAnsi="Arial"/>
                <w:rtl w:val="0"/>
              </w:rPr>
              <w:t xml:space="preserve">Loss of connectedness Overall</w:t>
            </w:r>
          </w:p>
        </w:tc>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C2">
            <w:pPr>
              <w:rPr>
                <w:rFonts w:ascii="Arial" w:cs="Arial" w:eastAsia="Arial" w:hAnsi="Arial"/>
              </w:rPr>
            </w:pPr>
            <w:r w:rsidDel="00000000" w:rsidR="00000000" w:rsidRPr="00000000">
              <w:rPr>
                <w:rFonts w:ascii="Arial" w:cs="Arial" w:eastAsia="Arial" w:hAnsi="Arial"/>
                <w:rtl w:val="0"/>
              </w:rPr>
              <w:t xml:space="preserve">4.42</w:t>
            </w:r>
          </w:p>
        </w:tc>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C3">
            <w:pPr>
              <w:rPr>
                <w:rFonts w:ascii="Arial" w:cs="Arial" w:eastAsia="Arial" w:hAnsi="Arial"/>
              </w:rPr>
            </w:pPr>
            <w:r w:rsidDel="00000000" w:rsidR="00000000" w:rsidRPr="00000000">
              <w:rPr>
                <w:rFonts w:ascii="Arial" w:cs="Arial" w:eastAsia="Arial" w:hAnsi="Arial"/>
                <w:rtl w:val="0"/>
              </w:rPr>
              <w:t xml:space="preserve">1.20</w:t>
            </w:r>
          </w:p>
        </w:tc>
      </w:tr>
      <w:tr>
        <w:trPr>
          <w:cantSplit w:val="0"/>
          <w:trHeight w:val="311" w:hRule="atLeast"/>
          <w:tblHeader w:val="0"/>
        </w:trPr>
        <w:tc>
          <w:tcPr>
            <w:tcBorders>
              <w:top w:color="000000" w:space="0" w:sz="6" w:val="single"/>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b w:val="1"/>
                <w:bCs w:val="1"/>
                <w:rtl w:val="0"/>
              </w:rPr>
              <w:t xml:space="preserve">Inability to access information </w:t>
            </w:r>
            <w:r w:rsidDel="00000000" w:rsidR="00000000" w:rsidRPr="00000000">
              <w:rPr>
                <w:rtl w:val="0"/>
              </w:rPr>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br w:type="textWrapping"/>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C6">
            <w:pPr>
              <w:rPr>
                <w:rFonts w:ascii="Arial" w:cs="Arial" w:eastAsia="Arial" w:hAnsi="Arial"/>
              </w:rPr>
            </w:pPr>
            <w:r w:rsidDel="00000000" w:rsidR="00000000" w:rsidRPr="00000000">
              <w:rPr>
                <w:rFonts w:ascii="Arial" w:cs="Arial" w:eastAsia="Arial" w:hAnsi="Arial"/>
                <w:rtl w:val="0"/>
              </w:rPr>
              <w:br w:type="textWrapping"/>
            </w:r>
          </w:p>
        </w:tc>
      </w:tr>
      <w:tr>
        <w:trPr>
          <w:cantSplit w:val="0"/>
          <w:trHeight w:val="311" w:hRule="atLeast"/>
          <w:tblHeader w:val="0"/>
        </w:trPr>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I would be worried because my family and/or friends could not reach me.</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C8">
            <w:pPr>
              <w:rPr>
                <w:rFonts w:ascii="Arial" w:cs="Arial" w:eastAsia="Arial" w:hAnsi="Arial"/>
              </w:rPr>
            </w:pPr>
            <w:r w:rsidDel="00000000" w:rsidR="00000000" w:rsidRPr="00000000">
              <w:rPr>
                <w:rFonts w:ascii="Arial" w:cs="Arial" w:eastAsia="Arial" w:hAnsi="Arial"/>
                <w:rtl w:val="0"/>
              </w:rPr>
              <w:t xml:space="preserve">5.12</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C9">
            <w:pPr>
              <w:rPr>
                <w:rFonts w:ascii="Arial" w:cs="Arial" w:eastAsia="Arial" w:hAnsi="Arial"/>
              </w:rPr>
            </w:pPr>
            <w:r w:rsidDel="00000000" w:rsidR="00000000" w:rsidRPr="00000000">
              <w:rPr>
                <w:rFonts w:ascii="Arial" w:cs="Arial" w:eastAsia="Arial" w:hAnsi="Arial"/>
                <w:rtl w:val="0"/>
              </w:rPr>
              <w:t xml:space="preserve">1.48</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CA">
            <w:pPr>
              <w:spacing w:line="480" w:lineRule="auto"/>
              <w:rPr>
                <w:rFonts w:ascii="Arial" w:cs="Arial" w:eastAsia="Arial" w:hAnsi="Arial"/>
              </w:rPr>
            </w:pPr>
            <w:r w:rsidDel="00000000" w:rsidR="00000000" w:rsidRPr="00000000">
              <w:rPr>
                <w:rFonts w:ascii="Arial" w:cs="Arial" w:eastAsia="Arial" w:hAnsi="Arial"/>
                <w:rtl w:val="0"/>
              </w:rPr>
              <w:t xml:space="preserve">I would be anxious because I could not keep in touch with my family and/or friends.</w:t>
            </w:r>
          </w:p>
        </w:tc>
        <w:tc>
          <w:tcPr>
            <w:tcMar>
              <w:top w:w="30.0" w:type="dxa"/>
              <w:left w:w="45.0" w:type="dxa"/>
              <w:bottom w:w="30.0" w:type="dxa"/>
              <w:right w:w="45.0" w:type="dxa"/>
            </w:tcMar>
            <w:vAlign w:val="center"/>
          </w:tcPr>
          <w:p w:rsidR="00000000" w:rsidDel="00000000" w:rsidP="00000000" w:rsidRDefault="00000000" w:rsidRPr="00000000" w14:paraId="000000CB">
            <w:pPr>
              <w:rPr>
                <w:rFonts w:ascii="Arial" w:cs="Arial" w:eastAsia="Arial" w:hAnsi="Arial"/>
              </w:rPr>
            </w:pPr>
            <w:r w:rsidDel="00000000" w:rsidR="00000000" w:rsidRPr="00000000">
              <w:rPr>
                <w:rFonts w:ascii="Arial" w:cs="Arial" w:eastAsia="Arial" w:hAnsi="Arial"/>
                <w:rtl w:val="0"/>
              </w:rPr>
              <w:t xml:space="preserve">4.88</w:t>
            </w:r>
          </w:p>
        </w:tc>
        <w:tc>
          <w:tcPr>
            <w:tcMar>
              <w:top w:w="30.0" w:type="dxa"/>
              <w:left w:w="45.0" w:type="dxa"/>
              <w:bottom w:w="30.0" w:type="dxa"/>
              <w:right w:w="45.0" w:type="dxa"/>
            </w:tcMar>
            <w:vAlign w:val="center"/>
          </w:tcPr>
          <w:p w:rsidR="00000000" w:rsidDel="00000000" w:rsidP="00000000" w:rsidRDefault="00000000" w:rsidRPr="00000000" w14:paraId="000000CC">
            <w:pPr>
              <w:rPr>
                <w:rFonts w:ascii="Arial" w:cs="Arial" w:eastAsia="Arial" w:hAnsi="Arial"/>
              </w:rPr>
            </w:pPr>
            <w:r w:rsidDel="00000000" w:rsidR="00000000" w:rsidRPr="00000000">
              <w:rPr>
                <w:rFonts w:ascii="Arial" w:cs="Arial" w:eastAsia="Arial" w:hAnsi="Arial"/>
                <w:rtl w:val="0"/>
              </w:rPr>
              <w:t xml:space="preserve">1.53</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I would feel nervous because I would not be able to receive text messages and calls.</w:t>
            </w:r>
          </w:p>
        </w:tc>
        <w:tc>
          <w:tcPr>
            <w:tcMar>
              <w:top w:w="30.0" w:type="dxa"/>
              <w:left w:w="45.0" w:type="dxa"/>
              <w:bottom w:w="30.0" w:type="dxa"/>
              <w:right w:w="45.0" w:type="dxa"/>
            </w:tcMar>
            <w:vAlign w:val="center"/>
          </w:tcPr>
          <w:p w:rsidR="00000000" w:rsidDel="00000000" w:rsidP="00000000" w:rsidRDefault="00000000" w:rsidRPr="00000000" w14:paraId="000000CE">
            <w:pPr>
              <w:rPr>
                <w:rFonts w:ascii="Arial" w:cs="Arial" w:eastAsia="Arial" w:hAnsi="Arial"/>
              </w:rPr>
            </w:pPr>
            <w:r w:rsidDel="00000000" w:rsidR="00000000" w:rsidRPr="00000000">
              <w:rPr>
                <w:rFonts w:ascii="Arial" w:cs="Arial" w:eastAsia="Arial" w:hAnsi="Arial"/>
                <w:rtl w:val="0"/>
              </w:rPr>
              <w:t xml:space="preserve">4.71</w:t>
            </w:r>
          </w:p>
        </w:tc>
        <w:tc>
          <w:tcPr>
            <w:tcMar>
              <w:top w:w="30.0" w:type="dxa"/>
              <w:left w:w="45.0" w:type="dxa"/>
              <w:bottom w:w="30.0" w:type="dxa"/>
              <w:right w:w="45.0" w:type="dxa"/>
            </w:tcMar>
            <w:vAlign w:val="center"/>
          </w:tcPr>
          <w:p w:rsidR="00000000" w:rsidDel="00000000" w:rsidP="00000000" w:rsidRDefault="00000000" w:rsidRPr="00000000" w14:paraId="000000CF">
            <w:pPr>
              <w:rPr>
                <w:rFonts w:ascii="Arial" w:cs="Arial" w:eastAsia="Arial" w:hAnsi="Arial"/>
              </w:rPr>
            </w:pPr>
            <w:r w:rsidDel="00000000" w:rsidR="00000000" w:rsidRPr="00000000">
              <w:rPr>
                <w:rFonts w:ascii="Arial" w:cs="Arial" w:eastAsia="Arial" w:hAnsi="Arial"/>
                <w:rtl w:val="0"/>
              </w:rPr>
              <w:t xml:space="preserve">1.52</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I would be nervous because I could not know if someone had tried to get a hold of me.</w:t>
            </w:r>
          </w:p>
        </w:tc>
        <w:tc>
          <w:tcPr>
            <w:tcMar>
              <w:top w:w="30.0" w:type="dxa"/>
              <w:left w:w="45.0" w:type="dxa"/>
              <w:bottom w:w="30.0" w:type="dxa"/>
              <w:right w:w="45.0" w:type="dxa"/>
            </w:tcMar>
            <w:vAlign w:val="center"/>
          </w:tcPr>
          <w:p w:rsidR="00000000" w:rsidDel="00000000" w:rsidP="00000000" w:rsidRDefault="00000000" w:rsidRPr="00000000" w14:paraId="000000D1">
            <w:pPr>
              <w:rPr>
                <w:rFonts w:ascii="Arial" w:cs="Arial" w:eastAsia="Arial" w:hAnsi="Arial"/>
              </w:rPr>
            </w:pPr>
            <w:r w:rsidDel="00000000" w:rsidR="00000000" w:rsidRPr="00000000">
              <w:rPr>
                <w:rFonts w:ascii="Arial" w:cs="Arial" w:eastAsia="Arial" w:hAnsi="Arial"/>
                <w:rtl w:val="0"/>
              </w:rPr>
              <w:t xml:space="preserve">4.58</w:t>
            </w:r>
          </w:p>
        </w:tc>
        <w:tc>
          <w:tcPr>
            <w:tcMar>
              <w:top w:w="30.0" w:type="dxa"/>
              <w:left w:w="45.0" w:type="dxa"/>
              <w:bottom w:w="30.0" w:type="dxa"/>
              <w:right w:w="45.0" w:type="dxa"/>
            </w:tcMar>
            <w:vAlign w:val="center"/>
          </w:tcPr>
          <w:p w:rsidR="00000000" w:rsidDel="00000000" w:rsidP="00000000" w:rsidRDefault="00000000" w:rsidRPr="00000000" w14:paraId="000000D2">
            <w:pPr>
              <w:rPr>
                <w:rFonts w:ascii="Arial" w:cs="Arial" w:eastAsia="Arial" w:hAnsi="Arial"/>
              </w:rPr>
            </w:pPr>
            <w:r w:rsidDel="00000000" w:rsidR="00000000" w:rsidRPr="00000000">
              <w:rPr>
                <w:rFonts w:ascii="Arial" w:cs="Arial" w:eastAsia="Arial" w:hAnsi="Arial"/>
                <w:rtl w:val="0"/>
              </w:rPr>
              <w:t xml:space="preserve">1.45</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I would feel anxious because my constant connection to my family and friends would be broken.</w:t>
            </w:r>
          </w:p>
        </w:tc>
        <w:tc>
          <w:tcPr>
            <w:tcMar>
              <w:top w:w="30.0" w:type="dxa"/>
              <w:left w:w="45.0" w:type="dxa"/>
              <w:bottom w:w="30.0" w:type="dxa"/>
              <w:right w:w="45.0" w:type="dxa"/>
            </w:tcMar>
            <w:vAlign w:val="center"/>
          </w:tcPr>
          <w:p w:rsidR="00000000" w:rsidDel="00000000" w:rsidP="00000000" w:rsidRDefault="00000000" w:rsidRPr="00000000" w14:paraId="000000D4">
            <w:pPr>
              <w:rPr>
                <w:rFonts w:ascii="Arial" w:cs="Arial" w:eastAsia="Arial" w:hAnsi="Arial"/>
              </w:rPr>
            </w:pPr>
            <w:r w:rsidDel="00000000" w:rsidR="00000000" w:rsidRPr="00000000">
              <w:rPr>
                <w:rFonts w:ascii="Arial" w:cs="Arial" w:eastAsia="Arial" w:hAnsi="Arial"/>
                <w:rtl w:val="0"/>
              </w:rPr>
              <w:t xml:space="preserve">4.34</w:t>
            </w:r>
          </w:p>
        </w:tc>
        <w:tc>
          <w:tcPr>
            <w:tcMar>
              <w:top w:w="30.0" w:type="dxa"/>
              <w:left w:w="45.0" w:type="dxa"/>
              <w:bottom w:w="30.0" w:type="dxa"/>
              <w:right w:w="45.0" w:type="dxa"/>
            </w:tcMar>
            <w:vAlign w:val="center"/>
          </w:tcPr>
          <w:p w:rsidR="00000000" w:rsidDel="00000000" w:rsidP="00000000" w:rsidRDefault="00000000" w:rsidRPr="00000000" w14:paraId="000000D5">
            <w:pPr>
              <w:rPr>
                <w:rFonts w:ascii="Arial" w:cs="Arial" w:eastAsia="Arial" w:hAnsi="Arial"/>
              </w:rPr>
            </w:pPr>
            <w:r w:rsidDel="00000000" w:rsidR="00000000" w:rsidRPr="00000000">
              <w:rPr>
                <w:rFonts w:ascii="Arial" w:cs="Arial" w:eastAsia="Arial" w:hAnsi="Arial"/>
                <w:rtl w:val="0"/>
              </w:rPr>
              <w:t xml:space="preserve">1.60</w:t>
            </w:r>
          </w:p>
        </w:tc>
      </w:tr>
      <w:tr>
        <w:trPr>
          <w:cantSplit w:val="0"/>
          <w:trHeight w:val="311" w:hRule="atLeast"/>
          <w:tblHeader w:val="0"/>
        </w:trPr>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D6">
            <w:pPr>
              <w:jc w:val="center"/>
              <w:rPr>
                <w:rFonts w:ascii="Arial" w:cs="Arial" w:eastAsia="Arial" w:hAnsi="Arial"/>
              </w:rPr>
            </w:pPr>
            <w:r w:rsidDel="00000000" w:rsidR="00000000" w:rsidRPr="00000000">
              <w:rPr>
                <w:rFonts w:ascii="Arial" w:cs="Arial" w:eastAsia="Arial" w:hAnsi="Arial"/>
                <w:rtl w:val="0"/>
              </w:rPr>
              <w:t xml:space="preserve">Inability to access information Overall</w:t>
            </w:r>
          </w:p>
        </w:tc>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D7">
            <w:pPr>
              <w:rPr>
                <w:rFonts w:ascii="Arial" w:cs="Arial" w:eastAsia="Arial" w:hAnsi="Arial"/>
              </w:rPr>
            </w:pPr>
            <w:r w:rsidDel="00000000" w:rsidR="00000000" w:rsidRPr="00000000">
              <w:rPr>
                <w:rFonts w:ascii="Arial" w:cs="Arial" w:eastAsia="Arial" w:hAnsi="Arial"/>
                <w:rtl w:val="0"/>
              </w:rPr>
              <w:t xml:space="preserve">4.72</w:t>
            </w:r>
          </w:p>
        </w:tc>
        <w:tc>
          <w:tcPr>
            <w:tcBorders>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D8">
            <w:pPr>
              <w:rPr>
                <w:rFonts w:ascii="Arial" w:cs="Arial" w:eastAsia="Arial" w:hAnsi="Arial"/>
              </w:rPr>
            </w:pPr>
            <w:r w:rsidDel="00000000" w:rsidR="00000000" w:rsidRPr="00000000">
              <w:rPr>
                <w:rFonts w:ascii="Arial" w:cs="Arial" w:eastAsia="Arial" w:hAnsi="Arial"/>
                <w:rtl w:val="0"/>
              </w:rPr>
              <w:t xml:space="preserve">1.31</w:t>
            </w:r>
          </w:p>
        </w:tc>
      </w:tr>
      <w:tr>
        <w:trPr>
          <w:cantSplit w:val="0"/>
          <w:trHeight w:val="311" w:hRule="atLeast"/>
          <w:tblHeader w:val="0"/>
        </w:trPr>
        <w:tc>
          <w:tcPr>
            <w:tcBorders>
              <w:top w:color="000000" w:space="0" w:sz="6" w:val="single"/>
              <w:bottom w:color="000000" w:space="0" w:sz="6" w:val="single"/>
            </w:tcBorders>
            <w:tcMar>
              <w:top w:w="30.0" w:type="dxa"/>
              <w:left w:w="45.0" w:type="dxa"/>
              <w:bottom w:w="30.0" w:type="dxa"/>
              <w:right w:w="45.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b w:val="1"/>
                <w:bCs w:val="1"/>
                <w:rtl w:val="0"/>
              </w:rPr>
              <w:t xml:space="preserve">Giving up convenience</w:t>
            </w:r>
            <w:r w:rsidDel="00000000" w:rsidR="00000000" w:rsidRPr="00000000">
              <w:rPr>
                <w:rtl w:val="0"/>
              </w:rPr>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DA">
            <w:pPr>
              <w:rPr>
                <w:rFonts w:ascii="Arial" w:cs="Arial" w:eastAsia="Arial" w:hAnsi="Arial"/>
              </w:rPr>
            </w:pPr>
            <w:r w:rsidDel="00000000" w:rsidR="00000000" w:rsidRPr="00000000">
              <w:rPr>
                <w:rFonts w:ascii="Arial" w:cs="Arial" w:eastAsia="Arial" w:hAnsi="Arial"/>
                <w:rtl w:val="0"/>
              </w:rPr>
              <w:br w:type="textWrapping"/>
            </w:r>
          </w:p>
        </w:tc>
        <w:tc>
          <w:tcPr>
            <w:tcBorders>
              <w:top w:color="000000" w:space="0" w:sz="6" w:val="single"/>
              <w:bottom w:color="000000" w:space="0" w:sz="6" w:val="single"/>
            </w:tcBorders>
            <w:tcMar>
              <w:top w:w="30.0" w:type="dxa"/>
              <w:left w:w="45.0" w:type="dxa"/>
              <w:bottom w:w="30.0" w:type="dxa"/>
              <w:right w:w="45.0" w:type="dxa"/>
            </w:tcMar>
            <w:vAlign w:val="bottom"/>
          </w:tcPr>
          <w:p w:rsidR="00000000" w:rsidDel="00000000" w:rsidP="00000000" w:rsidRDefault="00000000" w:rsidRPr="00000000" w14:paraId="000000DB">
            <w:pPr>
              <w:rPr>
                <w:rFonts w:ascii="Arial" w:cs="Arial" w:eastAsia="Arial" w:hAnsi="Arial"/>
              </w:rPr>
            </w:pPr>
            <w:r w:rsidDel="00000000" w:rsidR="00000000" w:rsidRPr="00000000">
              <w:rPr>
                <w:rFonts w:ascii="Arial" w:cs="Arial" w:eastAsia="Arial" w:hAnsi="Arial"/>
                <w:rtl w:val="0"/>
              </w:rPr>
              <w:br w:type="textWrapping"/>
            </w:r>
          </w:p>
        </w:tc>
      </w:tr>
      <w:tr>
        <w:trPr>
          <w:cantSplit w:val="0"/>
          <w:trHeight w:val="311" w:hRule="atLeast"/>
          <w:tblHeader w:val="0"/>
        </w:trPr>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DC">
            <w:pPr>
              <w:rPr>
                <w:rFonts w:ascii="Arial" w:cs="Arial" w:eastAsia="Arial" w:hAnsi="Arial"/>
              </w:rPr>
            </w:pPr>
            <w:r w:rsidDel="00000000" w:rsidR="00000000" w:rsidRPr="00000000">
              <w:rPr>
                <w:rFonts w:ascii="Arial" w:cs="Arial" w:eastAsia="Arial" w:hAnsi="Arial"/>
                <w:rtl w:val="0"/>
              </w:rPr>
              <w:t xml:space="preserve">I would feel awkward because I could not check my notifications for updates from my connections and online networks.</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DD">
            <w:pPr>
              <w:rPr>
                <w:rFonts w:ascii="Arial" w:cs="Arial" w:eastAsia="Arial" w:hAnsi="Arial"/>
              </w:rPr>
            </w:pPr>
            <w:r w:rsidDel="00000000" w:rsidR="00000000" w:rsidRPr="00000000">
              <w:rPr>
                <w:rFonts w:ascii="Arial" w:cs="Arial" w:eastAsia="Arial" w:hAnsi="Arial"/>
                <w:rtl w:val="0"/>
              </w:rPr>
              <w:t xml:space="preserve">3.96</w:t>
            </w:r>
          </w:p>
        </w:tc>
        <w:tc>
          <w:tcPr>
            <w:tcBorders>
              <w:top w:color="000000" w:space="0" w:sz="6" w:val="single"/>
            </w:tcBorders>
            <w:tcMar>
              <w:top w:w="30.0" w:type="dxa"/>
              <w:left w:w="45.0" w:type="dxa"/>
              <w:bottom w:w="30.0" w:type="dxa"/>
              <w:right w:w="45.0" w:type="dxa"/>
            </w:tcMar>
            <w:vAlign w:val="center"/>
          </w:tcPr>
          <w:p w:rsidR="00000000" w:rsidDel="00000000" w:rsidP="00000000" w:rsidRDefault="00000000" w:rsidRPr="00000000" w14:paraId="000000DE">
            <w:pPr>
              <w:rPr>
                <w:rFonts w:ascii="Arial" w:cs="Arial" w:eastAsia="Arial" w:hAnsi="Arial"/>
              </w:rPr>
            </w:pPr>
            <w:r w:rsidDel="00000000" w:rsidR="00000000" w:rsidRPr="00000000">
              <w:rPr>
                <w:rFonts w:ascii="Arial" w:cs="Arial" w:eastAsia="Arial" w:hAnsi="Arial"/>
                <w:rtl w:val="0"/>
              </w:rPr>
              <w:t xml:space="preserve">1.57</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DF">
            <w:pPr>
              <w:rPr>
                <w:rFonts w:ascii="Arial" w:cs="Arial" w:eastAsia="Arial" w:hAnsi="Arial"/>
              </w:rPr>
            </w:pPr>
            <w:r w:rsidDel="00000000" w:rsidR="00000000" w:rsidRPr="00000000">
              <w:rPr>
                <w:rFonts w:ascii="Arial" w:cs="Arial" w:eastAsia="Arial" w:hAnsi="Arial"/>
                <w:rtl w:val="0"/>
              </w:rPr>
              <w:t xml:space="preserve">I would feel anxious because I could not check my email messages.</w:t>
            </w:r>
          </w:p>
        </w:tc>
        <w:tc>
          <w:tcPr>
            <w:tcMar>
              <w:top w:w="30.0" w:type="dxa"/>
              <w:left w:w="45.0" w:type="dxa"/>
              <w:bottom w:w="30.0" w:type="dxa"/>
              <w:right w:w="45.0" w:type="dxa"/>
            </w:tcMar>
            <w:vAlign w:val="center"/>
          </w:tcPr>
          <w:p w:rsidR="00000000" w:rsidDel="00000000" w:rsidP="00000000" w:rsidRDefault="00000000" w:rsidRPr="00000000" w14:paraId="000000E0">
            <w:pPr>
              <w:rPr>
                <w:rFonts w:ascii="Arial" w:cs="Arial" w:eastAsia="Arial" w:hAnsi="Arial"/>
              </w:rPr>
            </w:pPr>
            <w:r w:rsidDel="00000000" w:rsidR="00000000" w:rsidRPr="00000000">
              <w:rPr>
                <w:rFonts w:ascii="Arial" w:cs="Arial" w:eastAsia="Arial" w:hAnsi="Arial"/>
                <w:rtl w:val="0"/>
              </w:rPr>
              <w:t xml:space="preserve">3.96</w:t>
            </w:r>
          </w:p>
        </w:tc>
        <w:tc>
          <w:tcPr>
            <w:tcMar>
              <w:top w:w="30.0" w:type="dxa"/>
              <w:left w:w="45.0" w:type="dxa"/>
              <w:bottom w:w="30.0" w:type="dxa"/>
              <w:right w:w="45.0" w:type="dxa"/>
            </w:tcMar>
            <w:vAlign w:val="center"/>
          </w:tcPr>
          <w:p w:rsidR="00000000" w:rsidDel="00000000" w:rsidP="00000000" w:rsidRDefault="00000000" w:rsidRPr="00000000" w14:paraId="000000E1">
            <w:pPr>
              <w:rPr>
                <w:rFonts w:ascii="Arial" w:cs="Arial" w:eastAsia="Arial" w:hAnsi="Arial"/>
              </w:rPr>
            </w:pPr>
            <w:r w:rsidDel="00000000" w:rsidR="00000000" w:rsidRPr="00000000">
              <w:rPr>
                <w:rFonts w:ascii="Arial" w:cs="Arial" w:eastAsia="Arial" w:hAnsi="Arial"/>
                <w:rtl w:val="0"/>
              </w:rPr>
              <w:t xml:space="preserve">1.60</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E2">
            <w:pPr>
              <w:rPr>
                <w:rFonts w:ascii="Arial" w:cs="Arial" w:eastAsia="Arial" w:hAnsi="Arial"/>
              </w:rPr>
            </w:pPr>
            <w:r w:rsidDel="00000000" w:rsidR="00000000" w:rsidRPr="00000000">
              <w:rPr>
                <w:rFonts w:ascii="Arial" w:cs="Arial" w:eastAsia="Arial" w:hAnsi="Arial"/>
                <w:rtl w:val="0"/>
              </w:rPr>
              <w:t xml:space="preserve">I would feel weird because I would not know what to do.</w:t>
            </w:r>
          </w:p>
        </w:tc>
        <w:tc>
          <w:tcPr>
            <w:tcMar>
              <w:top w:w="30.0" w:type="dxa"/>
              <w:left w:w="45.0" w:type="dxa"/>
              <w:bottom w:w="30.0" w:type="dxa"/>
              <w:right w:w="45.0" w:type="dxa"/>
            </w:tcMar>
            <w:vAlign w:val="center"/>
          </w:tcPr>
          <w:p w:rsidR="00000000" w:rsidDel="00000000" w:rsidP="00000000" w:rsidRDefault="00000000" w:rsidRPr="00000000" w14:paraId="000000E3">
            <w:pPr>
              <w:rPr>
                <w:rFonts w:ascii="Arial" w:cs="Arial" w:eastAsia="Arial" w:hAnsi="Arial"/>
              </w:rPr>
            </w:pPr>
            <w:r w:rsidDel="00000000" w:rsidR="00000000" w:rsidRPr="00000000">
              <w:rPr>
                <w:rFonts w:ascii="Arial" w:cs="Arial" w:eastAsia="Arial" w:hAnsi="Arial"/>
                <w:rtl w:val="0"/>
              </w:rPr>
              <w:t xml:space="preserve">3.96</w:t>
            </w:r>
          </w:p>
        </w:tc>
        <w:tc>
          <w:tcPr>
            <w:tcMar>
              <w:top w:w="30.0" w:type="dxa"/>
              <w:left w:w="45.0" w:type="dxa"/>
              <w:bottom w:w="30.0" w:type="dxa"/>
              <w:right w:w="45.0" w:type="dxa"/>
            </w:tcMar>
            <w:vAlign w:val="center"/>
          </w:tcPr>
          <w:p w:rsidR="00000000" w:rsidDel="00000000" w:rsidP="00000000" w:rsidRDefault="00000000" w:rsidRPr="00000000" w14:paraId="000000E4">
            <w:pPr>
              <w:rPr>
                <w:rFonts w:ascii="Arial" w:cs="Arial" w:eastAsia="Arial" w:hAnsi="Arial"/>
              </w:rPr>
            </w:pPr>
            <w:r w:rsidDel="00000000" w:rsidR="00000000" w:rsidRPr="00000000">
              <w:rPr>
                <w:rFonts w:ascii="Arial" w:cs="Arial" w:eastAsia="Arial" w:hAnsi="Arial"/>
                <w:rtl w:val="0"/>
              </w:rPr>
              <w:t xml:space="preserve">1.76</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E5">
            <w:pPr>
              <w:rPr>
                <w:rFonts w:ascii="Arial" w:cs="Arial" w:eastAsia="Arial" w:hAnsi="Arial"/>
              </w:rPr>
            </w:pPr>
            <w:r w:rsidDel="00000000" w:rsidR="00000000" w:rsidRPr="00000000">
              <w:rPr>
                <w:rFonts w:ascii="Arial" w:cs="Arial" w:eastAsia="Arial" w:hAnsi="Arial"/>
                <w:rtl w:val="0"/>
              </w:rPr>
              <w:t xml:space="preserve">I would be uncomfortable because I could not stay up-to-date with social media</w:t>
            </w:r>
          </w:p>
          <w:p w:rsidR="00000000" w:rsidDel="00000000" w:rsidP="00000000" w:rsidRDefault="00000000" w:rsidRPr="00000000" w14:paraId="000000E6">
            <w:pPr>
              <w:rPr>
                <w:rFonts w:ascii="Arial" w:cs="Arial" w:eastAsia="Arial" w:hAnsi="Arial"/>
              </w:rPr>
            </w:pPr>
            <w:r w:rsidDel="00000000" w:rsidR="00000000" w:rsidRPr="00000000">
              <w:rPr>
                <w:rFonts w:ascii="Arial" w:cs="Arial" w:eastAsia="Arial" w:hAnsi="Arial"/>
                <w:rtl w:val="0"/>
              </w:rPr>
              <w:t xml:space="preserve">and online networks.</w:t>
            </w:r>
          </w:p>
        </w:tc>
        <w:tc>
          <w:tcPr>
            <w:tcMar>
              <w:top w:w="30.0" w:type="dxa"/>
              <w:left w:w="45.0" w:type="dxa"/>
              <w:bottom w:w="30.0" w:type="dxa"/>
              <w:right w:w="45.0" w:type="dxa"/>
            </w:tcMar>
            <w:vAlign w:val="center"/>
          </w:tcPr>
          <w:p w:rsidR="00000000" w:rsidDel="00000000" w:rsidP="00000000" w:rsidRDefault="00000000" w:rsidRPr="00000000" w14:paraId="000000E7">
            <w:pPr>
              <w:rPr>
                <w:rFonts w:ascii="Arial" w:cs="Arial" w:eastAsia="Arial" w:hAnsi="Arial"/>
              </w:rPr>
            </w:pPr>
            <w:r w:rsidDel="00000000" w:rsidR="00000000" w:rsidRPr="00000000">
              <w:rPr>
                <w:rFonts w:ascii="Arial" w:cs="Arial" w:eastAsia="Arial" w:hAnsi="Arial"/>
                <w:rtl w:val="0"/>
              </w:rPr>
              <w:t xml:space="preserve">3.68</w:t>
            </w:r>
          </w:p>
        </w:tc>
        <w:tc>
          <w:tcPr>
            <w:tcMar>
              <w:top w:w="30.0" w:type="dxa"/>
              <w:left w:w="45.0" w:type="dxa"/>
              <w:bottom w:w="30.0" w:type="dxa"/>
              <w:right w:w="45.0" w:type="dxa"/>
            </w:tcMar>
            <w:vAlign w:val="cente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1.58</w:t>
            </w:r>
          </w:p>
        </w:tc>
      </w:tr>
      <w:tr>
        <w:trPr>
          <w:cantSplit w:val="0"/>
          <w:trHeight w:val="311" w:hRule="atLeast"/>
          <w:tblHeader w:val="0"/>
        </w:trPr>
        <w:tc>
          <w:tcPr>
            <w:tcMar>
              <w:top w:w="30.0" w:type="dxa"/>
              <w:left w:w="45.0" w:type="dxa"/>
              <w:bottom w:w="30.0" w:type="dxa"/>
              <w:right w:w="45.0" w:type="dxa"/>
            </w:tcMar>
            <w:vAlign w:val="center"/>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I would be nervous because I would be disconnected from my online identity.</w:t>
            </w:r>
          </w:p>
        </w:tc>
        <w:tc>
          <w:tcPr>
            <w:tcMar>
              <w:top w:w="30.0" w:type="dxa"/>
              <w:left w:w="45.0" w:type="dxa"/>
              <w:bottom w:w="30.0" w:type="dxa"/>
              <w:right w:w="45.0" w:type="dxa"/>
            </w:tcMar>
            <w:vAlign w:val="center"/>
          </w:tcPr>
          <w:p w:rsidR="00000000" w:rsidDel="00000000" w:rsidP="00000000" w:rsidRDefault="00000000" w:rsidRPr="00000000" w14:paraId="000000EA">
            <w:pPr>
              <w:rPr>
                <w:rFonts w:ascii="Arial" w:cs="Arial" w:eastAsia="Arial" w:hAnsi="Arial"/>
              </w:rPr>
            </w:pPr>
            <w:r w:rsidDel="00000000" w:rsidR="00000000" w:rsidRPr="00000000">
              <w:rPr>
                <w:rFonts w:ascii="Arial" w:cs="Arial" w:eastAsia="Arial" w:hAnsi="Arial"/>
                <w:rtl w:val="0"/>
              </w:rPr>
              <w:t xml:space="preserve">3.38</w:t>
            </w:r>
          </w:p>
        </w:tc>
        <w:tc>
          <w:tcPr>
            <w:tcMar>
              <w:top w:w="30.0" w:type="dxa"/>
              <w:left w:w="45.0" w:type="dxa"/>
              <w:bottom w:w="30.0" w:type="dxa"/>
              <w:right w:w="45.0" w:type="dxa"/>
            </w:tcMar>
            <w:vAlign w:val="center"/>
          </w:tcPr>
          <w:p w:rsidR="00000000" w:rsidDel="00000000" w:rsidP="00000000" w:rsidRDefault="00000000" w:rsidRPr="00000000" w14:paraId="000000EB">
            <w:pPr>
              <w:rPr>
                <w:rFonts w:ascii="Arial" w:cs="Arial" w:eastAsia="Arial" w:hAnsi="Arial"/>
              </w:rPr>
            </w:pPr>
            <w:r w:rsidDel="00000000" w:rsidR="00000000" w:rsidRPr="00000000">
              <w:rPr>
                <w:rFonts w:ascii="Arial" w:cs="Arial" w:eastAsia="Arial" w:hAnsi="Arial"/>
                <w:rtl w:val="0"/>
              </w:rPr>
              <w:t xml:space="preserve">1.63</w:t>
            </w:r>
          </w:p>
        </w:tc>
      </w:tr>
      <w:tr>
        <w:trPr>
          <w:cantSplit w:val="0"/>
          <w:trHeight w:val="311" w:hRule="atLeast"/>
          <w:tblHeader w:val="0"/>
        </w:trPr>
        <w:tc>
          <w:tcPr>
            <w:tcBorders>
              <w:bottom w:color="000000" w:space="0" w:sz="4" w:val="single"/>
            </w:tcBorders>
            <w:tcMar>
              <w:top w:w="30.0" w:type="dxa"/>
              <w:left w:w="45.0" w:type="dxa"/>
              <w:bottom w:w="30.0" w:type="dxa"/>
              <w:right w:w="45.0" w:type="dxa"/>
            </w:tcMar>
            <w:vAlign w:val="center"/>
          </w:tcPr>
          <w:p w:rsidR="00000000" w:rsidDel="00000000" w:rsidP="00000000" w:rsidRDefault="00000000" w:rsidRPr="00000000" w14:paraId="000000EC">
            <w:pPr>
              <w:jc w:val="center"/>
              <w:rPr>
                <w:rFonts w:ascii="Arial" w:cs="Arial" w:eastAsia="Arial" w:hAnsi="Arial"/>
              </w:rPr>
            </w:pPr>
            <w:r w:rsidDel="00000000" w:rsidR="00000000" w:rsidRPr="00000000">
              <w:rPr>
                <w:rFonts w:ascii="Arial" w:cs="Arial" w:eastAsia="Arial" w:hAnsi="Arial"/>
                <w:rtl w:val="0"/>
              </w:rPr>
              <w:t xml:space="preserve">Giving up convenience Overall</w:t>
            </w:r>
          </w:p>
        </w:tc>
        <w:tc>
          <w:tcPr>
            <w:tcBorders>
              <w:bottom w:color="000000" w:space="0" w:sz="4" w:val="single"/>
            </w:tcBorders>
            <w:tcMar>
              <w:top w:w="30.0" w:type="dxa"/>
              <w:left w:w="45.0" w:type="dxa"/>
              <w:bottom w:w="30.0" w:type="dxa"/>
              <w:right w:w="45.0" w:type="dxa"/>
            </w:tcMar>
            <w:vAlign w:val="center"/>
          </w:tcPr>
          <w:p w:rsidR="00000000" w:rsidDel="00000000" w:rsidP="00000000" w:rsidRDefault="00000000" w:rsidRPr="00000000" w14:paraId="000000ED">
            <w:pPr>
              <w:rPr>
                <w:rFonts w:ascii="Arial" w:cs="Arial" w:eastAsia="Arial" w:hAnsi="Arial"/>
              </w:rPr>
            </w:pPr>
            <w:r w:rsidDel="00000000" w:rsidR="00000000" w:rsidRPr="00000000">
              <w:rPr>
                <w:rFonts w:ascii="Arial" w:cs="Arial" w:eastAsia="Arial" w:hAnsi="Arial"/>
                <w:rtl w:val="0"/>
              </w:rPr>
              <w:t xml:space="preserve">3.79</w:t>
            </w:r>
          </w:p>
        </w:tc>
        <w:tc>
          <w:tcPr>
            <w:tcBorders>
              <w:bottom w:color="000000" w:space="0" w:sz="4" w:val="single"/>
            </w:tcBorders>
            <w:tcMar>
              <w:top w:w="30.0" w:type="dxa"/>
              <w:left w:w="45.0" w:type="dxa"/>
              <w:bottom w:w="30.0" w:type="dxa"/>
              <w:right w:w="45.0" w:type="dxa"/>
            </w:tcMar>
            <w:vAlign w:val="center"/>
          </w:tcPr>
          <w:p w:rsidR="00000000" w:rsidDel="00000000" w:rsidP="00000000" w:rsidRDefault="00000000" w:rsidRPr="00000000" w14:paraId="000000EE">
            <w:pPr>
              <w:rPr>
                <w:rFonts w:ascii="Arial" w:cs="Arial" w:eastAsia="Arial" w:hAnsi="Arial"/>
              </w:rPr>
            </w:pPr>
            <w:r w:rsidDel="00000000" w:rsidR="00000000" w:rsidRPr="00000000">
              <w:rPr>
                <w:rFonts w:ascii="Arial" w:cs="Arial" w:eastAsia="Arial" w:hAnsi="Arial"/>
                <w:rtl w:val="0"/>
              </w:rPr>
              <w:t xml:space="preserve">1.38</w:t>
            </w:r>
          </w:p>
        </w:tc>
      </w:tr>
      <w:tr>
        <w:trPr>
          <w:cantSplit w:val="0"/>
          <w:trHeight w:val="311" w:hRule="atLeast"/>
          <w:tblHeader w:val="0"/>
        </w:trPr>
        <w:tc>
          <w:tcPr>
            <w:tcBorders>
              <w:top w:color="000000" w:space="0" w:sz="4" w:val="single"/>
              <w:bottom w:color="000000" w:space="0" w:sz="4" w:val="single"/>
            </w:tcBorders>
            <w:tcMar>
              <w:top w:w="30.0" w:type="dxa"/>
              <w:left w:w="45.0" w:type="dxa"/>
              <w:bottom w:w="30.0" w:type="dxa"/>
              <w:right w:w="45.0" w:type="dxa"/>
            </w:tcMar>
            <w:vAlign w:val="center"/>
          </w:tcPr>
          <w:p w:rsidR="00000000" w:rsidDel="00000000" w:rsidP="00000000" w:rsidRDefault="00000000" w:rsidRPr="00000000" w14:paraId="000000EF">
            <w:pPr>
              <w:rPr>
                <w:rFonts w:ascii="Arial" w:cs="Arial" w:eastAsia="Arial" w:hAnsi="Arial"/>
              </w:rPr>
            </w:pPr>
            <w:r w:rsidDel="00000000" w:rsidR="00000000" w:rsidRPr="00000000">
              <w:rPr>
                <w:rFonts w:ascii="Arial" w:cs="Arial" w:eastAsia="Arial" w:hAnsi="Arial"/>
                <w:b w:val="1"/>
                <w:bCs w:val="1"/>
                <w:rtl w:val="0"/>
              </w:rPr>
              <w:t xml:space="preserve">Overall Nomophobia</w:t>
            </w:r>
            <w:r w:rsidDel="00000000" w:rsidR="00000000" w:rsidRPr="00000000">
              <w:rPr>
                <w:rtl w:val="0"/>
              </w:rPr>
            </w:r>
          </w:p>
        </w:tc>
        <w:tc>
          <w:tcPr>
            <w:tcBorders>
              <w:top w:color="000000" w:space="0" w:sz="4" w:val="single"/>
              <w:bottom w:color="000000" w:space="0" w:sz="4" w:val="single"/>
            </w:tcBorders>
            <w:tcMar>
              <w:top w:w="30.0" w:type="dxa"/>
              <w:left w:w="45.0" w:type="dxa"/>
              <w:bottom w:w="30.0" w:type="dxa"/>
              <w:right w:w="45.0" w:type="dxa"/>
            </w:tcMar>
            <w:vAlign w:val="center"/>
          </w:tcPr>
          <w:p w:rsidR="00000000" w:rsidDel="00000000" w:rsidP="00000000" w:rsidRDefault="00000000" w:rsidRPr="00000000" w14:paraId="000000F0">
            <w:pPr>
              <w:rPr>
                <w:rFonts w:ascii="Arial" w:cs="Arial" w:eastAsia="Arial" w:hAnsi="Arial"/>
              </w:rPr>
            </w:pPr>
            <w:r w:rsidDel="00000000" w:rsidR="00000000" w:rsidRPr="00000000">
              <w:rPr>
                <w:rFonts w:ascii="Arial" w:cs="Arial" w:eastAsia="Arial" w:hAnsi="Arial"/>
                <w:rtl w:val="0"/>
              </w:rPr>
              <w:t xml:space="preserve">4.33</w:t>
            </w:r>
          </w:p>
        </w:tc>
        <w:tc>
          <w:tcPr>
            <w:tcBorders>
              <w:top w:color="000000" w:space="0" w:sz="4" w:val="single"/>
              <w:bottom w:color="000000" w:space="0" w:sz="4" w:val="single"/>
            </w:tcBorders>
            <w:tcMar>
              <w:top w:w="30.0" w:type="dxa"/>
              <w:left w:w="45.0" w:type="dxa"/>
              <w:bottom w:w="30.0" w:type="dxa"/>
              <w:right w:w="45.0" w:type="dxa"/>
            </w:tcMar>
            <w:vAlign w:val="center"/>
          </w:tcPr>
          <w:p w:rsidR="00000000" w:rsidDel="00000000" w:rsidP="00000000" w:rsidRDefault="00000000" w:rsidRPr="00000000" w14:paraId="000000F1">
            <w:pPr>
              <w:rPr>
                <w:rFonts w:ascii="Arial" w:cs="Arial" w:eastAsia="Arial" w:hAnsi="Arial"/>
              </w:rPr>
            </w:pPr>
            <w:r w:rsidDel="00000000" w:rsidR="00000000" w:rsidRPr="00000000">
              <w:rPr>
                <w:rFonts w:ascii="Arial" w:cs="Arial" w:eastAsia="Arial" w:hAnsi="Arial"/>
                <w:rtl w:val="0"/>
              </w:rPr>
              <w:t xml:space="preserve">1.10</w:t>
            </w:r>
          </w:p>
        </w:tc>
      </w:tr>
    </w:tbl>
    <w:p w:rsidR="00000000" w:rsidDel="00000000" w:rsidP="00000000" w:rsidRDefault="00000000" w:rsidRPr="00000000" w14:paraId="000000F2">
      <w:pPr>
        <w:jc w:val="both"/>
        <w:rPr>
          <w:rFonts w:ascii="Arial" w:cs="Arial" w:eastAsia="Arial" w:hAnsi="Arial"/>
        </w:rPr>
      </w:pPr>
      <w:r w:rsidDel="00000000" w:rsidR="00000000" w:rsidRPr="00000000">
        <w:rPr>
          <w:rtl w:val="0"/>
        </w:rPr>
      </w:r>
    </w:p>
    <w:p w:rsidR="00000000" w:rsidDel="00000000" w:rsidP="00000000" w:rsidRDefault="00000000" w:rsidRPr="00000000" w14:paraId="000000F3">
      <w:pPr>
        <w:jc w:val="both"/>
        <w:rPr>
          <w:rFonts w:ascii="Arial" w:cs="Arial" w:eastAsia="Arial" w:hAnsi="Arial"/>
        </w:rPr>
      </w:pPr>
      <w:r w:rsidDel="00000000" w:rsidR="00000000" w:rsidRPr="00000000">
        <w:rPr>
          <w:rtl w:val="0"/>
        </w:rPr>
      </w:r>
    </w:p>
    <w:p w:rsidR="00000000" w:rsidDel="00000000" w:rsidP="00000000" w:rsidRDefault="00000000" w:rsidRPr="00000000" w14:paraId="000000F4">
      <w:pPr>
        <w:jc w:val="both"/>
        <w:rPr>
          <w:rFonts w:ascii="Arial" w:cs="Arial" w:eastAsia="Arial" w:hAnsi="Arial"/>
          <w:b w:val="1"/>
          <w:bCs w:val="1"/>
        </w:rPr>
      </w:pPr>
      <w:r w:rsidDel="00000000" w:rsidR="00000000" w:rsidRPr="00000000">
        <w:rPr>
          <w:rFonts w:ascii="Arial" w:cs="Arial" w:eastAsia="Arial" w:hAnsi="Arial"/>
          <w:b w:val="1"/>
          <w:bCs w:val="1"/>
          <w:sz w:val="22"/>
          <w:szCs w:val="22"/>
          <w:rtl w:val="0"/>
        </w:rPr>
        <w:t xml:space="preserve">3.3</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bCs w:val="1"/>
          <w:rtl w:val="0"/>
        </w:rPr>
        <w:t xml:space="preserve">Differences in Level of Nomophobia in terms of Sex, Year Level, Number of Hours of  Daily Smartphone Use, and Main Reason for Smartphone Use</w:t>
      </w:r>
    </w:p>
    <w:p w:rsidR="00000000" w:rsidDel="00000000" w:rsidP="00000000" w:rsidRDefault="00000000" w:rsidRPr="00000000" w14:paraId="000000F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6">
      <w:pPr>
        <w:jc w:val="both"/>
        <w:rPr>
          <w:rFonts w:ascii="Arial" w:cs="Arial" w:eastAsia="Arial" w:hAnsi="Arial"/>
        </w:rPr>
      </w:pPr>
      <w:r w:rsidDel="00000000" w:rsidR="00000000" w:rsidRPr="00000000">
        <w:rPr>
          <w:rFonts w:ascii="Arial" w:cs="Arial" w:eastAsia="Arial" w:hAnsi="Arial"/>
          <w:rtl w:val="0"/>
        </w:rPr>
        <w:t xml:space="preserve">Using the Mann–Whitney U test, a statistically significant difference in nomophobia was observed between male and female respondents (</w:t>
      </w:r>
      <w:r w:rsidDel="00000000" w:rsidR="00000000" w:rsidRPr="00000000">
        <w:rPr>
          <w:rFonts w:ascii="Arial" w:cs="Arial" w:eastAsia="Arial" w:hAnsi="Arial"/>
          <w:i w:val="1"/>
          <w:iCs w:val="1"/>
          <w:rtl w:val="0"/>
        </w:rPr>
        <w:t xml:space="preserve">P</w:t>
      </w:r>
      <w:r w:rsidDel="00000000" w:rsidR="00000000" w:rsidRPr="00000000">
        <w:rPr>
          <w:rFonts w:ascii="Arial" w:cs="Arial" w:eastAsia="Arial" w:hAnsi="Arial"/>
          <w:rtl w:val="0"/>
        </w:rPr>
        <w:t xml:space="preserve"> = .013), with female students demonstrating higher levels of nomophobia. This suggests that female nursing students may have a stronger emotional or social reliance on smartphones, which may increase their vulnerability to nomophobia.</w:t>
      </w:r>
    </w:p>
    <w:p w:rsidR="00000000" w:rsidDel="00000000" w:rsidP="00000000" w:rsidRDefault="00000000" w:rsidRPr="00000000" w14:paraId="000000F7">
      <w:pPr>
        <w:jc w:val="both"/>
        <w:rPr>
          <w:rFonts w:ascii="Arial" w:cs="Arial" w:eastAsia="Arial" w:hAnsi="Arial"/>
        </w:rPr>
      </w:pPr>
      <w:r w:rsidDel="00000000" w:rsidR="00000000" w:rsidRPr="00000000">
        <w:rPr>
          <w:rtl w:val="0"/>
        </w:rPr>
      </w:r>
    </w:p>
    <w:p w:rsidR="00000000" w:rsidDel="00000000" w:rsidP="00000000" w:rsidRDefault="00000000" w:rsidRPr="00000000" w14:paraId="000000F8">
      <w:pPr>
        <w:jc w:val="both"/>
        <w:rPr>
          <w:rFonts w:ascii="Arial" w:cs="Arial" w:eastAsia="Arial" w:hAnsi="Arial"/>
        </w:rPr>
      </w:pPr>
      <w:r w:rsidDel="00000000" w:rsidR="00000000" w:rsidRPr="00000000">
        <w:rPr>
          <w:rFonts w:ascii="Arial" w:cs="Arial" w:eastAsia="Arial" w:hAnsi="Arial"/>
          <w:rtl w:val="0"/>
        </w:rPr>
        <w:t xml:space="preserve">A Kruskal–Wallis test revealed a statistically significant difference in nomophobia across year levels (</w:t>
      </w:r>
      <w:r w:rsidDel="00000000" w:rsidR="00000000" w:rsidRPr="00000000">
        <w:rPr>
          <w:rFonts w:ascii="Arial" w:cs="Arial" w:eastAsia="Arial" w:hAnsi="Arial"/>
          <w:i w:val="1"/>
          <w:iCs w:val="1"/>
          <w:rtl w:val="0"/>
        </w:rPr>
        <w:t xml:space="preserve">P</w:t>
      </w:r>
      <w:r w:rsidDel="00000000" w:rsidR="00000000" w:rsidRPr="00000000">
        <w:rPr>
          <w:rFonts w:ascii="Arial" w:cs="Arial" w:eastAsia="Arial" w:hAnsi="Arial"/>
          <w:rtl w:val="0"/>
        </w:rPr>
        <w:t xml:space="preserve"> = .021). Post hoc analysis indicated that second-year students exhibited higher levels of nomophobia compared to third-year students. This may be attributed to the adjustment challenges and academic demands experienced during earlier stages of the nursing program.</w:t>
      </w:r>
    </w:p>
    <w:p w:rsidR="00000000" w:rsidDel="00000000" w:rsidP="00000000" w:rsidRDefault="00000000" w:rsidRPr="00000000" w14:paraId="000000F9">
      <w:pPr>
        <w:jc w:val="both"/>
        <w:rPr>
          <w:rFonts w:ascii="Arial" w:cs="Arial" w:eastAsia="Arial" w:hAnsi="Arial"/>
        </w:rPr>
      </w:pPr>
      <w:r w:rsidDel="00000000" w:rsidR="00000000" w:rsidRPr="00000000">
        <w:rPr>
          <w:rtl w:val="0"/>
        </w:rPr>
      </w:r>
    </w:p>
    <w:p w:rsidR="00000000" w:rsidDel="00000000" w:rsidP="00000000" w:rsidRDefault="00000000" w:rsidRPr="00000000" w14:paraId="000000FA">
      <w:pPr>
        <w:jc w:val="both"/>
        <w:rPr>
          <w:rFonts w:ascii="Arial" w:cs="Arial" w:eastAsia="Arial" w:hAnsi="Arial"/>
        </w:rPr>
      </w:pPr>
      <w:r w:rsidDel="00000000" w:rsidR="00000000" w:rsidRPr="00000000">
        <w:rPr>
          <w:rFonts w:ascii="Arial" w:cs="Arial" w:eastAsia="Arial" w:hAnsi="Arial"/>
          <w:rtl w:val="0"/>
        </w:rPr>
        <w:t xml:space="preserve">Similarly, a statistically significant difference was found in nomophobia levels based on daily smartphone use (</w:t>
      </w:r>
      <w:r w:rsidDel="00000000" w:rsidR="00000000" w:rsidRPr="00000000">
        <w:rPr>
          <w:rFonts w:ascii="Arial" w:cs="Arial" w:eastAsia="Arial" w:hAnsi="Arial"/>
          <w:i w:val="1"/>
          <w:iCs w:val="1"/>
          <w:rtl w:val="0"/>
        </w:rPr>
        <w:t xml:space="preserve">P</w:t>
      </w:r>
      <w:r w:rsidDel="00000000" w:rsidR="00000000" w:rsidRPr="00000000">
        <w:rPr>
          <w:rFonts w:ascii="Arial" w:cs="Arial" w:eastAsia="Arial" w:hAnsi="Arial"/>
          <w:rtl w:val="0"/>
        </w:rPr>
        <w:t xml:space="preserve"> = .028). Students who reported using smartphones for more than 10 hours per day demonstrated higher levels of nomophobia compared to those who used smartphones for fewer hours. This finding indicates that prolonged smartphone exposure may increase dependence and anxiety when access is limited.</w:t>
      </w:r>
    </w:p>
    <w:p w:rsidR="00000000" w:rsidDel="00000000" w:rsidP="00000000" w:rsidRDefault="00000000" w:rsidRPr="00000000" w14:paraId="000000FB">
      <w:pPr>
        <w:jc w:val="both"/>
        <w:rPr>
          <w:rFonts w:ascii="Arial" w:cs="Arial" w:eastAsia="Arial" w:hAnsi="Arial"/>
        </w:rPr>
      </w:pPr>
      <w:r w:rsidDel="00000000" w:rsidR="00000000" w:rsidRPr="00000000">
        <w:rPr>
          <w:rtl w:val="0"/>
        </w:rPr>
      </w:r>
    </w:p>
    <w:p w:rsidR="00000000" w:rsidDel="00000000" w:rsidP="00000000" w:rsidRDefault="00000000" w:rsidRPr="00000000" w14:paraId="000000FC">
      <w:pPr>
        <w:jc w:val="both"/>
        <w:rPr>
          <w:rFonts w:ascii="Arial" w:cs="Arial" w:eastAsia="Arial" w:hAnsi="Arial"/>
        </w:rPr>
      </w:pPr>
      <w:r w:rsidDel="00000000" w:rsidR="00000000" w:rsidRPr="00000000">
        <w:rPr>
          <w:rFonts w:ascii="Arial" w:cs="Arial" w:eastAsia="Arial" w:hAnsi="Arial"/>
          <w:rtl w:val="0"/>
        </w:rPr>
        <w:t xml:space="preserve">On the other hand, no statistically significant difference was observed in nomophobia levels when respondents were grouped according to the primary reason for smartphone use (</w:t>
      </w:r>
      <w:r w:rsidDel="00000000" w:rsidR="00000000" w:rsidRPr="00000000">
        <w:rPr>
          <w:rFonts w:ascii="Arial" w:cs="Arial" w:eastAsia="Arial" w:hAnsi="Arial"/>
          <w:i w:val="1"/>
          <w:iCs w:val="1"/>
          <w:rtl w:val="0"/>
        </w:rPr>
        <w:t xml:space="preserve">P</w:t>
      </w:r>
      <w:r w:rsidDel="00000000" w:rsidR="00000000" w:rsidRPr="00000000">
        <w:rPr>
          <w:rFonts w:ascii="Arial" w:cs="Arial" w:eastAsia="Arial" w:hAnsi="Arial"/>
          <w:rtl w:val="0"/>
        </w:rPr>
        <w:t xml:space="preserve"> = .628). This suggests that the purpose of smartphone use, whether academic or non-academic, does not significantly influence the level of nomophobia among nursing students. Overall, these findings indicate that sex, year level, and duration of smartphone use are significant factors associated with nomophobia, while the purpose of smartphone use is not. </w:t>
      </w:r>
    </w:p>
    <w:p w:rsidR="00000000" w:rsidDel="00000000" w:rsidP="00000000" w:rsidRDefault="00000000" w:rsidRPr="00000000" w14:paraId="000000FD">
      <w:pPr>
        <w:jc w:val="both"/>
        <w:rPr>
          <w:rFonts w:ascii="Arial" w:cs="Arial" w:eastAsia="Arial" w:hAnsi="Arial"/>
        </w:rPr>
      </w:pPr>
      <w:r w:rsidDel="00000000" w:rsidR="00000000" w:rsidRPr="00000000">
        <w:rPr>
          <w:rtl w:val="0"/>
        </w:rPr>
      </w:r>
    </w:p>
    <w:p w:rsidR="00000000" w:rsidDel="00000000" w:rsidP="00000000" w:rsidRDefault="00000000" w:rsidRPr="00000000" w14:paraId="000000FE">
      <w:pPr>
        <w:jc w:val="both"/>
        <w:rPr>
          <w:rFonts w:ascii="Arial" w:cs="Arial" w:eastAsia="Arial" w:hAnsi="Arial"/>
        </w:rPr>
      </w:pPr>
      <w:r w:rsidDel="00000000" w:rsidR="00000000" w:rsidRPr="00000000">
        <w:rPr>
          <w:rFonts w:ascii="Arial" w:cs="Arial" w:eastAsia="Arial" w:hAnsi="Arial"/>
          <w:rtl w:val="0"/>
        </w:rPr>
        <w:t xml:space="preserve">The findings of this study are consistent with previous research indicating that higher smartphone usage and demographic factors such as sex and academic level are significantly associated with increased levels of nomophobia. Similar studies have reported that female students and individuals with prolonged smartphone use are more likely to experience anxiety related to phone separation, supporting the results of the present study.</w:t>
      </w:r>
    </w:p>
    <w:p w:rsidR="00000000" w:rsidDel="00000000" w:rsidP="00000000" w:rsidRDefault="00000000" w:rsidRPr="00000000" w14:paraId="000000F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0">
      <w:pPr>
        <w:spacing w:after="160" w:lineRule="auto"/>
        <w:rPr>
          <w:rFonts w:ascii="Arial" w:cs="Arial" w:eastAsia="Arial" w:hAnsi="Arial"/>
          <w:b w:val="1"/>
          <w:bCs w:val="1"/>
        </w:rPr>
      </w:pPr>
      <w:r w:rsidDel="00000000" w:rsidR="00000000" w:rsidRPr="00000000">
        <w:rPr>
          <w:rFonts w:ascii="Arial" w:cs="Arial" w:eastAsia="Arial" w:hAnsi="Arial"/>
          <w:b w:val="1"/>
          <w:bCs w:val="1"/>
          <w:rtl w:val="0"/>
        </w:rPr>
        <w:t xml:space="preserve">Table 3.     Differences in level of nomophobia in terms of sex, year level, number of hours of daily smartphone use, and main reason for smartphone use</w:t>
      </w:r>
    </w:p>
    <w:sdt>
      <w:sdtPr>
        <w:lock w:val="contentLocked"/>
        <w:id w:val="-378573064"/>
        <w:tag w:val="goog_rdk_1"/>
      </w:sdtPr>
      <w:sdtContent>
        <w:tbl>
          <w:tblPr>
            <w:tblStyle w:val="Table4"/>
            <w:tblpPr w:leftFromText="180" w:rightFromText="180" w:topFromText="180" w:bottomFromText="180" w:vertAnchor="text" w:horzAnchor="text" w:tblpX="555" w:tblpY="0"/>
            <w:tblW w:w="8610.0" w:type="dxa"/>
            <w:jc w:val="left"/>
            <w:tblLayout w:type="fixed"/>
            <w:tblLook w:val="0400"/>
          </w:tblPr>
          <w:tblGrid>
            <w:gridCol w:w="3255"/>
            <w:gridCol w:w="2580"/>
            <w:gridCol w:w="2775"/>
            <w:tblGridChange w:id="0">
              <w:tblGrid>
                <w:gridCol w:w="3255"/>
                <w:gridCol w:w="2580"/>
                <w:gridCol w:w="2775"/>
              </w:tblGrid>
            </w:tblGridChange>
          </w:tblGrid>
          <w:tr>
            <w:trPr>
              <w:cantSplit w:val="0"/>
              <w:trHeight w:val="217" w:hRule="atLeast"/>
              <w:tblHeader w:val="1"/>
            </w:trPr>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101">
                <w:pPr>
                  <w:rPr>
                    <w:rFonts w:ascii="Arial" w:cs="Arial" w:eastAsia="Arial" w:hAnsi="Arial"/>
                    <w:b w:val="1"/>
                    <w:bCs w:val="1"/>
                  </w:rPr>
                </w:pPr>
                <w:r w:rsidDel="00000000" w:rsidR="00000000" w:rsidRPr="00000000">
                  <w:rPr>
                    <w:rFonts w:ascii="Arial" w:cs="Arial" w:eastAsia="Arial" w:hAnsi="Arial"/>
                    <w:b w:val="1"/>
                    <w:bCs w:val="1"/>
                    <w:rtl w:val="0"/>
                  </w:rPr>
                  <w:t xml:space="preserve">Variables</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102">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Mean Rank</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103">
                <w:pPr>
                  <w:spacing w:after="160" w:line="278.00000000000006" w:lineRule="auto"/>
                  <w:rPr>
                    <w:rFonts w:ascii="Arial" w:cs="Arial" w:eastAsia="Arial" w:hAnsi="Arial"/>
                    <w:b w:val="1"/>
                    <w:bCs w:val="1"/>
                  </w:rPr>
                </w:pPr>
                <w:r w:rsidDel="00000000" w:rsidR="00000000" w:rsidRPr="00000000">
                  <w:rPr>
                    <w:rFonts w:ascii="Arial" w:cs="Arial" w:eastAsia="Arial" w:hAnsi="Arial"/>
                    <w:b w:val="1"/>
                    <w:bCs w:val="1"/>
                    <w:rtl w:val="0"/>
                  </w:rPr>
                  <w:t xml:space="preserve">                     U/H value</w:t>
                </w:r>
              </w:p>
              <w:p w:rsidR="00000000" w:rsidDel="00000000" w:rsidP="00000000" w:rsidRDefault="00000000" w:rsidRPr="00000000" w14:paraId="0000010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(p-value)</w:t>
                </w:r>
              </w:p>
            </w:tc>
          </w:tr>
          <w:tr>
            <w:trPr>
              <w:cantSplit w:val="0"/>
              <w:trHeight w:val="248" w:hRule="atLeast"/>
              <w:tblHeader w:val="1"/>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05">
                <w:pPr>
                  <w:rPr>
                    <w:rFonts w:ascii="Arial" w:cs="Arial" w:eastAsia="Arial" w:hAnsi="Arial"/>
                  </w:rPr>
                </w:pPr>
                <w:r w:rsidDel="00000000" w:rsidR="00000000" w:rsidRPr="00000000">
                  <w:rPr>
                    <w:rFonts w:ascii="Arial" w:cs="Arial" w:eastAsia="Arial" w:hAnsi="Arial"/>
                    <w:rtl w:val="0"/>
                  </w:rPr>
                  <w:t xml:space="preserve">Sex</w:t>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06">
                <w:pPr>
                  <w:jc w:val="center"/>
                  <w:rPr>
                    <w:rFonts w:ascii="Arial" w:cs="Arial" w:eastAsia="Arial" w:hAnsi="Arial"/>
                  </w:rPr>
                </w:pPr>
                <w:r w:rsidDel="00000000" w:rsidR="00000000" w:rsidRPr="00000000">
                  <w:rPr>
                    <w:rtl w:val="0"/>
                  </w:rPr>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07">
                <w:pPr>
                  <w:jc w:val="center"/>
                  <w:rPr>
                    <w:rFonts w:ascii="Arial" w:cs="Arial" w:eastAsia="Arial" w:hAnsi="Arial"/>
                  </w:rPr>
                </w:pPr>
                <w:r w:rsidDel="00000000" w:rsidR="00000000" w:rsidRPr="00000000">
                  <w:rPr>
                    <w:rtl w:val="0"/>
                  </w:rPr>
                </w:r>
              </w:p>
            </w:tc>
          </w:tr>
          <w:tr>
            <w:trPr>
              <w:cantSplit w:val="0"/>
              <w:trHeight w:val="217" w:hRule="atLeast"/>
              <w:tblHeader w:val="1"/>
            </w:trPr>
            <w:tc>
              <w:tcPr>
                <w:tcMar>
                  <w:top w:w="0.0" w:type="dxa"/>
                  <w:left w:w="100.0" w:type="dxa"/>
                  <w:bottom w:w="0.0" w:type="dxa"/>
                  <w:right w:w="100.0" w:type="dxa"/>
                </w:tcMar>
              </w:tcPr>
              <w:p w:rsidR="00000000" w:rsidDel="00000000" w:rsidP="00000000" w:rsidRDefault="00000000" w:rsidRPr="00000000" w14:paraId="00000108">
                <w:pPr>
                  <w:rPr>
                    <w:rFonts w:ascii="Arial" w:cs="Arial" w:eastAsia="Arial" w:hAnsi="Arial"/>
                  </w:rPr>
                </w:pPr>
                <w:r w:rsidDel="00000000" w:rsidR="00000000" w:rsidRPr="00000000">
                  <w:rPr>
                    <w:rFonts w:ascii="Arial" w:cs="Arial" w:eastAsia="Arial" w:hAnsi="Arial"/>
                    <w:rtl w:val="0"/>
                  </w:rPr>
                  <w:t xml:space="preserve"> </w:t>
                  <w:tab/>
                  <w:t xml:space="preserve">Male</w:t>
                </w:r>
              </w:p>
            </w:tc>
            <w:tc>
              <w:tcPr>
                <w:tcMar>
                  <w:top w:w="0.0" w:type="dxa"/>
                  <w:left w:w="100.0" w:type="dxa"/>
                  <w:bottom w:w="0.0" w:type="dxa"/>
                  <w:right w:w="100.0" w:type="dxa"/>
                </w:tcMar>
                <w:vAlign w:val="center"/>
              </w:tcPr>
              <w:p w:rsidR="00000000" w:rsidDel="00000000" w:rsidP="00000000" w:rsidRDefault="00000000" w:rsidRPr="00000000" w14:paraId="00000109">
                <w:pPr>
                  <w:jc w:val="center"/>
                  <w:rPr>
                    <w:rFonts w:ascii="Arial" w:cs="Arial" w:eastAsia="Arial" w:hAnsi="Arial"/>
                  </w:rPr>
                </w:pPr>
                <w:r w:rsidDel="00000000" w:rsidR="00000000" w:rsidRPr="00000000">
                  <w:rPr>
                    <w:rFonts w:ascii="Arial" w:cs="Arial" w:eastAsia="Arial" w:hAnsi="Arial"/>
                    <w:rtl w:val="0"/>
                  </w:rPr>
                  <w:t xml:space="preserve">121.27</w:t>
                </w:r>
              </w:p>
            </w:tc>
            <w:tc>
              <w:tcPr>
                <w:tcMar>
                  <w:top w:w="0.0" w:type="dxa"/>
                  <w:left w:w="100.0" w:type="dxa"/>
                  <w:bottom w:w="0.0" w:type="dxa"/>
                  <w:right w:w="100.0" w:type="dxa"/>
                </w:tcMar>
                <w:vAlign w:val="center"/>
              </w:tcPr>
              <w:p w:rsidR="00000000" w:rsidDel="00000000" w:rsidP="00000000" w:rsidRDefault="00000000" w:rsidRPr="00000000" w14:paraId="0000010A">
                <w:pPr>
                  <w:jc w:val="center"/>
                  <w:rPr>
                    <w:rFonts w:ascii="Arial" w:cs="Arial" w:eastAsia="Arial" w:hAnsi="Arial"/>
                  </w:rPr>
                </w:pPr>
                <w:r w:rsidDel="00000000" w:rsidR="00000000" w:rsidRPr="00000000">
                  <w:rPr>
                    <w:rFonts w:ascii="Arial" w:cs="Arial" w:eastAsia="Arial" w:hAnsi="Arial"/>
                    <w:rtl w:val="0"/>
                  </w:rPr>
                  <w:t xml:space="preserve">U= 5195.000</w:t>
                </w:r>
              </w:p>
            </w:tc>
          </w:tr>
          <w:tr>
            <w:trPr>
              <w:cantSplit w:val="0"/>
              <w:trHeight w:val="217" w:hRule="atLeast"/>
              <w:tblHeader w:val="1"/>
            </w:trPr>
            <w:tc>
              <w:tcPr>
                <w:tcBorders>
                  <w:bottom w:color="000000" w:space="0" w:sz="8" w:val="single"/>
                </w:tcBorders>
                <w:tcMar>
                  <w:top w:w="0.0" w:type="dxa"/>
                  <w:left w:w="100.0" w:type="dxa"/>
                  <w:bottom w:w="0.0" w:type="dxa"/>
                  <w:right w:w="100.0" w:type="dxa"/>
                </w:tcMar>
              </w:tcPr>
              <w:p w:rsidR="00000000" w:rsidDel="00000000" w:rsidP="00000000" w:rsidRDefault="00000000" w:rsidRPr="00000000" w14:paraId="0000010B">
                <w:pPr>
                  <w:rPr>
                    <w:rFonts w:ascii="Arial" w:cs="Arial" w:eastAsia="Arial" w:hAnsi="Arial"/>
                  </w:rPr>
                </w:pPr>
                <w:r w:rsidDel="00000000" w:rsidR="00000000" w:rsidRPr="00000000">
                  <w:rPr>
                    <w:rFonts w:ascii="Arial" w:cs="Arial" w:eastAsia="Arial" w:hAnsi="Arial"/>
                    <w:rtl w:val="0"/>
                  </w:rPr>
                  <w:t xml:space="preserve"> </w:t>
                  <w:tab/>
                  <w:t xml:space="preserve">Female</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10C">
                <w:pPr>
                  <w:jc w:val="center"/>
                  <w:rPr>
                    <w:rFonts w:ascii="Arial" w:cs="Arial" w:eastAsia="Arial" w:hAnsi="Arial"/>
                  </w:rPr>
                </w:pPr>
                <w:r w:rsidDel="00000000" w:rsidR="00000000" w:rsidRPr="00000000">
                  <w:rPr>
                    <w:rFonts w:ascii="Arial" w:cs="Arial" w:eastAsia="Arial" w:hAnsi="Arial"/>
                    <w:rtl w:val="0"/>
                  </w:rPr>
                  <w:t xml:space="preserve">152.49</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10D">
                <w:pPr>
                  <w:jc w:val="center"/>
                  <w:rPr>
                    <w:rFonts w:ascii="Arial" w:cs="Arial" w:eastAsia="Arial" w:hAnsi="Arial"/>
                  </w:rPr>
                </w:pPr>
                <w:r w:rsidDel="00000000" w:rsidR="00000000" w:rsidRPr="00000000">
                  <w:rPr>
                    <w:rFonts w:ascii="Arial" w:cs="Arial" w:eastAsia="Arial" w:hAnsi="Arial"/>
                    <w:rtl w:val="0"/>
                  </w:rPr>
                  <w:t xml:space="preserve">p = .013*</w:t>
                </w:r>
              </w:p>
            </w:tc>
          </w:tr>
          <w:tr>
            <w:trPr>
              <w:cantSplit w:val="0"/>
              <w:trHeight w:val="217" w:hRule="atLeast"/>
              <w:tblHeader w:val="1"/>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0E">
                <w:pPr>
                  <w:rPr>
                    <w:rFonts w:ascii="Arial" w:cs="Arial" w:eastAsia="Arial" w:hAnsi="Arial"/>
                  </w:rPr>
                </w:pPr>
                <w:r w:rsidDel="00000000" w:rsidR="00000000" w:rsidRPr="00000000">
                  <w:rPr>
                    <w:rFonts w:ascii="Arial" w:cs="Arial" w:eastAsia="Arial" w:hAnsi="Arial"/>
                    <w:rtl w:val="0"/>
                  </w:rPr>
                  <w:t xml:space="preserve">Year Level</w:t>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0F">
                <w:pPr>
                  <w:jc w:val="center"/>
                  <w:rPr>
                    <w:rFonts w:ascii="Arial" w:cs="Arial" w:eastAsia="Arial" w:hAnsi="Arial"/>
                  </w:rPr>
                </w:pPr>
                <w:r w:rsidDel="00000000" w:rsidR="00000000" w:rsidRPr="00000000">
                  <w:rPr>
                    <w:rtl w:val="0"/>
                  </w:rPr>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10">
                <w:pPr>
                  <w:jc w:val="center"/>
                  <w:rPr>
                    <w:rFonts w:ascii="Arial" w:cs="Arial" w:eastAsia="Arial" w:hAnsi="Arial"/>
                  </w:rPr>
                </w:pPr>
                <w:r w:rsidDel="00000000" w:rsidR="00000000" w:rsidRPr="00000000">
                  <w:rPr>
                    <w:rtl w:val="0"/>
                  </w:rPr>
                </w:r>
              </w:p>
            </w:tc>
          </w:tr>
          <w:tr>
            <w:trPr>
              <w:cantSplit w:val="0"/>
              <w:trHeight w:val="217" w:hRule="atLeast"/>
              <w:tblHeader w:val="1"/>
            </w:trPr>
            <w:tc>
              <w:tcPr>
                <w:tcMar>
                  <w:top w:w="0.0" w:type="dxa"/>
                  <w:left w:w="100.0" w:type="dxa"/>
                  <w:bottom w:w="0.0" w:type="dxa"/>
                  <w:right w:w="100.0" w:type="dxa"/>
                </w:tcMar>
              </w:tcPr>
              <w:p w:rsidR="00000000" w:rsidDel="00000000" w:rsidP="00000000" w:rsidRDefault="00000000" w:rsidRPr="00000000" w14:paraId="00000111">
                <w:pPr>
                  <w:rPr>
                    <w:rFonts w:ascii="Arial" w:cs="Arial" w:eastAsia="Arial" w:hAnsi="Arial"/>
                    <w:vertAlign w:val="subscript"/>
                  </w:rPr>
                </w:pPr>
                <w:r w:rsidDel="00000000" w:rsidR="00000000" w:rsidRPr="00000000">
                  <w:rPr>
                    <w:rFonts w:ascii="Arial" w:cs="Arial" w:eastAsia="Arial" w:hAnsi="Arial"/>
                    <w:rtl w:val="0"/>
                  </w:rPr>
                  <w:t xml:space="preserve"> </w:t>
                  <w:tab/>
                  <w:t xml:space="preserve">First Year</w:t>
                </w:r>
                <w:r w:rsidDel="00000000" w:rsidR="00000000" w:rsidRPr="00000000">
                  <w:rPr>
                    <w:rFonts w:ascii="Arial" w:cs="Arial" w:eastAsia="Arial" w:hAnsi="Arial"/>
                    <w:vertAlign w:val="subscript"/>
                    <w:rtl w:val="0"/>
                  </w:rPr>
                  <w:t xml:space="preserve">ab</w:t>
                </w:r>
              </w:p>
            </w:tc>
            <w:tc>
              <w:tcPr>
                <w:tcMar>
                  <w:top w:w="0.0" w:type="dxa"/>
                  <w:left w:w="100.0" w:type="dxa"/>
                  <w:bottom w:w="0.0" w:type="dxa"/>
                  <w:right w:w="100.0" w:type="dxa"/>
                </w:tcMar>
                <w:vAlign w:val="center"/>
              </w:tcPr>
              <w:p w:rsidR="00000000" w:rsidDel="00000000" w:rsidP="00000000" w:rsidRDefault="00000000" w:rsidRPr="00000000" w14:paraId="00000112">
                <w:pPr>
                  <w:jc w:val="center"/>
                  <w:rPr>
                    <w:rFonts w:ascii="Arial" w:cs="Arial" w:eastAsia="Arial" w:hAnsi="Arial"/>
                  </w:rPr>
                </w:pPr>
                <w:r w:rsidDel="00000000" w:rsidR="00000000" w:rsidRPr="00000000">
                  <w:rPr>
                    <w:rFonts w:ascii="Arial" w:cs="Arial" w:eastAsia="Arial" w:hAnsi="Arial"/>
                    <w:rtl w:val="0"/>
                  </w:rPr>
                  <w:t xml:space="preserve">154.06</w:t>
                </w:r>
              </w:p>
            </w:tc>
            <w:tc>
              <w:tcPr>
                <w:vMerge w:val="restart"/>
                <w:tcMar>
                  <w:top w:w="0.0" w:type="dxa"/>
                  <w:left w:w="100.0" w:type="dxa"/>
                  <w:bottom w:w="0.0" w:type="dxa"/>
                  <w:right w:w="100.0" w:type="dxa"/>
                </w:tcMar>
                <w:vAlign w:val="center"/>
              </w:tcPr>
              <w:p w:rsidR="00000000" w:rsidDel="00000000" w:rsidP="00000000" w:rsidRDefault="00000000" w:rsidRPr="00000000" w14:paraId="00000113">
                <w:pPr>
                  <w:jc w:val="center"/>
                  <w:rPr>
                    <w:rFonts w:ascii="Arial" w:cs="Arial" w:eastAsia="Arial" w:hAnsi="Arial"/>
                  </w:rPr>
                </w:pPr>
                <w:r w:rsidDel="00000000" w:rsidR="00000000" w:rsidRPr="00000000">
                  <w:rPr>
                    <w:rFonts w:ascii="Arial" w:cs="Arial" w:eastAsia="Arial" w:hAnsi="Arial"/>
                    <w:rtl w:val="0"/>
                  </w:rPr>
                  <w:t xml:space="preserve">H= 9.757</w:t>
                </w:r>
              </w:p>
              <w:p w:rsidR="00000000" w:rsidDel="00000000" w:rsidP="00000000" w:rsidRDefault="00000000" w:rsidRPr="00000000" w14:paraId="00000114">
                <w:pPr>
                  <w:jc w:val="center"/>
                  <w:rPr>
                    <w:rFonts w:ascii="Arial" w:cs="Arial" w:eastAsia="Arial" w:hAnsi="Arial"/>
                  </w:rPr>
                </w:pPr>
                <w:r w:rsidDel="00000000" w:rsidR="00000000" w:rsidRPr="00000000">
                  <w:rPr>
                    <w:rFonts w:ascii="Arial" w:cs="Arial" w:eastAsia="Arial" w:hAnsi="Arial"/>
                    <w:rtl w:val="0"/>
                  </w:rPr>
                  <w:t xml:space="preserve">p = .021*</w:t>
                </w:r>
              </w:p>
            </w:tc>
          </w:tr>
          <w:tr>
            <w:trPr>
              <w:cantSplit w:val="0"/>
              <w:trHeight w:val="217" w:hRule="atLeast"/>
              <w:tblHeader w:val="1"/>
            </w:trPr>
            <w:tc>
              <w:tcPr>
                <w:tcMar>
                  <w:top w:w="0.0" w:type="dxa"/>
                  <w:left w:w="100.0" w:type="dxa"/>
                  <w:bottom w:w="0.0" w:type="dxa"/>
                  <w:right w:w="100.0" w:type="dxa"/>
                </w:tcMar>
              </w:tcPr>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rtl w:val="0"/>
                  </w:rPr>
                  <w:t xml:space="preserve"> </w:t>
                  <w:tab/>
                  <w:t xml:space="preserve">Second Year</w:t>
                </w:r>
                <w:r w:rsidDel="00000000" w:rsidR="00000000" w:rsidRPr="00000000">
                  <w:rPr>
                    <w:rFonts w:ascii="Arial" w:cs="Arial" w:eastAsia="Arial" w:hAnsi="Arial"/>
                    <w:vertAlign w:val="subscript"/>
                    <w:rtl w:val="0"/>
                  </w:rPr>
                  <w:t xml:space="preserve">a</w:t>
                </w:r>
                <w:r w:rsidDel="00000000" w:rsidR="00000000" w:rsidRPr="00000000">
                  <w:rPr>
                    <w:rtl w:val="0"/>
                  </w:rPr>
                </w:r>
              </w:p>
            </w:tc>
            <w:tc>
              <w:tcPr>
                <w:tcMar>
                  <w:top w:w="0.0" w:type="dxa"/>
                  <w:left w:w="100.0" w:type="dxa"/>
                  <w:bottom w:w="0.0" w:type="dxa"/>
                  <w:right w:w="100.0" w:type="dxa"/>
                </w:tcMar>
                <w:vAlign w:val="center"/>
              </w:tcPr>
              <w:p w:rsidR="00000000" w:rsidDel="00000000" w:rsidP="00000000" w:rsidRDefault="00000000" w:rsidRPr="00000000" w14:paraId="00000116">
                <w:pPr>
                  <w:jc w:val="center"/>
                  <w:rPr>
                    <w:rFonts w:ascii="Arial" w:cs="Arial" w:eastAsia="Arial" w:hAnsi="Arial"/>
                  </w:rPr>
                </w:pPr>
                <w:r w:rsidDel="00000000" w:rsidR="00000000" w:rsidRPr="00000000">
                  <w:rPr>
                    <w:rFonts w:ascii="Arial" w:cs="Arial" w:eastAsia="Arial" w:hAnsi="Arial"/>
                    <w:rtl w:val="0"/>
                  </w:rPr>
                  <w:t xml:space="preserve">165.61</w:t>
                </w:r>
              </w:p>
            </w:tc>
            <w:tc>
              <w:tcPr>
                <w:vMerge w:val="continue"/>
                <w:tcMar>
                  <w:top w:w="0.0" w:type="dxa"/>
                  <w:left w:w="100.0" w:type="dxa"/>
                  <w:bottom w:w="0.0" w:type="dxa"/>
                  <w:right w:w="100.0" w:type="dxa"/>
                </w:tcMar>
                <w:vAlign w:val="center"/>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7" w:hRule="atLeast"/>
              <w:tblHeader w:val="1"/>
            </w:trPr>
            <w:tc>
              <w:tcPr>
                <w:tcMar>
                  <w:top w:w="0.0" w:type="dxa"/>
                  <w:left w:w="100.0" w:type="dxa"/>
                  <w:bottom w:w="0.0" w:type="dxa"/>
                  <w:right w:w="100.0" w:type="dxa"/>
                </w:tcMar>
              </w:tcPr>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rtl w:val="0"/>
                  </w:rPr>
                  <w:t xml:space="preserve"> </w:t>
                  <w:tab/>
                  <w:t xml:space="preserve">Third Year</w:t>
                </w:r>
                <w:r w:rsidDel="00000000" w:rsidR="00000000" w:rsidRPr="00000000">
                  <w:rPr>
                    <w:rFonts w:ascii="Arial" w:cs="Arial" w:eastAsia="Arial" w:hAnsi="Arial"/>
                    <w:vertAlign w:val="subscript"/>
                    <w:rtl w:val="0"/>
                  </w:rPr>
                  <w:t xml:space="preserve">b</w:t>
                </w:r>
                <w:r w:rsidDel="00000000" w:rsidR="00000000" w:rsidRPr="00000000">
                  <w:rPr>
                    <w:rtl w:val="0"/>
                  </w:rPr>
                </w:r>
              </w:p>
            </w:tc>
            <w:tc>
              <w:tcPr>
                <w:tcMar>
                  <w:top w:w="0.0" w:type="dxa"/>
                  <w:left w:w="100.0" w:type="dxa"/>
                  <w:bottom w:w="0.0" w:type="dxa"/>
                  <w:right w:w="100.0" w:type="dxa"/>
                </w:tcMar>
                <w:vAlign w:val="center"/>
              </w:tcPr>
              <w:p w:rsidR="00000000" w:rsidDel="00000000" w:rsidP="00000000" w:rsidRDefault="00000000" w:rsidRPr="00000000" w14:paraId="00000119">
                <w:pPr>
                  <w:jc w:val="center"/>
                  <w:rPr>
                    <w:rFonts w:ascii="Arial" w:cs="Arial" w:eastAsia="Arial" w:hAnsi="Arial"/>
                  </w:rPr>
                </w:pPr>
                <w:r w:rsidDel="00000000" w:rsidR="00000000" w:rsidRPr="00000000">
                  <w:rPr>
                    <w:rFonts w:ascii="Arial" w:cs="Arial" w:eastAsia="Arial" w:hAnsi="Arial"/>
                    <w:rtl w:val="0"/>
                  </w:rPr>
                  <w:t xml:space="preserve">122.83</w:t>
                </w:r>
              </w:p>
            </w:tc>
            <w:tc>
              <w:tcPr>
                <w:vMerge w:val="continue"/>
                <w:tcMar>
                  <w:top w:w="0.0" w:type="dxa"/>
                  <w:left w:w="100.0" w:type="dxa"/>
                  <w:bottom w:w="0.0" w:type="dxa"/>
                  <w:right w:w="100.0" w:type="dxa"/>
                </w:tcM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rHeight w:val="217" w:hRule="atLeast"/>
              <w:tblHeader w:val="1"/>
            </w:trPr>
            <w:tc>
              <w:tcPr>
                <w:tcBorders>
                  <w:bottom w:color="000000" w:space="0" w:sz="8" w:val="single"/>
                </w:tcBorders>
                <w:tcMar>
                  <w:top w:w="0.0" w:type="dxa"/>
                  <w:left w:w="100.0" w:type="dxa"/>
                  <w:bottom w:w="0.0" w:type="dxa"/>
                  <w:right w:w="100.0" w:type="dxa"/>
                </w:tcMar>
              </w:tcPr>
              <w:p w:rsidR="00000000" w:rsidDel="00000000" w:rsidP="00000000" w:rsidRDefault="00000000" w:rsidRPr="00000000" w14:paraId="0000011B">
                <w:pPr>
                  <w:rPr>
                    <w:rFonts w:ascii="Arial" w:cs="Arial" w:eastAsia="Arial" w:hAnsi="Arial"/>
                  </w:rPr>
                </w:pPr>
                <w:r w:rsidDel="00000000" w:rsidR="00000000" w:rsidRPr="00000000">
                  <w:rPr>
                    <w:rFonts w:ascii="Arial" w:cs="Arial" w:eastAsia="Arial" w:hAnsi="Arial"/>
                    <w:rtl w:val="0"/>
                  </w:rPr>
                  <w:t xml:space="preserve"> </w:t>
                  <w:tab/>
                  <w:t xml:space="preserve">Fourth Year</w:t>
                </w:r>
                <w:r w:rsidDel="00000000" w:rsidR="00000000" w:rsidRPr="00000000">
                  <w:rPr>
                    <w:rFonts w:ascii="Arial" w:cs="Arial" w:eastAsia="Arial" w:hAnsi="Arial"/>
                    <w:vertAlign w:val="subscript"/>
                    <w:rtl w:val="0"/>
                  </w:rPr>
                  <w:t xml:space="preserve">ab</w:t>
                </w:r>
                <w:r w:rsidDel="00000000" w:rsidR="00000000" w:rsidRPr="00000000">
                  <w:rPr>
                    <w:rtl w:val="0"/>
                  </w:rPr>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11C">
                <w:pPr>
                  <w:jc w:val="center"/>
                  <w:rPr>
                    <w:rFonts w:ascii="Arial" w:cs="Arial" w:eastAsia="Arial" w:hAnsi="Arial"/>
                  </w:rPr>
                </w:pPr>
                <w:r w:rsidDel="00000000" w:rsidR="00000000" w:rsidRPr="00000000">
                  <w:rPr>
                    <w:rFonts w:ascii="Arial" w:cs="Arial" w:eastAsia="Arial" w:hAnsi="Arial"/>
                    <w:rtl w:val="0"/>
                  </w:rPr>
                  <w:t xml:space="preserve">139.12</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11D">
                <w:pPr>
                  <w:jc w:val="center"/>
                  <w:rPr>
                    <w:rFonts w:ascii="Arial" w:cs="Arial" w:eastAsia="Arial" w:hAnsi="Arial"/>
                  </w:rPr>
                </w:pPr>
                <w:r w:rsidDel="00000000" w:rsidR="00000000" w:rsidRPr="00000000">
                  <w:rPr>
                    <w:rtl w:val="0"/>
                  </w:rPr>
                </w:r>
              </w:p>
            </w:tc>
          </w:tr>
          <w:tr>
            <w:trPr>
              <w:cantSplit w:val="0"/>
              <w:trHeight w:val="217" w:hRule="atLeast"/>
              <w:tblHeader w:val="1"/>
            </w:trPr>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Number of hours of daily smartphone use </w:t>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1F">
                <w:pPr>
                  <w:jc w:val="center"/>
                  <w:rPr>
                    <w:rFonts w:ascii="Arial" w:cs="Arial" w:eastAsia="Arial" w:hAnsi="Arial"/>
                  </w:rPr>
                </w:pPr>
                <w:r w:rsidDel="00000000" w:rsidR="00000000" w:rsidRPr="00000000">
                  <w:rPr>
                    <w:rtl w:val="0"/>
                  </w:rPr>
                </w:r>
              </w:p>
            </w:tc>
            <w:tc>
              <w:tcPr>
                <w:tcBorders>
                  <w:top w:color="000000" w:space="0" w:sz="8" w:val="single"/>
                </w:tcBorders>
                <w:tcMar>
                  <w:top w:w="0.0" w:type="dxa"/>
                  <w:left w:w="100.0" w:type="dxa"/>
                  <w:bottom w:w="0.0" w:type="dxa"/>
                  <w:right w:w="100.0" w:type="dxa"/>
                </w:tcMar>
              </w:tcPr>
              <w:p w:rsidR="00000000" w:rsidDel="00000000" w:rsidP="00000000" w:rsidRDefault="00000000" w:rsidRPr="00000000" w14:paraId="00000120">
                <w:pPr>
                  <w:jc w:val="center"/>
                  <w:rPr>
                    <w:rFonts w:ascii="Arial" w:cs="Arial" w:eastAsia="Arial" w:hAnsi="Arial"/>
                  </w:rPr>
                </w:pPr>
                <w:r w:rsidDel="00000000" w:rsidR="00000000" w:rsidRPr="00000000">
                  <w:rPr>
                    <w:rtl w:val="0"/>
                  </w:rPr>
                </w:r>
              </w:p>
            </w:tc>
          </w:tr>
          <w:tr>
            <w:trPr>
              <w:cantSplit w:val="0"/>
              <w:trHeight w:val="217" w:hRule="atLeast"/>
              <w:tblHeader w:val="1"/>
            </w:trPr>
            <w:tc>
              <w:tcPr>
                <w:tcMar>
                  <w:top w:w="0.0" w:type="dxa"/>
                  <w:left w:w="100.0" w:type="dxa"/>
                  <w:bottom w:w="0.0" w:type="dxa"/>
                  <w:right w:w="100.0" w:type="dxa"/>
                </w:tcMar>
              </w:tcPr>
              <w:p w:rsidR="00000000" w:rsidDel="00000000" w:rsidP="00000000" w:rsidRDefault="00000000" w:rsidRPr="00000000" w14:paraId="00000121">
                <w:pPr>
                  <w:ind w:left="710" w:firstLine="0"/>
                  <w:rPr>
                    <w:rFonts w:ascii="Arial" w:cs="Arial" w:eastAsia="Arial" w:hAnsi="Arial"/>
                  </w:rPr>
                </w:pPr>
                <w:r w:rsidDel="00000000" w:rsidR="00000000" w:rsidRPr="00000000">
                  <w:rPr>
                    <w:rFonts w:ascii="Arial" w:cs="Arial" w:eastAsia="Arial" w:hAnsi="Arial"/>
                    <w:rtl w:val="0"/>
                  </w:rPr>
                  <w:t xml:space="preserve">&lt; 5 hours</w:t>
                </w:r>
                <w:r w:rsidDel="00000000" w:rsidR="00000000" w:rsidRPr="00000000">
                  <w:rPr>
                    <w:rFonts w:ascii="Arial" w:cs="Arial" w:eastAsia="Arial" w:hAnsi="Arial"/>
                    <w:vertAlign w:val="subscript"/>
                    <w:rtl w:val="0"/>
                  </w:rPr>
                  <w:t xml:space="preserve">a</w:t>
                </w:r>
                <w:r w:rsidDel="00000000" w:rsidR="00000000" w:rsidRPr="00000000">
                  <w:rPr>
                    <w:rtl w:val="0"/>
                  </w:rPr>
                </w:r>
              </w:p>
            </w:tc>
            <w:tc>
              <w:tcPr>
                <w:tcMar>
                  <w:top w:w="0.0" w:type="dxa"/>
                  <w:left w:w="100.0" w:type="dxa"/>
                  <w:bottom w:w="0.0" w:type="dxa"/>
                  <w:right w:w="100.0" w:type="dxa"/>
                </w:tcMar>
                <w:vAlign w:val="center"/>
              </w:tcPr>
              <w:p w:rsidR="00000000" w:rsidDel="00000000" w:rsidP="00000000" w:rsidRDefault="00000000" w:rsidRPr="00000000" w14:paraId="00000122">
                <w:pPr>
                  <w:jc w:val="center"/>
                  <w:rPr>
                    <w:rFonts w:ascii="Arial" w:cs="Arial" w:eastAsia="Arial" w:hAnsi="Arial"/>
                  </w:rPr>
                </w:pPr>
                <w:r w:rsidDel="00000000" w:rsidR="00000000" w:rsidRPr="00000000">
                  <w:rPr>
                    <w:rFonts w:ascii="Arial" w:cs="Arial" w:eastAsia="Arial" w:hAnsi="Arial"/>
                    <w:rtl w:val="0"/>
                  </w:rPr>
                  <w:t xml:space="preserve">129.88</w:t>
                </w:r>
              </w:p>
            </w:tc>
            <w:tc>
              <w:tcPr>
                <w:tcMar>
                  <w:top w:w="0.0" w:type="dxa"/>
                  <w:left w:w="100.0" w:type="dxa"/>
                  <w:bottom w:w="0.0" w:type="dxa"/>
                  <w:right w:w="100.0" w:type="dxa"/>
                </w:tcMar>
                <w:vAlign w:val="center"/>
              </w:tcPr>
              <w:p w:rsidR="00000000" w:rsidDel="00000000" w:rsidP="00000000" w:rsidRDefault="00000000" w:rsidRPr="00000000" w14:paraId="00000123">
                <w:pPr>
                  <w:jc w:val="center"/>
                  <w:rPr>
                    <w:rFonts w:ascii="Arial" w:cs="Arial" w:eastAsia="Arial" w:hAnsi="Arial"/>
                  </w:rPr>
                </w:pPr>
                <w:r w:rsidDel="00000000" w:rsidR="00000000" w:rsidRPr="00000000">
                  <w:rPr>
                    <w:rFonts w:ascii="Arial" w:cs="Arial" w:eastAsia="Arial" w:hAnsi="Arial"/>
                    <w:rtl w:val="0"/>
                  </w:rPr>
                  <w:t xml:space="preserve">H= 7.124</w:t>
                </w:r>
              </w:p>
            </w:tc>
          </w:tr>
          <w:tr>
            <w:trPr>
              <w:cantSplit w:val="0"/>
              <w:trHeight w:val="217" w:hRule="atLeast"/>
              <w:tblHeader w:val="1"/>
            </w:trPr>
            <w:tc>
              <w:tcPr>
                <w:tcMar>
                  <w:top w:w="0.0" w:type="dxa"/>
                  <w:left w:w="100.0" w:type="dxa"/>
                  <w:bottom w:w="0.0" w:type="dxa"/>
                  <w:right w:w="100.0" w:type="dxa"/>
                </w:tcMar>
              </w:tcPr>
              <w:p w:rsidR="00000000" w:rsidDel="00000000" w:rsidP="00000000" w:rsidRDefault="00000000" w:rsidRPr="00000000" w14:paraId="00000124">
                <w:pPr>
                  <w:ind w:left="710" w:firstLine="0"/>
                  <w:rPr>
                    <w:rFonts w:ascii="Arial" w:cs="Arial" w:eastAsia="Arial" w:hAnsi="Arial"/>
                  </w:rPr>
                </w:pPr>
                <w:r w:rsidDel="00000000" w:rsidR="00000000" w:rsidRPr="00000000">
                  <w:rPr>
                    <w:rFonts w:ascii="Arial" w:cs="Arial" w:eastAsia="Arial" w:hAnsi="Arial"/>
                    <w:rtl w:val="0"/>
                  </w:rPr>
                  <w:t xml:space="preserve">5 – 10 hours</w:t>
                </w:r>
                <w:r w:rsidDel="00000000" w:rsidR="00000000" w:rsidRPr="00000000">
                  <w:rPr>
                    <w:rFonts w:ascii="Arial" w:cs="Arial" w:eastAsia="Arial" w:hAnsi="Arial"/>
                    <w:vertAlign w:val="subscript"/>
                    <w:rtl w:val="0"/>
                  </w:rPr>
                  <w:t xml:space="preserve">ab</w:t>
                </w:r>
                <w:r w:rsidDel="00000000" w:rsidR="00000000" w:rsidRPr="00000000">
                  <w:rPr>
                    <w:rtl w:val="0"/>
                  </w:rPr>
                </w:r>
              </w:p>
            </w:tc>
            <w:tc>
              <w:tcPr>
                <w:tcMar>
                  <w:top w:w="0.0" w:type="dxa"/>
                  <w:left w:w="100.0" w:type="dxa"/>
                  <w:bottom w:w="0.0" w:type="dxa"/>
                  <w:right w:w="100.0" w:type="dxa"/>
                </w:tcMar>
                <w:vAlign w:val="center"/>
              </w:tcPr>
              <w:p w:rsidR="00000000" w:rsidDel="00000000" w:rsidP="00000000" w:rsidRDefault="00000000" w:rsidRPr="00000000" w14:paraId="00000125">
                <w:pPr>
                  <w:jc w:val="center"/>
                  <w:rPr>
                    <w:rFonts w:ascii="Arial" w:cs="Arial" w:eastAsia="Arial" w:hAnsi="Arial"/>
                  </w:rPr>
                </w:pPr>
                <w:r w:rsidDel="00000000" w:rsidR="00000000" w:rsidRPr="00000000">
                  <w:rPr>
                    <w:rFonts w:ascii="Arial" w:cs="Arial" w:eastAsia="Arial" w:hAnsi="Arial"/>
                    <w:rtl w:val="0"/>
                  </w:rPr>
                  <w:t xml:space="preserve">146.25</w:t>
                </w:r>
              </w:p>
            </w:tc>
            <w:tc>
              <w:tcPr>
                <w:tcMar>
                  <w:top w:w="0.0" w:type="dxa"/>
                  <w:left w:w="100.0" w:type="dxa"/>
                  <w:bottom w:w="0.0" w:type="dxa"/>
                  <w:right w:w="100.0" w:type="dxa"/>
                </w:tcMar>
                <w:vAlign w:val="center"/>
              </w:tcPr>
              <w:p w:rsidR="00000000" w:rsidDel="00000000" w:rsidP="00000000" w:rsidRDefault="00000000" w:rsidRPr="00000000" w14:paraId="00000126">
                <w:pPr>
                  <w:jc w:val="center"/>
                  <w:rPr>
                    <w:rFonts w:ascii="Arial" w:cs="Arial" w:eastAsia="Arial" w:hAnsi="Arial"/>
                  </w:rPr>
                </w:pPr>
                <w:r w:rsidDel="00000000" w:rsidR="00000000" w:rsidRPr="00000000">
                  <w:rPr>
                    <w:rFonts w:ascii="Arial" w:cs="Arial" w:eastAsia="Arial" w:hAnsi="Arial"/>
                    <w:rtl w:val="0"/>
                  </w:rPr>
                  <w:t xml:space="preserve">p = .028*</w:t>
                </w:r>
              </w:p>
            </w:tc>
          </w:tr>
          <w:tr>
            <w:trPr>
              <w:cantSplit w:val="0"/>
              <w:trHeight w:val="217" w:hRule="atLeast"/>
              <w:tblHeader w:val="1"/>
            </w:trPr>
            <w:tc>
              <w:tcPr>
                <w:tcBorders>
                  <w:bottom w:color="000000" w:space="0" w:sz="4" w:val="single"/>
                </w:tcBorders>
                <w:tcMar>
                  <w:top w:w="0.0" w:type="dxa"/>
                  <w:left w:w="100.0" w:type="dxa"/>
                  <w:bottom w:w="0.0" w:type="dxa"/>
                  <w:right w:w="100.0" w:type="dxa"/>
                </w:tcMar>
              </w:tcPr>
              <w:p w:rsidR="00000000" w:rsidDel="00000000" w:rsidP="00000000" w:rsidRDefault="00000000" w:rsidRPr="00000000" w14:paraId="00000127">
                <w:pPr>
                  <w:ind w:left="710" w:firstLine="0"/>
                  <w:rPr>
                    <w:rFonts w:ascii="Arial" w:cs="Arial" w:eastAsia="Arial" w:hAnsi="Arial"/>
                  </w:rPr>
                </w:pPr>
                <w:r w:rsidDel="00000000" w:rsidR="00000000" w:rsidRPr="00000000">
                  <w:rPr>
                    <w:rFonts w:ascii="Arial" w:cs="Arial" w:eastAsia="Arial" w:hAnsi="Arial"/>
                    <w:rtl w:val="0"/>
                  </w:rPr>
                  <w:t xml:space="preserve">&gt; 10 hours</w:t>
                </w:r>
                <w:r w:rsidDel="00000000" w:rsidR="00000000" w:rsidRPr="00000000">
                  <w:rPr>
                    <w:rFonts w:ascii="Arial" w:cs="Arial" w:eastAsia="Arial" w:hAnsi="Arial"/>
                    <w:vertAlign w:val="subscript"/>
                    <w:rtl w:val="0"/>
                  </w:rPr>
                  <w:t xml:space="preserve">b</w:t>
                </w:r>
                <w:r w:rsidDel="00000000" w:rsidR="00000000" w:rsidRPr="00000000">
                  <w:rPr>
                    <w:rtl w:val="0"/>
                  </w:rPr>
                </w:r>
              </w:p>
            </w:tc>
            <w:tc>
              <w:tcPr>
                <w:tcBorders>
                  <w:bottom w:color="000000" w:space="0" w:sz="4" w:val="single"/>
                </w:tcBorders>
                <w:tcMar>
                  <w:top w:w="0.0" w:type="dxa"/>
                  <w:left w:w="100.0" w:type="dxa"/>
                  <w:bottom w:w="0.0" w:type="dxa"/>
                  <w:right w:w="100.0" w:type="dxa"/>
                </w:tcMar>
                <w:vAlign w:val="center"/>
              </w:tcPr>
              <w:p w:rsidR="00000000" w:rsidDel="00000000" w:rsidP="00000000" w:rsidRDefault="00000000" w:rsidRPr="00000000" w14:paraId="00000128">
                <w:pPr>
                  <w:jc w:val="center"/>
                  <w:rPr>
                    <w:rFonts w:ascii="Arial" w:cs="Arial" w:eastAsia="Arial" w:hAnsi="Arial"/>
                  </w:rPr>
                </w:pPr>
                <w:r w:rsidDel="00000000" w:rsidR="00000000" w:rsidRPr="00000000">
                  <w:rPr>
                    <w:rFonts w:ascii="Arial" w:cs="Arial" w:eastAsia="Arial" w:hAnsi="Arial"/>
                    <w:rtl w:val="0"/>
                  </w:rPr>
                  <w:t xml:space="preserve">168.39</w:t>
                </w:r>
              </w:p>
            </w:tc>
            <w:tc>
              <w:tcPr>
                <w:tcBorders>
                  <w:bottom w:color="000000" w:space="0" w:sz="4" w:val="single"/>
                </w:tcBorders>
                <w:tcMar>
                  <w:top w:w="0.0" w:type="dxa"/>
                  <w:left w:w="100.0" w:type="dxa"/>
                  <w:bottom w:w="0.0" w:type="dxa"/>
                  <w:right w:w="100.0" w:type="dxa"/>
                </w:tcMar>
                <w:vAlign w:val="center"/>
              </w:tcPr>
              <w:p w:rsidR="00000000" w:rsidDel="00000000" w:rsidP="00000000" w:rsidRDefault="00000000" w:rsidRPr="00000000" w14:paraId="00000129">
                <w:pPr>
                  <w:jc w:val="center"/>
                  <w:rPr>
                    <w:rFonts w:ascii="Arial" w:cs="Arial" w:eastAsia="Arial" w:hAnsi="Arial"/>
                  </w:rPr>
                </w:pPr>
                <w:r w:rsidDel="00000000" w:rsidR="00000000" w:rsidRPr="00000000">
                  <w:rPr>
                    <w:rtl w:val="0"/>
                  </w:rPr>
                </w:r>
              </w:p>
            </w:tc>
          </w:tr>
          <w:tr>
            <w:trPr>
              <w:cantSplit w:val="0"/>
              <w:trHeight w:val="217" w:hRule="atLeast"/>
              <w:tblHeader w:val="1"/>
            </w:trPr>
            <w:tc>
              <w:tcPr>
                <w:tcBorders>
                  <w:top w:color="000000" w:space="0" w:sz="4" w:val="single"/>
                </w:tcBorders>
                <w:tcMar>
                  <w:top w:w="0.0" w:type="dxa"/>
                  <w:left w:w="100.0" w:type="dxa"/>
                  <w:bottom w:w="0.0" w:type="dxa"/>
                  <w:right w:w="100.0" w:type="dxa"/>
                </w:tcMar>
              </w:tcPr>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Main reason for smartphone use </w:t>
                </w:r>
              </w:p>
            </w:tc>
            <w:tc>
              <w:tcPr>
                <w:tcBorders>
                  <w:top w:color="000000" w:space="0" w:sz="4" w:val="single"/>
                </w:tcBorders>
                <w:tcMar>
                  <w:top w:w="0.0" w:type="dxa"/>
                  <w:left w:w="100.0" w:type="dxa"/>
                  <w:bottom w:w="0.0" w:type="dxa"/>
                  <w:right w:w="100.0" w:type="dxa"/>
                </w:tcMar>
              </w:tcPr>
              <w:p w:rsidR="00000000" w:rsidDel="00000000" w:rsidP="00000000" w:rsidRDefault="00000000" w:rsidRPr="00000000" w14:paraId="0000012B">
                <w:pPr>
                  <w:jc w:val="center"/>
                  <w:rPr>
                    <w:rFonts w:ascii="Arial" w:cs="Arial" w:eastAsia="Arial" w:hAnsi="Arial"/>
                  </w:rPr>
                </w:pPr>
                <w:r w:rsidDel="00000000" w:rsidR="00000000" w:rsidRPr="00000000">
                  <w:rPr>
                    <w:rtl w:val="0"/>
                  </w:rPr>
                </w:r>
              </w:p>
            </w:tc>
            <w:tc>
              <w:tcPr>
                <w:tcBorders>
                  <w:top w:color="000000" w:space="0" w:sz="4" w:val="single"/>
                </w:tcBorders>
                <w:tcMar>
                  <w:top w:w="0.0" w:type="dxa"/>
                  <w:left w:w="100.0" w:type="dxa"/>
                  <w:bottom w:w="0.0" w:type="dxa"/>
                  <w:right w:w="100.0" w:type="dxa"/>
                </w:tcMar>
              </w:tcPr>
              <w:p w:rsidR="00000000" w:rsidDel="00000000" w:rsidP="00000000" w:rsidRDefault="00000000" w:rsidRPr="00000000" w14:paraId="0000012C">
                <w:pPr>
                  <w:jc w:val="center"/>
                  <w:rPr>
                    <w:rFonts w:ascii="Arial" w:cs="Arial" w:eastAsia="Arial" w:hAnsi="Arial"/>
                  </w:rPr>
                </w:pPr>
                <w:r w:rsidDel="00000000" w:rsidR="00000000" w:rsidRPr="00000000">
                  <w:rPr>
                    <w:rtl w:val="0"/>
                  </w:rPr>
                </w:r>
              </w:p>
            </w:tc>
          </w:tr>
          <w:tr>
            <w:trPr>
              <w:cantSplit w:val="0"/>
              <w:trHeight w:val="217" w:hRule="atLeast"/>
              <w:tblHeader w:val="1"/>
            </w:trPr>
            <w:tc>
              <w:tcPr>
                <w:tcMar>
                  <w:top w:w="0.0" w:type="dxa"/>
                  <w:left w:w="100.0" w:type="dxa"/>
                  <w:bottom w:w="0.0" w:type="dxa"/>
                  <w:right w:w="100.0" w:type="dxa"/>
                </w:tcMar>
              </w:tcPr>
              <w:p w:rsidR="00000000" w:rsidDel="00000000" w:rsidP="00000000" w:rsidRDefault="00000000" w:rsidRPr="00000000" w14:paraId="0000012D">
                <w:pPr>
                  <w:ind w:left="710" w:firstLine="0"/>
                  <w:rPr>
                    <w:rFonts w:ascii="Arial" w:cs="Arial" w:eastAsia="Arial" w:hAnsi="Arial"/>
                  </w:rPr>
                </w:pPr>
                <w:r w:rsidDel="00000000" w:rsidR="00000000" w:rsidRPr="00000000">
                  <w:rPr>
                    <w:rFonts w:ascii="Arial" w:cs="Arial" w:eastAsia="Arial" w:hAnsi="Arial"/>
                    <w:rtl w:val="0"/>
                  </w:rPr>
                  <w:t xml:space="preserve">Academic</w:t>
                </w:r>
              </w:p>
            </w:tc>
            <w:tc>
              <w:tcPr>
                <w:tcMar>
                  <w:top w:w="0.0" w:type="dxa"/>
                  <w:left w:w="100.0" w:type="dxa"/>
                  <w:bottom w:w="0.0" w:type="dxa"/>
                  <w:right w:w="100.0" w:type="dxa"/>
                </w:tcMar>
                <w:vAlign w:val="center"/>
              </w:tcPr>
              <w:p w:rsidR="00000000" w:rsidDel="00000000" w:rsidP="00000000" w:rsidRDefault="00000000" w:rsidRPr="00000000" w14:paraId="0000012E">
                <w:pPr>
                  <w:jc w:val="center"/>
                  <w:rPr>
                    <w:rFonts w:ascii="Arial" w:cs="Arial" w:eastAsia="Arial" w:hAnsi="Arial"/>
                  </w:rPr>
                </w:pPr>
                <w:r w:rsidDel="00000000" w:rsidR="00000000" w:rsidRPr="00000000">
                  <w:rPr>
                    <w:rFonts w:ascii="Arial" w:cs="Arial" w:eastAsia="Arial" w:hAnsi="Arial"/>
                    <w:rtl w:val="0"/>
                  </w:rPr>
                  <w:t xml:space="preserve">144.02</w:t>
                </w:r>
              </w:p>
            </w:tc>
            <w:tc>
              <w:tcPr>
                <w:tcMar>
                  <w:top w:w="0.0" w:type="dxa"/>
                  <w:left w:w="100.0" w:type="dxa"/>
                  <w:bottom w:w="0.0" w:type="dxa"/>
                  <w:right w:w="100.0" w:type="dxa"/>
                </w:tcMar>
                <w:vAlign w:val="center"/>
              </w:tcPr>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rtl w:val="0"/>
                  </w:rPr>
                  <w:t xml:space="preserve">U= 10296.000</w:t>
                </w:r>
              </w:p>
            </w:tc>
          </w:tr>
          <w:tr>
            <w:trPr>
              <w:cantSplit w:val="0"/>
              <w:trHeight w:val="217" w:hRule="atLeast"/>
              <w:tblHeader w:val="1"/>
            </w:trPr>
            <w:tc>
              <w:tcPr>
                <w:tcBorders>
                  <w:bottom w:color="000000" w:space="0" w:sz="8" w:val="single"/>
                </w:tcBorders>
                <w:tcMar>
                  <w:top w:w="0.0" w:type="dxa"/>
                  <w:left w:w="100.0" w:type="dxa"/>
                  <w:bottom w:w="0.0" w:type="dxa"/>
                  <w:right w:w="100.0" w:type="dxa"/>
                </w:tcMar>
              </w:tcPr>
              <w:p w:rsidR="00000000" w:rsidDel="00000000" w:rsidP="00000000" w:rsidRDefault="00000000" w:rsidRPr="00000000" w14:paraId="00000130">
                <w:pPr>
                  <w:ind w:left="710" w:firstLine="0"/>
                  <w:rPr>
                    <w:rFonts w:ascii="Arial" w:cs="Arial" w:eastAsia="Arial" w:hAnsi="Arial"/>
                  </w:rPr>
                </w:pPr>
                <w:r w:rsidDel="00000000" w:rsidR="00000000" w:rsidRPr="00000000">
                  <w:rPr>
                    <w:rFonts w:ascii="Arial" w:cs="Arial" w:eastAsia="Arial" w:hAnsi="Arial"/>
                    <w:rtl w:val="0"/>
                  </w:rPr>
                  <w:t xml:space="preserve">Non-academic</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131">
                <w:pPr>
                  <w:jc w:val="center"/>
                  <w:rPr>
                    <w:rFonts w:ascii="Arial" w:cs="Arial" w:eastAsia="Arial" w:hAnsi="Arial"/>
                  </w:rPr>
                </w:pPr>
                <w:r w:rsidDel="00000000" w:rsidR="00000000" w:rsidRPr="00000000">
                  <w:rPr>
                    <w:rFonts w:ascii="Arial" w:cs="Arial" w:eastAsia="Arial" w:hAnsi="Arial"/>
                    <w:rtl w:val="0"/>
                  </w:rPr>
                  <w:t xml:space="preserve">148.81</w:t>
                </w:r>
              </w:p>
            </w:tc>
            <w:tc>
              <w:tcPr>
                <w:tcBorders>
                  <w:bottom w:color="000000" w:space="0" w:sz="8" w:val="single"/>
                </w:tcBorders>
                <w:tcMar>
                  <w:top w:w="0.0" w:type="dxa"/>
                  <w:left w:w="100.0" w:type="dxa"/>
                  <w:bottom w:w="0.0" w:type="dxa"/>
                  <w:right w:w="100.0" w:type="dxa"/>
                </w:tcMar>
                <w:vAlign w:val="center"/>
              </w:tcPr>
              <w:p w:rsidR="00000000" w:rsidDel="00000000" w:rsidP="00000000" w:rsidRDefault="00000000" w:rsidRPr="00000000" w14:paraId="00000132">
                <w:pPr>
                  <w:jc w:val="center"/>
                  <w:rPr>
                    <w:rFonts w:ascii="Arial" w:cs="Arial" w:eastAsia="Arial" w:hAnsi="Arial"/>
                  </w:rPr>
                </w:pPr>
                <w:r w:rsidDel="00000000" w:rsidR="00000000" w:rsidRPr="00000000">
                  <w:rPr>
                    <w:rFonts w:ascii="Arial" w:cs="Arial" w:eastAsia="Arial" w:hAnsi="Arial"/>
                    <w:rtl w:val="0"/>
                  </w:rPr>
                  <w:t xml:space="preserve">p = .628</w:t>
                </w:r>
              </w:p>
            </w:tc>
          </w:tr>
          <w:tr>
            <w:trPr>
              <w:cantSplit w:val="0"/>
              <w:trHeight w:val="217" w:hRule="atLeast"/>
              <w:tblHeader w:val="1"/>
            </w:trPr>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133">
                <w:pPr>
                  <w:rPr>
                    <w:rFonts w:ascii="Arial" w:cs="Arial" w:eastAsia="Arial" w:hAnsi="Arial"/>
                    <w:b w:val="1"/>
                    <w:bCs w:val="1"/>
                  </w:rPr>
                </w:pPr>
                <w:r w:rsidDel="00000000" w:rsidR="00000000" w:rsidRPr="00000000">
                  <w:rPr>
                    <w:rFonts w:ascii="Arial" w:cs="Arial" w:eastAsia="Arial" w:hAnsi="Arial"/>
                    <w:b w:val="1"/>
                    <w:bCs w:val="1"/>
                    <w:rtl w:val="0"/>
                  </w:rPr>
                  <w:t xml:space="preserve">Total</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134">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292</w:t>
                </w:r>
              </w:p>
            </w:tc>
            <w:tc>
              <w:tcPr>
                <w:tcBorders>
                  <w:top w:color="000000" w:space="0" w:sz="8" w:val="single"/>
                  <w:bottom w:color="000000" w:space="0" w:sz="8" w:val="single"/>
                </w:tcBorders>
                <w:tcMar>
                  <w:top w:w="0.0" w:type="dxa"/>
                  <w:left w:w="100.0" w:type="dxa"/>
                  <w:bottom w:w="0.0" w:type="dxa"/>
                  <w:right w:w="100.0" w:type="dxa"/>
                </w:tcMar>
              </w:tcPr>
              <w:p w:rsidR="00000000" w:rsidDel="00000000" w:rsidP="00000000" w:rsidRDefault="00000000" w:rsidRPr="00000000" w14:paraId="00000135">
                <w:pPr>
                  <w:jc w:val="center"/>
                  <w:rPr>
                    <w:rFonts w:ascii="Arial" w:cs="Arial" w:eastAsia="Arial" w:hAnsi="Arial"/>
                    <w:b w:val="1"/>
                    <w:bCs w:val="1"/>
                  </w:rPr>
                </w:pPr>
                <w:r w:rsidDel="00000000" w:rsidR="00000000" w:rsidRPr="00000000">
                  <w:rPr>
                    <w:rFonts w:ascii="Arial" w:cs="Arial" w:eastAsia="Arial" w:hAnsi="Arial"/>
                    <w:b w:val="1"/>
                    <w:bCs w:val="1"/>
                    <w:rtl w:val="0"/>
                  </w:rPr>
                  <w:t xml:space="preserve">100</w:t>
                </w:r>
              </w:p>
            </w:tc>
          </w:tr>
        </w:tbl>
      </w:sdtContent>
    </w:sdt>
    <w:p w:rsidR="00000000" w:rsidDel="00000000" w:rsidP="00000000" w:rsidRDefault="00000000" w:rsidRPr="00000000" w14:paraId="00000136">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tl w:val="0"/>
        </w:rPr>
      </w:r>
    </w:p>
    <w:p w:rsidR="00000000" w:rsidDel="00000000" w:rsidP="00000000" w:rsidRDefault="00000000" w:rsidRPr="00000000" w14:paraId="0000013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A">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B">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C">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D">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E">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3F">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0">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1">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2">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3">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4">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5">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6">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7">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4A">
      <w:pPr>
        <w:spacing w:after="240" w:before="240" w:lineRule="auto"/>
        <w:jc w:val="both"/>
        <w:rPr>
          <w:rFonts w:ascii=",serif" w:cs=",serif" w:eastAsia=",serif" w:hAnsi=",serif"/>
        </w:rPr>
      </w:pPr>
      <w:r w:rsidDel="00000000" w:rsidR="00000000" w:rsidRPr="00000000">
        <w:rPr>
          <w:rFonts w:ascii=",serif" w:cs=",serif" w:eastAsia=",serif" w:hAnsi=",serif"/>
          <w:rtl w:val="0"/>
        </w:rPr>
        <w:t xml:space="preserve">The study’s results supported the Behavioral Addiction Theory, as students favored smartphones over academic tasks, portraying the concepts of withdrawal and salience. Another theory was used is Social Role Theory which explained the relationship between nomophobia levels and sex.</w:t>
      </w:r>
    </w:p>
    <w:p w:rsidR="00000000" w:rsidDel="00000000" w:rsidP="00000000" w:rsidRDefault="00000000" w:rsidRPr="00000000" w14:paraId="0000014B">
      <w:pPr>
        <w:spacing w:after="240" w:before="240" w:lineRule="auto"/>
        <w:jc w:val="both"/>
        <w:rPr>
          <w:rFonts w:ascii=",serif" w:cs=",serif" w:eastAsia=",serif" w:hAnsi=",serif"/>
        </w:rPr>
      </w:pPr>
      <w:r w:rsidDel="00000000" w:rsidR="00000000" w:rsidRPr="00000000">
        <w:rPr>
          <w:rFonts w:ascii="Arial" w:cs="Arial" w:eastAsia="Arial" w:hAnsi="Arial"/>
          <w:b w:val="1"/>
          <w:bCs w:val="1"/>
          <w:smallCaps w:val="1"/>
          <w:sz w:val="22"/>
          <w:szCs w:val="22"/>
          <w:rtl w:val="0"/>
        </w:rPr>
        <w:t xml:space="preserve">4. CONCLUSIONS</w:t>
      </w:r>
      <w:r w:rsidDel="00000000" w:rsidR="00000000" w:rsidRPr="00000000">
        <w:rPr>
          <w:rtl w:val="0"/>
        </w:rPr>
      </w:r>
    </w:p>
    <w:p w:rsidR="00000000" w:rsidDel="00000000" w:rsidP="00000000" w:rsidRDefault="00000000" w:rsidRPr="00000000" w14:paraId="0000014C">
      <w:pPr>
        <w:jc w:val="both"/>
        <w:rPr>
          <w:rFonts w:ascii=",serif" w:cs=",serif" w:eastAsia=",serif" w:hAnsi=",serif"/>
        </w:rPr>
      </w:pPr>
      <w:r w:rsidDel="00000000" w:rsidR="00000000" w:rsidRPr="00000000">
        <w:rPr>
          <w:rFonts w:ascii=",serif" w:cs=",serif" w:eastAsia=",serif" w:hAnsi=",serif"/>
          <w:rtl w:val="0"/>
        </w:rPr>
        <w:t xml:space="preserve">In conclusion, the primary goal of this study is to identify and assess Nomophobia and its associated factors among the nursing students. The research objectives in the study have been accomplished and verified that nomophobia is common among students and has a direct influence towards their performances on clinical duties and in school learning. Additionally, in the subdomains of nomophobia the inability to access information, and loss of connectedness findings, reveal that nursing students have shown positive levels of nomophobia. It also establishes that factors such as sex, year level and the number of hours of daily smartphone use are associated with these domains. </w:t>
      </w:r>
    </w:p>
    <w:p w:rsidR="00000000" w:rsidDel="00000000" w:rsidP="00000000" w:rsidRDefault="00000000" w:rsidRPr="00000000" w14:paraId="0000014D">
      <w:pPr>
        <w:jc w:val="both"/>
        <w:rPr>
          <w:rFonts w:ascii=",serif" w:cs=",serif" w:eastAsia=",serif" w:hAnsi=",serif"/>
        </w:rPr>
      </w:pPr>
      <w:r w:rsidDel="00000000" w:rsidR="00000000" w:rsidRPr="00000000">
        <w:rPr>
          <w:rtl w:val="0"/>
        </w:rPr>
      </w:r>
    </w:p>
    <w:p w:rsidR="00000000" w:rsidDel="00000000" w:rsidP="00000000" w:rsidRDefault="00000000" w:rsidRPr="00000000" w14:paraId="0000014E">
      <w:pPr>
        <w:jc w:val="both"/>
        <w:rPr>
          <w:rFonts w:ascii=",serif" w:cs=",serif" w:eastAsia=",serif" w:hAnsi=",serif"/>
        </w:rPr>
      </w:pPr>
      <w:r w:rsidDel="00000000" w:rsidR="00000000" w:rsidRPr="00000000">
        <w:rPr>
          <w:rFonts w:ascii=",serif" w:cs=",serif" w:eastAsia=",serif" w:hAnsi=",serif"/>
          <w:rtl w:val="0"/>
        </w:rPr>
        <w:t xml:space="preserve">In accordance with the study, it also stresses the need for self-awareness programs and responsible technology management. Emphasizing these interventions can promote one’s ability to become a responsible smartphone user.</w:t>
      </w:r>
    </w:p>
    <w:p w:rsidR="00000000" w:rsidDel="00000000" w:rsidP="00000000" w:rsidRDefault="00000000" w:rsidRPr="00000000" w14:paraId="0000014F">
      <w:pPr>
        <w:jc w:val="both"/>
        <w:rPr>
          <w:rFonts w:ascii=",serif" w:cs=",serif" w:eastAsia=",serif" w:hAnsi=",serif"/>
        </w:rPr>
      </w:pPr>
      <w:r w:rsidDel="00000000" w:rsidR="00000000" w:rsidRPr="00000000">
        <w:rPr>
          <w:rtl w:val="0"/>
        </w:rPr>
      </w:r>
    </w:p>
    <w:p w:rsidR="00000000" w:rsidDel="00000000" w:rsidP="00000000" w:rsidRDefault="00000000" w:rsidRPr="00000000" w14:paraId="00000150">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1">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LIMITATIONS OF THE STUDY </w:t>
      </w:r>
      <w:r w:rsidDel="00000000" w:rsidR="00000000" w:rsidRPr="00000000">
        <w:rPr>
          <w:rtl w:val="0"/>
        </w:rPr>
      </w:r>
    </w:p>
    <w:p w:rsidR="00000000" w:rsidDel="00000000" w:rsidP="00000000" w:rsidRDefault="00000000" w:rsidRPr="00000000" w14:paraId="00000152">
      <w:pPr>
        <w:pBdr>
          <w:top w:space="0" w:sz="0" w:val="nil"/>
          <w:left w:space="0" w:sz="0" w:val="nil"/>
          <w:bottom w:space="0" w:sz="0" w:val="nil"/>
          <w:right w:space="0" w:sz="0" w:val="nil"/>
          <w:between w:space="0" w:sz="0" w:val="nil"/>
        </w:pBdr>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This study has several limitations. First, the use of self-reported data may have introduced response bias. Second, the study was limited to a single private nursing institution, which may affect the generalizability of the findings. Third, the cross-sectional design does not allow for causal relationships to be established. Future studies may consider longitudinal designs and a wider population to improve generalizability.</w:t>
      </w:r>
    </w:p>
    <w:p w:rsidR="00000000" w:rsidDel="00000000" w:rsidP="00000000" w:rsidRDefault="00000000" w:rsidRPr="00000000" w14:paraId="00000154">
      <w:pPr>
        <w:pBdr>
          <w:top w:space="0" w:sz="0" w:val="nil"/>
          <w:left w:space="0" w:sz="0" w:val="nil"/>
          <w:bottom w:space="0" w:sz="0" w:val="nil"/>
          <w:right w:space="0" w:sz="0" w:val="nil"/>
          <w:between w:space="0" w:sz="0" w:val="nil"/>
        </w:pBd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COMPETING INTEREST</w:t>
      </w:r>
    </w:p>
    <w:p w:rsidR="00000000" w:rsidDel="00000000" w:rsidP="00000000" w:rsidRDefault="00000000" w:rsidRPr="00000000" w14:paraId="00000156">
      <w:pPr>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57">
      <w:pPr>
        <w:jc w:val="both"/>
        <w:rPr>
          <w:rFonts w:ascii="Arial" w:cs="Arial" w:eastAsia="Arial" w:hAnsi="Arial"/>
        </w:rPr>
      </w:pPr>
      <w:r w:rsidDel="00000000" w:rsidR="00000000" w:rsidRPr="00000000">
        <w:rPr>
          <w:rFonts w:ascii="Arial" w:cs="Arial" w:eastAsia="Arial" w:hAnsi="Arial"/>
          <w:rtl w:val="0"/>
        </w:rPr>
        <w:t xml:space="preserve">Authors have declared that no competing interests exist.</w:t>
      </w:r>
    </w:p>
    <w:p w:rsidR="00000000" w:rsidDel="00000000" w:rsidP="00000000" w:rsidRDefault="00000000" w:rsidRPr="00000000" w14:paraId="00000158">
      <w:pPr>
        <w:jc w:val="both"/>
        <w:rPr>
          <w:rFonts w:ascii="Arial" w:cs="Arial" w:eastAsia="Arial" w:hAnsi="Arial"/>
        </w:rPr>
      </w:pPr>
      <w:r w:rsidDel="00000000" w:rsidR="00000000" w:rsidRPr="00000000">
        <w:rPr>
          <w:rtl w:val="0"/>
        </w:rPr>
      </w:r>
    </w:p>
    <w:p w:rsidR="00000000" w:rsidDel="00000000" w:rsidP="00000000" w:rsidRDefault="00000000" w:rsidRPr="00000000" w14:paraId="00000159">
      <w:pPr>
        <w:keepNext w:val="1"/>
        <w:jc w:val="both"/>
        <w:rPr>
          <w:rFonts w:ascii="Arial" w:cs="Arial" w:eastAsia="Arial" w:hAnsi="Arial"/>
          <w:b w:val="1"/>
          <w:bCs w:val="1"/>
          <w:smallCaps w:val="1"/>
          <w:sz w:val="22"/>
          <w:szCs w:val="22"/>
        </w:rPr>
      </w:pPr>
      <w:r w:rsidDel="00000000" w:rsidR="00000000" w:rsidRPr="00000000">
        <w:rPr>
          <w:rFonts w:ascii="Arial" w:cs="Arial" w:eastAsia="Arial" w:hAnsi="Arial"/>
          <w:b w:val="1"/>
          <w:bCs w:val="1"/>
          <w:smallCaps w:val="1"/>
          <w:sz w:val="22"/>
          <w:szCs w:val="22"/>
          <w:rtl w:val="0"/>
        </w:rPr>
        <w:t xml:space="preserve">CONSENT</w:t>
      </w:r>
    </w:p>
    <w:p w:rsidR="00000000" w:rsidDel="00000000" w:rsidP="00000000" w:rsidRDefault="00000000" w:rsidRPr="00000000" w14:paraId="0000015A">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5B">
      <w:pPr>
        <w:keepNext w:val="1"/>
        <w:jc w:val="both"/>
        <w:rPr>
          <w:rFonts w:ascii="Arial" w:cs="Arial" w:eastAsia="Arial" w:hAnsi="Arial"/>
        </w:rPr>
      </w:pPr>
      <w:r w:rsidDel="00000000" w:rsidR="00000000" w:rsidRPr="00000000">
        <w:rPr>
          <w:rFonts w:ascii="Arial" w:cs="Arial" w:eastAsia="Arial" w:hAnsi="Arial"/>
          <w:rtl w:val="0"/>
        </w:rPr>
        <w:t xml:space="preserve">All respondents who voluntarily participated in the study were informed of its purpose, objectives, and procedures. Prior to data collection, written informed consent was obtained from all participants. They were also made aware of their right to withdraw from the study at any time without penalty, and their responses were ensured to remain confidential and anonymous.</w:t>
      </w:r>
    </w:p>
    <w:p w:rsidR="00000000" w:rsidDel="00000000" w:rsidP="00000000" w:rsidRDefault="00000000" w:rsidRPr="00000000" w14:paraId="0000015C">
      <w:pPr>
        <w:keepNext w:val="1"/>
        <w:jc w:val="both"/>
        <w:rPr>
          <w:rFonts w:ascii="Arial" w:cs="Arial" w:eastAsia="Arial" w:hAnsi="Arial"/>
        </w:rPr>
      </w:pPr>
      <w:r w:rsidDel="00000000" w:rsidR="00000000" w:rsidRPr="00000000">
        <w:rPr>
          <w:rtl w:val="0"/>
        </w:rPr>
      </w:r>
    </w:p>
    <w:p w:rsidR="00000000" w:rsidDel="00000000" w:rsidP="00000000" w:rsidRDefault="00000000" w:rsidRPr="00000000" w14:paraId="0000015D">
      <w:pPr>
        <w:jc w:val="both"/>
        <w:rPr>
          <w:rFonts w:ascii="Arial" w:cs="Arial" w:eastAsia="Arial" w:hAnsi="Arial"/>
          <w:b w:val="1"/>
          <w:bCs w:val="1"/>
          <w:smallCaps w:val="1"/>
          <w:sz w:val="22"/>
          <w:szCs w:val="22"/>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smallCaps w:val="1"/>
          <w:sz w:val="22"/>
          <w:szCs w:val="22"/>
          <w:rtl w:val="0"/>
        </w:rPr>
        <w:t xml:space="preserve">ETHICAL APPROVAL</w:t>
      </w:r>
    </w:p>
    <w:p w:rsidR="00000000" w:rsidDel="00000000" w:rsidP="00000000" w:rsidRDefault="00000000" w:rsidRPr="00000000" w14:paraId="0000015E">
      <w:pPr>
        <w:keepNext w:val="1"/>
        <w:jc w:val="both"/>
        <w:rPr>
          <w:rFonts w:ascii="Arial" w:cs="Arial" w:eastAsia="Arial" w:hAnsi="Arial"/>
          <w:b w:val="1"/>
          <w:bCs w:val="1"/>
          <w:smallCaps w:val="1"/>
          <w:sz w:val="22"/>
          <w:szCs w:val="22"/>
        </w:rPr>
      </w:pPr>
      <w:r w:rsidDel="00000000" w:rsidR="00000000" w:rsidRPr="00000000">
        <w:rPr>
          <w:rtl w:val="0"/>
        </w:rPr>
      </w:r>
    </w:p>
    <w:p w:rsidR="00000000" w:rsidDel="00000000" w:rsidP="00000000" w:rsidRDefault="00000000" w:rsidRPr="00000000" w14:paraId="0000015F">
      <w:pPr>
        <w:rPr>
          <w:rFonts w:ascii=",serif" w:cs=",serif" w:eastAsia=",serif" w:hAnsi=",serif"/>
        </w:rPr>
      </w:pPr>
      <w:r w:rsidDel="00000000" w:rsidR="00000000" w:rsidRPr="00000000">
        <w:rPr>
          <w:rFonts w:ascii=",serif" w:cs=",serif" w:eastAsia=",serif" w:hAnsi=",serif"/>
          <w:rtl w:val="0"/>
        </w:rPr>
        <w:t xml:space="preserve">This study, secured the approval of the Iloilo Doctors Institutional Research Ethics Committee (IDIREC) preceding the data collection </w:t>
      </w:r>
      <w:r w:rsidDel="00000000" w:rsidR="00000000" w:rsidRPr="00000000">
        <w:rPr>
          <w:rFonts w:ascii=",serif" w:cs=",serif" w:eastAsia=",serif" w:hAnsi=",serif"/>
          <w:rtl w:val="0"/>
        </w:rPr>
        <w:t xml:space="preserve">(Approval Code: IDIREC-2025.OI_195)</w:t>
      </w:r>
      <w:r w:rsidDel="00000000" w:rsidR="00000000" w:rsidRPr="00000000">
        <w:rPr>
          <w:rFonts w:ascii=",serif" w:cs=",serif" w:eastAsia=",serif" w:hAnsi=",serif"/>
          <w:rtl w:val="0"/>
        </w:rPr>
        <w:t xml:space="preserve">. Respondents of the study were treated in accordance with the principles of respect, justice and beneficence.</w:t>
      </w:r>
    </w:p>
    <w:p w:rsidR="00000000" w:rsidDel="00000000" w:rsidP="00000000" w:rsidRDefault="00000000" w:rsidRPr="00000000" w14:paraId="00000160">
      <w:pPr>
        <w:rPr>
          <w:rFonts w:ascii=",serif" w:cs=",serif" w:eastAsia=",serif" w:hAnsi=",serif"/>
        </w:rPr>
      </w:pPr>
      <w:r w:rsidDel="00000000" w:rsidR="00000000" w:rsidRPr="00000000">
        <w:rPr>
          <w:rtl w:val="0"/>
        </w:rPr>
      </w:r>
    </w:p>
    <w:p w:rsidR="00000000" w:rsidDel="00000000" w:rsidP="00000000" w:rsidRDefault="00000000" w:rsidRPr="00000000" w14:paraId="00000161">
      <w:pPr>
        <w:rPr>
          <w:rFonts w:ascii="Arial" w:cs="Arial" w:eastAsia="Arial" w:hAnsi="Arial"/>
          <w:sz w:val="18"/>
          <w:szCs w:val="18"/>
        </w:rPr>
      </w:pPr>
      <w:r w:rsidDel="00000000" w:rsidR="00000000" w:rsidRPr="00000000">
        <w:rPr>
          <w:rFonts w:ascii="Arial" w:cs="Arial" w:eastAsia="Arial" w:hAnsi="Arial"/>
          <w:sz w:val="18"/>
          <w:szCs w:val="18"/>
          <w:rtl w:val="0"/>
        </w:rPr>
        <w:t xml:space="preserve">COMPETING INTERESTS DISCLAIMER:</w:t>
      </w:r>
    </w:p>
    <w:p w:rsidR="00000000" w:rsidDel="00000000" w:rsidP="00000000" w:rsidRDefault="00000000" w:rsidRPr="00000000" w14:paraId="00000162">
      <w:pPr>
        <w:rPr>
          <w:rFonts w:ascii="Arial" w:cs="Arial" w:eastAsia="Arial" w:hAnsi="Arial"/>
          <w:sz w:val="18"/>
          <w:szCs w:val="18"/>
        </w:rPr>
      </w:pPr>
      <w:r w:rsidDel="00000000" w:rsidR="00000000" w:rsidRPr="00000000">
        <w:rPr>
          <w:rFonts w:ascii="Arial" w:cs="Arial" w:eastAsia="Arial" w:hAnsi="Arial"/>
          <w:sz w:val="18"/>
          <w:szCs w:val="18"/>
          <w:rtl w:val="0"/>
        </w:rPr>
        <w:t xml:space="preserve">Authors have declared that they have no known competing financial interests OR non-financial interests OR personal relationships that could have appeared to influence the work reported in this paper.</w:t>
      </w:r>
    </w:p>
    <w:p w:rsidR="00000000" w:rsidDel="00000000" w:rsidP="00000000" w:rsidRDefault="00000000" w:rsidRPr="00000000" w14:paraId="00000163">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164">
      <w:pPr>
        <w:rPr>
          <w:b w:val="1"/>
          <w:bCs w:val="1"/>
          <w:highlight w:val="yellow"/>
        </w:rPr>
      </w:pPr>
      <w:r w:rsidDel="00000000" w:rsidR="00000000" w:rsidRPr="00000000">
        <w:rPr>
          <w:b w:val="1"/>
          <w:bCs w:val="1"/>
          <w:highlight w:val="yellow"/>
          <w:rtl w:val="0"/>
        </w:rPr>
        <w:t xml:space="preserve">Disclaimer (Artificial intelligence)</w:t>
      </w:r>
    </w:p>
    <w:p w:rsidR="00000000" w:rsidDel="00000000" w:rsidP="00000000" w:rsidRDefault="00000000" w:rsidRPr="00000000" w14:paraId="00000165">
      <w:pPr>
        <w:rPr>
          <w:highlight w:val="yellow"/>
        </w:rPr>
      </w:pPr>
      <w:r w:rsidDel="00000000" w:rsidR="00000000" w:rsidRPr="00000000">
        <w:rPr>
          <w:highlight w:val="yellow"/>
          <w:rtl w:val="0"/>
        </w:rPr>
        <w:t xml:space="preserve">Author(s) hereby declare that NO generative AI technologies such as Large Language Models (ChatGPT, COPILOT, etc.) and text-to-image generators have been used during the writing or editing of this manuscript. </w:t>
      </w:r>
    </w:p>
    <w:p w:rsidR="00000000" w:rsidDel="00000000" w:rsidP="00000000" w:rsidRDefault="00000000" w:rsidRPr="00000000" w14:paraId="00000166">
      <w:pPr>
        <w:rPr>
          <w:rFonts w:ascii="Arial" w:cs="Arial" w:eastAsia="Arial" w:hAnsi="Arial"/>
          <w:sz w:val="18"/>
          <w:szCs w:val="18"/>
        </w:rPr>
      </w:pPr>
      <w:bookmarkStart w:colFirst="0" w:colLast="0" w:name="_heading=h.v4si039fyo60" w:id="0"/>
      <w:bookmarkEnd w:id="0"/>
      <w:r w:rsidDel="00000000" w:rsidR="00000000" w:rsidRPr="00000000">
        <w:rPr>
          <w:rtl w:val="0"/>
        </w:rPr>
      </w:r>
    </w:p>
    <w:p w:rsidR="00000000" w:rsidDel="00000000" w:rsidP="00000000" w:rsidRDefault="00000000" w:rsidRPr="00000000" w14:paraId="00000167">
      <w:pPr>
        <w:keepNext w:val="1"/>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8">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169">
      <w:pPr>
        <w:keepNext w:val="1"/>
        <w:pBdr>
          <w:top w:space="0" w:sz="0" w:val="nil"/>
          <w:left w:space="0" w:sz="0" w:val="nil"/>
          <w:bottom w:space="0" w:sz="0" w:val="nil"/>
          <w:right w:space="0" w:sz="0" w:val="nil"/>
          <w:between w:space="0" w:sz="0" w:val="nil"/>
        </w:pBdr>
        <w:jc w:val="both"/>
        <w:rPr>
          <w:rFonts w:ascii="Arial" w:cs="Arial" w:eastAsia="Arial" w:hAnsi="Arial"/>
          <w:b w:val="1"/>
          <w:bCs w:val="1"/>
          <w:smallCaps w:val="1"/>
          <w:color w:val="000000"/>
          <w:sz w:val="22"/>
          <w:szCs w:val="22"/>
        </w:rPr>
      </w:pPr>
      <w:r w:rsidDel="00000000" w:rsidR="00000000" w:rsidRPr="00000000">
        <w:rPr>
          <w:rFonts w:ascii="Arial" w:cs="Arial" w:eastAsia="Arial" w:hAnsi="Arial"/>
          <w:b w:val="1"/>
          <w:bCs w:val="1"/>
          <w:smallCaps w:val="1"/>
          <w:color w:val="000000"/>
          <w:sz w:val="22"/>
          <w:szCs w:val="22"/>
          <w:rtl w:val="0"/>
        </w:rPr>
        <w:t xml:space="preserve">R</w:t>
      </w:r>
      <w:r w:rsidDel="00000000" w:rsidR="00000000" w:rsidRPr="00000000">
        <w:rPr>
          <w:rFonts w:ascii="Arial" w:cs="Arial" w:eastAsia="Arial" w:hAnsi="Arial"/>
          <w:b w:val="1"/>
          <w:bCs w:val="1"/>
          <w:smallCaps w:val="1"/>
          <w:sz w:val="22"/>
          <w:szCs w:val="22"/>
          <w:rtl w:val="0"/>
        </w:rPr>
        <w:t xml:space="preserve">EFERENCES</w:t>
      </w:r>
      <w:r w:rsidDel="00000000" w:rsidR="00000000" w:rsidRPr="00000000">
        <w:rPr>
          <w:rtl w:val="0"/>
        </w:rPr>
      </w:r>
    </w:p>
    <w:p w:rsidR="00000000" w:rsidDel="00000000" w:rsidP="00000000" w:rsidRDefault="00000000" w:rsidRPr="00000000" w14:paraId="0000016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6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Aslani, M., Sadeghi, N., Janatolmakan, M., Rezaeian, S., &amp; Khatony, A. (2025). Nomophobia among nursing students: prevalence and associated factors. Scientific Reports, 15(1). </w:t>
      </w:r>
      <w:hyperlink r:id="rId14">
        <w:r w:rsidDel="00000000" w:rsidR="00000000" w:rsidRPr="00000000">
          <w:rPr>
            <w:rFonts w:ascii="Arial" w:cs="Arial" w:eastAsia="Arial" w:hAnsi="Arial"/>
            <w:rtl w:val="0"/>
          </w:rPr>
          <w:t xml:space="preserve">https://doi.org/10.1038/s41598-024-83949-5</w:t>
        </w:r>
      </w:hyperlink>
      <w:r w:rsidDel="00000000" w:rsidR="00000000" w:rsidRPr="00000000">
        <w:rPr>
          <w:rtl w:val="0"/>
        </w:rPr>
      </w:r>
    </w:p>
    <w:p w:rsidR="00000000" w:rsidDel="00000000" w:rsidP="00000000" w:rsidRDefault="00000000" w:rsidRPr="00000000" w14:paraId="0000016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Buctot, D. B., Kim, N., &amp; Kim, S. (2020). The role of nomophobia and smartphone addiction in the lifestyle profiles of junior and senior high school students in the Philippines. SSRN Electron J. https://doi.org/10.2139/ssrn.3571366⁠</w:t>
      </w:r>
    </w:p>
    <w:p w:rsidR="00000000" w:rsidDel="00000000" w:rsidP="00000000" w:rsidRDefault="00000000" w:rsidRPr="00000000" w14:paraId="0000016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6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Buctot, D. B., Kim, N., &amp; Kim, S. (2021). Personal profiles, family environment, patterns of smartphone use, nomophobia, and smartphone addiction across academic performance levels. Int J Environ Res Public Health, 18(10), 5219. https://doi.org/10.3390/ijerph18105219⁠</w:t>
      </w:r>
    </w:p>
    <w:p w:rsidR="00000000" w:rsidDel="00000000" w:rsidP="00000000" w:rsidRDefault="00000000" w:rsidRPr="00000000" w14:paraId="0000017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7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Dela Cruz, R. C. (2025, June 26). DICT: ‘Konektadong Pinoy Act’ to narrow digital divide in PH. Philippine </w:t>
      </w:r>
      <w:r w:rsidDel="00000000" w:rsidR="00000000" w:rsidRPr="00000000">
        <w:rPr>
          <w:rFonts w:ascii="Arial" w:cs="Arial" w:eastAsia="Arial" w:hAnsi="Arial"/>
          <w:rtl w:val="0"/>
        </w:rPr>
        <w:t xml:space="preserve">News Agency. </w:t>
      </w:r>
      <w:hyperlink r:id="rId15">
        <w:r w:rsidDel="00000000" w:rsidR="00000000" w:rsidRPr="00000000">
          <w:rPr>
            <w:rFonts w:ascii="Arial" w:cs="Arial" w:eastAsia="Arial" w:hAnsi="Arial"/>
            <w:rtl w:val="0"/>
          </w:rPr>
          <w:t xml:space="preserve">https://www.pna.gov.ph/articles/1253022</w:t>
        </w:r>
      </w:hyperlink>
      <w:r w:rsidDel="00000000" w:rsidR="00000000" w:rsidRPr="00000000">
        <w:rPr>
          <w:rtl w:val="0"/>
        </w:rPr>
      </w:r>
    </w:p>
    <w:p w:rsidR="00000000" w:rsidDel="00000000" w:rsidP="00000000" w:rsidRDefault="00000000" w:rsidRPr="00000000" w14:paraId="0000017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7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DepEd highlights Digital Rise Program as key player in addressing challenges in education quality | Department of Education. (2022, May 10). https://www.deped.gov.ph/2022/05/10/deped-highlights-digital-rise-program-as-key-player-in-addressing-challenges-in-education-quality/</w:t>
      </w:r>
      <w:r w:rsidDel="00000000" w:rsidR="00000000" w:rsidRPr="00000000">
        <w:rPr>
          <w:rtl w:val="0"/>
        </w:rPr>
      </w:r>
    </w:p>
    <w:p w:rsidR="00000000" w:rsidDel="00000000" w:rsidP="00000000" w:rsidRDefault="00000000" w:rsidRPr="00000000" w14:paraId="0000017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75">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El‑Ashry, A. M., El‑Sayed, M. M., Elhay, E. S. A., Taha, S. M., Atta, M. H. R., Hammad, H. A., &amp; Khedr, M. A. (2024). Hooked on technology: Examining the co‑occurrence of nomophobia and impulsive sensation seeking among nursing students. BMC Nurs, 23(1). https://doi.org/10.1186/s12912-023-01683-1⁠</w:t>
      </w:r>
    </w:p>
    <w:p w:rsidR="00000000" w:rsidDel="00000000" w:rsidP="00000000" w:rsidRDefault="00000000" w:rsidRPr="00000000" w14:paraId="00000176">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7">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Ferchichi, M. A., Aouadi, K., Aouadi, I., &amp; Sendi, I. (2023). Nomophobia in Tunisian nursing students: Prevalence, associated factors, and comorbidity with generalized anxiety disorder. J Public Health. https://doi.org/10.1007/s10389-023-02126-6</w:t>
      </w:r>
    </w:p>
    <w:p w:rsidR="00000000" w:rsidDel="00000000" w:rsidP="00000000" w:rsidRDefault="00000000" w:rsidRPr="00000000" w14:paraId="00000178">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9">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Garcia, A. M. R., Guerrero, A. J. M., &amp; Belmonte, J. L. (2020). Nomophobia: An individual’s growing fear of being without a smartphone – A systematic literature review. Int J Environ Res Public Health, 17, 580. https://doi.org/10.3390/ijerph17020580⁠</w:t>
      </w:r>
    </w:p>
    <w:p w:rsidR="00000000" w:rsidDel="00000000" w:rsidP="00000000" w:rsidRDefault="00000000" w:rsidRPr="00000000" w14:paraId="0000017A">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B">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Gonçalves, S., Dias, P., &amp; Correia, A. (2020). Nomophobia and lifestyle: Smartphone use and its relationship to psychopathologies. Comput Hum Behav Rep, 2, 100025. https://doi.org/10.1016/j.chbr.2020.100025</w:t>
      </w:r>
    </w:p>
    <w:p w:rsidR="00000000" w:rsidDel="00000000" w:rsidP="00000000" w:rsidRDefault="00000000" w:rsidRPr="00000000" w14:paraId="0000017C">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D">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Janatolmakan, M., Khatony, A., Ahmadi, A., &amp; Jalali, R. (2024). Nomophobia: Prevalence, associated factors, and impact on academic performance among nursing students. BMC Psychol, 12(1), 369. https://doi.org/10.1186/s40359-024-02147-0⁠</w:t>
      </w:r>
    </w:p>
    <w:p w:rsidR="00000000" w:rsidDel="00000000" w:rsidP="00000000" w:rsidRDefault="00000000" w:rsidRPr="00000000" w14:paraId="0000017E">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17F">
      <w:pPr>
        <w:pBdr>
          <w:top w:space="0" w:sz="0" w:val="nil"/>
          <w:left w:space="0" w:sz="0" w:val="nil"/>
          <w:bottom w:space="0" w:sz="0" w:val="nil"/>
          <w:right w:space="0" w:sz="0" w:val="nil"/>
          <w:between w:space="0" w:sz="0" w:val="nil"/>
        </w:pBdr>
        <w:jc w:val="both"/>
        <w:rPr>
          <w:rFonts w:ascii="Arial" w:cs="Arial" w:eastAsia="Arial" w:hAnsi="Arial"/>
          <w:color w:val="000000"/>
        </w:rPr>
      </w:pPr>
      <w:r w:rsidDel="00000000" w:rsidR="00000000" w:rsidRPr="00000000">
        <w:rPr>
          <w:rFonts w:ascii="Arial" w:cs="Arial" w:eastAsia="Arial" w:hAnsi="Arial"/>
          <w:color w:val="000000"/>
          <w:rtl w:val="0"/>
        </w:rPr>
        <w:t xml:space="preserve">Jebanesy, S. J. J., &amp; Vasantha, S. (2024). Interventions and treatment for nomophobia: A systematic review. Bioscan, 19(S2), 110–114. https://doi.org/10.63001/tbs.2024.v19.i02.S2.pp110-114⁠</w:t>
      </w:r>
    </w:p>
    <w:p w:rsidR="00000000" w:rsidDel="00000000" w:rsidP="00000000" w:rsidRDefault="00000000" w:rsidRPr="00000000" w14:paraId="0000018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1">
      <w:pPr>
        <w:jc w:val="both"/>
        <w:rPr>
          <w:rFonts w:ascii="Arial" w:cs="Arial" w:eastAsia="Arial" w:hAnsi="Arial"/>
        </w:rPr>
      </w:pPr>
      <w:r w:rsidDel="00000000" w:rsidR="00000000" w:rsidRPr="00000000">
        <w:rPr>
          <w:rFonts w:ascii="Arial" w:cs="Arial" w:eastAsia="Arial" w:hAnsi="Arial"/>
          <w:rtl w:val="0"/>
        </w:rPr>
        <w:t xml:space="preserve">Lim, S. G. S., Salazar, R. M. C., Tan, H. L. D., &amp; Arcinas, M. M. (2025). Cognitive and social effects of a two‑week digital detox on Filipino adolescents. Int J Multidiscip Appl Bus Educ Res, 6(5), 2353–2367. https://doi.org/10.11594/ijmaber.06.05.21⁠</w:t>
      </w:r>
    </w:p>
    <w:p w:rsidR="00000000" w:rsidDel="00000000" w:rsidP="00000000" w:rsidRDefault="00000000" w:rsidRPr="00000000" w14:paraId="0000018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Lui, C. (2021). New technologies for sustainable development: Perspectives on integrity, trust and anti-corruption (pp. 1–64). United Nations Development Programme (UNDP). Retrieved May 23, 2023, from </w:t>
      </w:r>
      <w:hyperlink r:id="rId16">
        <w:r w:rsidDel="00000000" w:rsidR="00000000" w:rsidRPr="00000000">
          <w:rPr>
            <w:rFonts w:ascii="Arial" w:cs="Arial" w:eastAsia="Arial" w:hAnsi="Arial"/>
            <w:rtl w:val="0"/>
          </w:rPr>
          <w:t xml:space="preserve">https://www.undp.org/publications/new-technologies-sustainable-development-perspectives-integrity-trust-and-anti</w:t>
        </w:r>
      </w:hyperlink>
      <w:r w:rsidDel="00000000" w:rsidR="00000000" w:rsidRPr="00000000">
        <w:rPr>
          <w:rtl w:val="0"/>
        </w:rPr>
      </w:r>
    </w:p>
    <w:p w:rsidR="00000000" w:rsidDel="00000000" w:rsidP="00000000" w:rsidRDefault="00000000" w:rsidRPr="00000000" w14:paraId="0000018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Mallya, A., Kumar, S., &amp; Girish, N. (2019). A study on smartphone usage and its association with nomophobia among medical students in India. International Journal of Community Medicine and Public Health, 6(9), 4159–4164. </w:t>
      </w:r>
      <w:hyperlink r:id="rId17">
        <w:r w:rsidDel="00000000" w:rsidR="00000000" w:rsidRPr="00000000">
          <w:rPr>
            <w:rFonts w:ascii="Arial" w:cs="Arial" w:eastAsia="Arial" w:hAnsi="Arial"/>
            <w:rtl w:val="0"/>
          </w:rPr>
          <w:t xml:space="preserve">https://doi.org/10.18203/2394-6040.ijcmph20193959</w:t>
        </w:r>
      </w:hyperlink>
      <w:r w:rsidDel="00000000" w:rsidR="00000000" w:rsidRPr="00000000">
        <w:rPr>
          <w:rtl w:val="0"/>
        </w:rPr>
      </w:r>
    </w:p>
    <w:p w:rsidR="00000000" w:rsidDel="00000000" w:rsidP="00000000" w:rsidRDefault="00000000" w:rsidRPr="00000000" w14:paraId="0000018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McCombes, S. (2023, June 22). Descriptive research | Definition, types, methods &amp; examples. Scribbr. Retrieved October 25, 2025, from </w:t>
      </w:r>
      <w:hyperlink r:id="rId18">
        <w:r w:rsidDel="00000000" w:rsidR="00000000" w:rsidRPr="00000000">
          <w:rPr>
            <w:rFonts w:ascii="Arial" w:cs="Arial" w:eastAsia="Arial" w:hAnsi="Arial"/>
            <w:rtl w:val="0"/>
          </w:rPr>
          <w:t xml:space="preserve">https://www.scribbr.com/methodology/descriptive-research</w:t>
        </w:r>
      </w:hyperlink>
      <w:hyperlink r:id="rId19">
        <w:r w:rsidDel="00000000" w:rsidR="00000000" w:rsidRPr="00000000">
          <w:rPr>
            <w:rFonts w:ascii="Arial" w:cs="Arial" w:eastAsia="Arial" w:hAnsi="Arial"/>
            <w:color w:val="1155cc"/>
            <w:u w:val="single"/>
            <w:rtl w:val="0"/>
          </w:rPr>
          <w:t xml:space="preserve">/</w:t>
        </w:r>
      </w:hyperlink>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Srivastava, S., Verma, N., Kumar, D., Singh, N., &amp; Kumar, K. (2025). Nomophobia as an Emerging Psychopathology psychophysiological mechanisms and clinical implications. Annals of Neurosciences, 09727531251351082. </w:t>
      </w:r>
      <w:hyperlink r:id="rId20">
        <w:r w:rsidDel="00000000" w:rsidR="00000000" w:rsidRPr="00000000">
          <w:rPr>
            <w:rFonts w:ascii="Arial" w:cs="Arial" w:eastAsia="Arial" w:hAnsi="Arial"/>
            <w:rtl w:val="0"/>
          </w:rPr>
          <w:t xml:space="preserve">https://doi.org/10.1177/09727531251351082</w:t>
        </w:r>
      </w:hyperlink>
      <w:r w:rsidDel="00000000" w:rsidR="00000000" w:rsidRPr="00000000">
        <w:rPr>
          <w:rtl w:val="0"/>
        </w:rPr>
      </w:r>
    </w:p>
    <w:p w:rsidR="00000000" w:rsidDel="00000000" w:rsidP="00000000" w:rsidRDefault="00000000" w:rsidRPr="00000000" w14:paraId="0000018A">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B">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Sui, A., &amp; Sui, W. (2021). Not getting the message: Critiquing current conceptualizations of nomophobia. Technol Soc, 67, 101719. https://doi.org/10.1016/j.techsoc.2021.101719⁠</w:t>
      </w:r>
    </w:p>
    <w:p w:rsidR="00000000" w:rsidDel="00000000" w:rsidP="00000000" w:rsidRDefault="00000000" w:rsidRPr="00000000" w14:paraId="0000018C">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8E">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Tavakol, M., &amp; Dennick, R. (2011). Making sense of Cronbach’s alpha. International Journal of Medical Education, 2, 53–55. </w:t>
      </w:r>
      <w:hyperlink r:id="rId21">
        <w:r w:rsidDel="00000000" w:rsidR="00000000" w:rsidRPr="00000000">
          <w:rPr>
            <w:rFonts w:ascii="Arial" w:cs="Arial" w:eastAsia="Arial" w:hAnsi="Arial"/>
            <w:rtl w:val="0"/>
          </w:rPr>
          <w:t xml:space="preserve">https://doi.org/10.5116/ijme.4dfb.8dfd</w:t>
        </w:r>
      </w:hyperlink>
      <w:r w:rsidDel="00000000" w:rsidR="00000000" w:rsidRPr="00000000">
        <w:rPr>
          <w:rtl w:val="0"/>
        </w:rPr>
      </w:r>
    </w:p>
    <w:p w:rsidR="00000000" w:rsidDel="00000000" w:rsidP="00000000" w:rsidRDefault="00000000" w:rsidRPr="00000000" w14:paraId="0000018F">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90">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91">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Tuco, K. G., Castro-Diaz, S. D., Soriano-Moreno, D. R., &amp; Benites-Zapata, V. A. (2023). Prevalence of Nomophobia in University Students: A Systematic Review and Meta-Analysis. Healthcare Informatics Research, 29(1), 40–53. </w:t>
      </w:r>
      <w:hyperlink r:id="rId22">
        <w:r w:rsidDel="00000000" w:rsidR="00000000" w:rsidRPr="00000000">
          <w:rPr>
            <w:rFonts w:ascii="Arial" w:cs="Arial" w:eastAsia="Arial" w:hAnsi="Arial"/>
            <w:rtl w:val="0"/>
          </w:rPr>
          <w:t xml:space="preserve">https://doi.org/10.4258/hir.2023.29.1.40</w:t>
        </w:r>
      </w:hyperlink>
      <w:r w:rsidDel="00000000" w:rsidR="00000000" w:rsidRPr="00000000">
        <w:rPr>
          <w:rtl w:val="0"/>
        </w:rPr>
      </w:r>
    </w:p>
    <w:p w:rsidR="00000000" w:rsidDel="00000000" w:rsidP="00000000" w:rsidRDefault="00000000" w:rsidRPr="00000000" w14:paraId="00000192">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93">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Wienclaw, R. A. (2024). Reliability. EBSCO Research Starters. Retrieved from </w:t>
      </w:r>
      <w:hyperlink r:id="rId23">
        <w:r w:rsidDel="00000000" w:rsidR="00000000" w:rsidRPr="00000000">
          <w:rPr>
            <w:rFonts w:ascii="Arial" w:cs="Arial" w:eastAsia="Arial" w:hAnsi="Arial"/>
            <w:rtl w:val="0"/>
          </w:rPr>
          <w:t xml:space="preserve">https://www.ebsco.com/research-starters/religion-and-philosophy/reliability</w:t>
        </w:r>
      </w:hyperlink>
      <w:r w:rsidDel="00000000" w:rsidR="00000000" w:rsidRPr="00000000">
        <w:rPr>
          <w:rtl w:val="0"/>
        </w:rPr>
      </w:r>
    </w:p>
    <w:p w:rsidR="00000000" w:rsidDel="00000000" w:rsidP="00000000" w:rsidRDefault="00000000" w:rsidRPr="00000000" w14:paraId="00000194">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95">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96">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Fonts w:ascii="Arial" w:cs="Arial" w:eastAsia="Arial" w:hAnsi="Arial"/>
          <w:rtl w:val="0"/>
        </w:rPr>
        <w:t xml:space="preserve">Yildirim, C., &amp; Correia, A. (2015). Exploring the dimensions of nomophobia: Development and validation of a self-reported questionnaire. Computers in Human Behavior, 49, 130–137. </w:t>
      </w:r>
      <w:hyperlink r:id="rId24">
        <w:r w:rsidDel="00000000" w:rsidR="00000000" w:rsidRPr="00000000">
          <w:rPr>
            <w:rFonts w:ascii="Arial" w:cs="Arial" w:eastAsia="Arial" w:hAnsi="Arial"/>
            <w:rtl w:val="0"/>
          </w:rPr>
          <w:t xml:space="preserve">https://doi.org/10.1016/j.chb.2015.02.059</w:t>
        </w:r>
      </w:hyperlink>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98">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jc w:val="both"/>
        <w:rPr>
          <w:rFonts w:ascii="Arial" w:cs="Arial" w:eastAsia="Arial" w:hAnsi="Arial"/>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serif"/>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3">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A">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3"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B">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pict>
        <v:shape id="PowerPlusWaterMarkObject1"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C">
    <w:pPr>
      <w:ind w:left="2160" w:firstLine="0"/>
      <w:jc w:val="center"/>
      <w:rPr>
        <w:rFonts w:ascii="Times New Roman" w:cs="Times New Roman" w:eastAsia="Times New Roman" w:hAnsi="Times New Roman"/>
        <w:i w:val="1"/>
        <w:iCs w:val="1"/>
        <w:sz w:val="18"/>
        <w:szCs w:val="18"/>
      </w:rPr>
    </w:pPr>
    <w:r w:rsidDel="00000000" w:rsidR="00000000" w:rsidRPr="00000000">
      <w:rPr/>
      <w:pict>
        <v:shape id="PowerPlusWaterMarkObject2" style="position:absolute;width:593.85pt;height:65.95pt;rotation:315;z-index:-503316481;mso-position-horizontal-relative:margin;mso-position-horizontal:center;mso-position-vertical-relative:margin;mso-position-vertical:center;" fillcolor="#c0c0c0" stroked="f" type="#_x0000_t136">
          <v:fill angle="0" opacity="32768f"/>
          <v:textpath fitshape="t" string="UNDER PEER REVIEW" style="font-family:&amp;quot;Helvetica Neue&amp;quot;;font-size:1pt;"/>
        </v:shape>
      </w:pict>
    </w:r>
    <w:r w:rsidDel="00000000" w:rsidR="00000000" w:rsidRPr="00000000">
      <w:rPr>
        <w:rtl w:val="0"/>
      </w:rPr>
    </w:r>
  </w:p>
  <w:p w:rsidR="00000000" w:rsidDel="00000000" w:rsidP="00000000" w:rsidRDefault="00000000" w:rsidRPr="00000000" w14:paraId="0000019D">
    <w:pPr>
      <w:ind w:left="4320" w:firstLine="0"/>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9E">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w:t>
    </w:r>
  </w:p>
  <w:p w:rsidR="00000000" w:rsidDel="00000000" w:rsidP="00000000" w:rsidRDefault="00000000" w:rsidRPr="00000000" w14:paraId="0000019F">
    <w:pPr>
      <w:spacing w:after="200" w:lineRule="auto"/>
      <w:jc w:val="center"/>
      <w:rPr>
        <w:rFonts w:ascii="Times New Roman" w:cs="Times New Roman" w:eastAsia="Times New Roman" w:hAnsi="Times New Roman"/>
        <w:b w:val="1"/>
        <w:bCs w:val="1"/>
        <w:i w:val="1"/>
        <w:iCs w:val="1"/>
        <w:sz w:val="32"/>
        <w:szCs w:val="32"/>
      </w:rPr>
    </w:pPr>
    <w:r w:rsidDel="00000000" w:rsidR="00000000" w:rsidRPr="00000000">
      <w:rPr>
        <w:rFonts w:ascii="Times New Roman" w:cs="Times New Roman" w:eastAsia="Times New Roman" w:hAnsi="Times New Roman"/>
        <w:b w:val="1"/>
        <w:bCs w:val="1"/>
        <w:i w:val="1"/>
        <w:iCs w:val="1"/>
        <w:sz w:val="32"/>
        <w:szCs w:val="32"/>
        <w:rtl w:val="0"/>
      </w:rPr>
      <w:t xml:space="preserve">              . </w:t>
    </w:r>
  </w:p>
  <w:p w:rsidR="00000000" w:rsidDel="00000000" w:rsidP="00000000" w:rsidRDefault="00000000" w:rsidRPr="00000000" w14:paraId="000001A0">
    <w:pPr>
      <w:jc w:val="center"/>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 xml:space="preserve">                     </w:t>
    </w:r>
  </w:p>
  <w:p w:rsidR="00000000" w:rsidDel="00000000" w:rsidP="00000000" w:rsidRDefault="00000000" w:rsidRPr="00000000" w14:paraId="000001A1">
    <w:pPr>
      <w:tabs>
        <w:tab w:val="left" w:leader="none" w:pos="2145"/>
      </w:tabs>
      <w:rPr>
        <w:rFonts w:ascii="Times New Roman" w:cs="Times New Roman" w:eastAsia="Times New Roman" w:hAnsi="Times New Roman"/>
        <w:i w:val="1"/>
        <w:iCs w:val="1"/>
        <w:sz w:val="18"/>
        <w:szCs w:val="18"/>
      </w:rPr>
    </w:pPr>
    <w:r w:rsidDel="00000000" w:rsidR="00000000" w:rsidRPr="00000000">
      <w:rPr>
        <w:rFonts w:ascii="Times New Roman" w:cs="Times New Roman" w:eastAsia="Times New Roman" w:hAnsi="Times New Roman"/>
        <w:i w:val="1"/>
        <w:iCs w:val="1"/>
        <w:sz w:val="18"/>
        <w:szCs w:val="18"/>
        <w:rtl w:val="0"/>
      </w:rPr>
      <w:tab/>
      <w:t xml:space="preserve">.</w:t>
    </w:r>
  </w:p>
  <w:p w:rsidR="00000000" w:rsidDel="00000000" w:rsidP="00000000" w:rsidRDefault="00000000" w:rsidRPr="00000000" w14:paraId="000001A2">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color w:val="000000"/>
        <w:rtl w:val="0"/>
      </w:rPr>
      <w:t xml:space="preserv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Helvetica Neue" w:cs="Helvetica Neue" w:eastAsia="Helvetica Neue" w:hAnsi="Helvetica Neue"/>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pPr>
    <w:rPr>
      <w:rFonts w:ascii="Arial" w:cs="Arial" w:eastAsia="Arial" w:hAnsi="Arial"/>
      <w:b w:val="1"/>
      <w:bCs w:val="1"/>
      <w:sz w:val="28"/>
      <w:szCs w:val="2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rPr>
  </w:style>
  <w:style w:type="paragraph" w:styleId="Title">
    <w:name w:val="Title"/>
    <w:basedOn w:val="Normal"/>
    <w:next w:val="Normal"/>
    <w:pPr>
      <w:spacing w:after="360" w:lineRule="auto"/>
      <w:jc w:val="right"/>
    </w:pPr>
    <w:rPr>
      <w:b w:val="1"/>
      <w:bCs w:val="1"/>
      <w:sz w:val="36"/>
      <w:szCs w:val="3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paragraph" w:styleId="Author" w:customStyle="1">
    <w:name w:val="Author"/>
    <w:pPr>
      <w:spacing w:line="280" w:lineRule="exact"/>
      <w:jc w:val="right"/>
    </w:pPr>
    <w:rPr>
      <w:b w:val="1"/>
      <w:sz w:val="24"/>
    </w:rPr>
  </w:style>
  <w:style w:type="paragraph" w:styleId="Affiliation" w:customStyle="1">
    <w:name w:val="Affiliation"/>
    <w:pPr>
      <w:spacing w:after="240" w:line="240" w:lineRule="exact"/>
      <w:jc w:val="right"/>
    </w:pPr>
  </w:style>
  <w:style w:type="paragraph" w:styleId="Body" w:customStyle="1">
    <w:name w:val="Body"/>
    <w:pPr>
      <w:spacing w:after="240"/>
      <w:jc w:val="both"/>
    </w:pPr>
  </w:style>
  <w:style w:type="paragraph" w:styleId="AbstHead" w:customStyle="1">
    <w:name w:val="Abst Head"/>
    <w:basedOn w:val="MainHead"/>
    <w:rPr>
      <w:sz w:val="22"/>
    </w:rPr>
  </w:style>
  <w:style w:type="paragraph" w:styleId="IntroHead" w:customStyle="1">
    <w:name w:val="Intro Head"/>
    <w:basedOn w:val="MainHead"/>
    <w:rPr>
      <w:sz w:val="22"/>
    </w:rPr>
  </w:style>
  <w:style w:type="paragraph" w:styleId="PaperNumber" w:customStyle="1">
    <w:name w:val="Paper Number"/>
    <w:pPr>
      <w:spacing w:after="280" w:line="280" w:lineRule="exact"/>
      <w:jc w:val="right"/>
    </w:pPr>
    <w:rPr>
      <w:b w:val="1"/>
      <w:sz w:val="28"/>
    </w:rPr>
  </w:style>
  <w:style w:type="paragraph" w:styleId="ConcHead" w:customStyle="1">
    <w:name w:val="Conc Head"/>
    <w:basedOn w:val="MainHead"/>
    <w:rPr>
      <w:sz w:val="22"/>
    </w:rPr>
  </w:style>
  <w:style w:type="paragraph" w:styleId="AcknHead" w:customStyle="1">
    <w:name w:val="Ackn Head"/>
    <w:basedOn w:val="MainHead"/>
    <w:rPr>
      <w:sz w:val="22"/>
    </w:rPr>
  </w:style>
  <w:style w:type="paragraph" w:styleId="ReferHead" w:customStyle="1">
    <w:name w:val="Refer Head"/>
    <w:basedOn w:val="MainHead"/>
    <w:rPr>
      <w:sz w:val="22"/>
    </w:rPr>
  </w:style>
  <w:style w:type="paragraph" w:styleId="AddSrcHead" w:customStyle="1">
    <w:name w:val="AddSrc Head"/>
    <w:basedOn w:val="MainHead"/>
    <w:rPr>
      <w:sz w:val="22"/>
    </w:rPr>
  </w:style>
  <w:style w:type="paragraph" w:styleId="DefAcrHead" w:customStyle="1">
    <w:name w:val="DefAcrHead"/>
    <w:basedOn w:val="MainHead"/>
    <w:rPr>
      <w:sz w:val="22"/>
    </w:rPr>
  </w:style>
  <w:style w:type="paragraph" w:styleId="Copyright" w:customStyle="1">
    <w:name w:val="Copyright"/>
    <w:pPr>
      <w:spacing w:after="960" w:line="200" w:lineRule="exact"/>
    </w:pPr>
    <w:rPr>
      <w:sz w:val="16"/>
    </w:rPr>
  </w:style>
  <w:style w:type="paragraph" w:styleId="Reference" w:customStyle="1">
    <w:name w:val="Reference"/>
    <w:basedOn w:val="Body"/>
    <w:pPr>
      <w:numPr>
        <w:numId w:val="1"/>
      </w:numPr>
      <w:spacing w:after="0" w:line="240" w:lineRule="exact"/>
    </w:pPr>
  </w:style>
  <w:style w:type="paragraph" w:styleId="Head1" w:customStyle="1">
    <w:name w:val="Head1"/>
    <w:basedOn w:val="MainHead"/>
    <w:rPr>
      <w:sz w:val="22"/>
    </w:rPr>
  </w:style>
  <w:style w:type="paragraph" w:styleId="ContactHead" w:customStyle="1">
    <w:name w:val="Contact Head"/>
    <w:basedOn w:val="MainHead"/>
    <w:rPr>
      <w:sz w:val="22"/>
    </w:rPr>
  </w:style>
  <w:style w:type="paragraph" w:styleId="Head3" w:customStyle="1">
    <w:name w:val="Head3"/>
    <w:basedOn w:val="Head2"/>
    <w:rPr>
      <w:caps w:val="0"/>
      <w:u w:val="single"/>
    </w:rPr>
  </w:style>
  <w:style w:type="paragraph" w:styleId="Head4" w:customStyle="1">
    <w:name w:val="Head4"/>
    <w:basedOn w:val="Head3"/>
    <w:rPr>
      <w:u w:val="none"/>
    </w:rPr>
  </w:style>
  <w:style w:type="paragraph" w:styleId="UnordList" w:customStyle="1">
    <w:name w:val="Unord List"/>
    <w:basedOn w:val="Body"/>
    <w:pPr>
      <w:spacing w:after="0"/>
      <w:ind w:left="360" w:hanging="360"/>
    </w:pPr>
  </w:style>
  <w:style w:type="paragraph" w:styleId="OrdList" w:customStyle="1">
    <w:name w:val="Ord List"/>
    <w:basedOn w:val="UnordList"/>
    <w:pPr>
      <w:jc w:val="left"/>
    </w:pPr>
  </w:style>
  <w:style w:type="paragraph" w:styleId="Appendix" w:customStyle="1">
    <w:name w:val="Appendix"/>
    <w:basedOn w:val="MainHead"/>
    <w:rPr>
      <w:sz w:val="22"/>
    </w:rPr>
  </w:style>
  <w:style w:type="paragraph" w:styleId="Term" w:customStyle="1">
    <w:name w:val="Term"/>
    <w:basedOn w:val="Body"/>
    <w:pPr>
      <w:spacing w:after="0"/>
    </w:pPr>
    <w:rPr>
      <w:b w:val="1"/>
    </w:rPr>
  </w:style>
  <w:style w:type="paragraph" w:styleId="Definition" w:customStyle="1">
    <w:name w:val="Definition"/>
    <w:basedOn w:val="Body"/>
  </w:style>
  <w:style w:type="paragraph" w:styleId="Head2" w:customStyle="1">
    <w:name w:val="Head2"/>
    <w:next w:val="Body"/>
    <w:pPr>
      <w:keepNext w:val="1"/>
      <w:spacing w:after="240"/>
    </w:pPr>
    <w:rPr>
      <w:caps w:val="1"/>
    </w:rPr>
  </w:style>
  <w:style w:type="character" w:styleId="Bold" w:customStyle="1">
    <w:name w:val="Bold"/>
    <w:rPr>
      <w:b w:val="1"/>
    </w:rPr>
  </w:style>
  <w:style w:type="character" w:styleId="Italic" w:customStyle="1">
    <w:name w:val="Italic"/>
    <w:rPr>
      <w:i w:val="1"/>
    </w:rPr>
  </w:style>
  <w:style w:type="character" w:styleId="Underline" w:customStyle="1">
    <w:name w:val="Underline"/>
    <w:rPr>
      <w:u w:val="single"/>
    </w:rPr>
  </w:style>
  <w:style w:type="paragraph" w:styleId="MainHead" w:customStyle="1">
    <w:name w:val="Main Head"/>
    <w:pPr>
      <w:keepNext w:val="1"/>
      <w:spacing w:after="240"/>
    </w:pPr>
    <w:rPr>
      <w:b w:val="1"/>
      <w:caps w:val="1"/>
    </w:rPr>
  </w:style>
  <w:style w:type="paragraph" w:styleId="Equation" w:customStyle="1">
    <w:name w:val="Equation"/>
    <w:basedOn w:val="Body"/>
  </w:style>
  <w:style w:type="paragraph" w:styleId="Figure" w:customStyle="1">
    <w:name w:val="Figure"/>
    <w:basedOn w:val="Copyright"/>
    <w:pPr>
      <w:spacing w:after="240"/>
    </w:pPr>
    <w:rPr>
      <w:sz w:val="20"/>
    </w:rPr>
  </w:style>
  <w:style w:type="paragraph" w:styleId="Footer">
    <w:name w:val="footer"/>
    <w:pPr>
      <w:tabs>
        <w:tab w:val="center" w:pos="4320"/>
        <w:tab w:val="right" w:pos="8640"/>
      </w:tabs>
    </w:pPr>
  </w:style>
  <w:style w:type="paragraph" w:styleId="Head40" w:customStyle="1">
    <w:name w:val="Head 4"/>
    <w:basedOn w:val="Head3"/>
    <w:rPr>
      <w:u w:val="none"/>
    </w:rPr>
  </w:style>
  <w:style w:type="paragraph" w:styleId="Header">
    <w:name w:val="header"/>
    <w:pPr>
      <w:tabs>
        <w:tab w:val="center" w:pos="4320"/>
        <w:tab w:val="right" w:pos="8640"/>
      </w:tabs>
    </w:pPr>
  </w:style>
  <w:style w:type="paragraph" w:styleId="Paper" w:customStyle="1">
    <w:name w:val="Paper"/>
    <w:pPr>
      <w:spacing w:after="360" w:line="440" w:lineRule="exact"/>
      <w:jc w:val="right"/>
    </w:pPr>
    <w:rPr>
      <w:b w:val="1"/>
      <w:sz w:val="36"/>
    </w:rPr>
  </w:style>
  <w:style w:type="paragraph" w:styleId="Signature">
    <w:name w:val="Signature"/>
    <w:pPr>
      <w:ind w:left="4320"/>
    </w:pPr>
  </w:style>
  <w:style w:type="character" w:styleId="Subscript" w:customStyle="1">
    <w:name w:val="Subscript"/>
    <w:rPr>
      <w:vertAlign w:val="subscript"/>
    </w:rPr>
  </w:style>
  <w:style w:type="character" w:styleId="Superscript" w:customStyle="1">
    <w:name w:val="Superscript"/>
    <w:rPr>
      <w:vertAlign w:val="superscript"/>
    </w:rPr>
  </w:style>
  <w:style w:type="character" w:styleId="Symbol" w:customStyle="1">
    <w:name w:val="Symbol"/>
    <w:rPr>
      <w:rFonts w:ascii="Symbol" w:hAnsi="Symbol"/>
    </w:rPr>
  </w:style>
  <w:style w:type="paragraph" w:styleId="SymbolP" w:customStyle="1">
    <w:name w:val="Symbol P"/>
    <w:basedOn w:val="Body"/>
    <w:pPr>
      <w:tabs>
        <w:tab w:val="left" w:pos="720"/>
        <w:tab w:val="left" w:pos="3780"/>
      </w:tabs>
      <w:spacing w:after="0"/>
    </w:pPr>
    <w:rPr>
      <w:sz w:val="24"/>
    </w:rPr>
  </w:style>
  <w:style w:type="character" w:styleId="BoldItal" w:customStyle="1">
    <w:name w:val="BoldItal"/>
    <w:basedOn w:val="DefaultParagraphFont"/>
    <w:rPr>
      <w:b w:val="1"/>
      <w:i w:val="1"/>
    </w:rPr>
  </w:style>
  <w:style w:type="character" w:styleId="SubItal" w:customStyle="1">
    <w:name w:val="SubItal"/>
    <w:rPr>
      <w:i w:val="1"/>
      <w:vertAlign w:val="subscript"/>
    </w:rPr>
  </w:style>
  <w:style w:type="character" w:styleId="SuperItal" w:customStyle="1">
    <w:name w:val="SuperItal"/>
    <w:rPr>
      <w:i w:val="1"/>
      <w:vertAlign w:val="superscript"/>
    </w:rPr>
  </w:style>
  <w:style w:type="character" w:styleId="SymItal" w:customStyle="1">
    <w:name w:val="SymItal"/>
    <w:rPr>
      <w:rFonts w:ascii="Symbol" w:hAnsi="Symbol"/>
      <w:i w:val="1"/>
    </w:rPr>
  </w:style>
  <w:style w:type="character" w:styleId="Hyperlink">
    <w:name w:val="Hyperlink"/>
    <w:basedOn w:val="DefaultParagraphFont"/>
    <w:rPr>
      <w:color w:val="ff0080"/>
      <w:u w:val="single"/>
    </w:rPr>
  </w:style>
  <w:style w:type="character" w:styleId="FollowedHyperlink">
    <w:name w:val="FollowedHyperlink"/>
    <w:basedOn w:val="DefaultParagraphFont"/>
    <w:rPr>
      <w:color w:val="800080"/>
      <w:u w:val="single"/>
    </w:rPr>
  </w:style>
  <w:style w:type="table" w:styleId="TableGrid">
    <w:name w:val="Table Grid"/>
    <w:basedOn w:val="TableNormal"/>
    <w:uiPriority w:val="59"/>
    <w:rPr>
      <w:rFonts w:ascii="Calibri" w:eastAsia="Calibri" w:hAnsi="Calibri"/>
      <w:sz w:val="22"/>
      <w:szCs w:val="22"/>
    </w:rPr>
    <w:tblP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BodyText2">
    <w:name w:val="Body Text 2"/>
    <w:link w:val="BodyText2Char"/>
    <w:pPr>
      <w:spacing w:after="120" w:line="480" w:lineRule="auto"/>
    </w:pPr>
  </w:style>
  <w:style w:type="character" w:styleId="BodyText2Char" w:customStyle="1">
    <w:name w:val="Body Text 2 Char"/>
    <w:basedOn w:val="DefaultParagraphFont"/>
    <w:link w:val="BodyText2"/>
    <w:rPr>
      <w:rFonts w:ascii="Helvetica" w:hAnsi="Helvetica"/>
    </w:rPr>
  </w:style>
  <w:style w:type="character" w:styleId="CommentReference">
    <w:name w:val="annotation reference"/>
    <w:basedOn w:val="DefaultParagraphFont"/>
    <w:uiPriority w:val="99"/>
    <w:rPr>
      <w:sz w:val="16"/>
      <w:szCs w:val="16"/>
    </w:rPr>
  </w:style>
  <w:style w:type="paragraph" w:styleId="CommentText">
    <w:name w:val="annotation text"/>
    <w:link w:val="CommentTextChar"/>
    <w:uiPriority w:val="99"/>
    <w:rPr>
      <w:rFonts w:ascii="Times New Roman" w:hAnsi="Times New Roman"/>
      <w:lang w:eastAsia="nb-NO" w:val="nb-NO"/>
    </w:rPr>
  </w:style>
  <w:style w:type="character" w:styleId="CommentTextChar" w:customStyle="1">
    <w:name w:val="Comment Text Char"/>
    <w:basedOn w:val="DefaultParagraphFont"/>
    <w:link w:val="CommentText"/>
    <w:uiPriority w:val="99"/>
    <w:rPr>
      <w:lang w:eastAsia="nb-NO" w:val="nb-NO"/>
    </w:rPr>
  </w:style>
  <w:style w:type="paragraph" w:styleId="BalloonText">
    <w:name w:val="Balloon Text"/>
    <w:link w:val="BalloonTextChar"/>
    <w:rPr>
      <w:rFonts w:ascii="Tahoma" w:cs="Tahoma" w:hAnsi="Tahoma"/>
      <w:sz w:val="16"/>
      <w:szCs w:val="16"/>
    </w:rPr>
  </w:style>
  <w:style w:type="character" w:styleId="BalloonTextChar" w:customStyle="1">
    <w:name w:val="Balloon Text Char"/>
    <w:basedOn w:val="DefaultParagraphFont"/>
    <w:link w:val="BalloonText"/>
    <w:rPr>
      <w:rFonts w:ascii="Tahoma" w:cs="Tahoma" w:hAnsi="Tahoma"/>
      <w:sz w:val="16"/>
      <w:szCs w:val="16"/>
    </w:rPr>
  </w:style>
  <w:style w:type="paragraph" w:styleId="BodyText3">
    <w:name w:val="Body Text 3"/>
    <w:link w:val="BodyText3Char"/>
    <w:pPr>
      <w:spacing w:after="120"/>
    </w:pPr>
    <w:rPr>
      <w:sz w:val="16"/>
      <w:szCs w:val="16"/>
    </w:rPr>
  </w:style>
  <w:style w:type="character" w:styleId="BodyText3Char" w:customStyle="1">
    <w:name w:val="Body Text 3 Char"/>
    <w:basedOn w:val="DefaultParagraphFont"/>
    <w:link w:val="BodyText3"/>
    <w:rPr>
      <w:rFonts w:ascii="Helvetica" w:hAnsi="Helvetica"/>
      <w:sz w:val="16"/>
      <w:szCs w:val="16"/>
    </w:rPr>
  </w:style>
  <w:style w:type="character" w:styleId="LineNumber">
    <w:name w:val="line number"/>
    <w:basedOn w:val="DefaultParagraphFont"/>
  </w:style>
  <w:style w:type="character" w:styleId="Emphasis">
    <w:name w:val="Emphasis"/>
    <w:basedOn w:val="DefaultParagraphFont"/>
    <w:uiPriority w:val="20"/>
    <w:qFormat w:val="1"/>
    <w:rPr>
      <w:i w:val="1"/>
      <w:iCs w:val="1"/>
    </w:rPr>
  </w:style>
  <w:style w:type="character" w:styleId="UnresolvedMention1" w:customStyle="1">
    <w:name w:val="Unresolved Mention1"/>
    <w:basedOn w:val="DefaultParagraphFont"/>
    <w:uiPriority w:val="99"/>
    <w:rPr>
      <w:color w:val="605e5c"/>
      <w:shd w:color="auto" w:fill="e1dfdd" w:val="clear"/>
    </w:rPr>
  </w:style>
  <w:style w:type="table" w:styleId="a" w:customStyle="1">
    <w:basedOn w:val="TableNormal1"/>
    <w:tblPr>
      <w:tblStyleRowBandSize w:val="1"/>
      <w:tblStyleColBandSize w:val="1"/>
      <w:tblCellMar>
        <w:top w:w="0.0" w:type="dxa"/>
        <w:left w:w="115.0" w:type="dxa"/>
        <w:bottom w:w="0.0" w:type="dxa"/>
        <w:right w:w="115.0" w:type="dxa"/>
      </w:tblCellMar>
    </w:tblPr>
  </w:style>
  <w:style w:type="table" w:styleId="a0" w:customStyle="1">
    <w:basedOn w:val="TableNormal1"/>
    <w:tblPr>
      <w:tblStyleRowBandSize w:val="1"/>
      <w:tblStyleColBandSize w:val="1"/>
      <w:tblCellMar>
        <w:top w:w="0.0" w:type="dxa"/>
        <w:left w:w="115.0" w:type="dxa"/>
        <w:bottom w:w="0.0" w:type="dxa"/>
        <w:right w:w="115.0" w:type="dxa"/>
      </w:tblCellMar>
    </w:tblPr>
  </w:style>
  <w:style w:type="table" w:styleId="a1" w:customStyle="1">
    <w:basedOn w:val="TableNormal1"/>
    <w:tblPr>
      <w:tblStyleRowBandSize w:val="1"/>
      <w:tblStyleColBandSize w:val="1"/>
      <w:tblCellMar>
        <w:top w:w="0.0" w:type="dxa"/>
        <w:left w:w="115.0" w:type="dxa"/>
        <w:bottom w:w="0.0" w:type="dxa"/>
        <w:right w:w="115.0" w:type="dxa"/>
      </w:tblCellMar>
    </w:tblPr>
  </w:style>
  <w:style w:type="table" w:styleId="a2" w:customStyle="1">
    <w:basedOn w:val="TableNormal"/>
    <w:tblPr>
      <w:tblStyleRowBandSize w:val="1"/>
      <w:tblStyleColBandSize w:val="1"/>
      <w:tblCellMar>
        <w:left w:w="115.0" w:type="dxa"/>
        <w:right w:w="115.0" w:type="dxa"/>
      </w:tblCellMar>
    </w:tblPr>
  </w:style>
  <w:style w:type="table" w:styleId="a3" w:customStyle="1">
    <w:basedOn w:val="TableNormal"/>
    <w:tblPr>
      <w:tblStyleRowBandSize w:val="1"/>
      <w:tblStyleColBandSize w:val="1"/>
      <w:tblCellMar>
        <w:top w:w="15.0" w:type="dxa"/>
        <w:left w:w="15.0" w:type="dxa"/>
        <w:bottom w:w="15.0" w:type="dxa"/>
        <w:right w:w="15.0" w:type="dxa"/>
      </w:tblCellMar>
    </w:tblPr>
  </w:style>
  <w:style w:type="table" w:styleId="a4" w:customStyle="1">
    <w:basedOn w:val="TableNormal"/>
    <w:tblPr>
      <w:tblStyleRowBandSize w:val="1"/>
      <w:tblStyleColBandSize w:val="1"/>
      <w:tblCellMar>
        <w:left w:w="115.0" w:type="dxa"/>
        <w:right w:w="115.0" w:type="dxa"/>
      </w:tblCellMar>
    </w:tblPr>
  </w:style>
  <w:style w:type="table" w:styleId="a5" w:customStyle="1">
    <w:basedOn w:val="TableNormal"/>
    <w:tblPr>
      <w:tblStyleRowBandSize w:val="1"/>
      <w:tblStyleColBandSize w:val="1"/>
      <w:tblCellMar>
        <w:top w:w="15.0" w:type="dxa"/>
        <w:left w:w="15.0" w:type="dxa"/>
        <w:bottom w:w="15.0" w:type="dxa"/>
        <w:right w:w="15.0" w:type="dxa"/>
      </w:tblCellMar>
    </w:tblPr>
  </w:style>
  <w:style w:type="character" w:styleId="UnresolvedMention">
    <w:name w:val="Unresolved Mention"/>
    <w:basedOn w:val="DefaultParagraphFont"/>
    <w:uiPriority w:val="99"/>
    <w:semiHidden w:val="1"/>
    <w:unhideWhenUsed w:val="1"/>
    <w:rsid w:val="000F2674"/>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doi.org/10.1177/09727531251351082" TargetMode="External"/><Relationship Id="rId11" Type="http://schemas.openxmlformats.org/officeDocument/2006/relationships/footer" Target="footer3.xml"/><Relationship Id="rId22" Type="http://schemas.openxmlformats.org/officeDocument/2006/relationships/hyperlink" Target="https://doi.org/10.4258/hir.2023.29.1.40" TargetMode="External"/><Relationship Id="rId10" Type="http://schemas.openxmlformats.org/officeDocument/2006/relationships/footer" Target="footer2.xml"/><Relationship Id="rId21" Type="http://schemas.openxmlformats.org/officeDocument/2006/relationships/hyperlink" Target="https://doi.org/10.5116/ijme.4dfb.8dfd" TargetMode="External"/><Relationship Id="rId13" Type="http://schemas.openxmlformats.org/officeDocument/2006/relationships/image" Target="media/image1.png"/><Relationship Id="rId24" Type="http://schemas.openxmlformats.org/officeDocument/2006/relationships/hyperlink" Target="https://doi.org/10.1016/j.chb.2015.02.059" TargetMode="External"/><Relationship Id="rId12" Type="http://schemas.openxmlformats.org/officeDocument/2006/relationships/footer" Target="footer1.xml"/><Relationship Id="rId23" Type="http://schemas.openxmlformats.org/officeDocument/2006/relationships/hyperlink" Target="https://www.ebsco.com/research-starters/religion-and-philosophy/reliabili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15" Type="http://schemas.openxmlformats.org/officeDocument/2006/relationships/hyperlink" Target="https://www.pna.gov.ph/articles/1253022" TargetMode="External"/><Relationship Id="rId14" Type="http://schemas.openxmlformats.org/officeDocument/2006/relationships/hyperlink" Target="https://doi.org/10.1038/s41598-024-83949-5" TargetMode="External"/><Relationship Id="rId17" Type="http://schemas.openxmlformats.org/officeDocument/2006/relationships/hyperlink" Target="https://doi.org/10.18203/2394-6040.ijcmph20193959" TargetMode="External"/><Relationship Id="rId16" Type="http://schemas.openxmlformats.org/officeDocument/2006/relationships/hyperlink" Target="https://www.undp.org/publications/new-technologies-sustainable-development-perspectives-integrity-trust-and-anti" TargetMode="External"/><Relationship Id="rId5" Type="http://schemas.openxmlformats.org/officeDocument/2006/relationships/styles" Target="styles.xml"/><Relationship Id="rId19" Type="http://schemas.openxmlformats.org/officeDocument/2006/relationships/hyperlink" Target="https://www.scribbr.com/methodology/descriptive-research/" TargetMode="External"/><Relationship Id="rId6" Type="http://schemas.openxmlformats.org/officeDocument/2006/relationships/customXml" Target="../customXML/item1.xml"/><Relationship Id="rId18" Type="http://schemas.openxmlformats.org/officeDocument/2006/relationships/hyperlink" Target="https://www.scribbr.com/methodology/descriptive-research/"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L+Yo5LIyR5yJGrDe2ytamPHTag==">CgMxLjAaHwoBMBIaChgICVIUChJ0YWJsZS5wejBkMHp0bWp5MXIaHwoBMRIaChgICVIUChJ0YWJsZS5icTJ0ZWhnNWI1ZnAyDmgudjRzaTAzOWZ5bzYwOAByITFHQUhoQ2FaTnRMY2RfWV9fSFZva0hwcXhzdHpSc1hDeg==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2014-10-25T14:34:00Z</dcterms:created>
  <dc:creator>SDI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7ed7e1f663e64ba5932631d92acf2299</vt:lpwstr>
  </property>
</Properties>
</file>